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3D8C" w:rsidP="00395D93" w:rsidRDefault="00243D8C" w14:paraId="596AA04D" w14:textId="00F65F89">
      <w:pPr>
        <w:suppressAutoHyphens/>
        <w:rPr>
          <w:color w:val="000000"/>
        </w:rPr>
      </w:pPr>
      <w:r>
        <w:rPr>
          <w:color w:val="000000"/>
        </w:rPr>
        <w:t>ALJ/JLQ/smt</w:t>
      </w:r>
      <w:r>
        <w:rPr>
          <w:color w:val="000000"/>
        </w:rPr>
        <w:tab/>
      </w:r>
      <w:r>
        <w:rPr>
          <w:color w:val="000000"/>
        </w:rPr>
        <w:tab/>
      </w:r>
      <w:r w:rsidR="00A35598">
        <w:rPr>
          <w:color w:val="000000"/>
        </w:rPr>
        <w:tab/>
      </w:r>
      <w:r w:rsidR="00A35598">
        <w:rPr>
          <w:color w:val="000000"/>
        </w:rPr>
        <w:tab/>
      </w:r>
      <w:r w:rsidR="00A35598">
        <w:rPr>
          <w:color w:val="000000"/>
        </w:rPr>
        <w:tab/>
      </w:r>
      <w:r w:rsidR="00A35598">
        <w:rPr>
          <w:color w:val="000000"/>
        </w:rPr>
        <w:tab/>
      </w:r>
      <w:r w:rsidR="00A35598">
        <w:rPr>
          <w:color w:val="000000"/>
        </w:rPr>
        <w:tab/>
      </w:r>
      <w:r w:rsidR="00A35598">
        <w:rPr>
          <w:color w:val="000000"/>
        </w:rPr>
        <w:tab/>
      </w:r>
      <w:r w:rsidRPr="00A35598" w:rsidR="00A35598">
        <w:rPr>
          <w:b/>
          <w:bCs/>
          <w:color w:val="000000"/>
        </w:rPr>
        <w:t>Date of Issuance 1/24/2025</w:t>
      </w:r>
      <w:r>
        <w:rPr>
          <w:color w:val="000000"/>
        </w:rPr>
        <w:tab/>
        <w:t xml:space="preserve">  </w:t>
      </w:r>
    </w:p>
    <w:p w:rsidR="00395D93" w:rsidP="00395D93" w:rsidRDefault="00395D93" w14:paraId="118B22D2" w14:textId="77777777">
      <w:pPr>
        <w:suppressAutoHyphens/>
        <w:rPr>
          <w:color w:val="000000"/>
        </w:rPr>
      </w:pPr>
    </w:p>
    <w:p w:rsidR="00395D93" w:rsidP="00395D93" w:rsidRDefault="00395D93" w14:paraId="6895B7D8" w14:textId="77777777">
      <w:pPr>
        <w:suppressAutoHyphens/>
        <w:rPr>
          <w:color w:val="000000"/>
        </w:rPr>
      </w:pPr>
    </w:p>
    <w:p w:rsidRPr="007F620E" w:rsidR="00243D8C" w:rsidP="00243D8C" w:rsidRDefault="00243D8C" w14:paraId="0545E395" w14:textId="4FD5EC31">
      <w:pPr>
        <w:suppressAutoHyphens/>
        <w:rPr>
          <w:color w:val="000000"/>
        </w:rPr>
      </w:pPr>
      <w:r w:rsidRPr="007F620E">
        <w:rPr>
          <w:color w:val="000000"/>
        </w:rPr>
        <w:t>Decision</w:t>
      </w:r>
      <w:r w:rsidR="00A35598">
        <w:rPr>
          <w:color w:val="000000"/>
        </w:rPr>
        <w:t xml:space="preserve"> 25-01-026  January 16, 2025</w:t>
      </w:r>
    </w:p>
    <w:p w:rsidRPr="007F620E" w:rsidR="00A92D0B" w:rsidP="00187FA5" w:rsidRDefault="00A92D0B" w14:paraId="44E03231" w14:textId="77777777">
      <w:pPr>
        <w:pStyle w:val="titlebar"/>
        <w:jc w:val="left"/>
        <w:rPr>
          <w:rFonts w:ascii="Times New Roman" w:hAnsi="Times New Roman"/>
          <w:color w:val="000000"/>
          <w:sz w:val="24"/>
          <w:szCs w:val="24"/>
        </w:rPr>
      </w:pPr>
    </w:p>
    <w:p w:rsidRPr="0057088A" w:rsidR="00A92D0B" w:rsidRDefault="00A92D0B" w14:paraId="67F2520C"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500"/>
        <w:gridCol w:w="5328"/>
      </w:tblGrid>
      <w:tr w:rsidRPr="007F620E" w:rsidR="00A92D0B" w:rsidTr="00187FA5" w14:paraId="3942D7B4" w14:textId="77777777">
        <w:tc>
          <w:tcPr>
            <w:tcW w:w="4500" w:type="dxa"/>
            <w:shd w:val="clear" w:color="auto" w:fill="auto"/>
          </w:tcPr>
          <w:p w:rsidR="00A92D0B" w:rsidRDefault="00CE5DA2" w14:paraId="53E3EFD9" w14:textId="77777777">
            <w:pPr>
              <w:rPr>
                <w:color w:val="000000"/>
              </w:rPr>
            </w:pPr>
            <w:r w:rsidRPr="00940024">
              <w:rPr>
                <w:color w:val="000000"/>
              </w:rPr>
              <w:t>Order Instituting Rulemaking to Further Develop a Risk-Based Decision-Making Framework for Electric and Gas Utilities.</w:t>
            </w:r>
          </w:p>
          <w:p w:rsidRPr="00940024" w:rsidR="00243D8C" w:rsidRDefault="00243D8C" w14:paraId="47850BD9" w14:textId="2EC7C3F1"/>
        </w:tc>
        <w:tc>
          <w:tcPr>
            <w:tcW w:w="5328" w:type="dxa"/>
            <w:tcBorders>
              <w:top w:val="nil"/>
              <w:bottom w:val="nil"/>
            </w:tcBorders>
            <w:shd w:val="clear" w:color="auto" w:fill="auto"/>
          </w:tcPr>
          <w:p w:rsidR="00243D8C" w:rsidP="00243D8C" w:rsidRDefault="00243D8C" w14:paraId="15DECEBF" w14:textId="77777777">
            <w:pPr>
              <w:tabs>
                <w:tab w:val="left" w:pos="1440"/>
                <w:tab w:val="left" w:pos="3600"/>
              </w:tabs>
              <w:rPr>
                <w:color w:val="000000"/>
              </w:rPr>
            </w:pPr>
          </w:p>
          <w:p w:rsidRPr="00940024" w:rsidR="00A92D0B" w:rsidP="00243D8C" w:rsidRDefault="00CE5DA2" w14:paraId="56246C5B" w14:textId="4A5FA0EA">
            <w:pPr>
              <w:tabs>
                <w:tab w:val="left" w:pos="1440"/>
                <w:tab w:val="left" w:pos="3600"/>
              </w:tabs>
              <w:jc w:val="center"/>
              <w:rPr>
                <w:color w:val="000000"/>
              </w:rPr>
            </w:pPr>
            <w:r w:rsidRPr="00940024">
              <w:rPr>
                <w:color w:val="000000"/>
              </w:rPr>
              <w:t>R</w:t>
            </w:r>
            <w:r w:rsidR="00243D8C">
              <w:rPr>
                <w:color w:val="000000"/>
              </w:rPr>
              <w:t xml:space="preserve">ulemaking </w:t>
            </w:r>
            <w:r w:rsidRPr="00940024">
              <w:rPr>
                <w:color w:val="000000"/>
              </w:rPr>
              <w:t>20-07-</w:t>
            </w:r>
            <w:r w:rsidR="00B57AE8">
              <w:rPr>
                <w:color w:val="000000"/>
              </w:rPr>
              <w:t>0</w:t>
            </w:r>
            <w:r w:rsidRPr="00940024">
              <w:rPr>
                <w:color w:val="000000"/>
              </w:rPr>
              <w:t>13</w:t>
            </w:r>
          </w:p>
          <w:p w:rsidRPr="00940024" w:rsidR="00A92D0B" w:rsidP="00243D8C" w:rsidRDefault="00243D8C" w14:paraId="4E5DC7CF" w14:textId="3A3E967E">
            <w:pPr>
              <w:tabs>
                <w:tab w:val="left" w:pos="1440"/>
                <w:tab w:val="left" w:pos="3600"/>
              </w:tabs>
              <w:jc w:val="center"/>
            </w:pPr>
            <w:r>
              <w:rPr>
                <w:color w:val="000000"/>
              </w:rPr>
              <w:t xml:space="preserve">(Filed </w:t>
            </w:r>
            <w:r w:rsidRPr="00940024" w:rsidR="00CE5DA2">
              <w:rPr>
                <w:color w:val="000000"/>
              </w:rPr>
              <w:t>July 16, 202</w:t>
            </w:r>
            <w:r w:rsidR="001C06C3">
              <w:rPr>
                <w:color w:val="000000"/>
              </w:rPr>
              <w:t>0</w:t>
            </w:r>
            <w:r>
              <w:rPr>
                <w:color w:val="000000"/>
              </w:rPr>
              <w:t>)</w:t>
            </w:r>
          </w:p>
          <w:p w:rsidRPr="00940024" w:rsidR="00A92D0B" w:rsidRDefault="00A92D0B" w14:paraId="7EC7277D" w14:textId="77777777">
            <w:pPr>
              <w:jc w:val="center"/>
              <w:rPr>
                <w:color w:val="000000"/>
              </w:rPr>
            </w:pPr>
          </w:p>
        </w:tc>
      </w:tr>
    </w:tbl>
    <w:p w:rsidRPr="007F620E" w:rsidR="00FC72B7" w:rsidRDefault="00FC72B7" w14:paraId="5459E071" w14:textId="77777777">
      <w:pPr>
        <w:jc w:val="center"/>
        <w:rPr>
          <w:b/>
          <w:color w:val="000000"/>
        </w:rPr>
      </w:pPr>
    </w:p>
    <w:p w:rsidRPr="00675718" w:rsidR="00E9246C" w:rsidRDefault="00E95D1F" w14:paraId="02D900C2" w14:textId="36B89ED8">
      <w:pPr>
        <w:jc w:val="center"/>
        <w:rPr>
          <w:b/>
          <w:bCs/>
        </w:rPr>
      </w:pPr>
      <w:r w:rsidRPr="00675718">
        <w:rPr>
          <w:b/>
          <w:bCs/>
        </w:rPr>
        <w:t xml:space="preserve">DECISION GRANTING </w:t>
      </w:r>
      <w:r w:rsidRPr="00675718" w:rsidR="00A92D0B">
        <w:rPr>
          <w:b/>
          <w:bCs/>
        </w:rPr>
        <w:t xml:space="preserve">COMPENSATION </w:t>
      </w:r>
      <w:r w:rsidRPr="00675718">
        <w:rPr>
          <w:b/>
          <w:bCs/>
        </w:rPr>
        <w:t>TO</w:t>
      </w:r>
      <w:r w:rsidRPr="00675718" w:rsidR="00A92D0B">
        <w:rPr>
          <w:b/>
          <w:bCs/>
        </w:rPr>
        <w:t xml:space="preserve"> </w:t>
      </w:r>
      <w:r w:rsidRPr="00675718" w:rsidR="00CE5DA2">
        <w:rPr>
          <w:b/>
          <w:bCs/>
        </w:rPr>
        <w:t xml:space="preserve">THE PROTECT OUR </w:t>
      </w:r>
    </w:p>
    <w:p w:rsidRPr="00675718" w:rsidR="00374FD1" w:rsidP="00675718" w:rsidRDefault="00CE5DA2" w14:paraId="7DD45571" w14:textId="3E6883EB">
      <w:pPr>
        <w:jc w:val="center"/>
        <w:rPr>
          <w:b/>
          <w:bCs/>
        </w:rPr>
      </w:pPr>
      <w:r w:rsidRPr="00675718">
        <w:rPr>
          <w:b/>
          <w:bCs/>
        </w:rPr>
        <w:t>COMMUNITIES FOUNDATION</w:t>
      </w:r>
      <w:r w:rsidRPr="00675718" w:rsidR="00A92D0B">
        <w:rPr>
          <w:b/>
          <w:bCs/>
        </w:rPr>
        <w:t xml:space="preserve"> </w:t>
      </w:r>
      <w:r w:rsidRPr="00675718" w:rsidR="00B43A7C">
        <w:rPr>
          <w:b/>
          <w:bCs/>
        </w:rPr>
        <w:t xml:space="preserve">FOR SUBSTANTIAL </w:t>
      </w:r>
      <w:r w:rsidR="00243D8C">
        <w:rPr>
          <w:b/>
          <w:bCs/>
        </w:rPr>
        <w:br/>
      </w:r>
      <w:r w:rsidRPr="00675718" w:rsidR="00B43A7C">
        <w:rPr>
          <w:b/>
          <w:bCs/>
        </w:rPr>
        <w:t>CONTRIBUTION TO DEC</w:t>
      </w:r>
      <w:r w:rsidR="00633930">
        <w:rPr>
          <w:b/>
          <w:bCs/>
        </w:rPr>
        <w:t>I</w:t>
      </w:r>
      <w:r w:rsidRPr="00675718" w:rsidR="00B43A7C">
        <w:rPr>
          <w:b/>
          <w:bCs/>
        </w:rPr>
        <w:t xml:space="preserve">SION </w:t>
      </w:r>
      <w:r w:rsidRPr="00675718" w:rsidR="00E841FB">
        <w:rPr>
          <w:b/>
          <w:bCs/>
        </w:rPr>
        <w:t>24-05-064</w:t>
      </w:r>
    </w:p>
    <w:p w:rsidRPr="007F620E" w:rsidR="00A92D0B" w:rsidRDefault="00A92D0B" w14:paraId="4BEAFF75" w14:textId="77777777">
      <w:pPr>
        <w:suppressAutoHyphens/>
        <w:rPr>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765"/>
        <w:gridCol w:w="4770"/>
      </w:tblGrid>
      <w:tr w:rsidRPr="007F620E" w:rsidR="00A92D0B" w:rsidTr="00B41F66" w14:paraId="0FE98F62" w14:textId="77777777">
        <w:tc>
          <w:tcPr>
            <w:tcW w:w="4765" w:type="dxa"/>
            <w:shd w:val="clear" w:color="auto" w:fill="auto"/>
          </w:tcPr>
          <w:p w:rsidRPr="00691528" w:rsidR="00A92D0B" w:rsidP="00187FA5" w:rsidRDefault="005A63D4" w14:paraId="11570D4A" w14:textId="7E350C42">
            <w:pPr>
              <w:tabs>
                <w:tab w:val="left" w:pos="1620"/>
                <w:tab w:val="right" w:pos="4500"/>
              </w:tabs>
              <w:ind w:left="1320" w:hanging="1320"/>
              <w:rPr>
                <w:color w:val="000000"/>
              </w:rPr>
            </w:pPr>
            <w:r w:rsidRPr="007F620E">
              <w:rPr>
                <w:b/>
                <w:color w:val="000000"/>
              </w:rPr>
              <w:t>Intervenor</w:t>
            </w:r>
            <w:r w:rsidRPr="007F620E" w:rsidR="00F63C29">
              <w:rPr>
                <w:b/>
                <w:color w:val="000000"/>
              </w:rPr>
              <w:t>:</w:t>
            </w:r>
            <w:r w:rsidR="00691528">
              <w:rPr>
                <w:b/>
                <w:color w:val="000000"/>
              </w:rPr>
              <w:t xml:space="preserve"> </w:t>
            </w:r>
            <w:r w:rsidR="00243D8C">
              <w:rPr>
                <w:b/>
                <w:color w:val="000000"/>
              </w:rPr>
              <w:t xml:space="preserve"> </w:t>
            </w:r>
            <w:r w:rsidRPr="002C2516" w:rsidR="00E9246C">
              <w:rPr>
                <w:bCs/>
                <w:color w:val="000000"/>
              </w:rPr>
              <w:t>The Protect Our Communities Foundation</w:t>
            </w:r>
          </w:p>
        </w:tc>
        <w:tc>
          <w:tcPr>
            <w:tcW w:w="4770" w:type="dxa"/>
            <w:shd w:val="clear" w:color="auto" w:fill="auto"/>
          </w:tcPr>
          <w:p w:rsidRPr="007F620E" w:rsidR="00A92D0B" w:rsidP="00C47A2B" w:rsidRDefault="00A92D0B" w14:paraId="53A584EE" w14:textId="40664EDC">
            <w:pPr>
              <w:tabs>
                <w:tab w:val="left" w:pos="1872"/>
                <w:tab w:val="right" w:pos="3672"/>
              </w:tabs>
              <w:rPr>
                <w:b/>
                <w:color w:val="000000"/>
              </w:rPr>
            </w:pPr>
            <w:r w:rsidRPr="007F620E">
              <w:rPr>
                <w:b/>
                <w:color w:val="000000"/>
              </w:rPr>
              <w:t>For contribution to D</w:t>
            </w:r>
            <w:r w:rsidRPr="007F620E" w:rsidR="00DE3A5D">
              <w:rPr>
                <w:b/>
                <w:color w:val="000000"/>
              </w:rPr>
              <w:t xml:space="preserve">ecision (D.) </w:t>
            </w:r>
            <w:r w:rsidR="004E549D">
              <w:rPr>
                <w:b/>
                <w:color w:val="000000"/>
              </w:rPr>
              <w:t>24-05-064</w:t>
            </w:r>
          </w:p>
        </w:tc>
      </w:tr>
      <w:tr w:rsidRPr="007F620E" w:rsidR="00A92D0B" w:rsidTr="00B41F66" w14:paraId="47003B8E" w14:textId="77777777">
        <w:tc>
          <w:tcPr>
            <w:tcW w:w="4765" w:type="dxa"/>
            <w:shd w:val="clear" w:color="auto" w:fill="auto"/>
          </w:tcPr>
          <w:p w:rsidRPr="007F620E" w:rsidR="00A92D0B" w:rsidP="00C47A2B" w:rsidRDefault="00A92D0B" w14:paraId="0E2E4BD1" w14:textId="7E0D192C">
            <w:pPr>
              <w:tabs>
                <w:tab w:val="left" w:pos="1620"/>
                <w:tab w:val="right" w:pos="4500"/>
              </w:tabs>
              <w:rPr>
                <w:b/>
                <w:color w:val="000000"/>
                <w:u w:val="single"/>
              </w:rPr>
            </w:pPr>
            <w:r w:rsidRPr="00DB7366">
              <w:rPr>
                <w:b/>
                <w:color w:val="000000"/>
              </w:rPr>
              <w:t>Claimed:</w:t>
            </w:r>
            <w:r w:rsidRPr="00DB7366" w:rsidR="00F63C29">
              <w:rPr>
                <w:b/>
                <w:color w:val="000000"/>
              </w:rPr>
              <w:t xml:space="preserve"> </w:t>
            </w:r>
            <w:r w:rsidR="00243D8C">
              <w:rPr>
                <w:b/>
                <w:color w:val="000000"/>
              </w:rPr>
              <w:t xml:space="preserve"> </w:t>
            </w:r>
            <w:r w:rsidRPr="002C2516" w:rsidR="00FC72B7">
              <w:rPr>
                <w:bCs/>
                <w:color w:val="000000"/>
              </w:rPr>
              <w:t>$</w:t>
            </w:r>
            <w:r w:rsidRPr="002C2516" w:rsidR="00DB7366">
              <w:rPr>
                <w:bCs/>
                <w:color w:val="000000"/>
              </w:rPr>
              <w:t>62</w:t>
            </w:r>
            <w:r w:rsidRPr="002C2516" w:rsidR="00412C6A">
              <w:rPr>
                <w:bCs/>
                <w:color w:val="000000"/>
              </w:rPr>
              <w:t>,760</w:t>
            </w:r>
            <w:bookmarkStart w:name="_Ref175927219" w:id="0"/>
            <w:r w:rsidRPr="002C2516" w:rsidR="00934237">
              <w:rPr>
                <w:rStyle w:val="FootnoteReference"/>
                <w:bCs/>
                <w:color w:val="000000"/>
              </w:rPr>
              <w:footnoteReference w:id="1"/>
            </w:r>
            <w:bookmarkEnd w:id="0"/>
          </w:p>
        </w:tc>
        <w:tc>
          <w:tcPr>
            <w:tcW w:w="4770" w:type="dxa"/>
            <w:tcBorders>
              <w:bottom w:val="single" w:color="auto" w:sz="4" w:space="0"/>
            </w:tcBorders>
            <w:shd w:val="clear" w:color="auto" w:fill="auto"/>
          </w:tcPr>
          <w:p w:rsidRPr="007F620E" w:rsidR="00A92D0B" w:rsidP="00C47A2B" w:rsidRDefault="00A92D0B" w14:paraId="211F40A8" w14:textId="2CD7827D">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00243D8C">
              <w:rPr>
                <w:b/>
                <w:color w:val="000000"/>
              </w:rPr>
              <w:t xml:space="preserve"> </w:t>
            </w:r>
            <w:r w:rsidRPr="002C2516" w:rsidR="00FF18EC">
              <w:rPr>
                <w:bCs/>
                <w:color w:val="000000"/>
              </w:rPr>
              <w:t>$54,542.50</w:t>
            </w:r>
          </w:p>
        </w:tc>
      </w:tr>
      <w:tr w:rsidRPr="007F620E" w:rsidR="00A92D0B" w:rsidTr="00B41F66" w14:paraId="5C56877D" w14:textId="77777777">
        <w:tc>
          <w:tcPr>
            <w:tcW w:w="4765" w:type="dxa"/>
            <w:shd w:val="clear" w:color="auto" w:fill="auto"/>
          </w:tcPr>
          <w:p w:rsidRPr="00691528" w:rsidR="00A92D0B" w:rsidP="00C47A2B" w:rsidRDefault="00A92D0B" w14:paraId="6EF99E36" w14:textId="460E1523">
            <w:pPr>
              <w:tabs>
                <w:tab w:val="left" w:pos="3060"/>
                <w:tab w:val="right" w:pos="4500"/>
              </w:tabs>
              <w:rPr>
                <w:color w:val="000000"/>
                <w:u w:val="single"/>
              </w:rPr>
            </w:pPr>
            <w:r w:rsidRPr="007F620E">
              <w:rPr>
                <w:b/>
                <w:color w:val="000000"/>
              </w:rPr>
              <w:t xml:space="preserve">Assigned Commissioner: </w:t>
            </w:r>
            <w:r w:rsidR="00243D8C">
              <w:rPr>
                <w:b/>
                <w:color w:val="000000"/>
              </w:rPr>
              <w:t xml:space="preserve"> </w:t>
            </w:r>
            <w:r w:rsidRPr="002C2516" w:rsidR="004E549D">
              <w:rPr>
                <w:bCs/>
                <w:color w:val="000000"/>
              </w:rPr>
              <w:t>John Reynolds</w:t>
            </w:r>
          </w:p>
        </w:tc>
        <w:tc>
          <w:tcPr>
            <w:tcW w:w="4770" w:type="dxa"/>
            <w:shd w:val="clear" w:color="auto" w:fill="auto"/>
          </w:tcPr>
          <w:p w:rsidRPr="00691528" w:rsidR="00A92D0B" w:rsidP="00C47A2B" w:rsidRDefault="00A92D0B" w14:paraId="79375F78" w14:textId="65116162">
            <w:pPr>
              <w:tabs>
                <w:tab w:val="left" w:pos="1872"/>
                <w:tab w:val="right" w:pos="3672"/>
              </w:tabs>
              <w:rPr>
                <w:color w:val="000000"/>
                <w:u w:val="single"/>
              </w:rPr>
            </w:pPr>
            <w:r w:rsidRPr="007F620E">
              <w:rPr>
                <w:b/>
                <w:color w:val="000000"/>
              </w:rPr>
              <w:t>Assigned ALJ:</w:t>
            </w:r>
            <w:r w:rsidRPr="007F620E" w:rsidR="00F63C29">
              <w:rPr>
                <w:b/>
                <w:color w:val="000000"/>
              </w:rPr>
              <w:t xml:space="preserve"> </w:t>
            </w:r>
            <w:r w:rsidR="00243D8C">
              <w:rPr>
                <w:b/>
                <w:color w:val="000000"/>
              </w:rPr>
              <w:t xml:space="preserve"> </w:t>
            </w:r>
            <w:r w:rsidRPr="002C2516" w:rsidR="004E549D">
              <w:rPr>
                <w:bCs/>
                <w:color w:val="000000"/>
              </w:rPr>
              <w:t>Jonathan Lakey</w:t>
            </w:r>
          </w:p>
        </w:tc>
      </w:tr>
    </w:tbl>
    <w:p w:rsidR="00C231EB" w:rsidP="00C231EB" w:rsidRDefault="00C231EB" w14:paraId="275A5D73" w14:textId="77777777">
      <w:pPr>
        <w:keepNext/>
        <w:jc w:val="center"/>
        <w:rPr>
          <w:b/>
          <w:color w:val="000000"/>
        </w:rPr>
      </w:pPr>
    </w:p>
    <w:p w:rsidRPr="002C2516" w:rsidR="00A92D0B" w:rsidP="00C231EB" w:rsidRDefault="00A92D0B" w14:paraId="31F24E14" w14:textId="769AAFE2">
      <w:pPr>
        <w:keepNext/>
        <w:jc w:val="center"/>
        <w:rPr>
          <w:b/>
          <w:color w:val="000000"/>
        </w:rPr>
      </w:pPr>
      <w:r w:rsidRPr="007F620E">
        <w:rPr>
          <w:b/>
          <w:color w:val="000000"/>
        </w:rPr>
        <w:t>PART I:</w:t>
      </w:r>
      <w:r w:rsidR="008E182E">
        <w:rPr>
          <w:b/>
          <w:color w:val="000000"/>
        </w:rPr>
        <w:t xml:space="preserve">  </w:t>
      </w:r>
      <w:r w:rsidRPr="007F620E">
        <w:rPr>
          <w:b/>
          <w:color w:val="000000"/>
        </w:rPr>
        <w:t>PROCEDURAL ISSUES</w:t>
      </w:r>
    </w:p>
    <w:p w:rsidRPr="007F620E" w:rsidR="00A92D0B" w:rsidP="00055843" w:rsidRDefault="00A92D0B" w14:paraId="37AA25BD" w14:textId="77777777">
      <w:pPr>
        <w:keepNext/>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8C5B83"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Pr="007F620E" w:rsidR="00C02649" w:rsidRDefault="00AC605B" w14:paraId="67B8ECAA" w14:textId="5EEE82F0">
            <w:pPr>
              <w:rPr>
                <w:color w:val="000000"/>
              </w:rPr>
            </w:pPr>
            <w:r>
              <w:rPr>
                <w:color w:val="000000"/>
              </w:rPr>
              <w:t>D.24-05-064 addressed several Phase 3 issues regarding updates to the Risk-Based Decision-Making Framework (RDF)</w:t>
            </w:r>
            <w:r w:rsidR="00E32B98">
              <w:rPr>
                <w:color w:val="000000"/>
              </w:rPr>
              <w:t>, including</w:t>
            </w:r>
            <w:r w:rsidR="00FF09E1">
              <w:rPr>
                <w:color w:val="000000"/>
              </w:rPr>
              <w:t xml:space="preserve"> </w:t>
            </w:r>
            <w:r w:rsidR="0043509B">
              <w:rPr>
                <w:color w:val="000000"/>
              </w:rPr>
              <w:t>“</w:t>
            </w:r>
            <w:r w:rsidRPr="0043509B" w:rsidR="0043509B">
              <w:rPr>
                <w:color w:val="000000"/>
              </w:rPr>
              <w:t>evaluation of post-test years; uncertainty-transparency pilot; tail risk-consequence modeling; climate change; risk scaling; discount rates; Risk Assessment and Mitigation Phase (RAMP) reporting templates; and tranches.</w:t>
            </w:r>
            <w:r w:rsidR="0043509B">
              <w:rPr>
                <w:color w:val="000000"/>
              </w:rPr>
              <w:t>” D.24-05-064, p. 2.</w:t>
            </w:r>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2"/>
      </w:r>
      <w:r w:rsidRPr="007F620E"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A92D0B" w:rsidTr="00504183" w14:paraId="160E284A" w14:textId="77777777">
        <w:tc>
          <w:tcPr>
            <w:tcW w:w="4817" w:type="dxa"/>
            <w:tcBorders>
              <w:top w:val="single" w:color="auto" w:sz="4" w:space="0"/>
            </w:tcBorders>
            <w:shd w:val="clear" w:color="auto" w:fill="auto"/>
          </w:tcPr>
          <w:p w:rsidRPr="007F620E" w:rsidR="00A92D0B" w:rsidP="00F028C8" w:rsidRDefault="00A92D0B" w14:paraId="44D1876C" w14:textId="78494432">
            <w:pPr>
              <w:keepNext/>
              <w:tabs>
                <w:tab w:val="left" w:pos="360"/>
              </w:tabs>
              <w:ind w:left="360" w:hanging="360"/>
              <w:rPr>
                <w:color w:val="000000"/>
              </w:rPr>
            </w:pPr>
            <w:r w:rsidRPr="007F620E">
              <w:rPr>
                <w:color w:val="000000"/>
              </w:rPr>
              <w:t>1.</w:t>
            </w:r>
            <w:r w:rsidR="001E7EE2">
              <w:rPr>
                <w:color w:val="000000"/>
              </w:rPr>
              <w:tab/>
            </w:r>
            <w:r w:rsidRPr="007F620E">
              <w:rPr>
                <w:color w:val="000000"/>
              </w:rPr>
              <w:t xml:space="preserve">Date of </w:t>
            </w:r>
            <w:r w:rsidR="00243D8C">
              <w:rPr>
                <w:color w:val="000000"/>
              </w:rPr>
              <w:t>p</w:t>
            </w:r>
            <w:r w:rsidRPr="007F620E">
              <w:rPr>
                <w:color w:val="000000"/>
              </w:rPr>
              <w:t xml:space="preserve">rehearing </w:t>
            </w:r>
            <w:r w:rsidR="00243D8C">
              <w:rPr>
                <w:color w:val="000000"/>
              </w:rPr>
              <w:t>c</w:t>
            </w:r>
            <w:r w:rsidRPr="007F620E">
              <w:rPr>
                <w:color w:val="000000"/>
              </w:rPr>
              <w:t>onference:</w:t>
            </w:r>
          </w:p>
        </w:tc>
        <w:tc>
          <w:tcPr>
            <w:tcW w:w="2267" w:type="dxa"/>
            <w:tcBorders>
              <w:top w:val="single" w:color="auto" w:sz="4" w:space="0"/>
            </w:tcBorders>
            <w:shd w:val="clear" w:color="auto" w:fill="auto"/>
          </w:tcPr>
          <w:p w:rsidRPr="007F620E" w:rsidR="00A92D0B" w:rsidP="00187FA5" w:rsidRDefault="004855CC" w14:paraId="35450816" w14:textId="53707578">
            <w:pPr>
              <w:keepNext/>
              <w:keepLines/>
              <w:tabs>
                <w:tab w:val="left" w:pos="360"/>
              </w:tabs>
              <w:ind w:left="360" w:hanging="360"/>
              <w:jc w:val="center"/>
              <w:rPr>
                <w:color w:val="000000"/>
              </w:rPr>
            </w:pPr>
            <w:r>
              <w:rPr>
                <w:color w:val="000000"/>
              </w:rPr>
              <w:t>09/15/2020</w:t>
            </w:r>
          </w:p>
        </w:tc>
        <w:tc>
          <w:tcPr>
            <w:tcW w:w="2276" w:type="dxa"/>
            <w:tcBorders>
              <w:top w:val="single" w:color="auto" w:sz="4" w:space="0"/>
            </w:tcBorders>
            <w:shd w:val="clear" w:color="auto" w:fill="auto"/>
          </w:tcPr>
          <w:p w:rsidRPr="007F620E" w:rsidR="00A92D0B" w:rsidP="00187FA5" w:rsidRDefault="00E84925" w14:paraId="34540344" w14:textId="60F40894">
            <w:pPr>
              <w:keepNext/>
              <w:tabs>
                <w:tab w:val="left" w:pos="360"/>
              </w:tabs>
              <w:jc w:val="center"/>
              <w:rPr>
                <w:color w:val="000000"/>
              </w:rPr>
            </w:pPr>
            <w:r>
              <w:rPr>
                <w:color w:val="000000"/>
              </w:rPr>
              <w:t>Verified</w:t>
            </w:r>
          </w:p>
        </w:tc>
      </w:tr>
      <w:tr w:rsidRPr="007F620E" w:rsidR="00A92D0B" w:rsidTr="00504183" w14:paraId="24C85564" w14:textId="77777777">
        <w:tc>
          <w:tcPr>
            <w:tcW w:w="4817" w:type="dxa"/>
            <w:shd w:val="clear" w:color="auto" w:fill="auto"/>
          </w:tcPr>
          <w:p w:rsidRPr="007F620E" w:rsidR="00A92D0B" w:rsidP="00F028C8" w:rsidRDefault="00A92D0B" w14:paraId="382C5788" w14:textId="49F0E39E">
            <w:pPr>
              <w:tabs>
                <w:tab w:val="left" w:pos="360"/>
              </w:tabs>
              <w:ind w:left="360" w:hanging="360"/>
              <w:rPr>
                <w:color w:val="000000"/>
              </w:rPr>
            </w:pPr>
            <w:r w:rsidRPr="007F620E">
              <w:rPr>
                <w:color w:val="000000"/>
              </w:rPr>
              <w:t>2.</w:t>
            </w:r>
            <w:r w:rsidR="001E7EE2">
              <w:rPr>
                <w:color w:val="000000"/>
              </w:rPr>
              <w:tab/>
            </w:r>
            <w:r w:rsidRPr="007F620E">
              <w:rPr>
                <w:color w:val="000000"/>
              </w:rPr>
              <w:t xml:space="preserve">Other </w:t>
            </w:r>
            <w:r w:rsidRPr="007F620E" w:rsidR="00A319DE">
              <w:rPr>
                <w:color w:val="000000"/>
              </w:rPr>
              <w:t>s</w:t>
            </w:r>
            <w:r w:rsidRPr="007F620E">
              <w:rPr>
                <w:color w:val="000000"/>
              </w:rPr>
              <w:t xml:space="preserve">pecified </w:t>
            </w:r>
            <w:r w:rsidRPr="007F620E" w:rsidR="00A319DE">
              <w:rPr>
                <w:color w:val="000000"/>
              </w:rPr>
              <w:t>d</w:t>
            </w:r>
            <w:r w:rsidRPr="007F620E">
              <w:rPr>
                <w:color w:val="000000"/>
              </w:rPr>
              <w:t>ate for NOI:</w:t>
            </w:r>
          </w:p>
        </w:tc>
        <w:tc>
          <w:tcPr>
            <w:tcW w:w="2267" w:type="dxa"/>
            <w:shd w:val="clear" w:color="auto" w:fill="auto"/>
          </w:tcPr>
          <w:p w:rsidRPr="007F620E" w:rsidR="00A92D0B" w:rsidP="00187FA5" w:rsidRDefault="004855CC" w14:paraId="1826BC2C" w14:textId="586F86E7">
            <w:pPr>
              <w:keepNext/>
              <w:keepLines/>
              <w:tabs>
                <w:tab w:val="left" w:pos="360"/>
              </w:tabs>
              <w:ind w:left="360" w:hanging="360"/>
              <w:jc w:val="center"/>
              <w:rPr>
                <w:color w:val="000000"/>
              </w:rPr>
            </w:pPr>
            <w:r>
              <w:rPr>
                <w:color w:val="000000"/>
              </w:rPr>
              <w:t>N/A</w:t>
            </w:r>
          </w:p>
        </w:tc>
        <w:tc>
          <w:tcPr>
            <w:tcW w:w="2276" w:type="dxa"/>
            <w:shd w:val="clear" w:color="auto" w:fill="auto"/>
          </w:tcPr>
          <w:p w:rsidRPr="007F620E" w:rsidR="00A92D0B" w:rsidP="00187FA5" w:rsidRDefault="00A92D0B" w14:paraId="210DAD91" w14:textId="77777777">
            <w:pPr>
              <w:tabs>
                <w:tab w:val="left" w:pos="360"/>
              </w:tabs>
              <w:jc w:val="center"/>
              <w:rPr>
                <w:color w:val="000000"/>
              </w:rPr>
            </w:pPr>
          </w:p>
        </w:tc>
      </w:tr>
      <w:tr w:rsidRPr="007F620E" w:rsidR="00A92D0B" w:rsidTr="00504183" w14:paraId="4836EEA6" w14:textId="77777777">
        <w:tc>
          <w:tcPr>
            <w:tcW w:w="4817" w:type="dxa"/>
            <w:shd w:val="clear" w:color="auto" w:fill="auto"/>
          </w:tcPr>
          <w:p w:rsidRPr="007F620E" w:rsidR="00A92D0B" w:rsidP="00F028C8" w:rsidRDefault="00A92D0B" w14:paraId="34809C45" w14:textId="2501A8A3">
            <w:pPr>
              <w:tabs>
                <w:tab w:val="left" w:pos="360"/>
              </w:tabs>
              <w:ind w:left="360" w:hanging="360"/>
              <w:rPr>
                <w:color w:val="000000"/>
              </w:rPr>
            </w:pPr>
            <w:r w:rsidRPr="007F620E">
              <w:rPr>
                <w:color w:val="000000"/>
              </w:rPr>
              <w:t>3.</w:t>
            </w:r>
            <w:r w:rsidR="001E7EE2">
              <w:rPr>
                <w:color w:val="000000"/>
              </w:rPr>
              <w:tab/>
            </w:r>
            <w:r w:rsidRPr="007F620E">
              <w:rPr>
                <w:color w:val="000000"/>
              </w:rPr>
              <w:t xml:space="preserve">Date NOI </w:t>
            </w:r>
            <w:r w:rsidRPr="007F620E" w:rsidR="00A319DE">
              <w:rPr>
                <w:color w:val="000000"/>
              </w:rPr>
              <w:t>f</w:t>
            </w:r>
            <w:r w:rsidRPr="007F620E">
              <w:rPr>
                <w:color w:val="000000"/>
              </w:rPr>
              <w:t>iled:</w:t>
            </w:r>
          </w:p>
        </w:tc>
        <w:tc>
          <w:tcPr>
            <w:tcW w:w="2267" w:type="dxa"/>
            <w:tcBorders>
              <w:bottom w:val="single" w:color="auto" w:sz="4" w:space="0"/>
            </w:tcBorders>
            <w:shd w:val="clear" w:color="auto" w:fill="auto"/>
          </w:tcPr>
          <w:p w:rsidRPr="007F620E" w:rsidR="00A92D0B" w:rsidP="00187FA5" w:rsidRDefault="004855CC" w14:paraId="44F7CCB9" w14:textId="7362121C">
            <w:pPr>
              <w:keepNext/>
              <w:keepLines/>
              <w:tabs>
                <w:tab w:val="left" w:pos="360"/>
              </w:tabs>
              <w:ind w:left="360" w:hanging="360"/>
              <w:jc w:val="center"/>
              <w:rPr>
                <w:color w:val="000000"/>
              </w:rPr>
            </w:pPr>
            <w:r>
              <w:rPr>
                <w:color w:val="000000"/>
              </w:rPr>
              <w:t>10/15/2020</w:t>
            </w:r>
          </w:p>
        </w:tc>
        <w:tc>
          <w:tcPr>
            <w:tcW w:w="2276" w:type="dxa"/>
            <w:tcBorders>
              <w:bottom w:val="single" w:color="auto" w:sz="4" w:space="0"/>
            </w:tcBorders>
            <w:shd w:val="clear" w:color="auto" w:fill="auto"/>
          </w:tcPr>
          <w:p w:rsidRPr="007F620E" w:rsidR="00A92D0B" w:rsidP="00187FA5" w:rsidRDefault="00D13EC1" w14:paraId="71759DE3" w14:textId="4AE7A835">
            <w:pPr>
              <w:tabs>
                <w:tab w:val="left" w:pos="360"/>
              </w:tabs>
              <w:jc w:val="center"/>
              <w:rPr>
                <w:color w:val="000000"/>
              </w:rPr>
            </w:pPr>
            <w:r>
              <w:rPr>
                <w:color w:val="000000"/>
              </w:rPr>
              <w:t>Verified</w:t>
            </w:r>
          </w:p>
        </w:tc>
      </w:tr>
      <w:tr w:rsidRPr="007F620E" w:rsidR="00A92D0B" w:rsidTr="00F028C8"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lastRenderedPageBreak/>
              <w:t>4.</w:t>
            </w:r>
            <w:r w:rsidR="001E7EE2">
              <w:rPr>
                <w:color w:val="000000"/>
              </w:rPr>
              <w:tab/>
            </w:r>
            <w:r w:rsidRPr="007F620E">
              <w:rPr>
                <w:color w:val="000000"/>
              </w:rPr>
              <w:t>Was the NOI timely filed?</w:t>
            </w:r>
          </w:p>
        </w:tc>
        <w:tc>
          <w:tcPr>
            <w:tcW w:w="2276" w:type="dxa"/>
            <w:tcBorders>
              <w:bottom w:val="single" w:color="auto" w:sz="4" w:space="0"/>
            </w:tcBorders>
            <w:shd w:val="clear" w:color="auto" w:fill="auto"/>
          </w:tcPr>
          <w:p w:rsidRPr="007F620E" w:rsidR="00A92D0B" w:rsidP="00187FA5" w:rsidRDefault="00A06DED" w14:paraId="61DE2845" w14:textId="08C4C608">
            <w:pPr>
              <w:tabs>
                <w:tab w:val="left" w:pos="360"/>
              </w:tabs>
              <w:jc w:val="center"/>
              <w:rPr>
                <w:color w:val="000000"/>
              </w:rPr>
            </w:pPr>
            <w:r>
              <w:rPr>
                <w:color w:val="000000"/>
              </w:rPr>
              <w:t>Yes</w:t>
            </w:r>
          </w:p>
        </w:tc>
      </w:tr>
      <w:tr w:rsidRPr="007F620E"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A92D0B" w:rsidTr="00504183" w14:paraId="259EC227" w14:textId="77777777">
        <w:tc>
          <w:tcPr>
            <w:tcW w:w="4817" w:type="dxa"/>
            <w:tcBorders>
              <w:top w:val="single" w:color="auto" w:sz="4" w:space="0"/>
            </w:tcBorders>
            <w:shd w:val="clear" w:color="auto" w:fill="auto"/>
          </w:tcPr>
          <w:p w:rsidRPr="007F620E" w:rsidR="00A92D0B" w:rsidP="00F028C8" w:rsidRDefault="00A92D0B" w14:paraId="0EFCD0E9" w14:textId="1A5E3FBE">
            <w:pPr>
              <w:keepNext/>
              <w:keepLines/>
              <w:ind w:left="360" w:hanging="360"/>
              <w:rPr>
                <w:color w:val="000000"/>
              </w:rPr>
            </w:pPr>
            <w:r w:rsidRPr="007F620E">
              <w:rPr>
                <w:color w:val="000000"/>
              </w:rPr>
              <w:t>5.</w:t>
            </w:r>
            <w:r w:rsidR="001E7EE2">
              <w:rPr>
                <w:color w:val="000000"/>
              </w:rPr>
              <w:tab/>
            </w:r>
            <w:r w:rsidRPr="007F620E">
              <w:rPr>
                <w:color w:val="000000"/>
              </w:rPr>
              <w:t xml:space="preserve">Based on ALJ ruling issued in proceeding </w:t>
            </w:r>
            <w:r w:rsidRPr="007F620E" w:rsidR="00E3786F">
              <w:rPr>
                <w:color w:val="000000"/>
              </w:rPr>
              <w:t xml:space="preserve">  </w:t>
            </w:r>
            <w:r w:rsidRPr="007F620E">
              <w:rPr>
                <w:color w:val="000000"/>
              </w:rPr>
              <w:t>number:</w:t>
            </w:r>
          </w:p>
        </w:tc>
        <w:tc>
          <w:tcPr>
            <w:tcW w:w="2267" w:type="dxa"/>
            <w:tcBorders>
              <w:top w:val="single" w:color="auto" w:sz="4" w:space="0"/>
            </w:tcBorders>
            <w:shd w:val="clear" w:color="auto" w:fill="auto"/>
          </w:tcPr>
          <w:p w:rsidRPr="007F620E" w:rsidR="00A92D0B" w:rsidP="00187FA5" w:rsidRDefault="008E3884" w14:paraId="13E72B6D" w14:textId="1FA7DF53">
            <w:pPr>
              <w:keepNext/>
              <w:keepLines/>
              <w:tabs>
                <w:tab w:val="left" w:pos="360"/>
              </w:tabs>
              <w:ind w:left="360" w:hanging="360"/>
              <w:jc w:val="center"/>
              <w:rPr>
                <w:color w:val="000000"/>
              </w:rPr>
            </w:pPr>
            <w:r>
              <w:rPr>
                <w:color w:val="000000"/>
              </w:rPr>
              <w:t>R.18-12-005</w:t>
            </w:r>
          </w:p>
        </w:tc>
        <w:tc>
          <w:tcPr>
            <w:tcW w:w="2276" w:type="dxa"/>
            <w:tcBorders>
              <w:top w:val="single" w:color="auto" w:sz="4" w:space="0"/>
            </w:tcBorders>
            <w:shd w:val="clear" w:color="auto" w:fill="auto"/>
          </w:tcPr>
          <w:p w:rsidRPr="007F620E" w:rsidR="00A92D0B" w:rsidP="00187FA5" w:rsidRDefault="009B773A" w14:paraId="2679B197" w14:textId="5D3BB048">
            <w:pPr>
              <w:keepNext/>
              <w:keepLines/>
              <w:tabs>
                <w:tab w:val="left" w:pos="360"/>
              </w:tabs>
              <w:jc w:val="center"/>
              <w:rPr>
                <w:color w:val="000000"/>
              </w:rPr>
            </w:pPr>
            <w:r>
              <w:rPr>
                <w:color w:val="000000"/>
              </w:rPr>
              <w:t>Verified</w:t>
            </w:r>
          </w:p>
        </w:tc>
      </w:tr>
      <w:tr w:rsidRPr="007F620E" w:rsidR="00A92D0B" w:rsidTr="00504183" w14:paraId="4E0FB3B6" w14:textId="77777777">
        <w:tc>
          <w:tcPr>
            <w:tcW w:w="4817" w:type="dxa"/>
            <w:shd w:val="clear" w:color="auto" w:fill="auto"/>
          </w:tcPr>
          <w:p w:rsidRPr="007F620E" w:rsidR="00A92D0B" w:rsidP="00F028C8" w:rsidRDefault="00A92D0B" w14:paraId="568B12E8" w14:textId="6121FC05">
            <w:pPr>
              <w:tabs>
                <w:tab w:val="left" w:pos="360"/>
              </w:tabs>
              <w:ind w:left="360" w:hanging="360"/>
              <w:rPr>
                <w:color w:val="000000"/>
              </w:rPr>
            </w:pPr>
            <w:r w:rsidRPr="007F620E">
              <w:rPr>
                <w:color w:val="000000"/>
              </w:rPr>
              <w:t>6.</w:t>
            </w:r>
            <w:r w:rsidR="001E7EE2">
              <w:rPr>
                <w:color w:val="000000"/>
              </w:rPr>
              <w:tab/>
            </w:r>
            <w:r w:rsidRPr="007F620E">
              <w:rPr>
                <w:color w:val="000000"/>
              </w:rPr>
              <w:t>Date of ALJ ruling:</w:t>
            </w:r>
          </w:p>
        </w:tc>
        <w:tc>
          <w:tcPr>
            <w:tcW w:w="2267" w:type="dxa"/>
            <w:shd w:val="clear" w:color="auto" w:fill="auto"/>
          </w:tcPr>
          <w:p w:rsidRPr="007F620E" w:rsidR="00A92D0B" w:rsidP="00187FA5" w:rsidRDefault="001E795C" w14:paraId="306125B9" w14:textId="52FFBE26">
            <w:pPr>
              <w:tabs>
                <w:tab w:val="left" w:pos="360"/>
              </w:tabs>
              <w:ind w:left="360" w:hanging="360"/>
              <w:jc w:val="center"/>
              <w:rPr>
                <w:color w:val="000000"/>
              </w:rPr>
            </w:pPr>
            <w:r>
              <w:rPr>
                <w:color w:val="000000"/>
              </w:rPr>
              <w:t>04/</w:t>
            </w:r>
            <w:r w:rsidR="00EF0D58">
              <w:rPr>
                <w:color w:val="000000"/>
              </w:rPr>
              <w:t>27</w:t>
            </w:r>
            <w:r>
              <w:rPr>
                <w:color w:val="000000"/>
              </w:rPr>
              <w:t>/2020</w:t>
            </w:r>
          </w:p>
        </w:tc>
        <w:tc>
          <w:tcPr>
            <w:tcW w:w="2276" w:type="dxa"/>
            <w:shd w:val="clear" w:color="auto" w:fill="auto"/>
          </w:tcPr>
          <w:p w:rsidRPr="007F620E" w:rsidR="00A92D0B" w:rsidP="00F028C8" w:rsidRDefault="009F00EC" w14:paraId="19F10313" w14:textId="2DC332F5">
            <w:pPr>
              <w:tabs>
                <w:tab w:val="left" w:pos="360"/>
              </w:tabs>
              <w:rPr>
                <w:color w:val="000000"/>
              </w:rPr>
            </w:pPr>
            <w:r w:rsidRPr="009F00EC">
              <w:rPr>
                <w:color w:val="000000"/>
              </w:rPr>
              <w:t>Verified that a Ruling of April 17, 2019 made a preliminary finding of The Protect Our Communities Foundation’s (PC</w:t>
            </w:r>
            <w:r>
              <w:rPr>
                <w:color w:val="000000"/>
              </w:rPr>
              <w:t>F</w:t>
            </w:r>
            <w:r w:rsidRPr="009F00EC">
              <w:rPr>
                <w:color w:val="000000"/>
              </w:rPr>
              <w:t>) eligibility to claim intervenor compensation subject to providing additional information</w:t>
            </w:r>
            <w:r>
              <w:rPr>
                <w:color w:val="000000"/>
              </w:rPr>
              <w:t>.</w:t>
            </w:r>
            <w:r w:rsidR="00C1293A">
              <w:rPr>
                <w:color w:val="000000"/>
              </w:rPr>
              <w:t xml:space="preserve"> PCF subsequently filed additional information and t</w:t>
            </w:r>
            <w:r w:rsidRPr="008B0D0C" w:rsidR="008B0D0C">
              <w:rPr>
                <w:color w:val="000000"/>
              </w:rPr>
              <w:t xml:space="preserve">he finding of PCF’s eligibility was made in </w:t>
            </w:r>
            <w:r w:rsidRPr="0009556A" w:rsidR="0009556A">
              <w:rPr>
                <w:color w:val="000000"/>
              </w:rPr>
              <w:t>D.20-04</w:t>
            </w:r>
            <w:r w:rsidR="00242B66">
              <w:rPr>
                <w:color w:val="000000"/>
              </w:rPr>
              <w:t>-</w:t>
            </w:r>
            <w:r w:rsidRPr="0009556A" w:rsidR="0009556A">
              <w:rPr>
                <w:color w:val="000000"/>
              </w:rPr>
              <w:t>017</w:t>
            </w:r>
            <w:r w:rsidR="0009556A">
              <w:rPr>
                <w:color w:val="000000"/>
              </w:rPr>
              <w:t>,</w:t>
            </w:r>
            <w:r w:rsidR="00242B66">
              <w:rPr>
                <w:color w:val="000000"/>
              </w:rPr>
              <w:t xml:space="preserve"> </w:t>
            </w:r>
            <w:r w:rsidR="00896DA0">
              <w:rPr>
                <w:color w:val="000000"/>
              </w:rPr>
              <w:t>issued</w:t>
            </w:r>
            <w:r w:rsidR="00E3378B">
              <w:rPr>
                <w:color w:val="000000"/>
              </w:rPr>
              <w:t xml:space="preserve"> on</w:t>
            </w:r>
            <w:r w:rsidR="00242B66">
              <w:rPr>
                <w:color w:val="000000"/>
              </w:rPr>
              <w:t xml:space="preserve"> </w:t>
            </w:r>
            <w:r w:rsidR="00E3378B">
              <w:rPr>
                <w:color w:val="000000"/>
              </w:rPr>
              <w:t>04/27/2020</w:t>
            </w:r>
            <w:r w:rsidRPr="008B0D0C" w:rsidR="008B0D0C">
              <w:rPr>
                <w:color w:val="000000"/>
              </w:rPr>
              <w:t>.</w:t>
            </w:r>
          </w:p>
        </w:tc>
      </w:tr>
      <w:tr w:rsidRPr="007F620E" w:rsidR="00A92D0B" w:rsidTr="00504183" w14:paraId="7F6C1E54" w14:textId="77777777">
        <w:tc>
          <w:tcPr>
            <w:tcW w:w="4817" w:type="dxa"/>
            <w:shd w:val="clear" w:color="auto" w:fill="auto"/>
          </w:tcPr>
          <w:p w:rsidRPr="007F620E" w:rsidR="00A92D0B" w:rsidP="00F028C8" w:rsidRDefault="00A92D0B" w14:paraId="4B6E35B7" w14:textId="56E59D65">
            <w:pPr>
              <w:tabs>
                <w:tab w:val="left" w:pos="360"/>
              </w:tabs>
              <w:ind w:left="360" w:hanging="360"/>
              <w:rPr>
                <w:color w:val="000000"/>
              </w:rPr>
            </w:pPr>
            <w:r w:rsidRPr="007F620E">
              <w:rPr>
                <w:color w:val="000000"/>
              </w:rPr>
              <w:t>7.</w:t>
            </w:r>
            <w:r w:rsidR="001E7EE2">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A92D0B" w:rsidP="00187FA5" w:rsidRDefault="00B90B59" w14:paraId="5E0F9D32" w14:textId="146053A1">
            <w:pPr>
              <w:tabs>
                <w:tab w:val="left" w:pos="360"/>
              </w:tabs>
              <w:ind w:left="360" w:hanging="360"/>
              <w:jc w:val="center"/>
              <w:rPr>
                <w:color w:val="000000"/>
              </w:rPr>
            </w:pPr>
            <w:r>
              <w:rPr>
                <w:color w:val="000000"/>
              </w:rPr>
              <w:t>D.20-04-017</w:t>
            </w:r>
          </w:p>
        </w:tc>
        <w:tc>
          <w:tcPr>
            <w:tcW w:w="2276" w:type="dxa"/>
            <w:tcBorders>
              <w:bottom w:val="single" w:color="auto" w:sz="4" w:space="0"/>
            </w:tcBorders>
            <w:shd w:val="clear" w:color="auto" w:fill="auto"/>
          </w:tcPr>
          <w:p w:rsidRPr="007F620E" w:rsidR="00A92D0B" w:rsidP="00F028C8" w:rsidRDefault="008B0D0C" w14:paraId="180E80B3" w14:textId="7CA1CB99">
            <w:pPr>
              <w:tabs>
                <w:tab w:val="left" w:pos="360"/>
              </w:tabs>
              <w:rPr>
                <w:color w:val="000000"/>
              </w:rPr>
            </w:pPr>
            <w:r>
              <w:rPr>
                <w:color w:val="000000"/>
              </w:rPr>
              <w:t>Ver</w:t>
            </w:r>
            <w:r w:rsidR="00DC10DD">
              <w:rPr>
                <w:color w:val="000000"/>
              </w:rPr>
              <w:t>ified</w:t>
            </w:r>
            <w:r w:rsidR="001D2C79">
              <w:rPr>
                <w:color w:val="000000"/>
              </w:rPr>
              <w:t xml:space="preserve">; we note an independent analysis of </w:t>
            </w:r>
            <w:r w:rsidR="00017E3C">
              <w:rPr>
                <w:color w:val="000000"/>
              </w:rPr>
              <w:t xml:space="preserve">the </w:t>
            </w:r>
            <w:r w:rsidR="00FA1E4E">
              <w:rPr>
                <w:color w:val="000000"/>
              </w:rPr>
              <w:t xml:space="preserve">law and facts made the final determination of PCF’s </w:t>
            </w:r>
            <w:r w:rsidR="00F41A4E">
              <w:rPr>
                <w:color w:val="000000"/>
              </w:rPr>
              <w:t>eligibility</w:t>
            </w:r>
            <w:r w:rsidR="00FA1E4E">
              <w:rPr>
                <w:color w:val="000000"/>
              </w:rPr>
              <w:t xml:space="preserve"> pursuant to </w:t>
            </w:r>
            <w:r w:rsidRPr="00F41A4E" w:rsidR="00F41A4E">
              <w:rPr>
                <w:color w:val="000000"/>
              </w:rPr>
              <w:t>§1802(h)</w:t>
            </w:r>
            <w:r w:rsidR="00F41A4E">
              <w:rPr>
                <w:color w:val="000000"/>
              </w:rPr>
              <w:t>.</w:t>
            </w:r>
          </w:p>
        </w:tc>
      </w:tr>
      <w:tr w:rsidRPr="007F620E" w:rsidR="00A92D0B" w:rsidTr="00F028C8" w14:paraId="397CC4AD" w14:textId="77777777">
        <w:tc>
          <w:tcPr>
            <w:tcW w:w="7084" w:type="dxa"/>
            <w:gridSpan w:val="2"/>
            <w:tcBorders>
              <w:bottom w:val="single" w:color="auto" w:sz="4" w:space="0"/>
            </w:tcBorders>
            <w:shd w:val="clear" w:color="auto" w:fill="auto"/>
          </w:tcPr>
          <w:p w:rsidRPr="007F620E" w:rsidR="00A92D0B" w:rsidP="00F028C8" w:rsidRDefault="00A92D0B" w14:paraId="71D46B68" w14:textId="56857D2E">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Pr="007F620E" w:rsidR="005A63D4">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276" w:type="dxa"/>
            <w:tcBorders>
              <w:bottom w:val="single" w:color="auto" w:sz="4" w:space="0"/>
            </w:tcBorders>
            <w:shd w:val="clear" w:color="auto" w:fill="auto"/>
          </w:tcPr>
          <w:p w:rsidRPr="007F620E" w:rsidR="00A92D0B" w:rsidP="00187FA5" w:rsidRDefault="005266FD" w14:paraId="7D296E63" w14:textId="02FCEDC7">
            <w:pPr>
              <w:tabs>
                <w:tab w:val="left" w:pos="360"/>
              </w:tabs>
              <w:jc w:val="center"/>
              <w:rPr>
                <w:color w:val="000000"/>
              </w:rPr>
            </w:pPr>
            <w:r>
              <w:rPr>
                <w:color w:val="000000"/>
              </w:rPr>
              <w:t>Yes</w:t>
            </w:r>
          </w:p>
        </w:tc>
      </w:tr>
      <w:tr w:rsidRPr="007F620E" w:rsidR="00A92D0B"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F028C8" w:rsidRDefault="00A92D0B" w14:paraId="0291EC4E" w14:textId="77777777">
            <w:pPr>
              <w:keepNext/>
              <w:tabs>
                <w:tab w:val="left" w:pos="360"/>
              </w:tabs>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A92D0B" w:rsidTr="008B2BA9" w14:paraId="77F91856" w14:textId="77777777">
        <w:tc>
          <w:tcPr>
            <w:tcW w:w="4817" w:type="dxa"/>
            <w:tcBorders>
              <w:top w:val="single" w:color="auto" w:sz="4" w:space="0"/>
            </w:tcBorders>
            <w:shd w:val="clear" w:color="auto" w:fill="auto"/>
          </w:tcPr>
          <w:p w:rsidRPr="007F620E" w:rsidR="00A92D0B" w:rsidP="00F028C8" w:rsidRDefault="00A92D0B" w14:paraId="6506E60E" w14:textId="7F0FF6A0">
            <w:pPr>
              <w:tabs>
                <w:tab w:val="left" w:pos="315"/>
              </w:tabs>
              <w:ind w:left="360" w:hanging="360"/>
              <w:rPr>
                <w:color w:val="000000"/>
              </w:rPr>
            </w:pPr>
            <w:r w:rsidRPr="007F620E">
              <w:rPr>
                <w:color w:val="000000"/>
              </w:rPr>
              <w:t>9.</w:t>
            </w:r>
            <w:r w:rsidR="001E7EE2">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A92D0B" w:rsidP="00187FA5" w:rsidRDefault="000E6FE7" w14:paraId="54B4911C" w14:textId="5BA7C300">
            <w:pPr>
              <w:tabs>
                <w:tab w:val="left" w:pos="360"/>
              </w:tabs>
              <w:ind w:left="360" w:hanging="360"/>
              <w:jc w:val="center"/>
              <w:rPr>
                <w:color w:val="000000"/>
              </w:rPr>
            </w:pPr>
            <w:r>
              <w:rPr>
                <w:color w:val="000000"/>
              </w:rPr>
              <w:t>R.18-12-005</w:t>
            </w:r>
          </w:p>
        </w:tc>
        <w:tc>
          <w:tcPr>
            <w:tcW w:w="2276" w:type="dxa"/>
            <w:tcBorders>
              <w:top w:val="single" w:color="auto" w:sz="4" w:space="0"/>
            </w:tcBorders>
            <w:shd w:val="clear" w:color="auto" w:fill="auto"/>
          </w:tcPr>
          <w:p w:rsidRPr="007F620E" w:rsidR="00A92D0B" w:rsidP="00187FA5" w:rsidRDefault="006F51AA" w14:paraId="2E2FB9D6" w14:textId="5E9EA4FB">
            <w:pPr>
              <w:tabs>
                <w:tab w:val="left" w:pos="360"/>
              </w:tabs>
              <w:jc w:val="center"/>
              <w:rPr>
                <w:color w:val="000000"/>
              </w:rPr>
            </w:pPr>
            <w:r w:rsidRPr="006F51AA">
              <w:rPr>
                <w:color w:val="000000"/>
              </w:rPr>
              <w:t>Verified</w:t>
            </w:r>
          </w:p>
        </w:tc>
      </w:tr>
      <w:tr w:rsidRPr="007F620E" w:rsidR="00A92D0B" w:rsidTr="008B2BA9" w14:paraId="4AD750C1" w14:textId="77777777">
        <w:tc>
          <w:tcPr>
            <w:tcW w:w="4817" w:type="dxa"/>
            <w:shd w:val="clear" w:color="auto" w:fill="auto"/>
          </w:tcPr>
          <w:p w:rsidRPr="007F620E" w:rsidR="00A92D0B" w:rsidP="00F028C8" w:rsidRDefault="00A92D0B" w14:paraId="2A279407" w14:textId="1E831EEE">
            <w:pPr>
              <w:ind w:left="360" w:hanging="360"/>
              <w:rPr>
                <w:color w:val="000000"/>
              </w:rPr>
            </w:pPr>
            <w:r w:rsidRPr="007F620E">
              <w:rPr>
                <w:color w:val="000000"/>
              </w:rPr>
              <w:lastRenderedPageBreak/>
              <w:t>10.</w:t>
            </w:r>
            <w:r w:rsidR="001E7EE2">
              <w:rPr>
                <w:color w:val="000000"/>
              </w:rPr>
              <w:tab/>
            </w:r>
            <w:r w:rsidRPr="007F620E">
              <w:rPr>
                <w:color w:val="000000"/>
              </w:rPr>
              <w:t>Date of ALJ ruling:</w:t>
            </w:r>
          </w:p>
        </w:tc>
        <w:tc>
          <w:tcPr>
            <w:tcW w:w="2267" w:type="dxa"/>
            <w:shd w:val="clear" w:color="auto" w:fill="auto"/>
          </w:tcPr>
          <w:p w:rsidRPr="007F620E" w:rsidR="00A92D0B" w:rsidP="00187FA5" w:rsidRDefault="000E6FE7" w14:paraId="4B66A2E4" w14:textId="531066E2">
            <w:pPr>
              <w:tabs>
                <w:tab w:val="left" w:pos="360"/>
              </w:tabs>
              <w:ind w:left="360" w:hanging="360"/>
              <w:jc w:val="center"/>
              <w:rPr>
                <w:color w:val="000000"/>
              </w:rPr>
            </w:pPr>
            <w:r>
              <w:rPr>
                <w:color w:val="000000"/>
              </w:rPr>
              <w:t>04/</w:t>
            </w:r>
            <w:r w:rsidR="00EF0D58">
              <w:rPr>
                <w:color w:val="000000"/>
              </w:rPr>
              <w:t>27</w:t>
            </w:r>
            <w:r>
              <w:rPr>
                <w:color w:val="000000"/>
              </w:rPr>
              <w:t>/2020</w:t>
            </w:r>
          </w:p>
        </w:tc>
        <w:tc>
          <w:tcPr>
            <w:tcW w:w="2276" w:type="dxa"/>
            <w:shd w:val="clear" w:color="auto" w:fill="auto"/>
          </w:tcPr>
          <w:p w:rsidRPr="007F620E" w:rsidR="00A92D0B" w:rsidP="00F028C8" w:rsidRDefault="009F00EC" w14:paraId="3B83D035" w14:textId="7C0E20CD">
            <w:pPr>
              <w:tabs>
                <w:tab w:val="left" w:pos="360"/>
              </w:tabs>
              <w:rPr>
                <w:color w:val="000000"/>
              </w:rPr>
            </w:pPr>
            <w:r w:rsidRPr="009F00EC">
              <w:rPr>
                <w:color w:val="000000"/>
              </w:rPr>
              <w:t>Verified that a Ruling of April 17, 2019 made a preliminary finding of The Protect Our Communities Foundation’s (PC</w:t>
            </w:r>
            <w:r>
              <w:rPr>
                <w:color w:val="000000"/>
              </w:rPr>
              <w:t>F</w:t>
            </w:r>
            <w:r w:rsidRPr="009F00EC">
              <w:rPr>
                <w:color w:val="000000"/>
              </w:rPr>
              <w:t>) eligibility to claim intervenor compensation subject to providing additional information</w:t>
            </w:r>
            <w:r>
              <w:rPr>
                <w:color w:val="000000"/>
              </w:rPr>
              <w:t xml:space="preserve">. </w:t>
            </w:r>
            <w:r w:rsidR="00C1293A">
              <w:rPr>
                <w:color w:val="000000"/>
              </w:rPr>
              <w:t>PCF subsequently filed additional information and t</w:t>
            </w:r>
            <w:r w:rsidRPr="00DC10DD" w:rsidR="00DC10DD">
              <w:rPr>
                <w:color w:val="000000"/>
              </w:rPr>
              <w:t xml:space="preserve">he finding of PCF’s eligibility was made in </w:t>
            </w:r>
            <w:r w:rsidRPr="0009556A" w:rsidR="0009556A">
              <w:rPr>
                <w:color w:val="000000"/>
              </w:rPr>
              <w:t>D.20-04-017,</w:t>
            </w:r>
            <w:r w:rsidR="0009556A">
              <w:rPr>
                <w:color w:val="000000"/>
              </w:rPr>
              <w:t xml:space="preserve"> </w:t>
            </w:r>
            <w:r w:rsidRPr="00E3378B" w:rsidR="00E3378B">
              <w:rPr>
                <w:color w:val="000000"/>
              </w:rPr>
              <w:t>issued on 04/27/2020</w:t>
            </w:r>
            <w:r w:rsidRPr="00DC10DD" w:rsidR="00DC10DD">
              <w:rPr>
                <w:color w:val="000000"/>
              </w:rPr>
              <w:t>.</w:t>
            </w:r>
          </w:p>
        </w:tc>
      </w:tr>
      <w:tr w:rsidRPr="007F620E" w:rsidR="00357F1A" w:rsidTr="008B2BA9" w14:paraId="7C183C5E" w14:textId="77777777">
        <w:tc>
          <w:tcPr>
            <w:tcW w:w="4817" w:type="dxa"/>
            <w:shd w:val="clear" w:color="auto" w:fill="auto"/>
          </w:tcPr>
          <w:p w:rsidRPr="007F620E" w:rsidR="00357F1A" w:rsidP="00F028C8" w:rsidRDefault="00357F1A" w14:paraId="4141CB3D" w14:textId="2DCA8797">
            <w:pPr>
              <w:ind w:left="360" w:hanging="360"/>
              <w:rPr>
                <w:color w:val="000000"/>
              </w:rPr>
            </w:pPr>
            <w:r w:rsidRPr="007F620E">
              <w:rPr>
                <w:color w:val="000000"/>
              </w:rPr>
              <w:t>11.</w:t>
            </w:r>
            <w:r w:rsidR="001E7EE2">
              <w:rPr>
                <w:color w:val="000000"/>
              </w:rPr>
              <w:tab/>
            </w:r>
            <w:r w:rsidRPr="007F620E">
              <w:rPr>
                <w:color w:val="000000"/>
              </w:rPr>
              <w:t>Based on another CPUC determination (specify):</w:t>
            </w:r>
          </w:p>
        </w:tc>
        <w:tc>
          <w:tcPr>
            <w:tcW w:w="2267" w:type="dxa"/>
            <w:shd w:val="clear" w:color="auto" w:fill="auto"/>
          </w:tcPr>
          <w:p w:rsidRPr="007F620E" w:rsidR="00357F1A" w:rsidP="00187FA5" w:rsidRDefault="000E6FE7" w14:paraId="141EB5CF" w14:textId="0DFEC83F">
            <w:pPr>
              <w:tabs>
                <w:tab w:val="left" w:pos="360"/>
              </w:tabs>
              <w:ind w:left="360" w:hanging="360"/>
              <w:jc w:val="center"/>
              <w:rPr>
                <w:color w:val="000000"/>
              </w:rPr>
            </w:pPr>
            <w:r>
              <w:rPr>
                <w:color w:val="000000"/>
              </w:rPr>
              <w:t>D.20-04-017</w:t>
            </w:r>
          </w:p>
        </w:tc>
        <w:tc>
          <w:tcPr>
            <w:tcW w:w="2276" w:type="dxa"/>
            <w:shd w:val="clear" w:color="auto" w:fill="auto"/>
          </w:tcPr>
          <w:p w:rsidRPr="007F620E" w:rsidR="00357F1A" w:rsidP="00F028C8" w:rsidRDefault="001E056A" w14:paraId="79318715" w14:textId="153514B3">
            <w:pPr>
              <w:tabs>
                <w:tab w:val="left" w:pos="360"/>
              </w:tabs>
              <w:rPr>
                <w:color w:val="000000"/>
              </w:rPr>
            </w:pPr>
            <w:r w:rsidRPr="001E056A">
              <w:rPr>
                <w:color w:val="000000"/>
              </w:rPr>
              <w:t>Verified</w:t>
            </w:r>
            <w:r w:rsidRPr="00F41A4E" w:rsidR="00F41A4E">
              <w:rPr>
                <w:color w:val="000000"/>
              </w:rPr>
              <w:t xml:space="preserve">; we note an independent analysis of </w:t>
            </w:r>
            <w:r w:rsidR="00017E3C">
              <w:rPr>
                <w:color w:val="000000"/>
              </w:rPr>
              <w:t xml:space="preserve">the </w:t>
            </w:r>
            <w:r w:rsidRPr="00F41A4E" w:rsidR="00F41A4E">
              <w:rPr>
                <w:color w:val="000000"/>
              </w:rPr>
              <w:t>law and facts made the final determination of PCF’s eligibility pursuant to §1802(h)</w:t>
            </w:r>
            <w:r w:rsidR="00F41A4E">
              <w:rPr>
                <w:color w:val="000000"/>
              </w:rPr>
              <w:t>.</w:t>
            </w:r>
          </w:p>
        </w:tc>
      </w:tr>
      <w:tr w:rsidRPr="007F620E" w:rsidR="00A92D0B" w:rsidTr="00F028C8" w14:paraId="4E8D20BF" w14:textId="77777777">
        <w:tc>
          <w:tcPr>
            <w:tcW w:w="7084" w:type="dxa"/>
            <w:gridSpan w:val="2"/>
            <w:tcBorders>
              <w:bottom w:val="single" w:color="auto" w:sz="4" w:space="0"/>
            </w:tcBorders>
            <w:shd w:val="clear" w:color="auto" w:fill="auto"/>
          </w:tcPr>
          <w:p w:rsidRPr="007F620E" w:rsidR="00A92D0B" w:rsidP="00F028C8" w:rsidRDefault="00180E8C" w14:paraId="48D0D936" w14:textId="6A3DF8B8">
            <w:pPr>
              <w:tabs>
                <w:tab w:val="left" w:pos="360"/>
              </w:tabs>
              <w:ind w:left="360" w:hanging="360"/>
              <w:rPr>
                <w:color w:val="000000"/>
              </w:rPr>
            </w:pPr>
            <w:r>
              <w:rPr>
                <w:color w:val="000000"/>
              </w:rPr>
              <w:t>12</w:t>
            </w:r>
            <w:r w:rsidRPr="007F620E" w:rsidR="00A92D0B">
              <w:rPr>
                <w:color w:val="000000"/>
              </w:rPr>
              <w:t>.</w:t>
            </w:r>
            <w:r w:rsidR="001E7EE2">
              <w:rPr>
                <w:color w:val="000000"/>
              </w:rPr>
              <w:tab/>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276" w:type="dxa"/>
            <w:tcBorders>
              <w:bottom w:val="single" w:color="auto" w:sz="4" w:space="0"/>
            </w:tcBorders>
            <w:shd w:val="clear" w:color="auto" w:fill="auto"/>
          </w:tcPr>
          <w:p w:rsidRPr="007F620E" w:rsidR="00A92D0B" w:rsidP="00F028C8" w:rsidRDefault="001E056A" w14:paraId="0F29B839" w14:textId="3BDC6964">
            <w:pPr>
              <w:tabs>
                <w:tab w:val="left" w:pos="360"/>
              </w:tabs>
              <w:rPr>
                <w:color w:val="000000"/>
              </w:rPr>
            </w:pPr>
            <w:r>
              <w:rPr>
                <w:color w:val="000000"/>
              </w:rPr>
              <w:t>Yes</w:t>
            </w:r>
          </w:p>
        </w:tc>
      </w:tr>
      <w:tr w:rsidRPr="007F620E" w:rsidR="00A92D0B"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7056FC" w:rsidRDefault="00A92D0B" w14:paraId="172E2884" w14:textId="77777777">
            <w:pPr>
              <w:keepNext/>
              <w:tabs>
                <w:tab w:val="left" w:pos="360"/>
              </w:tabs>
              <w:jc w:val="center"/>
              <w:rPr>
                <w:color w:val="000000"/>
              </w:rPr>
            </w:pPr>
            <w:r w:rsidRPr="007F620E">
              <w:rPr>
                <w:b/>
                <w:color w:val="000000"/>
              </w:rPr>
              <w:t>Timely request for compensation (§ 1804(c)):</w:t>
            </w:r>
          </w:p>
        </w:tc>
      </w:tr>
      <w:tr w:rsidRPr="007F620E" w:rsidR="00A92D0B" w:rsidTr="004F2F3A" w14:paraId="3E7938B0" w14:textId="77777777">
        <w:tc>
          <w:tcPr>
            <w:tcW w:w="4817" w:type="dxa"/>
            <w:tcBorders>
              <w:top w:val="single" w:color="auto" w:sz="4" w:space="0"/>
            </w:tcBorders>
            <w:shd w:val="clear" w:color="auto" w:fill="auto"/>
          </w:tcPr>
          <w:p w:rsidRPr="007F620E" w:rsidR="00A92D0B" w:rsidP="00F028C8" w:rsidRDefault="00A92D0B" w14:paraId="66088F1B" w14:textId="2DB4A731">
            <w:pPr>
              <w:keepNext/>
              <w:tabs>
                <w:tab w:val="left" w:pos="612"/>
              </w:tabs>
              <w:ind w:left="360" w:hanging="360"/>
              <w:rPr>
                <w:color w:val="000000"/>
              </w:rPr>
            </w:pPr>
            <w:r w:rsidRPr="007F620E">
              <w:rPr>
                <w:color w:val="000000"/>
              </w:rPr>
              <w:t>13.</w:t>
            </w:r>
            <w:r w:rsidR="001E7EE2">
              <w:rPr>
                <w:color w:val="000000"/>
              </w:rPr>
              <w:tab/>
            </w:r>
            <w:r w:rsidRPr="007F620E">
              <w:rPr>
                <w:color w:val="000000"/>
              </w:rPr>
              <w:t>Identify Final Decision:</w:t>
            </w:r>
          </w:p>
        </w:tc>
        <w:tc>
          <w:tcPr>
            <w:tcW w:w="2267" w:type="dxa"/>
            <w:tcBorders>
              <w:top w:val="single" w:color="auto" w:sz="4" w:space="0"/>
            </w:tcBorders>
            <w:shd w:val="clear" w:color="auto" w:fill="auto"/>
          </w:tcPr>
          <w:p w:rsidRPr="007F620E" w:rsidR="00A92D0B" w:rsidP="00187FA5" w:rsidRDefault="00C64A85" w14:paraId="7166F318" w14:textId="2912C4A9">
            <w:pPr>
              <w:tabs>
                <w:tab w:val="left" w:pos="360"/>
              </w:tabs>
              <w:jc w:val="center"/>
              <w:rPr>
                <w:color w:val="000000"/>
              </w:rPr>
            </w:pPr>
            <w:r>
              <w:rPr>
                <w:color w:val="000000"/>
              </w:rPr>
              <w:t>D.24-05-056</w:t>
            </w:r>
          </w:p>
        </w:tc>
        <w:tc>
          <w:tcPr>
            <w:tcW w:w="2276" w:type="dxa"/>
            <w:tcBorders>
              <w:top w:val="single" w:color="auto" w:sz="4" w:space="0"/>
            </w:tcBorders>
            <w:shd w:val="clear" w:color="auto" w:fill="auto"/>
          </w:tcPr>
          <w:p w:rsidRPr="007F620E" w:rsidR="00A92D0B" w:rsidP="00187FA5" w:rsidRDefault="00055AC6" w14:paraId="1588DC54" w14:textId="1BFD43F3">
            <w:pPr>
              <w:tabs>
                <w:tab w:val="left" w:pos="360"/>
              </w:tabs>
              <w:jc w:val="center"/>
              <w:rPr>
                <w:color w:val="000000"/>
              </w:rPr>
            </w:pPr>
            <w:r w:rsidRPr="00055AC6">
              <w:rPr>
                <w:color w:val="000000"/>
              </w:rPr>
              <w:t>D.24-05-064</w:t>
            </w:r>
          </w:p>
        </w:tc>
      </w:tr>
      <w:tr w:rsidRPr="007F620E" w:rsidR="00A92D0B" w:rsidTr="004F2F3A" w14:paraId="6360DE59" w14:textId="77777777">
        <w:tc>
          <w:tcPr>
            <w:tcW w:w="4817" w:type="dxa"/>
            <w:shd w:val="clear" w:color="auto" w:fill="auto"/>
          </w:tcPr>
          <w:p w:rsidRPr="007F620E" w:rsidR="00A92D0B" w:rsidP="00F028C8" w:rsidRDefault="00A92D0B" w14:paraId="4B809E4A" w14:textId="4BEED0BB">
            <w:pPr>
              <w:tabs>
                <w:tab w:val="left" w:pos="612"/>
              </w:tabs>
              <w:ind w:left="360" w:hanging="360"/>
              <w:rPr>
                <w:color w:val="000000"/>
              </w:rPr>
            </w:pPr>
            <w:r w:rsidRPr="007F620E">
              <w:rPr>
                <w:color w:val="000000"/>
              </w:rPr>
              <w:t>14.</w:t>
            </w:r>
            <w:r w:rsidR="001E7EE2">
              <w:rPr>
                <w:color w:val="000000"/>
              </w:rPr>
              <w:tab/>
            </w:r>
            <w:r w:rsidRPr="007F620E">
              <w:rPr>
                <w:color w:val="000000"/>
              </w:rPr>
              <w:t xml:space="preserve">Date of </w:t>
            </w:r>
            <w:r w:rsidRPr="007F620E" w:rsidR="00A319DE">
              <w:rPr>
                <w:color w:val="000000"/>
              </w:rPr>
              <w:t>i</w:t>
            </w:r>
            <w:r w:rsidRPr="007F620E">
              <w:rPr>
                <w:color w:val="000000"/>
              </w:rPr>
              <w:t xml:space="preserve">ssuance of Final Order or Decision:    </w:t>
            </w:r>
          </w:p>
        </w:tc>
        <w:tc>
          <w:tcPr>
            <w:tcW w:w="2267" w:type="dxa"/>
            <w:shd w:val="clear" w:color="auto" w:fill="auto"/>
          </w:tcPr>
          <w:p w:rsidRPr="007F620E" w:rsidR="00A92D0B" w:rsidP="00187FA5" w:rsidRDefault="004625A4" w14:paraId="20455B5F" w14:textId="62A0F5E4">
            <w:pPr>
              <w:tabs>
                <w:tab w:val="left" w:pos="360"/>
              </w:tabs>
              <w:jc w:val="center"/>
              <w:rPr>
                <w:color w:val="000000"/>
              </w:rPr>
            </w:pPr>
            <w:r>
              <w:rPr>
                <w:color w:val="000000"/>
              </w:rPr>
              <w:t>6/06/2024</w:t>
            </w:r>
          </w:p>
        </w:tc>
        <w:tc>
          <w:tcPr>
            <w:tcW w:w="2276" w:type="dxa"/>
            <w:shd w:val="clear" w:color="auto" w:fill="auto"/>
          </w:tcPr>
          <w:p w:rsidRPr="007F620E" w:rsidR="00A92D0B" w:rsidP="00187FA5" w:rsidRDefault="004D3EF7" w14:paraId="1FCF00DD" w14:textId="43820BAD">
            <w:pPr>
              <w:tabs>
                <w:tab w:val="left" w:pos="360"/>
              </w:tabs>
              <w:jc w:val="center"/>
              <w:rPr>
                <w:color w:val="000000"/>
              </w:rPr>
            </w:pPr>
            <w:r>
              <w:rPr>
                <w:color w:val="000000"/>
              </w:rPr>
              <w:t>Verified</w:t>
            </w:r>
          </w:p>
        </w:tc>
      </w:tr>
      <w:tr w:rsidRPr="007F620E" w:rsidR="00A92D0B" w:rsidTr="004F2F3A" w14:paraId="723259E3" w14:textId="77777777">
        <w:tc>
          <w:tcPr>
            <w:tcW w:w="4817" w:type="dxa"/>
            <w:shd w:val="clear" w:color="auto" w:fill="auto"/>
          </w:tcPr>
          <w:p w:rsidRPr="007F620E" w:rsidR="00A92D0B" w:rsidP="00F028C8" w:rsidRDefault="00A92D0B" w14:paraId="163EE1CA" w14:textId="2B64EB9E">
            <w:pPr>
              <w:tabs>
                <w:tab w:val="left" w:pos="612"/>
              </w:tabs>
              <w:ind w:left="360" w:hanging="360"/>
              <w:rPr>
                <w:color w:val="000000"/>
              </w:rPr>
            </w:pPr>
            <w:r w:rsidRPr="007F620E">
              <w:rPr>
                <w:color w:val="000000"/>
              </w:rPr>
              <w:t>15.</w:t>
            </w:r>
            <w:r w:rsidR="001E7EE2">
              <w:rPr>
                <w:color w:val="000000"/>
              </w:rPr>
              <w:tab/>
            </w:r>
            <w:r w:rsidRPr="007F620E">
              <w:rPr>
                <w:color w:val="000000"/>
              </w:rPr>
              <w:t>File date of compensation request:</w:t>
            </w:r>
          </w:p>
        </w:tc>
        <w:tc>
          <w:tcPr>
            <w:tcW w:w="2267" w:type="dxa"/>
            <w:shd w:val="clear" w:color="auto" w:fill="auto"/>
          </w:tcPr>
          <w:p w:rsidRPr="007F620E" w:rsidR="00A92D0B" w:rsidP="00187FA5" w:rsidRDefault="004625A4" w14:paraId="0568B39D" w14:textId="540606DD">
            <w:pPr>
              <w:tabs>
                <w:tab w:val="left" w:pos="360"/>
              </w:tabs>
              <w:jc w:val="center"/>
              <w:rPr>
                <w:color w:val="000000"/>
              </w:rPr>
            </w:pPr>
            <w:r>
              <w:rPr>
                <w:color w:val="000000"/>
              </w:rPr>
              <w:t>8/05/2024</w:t>
            </w:r>
          </w:p>
        </w:tc>
        <w:tc>
          <w:tcPr>
            <w:tcW w:w="2276" w:type="dxa"/>
            <w:shd w:val="clear" w:color="auto" w:fill="auto"/>
          </w:tcPr>
          <w:p w:rsidRPr="007F620E" w:rsidR="00A92D0B" w:rsidP="00187FA5" w:rsidRDefault="006E1BB7" w14:paraId="1CBF4E7A" w14:textId="1F4617BF">
            <w:pPr>
              <w:tabs>
                <w:tab w:val="left" w:pos="360"/>
              </w:tabs>
              <w:jc w:val="center"/>
              <w:rPr>
                <w:color w:val="000000"/>
              </w:rPr>
            </w:pPr>
            <w:r>
              <w:rPr>
                <w:color w:val="000000"/>
              </w:rPr>
              <w:t>Verified</w:t>
            </w:r>
          </w:p>
        </w:tc>
      </w:tr>
      <w:tr w:rsidRPr="007F620E" w:rsidR="00A92D0B" w:rsidTr="00F028C8" w14:paraId="406BCA3A" w14:textId="77777777">
        <w:tc>
          <w:tcPr>
            <w:tcW w:w="7084" w:type="dxa"/>
            <w:gridSpan w:val="2"/>
            <w:shd w:val="clear" w:color="auto" w:fill="auto"/>
          </w:tcPr>
          <w:p w:rsidRPr="007F620E" w:rsidR="00A92D0B" w:rsidP="00F028C8" w:rsidRDefault="00A92D0B" w14:paraId="10AF42D1" w14:textId="67695104">
            <w:pPr>
              <w:tabs>
                <w:tab w:val="left" w:pos="360"/>
              </w:tabs>
              <w:ind w:left="360" w:hanging="360"/>
              <w:rPr>
                <w:color w:val="000000"/>
              </w:rPr>
            </w:pPr>
            <w:r w:rsidRPr="007F620E">
              <w:rPr>
                <w:color w:val="000000"/>
              </w:rPr>
              <w:t>16</w:t>
            </w:r>
            <w:r w:rsidR="001E7EE2">
              <w:rPr>
                <w:color w:val="000000"/>
              </w:rPr>
              <w:t>.</w:t>
            </w:r>
            <w:r w:rsidR="001E7EE2">
              <w:rPr>
                <w:color w:val="000000"/>
              </w:rPr>
              <w:tab/>
            </w:r>
            <w:r w:rsidRPr="007F620E">
              <w:rPr>
                <w:color w:val="000000"/>
              </w:rPr>
              <w:t>Was the request for compensation timely?</w:t>
            </w:r>
          </w:p>
        </w:tc>
        <w:tc>
          <w:tcPr>
            <w:tcW w:w="2276" w:type="dxa"/>
            <w:shd w:val="clear" w:color="auto" w:fill="auto"/>
          </w:tcPr>
          <w:p w:rsidRPr="007F620E" w:rsidR="00B4296F" w:rsidP="00187FA5" w:rsidRDefault="005A28E9" w14:paraId="2EA30E63" w14:textId="1D1ED228">
            <w:pPr>
              <w:tabs>
                <w:tab w:val="left" w:pos="360"/>
              </w:tabs>
              <w:jc w:val="center"/>
              <w:rPr>
                <w:color w:val="000000"/>
              </w:rPr>
            </w:pPr>
            <w:r>
              <w:rPr>
                <w:color w:val="000000"/>
              </w:rPr>
              <w:t>Yes</w:t>
            </w:r>
          </w:p>
        </w:tc>
      </w:tr>
    </w:tbl>
    <w:p w:rsidRPr="007F620E" w:rsidR="00A92D0B" w:rsidP="00880855" w:rsidRDefault="00A92D0B" w14:paraId="0068592B" w14:textId="743E2A13">
      <w:pPr>
        <w:keepNext/>
        <w:numPr>
          <w:ilvl w:val="0"/>
          <w:numId w:val="5"/>
        </w:numPr>
        <w:spacing w:before="240" w:after="240"/>
        <w:rPr>
          <w:b/>
          <w:color w:val="000000"/>
        </w:rPr>
      </w:pPr>
      <w:r w:rsidRPr="007F620E">
        <w:rPr>
          <w:b/>
          <w:color w:val="000000"/>
        </w:rPr>
        <w:lastRenderedPageBreak/>
        <w:t>Additional Comments on Part I</w:t>
      </w:r>
      <w:r w:rsidR="00C02649">
        <w:rPr>
          <w:b/>
          <w:color w:val="000000"/>
        </w:rPr>
        <w:t>:</w:t>
      </w:r>
      <w:r w:rsidRPr="007F620E">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7F620E"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4741"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A6731F" w:rsidTr="0090388B" w14:paraId="1C6180A4" w14:textId="77777777">
        <w:trPr>
          <w:trHeight w:val="67"/>
        </w:trPr>
        <w:tc>
          <w:tcPr>
            <w:tcW w:w="860" w:type="dxa"/>
            <w:shd w:val="clear" w:color="auto" w:fill="auto"/>
          </w:tcPr>
          <w:p w:rsidRPr="007F620E" w:rsidR="00A6731F" w:rsidP="00A6731F" w:rsidRDefault="00A6731F" w14:paraId="4350D384" w14:textId="1AEA0521">
            <w:pPr>
              <w:tabs>
                <w:tab w:val="left" w:pos="360"/>
              </w:tabs>
              <w:rPr>
                <w:color w:val="000000"/>
              </w:rPr>
            </w:pPr>
            <w:r>
              <w:rPr>
                <w:color w:val="000000"/>
              </w:rPr>
              <w:t>5-7</w:t>
            </w:r>
          </w:p>
        </w:tc>
        <w:tc>
          <w:tcPr>
            <w:tcW w:w="3759" w:type="dxa"/>
            <w:shd w:val="clear" w:color="auto" w:fill="auto"/>
          </w:tcPr>
          <w:p w:rsidRPr="004F6CEA" w:rsidR="00A6731F" w:rsidP="00A6731F" w:rsidRDefault="00A6731F" w14:paraId="4718CA18" w14:textId="77777777">
            <w:pPr>
              <w:tabs>
                <w:tab w:val="left" w:pos="360"/>
              </w:tabs>
              <w:rPr>
                <w:color w:val="000000"/>
              </w:rPr>
            </w:pPr>
            <w:r w:rsidRPr="004F6CEA">
              <w:rPr>
                <w:color w:val="000000"/>
              </w:rPr>
              <w:t xml:space="preserve">The Protect Our Communities Foundation (“PCF”) meets the definition of a Category 3 customer under the Public Utilities Code as a “representative of a group or organization authorized pursuant to its articles of incorporation or bylaws to represent the interests of residential customers…” (Pub. Util. Code § 1802, subd. (b)(1)(C).) Article 3, Section 3.3 of PCF’s Bylaws specifically authorizes the organization to represent the interests of Southern California residential utility ratepayers in proceedings before the Commission and to seek intervenor compensation for doing so. PCF advocates for just and reasonable rates and against unreasonably costly or unnecessary utility projects. PCF advocates for fair and reasonable energy practices, policies, rules, and laws, for the protection of natural resources from the impacts of largescale energy and industrial infrastructure projects, and in support of sustainable, clean, locally-based energy systems. PCF is a San Diego, California based nonprofit public benefit corporation organized for charitable and public purposes within the meaning of Section 501(c)(3) of the Internal Revenue Service Code. </w:t>
            </w:r>
          </w:p>
          <w:p w:rsidRPr="004F6CEA" w:rsidR="00A6731F" w:rsidP="00A6731F" w:rsidRDefault="00A6731F" w14:paraId="1D0DD143" w14:textId="77777777">
            <w:pPr>
              <w:tabs>
                <w:tab w:val="left" w:pos="360"/>
              </w:tabs>
              <w:rPr>
                <w:color w:val="000000"/>
              </w:rPr>
            </w:pPr>
          </w:p>
          <w:p w:rsidRPr="004F6CEA" w:rsidR="00A6731F" w:rsidP="00A6731F" w:rsidRDefault="00A6731F" w14:paraId="3621C950" w14:textId="77777777">
            <w:pPr>
              <w:tabs>
                <w:tab w:val="left" w:pos="360"/>
              </w:tabs>
              <w:rPr>
                <w:color w:val="000000"/>
              </w:rPr>
            </w:pPr>
            <w:r w:rsidRPr="004F6CEA">
              <w:rPr>
                <w:color w:val="000000"/>
              </w:rPr>
              <w:t>PCF also qualifies as an environmental group within the scope of Section 1802(b)(1)(C) because it represents the interests of customers with a concern for the environment.</w:t>
            </w:r>
          </w:p>
          <w:p w:rsidRPr="004F6CEA" w:rsidR="00A6731F" w:rsidP="00A6731F" w:rsidRDefault="00A6731F" w14:paraId="4934D0F6" w14:textId="77777777">
            <w:pPr>
              <w:tabs>
                <w:tab w:val="left" w:pos="360"/>
              </w:tabs>
              <w:rPr>
                <w:color w:val="000000"/>
              </w:rPr>
            </w:pPr>
          </w:p>
          <w:p w:rsidRPr="004F6CEA" w:rsidR="00A6731F" w:rsidP="00A6731F" w:rsidRDefault="00A6731F" w14:paraId="0A41517A" w14:textId="77777777">
            <w:pPr>
              <w:tabs>
                <w:tab w:val="left" w:pos="360"/>
              </w:tabs>
              <w:rPr>
                <w:color w:val="000000"/>
              </w:rPr>
            </w:pPr>
            <w:r w:rsidRPr="004F6CEA">
              <w:rPr>
                <w:color w:val="000000"/>
              </w:rPr>
              <w:lastRenderedPageBreak/>
              <w:t>A copy of PCF’s current Bylaws are on file with the Commission in R.13-12-010. In R.13- 12-010, PCF was found to have satisfied eligibility requirements in the September 26, 2014, Administrative Law Judge’s Ruling on Protect Our Communities Foundation’s Amended Showing of Significant Financial Hardship. A copy of PCF’s current Bylaws, as well as a copy of PCF’s current Articles of Incorporation, is also on file in A.15-09-013. In A.15-09-013, PCF was found to have satisfied eligibility requirements in D.19-04-031, Decision Granting Compensation to Protect Our Communities for Substantial Contribution to Decision 18-06-028 (April 25, 2019).</w:t>
            </w:r>
          </w:p>
          <w:p w:rsidRPr="007F620E" w:rsidR="00A6731F" w:rsidP="00A6731F" w:rsidRDefault="00A6731F" w14:paraId="0ECF4A98" w14:textId="77777777">
            <w:pPr>
              <w:tabs>
                <w:tab w:val="left" w:pos="360"/>
              </w:tabs>
              <w:rPr>
                <w:color w:val="000000"/>
              </w:rPr>
            </w:pPr>
          </w:p>
        </w:tc>
        <w:tc>
          <w:tcPr>
            <w:tcW w:w="4741" w:type="dxa"/>
            <w:shd w:val="clear" w:color="auto" w:fill="auto"/>
          </w:tcPr>
          <w:p w:rsidRPr="007F620E" w:rsidR="00A6731F" w:rsidP="00187FA5" w:rsidRDefault="002557D8" w14:paraId="416D6250" w14:textId="7D9BAAFB">
            <w:pPr>
              <w:tabs>
                <w:tab w:val="left" w:pos="360"/>
              </w:tabs>
              <w:jc w:val="center"/>
              <w:rPr>
                <w:color w:val="000000"/>
              </w:rPr>
            </w:pPr>
            <w:r>
              <w:rPr>
                <w:color w:val="000000"/>
              </w:rPr>
              <w:lastRenderedPageBreak/>
              <w:t>Noted</w:t>
            </w:r>
          </w:p>
        </w:tc>
      </w:tr>
      <w:tr w:rsidRPr="007F620E" w:rsidR="00A6731F" w:rsidTr="0090388B" w14:paraId="289F17C7" w14:textId="77777777">
        <w:trPr>
          <w:trHeight w:val="359"/>
        </w:trPr>
        <w:tc>
          <w:tcPr>
            <w:tcW w:w="860" w:type="dxa"/>
            <w:shd w:val="clear" w:color="auto" w:fill="auto"/>
          </w:tcPr>
          <w:p w:rsidRPr="007F620E" w:rsidR="00A6731F" w:rsidP="00A6731F" w:rsidRDefault="008A0F9E" w14:paraId="6390C46E" w14:textId="60E65DDA">
            <w:pPr>
              <w:tabs>
                <w:tab w:val="left" w:pos="360"/>
              </w:tabs>
              <w:rPr>
                <w:color w:val="000000"/>
              </w:rPr>
            </w:pPr>
            <w:r>
              <w:rPr>
                <w:color w:val="000000"/>
              </w:rPr>
              <w:t>9-11</w:t>
            </w:r>
          </w:p>
        </w:tc>
        <w:tc>
          <w:tcPr>
            <w:tcW w:w="3759" w:type="dxa"/>
            <w:shd w:val="clear" w:color="auto" w:fill="auto"/>
          </w:tcPr>
          <w:p w:rsidRPr="004729EF" w:rsidR="004729EF" w:rsidP="004729EF" w:rsidRDefault="004729EF" w14:paraId="131F3F39" w14:textId="77777777">
            <w:pPr>
              <w:tabs>
                <w:tab w:val="left" w:pos="360"/>
              </w:tabs>
              <w:rPr>
                <w:color w:val="000000"/>
              </w:rPr>
            </w:pPr>
            <w:r w:rsidRPr="004729EF">
              <w:rPr>
                <w:color w:val="000000"/>
              </w:rPr>
              <w:t xml:space="preserve">PCF continues to meet the Commission’s longstanding definition of significant financial hardship. PCF is a nonprofit public benefit corporation organized exclusively for charitable, educational and public purposes within the meaning of Section 501(c)(3) of the Internal Revenue Code. PCF represents the interests of a specific constituency: San Diego and other Southern California area residential utility ratepayers, the majority of whom do not have the financial ability to represent themselves and whose interests are often not adequately represented in Commission proceedings. Although PCF’s constituents’ rates are among the highest in the nation, the rates for any one household remains small when compared to the resources </w:t>
            </w:r>
            <w:r w:rsidRPr="004729EF">
              <w:rPr>
                <w:color w:val="000000"/>
              </w:rPr>
              <w:lastRenderedPageBreak/>
              <w:t xml:space="preserve">necessary to participate effectively before this Commission. Pursuant to Public Utilities Code section 1802(h), PCF certifies that the economic interest in the proceeding of any individual PCF constituent is small compared to the cost of effective participation in this proceeding. </w:t>
            </w:r>
          </w:p>
          <w:p w:rsidRPr="004729EF" w:rsidR="004729EF" w:rsidP="004729EF" w:rsidRDefault="004729EF" w14:paraId="30C92BF9" w14:textId="77777777">
            <w:pPr>
              <w:tabs>
                <w:tab w:val="left" w:pos="360"/>
              </w:tabs>
              <w:rPr>
                <w:color w:val="000000"/>
              </w:rPr>
            </w:pPr>
          </w:p>
          <w:p w:rsidRPr="004729EF" w:rsidR="004729EF" w:rsidP="004729EF" w:rsidRDefault="004729EF" w14:paraId="30A8C720" w14:textId="77777777">
            <w:pPr>
              <w:tabs>
                <w:tab w:val="left" w:pos="360"/>
              </w:tabs>
              <w:rPr>
                <w:color w:val="000000"/>
              </w:rPr>
            </w:pPr>
            <w:r w:rsidRPr="004729EF">
              <w:rPr>
                <w:color w:val="000000"/>
              </w:rPr>
              <w:t>Moreover, the Commission has repeatedly determined that PCF’s participation without an award of intervenor compensation imposes a significant financial hardship, including in proceeding A.21-05-011/014 on October 28, 2021. PCF's circumstances have not changed in any relevant respect since the above determination was made. Pub. Util. Code, § 1803, subd. (b)(1) (“A finding of significant financial hardship shall create a rebuttable presumption of eligibility for compensation in other commission proceedings commencing within one year of the date of that finding.”).</w:t>
            </w:r>
          </w:p>
          <w:p w:rsidRPr="007F620E" w:rsidR="00A6731F" w:rsidP="00A6731F" w:rsidRDefault="00A6731F" w14:paraId="43CC9A49" w14:textId="77777777">
            <w:pPr>
              <w:tabs>
                <w:tab w:val="left" w:pos="360"/>
              </w:tabs>
              <w:rPr>
                <w:color w:val="000000"/>
              </w:rPr>
            </w:pPr>
          </w:p>
        </w:tc>
        <w:tc>
          <w:tcPr>
            <w:tcW w:w="4741" w:type="dxa"/>
            <w:shd w:val="clear" w:color="auto" w:fill="auto"/>
          </w:tcPr>
          <w:p w:rsidRPr="007F620E" w:rsidR="00A6731F" w:rsidP="00187FA5" w:rsidRDefault="00690A3F" w14:paraId="1B47B2B2" w14:textId="0AB2D6C8">
            <w:pPr>
              <w:tabs>
                <w:tab w:val="left" w:pos="360"/>
              </w:tabs>
              <w:jc w:val="center"/>
              <w:rPr>
                <w:color w:val="000000"/>
              </w:rPr>
            </w:pPr>
            <w:r>
              <w:rPr>
                <w:color w:val="000000"/>
              </w:rPr>
              <w:lastRenderedPageBreak/>
              <w:t>Noted</w:t>
            </w:r>
          </w:p>
        </w:tc>
      </w:tr>
    </w:tbl>
    <w:p w:rsidR="003B6A1B" w:rsidP="0057088A" w:rsidRDefault="00A92D0B" w14:paraId="501B5F3D" w14:textId="65F24E1D">
      <w:pPr>
        <w:keepNext/>
        <w:spacing w:before="480"/>
        <w:jc w:val="center"/>
        <w:rPr>
          <w:b/>
          <w:color w:val="000000"/>
        </w:rPr>
      </w:pPr>
      <w:r w:rsidRPr="007F620E">
        <w:rPr>
          <w:b/>
          <w:color w:val="000000"/>
        </w:rPr>
        <w:t>PART II:</w:t>
      </w:r>
      <w:r w:rsidR="00D1778A">
        <w:rPr>
          <w:b/>
          <w:color w:val="000000"/>
        </w:rPr>
        <w:t xml:space="preserve">  </w:t>
      </w:r>
      <w:r w:rsidRPr="007F620E">
        <w:rPr>
          <w:b/>
          <w:color w:val="000000"/>
        </w:rPr>
        <w:t>SUBSTANTIAL CONTRIBUTION</w:t>
      </w:r>
    </w:p>
    <w:p w:rsidR="00046B63" w:rsidP="0090388B" w:rsidRDefault="00046B63" w14:paraId="4738290D" w14:textId="77777777">
      <w:pPr>
        <w:rPr>
          <w:b/>
          <w:i/>
          <w:color w:val="000000"/>
          <w:u w:val="single"/>
        </w:rPr>
      </w:pPr>
    </w:p>
    <w:p w:rsidRPr="00F56554" w:rsidR="0090336B" w:rsidP="0090336B" w:rsidRDefault="00046B63" w14:paraId="3D118A82" w14:textId="07B72C6E">
      <w:pPr>
        <w:pStyle w:val="ListParagraph"/>
        <w:numPr>
          <w:ilvl w:val="0"/>
          <w:numId w:val="11"/>
        </w:numPr>
        <w:rPr>
          <w:rFonts w:ascii="Times New Roman" w:hAnsi="Times New Roman"/>
          <w:color w:val="000000"/>
          <w:sz w:val="24"/>
          <w:szCs w:val="24"/>
        </w:rPr>
      </w:pPr>
      <w:r w:rsidRPr="00046B63">
        <w:rPr>
          <w:rFonts w:ascii="Times New Roman" w:hAnsi="Times New Roman"/>
          <w:b/>
          <w:color w:val="000000"/>
          <w:sz w:val="24"/>
          <w:szCs w:val="24"/>
        </w:rPr>
        <w:t>Did the Intervenor substantially contribute to the final decision (</w:t>
      </w:r>
      <w:r w:rsidRPr="00046B63">
        <w:rPr>
          <w:rFonts w:ascii="Times New Roman" w:hAnsi="Times New Roman"/>
          <w:b/>
          <w:i/>
          <w:color w:val="000000"/>
          <w:sz w:val="24"/>
          <w:szCs w:val="24"/>
        </w:rPr>
        <w:t>see</w:t>
      </w:r>
      <w:r w:rsidRPr="00046B63">
        <w:rPr>
          <w:rFonts w:ascii="Times New Roman" w:hAnsi="Times New Roman"/>
          <w:b/>
          <w:color w:val="000000"/>
          <w:sz w:val="24"/>
          <w:szCs w:val="24"/>
        </w:rPr>
        <w:t xml:space="preserve"> § 1802(j), </w:t>
      </w:r>
      <w:r w:rsidRPr="00046B63">
        <w:rPr>
          <w:rFonts w:ascii="Times New Roman" w:hAnsi="Times New Roman"/>
          <w:b/>
          <w:color w:val="000000"/>
          <w:sz w:val="24"/>
          <w:szCs w:val="24"/>
        </w:rPr>
        <w:br/>
        <w:t>§ 1803(a), 1803.1(a) and D.98-04-059):</w:t>
      </w:r>
    </w:p>
    <w:p w:rsidRPr="00BC64BA" w:rsidR="00F56554" w:rsidP="00F56554" w:rsidRDefault="00F56554" w14:paraId="764C8523" w14:textId="77777777">
      <w:pPr>
        <w:pStyle w:val="ListParagraph"/>
        <w:rPr>
          <w:rFonts w:ascii="Times New Roman" w:hAnsi="Times New Roman"/>
          <w:color w:val="000000"/>
          <w:sz w:val="24"/>
          <w:szCs w:val="24"/>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258"/>
        <w:gridCol w:w="4140"/>
        <w:gridCol w:w="2340"/>
      </w:tblGrid>
      <w:tr w:rsidRPr="007F620E" w:rsidR="00A92D0B" w:rsidTr="00BC64BA" w14:paraId="67755362" w14:textId="77777777">
        <w:tc>
          <w:tcPr>
            <w:tcW w:w="3258" w:type="dxa"/>
            <w:tcBorders>
              <w:bottom w:val="single" w:color="auto" w:sz="4" w:space="0"/>
            </w:tcBorders>
            <w:shd w:val="pct12" w:color="auto" w:fill="auto"/>
            <w:vAlign w:val="bottom"/>
          </w:tcPr>
          <w:p w:rsidRPr="007F620E" w:rsidR="00A92D0B" w:rsidP="00073262" w:rsidRDefault="00D075B1" w14:paraId="7CE2E5BB" w14:textId="77777777">
            <w:pPr>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vAlign w:val="bottom"/>
          </w:tcPr>
          <w:p w:rsidRPr="007F620E" w:rsidR="00A92D0B" w:rsidP="00073262" w:rsidRDefault="00A92D0B" w14:paraId="2794272E" w14:textId="77777777">
            <w:pPr>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pct12" w:color="auto" w:fill="auto"/>
            <w:vAlign w:val="bottom"/>
          </w:tcPr>
          <w:p w:rsidRPr="007F620E" w:rsidR="00A92D0B" w:rsidP="00073262" w:rsidRDefault="00D075B1" w14:paraId="79AFC714" w14:textId="77777777">
            <w:pPr>
              <w:jc w:val="center"/>
              <w:rPr>
                <w:b/>
                <w:color w:val="000000"/>
              </w:rPr>
            </w:pPr>
            <w:r w:rsidRPr="007F620E">
              <w:rPr>
                <w:b/>
                <w:color w:val="000000"/>
              </w:rPr>
              <w:t>CPUC Discussion</w:t>
            </w:r>
          </w:p>
        </w:tc>
      </w:tr>
      <w:tr w:rsidRPr="007F620E" w:rsidR="00A92D0B" w:rsidTr="00BC64BA" w14:paraId="2E691FFC" w14:textId="77777777">
        <w:tc>
          <w:tcPr>
            <w:tcW w:w="3258" w:type="dxa"/>
            <w:shd w:val="clear" w:color="auto" w:fill="auto"/>
          </w:tcPr>
          <w:p w:rsidRPr="006A1955" w:rsidR="006A1955" w:rsidP="006A1955" w:rsidRDefault="006A1955" w14:paraId="36C60711" w14:textId="6D1BC3A3">
            <w:pPr>
              <w:rPr>
                <w:b/>
                <w:bCs/>
                <w:color w:val="000000"/>
                <w:u w:val="single"/>
              </w:rPr>
            </w:pPr>
            <w:r w:rsidRPr="006A1955">
              <w:rPr>
                <w:b/>
                <w:bCs/>
                <w:color w:val="000000"/>
                <w:u w:val="single"/>
              </w:rPr>
              <w:t xml:space="preserve">The Commission adopted </w:t>
            </w:r>
            <w:r w:rsidR="004213F9">
              <w:rPr>
                <w:b/>
                <w:bCs/>
                <w:color w:val="000000"/>
                <w:u w:val="single"/>
              </w:rPr>
              <w:t xml:space="preserve">PCF’s recommendation to </w:t>
            </w:r>
            <w:r w:rsidRPr="006A1955">
              <w:rPr>
                <w:b/>
                <w:bCs/>
                <w:color w:val="000000"/>
                <w:u w:val="single"/>
              </w:rPr>
              <w:t>require the Utilities to present annual cost-benefit ratios (CBR) in each GRC post-test year.</w:t>
            </w:r>
          </w:p>
          <w:p w:rsidRPr="006A1955" w:rsidR="006A1955" w:rsidP="006A1955" w:rsidRDefault="006A1955" w14:paraId="6609DB6F" w14:textId="77777777">
            <w:pPr>
              <w:rPr>
                <w:b/>
                <w:bCs/>
                <w:color w:val="000000"/>
                <w:u w:val="single"/>
              </w:rPr>
            </w:pPr>
          </w:p>
          <w:p w:rsidRPr="006A1955" w:rsidR="006A1955" w:rsidP="006A1955" w:rsidRDefault="006A1955" w14:paraId="23341D5F" w14:textId="54D43D9C">
            <w:pPr>
              <w:rPr>
                <w:color w:val="000000"/>
              </w:rPr>
            </w:pPr>
            <w:r w:rsidRPr="006A1955">
              <w:rPr>
                <w:color w:val="000000"/>
              </w:rPr>
              <w:t>In D.24-05-064, the Commission adopted the requirement that the Utilities must provide CBRs in post-test years for all controls and mitigations, as PCF recommended. PCF provided detailed analysis establishing the need for the Commission to standardize post-test year analysis and to require more granular post-test year analysis that will allow the commission to trace programs from the RAMP to the GRC to the RSAR</w:t>
            </w:r>
            <w:r w:rsidR="0070459B">
              <w:rPr>
                <w:color w:val="000000"/>
              </w:rPr>
              <w:t xml:space="preserve">. PCF </w:t>
            </w:r>
            <w:r w:rsidRPr="006A1955">
              <w:rPr>
                <w:color w:val="000000"/>
              </w:rPr>
              <w:t>demonstrat</w:t>
            </w:r>
            <w:r w:rsidR="0070459B">
              <w:rPr>
                <w:color w:val="000000"/>
              </w:rPr>
              <w:t>ed</w:t>
            </w:r>
            <w:r w:rsidRPr="006A1955">
              <w:rPr>
                <w:color w:val="000000"/>
              </w:rPr>
              <w:t xml:space="preserve"> in comments that Utilities’ post-test year analysis were inconsistent and had not been compliant with Risk-Based Decision-Making Framework (RDF) mandates The Commission’s adopted requirement will allow for parties to trace programs throughout the RDF cycle as</w:t>
            </w:r>
            <w:r w:rsidR="0070459B">
              <w:rPr>
                <w:color w:val="000000"/>
              </w:rPr>
              <w:t xml:space="preserve"> the RDF has long required and as</w:t>
            </w:r>
            <w:r w:rsidRPr="006A1955">
              <w:rPr>
                <w:color w:val="000000"/>
              </w:rPr>
              <w:t xml:space="preserve"> PCF recommended.</w:t>
            </w:r>
          </w:p>
          <w:p w:rsidRPr="007F620E" w:rsidR="00E25078" w:rsidP="00073262" w:rsidRDefault="00E25078" w14:paraId="1B0CC007" w14:textId="77777777">
            <w:pPr>
              <w:rPr>
                <w:color w:val="000000"/>
              </w:rPr>
            </w:pPr>
          </w:p>
        </w:tc>
        <w:tc>
          <w:tcPr>
            <w:tcW w:w="4140" w:type="dxa"/>
            <w:shd w:val="clear" w:color="auto" w:fill="auto"/>
          </w:tcPr>
          <w:p w:rsidRPr="00E34D5E" w:rsidR="00E34D5E" w:rsidP="00E34D5E" w:rsidRDefault="00E34D5E" w14:paraId="22C04CFA" w14:textId="77777777">
            <w:pPr>
              <w:rPr>
                <w:color w:val="000000"/>
              </w:rPr>
            </w:pPr>
            <w:r w:rsidRPr="00E34D5E">
              <w:rPr>
                <w:color w:val="000000"/>
              </w:rPr>
              <w:lastRenderedPageBreak/>
              <w:t>“We adopt a new RDF requirement that the IOUs must present CBRs for each GRC post-test year… Parties generally supported this requirement, and it will add transparency and aid in decision making.” D.24-05-64, p. 14.</w:t>
            </w:r>
          </w:p>
          <w:p w:rsidRPr="00E34D5E" w:rsidR="00E34D5E" w:rsidP="00E34D5E" w:rsidRDefault="00E34D5E" w14:paraId="4655E577" w14:textId="77777777">
            <w:pPr>
              <w:rPr>
                <w:i/>
                <w:iCs/>
                <w:color w:val="000000"/>
              </w:rPr>
            </w:pPr>
          </w:p>
          <w:p w:rsidRPr="00E34D5E" w:rsidR="00E34D5E" w:rsidP="00E34D5E" w:rsidRDefault="00E34D5E" w14:paraId="6850ED7B" w14:textId="77777777">
            <w:pPr>
              <w:rPr>
                <w:color w:val="000000"/>
              </w:rPr>
            </w:pPr>
            <w:r w:rsidRPr="00E34D5E">
              <w:rPr>
                <w:color w:val="000000"/>
              </w:rPr>
              <w:t>“The Commission should adopt a new ‘Row 26’ to add language to the RDF included in Appendix A of D.22-12-027 as follows: GRC Post-Test Year Reporting: All Controls and Mitigation programs must include CBRs in each of the GRC post-test years and by Tranche.” D.24-05-064, p. 117 (Conclusion of Law 2).</w:t>
            </w:r>
          </w:p>
          <w:p w:rsidRPr="00E34D5E" w:rsidR="00E34D5E" w:rsidP="00E34D5E" w:rsidRDefault="00E34D5E" w14:paraId="03B36D11" w14:textId="77777777">
            <w:pPr>
              <w:rPr>
                <w:color w:val="000000"/>
              </w:rPr>
            </w:pPr>
          </w:p>
          <w:p w:rsidRPr="00E34D5E" w:rsidR="00E34D5E" w:rsidP="00E34D5E" w:rsidRDefault="00E34D5E" w14:paraId="156BCF70" w14:textId="77777777">
            <w:pPr>
              <w:rPr>
                <w:color w:val="000000"/>
              </w:rPr>
            </w:pPr>
            <w:r w:rsidRPr="00E34D5E">
              <w:rPr>
                <w:color w:val="000000"/>
              </w:rPr>
              <w:t>“Parties expressed a range of views regarding SPD’s tranche granularity proposal for post-test year purposes.” D.24-05-064, p. 14.</w:t>
            </w:r>
          </w:p>
          <w:p w:rsidRPr="00E34D5E" w:rsidR="00E34D5E" w:rsidP="00E34D5E" w:rsidRDefault="00E34D5E" w14:paraId="6401C03F" w14:textId="77777777">
            <w:pPr>
              <w:rPr>
                <w:color w:val="000000"/>
              </w:rPr>
            </w:pPr>
          </w:p>
          <w:p w:rsidRPr="00E34D5E" w:rsidR="00E34D5E" w:rsidP="00E34D5E" w:rsidRDefault="00E34D5E" w14:paraId="32391272" w14:textId="03AA244C">
            <w:pPr>
              <w:rPr>
                <w:color w:val="000000"/>
              </w:rPr>
            </w:pPr>
            <w:r w:rsidRPr="00E34D5E">
              <w:rPr>
                <w:color w:val="000000"/>
              </w:rPr>
              <w:t>PCF Reply Comments on Phase 3 Roadmap (April 3, 2023</w:t>
            </w:r>
            <w:r w:rsidR="00124122">
              <w:rPr>
                <w:rStyle w:val="FootnoteReference"/>
                <w:color w:val="000000"/>
              </w:rPr>
              <w:footnoteReference w:id="3"/>
            </w:r>
            <w:r w:rsidRPr="00E34D5E">
              <w:rPr>
                <w:color w:val="000000"/>
              </w:rPr>
              <w:t>), p. 5-6 (“SDG&amp;E and SoCalGas continue to flout the fundamental RDF requirement that programs be traceable from the RAMP to the GRC to the RSAR… although three years ago the Energy Division recognized that SDG&amp;E and SoCalGas must begin to reference programs and projects in order to allow for meaningful tracking throughout the GRC cycle, the difficulties tracking programs and projects over time with respect to SDG&amp;E and SoCalGas persist”).</w:t>
            </w:r>
          </w:p>
          <w:p w:rsidRPr="00E34D5E" w:rsidR="00E34D5E" w:rsidP="00E34D5E" w:rsidRDefault="00E34D5E" w14:paraId="528565EC" w14:textId="77777777">
            <w:pPr>
              <w:rPr>
                <w:color w:val="000000"/>
              </w:rPr>
            </w:pPr>
          </w:p>
          <w:p w:rsidRPr="008D474B" w:rsidR="00494451" w:rsidP="00073262" w:rsidRDefault="00E34D5E" w14:paraId="532F95D2" w14:textId="31B0514E">
            <w:pPr>
              <w:rPr>
                <w:color w:val="000000"/>
              </w:rPr>
            </w:pPr>
            <w:r w:rsidRPr="00E34D5E">
              <w:rPr>
                <w:color w:val="000000"/>
              </w:rPr>
              <w:t>PCF Comments on Workshop #1 (August 10, 2023), p. 2-4 (“The Commission has been clear that risk reduction programs should be traceable from the RAMP to the GRC to the RSAR ‘on a project-by-project’ basis since the Commission first established the RDF, with greater transparency required in 2020”)</w:t>
            </w:r>
            <w:r w:rsidR="008D474B">
              <w:rPr>
                <w:color w:val="000000"/>
              </w:rPr>
              <w:t xml:space="preserve">; </w:t>
            </w:r>
            <w:r w:rsidR="008D474B">
              <w:rPr>
                <w:i/>
                <w:iCs/>
                <w:color w:val="000000"/>
              </w:rPr>
              <w:t>see also</w:t>
            </w:r>
            <w:r w:rsidR="008D474B">
              <w:rPr>
                <w:color w:val="000000"/>
              </w:rPr>
              <w:t xml:space="preserve">, D.24-05-064, p. </w:t>
            </w:r>
            <w:r w:rsidR="00B07F77">
              <w:rPr>
                <w:color w:val="000000"/>
              </w:rPr>
              <w:t xml:space="preserve">6 </w:t>
            </w:r>
            <w:r w:rsidR="007E348B">
              <w:rPr>
                <w:color w:val="000000"/>
              </w:rPr>
              <w:t>(“</w:t>
            </w:r>
            <w:r w:rsidR="00B07F77">
              <w:rPr>
                <w:color w:val="000000"/>
              </w:rPr>
              <w:t xml:space="preserve">the Protect Our Communities Foundation (PCF)…filed comments </w:t>
            </w:r>
            <w:r w:rsidR="00B07F77">
              <w:rPr>
                <w:color w:val="000000"/>
              </w:rPr>
              <w:lastRenderedPageBreak/>
              <w:t>regarding workshop #1 and the SPD proposal”).</w:t>
            </w:r>
          </w:p>
        </w:tc>
        <w:tc>
          <w:tcPr>
            <w:tcW w:w="2340" w:type="dxa"/>
            <w:shd w:val="clear" w:color="auto" w:fill="auto"/>
          </w:tcPr>
          <w:p w:rsidRPr="007F620E" w:rsidR="00A92D0B" w:rsidP="00187FA5" w:rsidRDefault="008732F2" w14:paraId="63938BDA" w14:textId="2A52B7BF">
            <w:pPr>
              <w:jc w:val="center"/>
              <w:rPr>
                <w:color w:val="000000"/>
              </w:rPr>
            </w:pPr>
            <w:r>
              <w:rPr>
                <w:color w:val="000000"/>
              </w:rPr>
              <w:lastRenderedPageBreak/>
              <w:t>Verified</w:t>
            </w:r>
          </w:p>
        </w:tc>
      </w:tr>
      <w:tr w:rsidRPr="007F620E" w:rsidR="00D1169F" w:rsidTr="00BC64BA" w14:paraId="4AAA05AE" w14:textId="77777777">
        <w:tc>
          <w:tcPr>
            <w:tcW w:w="3258" w:type="dxa"/>
            <w:shd w:val="clear" w:color="auto" w:fill="auto"/>
          </w:tcPr>
          <w:p w:rsidRPr="00006AB0" w:rsidR="00D1169F" w:rsidP="00D1169F" w:rsidRDefault="00D1169F" w14:paraId="0672D3D4" w14:textId="77777777">
            <w:pPr>
              <w:rPr>
                <w:b/>
                <w:bCs/>
                <w:color w:val="000000"/>
                <w:u w:val="single"/>
              </w:rPr>
            </w:pPr>
            <w:r w:rsidRPr="00006AB0">
              <w:rPr>
                <w:b/>
                <w:bCs/>
                <w:color w:val="000000"/>
                <w:u w:val="single"/>
              </w:rPr>
              <w:lastRenderedPageBreak/>
              <w:t>PCF successfully opposed the Utilities’ attempts to avoid longstanding RDF requirements with respect to compliance-based risk reduction measures.</w:t>
            </w:r>
          </w:p>
          <w:p w:rsidRPr="00006AB0" w:rsidR="00D1169F" w:rsidP="00D1169F" w:rsidRDefault="00D1169F" w14:paraId="7E35221C" w14:textId="77777777">
            <w:pPr>
              <w:rPr>
                <w:b/>
                <w:bCs/>
                <w:color w:val="000000"/>
                <w:u w:val="single"/>
              </w:rPr>
            </w:pPr>
          </w:p>
          <w:p w:rsidRPr="00006AB0" w:rsidR="00D1169F" w:rsidP="00D1169F" w:rsidRDefault="00D1169F" w14:paraId="11FCCEB5" w14:textId="53277AA5">
            <w:pPr>
              <w:rPr>
                <w:color w:val="000000"/>
              </w:rPr>
            </w:pPr>
            <w:r w:rsidRPr="00006AB0">
              <w:rPr>
                <w:color w:val="000000"/>
              </w:rPr>
              <w:t>The Commission rejected Southern California Edisons’s (SCE) repeated attempts to avoid providing risk spend efficiency calculations for compliance activities, which PCF directly opposed. SCE argued in both its comments on the Phase III Roadmap and comments on the PD that the Utilities should not be required to provide such calculations. PCF provided detailed analysis to establish that including CBRs for compliance activities has long been required by the RDF</w:t>
            </w:r>
            <w:r w:rsidR="0070459B">
              <w:rPr>
                <w:color w:val="000000"/>
              </w:rPr>
              <w:t>,</w:t>
            </w:r>
            <w:r w:rsidRPr="00006AB0">
              <w:rPr>
                <w:color w:val="000000"/>
              </w:rPr>
              <w:t xml:space="preserve"> and that SCE’s claims to the contrary would decrease transparency and should be rejected. </w:t>
            </w:r>
          </w:p>
        </w:tc>
        <w:tc>
          <w:tcPr>
            <w:tcW w:w="4140" w:type="dxa"/>
            <w:shd w:val="clear" w:color="auto" w:fill="auto"/>
          </w:tcPr>
          <w:p w:rsidR="00D1169F" w:rsidP="00D1169F" w:rsidRDefault="00D1169F" w14:paraId="04686F3F" w14:textId="47B8CE4B">
            <w:pPr>
              <w:rPr>
                <w:color w:val="000000"/>
              </w:rPr>
            </w:pPr>
            <w:r>
              <w:rPr>
                <w:color w:val="000000"/>
              </w:rPr>
              <w:t xml:space="preserve"> “</w:t>
            </w:r>
            <w:r w:rsidRPr="007F47DB">
              <w:rPr>
                <w:color w:val="000000"/>
              </w:rPr>
              <w:t>We adopt a new RDF requirement that the IOUs must present CBRs for each GRC post-test year as well as an aggregate CBR for the entire post-test year period and the entire GRC period</w:t>
            </w:r>
            <w:r>
              <w:rPr>
                <w:color w:val="000000"/>
              </w:rPr>
              <w:t>…</w:t>
            </w:r>
            <w:r w:rsidRPr="007639C4">
              <w:rPr>
                <w:rFonts w:ascii="Book Antiqua" w:hAnsi="Book Antiqua" w:cs="Book Antiqua"/>
                <w:color w:val="000000"/>
                <w:sz w:val="26"/>
                <w:szCs w:val="26"/>
              </w:rPr>
              <w:t xml:space="preserve"> </w:t>
            </w:r>
            <w:r w:rsidRPr="007639C4">
              <w:rPr>
                <w:color w:val="000000"/>
              </w:rPr>
              <w:t>We also clarify that compliance activities, if these are currently established measures that are modifying risk, are controls</w:t>
            </w:r>
            <w:r>
              <w:rPr>
                <w:color w:val="000000"/>
              </w:rPr>
              <w:t>”</w:t>
            </w:r>
            <w:r w:rsidR="00E53F7B">
              <w:rPr>
                <w:color w:val="000000"/>
              </w:rPr>
              <w:t xml:space="preserve"> D.24-05-064, p. 14–15</w:t>
            </w:r>
            <w:r>
              <w:rPr>
                <w:color w:val="000000"/>
              </w:rPr>
              <w:t>.</w:t>
            </w:r>
          </w:p>
          <w:p w:rsidR="00D1169F" w:rsidP="00D1169F" w:rsidRDefault="00D1169F" w14:paraId="35807125" w14:textId="77777777">
            <w:pPr>
              <w:rPr>
                <w:color w:val="000000"/>
              </w:rPr>
            </w:pPr>
          </w:p>
          <w:p w:rsidR="00D1169F" w:rsidP="00D1169F" w:rsidRDefault="00D1169F" w14:paraId="1B816732" w14:textId="77777777">
            <w:pPr>
              <w:rPr>
                <w:color w:val="000000"/>
              </w:rPr>
            </w:pPr>
            <w:r>
              <w:rPr>
                <w:color w:val="000000"/>
              </w:rPr>
              <w:t>PCF Reply Comments on Phase 3 Roadmap (April 21, 2023), p. 3 (“</w:t>
            </w:r>
            <w:r w:rsidRPr="001F1942">
              <w:rPr>
                <w:color w:val="000000"/>
              </w:rPr>
              <w:t xml:space="preserve">The Commission should flatly reject SCE’s request for </w:t>
            </w:r>
            <w:r>
              <w:rPr>
                <w:color w:val="000000"/>
              </w:rPr>
              <w:t>‘</w:t>
            </w:r>
            <w:r w:rsidRPr="001F1942">
              <w:rPr>
                <w:color w:val="000000"/>
              </w:rPr>
              <w:t>further discussion</w:t>
            </w:r>
            <w:r>
              <w:rPr>
                <w:color w:val="000000"/>
              </w:rPr>
              <w:t>’</w:t>
            </w:r>
            <w:r w:rsidRPr="001F1942">
              <w:rPr>
                <w:color w:val="000000"/>
              </w:rPr>
              <w:t xml:space="preserve"> regarding its baseless claim that the </w:t>
            </w:r>
            <w:r>
              <w:rPr>
                <w:color w:val="000000"/>
              </w:rPr>
              <w:t>‘</w:t>
            </w:r>
            <w:r w:rsidRPr="001F1942">
              <w:rPr>
                <w:color w:val="000000"/>
              </w:rPr>
              <w:t>utilities do not need to provide an RSE for compliance activities.</w:t>
            </w:r>
            <w:r>
              <w:rPr>
                <w:color w:val="000000"/>
              </w:rPr>
              <w:t>’</w:t>
            </w:r>
            <w:r w:rsidRPr="001F1942">
              <w:rPr>
                <w:color w:val="000000"/>
              </w:rPr>
              <w:t xml:space="preserve"> After nearly a decade, no excuse exists for SCE’s continued </w:t>
            </w:r>
            <w:r>
              <w:rPr>
                <w:color w:val="000000"/>
              </w:rPr>
              <w:t>‘</w:t>
            </w:r>
            <w:r w:rsidRPr="001F1942">
              <w:rPr>
                <w:color w:val="000000"/>
              </w:rPr>
              <w:t>struggle to understand</w:t>
            </w:r>
            <w:r>
              <w:rPr>
                <w:color w:val="000000"/>
              </w:rPr>
              <w:t>’</w:t>
            </w:r>
            <w:r w:rsidRPr="001F1942">
              <w:rPr>
                <w:color w:val="000000"/>
              </w:rPr>
              <w:t xml:space="preserve"> why risk assessment should be comprehensive or why quantifying risk reduction promotes transparency and accountability for how the utilities are spending ratepayer funds</w:t>
            </w:r>
            <w:r>
              <w:rPr>
                <w:color w:val="000000"/>
              </w:rPr>
              <w:t>”).</w:t>
            </w:r>
          </w:p>
          <w:p w:rsidR="00D1169F" w:rsidP="00D1169F" w:rsidRDefault="00D1169F" w14:paraId="4E6098F8" w14:textId="77777777">
            <w:pPr>
              <w:rPr>
                <w:color w:val="000000"/>
              </w:rPr>
            </w:pPr>
          </w:p>
          <w:p w:rsidR="00D1169F" w:rsidP="00D1169F" w:rsidRDefault="00D1169F" w14:paraId="6AD93796" w14:textId="77777777">
            <w:pPr>
              <w:rPr>
                <w:color w:val="000000"/>
              </w:rPr>
            </w:pPr>
            <w:r>
              <w:rPr>
                <w:color w:val="000000"/>
              </w:rPr>
              <w:t>PCF Reply Comments on PD (May 21, 2024), p. 3–4 (“</w:t>
            </w:r>
            <w:r w:rsidRPr="005E5A33">
              <w:rPr>
                <w:color w:val="000000"/>
              </w:rPr>
              <w:t>Including cost benefit ratios for compliance activities provides critical context to the Utilities, the Commission, and the public, about whether the Utilities are cost-effectively prioritizing risk mitigation measures. Further, only with an understanding and transparent account of the costs and benefits of controls will the Utilities be able to meaningfully rank, prioritize, and optimize their risk mitigation programs. SCE’s suggestion that risk mitigation programs should be siloed from compliance programs would produce absurd results and render the RDF unreliable</w:t>
            </w:r>
            <w:r>
              <w:rPr>
                <w:color w:val="000000"/>
              </w:rPr>
              <w:t>”).</w:t>
            </w:r>
          </w:p>
          <w:p w:rsidR="00D1169F" w:rsidP="00D1169F" w:rsidRDefault="00D1169F" w14:paraId="2A365900" w14:textId="77777777">
            <w:pPr>
              <w:rPr>
                <w:color w:val="000000"/>
              </w:rPr>
            </w:pPr>
          </w:p>
          <w:p w:rsidRPr="007F620E" w:rsidR="00D1169F" w:rsidP="00D1169F" w:rsidRDefault="00D1169F" w14:paraId="2A92A629" w14:textId="2B695ED9">
            <w:pPr>
              <w:rPr>
                <w:color w:val="000000"/>
              </w:rPr>
            </w:pPr>
          </w:p>
        </w:tc>
        <w:tc>
          <w:tcPr>
            <w:tcW w:w="2340" w:type="dxa"/>
            <w:shd w:val="clear" w:color="auto" w:fill="auto"/>
          </w:tcPr>
          <w:p w:rsidRPr="007F620E" w:rsidR="00D1169F" w:rsidP="00187FA5" w:rsidRDefault="00CC4F3E" w14:paraId="56FD3368" w14:textId="40A85242">
            <w:pPr>
              <w:jc w:val="center"/>
              <w:rPr>
                <w:color w:val="000000"/>
              </w:rPr>
            </w:pPr>
            <w:r>
              <w:rPr>
                <w:color w:val="000000"/>
              </w:rPr>
              <w:lastRenderedPageBreak/>
              <w:t>Verified</w:t>
            </w:r>
          </w:p>
        </w:tc>
      </w:tr>
      <w:tr w:rsidRPr="007F620E" w:rsidR="00691528" w:rsidTr="00BC64BA" w14:paraId="36FF786B" w14:textId="77777777">
        <w:tc>
          <w:tcPr>
            <w:tcW w:w="3258" w:type="dxa"/>
            <w:shd w:val="clear" w:color="auto" w:fill="auto"/>
          </w:tcPr>
          <w:p w:rsidRPr="0082456F" w:rsidR="0082456F" w:rsidP="0082456F" w:rsidRDefault="0082456F" w14:paraId="19C58D81" w14:textId="77777777">
            <w:pPr>
              <w:rPr>
                <w:b/>
                <w:bCs/>
                <w:color w:val="000000"/>
                <w:u w:val="single"/>
              </w:rPr>
            </w:pPr>
            <w:r w:rsidRPr="0082456F">
              <w:rPr>
                <w:b/>
                <w:bCs/>
                <w:color w:val="000000"/>
                <w:u w:val="single"/>
              </w:rPr>
              <w:t>The Commission adopted PCF’s recommendation to revise the proposed decision to add clarifying language to Finding of Fact #2.</w:t>
            </w:r>
          </w:p>
          <w:p w:rsidRPr="0082456F" w:rsidR="0082456F" w:rsidP="0082456F" w:rsidRDefault="0082456F" w14:paraId="4AD242C3" w14:textId="77777777">
            <w:pPr>
              <w:rPr>
                <w:b/>
                <w:bCs/>
                <w:color w:val="000000"/>
                <w:u w:val="single"/>
              </w:rPr>
            </w:pPr>
          </w:p>
          <w:p w:rsidRPr="0082456F" w:rsidR="00774000" w:rsidP="0082456F" w:rsidRDefault="0082456F" w14:paraId="77A8C970" w14:textId="7F582151">
            <w:pPr>
              <w:rPr>
                <w:color w:val="000000"/>
              </w:rPr>
            </w:pPr>
            <w:r w:rsidRPr="0082456F">
              <w:rPr>
                <w:color w:val="000000"/>
              </w:rPr>
              <w:t>PCF recommended  that Finding of Fact # 2 be revised to clarify that annual CBR’s are required for both controls and mitigation measures, and the Commission adopted PCF’s recommendation by revising Finding of Fact #2.</w:t>
            </w:r>
          </w:p>
        </w:tc>
        <w:tc>
          <w:tcPr>
            <w:tcW w:w="4140" w:type="dxa"/>
            <w:shd w:val="clear" w:color="auto" w:fill="auto"/>
          </w:tcPr>
          <w:p w:rsidR="003C6320" w:rsidP="003C6320" w:rsidRDefault="003C6320" w14:paraId="2505E381" w14:textId="1490F7F2">
            <w:pPr>
              <w:rPr>
                <w:color w:val="000000"/>
              </w:rPr>
            </w:pPr>
            <w:r w:rsidRPr="003C6320">
              <w:rPr>
                <w:color w:val="000000"/>
              </w:rPr>
              <w:t xml:space="preserve"> “Requiring the IOUs to present CBRs </w:t>
            </w:r>
            <w:r w:rsidRPr="003C6320">
              <w:rPr>
                <w:i/>
                <w:iCs/>
                <w:color w:val="000000"/>
              </w:rPr>
              <w:t>for all controls and mitigations</w:t>
            </w:r>
            <w:r w:rsidRPr="003C6320">
              <w:rPr>
                <w:color w:val="000000"/>
              </w:rPr>
              <w:t xml:space="preserve"> by tranche for each GRC post-test year as well as an aggregate CBR for the entire post-test year period and the entire GRC period will add transparency and aid in decision making”</w:t>
            </w:r>
            <w:r w:rsidR="0035447F">
              <w:rPr>
                <w:color w:val="000000"/>
              </w:rPr>
              <w:t xml:space="preserve"> </w:t>
            </w:r>
            <w:r w:rsidRPr="003C6320" w:rsidR="0035447F">
              <w:rPr>
                <w:color w:val="000000"/>
              </w:rPr>
              <w:t>D.24-05-064, p. 111 (Finding of Fact 2)</w:t>
            </w:r>
            <w:r w:rsidRPr="003C6320">
              <w:rPr>
                <w:color w:val="000000"/>
              </w:rPr>
              <w:t xml:space="preserve"> (emphasis added); </w:t>
            </w:r>
            <w:r w:rsidRPr="003C6320">
              <w:rPr>
                <w:i/>
                <w:iCs/>
                <w:color w:val="000000"/>
              </w:rPr>
              <w:t>compare</w:t>
            </w:r>
            <w:r w:rsidRPr="003C6320">
              <w:rPr>
                <w:color w:val="000000"/>
              </w:rPr>
              <w:t xml:space="preserve"> April 26, 2024 Proposed Decision at p. 111 (Finding of Fact #2 did not contain language “for all controls and mitigations”).</w:t>
            </w:r>
          </w:p>
          <w:p w:rsidR="006B2BE6" w:rsidP="003C6320" w:rsidRDefault="006B2BE6" w14:paraId="22552E8F" w14:textId="77777777">
            <w:pPr>
              <w:rPr>
                <w:color w:val="000000"/>
              </w:rPr>
            </w:pPr>
          </w:p>
          <w:p w:rsidRPr="006B2BE6" w:rsidR="006B2BE6" w:rsidP="006B2BE6" w:rsidRDefault="006B2BE6" w14:paraId="68F83958" w14:textId="6177F130">
            <w:pPr>
              <w:rPr>
                <w:color w:val="000000"/>
              </w:rPr>
            </w:pPr>
            <w:r w:rsidRPr="006B2BE6">
              <w:rPr>
                <w:color w:val="000000"/>
              </w:rPr>
              <w:t xml:space="preserve">“The Commission should adopt a new </w:t>
            </w:r>
            <w:r>
              <w:rPr>
                <w:color w:val="000000"/>
              </w:rPr>
              <w:t>‘</w:t>
            </w:r>
            <w:r w:rsidRPr="006B2BE6">
              <w:rPr>
                <w:color w:val="000000"/>
              </w:rPr>
              <w:t>Row 26</w:t>
            </w:r>
            <w:r>
              <w:rPr>
                <w:color w:val="000000"/>
              </w:rPr>
              <w:t>’</w:t>
            </w:r>
            <w:r w:rsidRPr="006B2BE6">
              <w:rPr>
                <w:color w:val="000000"/>
              </w:rPr>
              <w:t xml:space="preserve"> to add language to the RDF included in Appendix A of D.22-12-027 as follows: GRC Post-Test Year Reporting: All Controls and Mitigation programs must include CBRs in each of the GRC post-test years and by Tranche.” </w:t>
            </w:r>
            <w:r>
              <w:rPr>
                <w:color w:val="000000"/>
              </w:rPr>
              <w:t>D.24-05-064, p.</w:t>
            </w:r>
            <w:r w:rsidRPr="006B2BE6">
              <w:rPr>
                <w:color w:val="000000"/>
              </w:rPr>
              <w:t xml:space="preserve"> 117 (C</w:t>
            </w:r>
            <w:r>
              <w:rPr>
                <w:color w:val="000000"/>
              </w:rPr>
              <w:t xml:space="preserve">onclusion of </w:t>
            </w:r>
            <w:r w:rsidRPr="006B2BE6">
              <w:rPr>
                <w:color w:val="000000"/>
              </w:rPr>
              <w:t>L</w:t>
            </w:r>
            <w:r>
              <w:rPr>
                <w:color w:val="000000"/>
              </w:rPr>
              <w:t>aw</w:t>
            </w:r>
            <w:r w:rsidRPr="006B2BE6">
              <w:rPr>
                <w:color w:val="000000"/>
              </w:rPr>
              <w:t xml:space="preserve"> 2)</w:t>
            </w:r>
            <w:r w:rsidR="006E04CA">
              <w:rPr>
                <w:color w:val="000000"/>
              </w:rPr>
              <w:t>.</w:t>
            </w:r>
          </w:p>
          <w:p w:rsidRPr="003C6320" w:rsidR="003C6320" w:rsidP="003C6320" w:rsidRDefault="003C6320" w14:paraId="6DF58CE6" w14:textId="77777777">
            <w:pPr>
              <w:rPr>
                <w:color w:val="000000"/>
              </w:rPr>
            </w:pPr>
          </w:p>
          <w:p w:rsidRPr="003C6320" w:rsidR="003C6320" w:rsidP="003C6320" w:rsidRDefault="003C6320" w14:paraId="002B46E0" w14:textId="77777777">
            <w:pPr>
              <w:rPr>
                <w:color w:val="000000"/>
              </w:rPr>
            </w:pPr>
            <w:r w:rsidRPr="003C6320">
              <w:rPr>
                <w:color w:val="000000"/>
              </w:rPr>
              <w:t>PCF Comments on Phase 3 Proposed Decision (May 16, 2024), p. 13-14 (“to comply with the Commission’s procedural mandate that decisions contain separately stated findings of fact on all material issues, Finding of Fact number 2 should be revised to accurately reflect the PD’s conclusion that both controls and mitigation measures require annual CBRs”).</w:t>
            </w:r>
          </w:p>
          <w:p w:rsidRPr="007F620E" w:rsidR="00DC199E" w:rsidP="00073262" w:rsidRDefault="00DC199E" w14:paraId="2144B6BD" w14:textId="26B91275">
            <w:pPr>
              <w:rPr>
                <w:color w:val="000000"/>
              </w:rPr>
            </w:pPr>
          </w:p>
        </w:tc>
        <w:tc>
          <w:tcPr>
            <w:tcW w:w="2340" w:type="dxa"/>
            <w:shd w:val="clear" w:color="auto" w:fill="auto"/>
          </w:tcPr>
          <w:p w:rsidRPr="007F620E" w:rsidR="00691528" w:rsidP="00187FA5" w:rsidRDefault="002F4006" w14:paraId="64233D9C" w14:textId="37AA6838">
            <w:pPr>
              <w:jc w:val="center"/>
              <w:rPr>
                <w:color w:val="000000"/>
              </w:rPr>
            </w:pPr>
            <w:r>
              <w:rPr>
                <w:color w:val="000000"/>
              </w:rPr>
              <w:t>Verified</w:t>
            </w:r>
          </w:p>
        </w:tc>
      </w:tr>
      <w:tr w:rsidRPr="007F620E" w:rsidR="00375C46" w:rsidTr="00BC64BA" w14:paraId="46F97877" w14:textId="77777777">
        <w:tc>
          <w:tcPr>
            <w:tcW w:w="3258" w:type="dxa"/>
            <w:shd w:val="clear" w:color="auto" w:fill="auto"/>
          </w:tcPr>
          <w:p w:rsidRPr="00BD7F66" w:rsidR="00BD7F66" w:rsidP="00BD7F66" w:rsidRDefault="00BD7F66" w14:paraId="28284437" w14:textId="77777777">
            <w:pPr>
              <w:rPr>
                <w:b/>
                <w:bCs/>
                <w:color w:val="000000"/>
                <w:u w:val="single"/>
              </w:rPr>
            </w:pPr>
            <w:r w:rsidRPr="00BD7F66">
              <w:rPr>
                <w:b/>
                <w:bCs/>
                <w:color w:val="000000"/>
                <w:u w:val="single"/>
              </w:rPr>
              <w:t>The Commission required the Utilities to utilize the quintile tranche granularity approach for which PCF advocated.</w:t>
            </w:r>
          </w:p>
          <w:p w:rsidRPr="00BD7F66" w:rsidR="00BD7F66" w:rsidP="00BD7F66" w:rsidRDefault="00BD7F66" w14:paraId="2BCDAE00" w14:textId="77777777">
            <w:pPr>
              <w:rPr>
                <w:b/>
                <w:bCs/>
                <w:color w:val="000000"/>
                <w:u w:val="single"/>
              </w:rPr>
            </w:pPr>
          </w:p>
          <w:p w:rsidRPr="00BD7F66" w:rsidR="00BD7F66" w:rsidP="00BD7F66" w:rsidRDefault="00BD7F66" w14:paraId="0C98FC70" w14:textId="6CBEEE2D">
            <w:pPr>
              <w:rPr>
                <w:color w:val="000000"/>
              </w:rPr>
            </w:pPr>
            <w:r w:rsidRPr="00BD7F66">
              <w:rPr>
                <w:color w:val="000000"/>
              </w:rPr>
              <w:t xml:space="preserve">D.24-05-064 adopted the Quintile Tranche Granularity Approach and rejected the </w:t>
            </w:r>
            <w:r w:rsidRPr="00BD7F66">
              <w:rPr>
                <w:color w:val="000000"/>
              </w:rPr>
              <w:lastRenderedPageBreak/>
              <w:t xml:space="preserve">Utilities’ arguments in opposition, which aligned the Phase 3 decision with the requirements of the RDF that PCF advocated for </w:t>
            </w:r>
            <w:r w:rsidR="0070459B">
              <w:rPr>
                <w:color w:val="000000"/>
              </w:rPr>
              <w:t xml:space="preserve">upholding </w:t>
            </w:r>
            <w:r w:rsidRPr="00BD7F66">
              <w:rPr>
                <w:color w:val="000000"/>
              </w:rPr>
              <w:t xml:space="preserve">throughout Phase 3. </w:t>
            </w:r>
            <w:r w:rsidRPr="00BD7F66" w:rsidR="0070459B">
              <w:rPr>
                <w:color w:val="000000"/>
              </w:rPr>
              <w:t>PCF provided citations and analysis of existing RDF mandates to establish the need for increased tranche granularity and PCF’s participation established that tranche granularity will facilitate compliance with longstanding RDF transparency requirements.</w:t>
            </w:r>
            <w:r w:rsidR="00490534">
              <w:rPr>
                <w:color w:val="000000"/>
              </w:rPr>
              <w:t xml:space="preserve"> </w:t>
            </w:r>
            <w:r w:rsidRPr="00BD7F66">
              <w:rPr>
                <w:color w:val="000000"/>
              </w:rPr>
              <w:t xml:space="preserve">PCF’s participation supplemented SPD’s recommendation and PCF’s comments provided support for the Commission to adopt the quintile granularity approach and </w:t>
            </w:r>
            <w:r w:rsidR="0070459B">
              <w:rPr>
                <w:color w:val="000000"/>
              </w:rPr>
              <w:t xml:space="preserve">to </w:t>
            </w:r>
            <w:r w:rsidRPr="00BD7F66">
              <w:rPr>
                <w:color w:val="000000"/>
              </w:rPr>
              <w:t xml:space="preserve">reject the Utilities’ arguments.  </w:t>
            </w:r>
          </w:p>
          <w:p w:rsidRPr="00A56149" w:rsidR="003F299E" w:rsidP="00073262" w:rsidRDefault="003F299E" w14:paraId="411F9EA4" w14:textId="7EEEBF27">
            <w:pPr>
              <w:rPr>
                <w:color w:val="000000"/>
              </w:rPr>
            </w:pPr>
          </w:p>
        </w:tc>
        <w:tc>
          <w:tcPr>
            <w:tcW w:w="4140" w:type="dxa"/>
            <w:shd w:val="clear" w:color="auto" w:fill="auto"/>
          </w:tcPr>
          <w:p w:rsidR="00FF0250" w:rsidP="00FF0250" w:rsidRDefault="00FF0250" w14:paraId="5DF7CFE3" w14:textId="77777777">
            <w:pPr>
              <w:rPr>
                <w:color w:val="000000"/>
              </w:rPr>
            </w:pPr>
            <w:r w:rsidRPr="00FF0250">
              <w:rPr>
                <w:color w:val="000000"/>
              </w:rPr>
              <w:lastRenderedPageBreak/>
              <w:t xml:space="preserve">“We adopt SPD’s proposed tranche granularity approach as a best practice and require IOUs to use this approach to determine tranches in most cases… Our requirements will enhance transparency and support flexibility.” D.24-05-064, p. 26; </w:t>
            </w:r>
            <w:r w:rsidRPr="00FF0250">
              <w:rPr>
                <w:i/>
                <w:iCs/>
                <w:color w:val="000000"/>
              </w:rPr>
              <w:t xml:space="preserve">id. </w:t>
            </w:r>
            <w:r w:rsidRPr="00FF0250">
              <w:rPr>
                <w:color w:val="000000"/>
              </w:rPr>
              <w:t>at p. 119 (Conclusion of Law 15).</w:t>
            </w:r>
          </w:p>
          <w:p w:rsidR="0086454D" w:rsidP="00FF0250" w:rsidRDefault="0086454D" w14:paraId="39225FBA" w14:textId="77777777">
            <w:pPr>
              <w:rPr>
                <w:color w:val="000000"/>
              </w:rPr>
            </w:pPr>
          </w:p>
          <w:p w:rsidRPr="00FF0250" w:rsidR="0086454D" w:rsidP="00FF0250" w:rsidRDefault="0086454D" w14:paraId="1FF38B89" w14:textId="7513E7D0">
            <w:pPr>
              <w:rPr>
                <w:color w:val="000000"/>
              </w:rPr>
            </w:pPr>
            <w:r>
              <w:rPr>
                <w:color w:val="000000"/>
              </w:rPr>
              <w:lastRenderedPageBreak/>
              <w:t>“</w:t>
            </w:r>
            <w:r w:rsidRPr="00F1500E" w:rsidR="00F1500E">
              <w:rPr>
                <w:color w:val="000000"/>
              </w:rPr>
              <w:t>Improvement is needed in utility data availability and collection to support RDF analyses to address potential data gaps and support implementation of the LoRE/CoRE quintile approach</w:t>
            </w:r>
            <w:r w:rsidR="00F1500E">
              <w:rPr>
                <w:color w:val="000000"/>
              </w:rPr>
              <w:t>.” D.24-05-064, p. 113 (Finding of Fact 14).</w:t>
            </w:r>
          </w:p>
          <w:p w:rsidRPr="00FF0250" w:rsidR="00FF0250" w:rsidP="00FF0250" w:rsidRDefault="00FF0250" w14:paraId="06EF31D4" w14:textId="77777777">
            <w:pPr>
              <w:rPr>
                <w:color w:val="000000"/>
              </w:rPr>
            </w:pPr>
          </w:p>
          <w:p w:rsidRPr="00FF0250" w:rsidR="00FF0250" w:rsidP="00FF0250" w:rsidRDefault="00FF0250" w14:paraId="215736E2" w14:textId="3ED3E0FF">
            <w:pPr>
              <w:rPr>
                <w:color w:val="000000"/>
              </w:rPr>
            </w:pPr>
            <w:r w:rsidRPr="00FF0250">
              <w:rPr>
                <w:color w:val="000000"/>
              </w:rPr>
              <w:t>“There is an urgent need to ensure that the IOUs provide more granular reporting tranches than they have in the past</w:t>
            </w:r>
            <w:r w:rsidR="0023306E">
              <w:rPr>
                <w:color w:val="000000"/>
              </w:rPr>
              <w:t>.</w:t>
            </w:r>
            <w:r w:rsidRPr="00FF0250">
              <w:rPr>
                <w:color w:val="000000"/>
              </w:rPr>
              <w:t xml:space="preserve">” D.24-05-064, p. </w:t>
            </w:r>
            <w:r w:rsidR="0023306E">
              <w:rPr>
                <w:color w:val="000000"/>
              </w:rPr>
              <w:t>113 (Finding of Fact 23)</w:t>
            </w:r>
            <w:r w:rsidRPr="00FF0250">
              <w:rPr>
                <w:color w:val="000000"/>
              </w:rPr>
              <w:t>.</w:t>
            </w:r>
          </w:p>
          <w:p w:rsidRPr="00FF0250" w:rsidR="00FF0250" w:rsidP="00FF0250" w:rsidRDefault="00FF0250" w14:paraId="29E13DAA" w14:textId="77777777">
            <w:pPr>
              <w:rPr>
                <w:color w:val="000000"/>
              </w:rPr>
            </w:pPr>
          </w:p>
          <w:p w:rsidRPr="00FF0250" w:rsidR="00FF0250" w:rsidP="00FF0250" w:rsidRDefault="00FF0250" w14:paraId="41077A20" w14:textId="77777777">
            <w:pPr>
              <w:rPr>
                <w:color w:val="000000"/>
              </w:rPr>
            </w:pPr>
            <w:r w:rsidRPr="00FF0250">
              <w:rPr>
                <w:color w:val="000000"/>
              </w:rPr>
              <w:t>PCF Comments on Workshop #1 (August 10, 2023), p. 4 (“At a minimum, the level of granularity should facilitate compliance with existing RDF mandates such as those discussed in the sections above. The Commission has repeatedly explained that the RDF process it established in 2014 was intended to ‘result in additional transparency and participation on how the safety risks for energy utilities are prioritized’ and to ‘provide accountability for how these safety risks are managed, mitigated and minimized’”).</w:t>
            </w:r>
          </w:p>
          <w:p w:rsidRPr="00FF0250" w:rsidR="00FF0250" w:rsidP="00FF0250" w:rsidRDefault="00FF0250" w14:paraId="56E4EF85" w14:textId="77777777">
            <w:pPr>
              <w:rPr>
                <w:color w:val="000000"/>
              </w:rPr>
            </w:pPr>
          </w:p>
          <w:p w:rsidRPr="00FF0250" w:rsidR="00FF0250" w:rsidP="00FF0250" w:rsidRDefault="00FF0250" w14:paraId="27C5AF9D" w14:textId="77777777">
            <w:pPr>
              <w:rPr>
                <w:color w:val="000000"/>
              </w:rPr>
            </w:pPr>
            <w:r w:rsidRPr="00FF0250">
              <w:rPr>
                <w:color w:val="000000"/>
              </w:rPr>
              <w:t>PCF Comments on PD (May 16, 2024), p. 3-5 (supporting adoption of the Quintile Tranche Granularity Approach as standard practice).</w:t>
            </w:r>
          </w:p>
          <w:p w:rsidRPr="00FF0250" w:rsidR="00FF0250" w:rsidP="00FF0250" w:rsidRDefault="00FF0250" w14:paraId="65EEDBE5" w14:textId="77777777">
            <w:pPr>
              <w:rPr>
                <w:color w:val="000000"/>
              </w:rPr>
            </w:pPr>
          </w:p>
          <w:p w:rsidRPr="007F620E" w:rsidR="00F05BE9" w:rsidP="00851323" w:rsidRDefault="00FF0250" w14:paraId="7515C4BA" w14:textId="1AA7A973">
            <w:pPr>
              <w:rPr>
                <w:color w:val="000000"/>
              </w:rPr>
            </w:pPr>
            <w:r w:rsidRPr="00FF0250">
              <w:rPr>
                <w:color w:val="000000"/>
              </w:rPr>
              <w:t>PCF Reply Comments on PD (May 21, 2024), p. 2-3 (rebutting Utility arguments against adoption of the Quintile Tranche Granularity Approach).</w:t>
            </w:r>
          </w:p>
        </w:tc>
        <w:tc>
          <w:tcPr>
            <w:tcW w:w="2340" w:type="dxa"/>
            <w:shd w:val="clear" w:color="auto" w:fill="auto"/>
          </w:tcPr>
          <w:p w:rsidRPr="007F620E" w:rsidR="00375C46" w:rsidP="00187FA5" w:rsidRDefault="00534A90" w14:paraId="5F291AE4" w14:textId="5481DEA8">
            <w:pPr>
              <w:jc w:val="center"/>
              <w:rPr>
                <w:color w:val="000000"/>
              </w:rPr>
            </w:pPr>
            <w:r>
              <w:rPr>
                <w:color w:val="000000"/>
              </w:rPr>
              <w:lastRenderedPageBreak/>
              <w:t>Verified</w:t>
            </w:r>
          </w:p>
        </w:tc>
      </w:tr>
      <w:tr w:rsidRPr="007F620E" w:rsidR="00375C46" w:rsidTr="00BC64BA" w14:paraId="73EB0C28" w14:textId="77777777">
        <w:tc>
          <w:tcPr>
            <w:tcW w:w="3258" w:type="dxa"/>
            <w:shd w:val="clear" w:color="auto" w:fill="auto"/>
          </w:tcPr>
          <w:p w:rsidRPr="00CA2E10" w:rsidR="00CA2E10" w:rsidP="00CA2E10" w:rsidRDefault="00CA2E10" w14:paraId="7FA182ED" w14:textId="77777777">
            <w:pPr>
              <w:rPr>
                <w:b/>
                <w:bCs/>
                <w:color w:val="000000"/>
                <w:u w:val="single"/>
              </w:rPr>
            </w:pPr>
            <w:r w:rsidRPr="00CA2E10">
              <w:rPr>
                <w:b/>
                <w:bCs/>
                <w:color w:val="000000"/>
                <w:u w:val="single"/>
              </w:rPr>
              <w:t xml:space="preserve">PCF enriched the record by providing support in the record for the Commission to reject PG&amp;E’s proposal and to impose restrictions on risk scaling. </w:t>
            </w:r>
          </w:p>
          <w:p w:rsidRPr="00CA2E10" w:rsidR="00CA2E10" w:rsidP="00CA2E10" w:rsidRDefault="00CA2E10" w14:paraId="7228A9C5" w14:textId="77777777">
            <w:pPr>
              <w:rPr>
                <w:color w:val="000000"/>
              </w:rPr>
            </w:pPr>
          </w:p>
          <w:p w:rsidRPr="00CA2E10" w:rsidR="00CA2E10" w:rsidP="00CA2E10" w:rsidRDefault="00CA2E10" w14:paraId="1D05D0B2" w14:textId="1DE26CB4">
            <w:pPr>
              <w:rPr>
                <w:color w:val="000000"/>
              </w:rPr>
            </w:pPr>
            <w:r w:rsidRPr="00CA2E10">
              <w:rPr>
                <w:color w:val="000000"/>
              </w:rPr>
              <w:t xml:space="preserve">PCF </w:t>
            </w:r>
            <w:r w:rsidR="0070459B">
              <w:rPr>
                <w:color w:val="000000"/>
              </w:rPr>
              <w:t xml:space="preserve">enriched the record by </w:t>
            </w:r>
            <w:r w:rsidRPr="00CA2E10">
              <w:rPr>
                <w:color w:val="000000"/>
              </w:rPr>
              <w:t>provid</w:t>
            </w:r>
            <w:r w:rsidR="0070459B">
              <w:rPr>
                <w:color w:val="000000"/>
              </w:rPr>
              <w:t>ing</w:t>
            </w:r>
            <w:r w:rsidRPr="00CA2E10">
              <w:rPr>
                <w:color w:val="000000"/>
              </w:rPr>
              <w:t xml:space="preserve"> </w:t>
            </w:r>
            <w:r w:rsidR="0070459B">
              <w:rPr>
                <w:color w:val="000000"/>
              </w:rPr>
              <w:t xml:space="preserve">detailed </w:t>
            </w:r>
            <w:r w:rsidRPr="00CA2E10">
              <w:rPr>
                <w:color w:val="000000"/>
              </w:rPr>
              <w:t>analy</w:t>
            </w:r>
            <w:r w:rsidR="0070459B">
              <w:rPr>
                <w:color w:val="000000"/>
              </w:rPr>
              <w:t>sis</w:t>
            </w:r>
            <w:r w:rsidRPr="00CA2E10">
              <w:rPr>
                <w:color w:val="000000"/>
              </w:rPr>
              <w:t xml:space="preserve"> </w:t>
            </w:r>
            <w:r w:rsidR="0070459B">
              <w:rPr>
                <w:color w:val="000000"/>
              </w:rPr>
              <w:t xml:space="preserve">in </w:t>
            </w:r>
            <w:r w:rsidRPr="00CA2E10">
              <w:rPr>
                <w:color w:val="000000"/>
              </w:rPr>
              <w:t xml:space="preserve">support </w:t>
            </w:r>
            <w:r w:rsidR="0070459B">
              <w:rPr>
                <w:color w:val="000000"/>
              </w:rPr>
              <w:t xml:space="preserve">of </w:t>
            </w:r>
            <w:r w:rsidRPr="00CA2E10">
              <w:rPr>
                <w:color w:val="000000"/>
              </w:rPr>
              <w:t>TURN’s recommendation that the Commission adopt a linear risk scaling function as best practice</w:t>
            </w:r>
            <w:r w:rsidR="0070459B">
              <w:rPr>
                <w:color w:val="000000"/>
              </w:rPr>
              <w:t>. PCF’s comments</w:t>
            </w:r>
            <w:r w:rsidR="00490534">
              <w:rPr>
                <w:color w:val="000000"/>
              </w:rPr>
              <w:t xml:space="preserve"> </w:t>
            </w:r>
            <w:r w:rsidR="0070459B">
              <w:rPr>
                <w:color w:val="000000"/>
              </w:rPr>
              <w:t>descri</w:t>
            </w:r>
            <w:r w:rsidR="00490534">
              <w:rPr>
                <w:color w:val="000000"/>
              </w:rPr>
              <w:t>b</w:t>
            </w:r>
            <w:r w:rsidR="0070459B">
              <w:rPr>
                <w:color w:val="000000"/>
              </w:rPr>
              <w:t>ed</w:t>
            </w:r>
            <w:r w:rsidRPr="00CA2E10">
              <w:rPr>
                <w:color w:val="000000"/>
              </w:rPr>
              <w:t xml:space="preserve"> how adopting the recommendation would further the purposes of the </w:t>
            </w:r>
            <w:r w:rsidRPr="00CA2E10" w:rsidR="00490534">
              <w:rPr>
                <w:color w:val="000000"/>
              </w:rPr>
              <w:t>RDF</w:t>
            </w:r>
            <w:r w:rsidR="00490534">
              <w:rPr>
                <w:color w:val="000000"/>
              </w:rPr>
              <w:t xml:space="preserve"> and </w:t>
            </w:r>
            <w:r w:rsidRPr="00CA2E10">
              <w:rPr>
                <w:color w:val="000000"/>
              </w:rPr>
              <w:t>demonstrated that PG&amp;E’s proposed market-based approach to risk scaling would thwart the Commission’s goals of consistency, transparency, and understandability. In D.24-05-064, the Commission adopted the use of a linear scaling function as a standard practice and rejected PG&amp;E’s proposed changes to risk scaling, as PCF recommended.</w:t>
            </w:r>
          </w:p>
          <w:p w:rsidRPr="00CA2E10" w:rsidR="00CA2E10" w:rsidP="00CA2E10" w:rsidRDefault="00CA2E10" w14:paraId="03240653" w14:textId="77777777">
            <w:pPr>
              <w:rPr>
                <w:b/>
                <w:bCs/>
                <w:color w:val="000000"/>
                <w:u w:val="single"/>
              </w:rPr>
            </w:pPr>
          </w:p>
          <w:p w:rsidRPr="008B685C" w:rsidR="008B685C" w:rsidP="00073262" w:rsidRDefault="008B685C" w14:paraId="42B40E1B" w14:textId="006D63FD">
            <w:pPr>
              <w:rPr>
                <w:color w:val="000000"/>
              </w:rPr>
            </w:pPr>
          </w:p>
        </w:tc>
        <w:tc>
          <w:tcPr>
            <w:tcW w:w="4140" w:type="dxa"/>
            <w:shd w:val="clear" w:color="auto" w:fill="auto"/>
          </w:tcPr>
          <w:p w:rsidRPr="0090388B" w:rsidR="00E374F6" w:rsidP="00E374F6" w:rsidRDefault="00E374F6" w14:paraId="5C6908D7" w14:textId="26B68C0D">
            <w:pPr>
              <w:rPr>
                <w:color w:val="000000"/>
              </w:rPr>
            </w:pPr>
            <w:r w:rsidRPr="00E374F6">
              <w:rPr>
                <w:color w:val="000000"/>
              </w:rPr>
              <w:lastRenderedPageBreak/>
              <w:t>“</w:t>
            </w:r>
            <w:r w:rsidRPr="0090388B">
              <w:rPr>
                <w:color w:val="000000"/>
              </w:rPr>
              <w:t>PCF supports TURN’s recommendation to use a linear risk scale for risk scaling and argues that a linear risk scale increases transparency and understandability</w:t>
            </w:r>
            <w:r w:rsidRPr="0090388B" w:rsidR="0023306E">
              <w:rPr>
                <w:color w:val="000000"/>
              </w:rPr>
              <w:t>.</w:t>
            </w:r>
            <w:r w:rsidRPr="0090388B">
              <w:rPr>
                <w:color w:val="000000"/>
              </w:rPr>
              <w:t>”</w:t>
            </w:r>
            <w:r w:rsidRPr="0090388B" w:rsidR="0023306E">
              <w:rPr>
                <w:color w:val="000000"/>
              </w:rPr>
              <w:t xml:space="preserve"> D.24-05-064, p. 96</w:t>
            </w:r>
            <w:r w:rsidRPr="0090388B">
              <w:rPr>
                <w:color w:val="000000"/>
              </w:rPr>
              <w:t>.</w:t>
            </w:r>
          </w:p>
          <w:p w:rsidRPr="0090388B" w:rsidR="00E374F6" w:rsidP="00E374F6" w:rsidRDefault="00E374F6" w14:paraId="44851644" w14:textId="77777777">
            <w:pPr>
              <w:rPr>
                <w:color w:val="000000"/>
              </w:rPr>
            </w:pPr>
          </w:p>
          <w:p w:rsidR="00E374F6" w:rsidP="00E374F6" w:rsidRDefault="00E374F6" w14:paraId="40B419B3" w14:textId="44279D8C">
            <w:pPr>
              <w:rPr>
                <w:color w:val="000000"/>
              </w:rPr>
            </w:pPr>
            <w:r w:rsidRPr="0090388B">
              <w:rPr>
                <w:color w:val="000000"/>
              </w:rPr>
              <w:t>“We are persuaded of the need to impose restrictions on risk scaling within the RDF…We adopt</w:t>
            </w:r>
            <w:r w:rsidRPr="00E374F6">
              <w:rPr>
                <w:color w:val="000000"/>
              </w:rPr>
              <w:t xml:space="preserve"> the following modification to Row 7 of the RDF</w:t>
            </w:r>
            <w:r w:rsidR="0023306E">
              <w:rPr>
                <w:color w:val="000000"/>
              </w:rPr>
              <w:t>.</w:t>
            </w:r>
            <w:r w:rsidRPr="00E374F6">
              <w:rPr>
                <w:color w:val="000000"/>
              </w:rPr>
              <w:t>”</w:t>
            </w:r>
            <w:r w:rsidRPr="00E374F6" w:rsidR="0023306E">
              <w:rPr>
                <w:color w:val="000000"/>
              </w:rPr>
              <w:t xml:space="preserve"> D.24-05-064, p. 97</w:t>
            </w:r>
            <w:r w:rsidRPr="00E374F6">
              <w:rPr>
                <w:color w:val="000000"/>
              </w:rPr>
              <w:t>.</w:t>
            </w:r>
          </w:p>
          <w:p w:rsidR="00E8036F" w:rsidP="00E374F6" w:rsidRDefault="00E8036F" w14:paraId="790A363F" w14:textId="77777777">
            <w:pPr>
              <w:rPr>
                <w:color w:val="000000"/>
              </w:rPr>
            </w:pPr>
          </w:p>
          <w:p w:rsidRPr="00E8036F" w:rsidR="00E8036F" w:rsidP="00E8036F" w:rsidRDefault="00E8036F" w14:paraId="58A9FB39" w14:textId="21DB461C">
            <w:pPr>
              <w:rPr>
                <w:color w:val="000000"/>
              </w:rPr>
            </w:pPr>
            <w:r>
              <w:rPr>
                <w:color w:val="000000"/>
              </w:rPr>
              <w:t>“</w:t>
            </w:r>
            <w:r w:rsidRPr="00E8036F">
              <w:rPr>
                <w:color w:val="000000"/>
              </w:rPr>
              <w:t xml:space="preserve">Applying linear risk scaling is not necessary for all mitigations but is necessary in some cases to promote transparency.” </w:t>
            </w:r>
            <w:r>
              <w:rPr>
                <w:color w:val="000000"/>
              </w:rPr>
              <w:t>D.24-05-064, p</w:t>
            </w:r>
            <w:r w:rsidRPr="00E8036F">
              <w:rPr>
                <w:color w:val="000000"/>
              </w:rPr>
              <w:t>. 115 (F</w:t>
            </w:r>
            <w:r>
              <w:rPr>
                <w:color w:val="000000"/>
              </w:rPr>
              <w:t xml:space="preserve">inding of </w:t>
            </w:r>
            <w:r w:rsidRPr="00E8036F">
              <w:rPr>
                <w:color w:val="000000"/>
              </w:rPr>
              <w:t>F</w:t>
            </w:r>
            <w:r>
              <w:rPr>
                <w:color w:val="000000"/>
              </w:rPr>
              <w:t>act</w:t>
            </w:r>
            <w:r w:rsidRPr="00E8036F">
              <w:rPr>
                <w:color w:val="000000"/>
              </w:rPr>
              <w:t xml:space="preserve"> 32)</w:t>
            </w:r>
            <w:r>
              <w:rPr>
                <w:color w:val="000000"/>
              </w:rPr>
              <w:t>.</w:t>
            </w:r>
            <w:r w:rsidRPr="00E8036F">
              <w:rPr>
                <w:color w:val="000000"/>
              </w:rPr>
              <w:t xml:space="preserve"> </w:t>
            </w:r>
          </w:p>
          <w:p w:rsidRPr="00E374F6" w:rsidR="00E374F6" w:rsidP="00E374F6" w:rsidRDefault="00E374F6" w14:paraId="584AD08D" w14:textId="77777777">
            <w:pPr>
              <w:rPr>
                <w:color w:val="000000"/>
              </w:rPr>
            </w:pPr>
          </w:p>
          <w:p w:rsidRPr="00E374F6" w:rsidR="00E374F6" w:rsidP="00E374F6" w:rsidRDefault="00E374F6" w14:paraId="492F99F9" w14:textId="5A68C6C9">
            <w:pPr>
              <w:rPr>
                <w:color w:val="000000"/>
              </w:rPr>
            </w:pPr>
            <w:r w:rsidRPr="00E374F6">
              <w:rPr>
                <w:color w:val="000000"/>
              </w:rPr>
              <w:t>PCF Comments on Workshop #4 (November 6, 2023), p. 2–3 (“mandating linear risk scaling as a minimum requirement will allow the Commission and Intervenors to better understand the utilities’ risk spending requests”); p. 5–6 (“PG&amp;E advocates for minimal restrictions on how risk adjusted levels are determined, as it requests utilities be permitted—but not limited—to using a market-based approach. This lack of restrictions on how risk adjusted levels are determined is not in line with basic notions of transparency and understandability that have guided the RDF thus far”)</w:t>
            </w:r>
            <w:r w:rsidR="000F761B">
              <w:rPr>
                <w:color w:val="000000"/>
              </w:rPr>
              <w:t xml:space="preserve">; </w:t>
            </w:r>
            <w:r w:rsidR="00D26CB3">
              <w:rPr>
                <w:i/>
                <w:iCs/>
                <w:color w:val="000000"/>
              </w:rPr>
              <w:t>see also</w:t>
            </w:r>
            <w:r w:rsidR="00D26CB3">
              <w:rPr>
                <w:color w:val="000000"/>
              </w:rPr>
              <w:t>, D.24-05-064, p. 7 (“PCF… filed</w:t>
            </w:r>
            <w:r w:rsidR="002633B2">
              <w:rPr>
                <w:color w:val="000000"/>
              </w:rPr>
              <w:t xml:space="preserve"> comments in response to the October 12, 2024 ALJ ruling… PCF… filed reply comments”)</w:t>
            </w:r>
            <w:r w:rsidRPr="00E374F6">
              <w:rPr>
                <w:color w:val="000000"/>
              </w:rPr>
              <w:t>.</w:t>
            </w:r>
          </w:p>
          <w:p w:rsidRPr="00E374F6" w:rsidR="00E374F6" w:rsidP="00E374F6" w:rsidRDefault="00E374F6" w14:paraId="4232BCC0" w14:textId="77777777">
            <w:pPr>
              <w:rPr>
                <w:color w:val="000000"/>
              </w:rPr>
            </w:pPr>
          </w:p>
          <w:p w:rsidRPr="00E374F6" w:rsidR="00E374F6" w:rsidP="00E374F6" w:rsidRDefault="00E374F6" w14:paraId="2F7FDCAE" w14:textId="77777777">
            <w:pPr>
              <w:rPr>
                <w:color w:val="000000"/>
              </w:rPr>
            </w:pPr>
            <w:r w:rsidRPr="00E374F6">
              <w:rPr>
                <w:color w:val="000000"/>
              </w:rPr>
              <w:t>PCF Reply Comments on Workshop #4 (November 13, 2023), p. 2–5.</w:t>
            </w:r>
          </w:p>
          <w:p w:rsidRPr="007F620E" w:rsidR="00CF5EB4" w:rsidP="00073262" w:rsidRDefault="00CF5EB4" w14:paraId="108DF4D5" w14:textId="5595519E">
            <w:pPr>
              <w:rPr>
                <w:color w:val="000000"/>
              </w:rPr>
            </w:pPr>
          </w:p>
        </w:tc>
        <w:tc>
          <w:tcPr>
            <w:tcW w:w="2340" w:type="dxa"/>
            <w:shd w:val="clear" w:color="auto" w:fill="auto"/>
          </w:tcPr>
          <w:p w:rsidRPr="007F620E" w:rsidR="00375C46" w:rsidP="00187FA5" w:rsidRDefault="001930F4" w14:paraId="30F64CBF" w14:textId="2E3E7DB4">
            <w:pPr>
              <w:jc w:val="center"/>
              <w:rPr>
                <w:color w:val="000000"/>
              </w:rPr>
            </w:pPr>
            <w:r>
              <w:rPr>
                <w:color w:val="000000"/>
              </w:rPr>
              <w:lastRenderedPageBreak/>
              <w:t>Verified</w:t>
            </w:r>
          </w:p>
        </w:tc>
      </w:tr>
      <w:tr w:rsidRPr="007F620E" w:rsidR="00566E3A" w:rsidTr="00BC64BA" w14:paraId="5D95CCB1" w14:textId="77777777">
        <w:tc>
          <w:tcPr>
            <w:tcW w:w="3258" w:type="dxa"/>
            <w:shd w:val="clear" w:color="auto" w:fill="auto"/>
          </w:tcPr>
          <w:p w:rsidRPr="00723C77" w:rsidR="00723C77" w:rsidP="00723C77" w:rsidRDefault="00A43A76" w14:paraId="797F05A9" w14:textId="70B710A3">
            <w:pPr>
              <w:rPr>
                <w:b/>
                <w:bCs/>
                <w:color w:val="000000"/>
                <w:u w:val="single"/>
              </w:rPr>
            </w:pPr>
            <w:r>
              <w:rPr>
                <w:b/>
                <w:bCs/>
                <w:color w:val="000000"/>
                <w:u w:val="single"/>
              </w:rPr>
              <w:t xml:space="preserve">The </w:t>
            </w:r>
            <w:r w:rsidRPr="00723C77" w:rsidR="00723C77">
              <w:rPr>
                <w:b/>
                <w:bCs/>
                <w:color w:val="000000"/>
                <w:u w:val="single"/>
              </w:rPr>
              <w:t xml:space="preserve">Commission </w:t>
            </w:r>
            <w:r>
              <w:rPr>
                <w:b/>
                <w:bCs/>
                <w:color w:val="000000"/>
                <w:u w:val="single"/>
              </w:rPr>
              <w:t xml:space="preserve">adopted PCF’s recommendation that </w:t>
            </w:r>
            <w:r w:rsidRPr="00723C77" w:rsidR="00723C77">
              <w:rPr>
                <w:b/>
                <w:bCs/>
                <w:color w:val="000000"/>
                <w:u w:val="single"/>
              </w:rPr>
              <w:t xml:space="preserve">that the Utilities utilize a single discount rate in numerator and denominator (among other approaches) in order to increase the transparency and </w:t>
            </w:r>
            <w:r w:rsidRPr="00723C77" w:rsidR="00723C77">
              <w:rPr>
                <w:b/>
                <w:bCs/>
                <w:color w:val="000000"/>
                <w:u w:val="single"/>
              </w:rPr>
              <w:lastRenderedPageBreak/>
              <w:t>understandability of Utility risk quantification.</w:t>
            </w:r>
          </w:p>
          <w:p w:rsidRPr="00723C77" w:rsidR="00723C77" w:rsidP="00723C77" w:rsidRDefault="00723C77" w14:paraId="19090B6C" w14:textId="77777777">
            <w:pPr>
              <w:rPr>
                <w:b/>
                <w:bCs/>
                <w:color w:val="000000"/>
                <w:u w:val="single"/>
              </w:rPr>
            </w:pPr>
          </w:p>
          <w:p w:rsidRPr="00723C77" w:rsidR="00A87967" w:rsidP="00723C77" w:rsidRDefault="00723C77" w14:paraId="5F761E9E" w14:textId="50942310">
            <w:pPr>
              <w:rPr>
                <w:color w:val="000000"/>
              </w:rPr>
            </w:pPr>
            <w:r w:rsidRPr="00723C77">
              <w:rPr>
                <w:color w:val="000000"/>
              </w:rPr>
              <w:t xml:space="preserve">PCF provided detailed legal analysis establishing that use of a single discount rate in the numerator and denominator of CBR calculations will further the Commission’s RDF goals of transparency and understandability. In D.24-05-064, the Commission </w:t>
            </w:r>
            <w:r w:rsidR="00A43A76">
              <w:rPr>
                <w:color w:val="000000"/>
              </w:rPr>
              <w:t xml:space="preserve">addressed the concerns raised by PCF and others and </w:t>
            </w:r>
            <w:r w:rsidRPr="00723C77">
              <w:rPr>
                <w:color w:val="000000"/>
              </w:rPr>
              <w:t>required that Utilities to utilize three different methods of calculation CBRs, two of which (The Societal Discount Rate Scenario and the WACC Discount Rate Scenario) mandate the use of a single discount rate in both the numerator and denominator as PCF advocated for.</w:t>
            </w:r>
          </w:p>
        </w:tc>
        <w:tc>
          <w:tcPr>
            <w:tcW w:w="4140" w:type="dxa"/>
            <w:shd w:val="clear" w:color="auto" w:fill="auto"/>
          </w:tcPr>
          <w:p w:rsidRPr="008D07E3" w:rsidR="008D07E3" w:rsidP="008D07E3" w:rsidRDefault="008D07E3" w14:paraId="09C0FD48" w14:textId="78EC01FE">
            <w:pPr>
              <w:rPr>
                <w:color w:val="000000"/>
              </w:rPr>
            </w:pPr>
            <w:r w:rsidRPr="008D07E3">
              <w:rPr>
                <w:color w:val="000000"/>
              </w:rPr>
              <w:lastRenderedPageBreak/>
              <w:t>“EPUC/IS, PCF, and TURN argue that, for the sake of transparency, consistency, and understandability, the numerator and denominator should both use the same discount rate</w:t>
            </w:r>
            <w:r w:rsidR="0023306E">
              <w:rPr>
                <w:color w:val="000000"/>
              </w:rPr>
              <w:t>.</w:t>
            </w:r>
            <w:r w:rsidRPr="008D07E3">
              <w:rPr>
                <w:color w:val="000000"/>
              </w:rPr>
              <w:t>”</w:t>
            </w:r>
            <w:r w:rsidRPr="008D07E3" w:rsidR="0023306E">
              <w:rPr>
                <w:color w:val="000000"/>
              </w:rPr>
              <w:t xml:space="preserve"> D.24-05-064, p. 100</w:t>
            </w:r>
            <w:r w:rsidRPr="008D07E3">
              <w:rPr>
                <w:color w:val="000000"/>
              </w:rPr>
              <w:t>.</w:t>
            </w:r>
          </w:p>
          <w:p w:rsidRPr="008D07E3" w:rsidR="008D07E3" w:rsidP="008D07E3" w:rsidRDefault="008D07E3" w14:paraId="4BC166DB" w14:textId="77777777">
            <w:pPr>
              <w:rPr>
                <w:color w:val="000000"/>
              </w:rPr>
            </w:pPr>
          </w:p>
          <w:p w:rsidRPr="008D07E3" w:rsidR="008D07E3" w:rsidP="008D07E3" w:rsidRDefault="008D07E3" w14:paraId="5593C622" w14:textId="2B50D68B">
            <w:pPr>
              <w:rPr>
                <w:color w:val="000000"/>
              </w:rPr>
            </w:pPr>
            <w:r w:rsidRPr="008D07E3">
              <w:rPr>
                <w:color w:val="000000"/>
              </w:rPr>
              <w:lastRenderedPageBreak/>
              <w:t>“On the question of how the choice of discount rate should be impacted by the different types of benefits… PCF again noted that having different discount rates for the different benefit components reduces transparency</w:t>
            </w:r>
            <w:r w:rsidR="0023306E">
              <w:rPr>
                <w:color w:val="000000"/>
              </w:rPr>
              <w:t>.</w:t>
            </w:r>
            <w:r w:rsidRPr="008D07E3">
              <w:rPr>
                <w:color w:val="000000"/>
              </w:rPr>
              <w:t>”</w:t>
            </w:r>
            <w:r w:rsidRPr="008D07E3" w:rsidR="0023306E">
              <w:rPr>
                <w:color w:val="000000"/>
              </w:rPr>
              <w:t xml:space="preserve"> D.24-05-064, p. 101</w:t>
            </w:r>
            <w:r w:rsidRPr="008D07E3">
              <w:rPr>
                <w:color w:val="000000"/>
              </w:rPr>
              <w:t>.</w:t>
            </w:r>
          </w:p>
          <w:p w:rsidRPr="008D07E3" w:rsidR="008D07E3" w:rsidP="008D07E3" w:rsidRDefault="008D07E3" w14:paraId="2124F9BE" w14:textId="77777777">
            <w:pPr>
              <w:rPr>
                <w:color w:val="000000"/>
              </w:rPr>
            </w:pPr>
          </w:p>
          <w:p w:rsidRPr="008D07E3" w:rsidR="008D07E3" w:rsidP="008D07E3" w:rsidRDefault="008D07E3" w14:paraId="228DBD60" w14:textId="3E4C3031">
            <w:pPr>
              <w:rPr>
                <w:color w:val="000000"/>
              </w:rPr>
            </w:pPr>
            <w:r w:rsidRPr="008D07E3">
              <w:rPr>
                <w:color w:val="000000"/>
              </w:rPr>
              <w:t>“</w:t>
            </w:r>
            <w:r w:rsidRPr="00C67ADB" w:rsidR="00C67ADB">
              <w:rPr>
                <w:color w:val="000000"/>
              </w:rPr>
              <w:t xml:space="preserve">However, several parties noted concerns that regarding CBRs with different discount rates in the numerator and denominator and specifically identified challenges of transparency, understandability, and the possible introduction of ‘bias.’ </w:t>
            </w:r>
            <w:r w:rsidRPr="008D07E3">
              <w:rPr>
                <w:color w:val="000000"/>
              </w:rPr>
              <w:t>To ameliorate concerns about both uncertainty in selecting a discount rate as well as concerns about the understandability and transparency of using dual discount rates, the approach we adopt here is to direct the IOUs to use three discount rate scenarios for mitigations”</w:t>
            </w:r>
            <w:r w:rsidRPr="008D07E3" w:rsidR="0023306E">
              <w:rPr>
                <w:color w:val="000000"/>
              </w:rPr>
              <w:t xml:space="preserve"> D.24-05-064, p. 102</w:t>
            </w:r>
            <w:r w:rsidRPr="008D07E3">
              <w:rPr>
                <w:color w:val="000000"/>
              </w:rPr>
              <w:t xml:space="preserve">. </w:t>
            </w:r>
          </w:p>
          <w:p w:rsidRPr="008D07E3" w:rsidR="008D07E3" w:rsidP="008D07E3" w:rsidRDefault="008D07E3" w14:paraId="32A6CD10" w14:textId="77777777">
            <w:pPr>
              <w:rPr>
                <w:color w:val="000000"/>
              </w:rPr>
            </w:pPr>
          </w:p>
          <w:p w:rsidRPr="008D07E3" w:rsidR="008D07E3" w:rsidP="008D07E3" w:rsidRDefault="008D07E3" w14:paraId="4415B9B3" w14:textId="77777777">
            <w:pPr>
              <w:rPr>
                <w:color w:val="000000"/>
              </w:rPr>
            </w:pPr>
            <w:r w:rsidRPr="008D07E3">
              <w:rPr>
                <w:color w:val="000000"/>
              </w:rPr>
              <w:t>PCF Comments on Workshop #5 (December 1, 2023), p. 2–6 (explaining why the use of different discounting values in the numerator and denominator of a CBR does not align with the longstanding goals of the RDF).</w:t>
            </w:r>
          </w:p>
          <w:p w:rsidRPr="007F620E" w:rsidR="00B636DB" w:rsidP="00712F4D" w:rsidRDefault="00B636DB" w14:paraId="51818F8E" w14:textId="4CC702BD">
            <w:pPr>
              <w:rPr>
                <w:color w:val="000000"/>
              </w:rPr>
            </w:pPr>
          </w:p>
        </w:tc>
        <w:tc>
          <w:tcPr>
            <w:tcW w:w="2340" w:type="dxa"/>
            <w:shd w:val="clear" w:color="auto" w:fill="auto"/>
          </w:tcPr>
          <w:p w:rsidRPr="007F620E" w:rsidR="00566E3A" w:rsidP="00187FA5" w:rsidRDefault="00F35CEB" w14:paraId="726D1399" w14:textId="2C4EB217">
            <w:pPr>
              <w:jc w:val="center"/>
              <w:rPr>
                <w:color w:val="000000"/>
              </w:rPr>
            </w:pPr>
            <w:r>
              <w:rPr>
                <w:color w:val="000000"/>
              </w:rPr>
              <w:lastRenderedPageBreak/>
              <w:t>Verified</w:t>
            </w:r>
          </w:p>
        </w:tc>
      </w:tr>
      <w:tr w:rsidRPr="007F620E" w:rsidR="008A38CE" w:rsidTr="00BC64BA" w14:paraId="182A6C63" w14:textId="77777777">
        <w:tc>
          <w:tcPr>
            <w:tcW w:w="3258" w:type="dxa"/>
            <w:shd w:val="clear" w:color="auto" w:fill="auto"/>
          </w:tcPr>
          <w:p w:rsidRPr="00B53ADA" w:rsidR="008A38CE" w:rsidP="008A38CE" w:rsidRDefault="00A43A76" w14:paraId="33BB4107" w14:textId="61B7770C">
            <w:pPr>
              <w:rPr>
                <w:b/>
                <w:bCs/>
                <w:color w:val="000000"/>
                <w:u w:val="single"/>
              </w:rPr>
            </w:pPr>
            <w:r>
              <w:rPr>
                <w:b/>
                <w:bCs/>
                <w:color w:val="000000"/>
                <w:u w:val="single"/>
              </w:rPr>
              <w:t xml:space="preserve">PCF advocated for </w:t>
            </w:r>
            <w:r w:rsidR="00E2497A">
              <w:rPr>
                <w:b/>
                <w:bCs/>
                <w:color w:val="000000"/>
                <w:u w:val="single"/>
              </w:rPr>
              <w:t xml:space="preserve">and made multiple recommendations regarding adoption of </w:t>
            </w:r>
            <w:r>
              <w:rPr>
                <w:b/>
                <w:bCs/>
                <w:color w:val="000000"/>
                <w:u w:val="single"/>
              </w:rPr>
              <w:t>RAMP reporting templates, and t</w:t>
            </w:r>
            <w:r w:rsidRPr="00B53ADA" w:rsidR="008A38CE">
              <w:rPr>
                <w:b/>
                <w:bCs/>
                <w:color w:val="000000"/>
                <w:u w:val="single"/>
              </w:rPr>
              <w:t xml:space="preserve">he Commission authorized the Commission’s staff and parties to prepare and propose recommendations </w:t>
            </w:r>
            <w:r>
              <w:rPr>
                <w:b/>
                <w:bCs/>
                <w:color w:val="000000"/>
                <w:u w:val="single"/>
              </w:rPr>
              <w:t xml:space="preserve">to </w:t>
            </w:r>
            <w:r w:rsidRPr="00B53ADA" w:rsidR="008A38CE">
              <w:rPr>
                <w:b/>
                <w:bCs/>
                <w:color w:val="000000"/>
                <w:u w:val="single"/>
              </w:rPr>
              <w:t>refin</w:t>
            </w:r>
            <w:r>
              <w:rPr>
                <w:b/>
                <w:bCs/>
                <w:color w:val="000000"/>
                <w:u w:val="single"/>
              </w:rPr>
              <w:t>e</w:t>
            </w:r>
            <w:r w:rsidRPr="00B53ADA" w:rsidR="008A38CE">
              <w:rPr>
                <w:b/>
                <w:bCs/>
                <w:color w:val="000000"/>
                <w:u w:val="single"/>
              </w:rPr>
              <w:t xml:space="preserve"> RAMP reporting templates</w:t>
            </w:r>
            <w:r w:rsidR="00E2497A">
              <w:rPr>
                <w:b/>
                <w:bCs/>
                <w:color w:val="000000"/>
                <w:u w:val="single"/>
              </w:rPr>
              <w:t xml:space="preserve">, allowing for PCF’s recommendations to be considered more fully </w:t>
            </w:r>
            <w:r>
              <w:rPr>
                <w:b/>
                <w:bCs/>
                <w:color w:val="000000"/>
                <w:u w:val="single"/>
              </w:rPr>
              <w:t xml:space="preserve"> in the future</w:t>
            </w:r>
            <w:r w:rsidRPr="00B53ADA" w:rsidR="008A38CE">
              <w:rPr>
                <w:b/>
                <w:bCs/>
                <w:color w:val="000000"/>
                <w:u w:val="single"/>
              </w:rPr>
              <w:t>.</w:t>
            </w:r>
          </w:p>
          <w:p w:rsidRPr="00B53ADA" w:rsidR="008A38CE" w:rsidP="008A38CE" w:rsidRDefault="008A38CE" w14:paraId="57DC9FFA" w14:textId="77777777">
            <w:pPr>
              <w:rPr>
                <w:b/>
                <w:bCs/>
                <w:color w:val="000000"/>
                <w:u w:val="single"/>
              </w:rPr>
            </w:pPr>
          </w:p>
          <w:p w:rsidR="00E2497A" w:rsidP="008A38CE" w:rsidRDefault="008A38CE" w14:paraId="38575EAB" w14:textId="77777777">
            <w:pPr>
              <w:rPr>
                <w:color w:val="000000"/>
              </w:rPr>
            </w:pPr>
            <w:r w:rsidRPr="00B53ADA">
              <w:rPr>
                <w:color w:val="000000"/>
              </w:rPr>
              <w:t xml:space="preserve">In D.24-05-064, the Commission acknowledged the benefits of a Mitigation Reporting Template and authorized the preparation of a Mitigation Project Selection Template and a Mitigation project Progress template, as recommended by PCF. PCF provided legal analysis demonstrating the benefits of reporting templates throughout Phase III by participating in all workshops and communicating with Cal Advocates and others, and by providing historical context to show why the templates would promote the Commission’s original goals in establishing the RDF. </w:t>
            </w:r>
          </w:p>
          <w:p w:rsidR="00E2497A" w:rsidP="008A38CE" w:rsidRDefault="00A43A76" w14:paraId="11307577" w14:textId="77777777">
            <w:pPr>
              <w:rPr>
                <w:color w:val="000000"/>
              </w:rPr>
            </w:pPr>
            <w:r>
              <w:rPr>
                <w:color w:val="000000"/>
              </w:rPr>
              <w:t xml:space="preserve">PCF proposed improvements to Cal Advocates template with respect to GHG emissions, and D.24-05-064 allows for further consideration of PCF’s proposed improvement. </w:t>
            </w:r>
          </w:p>
          <w:p w:rsidR="00E2497A" w:rsidP="008A38CE" w:rsidRDefault="00E2497A" w14:paraId="6CFB7BDA" w14:textId="77777777">
            <w:pPr>
              <w:rPr>
                <w:color w:val="000000"/>
              </w:rPr>
            </w:pPr>
            <w:r>
              <w:rPr>
                <w:color w:val="000000"/>
              </w:rPr>
              <w:t xml:space="preserve">PCF also recommended that the Commission should avoid unnecessary ambiguity if it defines the term “project.” </w:t>
            </w:r>
          </w:p>
          <w:p w:rsidRPr="00B53ADA" w:rsidR="008A38CE" w:rsidP="008A38CE" w:rsidRDefault="008A38CE" w14:paraId="45F21263" w14:textId="0B1EE3AB">
            <w:pPr>
              <w:rPr>
                <w:color w:val="000000"/>
              </w:rPr>
            </w:pPr>
            <w:r w:rsidRPr="00B53ADA">
              <w:rPr>
                <w:color w:val="000000"/>
              </w:rPr>
              <w:t>PCF recommended that the Commission allow intervenors, rather than just the Utilities, to contribute to any adopted template.</w:t>
            </w:r>
            <w:r w:rsidR="00A43A76">
              <w:rPr>
                <w:color w:val="000000"/>
              </w:rPr>
              <w:t>T</w:t>
            </w:r>
            <w:r w:rsidRPr="00B53ADA">
              <w:rPr>
                <w:color w:val="000000"/>
              </w:rPr>
              <w:t xml:space="preserve">he Commission </w:t>
            </w:r>
            <w:r w:rsidR="00A43A76">
              <w:rPr>
                <w:color w:val="000000"/>
              </w:rPr>
              <w:t xml:space="preserve">adopted a procedural outcome that </w:t>
            </w:r>
            <w:r w:rsidRPr="00B53ADA">
              <w:rPr>
                <w:color w:val="000000"/>
              </w:rPr>
              <w:t>authorize</w:t>
            </w:r>
            <w:r w:rsidR="00A43A76">
              <w:rPr>
                <w:color w:val="000000"/>
              </w:rPr>
              <w:t>s</w:t>
            </w:r>
            <w:r w:rsidRPr="00B53ADA">
              <w:rPr>
                <w:color w:val="000000"/>
              </w:rPr>
              <w:t xml:space="preserve"> both staff and parties to participate in the technical working that will eventually develop the templates</w:t>
            </w:r>
            <w:r w:rsidR="00A43A76">
              <w:rPr>
                <w:color w:val="000000"/>
              </w:rPr>
              <w:t>, allowing for</w:t>
            </w:r>
            <w:r w:rsidR="00E2497A">
              <w:rPr>
                <w:color w:val="000000"/>
              </w:rPr>
              <w:t xml:space="preserve"> each of</w:t>
            </w:r>
            <w:r w:rsidR="00A43A76">
              <w:rPr>
                <w:color w:val="000000"/>
              </w:rPr>
              <w:t xml:space="preserve"> PCF’s </w:t>
            </w:r>
            <w:r w:rsidR="00E2497A">
              <w:rPr>
                <w:color w:val="000000"/>
              </w:rPr>
              <w:t xml:space="preserve">recommendations </w:t>
            </w:r>
            <w:r w:rsidR="00A43A76">
              <w:rPr>
                <w:color w:val="000000"/>
              </w:rPr>
              <w:t>and other parties proposals to be considered more fully in the future</w:t>
            </w:r>
            <w:r w:rsidRPr="00B53ADA">
              <w:rPr>
                <w:color w:val="000000"/>
              </w:rPr>
              <w:t>.</w:t>
            </w:r>
          </w:p>
          <w:p w:rsidRPr="00693790" w:rsidR="008A38CE" w:rsidP="008A38CE" w:rsidRDefault="008A38CE" w14:paraId="49ED579C" w14:textId="3CBCD81A">
            <w:pPr>
              <w:rPr>
                <w:color w:val="000000"/>
              </w:rPr>
            </w:pPr>
          </w:p>
        </w:tc>
        <w:tc>
          <w:tcPr>
            <w:tcW w:w="4140" w:type="dxa"/>
            <w:shd w:val="clear" w:color="auto" w:fill="auto"/>
          </w:tcPr>
          <w:p w:rsidR="008A38CE" w:rsidP="008A38CE" w:rsidRDefault="008A38CE" w14:paraId="3EE6CABF" w14:textId="25A1288D">
            <w:pPr>
              <w:rPr>
                <w:color w:val="000000"/>
              </w:rPr>
            </w:pPr>
            <w:r>
              <w:rPr>
                <w:color w:val="000000"/>
              </w:rPr>
              <w:lastRenderedPageBreak/>
              <w:t>“</w:t>
            </w:r>
            <w:r w:rsidRPr="00CF5EB4">
              <w:rPr>
                <w:color w:val="000000"/>
              </w:rPr>
              <w:t>PCF and TURN are in support of use of the templates, with PCF claiming that SDG&amp;E’s and SoCalGas’ 2021 RAMP Reports failed to contain the minimum information necessary for the parties and the Commission to track risk reduction programs from the RAMP to the GRC and through to the Risk Spend Accountability Report (RSAR) as required by previous Commission decisions</w:t>
            </w:r>
            <w:r w:rsidR="0023306E">
              <w:rPr>
                <w:color w:val="000000"/>
              </w:rPr>
              <w:t>.</w:t>
            </w:r>
            <w:r>
              <w:rPr>
                <w:color w:val="000000"/>
              </w:rPr>
              <w:t>”</w:t>
            </w:r>
            <w:r w:rsidR="0023306E">
              <w:rPr>
                <w:color w:val="000000"/>
              </w:rPr>
              <w:t xml:space="preserve"> D.24-05-064, p. 106</w:t>
            </w:r>
            <w:r>
              <w:rPr>
                <w:color w:val="000000"/>
              </w:rPr>
              <w:t>.</w:t>
            </w:r>
          </w:p>
          <w:p w:rsidR="009203F5" w:rsidP="008A38CE" w:rsidRDefault="009203F5" w14:paraId="5576618C" w14:textId="77777777">
            <w:pPr>
              <w:rPr>
                <w:color w:val="000000"/>
              </w:rPr>
            </w:pPr>
          </w:p>
          <w:p w:rsidR="00E2497A" w:rsidP="008A38CE" w:rsidRDefault="00E2497A" w14:paraId="635FC7E4" w14:textId="4436AAB1">
            <w:pPr>
              <w:rPr>
                <w:color w:val="000000"/>
              </w:rPr>
            </w:pPr>
            <w:r>
              <w:rPr>
                <w:color w:val="000000"/>
              </w:rPr>
              <w:lastRenderedPageBreak/>
              <w:t>“</w:t>
            </w:r>
            <w:r w:rsidRPr="00E2497A">
              <w:rPr>
                <w:color w:val="000000"/>
              </w:rPr>
              <w:t>PCF agrees with Cal Advocates that the Commission should require the use of the templates beginning with 2025 filings and continuing with annual updates.</w:t>
            </w:r>
            <w:r>
              <w:rPr>
                <w:color w:val="000000"/>
              </w:rPr>
              <w:t>” D.24-05-064, p. 108.</w:t>
            </w:r>
          </w:p>
          <w:p w:rsidR="00E2497A" w:rsidP="008A38CE" w:rsidRDefault="00E2497A" w14:paraId="7E52E3AD" w14:textId="77777777">
            <w:pPr>
              <w:rPr>
                <w:color w:val="000000"/>
              </w:rPr>
            </w:pPr>
          </w:p>
          <w:p w:rsidR="009203F5" w:rsidP="008A38CE" w:rsidRDefault="009203F5" w14:paraId="5BD1C22E" w14:textId="56AFB94C">
            <w:pPr>
              <w:rPr>
                <w:color w:val="000000"/>
              </w:rPr>
            </w:pPr>
            <w:r>
              <w:rPr>
                <w:color w:val="000000"/>
              </w:rPr>
              <w:t>“</w:t>
            </w:r>
            <w:r w:rsidRPr="00D152F2" w:rsidR="00D152F2">
              <w:rPr>
                <w:color w:val="000000"/>
              </w:rPr>
              <w:t>PCF suggests the addition to the Mitigation Project Selection template of a variable that tracks the greenhouse gas (GHG) emissions associated with each mitigation and suggests that the information on alternative measures should be presented on the same axis as the measure itself</w:t>
            </w:r>
            <w:r w:rsidR="0023306E">
              <w:rPr>
                <w:color w:val="000000"/>
              </w:rPr>
              <w:t>.</w:t>
            </w:r>
            <w:r w:rsidRPr="00D152F2" w:rsidR="00D152F2">
              <w:rPr>
                <w:color w:val="000000"/>
              </w:rPr>
              <w:t>”</w:t>
            </w:r>
            <w:r w:rsidR="0023306E">
              <w:rPr>
                <w:color w:val="000000"/>
              </w:rPr>
              <w:t xml:space="preserve"> D.24-05-064, p. 108</w:t>
            </w:r>
            <w:r w:rsidR="00D152F2">
              <w:rPr>
                <w:color w:val="000000"/>
              </w:rPr>
              <w:t>.</w:t>
            </w:r>
          </w:p>
          <w:p w:rsidR="00AF2559" w:rsidP="008A38CE" w:rsidRDefault="00AF2559" w14:paraId="6053786B" w14:textId="77777777">
            <w:pPr>
              <w:rPr>
                <w:color w:val="000000"/>
              </w:rPr>
            </w:pPr>
          </w:p>
          <w:p w:rsidR="00585CB7" w:rsidP="008A38CE" w:rsidRDefault="00585CB7" w14:paraId="52F6AC98" w14:textId="6328BC15">
            <w:pPr>
              <w:rPr>
                <w:color w:val="000000"/>
              </w:rPr>
            </w:pPr>
            <w:r>
              <w:rPr>
                <w:color w:val="000000"/>
              </w:rPr>
              <w:t>“</w:t>
            </w:r>
            <w:r w:rsidRPr="00585CB7">
              <w:rPr>
                <w:color w:val="000000"/>
              </w:rPr>
              <w:t xml:space="preserve">On the question of if the term </w:t>
            </w:r>
            <w:r>
              <w:rPr>
                <w:color w:val="000000"/>
              </w:rPr>
              <w:t>‘</w:t>
            </w:r>
            <w:r w:rsidRPr="00585CB7">
              <w:rPr>
                <w:color w:val="000000"/>
              </w:rPr>
              <w:t>project</w:t>
            </w:r>
            <w:r>
              <w:rPr>
                <w:color w:val="000000"/>
              </w:rPr>
              <w:t>’</w:t>
            </w:r>
            <w:r w:rsidRPr="00585CB7">
              <w:rPr>
                <w:color w:val="000000"/>
              </w:rPr>
              <w:t xml:space="preserve"> needs to be defined within the RDF, parties are split… PCF supports the use of the common, dictionary definition of the term </w:t>
            </w:r>
            <w:r>
              <w:rPr>
                <w:color w:val="000000"/>
              </w:rPr>
              <w:t>‘</w:t>
            </w:r>
            <w:r w:rsidRPr="00585CB7">
              <w:rPr>
                <w:color w:val="000000"/>
              </w:rPr>
              <w:t>project</w:t>
            </w:r>
            <w:r>
              <w:rPr>
                <w:color w:val="000000"/>
              </w:rPr>
              <w:t>’</w:t>
            </w:r>
            <w:r w:rsidRPr="00585CB7">
              <w:rPr>
                <w:color w:val="000000"/>
              </w:rPr>
              <w:t xml:space="preserve"> and requests that, should the Commission define the term </w:t>
            </w:r>
            <w:r>
              <w:rPr>
                <w:color w:val="000000"/>
              </w:rPr>
              <w:t>‘</w:t>
            </w:r>
            <w:r w:rsidRPr="00585CB7">
              <w:rPr>
                <w:color w:val="000000"/>
              </w:rPr>
              <w:t>project,</w:t>
            </w:r>
            <w:r>
              <w:rPr>
                <w:color w:val="000000"/>
              </w:rPr>
              <w:t>’</w:t>
            </w:r>
            <w:r w:rsidRPr="00585CB7">
              <w:rPr>
                <w:color w:val="000000"/>
              </w:rPr>
              <w:t xml:space="preserve"> it should take care to avoid creating unnecessary ambiguity on whether risk reduction proposals constitute projects</w:t>
            </w:r>
            <w:r w:rsidR="0023306E">
              <w:rPr>
                <w:color w:val="000000"/>
              </w:rPr>
              <w:t>.</w:t>
            </w:r>
            <w:r>
              <w:rPr>
                <w:color w:val="000000"/>
              </w:rPr>
              <w:t>”</w:t>
            </w:r>
            <w:r w:rsidR="0023306E">
              <w:rPr>
                <w:color w:val="000000"/>
              </w:rPr>
              <w:t xml:space="preserve"> D.24-05-064, p. 109</w:t>
            </w:r>
            <w:r>
              <w:rPr>
                <w:color w:val="000000"/>
              </w:rPr>
              <w:t>.</w:t>
            </w:r>
          </w:p>
          <w:p w:rsidR="000B4F8F" w:rsidP="008A38CE" w:rsidRDefault="000B4F8F" w14:paraId="756E22A3" w14:textId="77777777">
            <w:pPr>
              <w:rPr>
                <w:color w:val="000000"/>
              </w:rPr>
            </w:pPr>
          </w:p>
          <w:p w:rsidR="000B4F8F" w:rsidP="008A38CE" w:rsidRDefault="000B4F8F" w14:paraId="665686F7" w14:textId="1E729497">
            <w:pPr>
              <w:rPr>
                <w:color w:val="000000"/>
              </w:rPr>
            </w:pPr>
            <w:r w:rsidRPr="000B4F8F">
              <w:rPr>
                <w:color w:val="000000"/>
              </w:rPr>
              <w:t xml:space="preserve">“There is a need to consider whether or not the RDF requires a definition for the term ‘project’.” </w:t>
            </w:r>
            <w:r>
              <w:rPr>
                <w:color w:val="000000"/>
              </w:rPr>
              <w:t>D.24-05-064, p.</w:t>
            </w:r>
            <w:r w:rsidRPr="000B4F8F">
              <w:rPr>
                <w:color w:val="000000"/>
              </w:rPr>
              <w:t xml:space="preserve"> 117 (F</w:t>
            </w:r>
            <w:r>
              <w:rPr>
                <w:color w:val="000000"/>
              </w:rPr>
              <w:t xml:space="preserve">inding of </w:t>
            </w:r>
            <w:r w:rsidRPr="000B4F8F">
              <w:rPr>
                <w:color w:val="000000"/>
              </w:rPr>
              <w:t>F</w:t>
            </w:r>
            <w:r>
              <w:rPr>
                <w:color w:val="000000"/>
              </w:rPr>
              <w:t>act</w:t>
            </w:r>
            <w:r w:rsidRPr="000B4F8F">
              <w:rPr>
                <w:color w:val="000000"/>
              </w:rPr>
              <w:t xml:space="preserve"> 44)</w:t>
            </w:r>
            <w:r>
              <w:rPr>
                <w:color w:val="000000"/>
              </w:rPr>
              <w:t>.</w:t>
            </w:r>
            <w:r w:rsidRPr="000B4F8F">
              <w:rPr>
                <w:color w:val="000000"/>
              </w:rPr>
              <w:t xml:space="preserve"> </w:t>
            </w:r>
          </w:p>
          <w:p w:rsidR="00585CB7" w:rsidP="008A38CE" w:rsidRDefault="00585CB7" w14:paraId="562DB302" w14:textId="77777777">
            <w:pPr>
              <w:rPr>
                <w:color w:val="000000"/>
              </w:rPr>
            </w:pPr>
          </w:p>
          <w:p w:rsidR="00AF2559" w:rsidP="008A38CE" w:rsidRDefault="00AF2559" w14:paraId="0BBD16F8" w14:textId="67975DCE">
            <w:pPr>
              <w:rPr>
                <w:color w:val="000000"/>
              </w:rPr>
            </w:pPr>
            <w:r>
              <w:rPr>
                <w:color w:val="000000"/>
              </w:rPr>
              <w:t>“</w:t>
            </w:r>
            <w:r w:rsidRPr="00AF2559">
              <w:rPr>
                <w:color w:val="000000"/>
              </w:rPr>
              <w:t>On the question of whether risk mitigation data at the project level can help decisionmakers address the concern of rising utility rates in California, PCF and TURN argue that project level data increases accuracy in costing mitigations and ensuring the prioritization of the most cost-effective mitigations</w:t>
            </w:r>
            <w:r w:rsidR="0023306E">
              <w:rPr>
                <w:color w:val="000000"/>
              </w:rPr>
              <w:t>.</w:t>
            </w:r>
            <w:r>
              <w:rPr>
                <w:color w:val="000000"/>
              </w:rPr>
              <w:t>”</w:t>
            </w:r>
            <w:r w:rsidR="0023306E">
              <w:rPr>
                <w:color w:val="000000"/>
              </w:rPr>
              <w:t xml:space="preserve"> D.24-05-064, p. 109</w:t>
            </w:r>
            <w:r>
              <w:rPr>
                <w:color w:val="000000"/>
              </w:rPr>
              <w:t>.</w:t>
            </w:r>
          </w:p>
          <w:p w:rsidR="008A38CE" w:rsidP="008A38CE" w:rsidRDefault="008A38CE" w14:paraId="36FCE87D" w14:textId="77777777">
            <w:pPr>
              <w:rPr>
                <w:color w:val="000000"/>
              </w:rPr>
            </w:pPr>
          </w:p>
          <w:p w:rsidR="008A38CE" w:rsidP="008A38CE" w:rsidRDefault="008A38CE" w14:paraId="1F6FDADB" w14:textId="017F8FEB">
            <w:pPr>
              <w:rPr>
                <w:color w:val="000000"/>
              </w:rPr>
            </w:pPr>
            <w:r>
              <w:rPr>
                <w:color w:val="000000"/>
              </w:rPr>
              <w:t>“</w:t>
            </w:r>
            <w:r w:rsidRPr="005A7D59">
              <w:rPr>
                <w:color w:val="000000"/>
              </w:rPr>
              <w:t xml:space="preserve">We are persuaded of the benefit of receiving the information Cal Advocates </w:t>
            </w:r>
            <w:r w:rsidRPr="005A7D59">
              <w:rPr>
                <w:color w:val="000000"/>
              </w:rPr>
              <w:lastRenderedPageBreak/>
              <w:t>proposes in the templates</w:t>
            </w:r>
            <w:r w:rsidR="0023306E">
              <w:rPr>
                <w:color w:val="000000"/>
              </w:rPr>
              <w:t>.</w:t>
            </w:r>
            <w:r>
              <w:rPr>
                <w:color w:val="000000"/>
              </w:rPr>
              <w:t>”</w:t>
            </w:r>
            <w:r w:rsidR="0023306E">
              <w:rPr>
                <w:color w:val="000000"/>
              </w:rPr>
              <w:t xml:space="preserve"> D.24-05-064, p. 110</w:t>
            </w:r>
            <w:r>
              <w:rPr>
                <w:color w:val="000000"/>
              </w:rPr>
              <w:t>.</w:t>
            </w:r>
          </w:p>
          <w:p w:rsidR="0013174B" w:rsidP="008A38CE" w:rsidRDefault="0013174B" w14:paraId="3C488B22" w14:textId="77777777">
            <w:pPr>
              <w:rPr>
                <w:color w:val="000000"/>
              </w:rPr>
            </w:pPr>
          </w:p>
          <w:p w:rsidR="0013174B" w:rsidP="008A38CE" w:rsidRDefault="0013174B" w14:paraId="30813459" w14:textId="6948789F">
            <w:pPr>
              <w:rPr>
                <w:color w:val="000000"/>
              </w:rPr>
            </w:pPr>
            <w:r>
              <w:rPr>
                <w:color w:val="000000"/>
              </w:rPr>
              <w:t>“</w:t>
            </w:r>
            <w:r w:rsidRPr="0013174B">
              <w:rPr>
                <w:color w:val="000000"/>
              </w:rPr>
              <w:t>However, the process, timing, and lexicon for the Risk Mitigation templates need further development in this or a successor proceeding. Parties are not in agreement on a definition of project or how such a definition should guide the IOUs in their development of RAMP and GRC filings… We intend to explore the application of a definition of project and the RMAR in this or a successor proceeding. To support the further refinement of the Mitigation Project Selection template and the Mitigation Project Progress template, we authorize continuation of the Technical Working Group (TWG) established in D.21-11-009. We authorize Commission’s staff and parties participating in the TWG to prepare and propose recommendations for refining the Mitigation Project Selection template and Mitigation Project Progress template for consideration of inclusion within the RDF. IOUs will also be afforded the opportunity to formally propose alternative templates that achieve the same goal of transparency, consistency across IOUs, and ease of use when it comes to assessing the data that informs selection and reporting progress of mitigations. Opportunities for workshop discussions and formal comment on all proposals will be provided</w:t>
            </w:r>
            <w:r w:rsidR="0023306E">
              <w:rPr>
                <w:color w:val="000000"/>
              </w:rPr>
              <w:t>.</w:t>
            </w:r>
            <w:r w:rsidRPr="0013174B">
              <w:rPr>
                <w:color w:val="000000"/>
              </w:rPr>
              <w:t>”</w:t>
            </w:r>
            <w:r w:rsidR="0023306E">
              <w:rPr>
                <w:color w:val="000000"/>
              </w:rPr>
              <w:t xml:space="preserve"> D.24-05-064, p. 110</w:t>
            </w:r>
            <w:r w:rsidR="004A5B48">
              <w:rPr>
                <w:color w:val="000000"/>
              </w:rPr>
              <w:t>.</w:t>
            </w:r>
          </w:p>
          <w:p w:rsidR="006B2216" w:rsidP="008A38CE" w:rsidRDefault="006B2216" w14:paraId="4F47A6FC" w14:textId="77777777">
            <w:pPr>
              <w:rPr>
                <w:color w:val="000000"/>
              </w:rPr>
            </w:pPr>
          </w:p>
          <w:p w:rsidR="006B2216" w:rsidP="008A38CE" w:rsidRDefault="008D7A80" w14:paraId="0125A96A" w14:textId="0D445D04">
            <w:pPr>
              <w:rPr>
                <w:color w:val="000000"/>
              </w:rPr>
            </w:pPr>
            <w:r w:rsidRPr="008D7A80">
              <w:rPr>
                <w:color w:val="000000"/>
              </w:rPr>
              <w:t xml:space="preserve">“The Commission should authorize the RDF TWG established in D.21-11-009 to consider whether or not the RDF requires a definition of the term “project”, and to prepare and propose recommendations for refining the Mitigation Project Selection template </w:t>
            </w:r>
            <w:r w:rsidRPr="008D7A80">
              <w:rPr>
                <w:color w:val="000000"/>
              </w:rPr>
              <w:lastRenderedPageBreak/>
              <w:t xml:space="preserve">and Mitigation Project Progress template for consideration of inclusion within the RDF.” </w:t>
            </w:r>
            <w:r>
              <w:rPr>
                <w:color w:val="000000"/>
              </w:rPr>
              <w:t xml:space="preserve">D.24-05-064, </w:t>
            </w:r>
            <w:r w:rsidRPr="008D7A80">
              <w:rPr>
                <w:color w:val="000000"/>
              </w:rPr>
              <w:t>p. 123 (C</w:t>
            </w:r>
            <w:r>
              <w:rPr>
                <w:color w:val="000000"/>
              </w:rPr>
              <w:t xml:space="preserve">onclusion of </w:t>
            </w:r>
            <w:r w:rsidRPr="008D7A80">
              <w:rPr>
                <w:color w:val="000000"/>
              </w:rPr>
              <w:t>L</w:t>
            </w:r>
            <w:r>
              <w:rPr>
                <w:color w:val="000000"/>
              </w:rPr>
              <w:t>aw</w:t>
            </w:r>
            <w:r w:rsidRPr="008D7A80">
              <w:rPr>
                <w:color w:val="000000"/>
              </w:rPr>
              <w:t xml:space="preserve"> 32)</w:t>
            </w:r>
            <w:r>
              <w:rPr>
                <w:color w:val="000000"/>
              </w:rPr>
              <w:t>.</w:t>
            </w:r>
          </w:p>
          <w:p w:rsidR="008A38CE" w:rsidP="008A38CE" w:rsidRDefault="008A38CE" w14:paraId="212BB610" w14:textId="77777777">
            <w:pPr>
              <w:rPr>
                <w:color w:val="000000"/>
              </w:rPr>
            </w:pPr>
          </w:p>
          <w:p w:rsidR="008A38CE" w:rsidP="008A38CE" w:rsidRDefault="008A38CE" w14:paraId="24F447A0" w14:textId="77777777">
            <w:pPr>
              <w:rPr>
                <w:color w:val="000000"/>
              </w:rPr>
            </w:pPr>
            <w:r>
              <w:rPr>
                <w:color w:val="000000"/>
              </w:rPr>
              <w:t>PCF Reply Comments on Phase 3 Roadmap (April 21, 2023), p. 2.</w:t>
            </w:r>
          </w:p>
          <w:p w:rsidR="008A38CE" w:rsidP="008A38CE" w:rsidRDefault="008A38CE" w14:paraId="4A6C875C" w14:textId="77777777">
            <w:pPr>
              <w:rPr>
                <w:color w:val="000000"/>
              </w:rPr>
            </w:pPr>
          </w:p>
          <w:p w:rsidR="008A38CE" w:rsidP="008A38CE" w:rsidRDefault="008A38CE" w14:paraId="4091C424" w14:textId="77777777">
            <w:pPr>
              <w:rPr>
                <w:color w:val="000000"/>
              </w:rPr>
            </w:pPr>
            <w:r>
              <w:rPr>
                <w:color w:val="000000"/>
              </w:rPr>
              <w:t>PCF Comments on Workshop #1, (August 10, 2023), p. 8 (“</w:t>
            </w:r>
            <w:r w:rsidRPr="00380EEB">
              <w:rPr>
                <w:color w:val="000000"/>
              </w:rPr>
              <w:t>PCF requests an opportunity for intervenors to contributed to a reporting template for the post-test year information. At a minimum, the template should ensure that the Commission, intervenors, and the public can understand how the utilities quantify, rank, prioritize, and optimize risk mitigation</w:t>
            </w:r>
            <w:r>
              <w:rPr>
                <w:color w:val="000000"/>
              </w:rPr>
              <w:t>”).</w:t>
            </w:r>
          </w:p>
          <w:p w:rsidR="008A38CE" w:rsidP="008A38CE" w:rsidRDefault="008A38CE" w14:paraId="331E6C40" w14:textId="77777777">
            <w:pPr>
              <w:rPr>
                <w:color w:val="000000"/>
              </w:rPr>
            </w:pPr>
          </w:p>
          <w:p w:rsidRPr="008247DC" w:rsidR="008A38CE" w:rsidP="008A38CE" w:rsidRDefault="008A38CE" w14:paraId="312B9E8E" w14:textId="50DCCF9B">
            <w:pPr>
              <w:rPr>
                <w:color w:val="000000"/>
              </w:rPr>
            </w:pPr>
            <w:r>
              <w:rPr>
                <w:color w:val="000000"/>
              </w:rPr>
              <w:t>PCF Comments on Workshop #5 (December 1, 2023), p. 6–7 (“</w:t>
            </w:r>
            <w:r w:rsidRPr="009479AC">
              <w:rPr>
                <w:color w:val="000000"/>
              </w:rPr>
              <w:t>Utilizing the Mitigation Project Selection template will promote the fundamental requirement of the RDF that programs be traceable from the RAMP to the GRC to the RSAR</w:t>
            </w:r>
            <w:r>
              <w:rPr>
                <w:color w:val="000000"/>
              </w:rPr>
              <w:t xml:space="preserve">… </w:t>
            </w:r>
            <w:r w:rsidRPr="00D53F5D">
              <w:rPr>
                <w:color w:val="000000"/>
              </w:rPr>
              <w:t>The Mitigation Project Progress template should be required for RAMP and GRC filings.</w:t>
            </w:r>
            <w:r w:rsidRPr="00D53F5D">
              <w:rPr>
                <w:color w:val="000000"/>
                <w:sz w:val="23"/>
                <w:szCs w:val="23"/>
              </w:rPr>
              <w:t xml:space="preserve"> </w:t>
            </w:r>
            <w:r w:rsidRPr="00D53F5D">
              <w:rPr>
                <w:color w:val="000000"/>
              </w:rPr>
              <w:t>As explained in Section III.12, utilities have failed to provide the minimum information necessary for the parties and the Commission to evaluate their prior RAMP reports as required by the Commission</w:t>
            </w:r>
            <w:r>
              <w:rPr>
                <w:color w:val="000000"/>
              </w:rPr>
              <w:t>”)</w:t>
            </w:r>
            <w:r w:rsidR="008247DC">
              <w:rPr>
                <w:color w:val="000000"/>
              </w:rPr>
              <w:t xml:space="preserve">; </w:t>
            </w:r>
            <w:r w:rsidR="008247DC">
              <w:rPr>
                <w:i/>
                <w:iCs/>
                <w:color w:val="000000"/>
              </w:rPr>
              <w:t>see also</w:t>
            </w:r>
            <w:r w:rsidR="008247DC">
              <w:rPr>
                <w:color w:val="000000"/>
              </w:rPr>
              <w:t>, D.24-05-064, p. 7</w:t>
            </w:r>
            <w:r w:rsidR="00F718D9">
              <w:rPr>
                <w:color w:val="000000"/>
              </w:rPr>
              <w:t xml:space="preserve"> (“On December 1, 2023…PCF… filed comments in response to the November 2, 2023 ALJ Ruling.”).</w:t>
            </w:r>
          </w:p>
          <w:p w:rsidR="008A38CE" w:rsidP="008A38CE" w:rsidRDefault="008A38CE" w14:paraId="716E761D" w14:textId="77777777">
            <w:pPr>
              <w:rPr>
                <w:color w:val="000000"/>
              </w:rPr>
            </w:pPr>
          </w:p>
          <w:p w:rsidR="008A38CE" w:rsidP="008A38CE" w:rsidRDefault="008A38CE" w14:paraId="35B63025" w14:textId="77777777">
            <w:pPr>
              <w:rPr>
                <w:color w:val="000000"/>
              </w:rPr>
            </w:pPr>
            <w:r w:rsidRPr="00D86F60">
              <w:rPr>
                <w:color w:val="000000"/>
              </w:rPr>
              <w:t>PCF Reply Comments on PD (May 21, 2024), p. 4–5 (“Past RDF decisions support</w:t>
            </w:r>
            <w:r w:rsidRPr="00D86F60">
              <w:rPr>
                <w:color w:val="000000"/>
                <w:sz w:val="23"/>
                <w:szCs w:val="23"/>
              </w:rPr>
              <w:t xml:space="preserve"> </w:t>
            </w:r>
            <w:r w:rsidRPr="00D86F60">
              <w:rPr>
                <w:color w:val="000000"/>
              </w:rPr>
              <w:t>Cal Advocates’ comments and make clear that project level information is necessary in order to manage and minimize</w:t>
            </w:r>
            <w:r w:rsidRPr="00E26FC9">
              <w:rPr>
                <w:color w:val="000000"/>
              </w:rPr>
              <w:t xml:space="preserve"> risks identified in a the Utilities’ RAMP and GRC submissions so that programs can be meaningfully </w:t>
            </w:r>
            <w:r w:rsidRPr="00E26FC9">
              <w:rPr>
                <w:color w:val="000000"/>
              </w:rPr>
              <w:lastRenderedPageBreak/>
              <w:t>tracked through the RDF process.</w:t>
            </w:r>
            <w:r w:rsidRPr="00E26FC9">
              <w:rPr>
                <w:color w:val="000000"/>
                <w:sz w:val="23"/>
                <w:szCs w:val="23"/>
              </w:rPr>
              <w:t xml:space="preserve"> </w:t>
            </w:r>
            <w:r w:rsidRPr="00E26FC9">
              <w:rPr>
                <w:color w:val="000000"/>
              </w:rPr>
              <w:t xml:space="preserve">The need for templates to report at the project level remains particularly critical for San Diego Gas &amp; Electric Company (SDG&amp;E) and Southern California Gas Company (SoCalGas), whose failure to adhere to the RDF’s fundamental mandates led the Commission to conclude in their last GRC that answers to the </w:t>
            </w:r>
            <w:r>
              <w:rPr>
                <w:color w:val="000000"/>
              </w:rPr>
              <w:t>‘</w:t>
            </w:r>
            <w:r w:rsidRPr="00E26FC9">
              <w:rPr>
                <w:color w:val="000000"/>
              </w:rPr>
              <w:t>core questions of what spending is proposed to mitigate risks, and how has past spending reduced risk per dollar spent</w:t>
            </w:r>
            <w:r>
              <w:rPr>
                <w:color w:val="000000"/>
              </w:rPr>
              <w:t>’</w:t>
            </w:r>
            <w:r w:rsidRPr="00E26FC9">
              <w:rPr>
                <w:color w:val="000000"/>
              </w:rPr>
              <w:t xml:space="preserve"> as required by the Commission’s RAMP decisions have not been </w:t>
            </w:r>
            <w:r>
              <w:rPr>
                <w:color w:val="000000"/>
              </w:rPr>
              <w:t>‘</w:t>
            </w:r>
            <w:r w:rsidRPr="00E26FC9">
              <w:rPr>
                <w:color w:val="000000"/>
              </w:rPr>
              <w:t>readily available</w:t>
            </w:r>
            <w:r>
              <w:rPr>
                <w:color w:val="000000"/>
              </w:rPr>
              <w:t>’</w:t>
            </w:r>
            <w:r w:rsidRPr="00E26FC9">
              <w:rPr>
                <w:color w:val="000000"/>
              </w:rPr>
              <w:t xml:space="preserve"> to the Commission in any SDG&amp;E and SoCalGas general rate case to date</w:t>
            </w:r>
            <w:r>
              <w:rPr>
                <w:color w:val="000000"/>
              </w:rPr>
              <w:t>”).</w:t>
            </w:r>
          </w:p>
          <w:p w:rsidR="008A38CE" w:rsidP="008A38CE" w:rsidRDefault="008A38CE" w14:paraId="2961CDCA" w14:textId="77777777">
            <w:pPr>
              <w:rPr>
                <w:color w:val="000000"/>
              </w:rPr>
            </w:pPr>
          </w:p>
          <w:p w:rsidR="008A38CE" w:rsidP="008A38CE" w:rsidRDefault="008A38CE" w14:paraId="3146D510" w14:textId="2233358F">
            <w:pPr>
              <w:rPr>
                <w:color w:val="000000"/>
              </w:rPr>
            </w:pPr>
          </w:p>
        </w:tc>
        <w:tc>
          <w:tcPr>
            <w:tcW w:w="2340" w:type="dxa"/>
            <w:shd w:val="clear" w:color="auto" w:fill="auto"/>
          </w:tcPr>
          <w:p w:rsidRPr="007F620E" w:rsidR="008A38CE" w:rsidP="00187FA5" w:rsidRDefault="00D32A3D" w14:paraId="0568950B" w14:textId="402379C7">
            <w:pPr>
              <w:jc w:val="center"/>
              <w:rPr>
                <w:color w:val="000000"/>
              </w:rPr>
            </w:pPr>
            <w:r>
              <w:rPr>
                <w:color w:val="000000"/>
              </w:rPr>
              <w:lastRenderedPageBreak/>
              <w:t>Verified</w:t>
            </w:r>
          </w:p>
        </w:tc>
      </w:tr>
      <w:tr w:rsidRPr="007F620E" w:rsidR="004D3A33" w:rsidTr="00BC64BA" w14:paraId="63299183" w14:textId="77777777">
        <w:tc>
          <w:tcPr>
            <w:tcW w:w="3258" w:type="dxa"/>
            <w:shd w:val="clear" w:color="auto" w:fill="auto"/>
          </w:tcPr>
          <w:p w:rsidR="004D3A33" w:rsidP="004D3A33" w:rsidRDefault="004D3A33" w14:paraId="5F0EB579" w14:textId="56C17667">
            <w:pPr>
              <w:rPr>
                <w:b/>
                <w:bCs/>
                <w:color w:val="000000"/>
                <w:u w:val="single"/>
              </w:rPr>
            </w:pPr>
            <w:r>
              <w:rPr>
                <w:b/>
                <w:bCs/>
                <w:color w:val="000000"/>
                <w:u w:val="single"/>
              </w:rPr>
              <w:lastRenderedPageBreak/>
              <w:t>PCF enriched the record by providing detailed analysis and factual citations to historical treatment of the Utilities’ assessment of climate change risks in the RDF process</w:t>
            </w:r>
            <w:r w:rsidR="00E2497A">
              <w:rPr>
                <w:b/>
                <w:bCs/>
                <w:color w:val="000000"/>
                <w:u w:val="single"/>
              </w:rPr>
              <w:t>, and the Commission recognized PCF’s concerns on behalf of ratepayers and required that climate hazards analysis requirements be flexible so that they can be updated and reconsidered in the future</w:t>
            </w:r>
            <w:r>
              <w:rPr>
                <w:b/>
                <w:bCs/>
                <w:color w:val="000000"/>
                <w:u w:val="single"/>
              </w:rPr>
              <w:t xml:space="preserve">. </w:t>
            </w:r>
          </w:p>
          <w:p w:rsidR="004D3A33" w:rsidP="004D3A33" w:rsidRDefault="004D3A33" w14:paraId="5254D526" w14:textId="77777777">
            <w:pPr>
              <w:rPr>
                <w:b/>
                <w:bCs/>
                <w:color w:val="000000"/>
                <w:u w:val="single"/>
              </w:rPr>
            </w:pPr>
          </w:p>
          <w:p w:rsidR="004D3A33" w:rsidP="004D3A33" w:rsidRDefault="004D3A33" w14:paraId="1B81E5C1" w14:textId="77777777">
            <w:pPr>
              <w:rPr>
                <w:color w:val="000000"/>
              </w:rPr>
            </w:pPr>
            <w:r>
              <w:rPr>
                <w:color w:val="000000"/>
              </w:rPr>
              <w:t xml:space="preserve">PCF explained that the RDF has long required quantitative consideration of climate change risks to the public resulting from the Utilities’ operations, and that ratepayers should not be forced to bear the expense of mitigating climate change risks caused by the Utilities’ operations without first minimizing the Utilities’ </w:t>
            </w:r>
            <w:r>
              <w:rPr>
                <w:color w:val="000000"/>
              </w:rPr>
              <w:lastRenderedPageBreak/>
              <w:t>contributions to climate change impacts. PCF enriched the record by providing a counternarrative to the Utilities’ incentive to profit from increased climate change mitigation capital expenditures while ignoring the fact that their own operations exacerbate climate change impacts. Although the Commission did not adopt PCF’s position in full, D.24-05-064 adopted PCF’s recommendations in part by recognizing the impact of climate change mitigation on ratepayers, allowing for adjustment and flexibility in the future as more information is learned, and by determining that Utilities are authorized to consider quantitative climate risk data.</w:t>
            </w:r>
          </w:p>
          <w:p w:rsidRPr="00BB4863" w:rsidR="004D3A33" w:rsidP="004D3A33" w:rsidRDefault="004D3A33" w14:paraId="738E7095" w14:textId="5CDE812E">
            <w:pPr>
              <w:rPr>
                <w:color w:val="000000"/>
              </w:rPr>
            </w:pPr>
          </w:p>
        </w:tc>
        <w:tc>
          <w:tcPr>
            <w:tcW w:w="4140" w:type="dxa"/>
            <w:shd w:val="clear" w:color="auto" w:fill="auto"/>
          </w:tcPr>
          <w:p w:rsidR="004D3A33" w:rsidP="004D3A33" w:rsidRDefault="004D3A33" w14:paraId="37C207BA" w14:textId="6B2A5D0D">
            <w:pPr>
              <w:rPr>
                <w:color w:val="000000"/>
              </w:rPr>
            </w:pPr>
            <w:r>
              <w:rPr>
                <w:color w:val="000000"/>
              </w:rPr>
              <w:lastRenderedPageBreak/>
              <w:t>“</w:t>
            </w:r>
            <w:r w:rsidR="008F558D">
              <w:rPr>
                <w:color w:val="000000"/>
              </w:rPr>
              <w:t>[W]</w:t>
            </w:r>
            <w:r w:rsidRPr="00502D69">
              <w:rPr>
                <w:color w:val="000000"/>
              </w:rPr>
              <w:t>hile it is important that utilities and the Commission consider climate change impacts on utility short term safety risks, we must do so in a balanced and measured way that allows for adjustment and flexibility as we learn more. Because mitigating safety risks has substantial cost implications to ratepayers, it is critical that we not overestimate the impact of</w:t>
            </w:r>
            <w:r>
              <w:rPr>
                <w:color w:val="000000"/>
              </w:rPr>
              <w:t xml:space="preserve"> </w:t>
            </w:r>
            <w:r w:rsidRPr="00502D69">
              <w:rPr>
                <w:color w:val="000000"/>
              </w:rPr>
              <w:t>climate change on such risks. Finding an appropriate balance between considering climate-induced additional risks but not overestimating this will be critical</w:t>
            </w:r>
            <w:r>
              <w:rPr>
                <w:color w:val="000000"/>
              </w:rPr>
              <w:t>”</w:t>
            </w:r>
            <w:r w:rsidR="008F558D">
              <w:rPr>
                <w:color w:val="000000"/>
              </w:rPr>
              <w:t xml:space="preserve"> D.24-05-064, p. 86–87</w:t>
            </w:r>
            <w:r>
              <w:rPr>
                <w:color w:val="000000"/>
              </w:rPr>
              <w:t>.</w:t>
            </w:r>
          </w:p>
          <w:p w:rsidR="004D3A33" w:rsidP="004D3A33" w:rsidRDefault="004D3A33" w14:paraId="29AF36ED" w14:textId="77777777">
            <w:pPr>
              <w:rPr>
                <w:color w:val="000000"/>
              </w:rPr>
            </w:pPr>
          </w:p>
          <w:p w:rsidR="004D3A33" w:rsidP="004D3A33" w:rsidRDefault="004D3A33" w14:paraId="41DAD918" w14:textId="64AFC1ED">
            <w:pPr>
              <w:rPr>
                <w:color w:val="000000"/>
              </w:rPr>
            </w:pPr>
            <w:r>
              <w:rPr>
                <w:color w:val="000000"/>
              </w:rPr>
              <w:t>“</w:t>
            </w:r>
            <w:r w:rsidRPr="00B20A15">
              <w:rPr>
                <w:color w:val="000000"/>
              </w:rPr>
              <w:t>Currently, the RDF permits but does not require the IOUs to consider quantitative climate risk data when using the RDF to develop their RAMP filings</w:t>
            </w:r>
            <w:r>
              <w:rPr>
                <w:color w:val="000000"/>
              </w:rPr>
              <w:t xml:space="preserve">… </w:t>
            </w:r>
            <w:r w:rsidRPr="00B20A15">
              <w:rPr>
                <w:color w:val="000000"/>
              </w:rPr>
              <w:t>This decision does not eliminate or significantly change this current authorization but rather clarifies it</w:t>
            </w:r>
            <w:r w:rsidR="002556D1">
              <w:rPr>
                <w:color w:val="000000"/>
              </w:rPr>
              <w:t>.</w:t>
            </w:r>
            <w:r>
              <w:rPr>
                <w:color w:val="000000"/>
              </w:rPr>
              <w:t>"</w:t>
            </w:r>
            <w:r w:rsidR="002556D1">
              <w:rPr>
                <w:color w:val="000000"/>
              </w:rPr>
              <w:t xml:space="preserve"> D.24-05-064 p. 87</w:t>
            </w:r>
            <w:r>
              <w:rPr>
                <w:color w:val="000000"/>
              </w:rPr>
              <w:t>.</w:t>
            </w:r>
          </w:p>
          <w:p w:rsidR="003B61F9" w:rsidP="004D3A33" w:rsidRDefault="003B61F9" w14:paraId="1675C428" w14:textId="77777777">
            <w:pPr>
              <w:rPr>
                <w:color w:val="000000"/>
              </w:rPr>
            </w:pPr>
          </w:p>
          <w:p w:rsidR="003B61F9" w:rsidP="003B61F9" w:rsidRDefault="003B61F9" w14:paraId="48DD7A4C" w14:textId="76F59C9D">
            <w:pPr>
              <w:rPr>
                <w:color w:val="000000"/>
              </w:rPr>
            </w:pPr>
            <w:r w:rsidRPr="003B61F9">
              <w:rPr>
                <w:color w:val="000000"/>
              </w:rPr>
              <w:lastRenderedPageBreak/>
              <w:t xml:space="preserve">“Quantitatively considering climate hazards in RAMP filings is not a simple or straightforward task.” </w:t>
            </w:r>
            <w:r>
              <w:rPr>
                <w:color w:val="000000"/>
              </w:rPr>
              <w:t>D.24-05-064, p</w:t>
            </w:r>
            <w:r w:rsidRPr="003B61F9">
              <w:rPr>
                <w:color w:val="000000"/>
              </w:rPr>
              <w:t>. 115 (F</w:t>
            </w:r>
            <w:r>
              <w:rPr>
                <w:color w:val="000000"/>
              </w:rPr>
              <w:t xml:space="preserve">inding of </w:t>
            </w:r>
            <w:r w:rsidRPr="003B61F9">
              <w:rPr>
                <w:color w:val="000000"/>
              </w:rPr>
              <w:t>F</w:t>
            </w:r>
            <w:r>
              <w:rPr>
                <w:color w:val="000000"/>
              </w:rPr>
              <w:t>act</w:t>
            </w:r>
            <w:r w:rsidRPr="003B61F9">
              <w:rPr>
                <w:color w:val="000000"/>
              </w:rPr>
              <w:t xml:space="preserve"> 23)</w:t>
            </w:r>
            <w:r>
              <w:rPr>
                <w:color w:val="000000"/>
              </w:rPr>
              <w:t>.</w:t>
            </w:r>
          </w:p>
          <w:p w:rsidR="00483EB2" w:rsidP="003B61F9" w:rsidRDefault="00483EB2" w14:paraId="197E1253" w14:textId="77777777">
            <w:pPr>
              <w:rPr>
                <w:color w:val="000000"/>
              </w:rPr>
            </w:pPr>
          </w:p>
          <w:p w:rsidRPr="00483EB2" w:rsidR="00483EB2" w:rsidP="00483EB2" w:rsidRDefault="00483EB2" w14:paraId="1435511C" w14:textId="2D1BB418">
            <w:pPr>
              <w:rPr>
                <w:color w:val="000000"/>
              </w:rPr>
            </w:pPr>
            <w:r w:rsidRPr="00483EB2">
              <w:rPr>
                <w:color w:val="000000"/>
              </w:rPr>
              <w:t xml:space="preserve">“Testing the integration of quantitative climate data into RAMP analyses will support Commission development of further guidance in this important area as determined necessary.” </w:t>
            </w:r>
            <w:r>
              <w:rPr>
                <w:color w:val="000000"/>
              </w:rPr>
              <w:t>D.24-05-064, p.</w:t>
            </w:r>
            <w:r w:rsidRPr="00483EB2">
              <w:rPr>
                <w:color w:val="000000"/>
              </w:rPr>
              <w:t xml:space="preserve"> 115 (F</w:t>
            </w:r>
            <w:r>
              <w:rPr>
                <w:color w:val="000000"/>
              </w:rPr>
              <w:t xml:space="preserve">inding of </w:t>
            </w:r>
            <w:r w:rsidRPr="00483EB2">
              <w:rPr>
                <w:color w:val="000000"/>
              </w:rPr>
              <w:t>F</w:t>
            </w:r>
            <w:r>
              <w:rPr>
                <w:color w:val="000000"/>
              </w:rPr>
              <w:t>act</w:t>
            </w:r>
            <w:r w:rsidRPr="00483EB2">
              <w:rPr>
                <w:color w:val="000000"/>
              </w:rPr>
              <w:t xml:space="preserve"> 27).</w:t>
            </w:r>
          </w:p>
          <w:p w:rsidR="00483EB2" w:rsidP="003B61F9" w:rsidRDefault="00483EB2" w14:paraId="355CB88A" w14:textId="77777777">
            <w:pPr>
              <w:rPr>
                <w:color w:val="000000"/>
              </w:rPr>
            </w:pPr>
          </w:p>
          <w:p w:rsidR="002612E0" w:rsidP="002612E0" w:rsidRDefault="002612E0" w14:paraId="220C973E" w14:textId="77777777">
            <w:pPr>
              <w:rPr>
                <w:color w:val="000000"/>
              </w:rPr>
            </w:pPr>
            <w:r w:rsidRPr="002612E0">
              <w:rPr>
                <w:color w:val="000000"/>
              </w:rPr>
              <w:t xml:space="preserve">“…The IOUs should seek to avoid, if possible, any long-term asset investment strategy that would be at risk in the future because of climate change impacts.” </w:t>
            </w:r>
            <w:r>
              <w:rPr>
                <w:color w:val="000000"/>
              </w:rPr>
              <w:t>D.24-05-064, p</w:t>
            </w:r>
            <w:r w:rsidRPr="002612E0">
              <w:rPr>
                <w:color w:val="000000"/>
              </w:rPr>
              <w:t>. 121 (</w:t>
            </w:r>
            <w:r>
              <w:rPr>
                <w:color w:val="000000"/>
              </w:rPr>
              <w:t>Conclusion of Law</w:t>
            </w:r>
            <w:r w:rsidRPr="002612E0">
              <w:rPr>
                <w:color w:val="000000"/>
              </w:rPr>
              <w:t xml:space="preserve"> 25)</w:t>
            </w:r>
            <w:r>
              <w:rPr>
                <w:color w:val="000000"/>
              </w:rPr>
              <w:t>.</w:t>
            </w:r>
          </w:p>
          <w:p w:rsidR="002612E0" w:rsidP="002612E0" w:rsidRDefault="002612E0" w14:paraId="6AA7D24B" w14:textId="77777777">
            <w:pPr>
              <w:rPr>
                <w:color w:val="000000"/>
              </w:rPr>
            </w:pPr>
          </w:p>
          <w:p w:rsidRPr="002612E0" w:rsidR="002612E0" w:rsidP="002612E0" w:rsidRDefault="002612E0" w14:paraId="3932C6A9" w14:textId="1351EF1C">
            <w:pPr>
              <w:rPr>
                <w:color w:val="000000"/>
              </w:rPr>
            </w:pPr>
            <w:r w:rsidRPr="002612E0">
              <w:rPr>
                <w:color w:val="000000"/>
              </w:rPr>
              <w:t xml:space="preserve">“The Commission should require all utility Climate Pilot White Papers to: (a) describe in detail the approach taken, data sources used, analysis, and lessons learned; (b) only use data sources that meet the standards developed in R.18-04-019 and provide workpapers; and (c) consider the risk reduction benefits of any climate adaptation investments resulting from CAVA analyses funded in previous GRC decisions and any adaptation-related resiliency or similar investments funded through previous GRC decisions or other relevant decisions that may reduce RAMP risks.” </w:t>
            </w:r>
            <w:r w:rsidR="00F871A4">
              <w:rPr>
                <w:color w:val="000000"/>
              </w:rPr>
              <w:t>D.24-05-064, p</w:t>
            </w:r>
            <w:r w:rsidRPr="002612E0">
              <w:rPr>
                <w:color w:val="000000"/>
              </w:rPr>
              <w:t>. 122 (C</w:t>
            </w:r>
            <w:r w:rsidR="00F871A4">
              <w:rPr>
                <w:color w:val="000000"/>
              </w:rPr>
              <w:t xml:space="preserve">onclusion of </w:t>
            </w:r>
            <w:r w:rsidRPr="002612E0">
              <w:rPr>
                <w:color w:val="000000"/>
              </w:rPr>
              <w:t>L</w:t>
            </w:r>
            <w:r w:rsidR="00F871A4">
              <w:rPr>
                <w:color w:val="000000"/>
              </w:rPr>
              <w:t>aw</w:t>
            </w:r>
            <w:r w:rsidRPr="002612E0">
              <w:rPr>
                <w:color w:val="000000"/>
              </w:rPr>
              <w:t xml:space="preserve"> 27)</w:t>
            </w:r>
            <w:r w:rsidR="00F871A4">
              <w:rPr>
                <w:color w:val="000000"/>
              </w:rPr>
              <w:t>.</w:t>
            </w:r>
          </w:p>
          <w:p w:rsidR="00320DFE" w:rsidP="004D3A33" w:rsidRDefault="002612E0" w14:paraId="386D6CAF" w14:textId="62139206">
            <w:pPr>
              <w:rPr>
                <w:color w:val="000000"/>
              </w:rPr>
            </w:pPr>
            <w:r w:rsidRPr="002612E0">
              <w:rPr>
                <w:color w:val="000000"/>
              </w:rPr>
              <w:t xml:space="preserve"> </w:t>
            </w:r>
          </w:p>
          <w:p w:rsidR="004D3A33" w:rsidP="004D3A33" w:rsidRDefault="004D3A33" w14:paraId="10EE3528" w14:textId="77777777">
            <w:pPr>
              <w:rPr>
                <w:color w:val="000000"/>
              </w:rPr>
            </w:pPr>
            <w:r>
              <w:rPr>
                <w:color w:val="000000"/>
              </w:rPr>
              <w:t>PCF Comments on Phase 3 Roadmap (April 03, 2023), p. 6 (“</w:t>
            </w:r>
            <w:r w:rsidRPr="008B037D">
              <w:rPr>
                <w:color w:val="000000"/>
              </w:rPr>
              <w:t>The Commission must ensure utility shareholders do not benefit – in the form of profits on capital expenditures or otherwise - from the very climate change impacts utility operations exacerbate</w:t>
            </w:r>
            <w:r>
              <w:rPr>
                <w:color w:val="000000"/>
              </w:rPr>
              <w:t>”); p.</w:t>
            </w:r>
            <w:r w:rsidRPr="008B037D">
              <w:rPr>
                <w:color w:val="000000"/>
              </w:rPr>
              <w:t xml:space="preserve"> </w:t>
            </w:r>
            <w:r>
              <w:rPr>
                <w:color w:val="000000"/>
              </w:rPr>
              <w:t>2–8 (“</w:t>
            </w:r>
            <w:r w:rsidRPr="004C48DA">
              <w:rPr>
                <w:color w:val="000000"/>
              </w:rPr>
              <w:t xml:space="preserve">SDG&amp;E’s and SoCalGas’s excuse for failing to </w:t>
            </w:r>
            <w:r w:rsidRPr="004C48DA">
              <w:rPr>
                <w:color w:val="000000"/>
              </w:rPr>
              <w:lastRenderedPageBreak/>
              <w:t>quantify climate change impacts remain illogical and fails to comply with the Commission’s RDF and the requirements of California law. SDG&amp;E’s and SoCalGas’ operations emit methane and, in SDG&amp;E’s case, cause wildfires, both of which of course exacerbate climate change and adverse climate change impacts. Climate change is a direct risk to public safety resulting from utility operations, and must be addressed to comport with the RDF, directives by the California Governor and Legislature and, as described below, climate science dictates</w:t>
            </w:r>
            <w:r>
              <w:rPr>
                <w:color w:val="000000"/>
              </w:rPr>
              <w:t>”).</w:t>
            </w:r>
          </w:p>
          <w:p w:rsidR="004D3A33" w:rsidP="004D3A33" w:rsidRDefault="004D3A33" w14:paraId="1D79F901" w14:textId="77777777">
            <w:pPr>
              <w:rPr>
                <w:color w:val="000000"/>
              </w:rPr>
            </w:pPr>
          </w:p>
          <w:p w:rsidRPr="009B7BEE" w:rsidR="004D3A33" w:rsidP="004D3A33" w:rsidRDefault="004D3A33" w14:paraId="6B525B0D" w14:textId="3A7CDA03">
            <w:pPr>
              <w:rPr>
                <w:color w:val="000000"/>
              </w:rPr>
            </w:pPr>
            <w:r>
              <w:rPr>
                <w:color w:val="000000"/>
              </w:rPr>
              <w:t>PCF Comments on Workshop #3 (October 13, 2023), p. 2–4 (“</w:t>
            </w:r>
            <w:r w:rsidRPr="005042FA">
              <w:rPr>
                <w:color w:val="000000"/>
              </w:rPr>
              <w:t xml:space="preserve">The Commission has not, however, allowed the utilities to decide whether or not to quantify risk reduction. Rather, the Commission has required that the utilities quantify risk reduction since its earliest RDF decisions, and climate risk reductions are no exception. As the Commission found in D.16-08-018, </w:t>
            </w:r>
            <w:r>
              <w:rPr>
                <w:color w:val="000000"/>
              </w:rPr>
              <w:t>‘</w:t>
            </w:r>
            <w:r w:rsidRPr="005042FA">
              <w:rPr>
                <w:color w:val="000000"/>
              </w:rPr>
              <w:t>without quantifying risk reduction, no meaningful ranking, prioritization or optimization of risk mitigations is possible, and the Commission’s goals and processes set forth in D.14-12-025 are compromised.</w:t>
            </w:r>
            <w:r>
              <w:rPr>
                <w:color w:val="000000"/>
              </w:rPr>
              <w:t>’</w:t>
            </w:r>
            <w:r w:rsidRPr="005042FA">
              <w:rPr>
                <w:color w:val="000000"/>
              </w:rPr>
              <w:t xml:space="preserve"> Thus, once a utility identifies a risk like climate change, as SDG&amp;E and SoCalGas acknowledged in their 2016 RAMP reports (the first RAMP reports), a quantitative analysis is already required</w:t>
            </w:r>
            <w:r>
              <w:rPr>
                <w:color w:val="000000"/>
              </w:rPr>
              <w:t>”)</w:t>
            </w:r>
            <w:r w:rsidR="009B7BEE">
              <w:rPr>
                <w:color w:val="000000"/>
              </w:rPr>
              <w:t xml:space="preserve">; </w:t>
            </w:r>
            <w:r w:rsidR="009B7BEE">
              <w:rPr>
                <w:i/>
                <w:iCs/>
                <w:color w:val="000000"/>
              </w:rPr>
              <w:t>see also</w:t>
            </w:r>
            <w:r w:rsidR="009B7BEE">
              <w:rPr>
                <w:color w:val="000000"/>
              </w:rPr>
              <w:t>, D.24-05-064, p. 7 (“PCF… filed opening comments on the questions regarding Workshop #3</w:t>
            </w:r>
            <w:r w:rsidR="00645CF1">
              <w:rPr>
                <w:color w:val="000000"/>
              </w:rPr>
              <w:t>”).</w:t>
            </w:r>
          </w:p>
          <w:p w:rsidR="004D3A33" w:rsidP="004D3A33" w:rsidRDefault="004D3A33" w14:paraId="517BEAB2" w14:textId="77777777">
            <w:pPr>
              <w:rPr>
                <w:color w:val="000000"/>
              </w:rPr>
            </w:pPr>
          </w:p>
          <w:p w:rsidR="004D3A33" w:rsidP="004D3A33" w:rsidRDefault="004D3A33" w14:paraId="3A81EEFA" w14:textId="66F564C7">
            <w:pPr>
              <w:rPr>
                <w:color w:val="000000"/>
              </w:rPr>
            </w:pPr>
          </w:p>
        </w:tc>
        <w:tc>
          <w:tcPr>
            <w:tcW w:w="2340" w:type="dxa"/>
            <w:shd w:val="clear" w:color="auto" w:fill="auto"/>
          </w:tcPr>
          <w:p w:rsidRPr="007F620E" w:rsidR="004D3A33" w:rsidP="00187FA5" w:rsidRDefault="0085684F" w14:paraId="25B9C78F" w14:textId="31A5BBA4">
            <w:pPr>
              <w:jc w:val="center"/>
              <w:rPr>
                <w:color w:val="000000"/>
              </w:rPr>
            </w:pPr>
            <w:r>
              <w:rPr>
                <w:color w:val="000000"/>
              </w:rPr>
              <w:lastRenderedPageBreak/>
              <w:t>Verified</w:t>
            </w:r>
          </w:p>
        </w:tc>
      </w:tr>
    </w:tbl>
    <w:p w:rsidR="00EF3FEA" w:rsidP="00EF3FEA" w:rsidRDefault="00EF3FEA" w14:paraId="5C483E71" w14:textId="77777777">
      <w:pPr>
        <w:keepNext/>
        <w:spacing w:before="240" w:after="240"/>
        <w:ind w:left="360"/>
        <w:rPr>
          <w:b/>
          <w:color w:val="000000"/>
        </w:rPr>
      </w:pPr>
    </w:p>
    <w:p w:rsidR="00EF3FEA" w:rsidRDefault="00EF3FEA" w14:paraId="6D9F6D74" w14:textId="77777777">
      <w:pPr>
        <w:rPr>
          <w:b/>
          <w:color w:val="000000"/>
        </w:rPr>
      </w:pPr>
      <w:r>
        <w:rPr>
          <w:b/>
          <w:color w:val="000000"/>
        </w:rPr>
        <w:br w:type="page"/>
      </w:r>
    </w:p>
    <w:p w:rsidRPr="00046B63" w:rsidR="00A92D0B" w:rsidP="00046B63" w:rsidRDefault="00A92D0B" w14:paraId="0D4BCD3A" w14:textId="200C473E">
      <w:pPr>
        <w:pStyle w:val="ListParagraph"/>
        <w:keepNext/>
        <w:numPr>
          <w:ilvl w:val="0"/>
          <w:numId w:val="11"/>
        </w:numPr>
        <w:spacing w:before="240" w:after="240"/>
        <w:rPr>
          <w:rFonts w:ascii="Times New Roman" w:hAnsi="Times New Roman"/>
          <w:b/>
          <w:color w:val="000000"/>
          <w:sz w:val="24"/>
          <w:szCs w:val="24"/>
        </w:rPr>
      </w:pPr>
      <w:r w:rsidRPr="00046B63">
        <w:rPr>
          <w:rFonts w:ascii="Times New Roman" w:hAnsi="Times New Roman"/>
          <w:b/>
          <w:color w:val="000000"/>
          <w:sz w:val="24"/>
          <w:szCs w:val="24"/>
        </w:rPr>
        <w:lastRenderedPageBreak/>
        <w:t xml:space="preserve">Duplication of Effort (§ 1801.3(f) </w:t>
      </w:r>
      <w:r w:rsidRPr="00046B63" w:rsidR="00F30DA8">
        <w:rPr>
          <w:rFonts w:ascii="Times New Roman" w:hAnsi="Times New Roman"/>
          <w:b/>
          <w:color w:val="000000"/>
          <w:sz w:val="24"/>
          <w:szCs w:val="24"/>
        </w:rPr>
        <w:t xml:space="preserve">and § </w:t>
      </w:r>
      <w:r w:rsidRPr="00046B63" w:rsidR="0022302F">
        <w:rPr>
          <w:rFonts w:ascii="Times New Roman" w:hAnsi="Times New Roman"/>
          <w:b/>
          <w:color w:val="000000"/>
          <w:sz w:val="24"/>
          <w:szCs w:val="24"/>
        </w:rPr>
        <w:t>1802.5)</w:t>
      </w:r>
      <w:r w:rsidRPr="00046B63" w:rsidR="00C02649">
        <w:rPr>
          <w:rFonts w:ascii="Times New Roman" w:hAnsi="Times New Roman"/>
          <w:b/>
          <w:color w:val="000000"/>
          <w:sz w:val="24"/>
          <w:szCs w:val="24"/>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7F620E" w:rsidR="00A92D0B" w:rsidTr="00261FD2" w14:paraId="76F3266C" w14:textId="77777777">
        <w:tc>
          <w:tcPr>
            <w:tcW w:w="6048" w:type="dxa"/>
            <w:shd w:val="clear" w:color="auto" w:fill="D9D9D9" w:themeFill="background1" w:themeFillShade="D9"/>
          </w:tcPr>
          <w:p w:rsidRPr="007F620E" w:rsidR="00A92D0B" w:rsidP="00073262" w:rsidRDefault="00A92D0B" w14:paraId="300CEDBC" w14:textId="77777777">
            <w:pPr>
              <w:keepNext/>
              <w:keepLines/>
              <w:rPr>
                <w:color w:val="000000"/>
              </w:rPr>
            </w:pPr>
          </w:p>
        </w:tc>
        <w:tc>
          <w:tcPr>
            <w:tcW w:w="1710" w:type="dxa"/>
            <w:tcBorders>
              <w:bottom w:val="single" w:color="auto" w:sz="4" w:space="0"/>
            </w:tcBorders>
            <w:shd w:val="clear" w:color="auto" w:fill="D9D9D9" w:themeFill="background1" w:themeFillShade="D9"/>
          </w:tcPr>
          <w:p w:rsidRPr="007F620E" w:rsidR="00A92D0B" w:rsidP="00073262" w:rsidRDefault="005A63D4" w14:paraId="7B091096" w14:textId="77777777">
            <w:pPr>
              <w:keepNext/>
              <w:keepLines/>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073262" w:rsidRDefault="00A92D0B" w14:paraId="25CE5081" w14:textId="77777777">
            <w:pPr>
              <w:keepNext/>
              <w:keepLines/>
              <w:jc w:val="center"/>
              <w:rPr>
                <w:b/>
                <w:color w:val="000000"/>
              </w:rPr>
            </w:pPr>
            <w:r w:rsidRPr="007F620E">
              <w:rPr>
                <w:b/>
                <w:color w:val="000000"/>
              </w:rPr>
              <w:t xml:space="preserve">CPUC </w:t>
            </w:r>
            <w:r w:rsidRPr="007F620E" w:rsidR="00D075B1">
              <w:rPr>
                <w:b/>
                <w:color w:val="000000"/>
              </w:rPr>
              <w:t>Discussion</w:t>
            </w:r>
          </w:p>
        </w:tc>
      </w:tr>
      <w:tr w:rsidRPr="007F620E" w:rsidR="00A92D0B" w:rsidTr="00261FD2" w14:paraId="24A12BE1" w14:textId="77777777">
        <w:trPr>
          <w:tblHeader/>
        </w:trPr>
        <w:tc>
          <w:tcPr>
            <w:tcW w:w="6048" w:type="dxa"/>
            <w:shd w:val="clear" w:color="auto" w:fill="auto"/>
          </w:tcPr>
          <w:p w:rsidRPr="007F620E" w:rsidR="00A92D0B" w:rsidP="00073262" w:rsidRDefault="00A92D0B" w14:paraId="6915FAF6" w14:textId="51EA881B">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tcPr>
          <w:p w:rsidRPr="00261FD2" w:rsidR="00A92D0B" w:rsidP="00187FA5" w:rsidRDefault="00473A73" w14:paraId="0B49A7C8" w14:textId="3C650332">
            <w:pPr>
              <w:keepNext/>
              <w:keepLines/>
              <w:jc w:val="center"/>
              <w:rPr>
                <w:color w:val="000000"/>
              </w:rPr>
            </w:pPr>
            <w:r w:rsidRPr="00261FD2">
              <w:rPr>
                <w:color w:val="000000"/>
              </w:rPr>
              <w:t>Yes.</w:t>
            </w:r>
          </w:p>
        </w:tc>
        <w:tc>
          <w:tcPr>
            <w:tcW w:w="1980" w:type="dxa"/>
            <w:shd w:val="clear" w:color="auto" w:fill="auto"/>
          </w:tcPr>
          <w:p w:rsidRPr="00E25078" w:rsidR="00A92D0B" w:rsidP="00187FA5" w:rsidRDefault="000D5961" w14:paraId="23B6532A" w14:textId="7D54E6D2">
            <w:pPr>
              <w:keepNext/>
              <w:keepLines/>
              <w:jc w:val="center"/>
              <w:rPr>
                <w:color w:val="000000"/>
              </w:rPr>
            </w:pPr>
            <w:r>
              <w:rPr>
                <w:color w:val="000000"/>
              </w:rPr>
              <w:t>Verified</w:t>
            </w:r>
          </w:p>
        </w:tc>
      </w:tr>
      <w:tr w:rsidRPr="007F620E" w:rsidR="00A92D0B" w:rsidTr="00261FD2" w14:paraId="3317BD71" w14:textId="77777777">
        <w:tc>
          <w:tcPr>
            <w:tcW w:w="6048" w:type="dxa"/>
            <w:shd w:val="clear" w:color="auto" w:fill="auto"/>
          </w:tcPr>
          <w:p w:rsidRPr="007F620E" w:rsidR="00A92D0B" w:rsidP="00073262"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710" w:type="dxa"/>
            <w:shd w:val="clear" w:color="auto" w:fill="auto"/>
          </w:tcPr>
          <w:p w:rsidRPr="00261FD2" w:rsidR="00A92D0B" w:rsidP="00187FA5" w:rsidRDefault="00473A73" w14:paraId="3708E485" w14:textId="52A760DE">
            <w:pPr>
              <w:jc w:val="center"/>
              <w:rPr>
                <w:color w:val="000000"/>
              </w:rPr>
            </w:pPr>
            <w:r w:rsidRPr="00261FD2">
              <w:rPr>
                <w:color w:val="000000"/>
              </w:rPr>
              <w:t>Yes.</w:t>
            </w:r>
          </w:p>
        </w:tc>
        <w:tc>
          <w:tcPr>
            <w:tcW w:w="1980" w:type="dxa"/>
            <w:shd w:val="clear" w:color="auto" w:fill="auto"/>
          </w:tcPr>
          <w:p w:rsidRPr="00E25078" w:rsidR="00A92D0B" w:rsidP="00187FA5" w:rsidRDefault="000D5961" w14:paraId="6B3388E6" w14:textId="5EDA450A">
            <w:pPr>
              <w:jc w:val="center"/>
              <w:rPr>
                <w:color w:val="000000"/>
              </w:rPr>
            </w:pPr>
            <w:r>
              <w:rPr>
                <w:color w:val="000000"/>
              </w:rPr>
              <w:t>Ver</w:t>
            </w:r>
            <w:r w:rsidR="00757557">
              <w:rPr>
                <w:color w:val="000000"/>
              </w:rPr>
              <w:t>i</w:t>
            </w:r>
            <w:r>
              <w:rPr>
                <w:color w:val="000000"/>
              </w:rPr>
              <w:t>fied</w:t>
            </w:r>
          </w:p>
        </w:tc>
      </w:tr>
      <w:tr w:rsidRPr="007F620E" w:rsidR="00A92D0B" w:rsidTr="00261FD2" w14:paraId="0A51B7D4" w14:textId="77777777">
        <w:tc>
          <w:tcPr>
            <w:tcW w:w="7758" w:type="dxa"/>
            <w:gridSpan w:val="2"/>
            <w:shd w:val="clear" w:color="auto" w:fill="auto"/>
          </w:tcPr>
          <w:p w:rsidRPr="00261FD2" w:rsidR="00A92D0B" w:rsidP="00073262" w:rsidRDefault="00A92D0B" w14:paraId="30CB6275" w14:textId="7D63B4F2">
            <w:pPr>
              <w:ind w:left="360" w:hanging="360"/>
              <w:rPr>
                <w:color w:val="000000"/>
              </w:rPr>
            </w:pPr>
            <w:r w:rsidRPr="00261FD2">
              <w:rPr>
                <w:b/>
                <w:color w:val="000000"/>
              </w:rPr>
              <w:t>c.</w:t>
            </w:r>
            <w:r w:rsidRPr="00261FD2">
              <w:rPr>
                <w:b/>
                <w:color w:val="000000"/>
              </w:rPr>
              <w:tab/>
              <w:t>If so, provide name of other parties:</w:t>
            </w:r>
            <w:r w:rsidRPr="00261FD2" w:rsidR="00E25078">
              <w:rPr>
                <w:color w:val="000000"/>
              </w:rPr>
              <w:t xml:space="preserve"> </w:t>
            </w:r>
          </w:p>
          <w:p w:rsidRPr="00261FD2" w:rsidR="00691528" w:rsidP="00073262" w:rsidRDefault="00CC153D" w14:paraId="058CE425" w14:textId="7B5F52AA">
            <w:pPr>
              <w:ind w:left="360" w:hanging="360"/>
              <w:rPr>
                <w:color w:val="000000"/>
              </w:rPr>
            </w:pPr>
            <w:r w:rsidRPr="00261FD2">
              <w:rPr>
                <w:color w:val="000000"/>
              </w:rPr>
              <w:t xml:space="preserve">EPUC/IS, </w:t>
            </w:r>
            <w:r w:rsidRPr="00261FD2" w:rsidR="003C291D">
              <w:rPr>
                <w:color w:val="000000"/>
              </w:rPr>
              <w:t xml:space="preserve">TURN, </w:t>
            </w:r>
            <w:r w:rsidRPr="00261FD2" w:rsidR="00AC7EE2">
              <w:rPr>
                <w:color w:val="000000"/>
              </w:rPr>
              <w:t xml:space="preserve">MGRA, </w:t>
            </w:r>
            <w:r w:rsidRPr="00261FD2" w:rsidR="004A4242">
              <w:rPr>
                <w:color w:val="000000"/>
              </w:rPr>
              <w:t>Cal Advocates</w:t>
            </w:r>
          </w:p>
          <w:p w:rsidRPr="00261FD2" w:rsidR="00A92D0B" w:rsidP="00073262" w:rsidRDefault="00A92D0B" w14:paraId="0919176B" w14:textId="77777777">
            <w:pPr>
              <w:ind w:left="360" w:hanging="360"/>
              <w:rPr>
                <w:color w:val="000000"/>
              </w:rPr>
            </w:pPr>
          </w:p>
        </w:tc>
        <w:tc>
          <w:tcPr>
            <w:tcW w:w="1980" w:type="dxa"/>
            <w:shd w:val="clear" w:color="auto" w:fill="auto"/>
          </w:tcPr>
          <w:p w:rsidRPr="00E25078" w:rsidR="00A92D0B" w:rsidP="00187FA5" w:rsidRDefault="003556A5" w14:paraId="22A40B49" w14:textId="7E80B507">
            <w:pPr>
              <w:jc w:val="center"/>
              <w:rPr>
                <w:color w:val="000000"/>
              </w:rPr>
            </w:pPr>
            <w:r>
              <w:rPr>
                <w:color w:val="000000"/>
              </w:rPr>
              <w:t>Verified</w:t>
            </w:r>
          </w:p>
        </w:tc>
      </w:tr>
      <w:tr w:rsidRPr="007F620E" w:rsidR="00A92D0B" w:rsidTr="00261FD2" w14:paraId="744830F5" w14:textId="77777777">
        <w:tc>
          <w:tcPr>
            <w:tcW w:w="7758" w:type="dxa"/>
            <w:gridSpan w:val="2"/>
            <w:shd w:val="clear" w:color="auto" w:fill="auto"/>
          </w:tcPr>
          <w:p w:rsidRPr="00261FD2" w:rsidR="00A92D0B" w:rsidP="00073262" w:rsidRDefault="00A92D0B" w14:paraId="7C05FE5A" w14:textId="7521972E">
            <w:pPr>
              <w:tabs>
                <w:tab w:val="left" w:pos="360"/>
              </w:tabs>
              <w:ind w:left="360" w:hanging="360"/>
              <w:rPr>
                <w:color w:val="000000"/>
              </w:rPr>
            </w:pPr>
            <w:r w:rsidRPr="00261FD2">
              <w:rPr>
                <w:b/>
                <w:color w:val="000000"/>
              </w:rPr>
              <w:t>d.</w:t>
            </w:r>
            <w:r w:rsidRPr="00261FD2">
              <w:rPr>
                <w:b/>
                <w:color w:val="000000"/>
              </w:rPr>
              <w:tab/>
            </w:r>
            <w:r w:rsidRPr="00261FD2" w:rsidR="00D075B1">
              <w:rPr>
                <w:b/>
                <w:color w:val="000000"/>
              </w:rPr>
              <w:t xml:space="preserve">Intervenor’s </w:t>
            </w:r>
            <w:r w:rsidRPr="00261FD2" w:rsidR="00A319DE">
              <w:rPr>
                <w:b/>
                <w:color w:val="000000"/>
              </w:rPr>
              <w:t>c</w:t>
            </w:r>
            <w:r w:rsidRPr="00261FD2" w:rsidR="00D075B1">
              <w:rPr>
                <w:b/>
                <w:color w:val="000000"/>
              </w:rPr>
              <w:t xml:space="preserve">laim of </w:t>
            </w:r>
            <w:r w:rsidRPr="00261FD2" w:rsidR="00A319DE">
              <w:rPr>
                <w:b/>
                <w:color w:val="000000"/>
              </w:rPr>
              <w:t>n</w:t>
            </w:r>
            <w:r w:rsidRPr="00261FD2" w:rsidR="00D075B1">
              <w:rPr>
                <w:b/>
                <w:color w:val="000000"/>
              </w:rPr>
              <w:t>on-</w:t>
            </w:r>
            <w:r w:rsidRPr="00261FD2" w:rsidR="00A319DE">
              <w:rPr>
                <w:b/>
                <w:color w:val="000000"/>
              </w:rPr>
              <w:t>d</w:t>
            </w:r>
            <w:r w:rsidRPr="00261FD2" w:rsidR="00D075B1">
              <w:rPr>
                <w:b/>
                <w:color w:val="000000"/>
              </w:rPr>
              <w:t>uplication:</w:t>
            </w:r>
            <w:r w:rsidRPr="00261FD2" w:rsidR="00E25078">
              <w:rPr>
                <w:color w:val="000000"/>
              </w:rPr>
              <w:t xml:space="preserve"> </w:t>
            </w:r>
          </w:p>
          <w:p w:rsidRPr="00261FD2" w:rsidR="00C2744C" w:rsidP="00073262" w:rsidRDefault="00C2744C" w14:paraId="2A7E8F2C" w14:textId="77777777">
            <w:pPr>
              <w:tabs>
                <w:tab w:val="left" w:pos="360"/>
              </w:tabs>
              <w:ind w:left="360" w:hanging="360"/>
              <w:rPr>
                <w:color w:val="000000"/>
              </w:rPr>
            </w:pPr>
          </w:p>
          <w:p w:rsidRPr="00261FD2" w:rsidR="00030C3E" w:rsidP="00EF3FEA" w:rsidRDefault="0014394F" w14:paraId="57621B8A" w14:textId="21EBF2F2">
            <w:r w:rsidRPr="00261FD2">
              <w:t xml:space="preserve">Phase 3 of this proceeding included </w:t>
            </w:r>
            <w:r w:rsidRPr="00261FD2" w:rsidR="005600C7">
              <w:t xml:space="preserve">six separate workshops which dealt with multiple issues. </w:t>
            </w:r>
            <w:r w:rsidRPr="00261FD2" w:rsidR="00DA0DB9">
              <w:t xml:space="preserve">Where </w:t>
            </w:r>
            <w:r w:rsidRPr="00261FD2" w:rsidR="00DD504F">
              <w:t xml:space="preserve">PCF </w:t>
            </w:r>
            <w:r w:rsidRPr="00261FD2" w:rsidR="005600C7">
              <w:t xml:space="preserve">and other intervenors </w:t>
            </w:r>
            <w:r w:rsidRPr="00261FD2" w:rsidR="00DD504F">
              <w:t>share</w:t>
            </w:r>
            <w:r w:rsidRPr="00261FD2" w:rsidR="005600C7">
              <w:t>d similar</w:t>
            </w:r>
            <w:r w:rsidRPr="00261FD2" w:rsidR="00DD504F">
              <w:t xml:space="preserve"> positions</w:t>
            </w:r>
            <w:r w:rsidRPr="00261FD2" w:rsidR="00DA0DB9">
              <w:t xml:space="preserve">, </w:t>
            </w:r>
            <w:r w:rsidRPr="00261FD2" w:rsidR="00DD504F">
              <w:t>PCF</w:t>
            </w:r>
            <w:r w:rsidRPr="00261FD2" w:rsidR="00DA0DB9">
              <w:t>’s participation</w:t>
            </w:r>
            <w:r w:rsidRPr="00261FD2" w:rsidR="00DD504F">
              <w:t xml:space="preserve"> </w:t>
            </w:r>
            <w:r w:rsidRPr="00261FD2" w:rsidR="00EF3FEA">
              <w:t xml:space="preserve">did not duplicate the work of other intervenors </w:t>
            </w:r>
            <w:r w:rsidRPr="00261FD2" w:rsidR="00D52620">
              <w:t>because PCF focuses on the interests of Southern California ratepayers who have been subject to unique circumstances with the Commission’s RDF process procedurally and because SDG&amp;E and SoCalGas have not adhered to RDF requirements as closely as their counterparts PG&amp;E and SCE.  Thus, the interests PCF represents remain dissimilar to and are not adequately represented by parties that advocate for California ratepayers as a whole</w:t>
            </w:r>
            <w:r w:rsidRPr="00261FD2" w:rsidR="00E2497A">
              <w:t xml:space="preserve"> or that are focused on wildfire risk specifically</w:t>
            </w:r>
            <w:r w:rsidRPr="00261FD2" w:rsidR="00D52620">
              <w:t xml:space="preserve">.  Pub. Util. Code, § 1801.3(f).  Additionally, PCF </w:t>
            </w:r>
            <w:r w:rsidRPr="00261FD2" w:rsidR="00EF3FEA">
              <w:t>supplemented</w:t>
            </w:r>
            <w:r w:rsidRPr="00261FD2" w:rsidR="009B2F1B">
              <w:t>, complimented, and contributed to the arguments of other intervenors</w:t>
            </w:r>
            <w:r w:rsidRPr="00261FD2" w:rsidR="00CB0FF9">
              <w:t xml:space="preserve"> by performing conceptually different analysis to support its position.</w:t>
            </w:r>
            <w:r w:rsidRPr="00261FD2" w:rsidR="00486A5D">
              <w:t xml:space="preserve"> </w:t>
            </w:r>
            <w:r w:rsidRPr="00261FD2" w:rsidR="005D1EEF">
              <w:t>Intervenor Compensation Program Guide, p. 21</w:t>
            </w:r>
            <w:r w:rsidRPr="00261FD2" w:rsidR="00CB0FF9">
              <w:t xml:space="preserve"> (</w:t>
            </w:r>
            <w:r w:rsidRPr="00261FD2" w:rsidR="005D1EEF">
              <w:t>intervenors avoid duplication when they perform conceptually different analysis to support their position</w:t>
            </w:r>
            <w:r w:rsidRPr="00261FD2" w:rsidR="00CB0FF9">
              <w:t>); Pub. Util. Code, § 1802.5</w:t>
            </w:r>
            <w:r w:rsidRPr="00261FD2" w:rsidR="00FA4E75">
              <w:t xml:space="preserve"> (</w:t>
            </w:r>
            <w:r w:rsidRPr="00261FD2" w:rsidR="00FA4E75">
              <w:rPr>
                <w:rFonts w:ascii="Segoe UI" w:hAnsi="Segoe UI" w:cs="Segoe UI"/>
                <w:sz w:val="18"/>
                <w:szCs w:val="18"/>
              </w:rPr>
              <w:t>f</w:t>
            </w:r>
            <w:r w:rsidRPr="00261FD2" w:rsidR="00CB0FF9">
              <w:t>ull compensation where participation “materially supplements, complements, or contributes to the presentation of another party”</w:t>
            </w:r>
            <w:r w:rsidRPr="00261FD2" w:rsidR="00FA4E75">
              <w:t>).</w:t>
            </w:r>
          </w:p>
          <w:p w:rsidRPr="00261FD2" w:rsidR="00EF3FEA" w:rsidP="00EF3FEA" w:rsidRDefault="00EF3FEA" w14:paraId="6F8BCD22" w14:textId="77777777"/>
          <w:p w:rsidRPr="00261FD2" w:rsidR="00030C3E" w:rsidP="00EF3FEA" w:rsidRDefault="009B2F1B" w14:paraId="21B9251A" w14:textId="0B70CE6D">
            <w:pPr>
              <w:rPr>
                <w:color w:val="000000"/>
              </w:rPr>
            </w:pPr>
            <w:r w:rsidRPr="00261FD2">
              <w:t xml:space="preserve">Specifically, </w:t>
            </w:r>
            <w:r w:rsidRPr="00261FD2" w:rsidR="00030C3E">
              <w:t xml:space="preserve">PCF </w:t>
            </w:r>
            <w:r w:rsidRPr="00261FD2">
              <w:t xml:space="preserve">used its years of experience working </w:t>
            </w:r>
            <w:r w:rsidRPr="00261FD2" w:rsidR="0089151B">
              <w:t xml:space="preserve">on </w:t>
            </w:r>
            <w:r w:rsidRPr="00261FD2" w:rsidR="00DA0DB9">
              <w:t xml:space="preserve">SDG&amp;E and SoCalGas </w:t>
            </w:r>
            <w:r w:rsidRPr="00261FD2" w:rsidR="0089151B">
              <w:t xml:space="preserve">RAMP filings to demonstrate </w:t>
            </w:r>
            <w:r w:rsidRPr="00261FD2" w:rsidR="00BB3037">
              <w:t>how improvements could be made to the</w:t>
            </w:r>
            <w:r w:rsidRPr="00261FD2" w:rsidR="00030C3E">
              <w:t xml:space="preserve"> RDF</w:t>
            </w:r>
            <w:r w:rsidRPr="00261FD2" w:rsidR="00BB3037">
              <w:t xml:space="preserve"> to ensure </w:t>
            </w:r>
            <w:r w:rsidRPr="00261FD2" w:rsidR="007B4F33">
              <w:t xml:space="preserve">that SDG&amp;E and SoCalGas </w:t>
            </w:r>
            <w:r w:rsidRPr="00261FD2" w:rsidR="00BB3037">
              <w:t>comply with longstanding RDF</w:t>
            </w:r>
            <w:r w:rsidRPr="00261FD2" w:rsidR="00030C3E">
              <w:t xml:space="preserve"> requirements. </w:t>
            </w:r>
            <w:r w:rsidRPr="00261FD2" w:rsidR="007B4F33">
              <w:t>PCF made numerous, diverse, and robustly supported arguments and recommendations that other parties did not make, such as highlighting the benefits of requiring Utilities to provide CBRs for compliance activities. PCF was the only party to highlight SDG&amp;E and SoCalGas’s history of filing insufficient RAMP reports, further demonstrating the need for increased Utility restrictions within the RDF like those adopted in D.24-05-064.</w:t>
            </w:r>
            <w:r w:rsidRPr="00261FD2" w:rsidR="007B4F33">
              <w:rPr>
                <w:color w:val="000000"/>
              </w:rPr>
              <w:t xml:space="preserve"> </w:t>
            </w:r>
            <w:r w:rsidRPr="00261FD2" w:rsidR="00D10E37">
              <w:t xml:space="preserve">PCF emphasized the RDF’s central goals of promoting transparency and </w:t>
            </w:r>
            <w:r w:rsidRPr="00261FD2" w:rsidR="00253AD9">
              <w:t>understandability and</w:t>
            </w:r>
            <w:r w:rsidRPr="00261FD2" w:rsidR="00D10E37">
              <w:t xml:space="preserve"> advocated for improvements to the RDF that benefited </w:t>
            </w:r>
            <w:r w:rsidRPr="00261FD2" w:rsidR="007B4F33">
              <w:t xml:space="preserve">San Diego and Southern California </w:t>
            </w:r>
            <w:r w:rsidRPr="00261FD2" w:rsidR="00D10E37">
              <w:t>ratepayers</w:t>
            </w:r>
            <w:r w:rsidRPr="00261FD2" w:rsidR="007A6971">
              <w:t xml:space="preserve"> </w:t>
            </w:r>
            <w:r w:rsidRPr="00261FD2" w:rsidR="007B4F33">
              <w:t xml:space="preserve">who have </w:t>
            </w:r>
            <w:r w:rsidRPr="00261FD2" w:rsidR="00AC625C">
              <w:lastRenderedPageBreak/>
              <w:t xml:space="preserve">yet to realize </w:t>
            </w:r>
            <w:r w:rsidRPr="00261FD2" w:rsidR="007B4F33">
              <w:t>the</w:t>
            </w:r>
            <w:r w:rsidRPr="00261FD2" w:rsidR="007A6971">
              <w:t xml:space="preserve"> transparency</w:t>
            </w:r>
            <w:r w:rsidRPr="00261FD2" w:rsidR="007B4F33">
              <w:t xml:space="preserve"> benefits the Commission intended </w:t>
            </w:r>
            <w:r w:rsidRPr="00261FD2" w:rsidR="00AC625C">
              <w:t xml:space="preserve">by </w:t>
            </w:r>
            <w:r w:rsidRPr="00261FD2" w:rsidR="007B4F33">
              <w:t>the RDF</w:t>
            </w:r>
            <w:r w:rsidRPr="00261FD2" w:rsidR="007A6971">
              <w:t>.</w:t>
            </w:r>
            <w:r w:rsidRPr="00261FD2" w:rsidR="00E5016F">
              <w:t xml:space="preserve"> </w:t>
            </w:r>
            <w:r w:rsidRPr="00261FD2" w:rsidR="00D7334B">
              <w:t xml:space="preserve">PCF’s extensive experience in </w:t>
            </w:r>
            <w:r w:rsidRPr="00261FD2" w:rsidR="007B4F33">
              <w:t xml:space="preserve">SDG&amp;E’s and SoCalGas’s </w:t>
            </w:r>
            <w:r w:rsidRPr="00261FD2" w:rsidR="00D7334B">
              <w:t xml:space="preserve">RAMP </w:t>
            </w:r>
            <w:r w:rsidRPr="00261FD2" w:rsidR="007B4F33">
              <w:t>proceedings</w:t>
            </w:r>
            <w:r w:rsidRPr="00261FD2" w:rsidR="00D7334B">
              <w:t xml:space="preserve">, combined with its </w:t>
            </w:r>
            <w:r w:rsidRPr="00261FD2" w:rsidR="00C163CF">
              <w:t xml:space="preserve">otherwise unrepresented </w:t>
            </w:r>
            <w:r w:rsidRPr="00261FD2" w:rsidR="00712682">
              <w:t>mission</w:t>
            </w:r>
            <w:r w:rsidRPr="00261FD2" w:rsidR="00F36FB5">
              <w:t xml:space="preserve"> of advocating for </w:t>
            </w:r>
            <w:r w:rsidRPr="00261FD2" w:rsidR="00712682">
              <w:t xml:space="preserve">specifically </w:t>
            </w:r>
            <w:r w:rsidRPr="00261FD2" w:rsidR="00AC625C">
              <w:t xml:space="preserve">San Diego and </w:t>
            </w:r>
            <w:r w:rsidRPr="00261FD2" w:rsidR="00F36FB5">
              <w:t xml:space="preserve">Southern California ratepayers, </w:t>
            </w:r>
            <w:r w:rsidRPr="00261FD2" w:rsidR="00A67442">
              <w:t>gave PCF a unique and valuable viewpoint in this proceeding, thus supplementing</w:t>
            </w:r>
            <w:r w:rsidRPr="00261FD2" w:rsidR="00624CE6">
              <w:t xml:space="preserve"> the record even where intervenors held similar views.</w:t>
            </w:r>
          </w:p>
          <w:p w:rsidRPr="00261FD2" w:rsidR="00A92D0B" w:rsidP="00733B3D" w:rsidRDefault="00A92D0B" w14:paraId="3228BB07" w14:textId="4B2D0584">
            <w:pPr>
              <w:rPr>
                <w:color w:val="000000"/>
              </w:rPr>
            </w:pPr>
          </w:p>
        </w:tc>
        <w:tc>
          <w:tcPr>
            <w:tcW w:w="1980" w:type="dxa"/>
            <w:shd w:val="clear" w:color="auto" w:fill="auto"/>
          </w:tcPr>
          <w:p w:rsidRPr="00E25078" w:rsidR="00A92D0B" w:rsidP="00187FA5" w:rsidRDefault="00DD7F80" w14:paraId="5F9BBA55" w14:textId="64230787">
            <w:pPr>
              <w:tabs>
                <w:tab w:val="left" w:pos="360"/>
              </w:tabs>
              <w:ind w:left="360" w:hanging="360"/>
              <w:jc w:val="center"/>
              <w:rPr>
                <w:color w:val="000000"/>
              </w:rPr>
            </w:pPr>
            <w:r>
              <w:rPr>
                <w:color w:val="000000"/>
              </w:rPr>
              <w:lastRenderedPageBreak/>
              <w:t>Noted</w:t>
            </w:r>
          </w:p>
        </w:tc>
      </w:tr>
    </w:tbl>
    <w:p w:rsidRPr="003B6A1B" w:rsidR="00A92D0B" w:rsidP="00046B63" w:rsidRDefault="00A92D0B" w14:paraId="4415DD51" w14:textId="351751BF">
      <w:pPr>
        <w:keepNext/>
        <w:numPr>
          <w:ilvl w:val="0"/>
          <w:numId w:val="11"/>
        </w:numPr>
        <w:spacing w:before="240" w:after="240"/>
        <w:rPr>
          <w:b/>
          <w:i/>
          <w:color w:val="000000"/>
          <w:u w:val="single"/>
        </w:rPr>
      </w:pPr>
      <w:r w:rsidRPr="007F620E">
        <w:rPr>
          <w:b/>
          <w:color w:val="000000"/>
        </w:rPr>
        <w:t>Additional Comments on Part II</w:t>
      </w:r>
      <w:r w:rsidR="00C02649">
        <w:rPr>
          <w:b/>
          <w:color w:val="000000"/>
        </w:rPr>
        <w:t>:</w:t>
      </w:r>
    </w:p>
    <w:tbl>
      <w:tblPr>
        <w:tblW w:w="9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999"/>
        <w:gridCol w:w="3519"/>
        <w:gridCol w:w="5276"/>
      </w:tblGrid>
      <w:tr w:rsidRPr="007F620E" w:rsidR="00963EEF" w:rsidTr="00073262" w14:paraId="52771334" w14:textId="77777777">
        <w:trPr>
          <w:tblHeader/>
        </w:trPr>
        <w:tc>
          <w:tcPr>
            <w:tcW w:w="999" w:type="dxa"/>
            <w:tcBorders>
              <w:bottom w:val="single" w:color="auto" w:sz="4" w:space="0"/>
            </w:tcBorders>
            <w:shd w:val="clear" w:color="auto" w:fill="D9D9D9" w:themeFill="background1" w:themeFillShade="D9"/>
          </w:tcPr>
          <w:p w:rsidRPr="007F620E" w:rsidR="00963EEF" w:rsidP="00073262" w:rsidRDefault="00963EEF" w14:paraId="15D83D80" w14:textId="77777777">
            <w:pPr>
              <w:tabs>
                <w:tab w:val="left" w:pos="360"/>
              </w:tabs>
              <w:jc w:val="center"/>
              <w:rPr>
                <w:b/>
                <w:color w:val="000000"/>
              </w:rPr>
            </w:pPr>
            <w:r w:rsidRPr="007F620E">
              <w:rPr>
                <w:b/>
                <w:color w:val="000000"/>
              </w:rPr>
              <w:t>#</w:t>
            </w:r>
          </w:p>
        </w:tc>
        <w:tc>
          <w:tcPr>
            <w:tcW w:w="3519" w:type="dxa"/>
            <w:tcBorders>
              <w:bottom w:val="single" w:color="auto" w:sz="4" w:space="0"/>
            </w:tcBorders>
            <w:shd w:val="clear" w:color="auto" w:fill="D9D9D9" w:themeFill="background1" w:themeFillShade="D9"/>
          </w:tcPr>
          <w:p w:rsidRPr="007F620E" w:rsidR="00963EEF" w:rsidP="00073262" w:rsidRDefault="00963EEF" w14:paraId="23BC1F82" w14:textId="77777777">
            <w:pPr>
              <w:tabs>
                <w:tab w:val="left" w:pos="360"/>
              </w:tabs>
              <w:jc w:val="center"/>
              <w:rPr>
                <w:b/>
                <w:color w:val="000000"/>
              </w:rPr>
            </w:pPr>
            <w:r w:rsidRPr="007F620E">
              <w:rPr>
                <w:b/>
                <w:color w:val="000000"/>
              </w:rPr>
              <w:t>Intervenor’s Comment</w:t>
            </w:r>
          </w:p>
        </w:tc>
        <w:tc>
          <w:tcPr>
            <w:tcW w:w="5276" w:type="dxa"/>
            <w:shd w:val="clear" w:color="auto" w:fill="D9D9D9" w:themeFill="background1" w:themeFillShade="D9"/>
          </w:tcPr>
          <w:p w:rsidRPr="007F620E" w:rsidR="00963EEF" w:rsidP="00073262" w:rsidRDefault="00963EEF" w14:paraId="03118710" w14:textId="77777777">
            <w:pPr>
              <w:tabs>
                <w:tab w:val="left" w:pos="360"/>
              </w:tabs>
              <w:jc w:val="center"/>
              <w:rPr>
                <w:b/>
                <w:color w:val="000000"/>
              </w:rPr>
            </w:pPr>
            <w:r w:rsidRPr="007F620E">
              <w:rPr>
                <w:b/>
                <w:color w:val="000000"/>
              </w:rPr>
              <w:t>CPUC Discussion</w:t>
            </w:r>
          </w:p>
        </w:tc>
      </w:tr>
      <w:tr w:rsidRPr="007F620E" w:rsidR="00963EEF" w:rsidTr="00845666" w14:paraId="58A3E16A" w14:textId="77777777">
        <w:tc>
          <w:tcPr>
            <w:tcW w:w="999" w:type="dxa"/>
            <w:shd w:val="clear" w:color="auto" w:fill="auto"/>
          </w:tcPr>
          <w:p w:rsidRPr="007F620E" w:rsidR="00963EEF" w:rsidP="00073262" w:rsidRDefault="00D82535" w14:paraId="3D289A0B" w14:textId="5C2C9F89">
            <w:pPr>
              <w:tabs>
                <w:tab w:val="left" w:pos="360"/>
              </w:tabs>
              <w:rPr>
                <w:color w:val="000000"/>
              </w:rPr>
            </w:pPr>
            <w:r>
              <w:rPr>
                <w:color w:val="000000"/>
              </w:rPr>
              <w:t>II(A)</w:t>
            </w:r>
          </w:p>
        </w:tc>
        <w:tc>
          <w:tcPr>
            <w:tcW w:w="3519" w:type="dxa"/>
            <w:shd w:val="clear" w:color="auto" w:fill="auto"/>
          </w:tcPr>
          <w:p w:rsidRPr="006758C8" w:rsidR="006758C8" w:rsidP="006758C8" w:rsidRDefault="006758C8" w14:paraId="3F1FEF6A" w14:textId="77777777">
            <w:pPr>
              <w:tabs>
                <w:tab w:val="left" w:pos="360"/>
              </w:tabs>
              <w:rPr>
                <w:b/>
                <w:bCs/>
                <w:color w:val="000000"/>
              </w:rPr>
            </w:pPr>
            <w:r w:rsidRPr="006758C8">
              <w:rPr>
                <w:b/>
                <w:bCs/>
                <w:color w:val="000000"/>
              </w:rPr>
              <w:t>Substantial Contribution. </w:t>
            </w:r>
          </w:p>
          <w:p w:rsidRPr="007F620E" w:rsidR="00963EEF" w:rsidP="006758C8" w:rsidRDefault="006758C8" w14:paraId="59AA74E8" w14:textId="47309BEF">
            <w:pPr>
              <w:tabs>
                <w:tab w:val="left" w:pos="360"/>
              </w:tabs>
              <w:rPr>
                <w:color w:val="000000"/>
              </w:rPr>
            </w:pPr>
            <w:r w:rsidRPr="006758C8">
              <w:rPr>
                <w:color w:val="000000"/>
              </w:rPr>
              <w:t>Pursuant to Section 1802(j), “Substantial contribution” means that, in the judgment of the commission, the customer’s presentation has substantially assisted the commission in the making of its order or decision because the order or decision has adopted in whole or in part one or more factual contentions, legal contentions, or specific policy or procedural recommendations presented by the customer.”</w:t>
            </w:r>
          </w:p>
        </w:tc>
        <w:tc>
          <w:tcPr>
            <w:tcW w:w="5276" w:type="dxa"/>
            <w:shd w:val="clear" w:color="auto" w:fill="auto"/>
          </w:tcPr>
          <w:p w:rsidRPr="007F620E" w:rsidR="00963EEF" w:rsidP="00187FA5" w:rsidRDefault="001744EB" w14:paraId="7B53CB1C" w14:textId="4530695F">
            <w:pPr>
              <w:tabs>
                <w:tab w:val="left" w:pos="360"/>
              </w:tabs>
              <w:jc w:val="center"/>
              <w:rPr>
                <w:color w:val="000000"/>
              </w:rPr>
            </w:pPr>
            <w:r>
              <w:rPr>
                <w:color w:val="000000"/>
              </w:rPr>
              <w:t>Noted</w:t>
            </w:r>
          </w:p>
        </w:tc>
      </w:tr>
      <w:tr w:rsidRPr="007F620E" w:rsidR="00691528" w:rsidTr="00845666" w14:paraId="530F6CE2" w14:textId="77777777">
        <w:tc>
          <w:tcPr>
            <w:tcW w:w="999" w:type="dxa"/>
            <w:shd w:val="clear" w:color="auto" w:fill="auto"/>
          </w:tcPr>
          <w:p w:rsidRPr="007F620E" w:rsidR="00691528" w:rsidP="00073262" w:rsidRDefault="00B8645D" w14:paraId="220B7D3F" w14:textId="48C8948B">
            <w:pPr>
              <w:tabs>
                <w:tab w:val="left" w:pos="360"/>
              </w:tabs>
              <w:rPr>
                <w:color w:val="000000"/>
              </w:rPr>
            </w:pPr>
            <w:r w:rsidRPr="00B8645D">
              <w:rPr>
                <w:color w:val="000000"/>
              </w:rPr>
              <w:t>II(A)</w:t>
            </w:r>
          </w:p>
        </w:tc>
        <w:tc>
          <w:tcPr>
            <w:tcW w:w="3519" w:type="dxa"/>
            <w:shd w:val="clear" w:color="auto" w:fill="auto"/>
          </w:tcPr>
          <w:p w:rsidRPr="00557B83" w:rsidR="00557B83" w:rsidP="00557B83" w:rsidRDefault="00557B83" w14:paraId="426A0836" w14:textId="77777777">
            <w:pPr>
              <w:tabs>
                <w:tab w:val="left" w:pos="360"/>
              </w:tabs>
              <w:rPr>
                <w:b/>
                <w:bCs/>
                <w:color w:val="000000"/>
              </w:rPr>
            </w:pPr>
            <w:r w:rsidRPr="00557B83">
              <w:rPr>
                <w:b/>
                <w:bCs/>
                <w:color w:val="000000"/>
              </w:rPr>
              <w:t>Substantial Contribution Includes Enriching Deliberations or the Record.</w:t>
            </w:r>
          </w:p>
          <w:p w:rsidRPr="007F620E" w:rsidR="00691528" w:rsidP="00557B83" w:rsidRDefault="00557B83" w14:paraId="2DD09648" w14:textId="6388162F">
            <w:pPr>
              <w:tabs>
                <w:tab w:val="left" w:pos="360"/>
              </w:tabs>
              <w:rPr>
                <w:color w:val="000000"/>
              </w:rPr>
            </w:pPr>
            <w:r w:rsidRPr="00557B83">
              <w:rPr>
                <w:color w:val="000000"/>
              </w:rPr>
              <w:t>Past Commission decisions instruct that intervenors substantially contribute when they have “provided a unique perspective that enriched the Commission’s deliberations and</w:t>
            </w:r>
            <w:r w:rsidRPr="005F510E" w:rsidR="005F510E">
              <w:t xml:space="preserve"> </w:t>
            </w:r>
            <w:r w:rsidRPr="005F510E" w:rsidR="005F510E">
              <w:rPr>
                <w:color w:val="000000"/>
              </w:rPr>
              <w:t xml:space="preserve">the record.” (D.05-06-027, p. 5); when they have “assisted the Commission in the decision-making process” (D.19-10-019, p. 3-4); when they provide a full discussion of the matters at issue so as to allow the Commission “to fully consider the consequences of adopting or rejecting” the parties’ proposals (D.08-04-004, </w:t>
            </w:r>
            <w:r w:rsidRPr="005F510E" w:rsidR="005F510E">
              <w:rPr>
                <w:color w:val="000000"/>
              </w:rPr>
              <w:lastRenderedPageBreak/>
              <w:t>p. 5-6); and when they offer alternative evaluations of the disputes addressed (D.19-10-019, p. 5-6).</w:t>
            </w:r>
          </w:p>
        </w:tc>
        <w:tc>
          <w:tcPr>
            <w:tcW w:w="5276" w:type="dxa"/>
            <w:shd w:val="clear" w:color="auto" w:fill="auto"/>
          </w:tcPr>
          <w:p w:rsidRPr="007F620E" w:rsidR="00691528" w:rsidP="00187FA5" w:rsidRDefault="001744EB" w14:paraId="36220B11" w14:textId="3CFB90BF">
            <w:pPr>
              <w:tabs>
                <w:tab w:val="left" w:pos="360"/>
              </w:tabs>
              <w:jc w:val="center"/>
              <w:rPr>
                <w:color w:val="000000"/>
              </w:rPr>
            </w:pPr>
            <w:r w:rsidRPr="001744EB">
              <w:rPr>
                <w:color w:val="000000"/>
              </w:rPr>
              <w:lastRenderedPageBreak/>
              <w:t>Noted</w:t>
            </w:r>
          </w:p>
        </w:tc>
      </w:tr>
      <w:tr w:rsidRPr="007F620E" w:rsidR="00CA49CB" w:rsidTr="00845666" w14:paraId="341E77E8" w14:textId="77777777">
        <w:tc>
          <w:tcPr>
            <w:tcW w:w="999" w:type="dxa"/>
            <w:shd w:val="clear" w:color="auto" w:fill="auto"/>
          </w:tcPr>
          <w:p w:rsidRPr="00B8645D" w:rsidR="00CA49CB" w:rsidP="00073262" w:rsidRDefault="00CA49CB" w14:paraId="621D5195" w14:textId="2C049ED6">
            <w:pPr>
              <w:tabs>
                <w:tab w:val="left" w:pos="360"/>
              </w:tabs>
              <w:rPr>
                <w:color w:val="000000"/>
              </w:rPr>
            </w:pPr>
            <w:r>
              <w:rPr>
                <w:color w:val="000000"/>
              </w:rPr>
              <w:t>II(A)</w:t>
            </w:r>
          </w:p>
        </w:tc>
        <w:tc>
          <w:tcPr>
            <w:tcW w:w="3519" w:type="dxa"/>
            <w:shd w:val="clear" w:color="auto" w:fill="auto"/>
          </w:tcPr>
          <w:p w:rsidRPr="006F5CFE" w:rsidR="006F5CFE" w:rsidP="006F5CFE" w:rsidRDefault="006F5CFE" w14:paraId="6D8BE832" w14:textId="77777777">
            <w:pPr>
              <w:tabs>
                <w:tab w:val="left" w:pos="360"/>
              </w:tabs>
              <w:rPr>
                <w:b/>
                <w:bCs/>
                <w:color w:val="000000"/>
              </w:rPr>
            </w:pPr>
            <w:r w:rsidRPr="006F5CFE">
              <w:rPr>
                <w:b/>
                <w:bCs/>
                <w:color w:val="000000"/>
              </w:rPr>
              <w:t>Substantial Contribution Includes Procedural Outcomes.</w:t>
            </w:r>
          </w:p>
          <w:p w:rsidRPr="006F5CFE" w:rsidR="006F5CFE" w:rsidP="006F5CFE" w:rsidRDefault="006F5CFE" w14:paraId="2B57B73C" w14:textId="77777777">
            <w:pPr>
              <w:tabs>
                <w:tab w:val="left" w:pos="360"/>
              </w:tabs>
              <w:rPr>
                <w:color w:val="000000"/>
              </w:rPr>
            </w:pPr>
            <w:r w:rsidRPr="006F5CFE">
              <w:rPr>
                <w:color w:val="000000"/>
              </w:rPr>
              <w:t>The Commission recognizes that “[p]rocedural outcomes are statutorily recognized as substantial contribution.” (D.19-10-019, p. 7.)</w:t>
            </w:r>
          </w:p>
          <w:p w:rsidRPr="00557B83" w:rsidR="00CA49CB" w:rsidP="00557B83" w:rsidRDefault="00CA49CB" w14:paraId="19CFB62B" w14:textId="77777777">
            <w:pPr>
              <w:tabs>
                <w:tab w:val="left" w:pos="360"/>
              </w:tabs>
              <w:rPr>
                <w:b/>
                <w:bCs/>
                <w:color w:val="000000"/>
              </w:rPr>
            </w:pPr>
          </w:p>
        </w:tc>
        <w:tc>
          <w:tcPr>
            <w:tcW w:w="5276" w:type="dxa"/>
            <w:shd w:val="clear" w:color="auto" w:fill="auto"/>
          </w:tcPr>
          <w:p w:rsidRPr="007F620E" w:rsidR="00CA49CB" w:rsidP="00187FA5" w:rsidRDefault="001744EB" w14:paraId="508C5ED2" w14:textId="23C43649">
            <w:pPr>
              <w:tabs>
                <w:tab w:val="left" w:pos="360"/>
              </w:tabs>
              <w:jc w:val="center"/>
              <w:rPr>
                <w:color w:val="000000"/>
              </w:rPr>
            </w:pPr>
            <w:r w:rsidRPr="001744EB">
              <w:rPr>
                <w:color w:val="000000"/>
              </w:rPr>
              <w:t>Noted</w:t>
            </w:r>
          </w:p>
        </w:tc>
      </w:tr>
      <w:tr w:rsidRPr="007F620E" w:rsidR="005F510E" w:rsidTr="00845666" w14:paraId="56883FE7" w14:textId="77777777">
        <w:tc>
          <w:tcPr>
            <w:tcW w:w="999" w:type="dxa"/>
            <w:shd w:val="clear" w:color="auto" w:fill="auto"/>
          </w:tcPr>
          <w:p w:rsidRPr="00B8645D" w:rsidR="005F510E" w:rsidP="00073262" w:rsidRDefault="00AF7CD1" w14:paraId="3D61EFF4" w14:textId="3DE75F1C">
            <w:pPr>
              <w:tabs>
                <w:tab w:val="left" w:pos="360"/>
              </w:tabs>
              <w:rPr>
                <w:color w:val="000000"/>
              </w:rPr>
            </w:pPr>
            <w:r w:rsidRPr="00AF7CD1">
              <w:rPr>
                <w:color w:val="000000"/>
              </w:rPr>
              <w:t>II(B)(d)</w:t>
            </w:r>
          </w:p>
        </w:tc>
        <w:tc>
          <w:tcPr>
            <w:tcW w:w="3519" w:type="dxa"/>
            <w:shd w:val="clear" w:color="auto" w:fill="auto"/>
          </w:tcPr>
          <w:p w:rsidRPr="0035276E" w:rsidR="0035276E" w:rsidP="0035276E" w:rsidRDefault="0035276E" w14:paraId="4CFF43B8" w14:textId="77777777">
            <w:pPr>
              <w:tabs>
                <w:tab w:val="left" w:pos="360"/>
              </w:tabs>
              <w:rPr>
                <w:b/>
                <w:bCs/>
                <w:color w:val="000000"/>
              </w:rPr>
            </w:pPr>
            <w:r w:rsidRPr="0035276E">
              <w:rPr>
                <w:b/>
                <w:bCs/>
                <w:color w:val="000000"/>
              </w:rPr>
              <w:t>No Duplication.</w:t>
            </w:r>
          </w:p>
          <w:p w:rsidRPr="0035276E" w:rsidR="0035276E" w:rsidP="0035276E" w:rsidRDefault="0035276E" w14:paraId="77D5CF5E" w14:textId="77777777">
            <w:pPr>
              <w:tabs>
                <w:tab w:val="left" w:pos="360"/>
              </w:tabs>
              <w:rPr>
                <w:color w:val="000000"/>
              </w:rPr>
            </w:pPr>
            <w:r w:rsidRPr="0035276E">
              <w:rPr>
                <w:color w:val="000000"/>
              </w:rPr>
              <w:t>No reduction to PCF’s</w:t>
            </w:r>
          </w:p>
          <w:p w:rsidRPr="0035276E" w:rsidR="0035276E" w:rsidP="0035276E" w:rsidRDefault="0035276E" w14:paraId="60814E12" w14:textId="77777777">
            <w:pPr>
              <w:tabs>
                <w:tab w:val="left" w:pos="360"/>
              </w:tabs>
              <w:rPr>
                <w:color w:val="000000"/>
              </w:rPr>
            </w:pPr>
            <w:r w:rsidRPr="0035276E">
              <w:rPr>
                <w:color w:val="000000"/>
              </w:rPr>
              <w:t>compensation due to duplication</w:t>
            </w:r>
          </w:p>
          <w:p w:rsidRPr="0035276E" w:rsidR="0035276E" w:rsidP="0035276E" w:rsidRDefault="0035276E" w14:paraId="5B9CEB5E" w14:textId="77777777">
            <w:pPr>
              <w:tabs>
                <w:tab w:val="left" w:pos="360"/>
              </w:tabs>
              <w:rPr>
                <w:color w:val="000000"/>
              </w:rPr>
            </w:pPr>
            <w:r w:rsidRPr="0035276E">
              <w:rPr>
                <w:color w:val="000000"/>
              </w:rPr>
              <w:t>is warranted given the standard</w:t>
            </w:r>
          </w:p>
          <w:p w:rsidRPr="0035276E" w:rsidR="0035276E" w:rsidP="0035276E" w:rsidRDefault="0035276E" w14:paraId="2DFE6564" w14:textId="77777777">
            <w:pPr>
              <w:tabs>
                <w:tab w:val="left" w:pos="360"/>
              </w:tabs>
              <w:rPr>
                <w:color w:val="000000"/>
              </w:rPr>
            </w:pPr>
            <w:r w:rsidRPr="0035276E">
              <w:rPr>
                <w:color w:val="000000"/>
              </w:rPr>
              <w:t>adopted by the Commission in</w:t>
            </w:r>
          </w:p>
          <w:p w:rsidRPr="0035276E" w:rsidR="0035276E" w:rsidP="0035276E" w:rsidRDefault="0035276E" w14:paraId="13848AEB" w14:textId="77777777">
            <w:pPr>
              <w:tabs>
                <w:tab w:val="left" w:pos="360"/>
              </w:tabs>
              <w:rPr>
                <w:color w:val="000000"/>
              </w:rPr>
            </w:pPr>
            <w:r w:rsidRPr="0035276E">
              <w:rPr>
                <w:color w:val="000000"/>
              </w:rPr>
              <w:t>D.03-03-031 and consistent with</w:t>
            </w:r>
          </w:p>
          <w:p w:rsidRPr="0035276E" w:rsidR="0035276E" w:rsidP="0035276E" w:rsidRDefault="0035276E" w14:paraId="5ED207D3" w14:textId="77777777">
            <w:pPr>
              <w:tabs>
                <w:tab w:val="left" w:pos="360"/>
              </w:tabs>
              <w:rPr>
                <w:color w:val="000000"/>
              </w:rPr>
            </w:pPr>
            <w:r w:rsidRPr="0035276E">
              <w:rPr>
                <w:color w:val="000000"/>
              </w:rPr>
              <w:t>Public Utilities Code Sections</w:t>
            </w:r>
          </w:p>
          <w:p w:rsidRPr="0035276E" w:rsidR="0035276E" w:rsidP="0035276E" w:rsidRDefault="0035276E" w14:paraId="3A831B2B" w14:textId="77777777">
            <w:pPr>
              <w:tabs>
                <w:tab w:val="left" w:pos="360"/>
              </w:tabs>
              <w:rPr>
                <w:color w:val="000000"/>
              </w:rPr>
            </w:pPr>
            <w:r w:rsidRPr="0035276E">
              <w:rPr>
                <w:color w:val="000000"/>
              </w:rPr>
              <w:t>1801.3(b) &amp; (f), 1802(j), 1802.5,</w:t>
            </w:r>
          </w:p>
          <w:p w:rsidRPr="0035276E" w:rsidR="0035276E" w:rsidP="0035276E" w:rsidRDefault="0035276E" w14:paraId="52B62194" w14:textId="77777777">
            <w:pPr>
              <w:tabs>
                <w:tab w:val="left" w:pos="360"/>
              </w:tabs>
              <w:rPr>
                <w:color w:val="000000"/>
              </w:rPr>
            </w:pPr>
            <w:r w:rsidRPr="0035276E">
              <w:rPr>
                <w:color w:val="000000"/>
              </w:rPr>
              <w:t>and 1803. Section 1803 sets forth the requirements for awarding</w:t>
            </w:r>
          </w:p>
          <w:p w:rsidRPr="0035276E" w:rsidR="0035276E" w:rsidP="0035276E" w:rsidRDefault="0035276E" w14:paraId="30330641" w14:textId="77777777">
            <w:pPr>
              <w:tabs>
                <w:tab w:val="left" w:pos="360"/>
              </w:tabs>
              <w:rPr>
                <w:color w:val="000000"/>
              </w:rPr>
            </w:pPr>
            <w:r w:rsidRPr="0035276E">
              <w:rPr>
                <w:color w:val="000000"/>
              </w:rPr>
              <w:t>intervenor compensation. Pub.</w:t>
            </w:r>
          </w:p>
          <w:p w:rsidRPr="0035276E" w:rsidR="0035276E" w:rsidP="0035276E" w:rsidRDefault="0035276E" w14:paraId="3083BD23" w14:textId="77777777">
            <w:pPr>
              <w:tabs>
                <w:tab w:val="left" w:pos="360"/>
              </w:tabs>
              <w:rPr>
                <w:color w:val="000000"/>
              </w:rPr>
            </w:pPr>
            <w:r w:rsidRPr="0035276E">
              <w:rPr>
                <w:color w:val="000000"/>
              </w:rPr>
              <w:t>Util. Code, § 1803; D.03-03-031,</w:t>
            </w:r>
          </w:p>
          <w:p w:rsidRPr="00BE7EF9" w:rsidR="00BE7EF9" w:rsidP="00BE7EF9" w:rsidRDefault="0035276E" w14:paraId="4ADDE41B" w14:textId="77777777">
            <w:pPr>
              <w:tabs>
                <w:tab w:val="left" w:pos="360"/>
              </w:tabs>
              <w:rPr>
                <w:color w:val="000000"/>
              </w:rPr>
            </w:pPr>
            <w:r w:rsidRPr="0035276E">
              <w:rPr>
                <w:color w:val="000000"/>
              </w:rPr>
              <w:t>p. 12-14. An award of compensation for reasonable fees for participation in a proceeding is required when an intervenor (1) complies with Section 1804 and</w:t>
            </w:r>
            <w:r w:rsidRPr="00BE7EF9" w:rsidR="00BE7EF9">
              <w:rPr>
                <w:color w:val="000000"/>
              </w:rPr>
              <w:t xml:space="preserve">(2) “satisfies both of the following requirements: (a) The customer’s presentation makes a substantial contribution to the adoption, in whole or in part, of the commission’s order or decision. (b) Participation or intervention without an award of fees or costs imposes a significant financial hardship.”  Pub. Util. Code, § 1803.  Section 1801.3(f) seeks to avoid only (1) “unproductive or unnecessary participation that duplicates the </w:t>
            </w:r>
            <w:r w:rsidRPr="00BE7EF9" w:rsidR="00BE7EF9">
              <w:rPr>
                <w:color w:val="000000"/>
              </w:rPr>
              <w:lastRenderedPageBreak/>
              <w:t>participation of similar interests otherwise adequately represented” or (2) “participation that is not necessary for a fair determination of the proceeding.” Pub. Util. Code, § 1801.3, subd. (f); D.03-03-031, p. 15-18. The</w:t>
            </w:r>
          </w:p>
          <w:p w:rsidRPr="00BE7EF9" w:rsidR="00BE7EF9" w:rsidP="00BE7EF9" w:rsidRDefault="00BE7EF9" w14:paraId="3D84BB12" w14:textId="77777777">
            <w:pPr>
              <w:tabs>
                <w:tab w:val="left" w:pos="360"/>
              </w:tabs>
              <w:rPr>
                <w:color w:val="000000"/>
              </w:rPr>
            </w:pPr>
            <w:r w:rsidRPr="00BE7EF9">
              <w:rPr>
                <w:color w:val="000000"/>
              </w:rPr>
              <w:t>“duplication language contained</w:t>
            </w:r>
          </w:p>
          <w:p w:rsidRPr="00BE7EF9" w:rsidR="00BE7EF9" w:rsidP="00BE7EF9" w:rsidRDefault="00BE7EF9" w14:paraId="28098485" w14:textId="77777777">
            <w:pPr>
              <w:tabs>
                <w:tab w:val="left" w:pos="360"/>
              </w:tabs>
              <w:rPr>
                <w:color w:val="000000"/>
              </w:rPr>
            </w:pPr>
            <w:r w:rsidRPr="00BE7EF9">
              <w:rPr>
                <w:color w:val="000000"/>
              </w:rPr>
              <w:t>in the first dependent clause</w:t>
            </w:r>
          </w:p>
          <w:p w:rsidRPr="00BE7EF9" w:rsidR="00BE7EF9" w:rsidP="00BE7EF9" w:rsidRDefault="00BE7EF9" w14:paraId="102DBA23" w14:textId="77777777">
            <w:pPr>
              <w:tabs>
                <w:tab w:val="left" w:pos="360"/>
              </w:tabs>
              <w:rPr>
                <w:color w:val="000000"/>
              </w:rPr>
            </w:pPr>
            <w:r w:rsidRPr="00BE7EF9">
              <w:rPr>
                <w:color w:val="000000"/>
              </w:rPr>
              <w:t>requires the compensation</w:t>
            </w:r>
          </w:p>
          <w:p w:rsidRPr="00BE7EF9" w:rsidR="00BE7EF9" w:rsidP="00BE7EF9" w:rsidRDefault="00BE7EF9" w14:paraId="454A7FB2" w14:textId="77777777">
            <w:pPr>
              <w:tabs>
                <w:tab w:val="left" w:pos="360"/>
              </w:tabs>
              <w:rPr>
                <w:color w:val="000000"/>
              </w:rPr>
            </w:pPr>
            <w:r w:rsidRPr="00BE7EF9">
              <w:rPr>
                <w:color w:val="000000"/>
              </w:rPr>
              <w:t>opponent to establish three</w:t>
            </w:r>
          </w:p>
          <w:p w:rsidRPr="00BE7EF9" w:rsidR="00BE7EF9" w:rsidP="00BE7EF9" w:rsidRDefault="00BE7EF9" w14:paraId="5611A53B" w14:textId="77777777">
            <w:pPr>
              <w:tabs>
                <w:tab w:val="left" w:pos="360"/>
              </w:tabs>
              <w:rPr>
                <w:color w:val="000000"/>
              </w:rPr>
            </w:pPr>
            <w:r w:rsidRPr="00BE7EF9">
              <w:rPr>
                <w:color w:val="000000"/>
              </w:rPr>
              <w:t>elements – duplication, similar</w:t>
            </w:r>
          </w:p>
          <w:p w:rsidRPr="00BE7EF9" w:rsidR="00BE7EF9" w:rsidP="00BE7EF9" w:rsidRDefault="00BE7EF9" w14:paraId="7DFCB2E7" w14:textId="77777777">
            <w:pPr>
              <w:tabs>
                <w:tab w:val="left" w:pos="360"/>
              </w:tabs>
              <w:rPr>
                <w:color w:val="000000"/>
              </w:rPr>
            </w:pPr>
            <w:r w:rsidRPr="00BE7EF9">
              <w:rPr>
                <w:color w:val="000000"/>
              </w:rPr>
              <w:t>interests, and adequate</w:t>
            </w:r>
          </w:p>
          <w:p w:rsidRPr="00BE7EF9" w:rsidR="00BE7EF9" w:rsidP="00BE7EF9" w:rsidRDefault="00BE7EF9" w14:paraId="62684C64" w14:textId="77777777">
            <w:pPr>
              <w:tabs>
                <w:tab w:val="left" w:pos="360"/>
              </w:tabs>
              <w:rPr>
                <w:color w:val="000000"/>
              </w:rPr>
            </w:pPr>
            <w:r w:rsidRPr="00BE7EF9">
              <w:rPr>
                <w:color w:val="000000"/>
              </w:rPr>
              <w:t>representation.” D.03-03-031, p.</w:t>
            </w:r>
          </w:p>
          <w:p w:rsidRPr="0035276E" w:rsidR="005F510E" w:rsidP="00BE7EF9" w:rsidRDefault="00BE7EF9" w14:paraId="713F2E31" w14:textId="56477790">
            <w:pPr>
              <w:tabs>
                <w:tab w:val="left" w:pos="360"/>
              </w:tabs>
              <w:rPr>
                <w:color w:val="000000"/>
              </w:rPr>
            </w:pPr>
            <w:r w:rsidRPr="00BE7EF9">
              <w:rPr>
                <w:color w:val="000000"/>
              </w:rPr>
              <w:t xml:space="preserve">18. Section 1802.5 provides for full compensation where participation “materially supplements, complements, or contributes to the presentation of another party.” Pub. Util. Code. § 1802.5; </w:t>
            </w:r>
            <w:r w:rsidRPr="00BE7EF9">
              <w:rPr>
                <w:i/>
                <w:iCs/>
                <w:color w:val="000000"/>
              </w:rPr>
              <w:t xml:space="preserve">see also </w:t>
            </w:r>
            <w:r w:rsidRPr="00BE7EF9">
              <w:rPr>
                <w:color w:val="000000"/>
              </w:rPr>
              <w:t>D.03-03-031, p. 14.</w:t>
            </w:r>
          </w:p>
        </w:tc>
        <w:tc>
          <w:tcPr>
            <w:tcW w:w="5276" w:type="dxa"/>
            <w:shd w:val="clear" w:color="auto" w:fill="auto"/>
          </w:tcPr>
          <w:p w:rsidRPr="007F620E" w:rsidR="005F510E" w:rsidP="00187FA5" w:rsidRDefault="005C6B46" w14:paraId="1FDC03BD" w14:textId="3770F434">
            <w:pPr>
              <w:tabs>
                <w:tab w:val="left" w:pos="360"/>
              </w:tabs>
              <w:jc w:val="center"/>
              <w:rPr>
                <w:color w:val="000000"/>
              </w:rPr>
            </w:pPr>
            <w:r w:rsidRPr="005C6B46">
              <w:rPr>
                <w:color w:val="000000"/>
              </w:rPr>
              <w:lastRenderedPageBreak/>
              <w:t>Noted</w:t>
            </w:r>
          </w:p>
        </w:tc>
      </w:tr>
    </w:tbl>
    <w:p w:rsidR="00C231EB" w:rsidP="00C231EB" w:rsidRDefault="00C231EB" w14:paraId="1593BE30" w14:textId="77777777">
      <w:pPr>
        <w:keepNext/>
        <w:tabs>
          <w:tab w:val="left" w:pos="1260"/>
        </w:tabs>
        <w:ind w:left="1267" w:hanging="1267"/>
        <w:jc w:val="center"/>
        <w:rPr>
          <w:b/>
          <w:color w:val="000000"/>
        </w:rPr>
      </w:pPr>
    </w:p>
    <w:p w:rsidRPr="00C231EB" w:rsidR="00A92D0B" w:rsidP="00C231EB" w:rsidRDefault="00A92D0B" w14:paraId="48FE39F8" w14:textId="1DD87F2E">
      <w:pPr>
        <w:keepNext/>
        <w:tabs>
          <w:tab w:val="left" w:pos="1260"/>
        </w:tabs>
        <w:ind w:left="1267" w:hanging="1267"/>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7F620E"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250"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AC07A0" w14:paraId="5708510E" w14:textId="77777777">
        <w:tc>
          <w:tcPr>
            <w:tcW w:w="7488" w:type="dxa"/>
            <w:tcBorders>
              <w:bottom w:val="single" w:color="auto" w:sz="4" w:space="0"/>
            </w:tcBorders>
            <w:shd w:val="clear" w:color="auto" w:fill="auto"/>
          </w:tcPr>
          <w:p w:rsidR="00FE3BAE" w:rsidP="00EC6387" w:rsidRDefault="00FE3BAE" w14:paraId="707F9932" w14:textId="24B1B5E0">
            <w:pPr>
              <w:rPr>
                <w:color w:val="000000"/>
              </w:rPr>
            </w:pPr>
            <w:r w:rsidRPr="007F620E">
              <w:rPr>
                <w:b/>
                <w:color w:val="000000"/>
              </w:rPr>
              <w:t>a. Intervenor’s claim of cost reasonableness:</w:t>
            </w:r>
            <w:r w:rsidRPr="00E25078" w:rsidR="00E25078">
              <w:rPr>
                <w:color w:val="000000"/>
              </w:rPr>
              <w:t xml:space="preserve"> </w:t>
            </w:r>
          </w:p>
          <w:p w:rsidRPr="00E25078" w:rsidR="00E36095" w:rsidP="00EC6387" w:rsidRDefault="00E36095" w14:paraId="673907C7" w14:textId="77777777">
            <w:pPr>
              <w:rPr>
                <w:color w:val="000000"/>
              </w:rPr>
            </w:pPr>
          </w:p>
          <w:p w:rsidRPr="0090084C" w:rsidR="0090084C" w:rsidP="0085062D" w:rsidRDefault="0090084C" w14:paraId="7FE7E787" w14:textId="76B70038">
            <w:pPr>
              <w:rPr>
                <w:color w:val="000000"/>
              </w:rPr>
            </w:pPr>
            <w:r w:rsidRPr="0090084C">
              <w:rPr>
                <w:color w:val="000000"/>
              </w:rPr>
              <w:t xml:space="preserve">PCF’s fees are small compared to the benefits California ratepayers will ultimately realize as the result of PCF’s contributions to this proceeding, which </w:t>
            </w:r>
            <w:r w:rsidR="00DC3ED4">
              <w:rPr>
                <w:color w:val="000000"/>
              </w:rPr>
              <w:t xml:space="preserve">resulted in </w:t>
            </w:r>
            <w:r w:rsidRPr="0090084C">
              <w:rPr>
                <w:color w:val="000000"/>
              </w:rPr>
              <w:t>increased transparency</w:t>
            </w:r>
            <w:r w:rsidR="00DC3ED4">
              <w:rPr>
                <w:color w:val="000000"/>
              </w:rPr>
              <w:t xml:space="preserve"> requirements</w:t>
            </w:r>
            <w:r w:rsidRPr="0090084C">
              <w:rPr>
                <w:color w:val="000000"/>
              </w:rPr>
              <w:t xml:space="preserve">. </w:t>
            </w:r>
            <w:r w:rsidR="000F7277">
              <w:rPr>
                <w:color w:val="000000"/>
              </w:rPr>
              <w:t xml:space="preserve">As noted in D.24-05-064, p. 86, mitigating safety risks has substantial cost implications to ratepayers. </w:t>
            </w:r>
            <w:r w:rsidRPr="0085062D" w:rsidR="0085062D">
              <w:rPr>
                <w:color w:val="000000"/>
              </w:rPr>
              <w:t>While it is</w:t>
            </w:r>
            <w:r w:rsidR="0085062D">
              <w:rPr>
                <w:color w:val="000000"/>
              </w:rPr>
              <w:t xml:space="preserve"> </w:t>
            </w:r>
            <w:r w:rsidRPr="0085062D" w:rsidR="0085062D">
              <w:rPr>
                <w:color w:val="000000"/>
              </w:rPr>
              <w:t>impossible in this case to provide an actual dollar value of the benefit to</w:t>
            </w:r>
            <w:r w:rsidR="0085062D">
              <w:rPr>
                <w:color w:val="000000"/>
              </w:rPr>
              <w:t xml:space="preserve"> </w:t>
            </w:r>
            <w:r w:rsidRPr="0085062D" w:rsidR="0085062D">
              <w:rPr>
                <w:color w:val="000000"/>
              </w:rPr>
              <w:t>ratepayers of PCF’s participation, PCF’s fees are small compared to the</w:t>
            </w:r>
            <w:r w:rsidR="0085062D">
              <w:rPr>
                <w:color w:val="000000"/>
              </w:rPr>
              <w:t xml:space="preserve"> </w:t>
            </w:r>
            <w:r w:rsidRPr="0085062D" w:rsidR="0085062D">
              <w:rPr>
                <w:color w:val="000000"/>
              </w:rPr>
              <w:t>benefits California ratepayers will ultimately realize from PCF’s</w:t>
            </w:r>
            <w:r w:rsidR="00CC6B83">
              <w:rPr>
                <w:color w:val="000000"/>
              </w:rPr>
              <w:t xml:space="preserve"> </w:t>
            </w:r>
            <w:r w:rsidRPr="0085062D" w:rsidR="0085062D">
              <w:rPr>
                <w:color w:val="000000"/>
              </w:rPr>
              <w:t xml:space="preserve">contributions to this proceeding. </w:t>
            </w:r>
            <w:r w:rsidRPr="0090084C">
              <w:rPr>
                <w:color w:val="000000"/>
              </w:rPr>
              <w:t xml:space="preserve">PCF’s </w:t>
            </w:r>
            <w:r w:rsidR="00DC3ED4">
              <w:rPr>
                <w:color w:val="000000"/>
              </w:rPr>
              <w:t xml:space="preserve">successful advocacy, such as recommending the inclusion of yearly CBR’s in post-test year analysis and that the Utilities should utilize linear risk scaling, </w:t>
            </w:r>
            <w:r w:rsidRPr="0090084C">
              <w:rPr>
                <w:color w:val="000000"/>
              </w:rPr>
              <w:t xml:space="preserve">led to assurances by the Commission that </w:t>
            </w:r>
            <w:r w:rsidR="00DC3ED4">
              <w:rPr>
                <w:color w:val="000000"/>
              </w:rPr>
              <w:t xml:space="preserve">in the future </w:t>
            </w:r>
            <w:r w:rsidRPr="0090084C">
              <w:rPr>
                <w:color w:val="000000"/>
              </w:rPr>
              <w:t xml:space="preserve">there will be a transparent and open </w:t>
            </w:r>
            <w:r w:rsidR="001E311D">
              <w:rPr>
                <w:color w:val="000000"/>
              </w:rPr>
              <w:t xml:space="preserve">assessment of utility risk </w:t>
            </w:r>
            <w:r w:rsidR="00D51BEB">
              <w:rPr>
                <w:color w:val="000000"/>
              </w:rPr>
              <w:t>quantification and asset allocation</w:t>
            </w:r>
            <w:r w:rsidR="00963C9A">
              <w:rPr>
                <w:color w:val="000000"/>
              </w:rPr>
              <w:t xml:space="preserve">, allowing both the Commission and intervenors to </w:t>
            </w:r>
            <w:r w:rsidR="00DC3ED4">
              <w:rPr>
                <w:color w:val="000000"/>
              </w:rPr>
              <w:t xml:space="preserve">better understand and </w:t>
            </w:r>
            <w:r w:rsidR="00963C9A">
              <w:rPr>
                <w:color w:val="000000"/>
              </w:rPr>
              <w:lastRenderedPageBreak/>
              <w:t xml:space="preserve">assess </w:t>
            </w:r>
            <w:r w:rsidR="00B17B49">
              <w:rPr>
                <w:color w:val="000000"/>
              </w:rPr>
              <w:t xml:space="preserve">Utility spending on </w:t>
            </w:r>
            <w:r w:rsidR="00DC3ED4">
              <w:rPr>
                <w:color w:val="000000"/>
              </w:rPr>
              <w:t xml:space="preserve">risk </w:t>
            </w:r>
            <w:r w:rsidR="00B17B49">
              <w:rPr>
                <w:color w:val="000000"/>
              </w:rPr>
              <w:t>mitigation</w:t>
            </w:r>
            <w:r w:rsidR="00DC3ED4">
              <w:rPr>
                <w:color w:val="000000"/>
              </w:rPr>
              <w:t xml:space="preserve"> measures</w:t>
            </w:r>
            <w:r w:rsidRPr="0090084C">
              <w:rPr>
                <w:color w:val="000000"/>
              </w:rPr>
              <w:t>.</w:t>
            </w:r>
            <w:r w:rsidR="00E80BCC">
              <w:rPr>
                <w:color w:val="000000"/>
              </w:rPr>
              <w:t xml:space="preserve"> </w:t>
            </w:r>
            <w:r w:rsidR="00E36095">
              <w:rPr>
                <w:color w:val="000000"/>
              </w:rPr>
              <w:t xml:space="preserve">Thus, </w:t>
            </w:r>
            <w:r w:rsidR="005E795E">
              <w:rPr>
                <w:color w:val="000000"/>
              </w:rPr>
              <w:t>PCF’s contributions to this proceeding</w:t>
            </w:r>
            <w:r w:rsidR="0085062D">
              <w:rPr>
                <w:color w:val="000000"/>
              </w:rPr>
              <w:t xml:space="preserve"> are reasonable because</w:t>
            </w:r>
            <w:r w:rsidR="005E795E">
              <w:rPr>
                <w:color w:val="000000"/>
              </w:rPr>
              <w:t xml:space="preserve"> </w:t>
            </w:r>
            <w:r w:rsidR="0085062D">
              <w:rPr>
                <w:color w:val="000000"/>
              </w:rPr>
              <w:t xml:space="preserve">they </w:t>
            </w:r>
            <w:r w:rsidR="005E795E">
              <w:rPr>
                <w:color w:val="000000"/>
              </w:rPr>
              <w:t xml:space="preserve">serve to </w:t>
            </w:r>
            <w:r w:rsidR="00B17B49">
              <w:rPr>
                <w:color w:val="000000"/>
              </w:rPr>
              <w:t>reduce</w:t>
            </w:r>
            <w:r w:rsidR="005E795E">
              <w:rPr>
                <w:color w:val="000000"/>
              </w:rPr>
              <w:t xml:space="preserve"> </w:t>
            </w:r>
            <w:r w:rsidR="00E36095">
              <w:rPr>
                <w:color w:val="000000"/>
              </w:rPr>
              <w:t>the significant</w:t>
            </w:r>
            <w:r w:rsidR="0085062D">
              <w:rPr>
                <w:color w:val="000000"/>
              </w:rPr>
              <w:t xml:space="preserve"> </w:t>
            </w:r>
            <w:r w:rsidR="005E795E">
              <w:rPr>
                <w:color w:val="000000"/>
              </w:rPr>
              <w:t xml:space="preserve">cost </w:t>
            </w:r>
            <w:r w:rsidR="00E36095">
              <w:rPr>
                <w:color w:val="000000"/>
              </w:rPr>
              <w:t>of mitigating safety risks</w:t>
            </w:r>
            <w:r w:rsidR="0085062D">
              <w:rPr>
                <w:color w:val="000000"/>
              </w:rPr>
              <w:t xml:space="preserve"> by allowing the Commission and parties to better understand the Utilities’ risk related decision making so that the Commission can hold the Utilities accountable for how the Utilities spend ratepayer funds in the future</w:t>
            </w:r>
            <w:r w:rsidR="00C550FE">
              <w:rPr>
                <w:color w:val="000000"/>
              </w:rPr>
              <w:t>.</w:t>
            </w:r>
          </w:p>
          <w:p w:rsidRPr="003D4455" w:rsidR="00FE3BAE" w:rsidP="00EC6387" w:rsidRDefault="00FE3BAE" w14:paraId="2B1A1242" w14:textId="77777777">
            <w:pPr>
              <w:rPr>
                <w:color w:val="000000"/>
              </w:rPr>
            </w:pPr>
          </w:p>
        </w:tc>
        <w:tc>
          <w:tcPr>
            <w:tcW w:w="2250" w:type="dxa"/>
            <w:shd w:val="clear" w:color="auto" w:fill="auto"/>
          </w:tcPr>
          <w:p w:rsidR="00FE3BAE" w:rsidP="00187FA5" w:rsidRDefault="003B2DE2" w14:paraId="613524AA" w14:textId="77777777">
            <w:pPr>
              <w:jc w:val="center"/>
              <w:rPr>
                <w:color w:val="000000"/>
              </w:rPr>
            </w:pPr>
            <w:r w:rsidRPr="003B2DE2">
              <w:rPr>
                <w:color w:val="000000"/>
              </w:rPr>
              <w:lastRenderedPageBreak/>
              <w:t>Noted</w:t>
            </w:r>
          </w:p>
          <w:p w:rsidRPr="00FE3BAE" w:rsidR="00BC437B" w:rsidP="00EC6387" w:rsidRDefault="00BC437B" w14:paraId="223B4665" w14:textId="669A4799">
            <w:pPr>
              <w:rPr>
                <w:color w:val="000000"/>
              </w:rPr>
            </w:pPr>
          </w:p>
        </w:tc>
      </w:tr>
      <w:tr w:rsidRPr="007F620E" w:rsidR="00FE3BAE" w:rsidTr="00AC07A0" w14:paraId="5548029C" w14:textId="77777777">
        <w:tc>
          <w:tcPr>
            <w:tcW w:w="7488" w:type="dxa"/>
            <w:shd w:val="clear" w:color="auto" w:fill="auto"/>
          </w:tcPr>
          <w:p w:rsidR="00FE3BAE" w:rsidP="00EC6387" w:rsidRDefault="00FE3BAE" w14:paraId="751A610C" w14:textId="509B1715">
            <w:pPr>
              <w:rPr>
                <w:color w:val="000000"/>
              </w:rPr>
            </w:pPr>
            <w:r w:rsidRPr="007F620E">
              <w:rPr>
                <w:b/>
                <w:color w:val="000000"/>
              </w:rPr>
              <w:t>b. Reasonableness of hours claimed:</w:t>
            </w:r>
            <w:r w:rsidRPr="00E25078" w:rsidR="00E25078">
              <w:rPr>
                <w:color w:val="000000"/>
              </w:rPr>
              <w:t xml:space="preserve"> </w:t>
            </w:r>
          </w:p>
          <w:p w:rsidRPr="00E25078" w:rsidR="00A902BA" w:rsidP="00EC6387" w:rsidRDefault="00A902BA" w14:paraId="0120AEC4" w14:textId="77777777">
            <w:pPr>
              <w:rPr>
                <w:color w:val="000000"/>
              </w:rPr>
            </w:pPr>
          </w:p>
          <w:p w:rsidRPr="002C2899" w:rsidR="002C2899" w:rsidP="002C2899" w:rsidRDefault="003F4D02" w14:paraId="3951CE91" w14:textId="5DDD3366">
            <w:pPr>
              <w:rPr>
                <w:color w:val="000000"/>
              </w:rPr>
            </w:pPr>
            <w:r w:rsidRPr="002C2899">
              <w:rPr>
                <w:color w:val="000000"/>
              </w:rPr>
              <w:t>All of the hours claimed in this request were reasonably necessary to PCF’s participation towards</w:t>
            </w:r>
            <w:r w:rsidRPr="002C2899">
              <w:rPr>
                <w:bCs/>
                <w:color w:val="000000"/>
              </w:rPr>
              <w:t xml:space="preserve"> D.24-0</w:t>
            </w:r>
            <w:r>
              <w:rPr>
                <w:bCs/>
                <w:color w:val="000000"/>
              </w:rPr>
              <w:t>5</w:t>
            </w:r>
            <w:r w:rsidRPr="002C2899">
              <w:rPr>
                <w:bCs/>
                <w:color w:val="000000"/>
              </w:rPr>
              <w:t>-0</w:t>
            </w:r>
            <w:r>
              <w:rPr>
                <w:bCs/>
                <w:color w:val="000000"/>
              </w:rPr>
              <w:t>64</w:t>
            </w:r>
            <w:r w:rsidRPr="002C2899">
              <w:rPr>
                <w:bCs/>
                <w:color w:val="000000"/>
              </w:rPr>
              <w:t>.</w:t>
            </w:r>
          </w:p>
          <w:p w:rsidRPr="002C2899" w:rsidR="002C2899" w:rsidP="002C2899" w:rsidRDefault="002C2899" w14:paraId="401F5B88" w14:textId="77777777">
            <w:pPr>
              <w:rPr>
                <w:color w:val="000000"/>
              </w:rPr>
            </w:pPr>
          </w:p>
          <w:p w:rsidR="00DE0468" w:rsidP="00DE0468" w:rsidRDefault="002C2899" w14:paraId="184BA53A" w14:textId="7127C32F">
            <w:pPr>
              <w:rPr>
                <w:color w:val="000000"/>
              </w:rPr>
            </w:pPr>
            <w:r w:rsidRPr="002C2899">
              <w:rPr>
                <w:color w:val="000000"/>
              </w:rPr>
              <w:t>In an effort to minimize costs</w:t>
            </w:r>
            <w:r w:rsidR="00DE0468">
              <w:rPr>
                <w:color w:val="000000"/>
              </w:rPr>
              <w:t xml:space="preserve"> and ensure the reasonableness of hours claimed in this proceeding</w:t>
            </w:r>
            <w:r w:rsidRPr="002C2899">
              <w:rPr>
                <w:color w:val="000000"/>
              </w:rPr>
              <w:t xml:space="preserve">, PCF staff attorney </w:t>
            </w:r>
            <w:r w:rsidR="004E2F0E">
              <w:rPr>
                <w:color w:val="000000"/>
              </w:rPr>
              <w:t>Jonathan Webster</w:t>
            </w:r>
            <w:r w:rsidRPr="002C2899">
              <w:rPr>
                <w:color w:val="000000"/>
              </w:rPr>
              <w:t xml:space="preserve">, whose rates are significantly lower than Ms. Dickenson’s, </w:t>
            </w:r>
            <w:r w:rsidR="00DE0468">
              <w:rPr>
                <w:color w:val="000000"/>
              </w:rPr>
              <w:t xml:space="preserve">prepared </w:t>
            </w:r>
            <w:r w:rsidRPr="002C2899">
              <w:rPr>
                <w:color w:val="000000"/>
              </w:rPr>
              <w:t xml:space="preserve">the </w:t>
            </w:r>
            <w:r w:rsidR="00DE0468">
              <w:rPr>
                <w:color w:val="000000"/>
              </w:rPr>
              <w:t xml:space="preserve">first </w:t>
            </w:r>
            <w:r w:rsidRPr="002C2899">
              <w:rPr>
                <w:color w:val="000000"/>
              </w:rPr>
              <w:t>draft</w:t>
            </w:r>
            <w:r w:rsidR="00DE0468">
              <w:rPr>
                <w:color w:val="000000"/>
              </w:rPr>
              <w:t>s</w:t>
            </w:r>
            <w:r w:rsidRPr="002C2899">
              <w:rPr>
                <w:color w:val="000000"/>
              </w:rPr>
              <w:t xml:space="preserve"> </w:t>
            </w:r>
            <w:r w:rsidR="00DE0468">
              <w:rPr>
                <w:color w:val="000000"/>
              </w:rPr>
              <w:t xml:space="preserve">of </w:t>
            </w:r>
            <w:r w:rsidRPr="002C2899">
              <w:rPr>
                <w:color w:val="000000"/>
              </w:rPr>
              <w:t xml:space="preserve">comments </w:t>
            </w:r>
            <w:r w:rsidR="00DE0468">
              <w:rPr>
                <w:color w:val="000000"/>
              </w:rPr>
              <w:t xml:space="preserve">that led to </w:t>
            </w:r>
            <w:r w:rsidRPr="002C2899">
              <w:rPr>
                <w:color w:val="000000"/>
              </w:rPr>
              <w:t>D.24-0</w:t>
            </w:r>
            <w:r w:rsidR="004E2F0E">
              <w:rPr>
                <w:color w:val="000000"/>
              </w:rPr>
              <w:t>5</w:t>
            </w:r>
            <w:r w:rsidRPr="002C2899">
              <w:rPr>
                <w:color w:val="000000"/>
              </w:rPr>
              <w:t>-0</w:t>
            </w:r>
            <w:r w:rsidR="004E2F0E">
              <w:rPr>
                <w:color w:val="000000"/>
              </w:rPr>
              <w:t>64</w:t>
            </w:r>
            <w:r w:rsidRPr="002C2899">
              <w:rPr>
                <w:color w:val="000000"/>
              </w:rPr>
              <w:t xml:space="preserve">. </w:t>
            </w:r>
            <w:r w:rsidRPr="00DE0468" w:rsidR="00DE0468">
              <w:rPr>
                <w:color w:val="000000"/>
              </w:rPr>
              <w:t>Ms. Dickenson’s background and participation in previous related</w:t>
            </w:r>
            <w:r w:rsidR="00DE0468">
              <w:rPr>
                <w:color w:val="000000"/>
              </w:rPr>
              <w:t xml:space="preserve"> </w:t>
            </w:r>
            <w:r w:rsidRPr="00DE0468" w:rsidR="00DE0468">
              <w:rPr>
                <w:color w:val="000000"/>
              </w:rPr>
              <w:t>proceedings, including SDG&amp;E’s and SoCalGas’s 2019 GRC and their</w:t>
            </w:r>
            <w:r w:rsidR="00DE0468">
              <w:rPr>
                <w:color w:val="000000"/>
              </w:rPr>
              <w:t xml:space="preserve"> </w:t>
            </w:r>
            <w:r w:rsidRPr="00DE0468" w:rsidR="00DE0468">
              <w:rPr>
                <w:color w:val="000000"/>
              </w:rPr>
              <w:t>2019 and 2021 RAMP proceedings, as well as matters related to wildfire</w:t>
            </w:r>
            <w:r w:rsidR="00DE0468">
              <w:rPr>
                <w:color w:val="000000"/>
              </w:rPr>
              <w:t xml:space="preserve"> </w:t>
            </w:r>
            <w:r w:rsidRPr="00DE0468" w:rsidR="00DE0468">
              <w:rPr>
                <w:color w:val="000000"/>
              </w:rPr>
              <w:t>mitigation plan requirements, dramatically reduced the number of hours</w:t>
            </w:r>
            <w:r w:rsidR="00DE0468">
              <w:rPr>
                <w:color w:val="000000"/>
              </w:rPr>
              <w:t xml:space="preserve"> spent drafting comments and otherwise supervising Mr. Webster’s participation in Phase 3. </w:t>
            </w:r>
            <w:r w:rsidRPr="00DE0468" w:rsidR="00DE0468">
              <w:rPr>
                <w:color w:val="000000"/>
              </w:rPr>
              <w:t xml:space="preserve">PCF’s knowledge gained from </w:t>
            </w:r>
            <w:r w:rsidR="00DE0468">
              <w:rPr>
                <w:color w:val="000000"/>
              </w:rPr>
              <w:t xml:space="preserve">Ms. Dickenson’s </w:t>
            </w:r>
            <w:r w:rsidRPr="00DE0468" w:rsidR="00DE0468">
              <w:rPr>
                <w:color w:val="000000"/>
              </w:rPr>
              <w:t>participation in other proceedings allowed PCF to participate and advocate</w:t>
            </w:r>
            <w:r w:rsidR="00DE0468">
              <w:rPr>
                <w:color w:val="000000"/>
              </w:rPr>
              <w:t xml:space="preserve"> </w:t>
            </w:r>
            <w:r w:rsidRPr="00DE0468" w:rsidR="00DE0468">
              <w:rPr>
                <w:color w:val="000000"/>
              </w:rPr>
              <w:t xml:space="preserve">efficiently with respect to the issues decided in </w:t>
            </w:r>
            <w:r w:rsidR="00DE0468">
              <w:rPr>
                <w:color w:val="000000"/>
              </w:rPr>
              <w:t>D.24-05-06</w:t>
            </w:r>
            <w:r w:rsidR="00B63711">
              <w:rPr>
                <w:color w:val="000000"/>
              </w:rPr>
              <w:t>4</w:t>
            </w:r>
            <w:r w:rsidRPr="00DE0468" w:rsidR="00DE0468">
              <w:rPr>
                <w:color w:val="000000"/>
              </w:rPr>
              <w:t xml:space="preserve">. </w:t>
            </w:r>
          </w:p>
          <w:p w:rsidR="00DE0468" w:rsidP="00DE0468" w:rsidRDefault="00DE0468" w14:paraId="07461543" w14:textId="77777777">
            <w:pPr>
              <w:rPr>
                <w:color w:val="000000"/>
              </w:rPr>
            </w:pPr>
          </w:p>
          <w:p w:rsidR="002C2899" w:rsidP="00DE0468" w:rsidRDefault="00DE0468" w14:paraId="0E074202" w14:textId="085C1990">
            <w:pPr>
              <w:rPr>
                <w:color w:val="000000"/>
              </w:rPr>
            </w:pPr>
            <w:r w:rsidRPr="002C2899">
              <w:rPr>
                <w:color w:val="000000"/>
              </w:rPr>
              <w:t xml:space="preserve">PCF does </w:t>
            </w:r>
            <w:r w:rsidRPr="002C2899">
              <w:rPr>
                <w:color w:val="000000"/>
                <w:u w:val="single"/>
              </w:rPr>
              <w:t>not</w:t>
            </w:r>
            <w:r w:rsidRPr="002C2899">
              <w:rPr>
                <w:color w:val="000000"/>
              </w:rPr>
              <w:t xml:space="preserve"> claim time spent on any administrative matters, such as time spent filing and serving comments</w:t>
            </w:r>
            <w:r>
              <w:rPr>
                <w:color w:val="000000"/>
              </w:rPr>
              <w:t>.</w:t>
            </w:r>
            <w:r w:rsidRPr="002C2899">
              <w:rPr>
                <w:color w:val="000000"/>
              </w:rPr>
              <w:t xml:space="preserve"> </w:t>
            </w:r>
            <w:r>
              <w:rPr>
                <w:color w:val="000000"/>
              </w:rPr>
              <w:t xml:space="preserve">To further minimize costs, </w:t>
            </w:r>
            <w:r w:rsidRPr="002C2899" w:rsidR="002C2899">
              <w:rPr>
                <w:color w:val="000000"/>
              </w:rPr>
              <w:t>M</w:t>
            </w:r>
            <w:r w:rsidR="004E2F0E">
              <w:rPr>
                <w:color w:val="000000"/>
              </w:rPr>
              <w:t>r. Webster</w:t>
            </w:r>
            <w:r>
              <w:rPr>
                <w:color w:val="000000"/>
              </w:rPr>
              <w:t>,</w:t>
            </w:r>
            <w:r w:rsidRPr="002C2899" w:rsidR="002C2899">
              <w:rPr>
                <w:color w:val="000000"/>
              </w:rPr>
              <w:t xml:space="preserve"> </w:t>
            </w:r>
            <w:r>
              <w:rPr>
                <w:color w:val="000000"/>
              </w:rPr>
              <w:t>under Ms. Dickenson’s supervision,</w:t>
            </w:r>
            <w:r w:rsidRPr="002C2899" w:rsidDel="00DE0468">
              <w:rPr>
                <w:color w:val="000000"/>
              </w:rPr>
              <w:t xml:space="preserve"> </w:t>
            </w:r>
            <w:r>
              <w:rPr>
                <w:color w:val="000000"/>
              </w:rPr>
              <w:t xml:space="preserve">performed the majority of the work preparing </w:t>
            </w:r>
            <w:r w:rsidRPr="002C2899" w:rsidR="002C2899">
              <w:rPr>
                <w:color w:val="000000"/>
              </w:rPr>
              <w:t xml:space="preserve">this request for intervenor compensation. </w:t>
            </w:r>
          </w:p>
          <w:p w:rsidR="00D07E7D" w:rsidP="00DE0468" w:rsidRDefault="00D07E7D" w14:paraId="1DEA4B50" w14:textId="77777777">
            <w:pPr>
              <w:rPr>
                <w:color w:val="000000"/>
              </w:rPr>
            </w:pPr>
          </w:p>
          <w:p w:rsidRPr="002C2899" w:rsidR="00D07E7D" w:rsidP="00DE0468" w:rsidRDefault="00D07E7D" w14:paraId="60EB5C52" w14:textId="5576E4D5">
            <w:pPr>
              <w:rPr>
                <w:color w:val="000000"/>
              </w:rPr>
            </w:pPr>
            <w:r>
              <w:rPr>
                <w:color w:val="000000"/>
              </w:rPr>
              <w:t>Nor does PCF claim any time spent by Mr. Webster that was necessary for him to get up to speed on this proceeding. PCF has reduced its hours claimed to ensure reasonableness.</w:t>
            </w:r>
          </w:p>
          <w:p w:rsidRPr="007F620E" w:rsidR="00691528" w:rsidP="00EC6387" w:rsidRDefault="00691528" w14:paraId="694F0B63" w14:textId="77777777">
            <w:pPr>
              <w:rPr>
                <w:color w:val="000000"/>
              </w:rPr>
            </w:pPr>
          </w:p>
        </w:tc>
        <w:tc>
          <w:tcPr>
            <w:tcW w:w="2250" w:type="dxa"/>
            <w:shd w:val="clear" w:color="auto" w:fill="auto"/>
          </w:tcPr>
          <w:p w:rsidRPr="007F620E" w:rsidR="00FE3BAE" w:rsidP="00EC6387" w:rsidRDefault="00472F74" w14:paraId="1874D625" w14:textId="67FF5846">
            <w:pPr>
              <w:rPr>
                <w:color w:val="000000"/>
              </w:rPr>
            </w:pPr>
            <w:r>
              <w:rPr>
                <w:color w:val="000000"/>
              </w:rPr>
              <w:t>Noted</w:t>
            </w:r>
            <w:r w:rsidR="00760381">
              <w:rPr>
                <w:color w:val="000000"/>
              </w:rPr>
              <w:t>;</w:t>
            </w:r>
            <w:r w:rsidRPr="00760381" w:rsidR="00760381">
              <w:rPr>
                <w:i/>
                <w:iCs/>
              </w:rPr>
              <w:t xml:space="preserve"> </w:t>
            </w:r>
            <w:r w:rsidR="00760381">
              <w:rPr>
                <w:i/>
                <w:iCs/>
                <w:color w:val="000000"/>
              </w:rPr>
              <w:t>s</w:t>
            </w:r>
            <w:r w:rsidRPr="00760381" w:rsidR="00760381">
              <w:rPr>
                <w:i/>
                <w:iCs/>
                <w:color w:val="000000"/>
              </w:rPr>
              <w:t>ee</w:t>
            </w:r>
            <w:r w:rsidRPr="00760381" w:rsidR="00760381">
              <w:rPr>
                <w:color w:val="000000"/>
              </w:rPr>
              <w:t xml:space="preserve"> Part III.D CPUC Comments, Disallowances, and Adjustments above.</w:t>
            </w:r>
          </w:p>
        </w:tc>
      </w:tr>
      <w:tr w:rsidRPr="007F620E" w:rsidR="00FE3BAE" w:rsidTr="00AC07A0" w14:paraId="3FD38B74" w14:textId="77777777">
        <w:tc>
          <w:tcPr>
            <w:tcW w:w="7488" w:type="dxa"/>
            <w:shd w:val="clear" w:color="auto" w:fill="auto"/>
          </w:tcPr>
          <w:p w:rsidR="00FE3BAE" w:rsidP="00EC6387" w:rsidRDefault="00FE3BAE" w14:paraId="46990B37" w14:textId="569E5E0F">
            <w:pPr>
              <w:rPr>
                <w:color w:val="000000"/>
              </w:rPr>
            </w:pPr>
            <w:r w:rsidRPr="007F620E">
              <w:rPr>
                <w:b/>
                <w:color w:val="000000"/>
              </w:rPr>
              <w:t xml:space="preserve">c. </w:t>
            </w:r>
            <w:r w:rsidRPr="00011996">
              <w:rPr>
                <w:b/>
                <w:color w:val="000000"/>
              </w:rPr>
              <w:t>Allocation of hours by issue:</w:t>
            </w:r>
            <w:r w:rsidRPr="00E25078" w:rsidR="00E25078">
              <w:rPr>
                <w:color w:val="000000"/>
              </w:rPr>
              <w:t xml:space="preserve"> </w:t>
            </w:r>
          </w:p>
          <w:p w:rsidR="00011996" w:rsidP="00EC6387" w:rsidRDefault="00011996" w14:paraId="38CD4CEF" w14:textId="77777777">
            <w:pPr>
              <w:rPr>
                <w:color w:val="000000"/>
              </w:rPr>
            </w:pPr>
          </w:p>
          <w:p w:rsidR="00011996" w:rsidP="00EC6387" w:rsidRDefault="00011996" w14:paraId="13347B3E" w14:textId="76F8309A">
            <w:pPr>
              <w:rPr>
                <w:color w:val="000000"/>
              </w:rPr>
            </w:pPr>
            <w:r>
              <w:rPr>
                <w:color w:val="000000"/>
              </w:rPr>
              <w:t>Below are the</w:t>
            </w:r>
            <w:r w:rsidR="00EF750B">
              <w:rPr>
                <w:color w:val="000000"/>
              </w:rPr>
              <w:t xml:space="preserve"> total hours spend on each issue identified in the phase 3 scoping memo, as well as hours spend commenting on the phase 3 road map and proposed decision.</w:t>
            </w:r>
          </w:p>
          <w:tbl>
            <w:tblPr>
              <w:tblW w:w="8700" w:type="dxa"/>
              <w:tblLook w:val="04A0" w:firstRow="1" w:lastRow="0" w:firstColumn="1" w:lastColumn="0" w:noHBand="0" w:noVBand="1"/>
            </w:tblPr>
            <w:tblGrid>
              <w:gridCol w:w="1360"/>
              <w:gridCol w:w="1420"/>
              <w:gridCol w:w="780"/>
              <w:gridCol w:w="5140"/>
            </w:tblGrid>
            <w:tr w:rsidR="00011996" w:rsidTr="00011996" w14:paraId="683AC7EA" w14:textId="77777777">
              <w:trPr>
                <w:trHeight w:val="510"/>
              </w:trPr>
              <w:tc>
                <w:tcPr>
                  <w:tcW w:w="1360" w:type="dxa"/>
                  <w:tcBorders>
                    <w:top w:val="nil"/>
                    <w:left w:val="nil"/>
                    <w:bottom w:val="nil"/>
                    <w:right w:val="nil"/>
                  </w:tcBorders>
                  <w:shd w:val="clear" w:color="auto" w:fill="auto"/>
                  <w:hideMark/>
                </w:tcPr>
                <w:p w:rsidR="00011996" w:rsidP="00011996" w:rsidRDefault="00011996" w14:paraId="5C8513D0" w14:textId="77777777">
                  <w:pPr>
                    <w:rPr>
                      <w:rFonts w:ascii="Arial" w:hAnsi="Arial" w:cs="Arial"/>
                      <w:b/>
                      <w:bCs/>
                      <w:color w:val="000000"/>
                      <w:sz w:val="20"/>
                      <w:szCs w:val="20"/>
                      <w:u w:val="single"/>
                    </w:rPr>
                  </w:pPr>
                  <w:r>
                    <w:rPr>
                      <w:rFonts w:ascii="Arial" w:hAnsi="Arial" w:cs="Arial"/>
                      <w:b/>
                      <w:bCs/>
                      <w:color w:val="000000"/>
                      <w:sz w:val="20"/>
                      <w:szCs w:val="20"/>
                      <w:u w:val="single"/>
                    </w:rPr>
                    <w:t>Issue</w:t>
                  </w:r>
                </w:p>
              </w:tc>
              <w:tc>
                <w:tcPr>
                  <w:tcW w:w="1420" w:type="dxa"/>
                  <w:tcBorders>
                    <w:top w:val="nil"/>
                    <w:left w:val="nil"/>
                    <w:bottom w:val="nil"/>
                    <w:right w:val="nil"/>
                  </w:tcBorders>
                  <w:shd w:val="clear" w:color="auto" w:fill="auto"/>
                  <w:hideMark/>
                </w:tcPr>
                <w:p w:rsidR="00011996" w:rsidP="00011996" w:rsidRDefault="00011996" w14:paraId="7855F4A4" w14:textId="77777777">
                  <w:pPr>
                    <w:rPr>
                      <w:rFonts w:ascii="Arial" w:hAnsi="Arial" w:cs="Arial"/>
                      <w:b/>
                      <w:bCs/>
                      <w:color w:val="000000"/>
                      <w:sz w:val="20"/>
                      <w:szCs w:val="20"/>
                      <w:u w:val="single"/>
                    </w:rPr>
                  </w:pPr>
                  <w:r>
                    <w:rPr>
                      <w:rFonts w:ascii="Arial" w:hAnsi="Arial" w:cs="Arial"/>
                      <w:b/>
                      <w:bCs/>
                      <w:color w:val="000000"/>
                      <w:sz w:val="20"/>
                      <w:szCs w:val="20"/>
                      <w:u w:val="single"/>
                    </w:rPr>
                    <w:t>Total Hours</w:t>
                  </w:r>
                </w:p>
              </w:tc>
              <w:tc>
                <w:tcPr>
                  <w:tcW w:w="780" w:type="dxa"/>
                  <w:tcBorders>
                    <w:top w:val="nil"/>
                    <w:left w:val="nil"/>
                    <w:bottom w:val="nil"/>
                    <w:right w:val="nil"/>
                  </w:tcBorders>
                  <w:shd w:val="clear" w:color="auto" w:fill="auto"/>
                  <w:hideMark/>
                </w:tcPr>
                <w:p w:rsidR="00011996" w:rsidP="00011996" w:rsidRDefault="00011996" w14:paraId="14972EDE" w14:textId="77777777">
                  <w:pPr>
                    <w:rPr>
                      <w:rFonts w:ascii="Arial" w:hAnsi="Arial" w:cs="Arial"/>
                      <w:b/>
                      <w:bCs/>
                      <w:color w:val="000000"/>
                      <w:sz w:val="20"/>
                      <w:szCs w:val="20"/>
                      <w:u w:val="single"/>
                    </w:rPr>
                  </w:pPr>
                  <w:r>
                    <w:rPr>
                      <w:rFonts w:ascii="Arial" w:hAnsi="Arial" w:cs="Arial"/>
                      <w:b/>
                      <w:bCs/>
                      <w:color w:val="000000"/>
                      <w:sz w:val="20"/>
                      <w:szCs w:val="20"/>
                      <w:u w:val="single"/>
                    </w:rPr>
                    <w:t>% of Hours</w:t>
                  </w:r>
                </w:p>
              </w:tc>
              <w:tc>
                <w:tcPr>
                  <w:tcW w:w="5140" w:type="dxa"/>
                  <w:tcBorders>
                    <w:top w:val="nil"/>
                    <w:left w:val="nil"/>
                    <w:bottom w:val="nil"/>
                    <w:right w:val="nil"/>
                  </w:tcBorders>
                  <w:shd w:val="clear" w:color="auto" w:fill="auto"/>
                  <w:hideMark/>
                </w:tcPr>
                <w:p w:rsidR="00011996" w:rsidP="00011996" w:rsidRDefault="00011996" w14:paraId="06EDB4B9" w14:textId="77777777">
                  <w:pPr>
                    <w:rPr>
                      <w:rFonts w:ascii="Arial" w:hAnsi="Arial" w:cs="Arial"/>
                      <w:b/>
                      <w:bCs/>
                      <w:color w:val="000000"/>
                      <w:sz w:val="20"/>
                      <w:szCs w:val="20"/>
                      <w:u w:val="single"/>
                    </w:rPr>
                  </w:pPr>
                  <w:r>
                    <w:rPr>
                      <w:rFonts w:ascii="Arial" w:hAnsi="Arial" w:cs="Arial"/>
                      <w:b/>
                      <w:bCs/>
                      <w:color w:val="000000"/>
                      <w:sz w:val="20"/>
                      <w:szCs w:val="20"/>
                      <w:u w:val="single"/>
                    </w:rPr>
                    <w:t>Description</w:t>
                  </w:r>
                </w:p>
              </w:tc>
            </w:tr>
            <w:tr w:rsidR="00011996" w:rsidTr="00011996" w14:paraId="3C4516F7" w14:textId="77777777">
              <w:trPr>
                <w:trHeight w:val="255"/>
              </w:trPr>
              <w:tc>
                <w:tcPr>
                  <w:tcW w:w="1360" w:type="dxa"/>
                  <w:tcBorders>
                    <w:top w:val="nil"/>
                    <w:left w:val="nil"/>
                    <w:bottom w:val="nil"/>
                    <w:right w:val="nil"/>
                  </w:tcBorders>
                  <w:shd w:val="clear" w:color="auto" w:fill="auto"/>
                  <w:hideMark/>
                </w:tcPr>
                <w:p w:rsidR="00011996" w:rsidP="00011996" w:rsidRDefault="00011996" w14:paraId="32144A61" w14:textId="77777777">
                  <w:pPr>
                    <w:rPr>
                      <w:rFonts w:ascii="Arial" w:hAnsi="Arial" w:cs="Arial"/>
                      <w:color w:val="000000"/>
                      <w:sz w:val="20"/>
                      <w:szCs w:val="20"/>
                    </w:rPr>
                  </w:pPr>
                  <w:r>
                    <w:rPr>
                      <w:rFonts w:ascii="Arial" w:hAnsi="Arial" w:cs="Arial"/>
                      <w:color w:val="000000"/>
                      <w:sz w:val="20"/>
                      <w:szCs w:val="20"/>
                    </w:rPr>
                    <w:t>RM</w:t>
                  </w:r>
                </w:p>
              </w:tc>
              <w:tc>
                <w:tcPr>
                  <w:tcW w:w="1420" w:type="dxa"/>
                  <w:tcBorders>
                    <w:top w:val="nil"/>
                    <w:left w:val="nil"/>
                    <w:bottom w:val="nil"/>
                    <w:right w:val="nil"/>
                  </w:tcBorders>
                  <w:shd w:val="clear" w:color="auto" w:fill="auto"/>
                  <w:hideMark/>
                </w:tcPr>
                <w:p w:rsidR="00011996" w:rsidP="00011996" w:rsidRDefault="00011996" w14:paraId="4F763411" w14:textId="77777777">
                  <w:pPr>
                    <w:rPr>
                      <w:rFonts w:ascii="Arial" w:hAnsi="Arial" w:cs="Arial"/>
                      <w:color w:val="000000"/>
                      <w:sz w:val="20"/>
                      <w:szCs w:val="20"/>
                    </w:rPr>
                  </w:pPr>
                  <w:r>
                    <w:rPr>
                      <w:rFonts w:ascii="Arial" w:hAnsi="Arial" w:cs="Arial"/>
                      <w:color w:val="000000"/>
                      <w:sz w:val="20"/>
                      <w:szCs w:val="20"/>
                    </w:rPr>
                    <w:t>11.7</w:t>
                  </w:r>
                </w:p>
              </w:tc>
              <w:tc>
                <w:tcPr>
                  <w:tcW w:w="780" w:type="dxa"/>
                  <w:tcBorders>
                    <w:top w:val="nil"/>
                    <w:left w:val="nil"/>
                    <w:bottom w:val="nil"/>
                    <w:right w:val="nil"/>
                  </w:tcBorders>
                  <w:shd w:val="clear" w:color="auto" w:fill="auto"/>
                  <w:hideMark/>
                </w:tcPr>
                <w:p w:rsidR="00011996" w:rsidP="00011996" w:rsidRDefault="00011996" w14:paraId="04B85F4C" w14:textId="77777777">
                  <w:pPr>
                    <w:rPr>
                      <w:rFonts w:ascii="Arial" w:hAnsi="Arial" w:cs="Arial"/>
                      <w:color w:val="000000"/>
                      <w:sz w:val="20"/>
                      <w:szCs w:val="20"/>
                    </w:rPr>
                  </w:pPr>
                  <w:r>
                    <w:rPr>
                      <w:rFonts w:ascii="Arial" w:hAnsi="Arial" w:cs="Arial"/>
                      <w:color w:val="000000"/>
                      <w:sz w:val="20"/>
                      <w:szCs w:val="20"/>
                    </w:rPr>
                    <w:t>7%</w:t>
                  </w:r>
                </w:p>
              </w:tc>
              <w:tc>
                <w:tcPr>
                  <w:tcW w:w="5140" w:type="dxa"/>
                  <w:tcBorders>
                    <w:top w:val="nil"/>
                    <w:left w:val="nil"/>
                    <w:bottom w:val="nil"/>
                    <w:right w:val="nil"/>
                  </w:tcBorders>
                  <w:shd w:val="clear" w:color="auto" w:fill="auto"/>
                  <w:hideMark/>
                </w:tcPr>
                <w:p w:rsidR="00011996" w:rsidP="00011996" w:rsidRDefault="00011996" w14:paraId="302CA866" w14:textId="77777777">
                  <w:pPr>
                    <w:rPr>
                      <w:rFonts w:ascii="Arial" w:hAnsi="Arial" w:cs="Arial"/>
                      <w:color w:val="000000"/>
                      <w:sz w:val="20"/>
                      <w:szCs w:val="20"/>
                    </w:rPr>
                  </w:pPr>
                  <w:r>
                    <w:rPr>
                      <w:rFonts w:ascii="Arial" w:hAnsi="Arial" w:cs="Arial"/>
                      <w:color w:val="000000"/>
                      <w:sz w:val="20"/>
                      <w:szCs w:val="20"/>
                    </w:rPr>
                    <w:t>Phase 3 Roadmap</w:t>
                  </w:r>
                </w:p>
              </w:tc>
            </w:tr>
            <w:tr w:rsidR="00011996" w:rsidTr="00011996" w14:paraId="074951E6" w14:textId="77777777">
              <w:trPr>
                <w:trHeight w:val="255"/>
              </w:trPr>
              <w:tc>
                <w:tcPr>
                  <w:tcW w:w="1360" w:type="dxa"/>
                  <w:tcBorders>
                    <w:top w:val="nil"/>
                    <w:left w:val="nil"/>
                    <w:bottom w:val="nil"/>
                    <w:right w:val="nil"/>
                  </w:tcBorders>
                  <w:shd w:val="clear" w:color="auto" w:fill="auto"/>
                  <w:hideMark/>
                </w:tcPr>
                <w:p w:rsidR="00011996" w:rsidP="00011996" w:rsidRDefault="00011996" w14:paraId="418EC744" w14:textId="77777777">
                  <w:pPr>
                    <w:rPr>
                      <w:rFonts w:ascii="Arial" w:hAnsi="Arial" w:cs="Arial"/>
                      <w:color w:val="000000"/>
                      <w:sz w:val="20"/>
                      <w:szCs w:val="20"/>
                    </w:rPr>
                  </w:pPr>
                  <w:r>
                    <w:rPr>
                      <w:rFonts w:ascii="Arial" w:hAnsi="Arial" w:cs="Arial"/>
                      <w:color w:val="000000"/>
                      <w:sz w:val="20"/>
                      <w:szCs w:val="20"/>
                    </w:rPr>
                    <w:t>PT</w:t>
                  </w:r>
                </w:p>
              </w:tc>
              <w:tc>
                <w:tcPr>
                  <w:tcW w:w="1420" w:type="dxa"/>
                  <w:tcBorders>
                    <w:top w:val="nil"/>
                    <w:left w:val="nil"/>
                    <w:bottom w:val="nil"/>
                    <w:right w:val="nil"/>
                  </w:tcBorders>
                  <w:shd w:val="clear" w:color="auto" w:fill="auto"/>
                  <w:hideMark/>
                </w:tcPr>
                <w:p w:rsidR="00011996" w:rsidP="00011996" w:rsidRDefault="00011996" w14:paraId="1D7F44C3" w14:textId="77777777">
                  <w:pPr>
                    <w:rPr>
                      <w:rFonts w:ascii="Arial" w:hAnsi="Arial" w:cs="Arial"/>
                      <w:color w:val="000000"/>
                      <w:sz w:val="20"/>
                      <w:szCs w:val="20"/>
                    </w:rPr>
                  </w:pPr>
                  <w:r>
                    <w:rPr>
                      <w:rFonts w:ascii="Arial" w:hAnsi="Arial" w:cs="Arial"/>
                      <w:color w:val="000000"/>
                      <w:sz w:val="20"/>
                      <w:szCs w:val="20"/>
                    </w:rPr>
                    <w:t>5.3</w:t>
                  </w:r>
                </w:p>
              </w:tc>
              <w:tc>
                <w:tcPr>
                  <w:tcW w:w="780" w:type="dxa"/>
                  <w:tcBorders>
                    <w:top w:val="nil"/>
                    <w:left w:val="nil"/>
                    <w:bottom w:val="nil"/>
                    <w:right w:val="nil"/>
                  </w:tcBorders>
                  <w:shd w:val="clear" w:color="auto" w:fill="auto"/>
                  <w:hideMark/>
                </w:tcPr>
                <w:p w:rsidR="00011996" w:rsidP="00011996" w:rsidRDefault="00011996" w14:paraId="367DA423" w14:textId="77777777">
                  <w:pPr>
                    <w:rPr>
                      <w:rFonts w:ascii="Arial" w:hAnsi="Arial" w:cs="Arial"/>
                      <w:color w:val="000000"/>
                      <w:sz w:val="20"/>
                      <w:szCs w:val="20"/>
                    </w:rPr>
                  </w:pPr>
                  <w:r>
                    <w:rPr>
                      <w:rFonts w:ascii="Arial" w:hAnsi="Arial" w:cs="Arial"/>
                      <w:color w:val="000000"/>
                      <w:sz w:val="20"/>
                      <w:szCs w:val="20"/>
                    </w:rPr>
                    <w:t>3%</w:t>
                  </w:r>
                </w:p>
              </w:tc>
              <w:tc>
                <w:tcPr>
                  <w:tcW w:w="5140" w:type="dxa"/>
                  <w:tcBorders>
                    <w:top w:val="nil"/>
                    <w:left w:val="nil"/>
                    <w:bottom w:val="nil"/>
                    <w:right w:val="nil"/>
                  </w:tcBorders>
                  <w:shd w:val="clear" w:color="auto" w:fill="auto"/>
                  <w:hideMark/>
                </w:tcPr>
                <w:p w:rsidR="00011996" w:rsidP="00011996" w:rsidRDefault="00011996" w14:paraId="0D0EAE81" w14:textId="77777777">
                  <w:pPr>
                    <w:rPr>
                      <w:rFonts w:ascii="Arial" w:hAnsi="Arial" w:cs="Arial"/>
                      <w:color w:val="000000"/>
                      <w:sz w:val="20"/>
                      <w:szCs w:val="20"/>
                    </w:rPr>
                  </w:pPr>
                  <w:r>
                    <w:rPr>
                      <w:rFonts w:ascii="Arial" w:hAnsi="Arial" w:cs="Arial"/>
                      <w:color w:val="000000"/>
                      <w:sz w:val="20"/>
                      <w:szCs w:val="20"/>
                    </w:rPr>
                    <w:t>Evaluation of Post-Test Years</w:t>
                  </w:r>
                </w:p>
              </w:tc>
            </w:tr>
            <w:tr w:rsidR="00011996" w:rsidTr="00011996" w14:paraId="2C56C621" w14:textId="77777777">
              <w:trPr>
                <w:trHeight w:val="255"/>
              </w:trPr>
              <w:tc>
                <w:tcPr>
                  <w:tcW w:w="1360" w:type="dxa"/>
                  <w:tcBorders>
                    <w:top w:val="nil"/>
                    <w:left w:val="nil"/>
                    <w:bottom w:val="nil"/>
                    <w:right w:val="nil"/>
                  </w:tcBorders>
                  <w:shd w:val="clear" w:color="auto" w:fill="auto"/>
                  <w:hideMark/>
                </w:tcPr>
                <w:p w:rsidR="00011996" w:rsidP="00011996" w:rsidRDefault="00011996" w14:paraId="22D79F86" w14:textId="77777777">
                  <w:pPr>
                    <w:rPr>
                      <w:rFonts w:ascii="Arial" w:hAnsi="Arial" w:cs="Arial"/>
                      <w:color w:val="000000"/>
                      <w:sz w:val="20"/>
                      <w:szCs w:val="20"/>
                    </w:rPr>
                  </w:pPr>
                  <w:r>
                    <w:rPr>
                      <w:rFonts w:ascii="Arial" w:hAnsi="Arial" w:cs="Arial"/>
                      <w:color w:val="000000"/>
                      <w:sz w:val="20"/>
                      <w:szCs w:val="20"/>
                    </w:rPr>
                    <w:lastRenderedPageBreak/>
                    <w:t>TP</w:t>
                  </w:r>
                </w:p>
              </w:tc>
              <w:tc>
                <w:tcPr>
                  <w:tcW w:w="1420" w:type="dxa"/>
                  <w:tcBorders>
                    <w:top w:val="nil"/>
                    <w:left w:val="nil"/>
                    <w:bottom w:val="nil"/>
                    <w:right w:val="nil"/>
                  </w:tcBorders>
                  <w:shd w:val="clear" w:color="auto" w:fill="auto"/>
                  <w:hideMark/>
                </w:tcPr>
                <w:p w:rsidR="00011996" w:rsidP="00011996" w:rsidRDefault="00011996" w14:paraId="450FAFA5" w14:textId="77777777">
                  <w:pPr>
                    <w:rPr>
                      <w:rFonts w:ascii="Arial" w:hAnsi="Arial" w:cs="Arial"/>
                      <w:color w:val="000000"/>
                      <w:sz w:val="20"/>
                      <w:szCs w:val="20"/>
                    </w:rPr>
                  </w:pPr>
                  <w:r>
                    <w:rPr>
                      <w:rFonts w:ascii="Arial" w:hAnsi="Arial" w:cs="Arial"/>
                      <w:color w:val="000000"/>
                      <w:sz w:val="20"/>
                      <w:szCs w:val="20"/>
                    </w:rPr>
                    <w:t>0</w:t>
                  </w:r>
                </w:p>
              </w:tc>
              <w:tc>
                <w:tcPr>
                  <w:tcW w:w="780" w:type="dxa"/>
                  <w:tcBorders>
                    <w:top w:val="nil"/>
                    <w:left w:val="nil"/>
                    <w:bottom w:val="nil"/>
                    <w:right w:val="nil"/>
                  </w:tcBorders>
                  <w:shd w:val="clear" w:color="auto" w:fill="auto"/>
                  <w:hideMark/>
                </w:tcPr>
                <w:p w:rsidR="00011996" w:rsidP="00011996" w:rsidRDefault="00011996" w14:paraId="05D2303A" w14:textId="77777777">
                  <w:pPr>
                    <w:rPr>
                      <w:rFonts w:ascii="Arial" w:hAnsi="Arial" w:cs="Arial"/>
                      <w:color w:val="000000"/>
                      <w:sz w:val="20"/>
                      <w:szCs w:val="20"/>
                    </w:rPr>
                  </w:pPr>
                  <w:r>
                    <w:rPr>
                      <w:rFonts w:ascii="Arial" w:hAnsi="Arial" w:cs="Arial"/>
                      <w:color w:val="000000"/>
                      <w:sz w:val="20"/>
                      <w:szCs w:val="20"/>
                    </w:rPr>
                    <w:t>0%</w:t>
                  </w:r>
                </w:p>
              </w:tc>
              <w:tc>
                <w:tcPr>
                  <w:tcW w:w="5140" w:type="dxa"/>
                  <w:tcBorders>
                    <w:top w:val="nil"/>
                    <w:left w:val="nil"/>
                    <w:bottom w:val="nil"/>
                    <w:right w:val="nil"/>
                  </w:tcBorders>
                  <w:shd w:val="clear" w:color="auto" w:fill="auto"/>
                  <w:hideMark/>
                </w:tcPr>
                <w:p w:rsidR="00011996" w:rsidP="00011996" w:rsidRDefault="00011996" w14:paraId="6B90C808" w14:textId="77777777">
                  <w:pPr>
                    <w:rPr>
                      <w:rFonts w:ascii="Arial" w:hAnsi="Arial" w:cs="Arial"/>
                      <w:color w:val="000000"/>
                      <w:sz w:val="20"/>
                      <w:szCs w:val="20"/>
                    </w:rPr>
                  </w:pPr>
                  <w:r>
                    <w:rPr>
                      <w:rFonts w:ascii="Arial" w:hAnsi="Arial" w:cs="Arial"/>
                      <w:color w:val="000000"/>
                      <w:sz w:val="20"/>
                      <w:szCs w:val="20"/>
                    </w:rPr>
                    <w:t>Transparency Pilot</w:t>
                  </w:r>
                </w:p>
              </w:tc>
            </w:tr>
            <w:tr w:rsidR="00011996" w:rsidTr="00011996" w14:paraId="127D077F" w14:textId="77777777">
              <w:trPr>
                <w:trHeight w:val="255"/>
              </w:trPr>
              <w:tc>
                <w:tcPr>
                  <w:tcW w:w="1360" w:type="dxa"/>
                  <w:tcBorders>
                    <w:top w:val="nil"/>
                    <w:left w:val="nil"/>
                    <w:bottom w:val="nil"/>
                    <w:right w:val="nil"/>
                  </w:tcBorders>
                  <w:shd w:val="clear" w:color="auto" w:fill="auto"/>
                  <w:hideMark/>
                </w:tcPr>
                <w:p w:rsidR="00011996" w:rsidP="00011996" w:rsidRDefault="00011996" w14:paraId="17FBB722" w14:textId="77777777">
                  <w:pPr>
                    <w:rPr>
                      <w:rFonts w:ascii="Arial" w:hAnsi="Arial" w:cs="Arial"/>
                      <w:color w:val="000000"/>
                      <w:sz w:val="20"/>
                      <w:szCs w:val="20"/>
                    </w:rPr>
                  </w:pPr>
                  <w:r>
                    <w:rPr>
                      <w:rFonts w:ascii="Arial" w:hAnsi="Arial" w:cs="Arial"/>
                      <w:color w:val="000000"/>
                      <w:sz w:val="20"/>
                      <w:szCs w:val="20"/>
                    </w:rPr>
                    <w:t>TR</w:t>
                  </w:r>
                </w:p>
              </w:tc>
              <w:tc>
                <w:tcPr>
                  <w:tcW w:w="1420" w:type="dxa"/>
                  <w:tcBorders>
                    <w:top w:val="nil"/>
                    <w:left w:val="nil"/>
                    <w:bottom w:val="nil"/>
                    <w:right w:val="nil"/>
                  </w:tcBorders>
                  <w:shd w:val="clear" w:color="auto" w:fill="auto"/>
                  <w:hideMark/>
                </w:tcPr>
                <w:p w:rsidR="00011996" w:rsidP="00011996" w:rsidRDefault="00011996" w14:paraId="2EAD5058" w14:textId="77777777">
                  <w:pPr>
                    <w:rPr>
                      <w:rFonts w:ascii="Arial" w:hAnsi="Arial" w:cs="Arial"/>
                      <w:color w:val="000000"/>
                      <w:sz w:val="20"/>
                      <w:szCs w:val="20"/>
                    </w:rPr>
                  </w:pPr>
                  <w:r>
                    <w:rPr>
                      <w:rFonts w:ascii="Arial" w:hAnsi="Arial" w:cs="Arial"/>
                      <w:color w:val="000000"/>
                      <w:sz w:val="20"/>
                      <w:szCs w:val="20"/>
                    </w:rPr>
                    <w:t>0</w:t>
                  </w:r>
                </w:p>
              </w:tc>
              <w:tc>
                <w:tcPr>
                  <w:tcW w:w="780" w:type="dxa"/>
                  <w:tcBorders>
                    <w:top w:val="nil"/>
                    <w:left w:val="nil"/>
                    <w:bottom w:val="nil"/>
                    <w:right w:val="nil"/>
                  </w:tcBorders>
                  <w:shd w:val="clear" w:color="auto" w:fill="auto"/>
                  <w:hideMark/>
                </w:tcPr>
                <w:p w:rsidR="00011996" w:rsidP="00011996" w:rsidRDefault="00011996" w14:paraId="49F01443" w14:textId="77777777">
                  <w:pPr>
                    <w:rPr>
                      <w:rFonts w:ascii="Arial" w:hAnsi="Arial" w:cs="Arial"/>
                      <w:color w:val="000000"/>
                      <w:sz w:val="20"/>
                      <w:szCs w:val="20"/>
                    </w:rPr>
                  </w:pPr>
                  <w:r>
                    <w:rPr>
                      <w:rFonts w:ascii="Arial" w:hAnsi="Arial" w:cs="Arial"/>
                      <w:color w:val="000000"/>
                      <w:sz w:val="20"/>
                      <w:szCs w:val="20"/>
                    </w:rPr>
                    <w:t>0%</w:t>
                  </w:r>
                </w:p>
              </w:tc>
              <w:tc>
                <w:tcPr>
                  <w:tcW w:w="5140" w:type="dxa"/>
                  <w:tcBorders>
                    <w:top w:val="nil"/>
                    <w:left w:val="nil"/>
                    <w:bottom w:val="nil"/>
                    <w:right w:val="nil"/>
                  </w:tcBorders>
                  <w:shd w:val="clear" w:color="auto" w:fill="auto"/>
                  <w:hideMark/>
                </w:tcPr>
                <w:p w:rsidR="00011996" w:rsidP="00011996" w:rsidRDefault="00011996" w14:paraId="1A463572" w14:textId="77777777">
                  <w:pPr>
                    <w:rPr>
                      <w:rFonts w:ascii="Arial" w:hAnsi="Arial" w:cs="Arial"/>
                      <w:color w:val="000000"/>
                      <w:sz w:val="20"/>
                      <w:szCs w:val="20"/>
                    </w:rPr>
                  </w:pPr>
                  <w:r>
                    <w:rPr>
                      <w:rFonts w:ascii="Arial" w:hAnsi="Arial" w:cs="Arial"/>
                      <w:color w:val="000000"/>
                      <w:sz w:val="20"/>
                      <w:szCs w:val="20"/>
                    </w:rPr>
                    <w:t>Tail Risk: Consequence Modeling</w:t>
                  </w:r>
                </w:p>
              </w:tc>
            </w:tr>
            <w:tr w:rsidR="00011996" w:rsidTr="00011996" w14:paraId="5E913013" w14:textId="77777777">
              <w:trPr>
                <w:trHeight w:val="255"/>
              </w:trPr>
              <w:tc>
                <w:tcPr>
                  <w:tcW w:w="1360" w:type="dxa"/>
                  <w:tcBorders>
                    <w:top w:val="nil"/>
                    <w:left w:val="nil"/>
                    <w:bottom w:val="nil"/>
                    <w:right w:val="nil"/>
                  </w:tcBorders>
                  <w:shd w:val="clear" w:color="auto" w:fill="auto"/>
                  <w:hideMark/>
                </w:tcPr>
                <w:p w:rsidR="00011996" w:rsidP="00011996" w:rsidRDefault="00011996" w14:paraId="619545A3" w14:textId="77777777">
                  <w:pPr>
                    <w:rPr>
                      <w:rFonts w:ascii="Arial" w:hAnsi="Arial" w:cs="Arial"/>
                      <w:color w:val="000000"/>
                      <w:sz w:val="20"/>
                      <w:szCs w:val="20"/>
                    </w:rPr>
                  </w:pPr>
                  <w:r>
                    <w:rPr>
                      <w:rFonts w:ascii="Arial" w:hAnsi="Arial" w:cs="Arial"/>
                      <w:color w:val="000000"/>
                      <w:sz w:val="20"/>
                      <w:szCs w:val="20"/>
                    </w:rPr>
                    <w:t>CC</w:t>
                  </w:r>
                </w:p>
              </w:tc>
              <w:tc>
                <w:tcPr>
                  <w:tcW w:w="1420" w:type="dxa"/>
                  <w:tcBorders>
                    <w:top w:val="nil"/>
                    <w:left w:val="nil"/>
                    <w:bottom w:val="nil"/>
                    <w:right w:val="nil"/>
                  </w:tcBorders>
                  <w:shd w:val="clear" w:color="auto" w:fill="auto"/>
                  <w:hideMark/>
                </w:tcPr>
                <w:p w:rsidR="00011996" w:rsidP="00011996" w:rsidRDefault="00011996" w14:paraId="369D6864" w14:textId="77777777">
                  <w:pPr>
                    <w:rPr>
                      <w:rFonts w:ascii="Arial" w:hAnsi="Arial" w:cs="Arial"/>
                      <w:color w:val="000000"/>
                      <w:sz w:val="20"/>
                      <w:szCs w:val="20"/>
                    </w:rPr>
                  </w:pPr>
                  <w:r>
                    <w:rPr>
                      <w:rFonts w:ascii="Arial" w:hAnsi="Arial" w:cs="Arial"/>
                      <w:color w:val="000000"/>
                      <w:sz w:val="20"/>
                      <w:szCs w:val="20"/>
                    </w:rPr>
                    <w:t>43.9</w:t>
                  </w:r>
                </w:p>
              </w:tc>
              <w:tc>
                <w:tcPr>
                  <w:tcW w:w="780" w:type="dxa"/>
                  <w:tcBorders>
                    <w:top w:val="nil"/>
                    <w:left w:val="nil"/>
                    <w:bottom w:val="nil"/>
                    <w:right w:val="nil"/>
                  </w:tcBorders>
                  <w:shd w:val="clear" w:color="auto" w:fill="auto"/>
                  <w:hideMark/>
                </w:tcPr>
                <w:p w:rsidR="00011996" w:rsidP="00011996" w:rsidRDefault="00011996" w14:paraId="4FBA8690" w14:textId="77777777">
                  <w:pPr>
                    <w:rPr>
                      <w:rFonts w:ascii="Arial" w:hAnsi="Arial" w:cs="Arial"/>
                      <w:color w:val="000000"/>
                      <w:sz w:val="20"/>
                      <w:szCs w:val="20"/>
                    </w:rPr>
                  </w:pPr>
                  <w:r>
                    <w:rPr>
                      <w:rFonts w:ascii="Arial" w:hAnsi="Arial" w:cs="Arial"/>
                      <w:color w:val="000000"/>
                      <w:sz w:val="20"/>
                      <w:szCs w:val="20"/>
                    </w:rPr>
                    <w:t>27%</w:t>
                  </w:r>
                </w:p>
              </w:tc>
              <w:tc>
                <w:tcPr>
                  <w:tcW w:w="5140" w:type="dxa"/>
                  <w:tcBorders>
                    <w:top w:val="nil"/>
                    <w:left w:val="nil"/>
                    <w:bottom w:val="nil"/>
                    <w:right w:val="nil"/>
                  </w:tcBorders>
                  <w:shd w:val="clear" w:color="auto" w:fill="auto"/>
                  <w:hideMark/>
                </w:tcPr>
                <w:p w:rsidR="00011996" w:rsidP="00011996" w:rsidRDefault="00011996" w14:paraId="41C93208" w14:textId="77777777">
                  <w:pPr>
                    <w:rPr>
                      <w:rFonts w:ascii="Arial" w:hAnsi="Arial" w:cs="Arial"/>
                      <w:color w:val="000000"/>
                      <w:sz w:val="20"/>
                      <w:szCs w:val="20"/>
                    </w:rPr>
                  </w:pPr>
                  <w:r>
                    <w:rPr>
                      <w:rFonts w:ascii="Arial" w:hAnsi="Arial" w:cs="Arial"/>
                      <w:color w:val="000000"/>
                      <w:sz w:val="20"/>
                      <w:szCs w:val="20"/>
                    </w:rPr>
                    <w:t>Climate Change</w:t>
                  </w:r>
                </w:p>
              </w:tc>
            </w:tr>
            <w:tr w:rsidR="00011996" w:rsidTr="00011996" w14:paraId="1AB6C17B" w14:textId="77777777">
              <w:trPr>
                <w:trHeight w:val="255"/>
              </w:trPr>
              <w:tc>
                <w:tcPr>
                  <w:tcW w:w="1360" w:type="dxa"/>
                  <w:tcBorders>
                    <w:top w:val="nil"/>
                    <w:left w:val="nil"/>
                    <w:bottom w:val="nil"/>
                    <w:right w:val="nil"/>
                  </w:tcBorders>
                  <w:shd w:val="clear" w:color="auto" w:fill="auto"/>
                  <w:noWrap/>
                  <w:hideMark/>
                </w:tcPr>
                <w:p w:rsidR="00011996" w:rsidP="00011996" w:rsidRDefault="00011996" w14:paraId="02EE3A93" w14:textId="77777777">
                  <w:pPr>
                    <w:rPr>
                      <w:rFonts w:ascii="Arial" w:hAnsi="Arial" w:cs="Arial"/>
                      <w:color w:val="000000"/>
                      <w:sz w:val="20"/>
                      <w:szCs w:val="20"/>
                    </w:rPr>
                  </w:pPr>
                  <w:r>
                    <w:rPr>
                      <w:rFonts w:ascii="Arial" w:hAnsi="Arial" w:cs="Arial"/>
                      <w:color w:val="000000"/>
                      <w:sz w:val="20"/>
                      <w:szCs w:val="20"/>
                    </w:rPr>
                    <w:t>RS</w:t>
                  </w:r>
                </w:p>
              </w:tc>
              <w:tc>
                <w:tcPr>
                  <w:tcW w:w="1420" w:type="dxa"/>
                  <w:tcBorders>
                    <w:top w:val="nil"/>
                    <w:left w:val="nil"/>
                    <w:bottom w:val="nil"/>
                    <w:right w:val="nil"/>
                  </w:tcBorders>
                  <w:shd w:val="clear" w:color="auto" w:fill="auto"/>
                  <w:noWrap/>
                  <w:hideMark/>
                </w:tcPr>
                <w:p w:rsidR="00011996" w:rsidP="00011996" w:rsidRDefault="00011996" w14:paraId="0849BB93" w14:textId="77777777">
                  <w:pPr>
                    <w:rPr>
                      <w:rFonts w:ascii="Arial" w:hAnsi="Arial" w:cs="Arial"/>
                      <w:color w:val="000000"/>
                      <w:sz w:val="20"/>
                      <w:szCs w:val="20"/>
                    </w:rPr>
                  </w:pPr>
                  <w:r>
                    <w:rPr>
                      <w:rFonts w:ascii="Arial" w:hAnsi="Arial" w:cs="Arial"/>
                      <w:color w:val="000000"/>
                      <w:sz w:val="20"/>
                      <w:szCs w:val="20"/>
                    </w:rPr>
                    <w:t>26.4</w:t>
                  </w:r>
                </w:p>
              </w:tc>
              <w:tc>
                <w:tcPr>
                  <w:tcW w:w="780" w:type="dxa"/>
                  <w:tcBorders>
                    <w:top w:val="nil"/>
                    <w:left w:val="nil"/>
                    <w:bottom w:val="nil"/>
                    <w:right w:val="nil"/>
                  </w:tcBorders>
                  <w:shd w:val="clear" w:color="auto" w:fill="auto"/>
                  <w:hideMark/>
                </w:tcPr>
                <w:p w:rsidR="00011996" w:rsidP="00011996" w:rsidRDefault="00011996" w14:paraId="0FADA34A" w14:textId="77777777">
                  <w:pPr>
                    <w:rPr>
                      <w:rFonts w:ascii="Arial" w:hAnsi="Arial" w:cs="Arial"/>
                      <w:color w:val="000000"/>
                      <w:sz w:val="20"/>
                      <w:szCs w:val="20"/>
                    </w:rPr>
                  </w:pPr>
                  <w:r>
                    <w:rPr>
                      <w:rFonts w:ascii="Arial" w:hAnsi="Arial" w:cs="Arial"/>
                      <w:color w:val="000000"/>
                      <w:sz w:val="20"/>
                      <w:szCs w:val="20"/>
                    </w:rPr>
                    <w:t>16%</w:t>
                  </w:r>
                </w:p>
              </w:tc>
              <w:tc>
                <w:tcPr>
                  <w:tcW w:w="5140" w:type="dxa"/>
                  <w:tcBorders>
                    <w:top w:val="nil"/>
                    <w:left w:val="nil"/>
                    <w:bottom w:val="nil"/>
                    <w:right w:val="nil"/>
                  </w:tcBorders>
                  <w:shd w:val="clear" w:color="auto" w:fill="auto"/>
                  <w:noWrap/>
                  <w:hideMark/>
                </w:tcPr>
                <w:p w:rsidR="00011996" w:rsidP="00011996" w:rsidRDefault="00011996" w14:paraId="135E10CA" w14:textId="77777777">
                  <w:pPr>
                    <w:rPr>
                      <w:rFonts w:ascii="Arial" w:hAnsi="Arial" w:cs="Arial"/>
                      <w:color w:val="000000"/>
                      <w:sz w:val="20"/>
                      <w:szCs w:val="20"/>
                    </w:rPr>
                  </w:pPr>
                  <w:r>
                    <w:rPr>
                      <w:rFonts w:ascii="Arial" w:hAnsi="Arial" w:cs="Arial"/>
                      <w:color w:val="000000"/>
                      <w:sz w:val="20"/>
                      <w:szCs w:val="20"/>
                    </w:rPr>
                    <w:t>Risk Scaling</w:t>
                  </w:r>
                </w:p>
              </w:tc>
            </w:tr>
            <w:tr w:rsidR="00011996" w:rsidTr="00011996" w14:paraId="7FB13919" w14:textId="77777777">
              <w:trPr>
                <w:trHeight w:val="255"/>
              </w:trPr>
              <w:tc>
                <w:tcPr>
                  <w:tcW w:w="1360" w:type="dxa"/>
                  <w:tcBorders>
                    <w:top w:val="nil"/>
                    <w:left w:val="nil"/>
                    <w:bottom w:val="nil"/>
                    <w:right w:val="nil"/>
                  </w:tcBorders>
                  <w:shd w:val="clear" w:color="auto" w:fill="auto"/>
                  <w:noWrap/>
                  <w:hideMark/>
                </w:tcPr>
                <w:p w:rsidR="00011996" w:rsidP="00011996" w:rsidRDefault="00011996" w14:paraId="70294E54" w14:textId="77777777">
                  <w:pPr>
                    <w:rPr>
                      <w:rFonts w:ascii="Arial" w:hAnsi="Arial" w:cs="Arial"/>
                      <w:color w:val="000000"/>
                      <w:sz w:val="20"/>
                      <w:szCs w:val="20"/>
                    </w:rPr>
                  </w:pPr>
                  <w:r>
                    <w:rPr>
                      <w:rFonts w:ascii="Arial" w:hAnsi="Arial" w:cs="Arial"/>
                      <w:color w:val="000000"/>
                      <w:sz w:val="20"/>
                      <w:szCs w:val="20"/>
                    </w:rPr>
                    <w:t>DR</w:t>
                  </w:r>
                </w:p>
              </w:tc>
              <w:tc>
                <w:tcPr>
                  <w:tcW w:w="1420" w:type="dxa"/>
                  <w:tcBorders>
                    <w:top w:val="nil"/>
                    <w:left w:val="nil"/>
                    <w:bottom w:val="nil"/>
                    <w:right w:val="nil"/>
                  </w:tcBorders>
                  <w:shd w:val="clear" w:color="auto" w:fill="auto"/>
                  <w:hideMark/>
                </w:tcPr>
                <w:p w:rsidR="00011996" w:rsidP="00011996" w:rsidRDefault="00011996" w14:paraId="7BAEEF60" w14:textId="77777777">
                  <w:pPr>
                    <w:rPr>
                      <w:rFonts w:ascii="Arial" w:hAnsi="Arial" w:cs="Arial"/>
                      <w:color w:val="000000"/>
                      <w:sz w:val="20"/>
                      <w:szCs w:val="20"/>
                    </w:rPr>
                  </w:pPr>
                  <w:r>
                    <w:rPr>
                      <w:rFonts w:ascii="Arial" w:hAnsi="Arial" w:cs="Arial"/>
                      <w:color w:val="000000"/>
                      <w:sz w:val="20"/>
                      <w:szCs w:val="20"/>
                    </w:rPr>
                    <w:t>13.75</w:t>
                  </w:r>
                </w:p>
              </w:tc>
              <w:tc>
                <w:tcPr>
                  <w:tcW w:w="780" w:type="dxa"/>
                  <w:tcBorders>
                    <w:top w:val="nil"/>
                    <w:left w:val="nil"/>
                    <w:bottom w:val="nil"/>
                    <w:right w:val="nil"/>
                  </w:tcBorders>
                  <w:shd w:val="clear" w:color="auto" w:fill="auto"/>
                  <w:hideMark/>
                </w:tcPr>
                <w:p w:rsidR="00011996" w:rsidP="00011996" w:rsidRDefault="00011996" w14:paraId="01222C0B" w14:textId="77777777">
                  <w:pPr>
                    <w:rPr>
                      <w:rFonts w:ascii="Arial" w:hAnsi="Arial" w:cs="Arial"/>
                      <w:color w:val="000000"/>
                      <w:sz w:val="20"/>
                      <w:szCs w:val="20"/>
                    </w:rPr>
                  </w:pPr>
                  <w:r>
                    <w:rPr>
                      <w:rFonts w:ascii="Arial" w:hAnsi="Arial" w:cs="Arial"/>
                      <w:color w:val="000000"/>
                      <w:sz w:val="20"/>
                      <w:szCs w:val="20"/>
                    </w:rPr>
                    <w:t>8%</w:t>
                  </w:r>
                </w:p>
              </w:tc>
              <w:tc>
                <w:tcPr>
                  <w:tcW w:w="5140" w:type="dxa"/>
                  <w:tcBorders>
                    <w:top w:val="nil"/>
                    <w:left w:val="nil"/>
                    <w:bottom w:val="nil"/>
                    <w:right w:val="nil"/>
                  </w:tcBorders>
                  <w:shd w:val="clear" w:color="auto" w:fill="auto"/>
                  <w:noWrap/>
                  <w:hideMark/>
                </w:tcPr>
                <w:p w:rsidR="00011996" w:rsidP="00011996" w:rsidRDefault="00011996" w14:paraId="17004058" w14:textId="77777777">
                  <w:pPr>
                    <w:rPr>
                      <w:rFonts w:ascii="Arial" w:hAnsi="Arial" w:cs="Arial"/>
                      <w:color w:val="000000"/>
                      <w:sz w:val="20"/>
                      <w:szCs w:val="20"/>
                    </w:rPr>
                  </w:pPr>
                  <w:r>
                    <w:rPr>
                      <w:rFonts w:ascii="Arial" w:hAnsi="Arial" w:cs="Arial"/>
                      <w:color w:val="000000"/>
                      <w:sz w:val="20"/>
                      <w:szCs w:val="20"/>
                    </w:rPr>
                    <w:t>Discount Rates</w:t>
                  </w:r>
                </w:p>
              </w:tc>
            </w:tr>
            <w:tr w:rsidR="00011996" w:rsidTr="00011996" w14:paraId="2DB2A0F4" w14:textId="77777777">
              <w:trPr>
                <w:trHeight w:val="255"/>
              </w:trPr>
              <w:tc>
                <w:tcPr>
                  <w:tcW w:w="1360" w:type="dxa"/>
                  <w:tcBorders>
                    <w:top w:val="nil"/>
                    <w:left w:val="nil"/>
                    <w:bottom w:val="nil"/>
                    <w:right w:val="nil"/>
                  </w:tcBorders>
                  <w:shd w:val="clear" w:color="auto" w:fill="auto"/>
                  <w:hideMark/>
                </w:tcPr>
                <w:p w:rsidR="00011996" w:rsidP="00011996" w:rsidRDefault="00011996" w14:paraId="4CE86436" w14:textId="77777777">
                  <w:pPr>
                    <w:rPr>
                      <w:rFonts w:ascii="Arial" w:hAnsi="Arial" w:cs="Arial"/>
                      <w:color w:val="000000"/>
                      <w:sz w:val="20"/>
                      <w:szCs w:val="20"/>
                    </w:rPr>
                  </w:pPr>
                  <w:r>
                    <w:rPr>
                      <w:rFonts w:ascii="Arial" w:hAnsi="Arial" w:cs="Arial"/>
                      <w:color w:val="000000"/>
                      <w:sz w:val="20"/>
                      <w:szCs w:val="20"/>
                    </w:rPr>
                    <w:t>RT</w:t>
                  </w:r>
                </w:p>
              </w:tc>
              <w:tc>
                <w:tcPr>
                  <w:tcW w:w="1420" w:type="dxa"/>
                  <w:tcBorders>
                    <w:top w:val="nil"/>
                    <w:left w:val="nil"/>
                    <w:bottom w:val="nil"/>
                    <w:right w:val="nil"/>
                  </w:tcBorders>
                  <w:shd w:val="clear" w:color="auto" w:fill="auto"/>
                  <w:hideMark/>
                </w:tcPr>
                <w:p w:rsidR="00011996" w:rsidP="00011996" w:rsidRDefault="00011996" w14:paraId="0A59520C" w14:textId="77777777">
                  <w:pPr>
                    <w:rPr>
                      <w:rFonts w:ascii="Arial" w:hAnsi="Arial" w:cs="Arial"/>
                      <w:color w:val="000000"/>
                      <w:sz w:val="20"/>
                      <w:szCs w:val="20"/>
                    </w:rPr>
                  </w:pPr>
                  <w:r>
                    <w:rPr>
                      <w:rFonts w:ascii="Arial" w:hAnsi="Arial" w:cs="Arial"/>
                      <w:color w:val="000000"/>
                      <w:sz w:val="20"/>
                      <w:szCs w:val="20"/>
                    </w:rPr>
                    <w:t>8.35</w:t>
                  </w:r>
                </w:p>
              </w:tc>
              <w:tc>
                <w:tcPr>
                  <w:tcW w:w="780" w:type="dxa"/>
                  <w:tcBorders>
                    <w:top w:val="nil"/>
                    <w:left w:val="nil"/>
                    <w:bottom w:val="nil"/>
                    <w:right w:val="nil"/>
                  </w:tcBorders>
                  <w:shd w:val="clear" w:color="auto" w:fill="auto"/>
                  <w:hideMark/>
                </w:tcPr>
                <w:p w:rsidR="00011996" w:rsidP="00011996" w:rsidRDefault="00011996" w14:paraId="1FAD5574" w14:textId="77777777">
                  <w:pPr>
                    <w:rPr>
                      <w:rFonts w:ascii="Arial" w:hAnsi="Arial" w:cs="Arial"/>
                      <w:color w:val="000000"/>
                      <w:sz w:val="20"/>
                      <w:szCs w:val="20"/>
                    </w:rPr>
                  </w:pPr>
                  <w:r>
                    <w:rPr>
                      <w:rFonts w:ascii="Arial" w:hAnsi="Arial" w:cs="Arial"/>
                      <w:color w:val="000000"/>
                      <w:sz w:val="20"/>
                      <w:szCs w:val="20"/>
                    </w:rPr>
                    <w:t>5%</w:t>
                  </w:r>
                </w:p>
              </w:tc>
              <w:tc>
                <w:tcPr>
                  <w:tcW w:w="5140" w:type="dxa"/>
                  <w:tcBorders>
                    <w:top w:val="nil"/>
                    <w:left w:val="nil"/>
                    <w:bottom w:val="nil"/>
                    <w:right w:val="nil"/>
                  </w:tcBorders>
                  <w:shd w:val="clear" w:color="auto" w:fill="auto"/>
                  <w:hideMark/>
                </w:tcPr>
                <w:p w:rsidR="00011996" w:rsidP="00011996" w:rsidRDefault="00011996" w14:paraId="57B3F45E" w14:textId="77777777">
                  <w:pPr>
                    <w:rPr>
                      <w:rFonts w:ascii="Arial" w:hAnsi="Arial" w:cs="Arial"/>
                      <w:color w:val="000000"/>
                      <w:sz w:val="20"/>
                      <w:szCs w:val="20"/>
                    </w:rPr>
                  </w:pPr>
                  <w:r>
                    <w:rPr>
                      <w:rFonts w:ascii="Arial" w:hAnsi="Arial" w:cs="Arial"/>
                      <w:color w:val="000000"/>
                      <w:sz w:val="20"/>
                      <w:szCs w:val="20"/>
                    </w:rPr>
                    <w:t>RAMP Reporting Templates</w:t>
                  </w:r>
                </w:p>
              </w:tc>
            </w:tr>
            <w:tr w:rsidR="00011996" w:rsidTr="00011996" w14:paraId="1070D8EA" w14:textId="77777777">
              <w:trPr>
                <w:trHeight w:val="255"/>
              </w:trPr>
              <w:tc>
                <w:tcPr>
                  <w:tcW w:w="1360" w:type="dxa"/>
                  <w:tcBorders>
                    <w:top w:val="nil"/>
                    <w:left w:val="nil"/>
                    <w:bottom w:val="nil"/>
                    <w:right w:val="nil"/>
                  </w:tcBorders>
                  <w:shd w:val="clear" w:color="auto" w:fill="auto"/>
                  <w:hideMark/>
                </w:tcPr>
                <w:p w:rsidR="00011996" w:rsidP="00011996" w:rsidRDefault="00011996" w14:paraId="38D56C36" w14:textId="77777777">
                  <w:pPr>
                    <w:rPr>
                      <w:rFonts w:ascii="Arial" w:hAnsi="Arial" w:cs="Arial"/>
                      <w:color w:val="000000"/>
                      <w:sz w:val="20"/>
                      <w:szCs w:val="20"/>
                    </w:rPr>
                  </w:pPr>
                  <w:r>
                    <w:rPr>
                      <w:rFonts w:ascii="Arial" w:hAnsi="Arial" w:cs="Arial"/>
                      <w:color w:val="000000"/>
                      <w:sz w:val="20"/>
                      <w:szCs w:val="20"/>
                    </w:rPr>
                    <w:t>TG</w:t>
                  </w:r>
                </w:p>
              </w:tc>
              <w:tc>
                <w:tcPr>
                  <w:tcW w:w="1420" w:type="dxa"/>
                  <w:tcBorders>
                    <w:top w:val="nil"/>
                    <w:left w:val="nil"/>
                    <w:bottom w:val="nil"/>
                    <w:right w:val="nil"/>
                  </w:tcBorders>
                  <w:shd w:val="clear" w:color="auto" w:fill="auto"/>
                  <w:hideMark/>
                </w:tcPr>
                <w:p w:rsidR="00011996" w:rsidP="00011996" w:rsidRDefault="00011996" w14:paraId="6EA5169A" w14:textId="77777777">
                  <w:pPr>
                    <w:rPr>
                      <w:rFonts w:ascii="Arial" w:hAnsi="Arial" w:cs="Arial"/>
                      <w:color w:val="000000"/>
                      <w:sz w:val="20"/>
                      <w:szCs w:val="20"/>
                    </w:rPr>
                  </w:pPr>
                  <w:r>
                    <w:rPr>
                      <w:rFonts w:ascii="Arial" w:hAnsi="Arial" w:cs="Arial"/>
                      <w:color w:val="000000"/>
                      <w:sz w:val="20"/>
                      <w:szCs w:val="20"/>
                    </w:rPr>
                    <w:t>6</w:t>
                  </w:r>
                </w:p>
              </w:tc>
              <w:tc>
                <w:tcPr>
                  <w:tcW w:w="780" w:type="dxa"/>
                  <w:tcBorders>
                    <w:top w:val="nil"/>
                    <w:left w:val="nil"/>
                    <w:bottom w:val="nil"/>
                    <w:right w:val="nil"/>
                  </w:tcBorders>
                  <w:shd w:val="clear" w:color="auto" w:fill="auto"/>
                  <w:hideMark/>
                </w:tcPr>
                <w:p w:rsidR="00011996" w:rsidP="00011996" w:rsidRDefault="00011996" w14:paraId="4E60FA9F" w14:textId="77777777">
                  <w:pPr>
                    <w:rPr>
                      <w:rFonts w:ascii="Arial" w:hAnsi="Arial" w:cs="Arial"/>
                      <w:color w:val="000000"/>
                      <w:sz w:val="20"/>
                      <w:szCs w:val="20"/>
                    </w:rPr>
                  </w:pPr>
                  <w:r>
                    <w:rPr>
                      <w:rFonts w:ascii="Arial" w:hAnsi="Arial" w:cs="Arial"/>
                      <w:color w:val="000000"/>
                      <w:sz w:val="20"/>
                      <w:szCs w:val="20"/>
                    </w:rPr>
                    <w:t>4%</w:t>
                  </w:r>
                </w:p>
              </w:tc>
              <w:tc>
                <w:tcPr>
                  <w:tcW w:w="5140" w:type="dxa"/>
                  <w:tcBorders>
                    <w:top w:val="nil"/>
                    <w:left w:val="nil"/>
                    <w:bottom w:val="nil"/>
                    <w:right w:val="nil"/>
                  </w:tcBorders>
                  <w:shd w:val="clear" w:color="auto" w:fill="auto"/>
                  <w:hideMark/>
                </w:tcPr>
                <w:p w:rsidR="00011996" w:rsidP="00011996" w:rsidRDefault="00011996" w14:paraId="797B7628" w14:textId="77777777">
                  <w:pPr>
                    <w:rPr>
                      <w:rFonts w:ascii="Arial" w:hAnsi="Arial" w:cs="Arial"/>
                      <w:color w:val="000000"/>
                      <w:sz w:val="20"/>
                      <w:szCs w:val="20"/>
                    </w:rPr>
                  </w:pPr>
                  <w:r>
                    <w:rPr>
                      <w:rFonts w:ascii="Arial" w:hAnsi="Arial" w:cs="Arial"/>
                      <w:color w:val="000000"/>
                      <w:sz w:val="20"/>
                      <w:szCs w:val="20"/>
                    </w:rPr>
                    <w:t>Tranche Granularity</w:t>
                  </w:r>
                </w:p>
              </w:tc>
            </w:tr>
            <w:tr w:rsidR="00011996" w:rsidTr="00011996" w14:paraId="4F5DEAC5" w14:textId="77777777">
              <w:trPr>
                <w:trHeight w:val="255"/>
              </w:trPr>
              <w:tc>
                <w:tcPr>
                  <w:tcW w:w="1360" w:type="dxa"/>
                  <w:tcBorders>
                    <w:top w:val="nil"/>
                    <w:left w:val="nil"/>
                    <w:bottom w:val="nil"/>
                    <w:right w:val="nil"/>
                  </w:tcBorders>
                  <w:shd w:val="clear" w:color="auto" w:fill="auto"/>
                  <w:hideMark/>
                </w:tcPr>
                <w:p w:rsidR="00011996" w:rsidP="00011996" w:rsidRDefault="00011996" w14:paraId="543E5090" w14:textId="77777777">
                  <w:pPr>
                    <w:rPr>
                      <w:rFonts w:ascii="Arial" w:hAnsi="Arial" w:cs="Arial"/>
                      <w:color w:val="000000"/>
                      <w:sz w:val="20"/>
                      <w:szCs w:val="20"/>
                    </w:rPr>
                  </w:pPr>
                  <w:r>
                    <w:rPr>
                      <w:rFonts w:ascii="Arial" w:hAnsi="Arial" w:cs="Arial"/>
                      <w:color w:val="000000"/>
                      <w:sz w:val="20"/>
                      <w:szCs w:val="20"/>
                    </w:rPr>
                    <w:t>PD</w:t>
                  </w:r>
                </w:p>
              </w:tc>
              <w:tc>
                <w:tcPr>
                  <w:tcW w:w="1420" w:type="dxa"/>
                  <w:tcBorders>
                    <w:top w:val="nil"/>
                    <w:left w:val="nil"/>
                    <w:bottom w:val="nil"/>
                    <w:right w:val="nil"/>
                  </w:tcBorders>
                  <w:shd w:val="clear" w:color="auto" w:fill="auto"/>
                  <w:hideMark/>
                </w:tcPr>
                <w:p w:rsidR="00011996" w:rsidP="00011996" w:rsidRDefault="00011996" w14:paraId="75A5900E" w14:textId="77777777">
                  <w:pPr>
                    <w:rPr>
                      <w:rFonts w:ascii="Arial" w:hAnsi="Arial" w:cs="Arial"/>
                      <w:color w:val="000000"/>
                      <w:sz w:val="20"/>
                      <w:szCs w:val="20"/>
                    </w:rPr>
                  </w:pPr>
                  <w:r>
                    <w:rPr>
                      <w:rFonts w:ascii="Arial" w:hAnsi="Arial" w:cs="Arial"/>
                      <w:color w:val="000000"/>
                      <w:sz w:val="20"/>
                      <w:szCs w:val="20"/>
                    </w:rPr>
                    <w:t>36.7</w:t>
                  </w:r>
                </w:p>
              </w:tc>
              <w:tc>
                <w:tcPr>
                  <w:tcW w:w="780" w:type="dxa"/>
                  <w:tcBorders>
                    <w:top w:val="nil"/>
                    <w:left w:val="nil"/>
                    <w:bottom w:val="nil"/>
                    <w:right w:val="nil"/>
                  </w:tcBorders>
                  <w:shd w:val="clear" w:color="auto" w:fill="auto"/>
                  <w:hideMark/>
                </w:tcPr>
                <w:p w:rsidR="00011996" w:rsidP="00011996" w:rsidRDefault="00011996" w14:paraId="6B9470EE" w14:textId="77777777">
                  <w:pPr>
                    <w:rPr>
                      <w:rFonts w:ascii="Arial" w:hAnsi="Arial" w:cs="Arial"/>
                      <w:color w:val="000000"/>
                      <w:sz w:val="20"/>
                      <w:szCs w:val="20"/>
                    </w:rPr>
                  </w:pPr>
                  <w:r>
                    <w:rPr>
                      <w:rFonts w:ascii="Arial" w:hAnsi="Arial" w:cs="Arial"/>
                      <w:color w:val="000000"/>
                      <w:sz w:val="20"/>
                      <w:szCs w:val="20"/>
                    </w:rPr>
                    <w:t>22%</w:t>
                  </w:r>
                </w:p>
              </w:tc>
              <w:tc>
                <w:tcPr>
                  <w:tcW w:w="5140" w:type="dxa"/>
                  <w:tcBorders>
                    <w:top w:val="nil"/>
                    <w:left w:val="nil"/>
                    <w:bottom w:val="nil"/>
                    <w:right w:val="nil"/>
                  </w:tcBorders>
                  <w:shd w:val="clear" w:color="auto" w:fill="auto"/>
                  <w:hideMark/>
                </w:tcPr>
                <w:p w:rsidR="00011996" w:rsidP="00011996" w:rsidRDefault="00011996" w14:paraId="38BD4070" w14:textId="77777777">
                  <w:pPr>
                    <w:rPr>
                      <w:rFonts w:ascii="Arial" w:hAnsi="Arial" w:cs="Arial"/>
                      <w:color w:val="000000"/>
                      <w:sz w:val="20"/>
                      <w:szCs w:val="20"/>
                    </w:rPr>
                  </w:pPr>
                  <w:r>
                    <w:rPr>
                      <w:rFonts w:ascii="Arial" w:hAnsi="Arial" w:cs="Arial"/>
                      <w:color w:val="000000"/>
                      <w:sz w:val="20"/>
                      <w:szCs w:val="20"/>
                    </w:rPr>
                    <w:t>Proposed Decision</w:t>
                  </w:r>
                </w:p>
              </w:tc>
            </w:tr>
            <w:tr w:rsidR="00011996" w:rsidTr="00011996" w14:paraId="245A4F70" w14:textId="77777777">
              <w:trPr>
                <w:trHeight w:val="255"/>
              </w:trPr>
              <w:tc>
                <w:tcPr>
                  <w:tcW w:w="1360" w:type="dxa"/>
                  <w:tcBorders>
                    <w:top w:val="nil"/>
                    <w:left w:val="nil"/>
                    <w:bottom w:val="nil"/>
                    <w:right w:val="nil"/>
                  </w:tcBorders>
                  <w:shd w:val="clear" w:color="auto" w:fill="auto"/>
                  <w:hideMark/>
                </w:tcPr>
                <w:p w:rsidR="00011996" w:rsidP="00011996" w:rsidRDefault="00011996" w14:paraId="6104587D" w14:textId="77777777">
                  <w:pPr>
                    <w:rPr>
                      <w:rFonts w:ascii="Arial" w:hAnsi="Arial" w:cs="Arial"/>
                      <w:color w:val="000000"/>
                      <w:sz w:val="20"/>
                      <w:szCs w:val="20"/>
                    </w:rPr>
                  </w:pPr>
                  <w:r>
                    <w:rPr>
                      <w:rFonts w:ascii="Arial" w:hAnsi="Arial" w:cs="Arial"/>
                      <w:color w:val="000000"/>
                      <w:sz w:val="20"/>
                      <w:szCs w:val="20"/>
                    </w:rPr>
                    <w:t>GP</w:t>
                  </w:r>
                </w:p>
              </w:tc>
              <w:tc>
                <w:tcPr>
                  <w:tcW w:w="1420" w:type="dxa"/>
                  <w:tcBorders>
                    <w:top w:val="nil"/>
                    <w:left w:val="nil"/>
                    <w:bottom w:val="nil"/>
                    <w:right w:val="nil"/>
                  </w:tcBorders>
                  <w:shd w:val="clear" w:color="auto" w:fill="auto"/>
                  <w:hideMark/>
                </w:tcPr>
                <w:p w:rsidR="00011996" w:rsidP="00011996" w:rsidRDefault="00011996" w14:paraId="7EC393D7" w14:textId="77777777">
                  <w:pPr>
                    <w:rPr>
                      <w:rFonts w:ascii="Arial" w:hAnsi="Arial" w:cs="Arial"/>
                      <w:color w:val="000000"/>
                      <w:sz w:val="20"/>
                      <w:szCs w:val="20"/>
                    </w:rPr>
                  </w:pPr>
                  <w:r>
                    <w:rPr>
                      <w:rFonts w:ascii="Arial" w:hAnsi="Arial" w:cs="Arial"/>
                      <w:color w:val="000000"/>
                      <w:sz w:val="20"/>
                      <w:szCs w:val="20"/>
                    </w:rPr>
                    <w:t>11.9</w:t>
                  </w:r>
                </w:p>
              </w:tc>
              <w:tc>
                <w:tcPr>
                  <w:tcW w:w="780" w:type="dxa"/>
                  <w:tcBorders>
                    <w:top w:val="nil"/>
                    <w:left w:val="nil"/>
                    <w:bottom w:val="nil"/>
                    <w:right w:val="nil"/>
                  </w:tcBorders>
                  <w:shd w:val="clear" w:color="auto" w:fill="auto"/>
                  <w:hideMark/>
                </w:tcPr>
                <w:p w:rsidR="00011996" w:rsidP="00011996" w:rsidRDefault="00011996" w14:paraId="300B968B" w14:textId="77777777">
                  <w:pPr>
                    <w:rPr>
                      <w:rFonts w:ascii="Arial" w:hAnsi="Arial" w:cs="Arial"/>
                      <w:color w:val="000000"/>
                      <w:sz w:val="20"/>
                      <w:szCs w:val="20"/>
                    </w:rPr>
                  </w:pPr>
                  <w:r>
                    <w:rPr>
                      <w:rFonts w:ascii="Arial" w:hAnsi="Arial" w:cs="Arial"/>
                      <w:color w:val="000000"/>
                      <w:sz w:val="20"/>
                      <w:szCs w:val="20"/>
                    </w:rPr>
                    <w:t>7%</w:t>
                  </w:r>
                </w:p>
              </w:tc>
              <w:tc>
                <w:tcPr>
                  <w:tcW w:w="5140" w:type="dxa"/>
                  <w:tcBorders>
                    <w:top w:val="nil"/>
                    <w:left w:val="nil"/>
                    <w:bottom w:val="nil"/>
                    <w:right w:val="nil"/>
                  </w:tcBorders>
                  <w:shd w:val="clear" w:color="auto" w:fill="auto"/>
                  <w:hideMark/>
                </w:tcPr>
                <w:p w:rsidR="00011996" w:rsidP="00011996" w:rsidRDefault="00011996" w14:paraId="479B1AA7" w14:textId="77777777">
                  <w:pPr>
                    <w:rPr>
                      <w:rFonts w:ascii="Arial" w:hAnsi="Arial" w:cs="Arial"/>
                      <w:color w:val="000000"/>
                      <w:sz w:val="20"/>
                      <w:szCs w:val="20"/>
                    </w:rPr>
                  </w:pPr>
                  <w:r>
                    <w:rPr>
                      <w:rFonts w:ascii="Arial" w:hAnsi="Arial" w:cs="Arial"/>
                      <w:color w:val="000000"/>
                      <w:sz w:val="20"/>
                      <w:szCs w:val="20"/>
                    </w:rPr>
                    <w:t>General Participation</w:t>
                  </w:r>
                </w:p>
              </w:tc>
            </w:tr>
          </w:tbl>
          <w:p w:rsidRPr="00691528" w:rsidR="00FE3BAE" w:rsidP="00EC6387" w:rsidRDefault="00FE3BAE" w14:paraId="78501013" w14:textId="77777777">
            <w:pPr>
              <w:rPr>
                <w:color w:val="000000"/>
              </w:rPr>
            </w:pPr>
          </w:p>
          <w:p w:rsidRPr="003D4455" w:rsidR="00691528" w:rsidP="00EC6387" w:rsidRDefault="00691528" w14:paraId="3285939A" w14:textId="77777777">
            <w:pPr>
              <w:rPr>
                <w:color w:val="000000"/>
              </w:rPr>
            </w:pPr>
          </w:p>
        </w:tc>
        <w:tc>
          <w:tcPr>
            <w:tcW w:w="2250" w:type="dxa"/>
            <w:shd w:val="clear" w:color="auto" w:fill="auto"/>
          </w:tcPr>
          <w:p w:rsidRPr="007F620E" w:rsidR="00FE3BAE" w:rsidP="00EC6387" w:rsidRDefault="00526FF6" w14:paraId="497C4799" w14:textId="65B18ECD">
            <w:pPr>
              <w:rPr>
                <w:color w:val="000000"/>
              </w:rPr>
            </w:pPr>
            <w:r>
              <w:rPr>
                <w:color w:val="000000"/>
              </w:rPr>
              <w:lastRenderedPageBreak/>
              <w:t>Noted; totals 99%.</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t>Specific Claim</w:t>
      </w:r>
      <w:r w:rsidR="00C02649">
        <w:rPr>
          <w:b/>
          <w:color w:val="000000"/>
        </w:rPr>
        <w:t>:</w:t>
      </w:r>
      <w:r w:rsidRPr="007F620E" w:rsidR="00D075B1">
        <w:rPr>
          <w:b/>
          <w:color w:val="000000"/>
        </w:rPr>
        <w:t>*</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1121"/>
        <w:gridCol w:w="286"/>
        <w:gridCol w:w="1244"/>
        <w:gridCol w:w="1047"/>
        <w:gridCol w:w="286"/>
        <w:gridCol w:w="955"/>
        <w:gridCol w:w="1146"/>
        <w:gridCol w:w="1881"/>
      </w:tblGrid>
      <w:tr w:rsidRPr="007F620E" w:rsidR="00A92D0B" w:rsidTr="00EC6387" w14:paraId="780664A2" w14:textId="77777777">
        <w:trPr>
          <w:tblHeader/>
          <w:jc w:val="center"/>
        </w:trPr>
        <w:tc>
          <w:tcPr>
            <w:tcW w:w="7178" w:type="dxa"/>
            <w:gridSpan w:val="9"/>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982" w:type="dxa"/>
            <w:gridSpan w:val="3"/>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5911E7" w14:paraId="5A70C962" w14:textId="77777777">
        <w:trPr>
          <w:jc w:val="center"/>
        </w:trPr>
        <w:tc>
          <w:tcPr>
            <w:tcW w:w="1489"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1121"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530"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881"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A92D0B" w:rsidTr="00B77799" w14:paraId="62E8A168" w14:textId="77777777">
        <w:trPr>
          <w:jc w:val="center"/>
        </w:trPr>
        <w:tc>
          <w:tcPr>
            <w:tcW w:w="1489" w:type="dxa"/>
            <w:shd w:val="clear" w:color="auto" w:fill="auto"/>
          </w:tcPr>
          <w:p w:rsidRPr="007F620E" w:rsidR="00A92D0B" w:rsidP="00A92D0B" w:rsidRDefault="003F4D02" w14:paraId="33EA8B38" w14:textId="5D329E34">
            <w:pPr>
              <w:spacing w:before="60" w:after="60"/>
              <w:rPr>
                <w:color w:val="000000"/>
              </w:rPr>
            </w:pPr>
            <w:r>
              <w:rPr>
                <w:color w:val="000000"/>
              </w:rPr>
              <w:t>Malinda Dickenson [Lega</w:t>
            </w:r>
            <w:r w:rsidR="00052D1B">
              <w:rPr>
                <w:color w:val="000000"/>
              </w:rPr>
              <w:t>l Director, Attorney]</w:t>
            </w:r>
          </w:p>
        </w:tc>
        <w:tc>
          <w:tcPr>
            <w:tcW w:w="821" w:type="dxa"/>
            <w:shd w:val="clear" w:color="auto" w:fill="auto"/>
          </w:tcPr>
          <w:p w:rsidRPr="007F620E" w:rsidR="00A92D0B" w:rsidP="00AF61A9" w:rsidRDefault="00D53F15" w14:paraId="47EBBC49" w14:textId="6497FCF9">
            <w:pPr>
              <w:spacing w:before="60" w:after="60"/>
              <w:jc w:val="center"/>
              <w:rPr>
                <w:color w:val="000000"/>
              </w:rPr>
            </w:pPr>
            <w:r>
              <w:rPr>
                <w:color w:val="000000"/>
              </w:rPr>
              <w:t>2023</w:t>
            </w:r>
          </w:p>
        </w:tc>
        <w:tc>
          <w:tcPr>
            <w:tcW w:w="884" w:type="dxa"/>
            <w:gridSpan w:val="2"/>
            <w:shd w:val="clear" w:color="auto" w:fill="auto"/>
          </w:tcPr>
          <w:p w:rsidRPr="007F620E" w:rsidR="00A92D0B" w:rsidP="00AF61A9" w:rsidRDefault="00412C6A" w14:paraId="39A3074C" w14:textId="20A41A3C">
            <w:pPr>
              <w:spacing w:before="60" w:after="60"/>
              <w:jc w:val="center"/>
              <w:rPr>
                <w:color w:val="000000"/>
              </w:rPr>
            </w:pPr>
            <w:r>
              <w:rPr>
                <w:color w:val="000000"/>
              </w:rPr>
              <w:t>42</w:t>
            </w:r>
          </w:p>
        </w:tc>
        <w:tc>
          <w:tcPr>
            <w:tcW w:w="1121" w:type="dxa"/>
            <w:shd w:val="clear" w:color="auto" w:fill="auto"/>
          </w:tcPr>
          <w:p w:rsidRPr="007F620E" w:rsidR="00A92D0B" w:rsidP="00E775D0" w:rsidRDefault="004E6592" w14:paraId="3E5BD317" w14:textId="57FD544A">
            <w:pPr>
              <w:spacing w:before="60" w:after="60"/>
              <w:jc w:val="right"/>
              <w:rPr>
                <w:color w:val="000000"/>
              </w:rPr>
            </w:pPr>
            <w:r>
              <w:rPr>
                <w:color w:val="000000"/>
              </w:rPr>
              <w:t>$700/hr</w:t>
            </w:r>
          </w:p>
        </w:tc>
        <w:tc>
          <w:tcPr>
            <w:tcW w:w="1530" w:type="dxa"/>
            <w:gridSpan w:val="2"/>
            <w:tcBorders>
              <w:right w:val="single" w:color="auto" w:sz="4" w:space="0"/>
            </w:tcBorders>
            <w:shd w:val="clear" w:color="auto" w:fill="auto"/>
          </w:tcPr>
          <w:p w:rsidRPr="007F620E" w:rsidR="00A92D0B" w:rsidP="00CC10AF" w:rsidRDefault="00397322" w14:paraId="63BDE315" w14:textId="7A4944E6">
            <w:pPr>
              <w:spacing w:before="60" w:after="60"/>
              <w:rPr>
                <w:color w:val="000000"/>
              </w:rPr>
            </w:pPr>
            <w:r>
              <w:rPr>
                <w:color w:val="000000"/>
              </w:rPr>
              <w:t>See Comment #1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B17005" w:rsidRDefault="002A57D8" w14:paraId="06BD92A5" w14:textId="712921EE">
            <w:pPr>
              <w:spacing w:before="60" w:after="60"/>
              <w:jc w:val="right"/>
              <w:rPr>
                <w:color w:val="000000"/>
              </w:rPr>
            </w:pPr>
            <w:r>
              <w:rPr>
                <w:color w:val="000000"/>
              </w:rPr>
              <w:t>$</w:t>
            </w:r>
            <w:r w:rsidR="00BA5FC3">
              <w:rPr>
                <w:color w:val="000000"/>
              </w:rPr>
              <w:t>29,400</w:t>
            </w:r>
          </w:p>
        </w:tc>
        <w:tc>
          <w:tcPr>
            <w:tcW w:w="955" w:type="dxa"/>
            <w:tcBorders>
              <w:left w:val="single" w:color="auto" w:sz="4" w:space="0"/>
            </w:tcBorders>
            <w:shd w:val="clear" w:color="auto" w:fill="auto"/>
          </w:tcPr>
          <w:p w:rsidRPr="007F620E" w:rsidR="00A92D0B" w:rsidP="00F6500B" w:rsidRDefault="005A07FA" w14:paraId="31AF7AA4" w14:textId="778B7FE4">
            <w:pPr>
              <w:spacing w:before="60" w:after="60"/>
              <w:jc w:val="center"/>
              <w:rPr>
                <w:color w:val="000000"/>
              </w:rPr>
            </w:pPr>
            <w:r>
              <w:rPr>
                <w:color w:val="000000"/>
              </w:rPr>
              <w:t>42.00</w:t>
            </w:r>
          </w:p>
        </w:tc>
        <w:tc>
          <w:tcPr>
            <w:tcW w:w="1146" w:type="dxa"/>
            <w:shd w:val="clear" w:color="auto" w:fill="auto"/>
          </w:tcPr>
          <w:p w:rsidRPr="007F620E" w:rsidR="00A92D0B" w:rsidP="00F6500B" w:rsidRDefault="00C6105B" w14:paraId="3400AFFC" w14:textId="400F41B3">
            <w:pPr>
              <w:spacing w:before="60" w:after="60"/>
              <w:jc w:val="center"/>
              <w:rPr>
                <w:color w:val="000000"/>
              </w:rPr>
            </w:pPr>
            <w:r>
              <w:rPr>
                <w:color w:val="000000"/>
              </w:rPr>
              <w:t>$635.00</w:t>
            </w:r>
            <w:r w:rsidR="003A2A4F">
              <w:rPr>
                <w:color w:val="000000"/>
              </w:rPr>
              <w:t xml:space="preserve"> [1]</w:t>
            </w:r>
          </w:p>
        </w:tc>
        <w:tc>
          <w:tcPr>
            <w:tcW w:w="1881" w:type="dxa"/>
            <w:shd w:val="clear" w:color="auto" w:fill="auto"/>
          </w:tcPr>
          <w:p w:rsidRPr="007F620E" w:rsidR="00A92D0B" w:rsidP="00F6500B" w:rsidRDefault="00C86B0B" w14:paraId="196C1830" w14:textId="2D2E2361">
            <w:pPr>
              <w:spacing w:before="60" w:after="60"/>
              <w:jc w:val="center"/>
              <w:rPr>
                <w:color w:val="000000"/>
              </w:rPr>
            </w:pPr>
            <w:r w:rsidRPr="00C86B0B">
              <w:rPr>
                <w:color w:val="000000"/>
              </w:rPr>
              <w:t>$26,670.00</w:t>
            </w:r>
          </w:p>
        </w:tc>
      </w:tr>
      <w:tr w:rsidRPr="007F620E" w:rsidR="00A92D0B" w:rsidTr="00B77799" w14:paraId="5BF6A154" w14:textId="77777777">
        <w:trPr>
          <w:jc w:val="center"/>
        </w:trPr>
        <w:tc>
          <w:tcPr>
            <w:tcW w:w="1489" w:type="dxa"/>
            <w:shd w:val="clear" w:color="auto" w:fill="auto"/>
          </w:tcPr>
          <w:p w:rsidRPr="007F620E" w:rsidR="00A92D0B" w:rsidP="003B6A1B" w:rsidRDefault="00D53F15" w14:paraId="118506EC" w14:textId="38860A16">
            <w:pPr>
              <w:spacing w:before="60" w:after="60"/>
              <w:rPr>
                <w:color w:val="000000"/>
              </w:rPr>
            </w:pPr>
            <w:r>
              <w:rPr>
                <w:color w:val="000000"/>
              </w:rPr>
              <w:t>Malinda Dickenson [Legal Director, Attorney]</w:t>
            </w:r>
          </w:p>
        </w:tc>
        <w:tc>
          <w:tcPr>
            <w:tcW w:w="821" w:type="dxa"/>
            <w:shd w:val="clear" w:color="auto" w:fill="auto"/>
          </w:tcPr>
          <w:p w:rsidRPr="007F620E" w:rsidR="00A92D0B" w:rsidP="00AF61A9" w:rsidRDefault="00D53F15" w14:paraId="3767540B" w14:textId="3F78DA20">
            <w:pPr>
              <w:spacing w:before="60" w:after="60"/>
              <w:jc w:val="center"/>
              <w:rPr>
                <w:color w:val="000000"/>
              </w:rPr>
            </w:pPr>
            <w:r>
              <w:rPr>
                <w:color w:val="000000"/>
              </w:rPr>
              <w:t>2024</w:t>
            </w:r>
          </w:p>
        </w:tc>
        <w:tc>
          <w:tcPr>
            <w:tcW w:w="884" w:type="dxa"/>
            <w:gridSpan w:val="2"/>
            <w:shd w:val="clear" w:color="auto" w:fill="auto"/>
          </w:tcPr>
          <w:p w:rsidRPr="007F620E" w:rsidR="00A92D0B" w:rsidP="00AF61A9" w:rsidRDefault="00BA5FC3" w14:paraId="120FE857" w14:textId="3BE5429E">
            <w:pPr>
              <w:spacing w:before="60" w:after="60"/>
              <w:jc w:val="center"/>
              <w:rPr>
                <w:color w:val="000000"/>
              </w:rPr>
            </w:pPr>
            <w:r>
              <w:rPr>
                <w:color w:val="000000"/>
              </w:rPr>
              <w:t>7.6</w:t>
            </w:r>
          </w:p>
        </w:tc>
        <w:tc>
          <w:tcPr>
            <w:tcW w:w="1121" w:type="dxa"/>
            <w:shd w:val="clear" w:color="auto" w:fill="auto"/>
          </w:tcPr>
          <w:p w:rsidRPr="007F620E" w:rsidR="00A92D0B" w:rsidP="00E775D0" w:rsidRDefault="005911E7" w14:paraId="075109E1" w14:textId="6A59A1FE">
            <w:pPr>
              <w:spacing w:before="60" w:after="60"/>
              <w:jc w:val="right"/>
              <w:rPr>
                <w:color w:val="000000"/>
              </w:rPr>
            </w:pPr>
            <w:r>
              <w:rPr>
                <w:color w:val="000000"/>
              </w:rPr>
              <w:t>$730/hr</w:t>
            </w:r>
          </w:p>
        </w:tc>
        <w:tc>
          <w:tcPr>
            <w:tcW w:w="1530" w:type="dxa"/>
            <w:gridSpan w:val="2"/>
            <w:tcBorders>
              <w:right w:val="single" w:color="auto" w:sz="4" w:space="0"/>
            </w:tcBorders>
            <w:shd w:val="clear" w:color="auto" w:fill="auto"/>
          </w:tcPr>
          <w:p w:rsidRPr="007F620E" w:rsidR="00A92D0B" w:rsidP="00187FA5" w:rsidRDefault="00397322" w14:paraId="4AF4C006" w14:textId="35614E3E">
            <w:pPr>
              <w:spacing w:before="60" w:after="60"/>
              <w:jc w:val="center"/>
              <w:rPr>
                <w:color w:val="000000"/>
              </w:rPr>
            </w:pPr>
            <w:r w:rsidRPr="00187FA5">
              <w:rPr>
                <w:i/>
                <w:iCs/>
                <w:color w:val="000000"/>
              </w:rPr>
              <w:t xml:space="preserve">See </w:t>
            </w:r>
            <w:r>
              <w:rPr>
                <w:color w:val="000000"/>
              </w:rPr>
              <w:t>Comment #1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B17005" w:rsidRDefault="002A57D8" w14:paraId="2A77845E" w14:textId="5207A677">
            <w:pPr>
              <w:spacing w:before="60" w:after="60"/>
              <w:jc w:val="right"/>
              <w:rPr>
                <w:color w:val="000000"/>
              </w:rPr>
            </w:pPr>
            <w:r>
              <w:rPr>
                <w:color w:val="000000"/>
              </w:rPr>
              <w:t>$</w:t>
            </w:r>
            <w:r w:rsidR="00BA5FC3">
              <w:rPr>
                <w:color w:val="000000"/>
              </w:rPr>
              <w:t>5,548</w:t>
            </w:r>
          </w:p>
        </w:tc>
        <w:tc>
          <w:tcPr>
            <w:tcW w:w="955" w:type="dxa"/>
            <w:tcBorders>
              <w:left w:val="single" w:color="auto" w:sz="4" w:space="0"/>
            </w:tcBorders>
            <w:shd w:val="clear" w:color="auto" w:fill="auto"/>
          </w:tcPr>
          <w:p w:rsidRPr="007F620E" w:rsidR="00A92D0B" w:rsidP="00F6500B" w:rsidRDefault="00BA68CD" w14:paraId="461DC9FD" w14:textId="2D56C0F0">
            <w:pPr>
              <w:spacing w:before="60" w:after="60"/>
              <w:jc w:val="center"/>
              <w:rPr>
                <w:color w:val="000000"/>
              </w:rPr>
            </w:pPr>
            <w:r>
              <w:rPr>
                <w:color w:val="000000"/>
              </w:rPr>
              <w:t>7.60</w:t>
            </w:r>
          </w:p>
        </w:tc>
        <w:tc>
          <w:tcPr>
            <w:tcW w:w="1146" w:type="dxa"/>
            <w:shd w:val="clear" w:color="auto" w:fill="auto"/>
          </w:tcPr>
          <w:p w:rsidRPr="007F620E" w:rsidR="00A92D0B" w:rsidP="00F6500B" w:rsidRDefault="005A0916" w14:paraId="7FDABF74" w14:textId="5E33063A">
            <w:pPr>
              <w:spacing w:before="60" w:after="60"/>
              <w:jc w:val="center"/>
              <w:rPr>
                <w:color w:val="000000"/>
              </w:rPr>
            </w:pPr>
            <w:r>
              <w:rPr>
                <w:color w:val="000000"/>
              </w:rPr>
              <w:t>$660.00</w:t>
            </w:r>
            <w:r w:rsidR="003A2A4F">
              <w:rPr>
                <w:color w:val="000000"/>
              </w:rPr>
              <w:t xml:space="preserve"> [2]</w:t>
            </w:r>
          </w:p>
        </w:tc>
        <w:tc>
          <w:tcPr>
            <w:tcW w:w="1881" w:type="dxa"/>
            <w:shd w:val="clear" w:color="auto" w:fill="auto"/>
          </w:tcPr>
          <w:p w:rsidRPr="007F620E" w:rsidR="00A92D0B" w:rsidP="00F6500B" w:rsidRDefault="00AB0AEA" w14:paraId="05EFCF76" w14:textId="455284A3">
            <w:pPr>
              <w:spacing w:before="60" w:after="60"/>
              <w:jc w:val="center"/>
              <w:rPr>
                <w:color w:val="000000"/>
              </w:rPr>
            </w:pPr>
            <w:r w:rsidRPr="00AB0AEA">
              <w:rPr>
                <w:color w:val="000000"/>
              </w:rPr>
              <w:t>$5,016.00</w:t>
            </w:r>
          </w:p>
        </w:tc>
      </w:tr>
      <w:tr w:rsidRPr="007F620E" w:rsidR="00A92D0B" w:rsidTr="00B77799" w14:paraId="38E0B4EA" w14:textId="77777777">
        <w:trPr>
          <w:jc w:val="center"/>
        </w:trPr>
        <w:tc>
          <w:tcPr>
            <w:tcW w:w="1489" w:type="dxa"/>
            <w:shd w:val="clear" w:color="auto" w:fill="auto"/>
          </w:tcPr>
          <w:p w:rsidRPr="007F620E" w:rsidR="00A92D0B" w:rsidP="00A92D0B" w:rsidRDefault="00052D1B" w14:paraId="1F980DF3" w14:textId="7814B7F9">
            <w:pPr>
              <w:spacing w:before="60" w:after="60"/>
              <w:rPr>
                <w:color w:val="000000"/>
              </w:rPr>
            </w:pPr>
            <w:r>
              <w:rPr>
                <w:color w:val="000000"/>
              </w:rPr>
              <w:t>Jonathan Webster [</w:t>
            </w:r>
            <w:r w:rsidR="00F83759">
              <w:rPr>
                <w:color w:val="000000"/>
              </w:rPr>
              <w:t>Law Fellow]</w:t>
            </w:r>
          </w:p>
        </w:tc>
        <w:tc>
          <w:tcPr>
            <w:tcW w:w="821" w:type="dxa"/>
            <w:shd w:val="clear" w:color="auto" w:fill="auto"/>
          </w:tcPr>
          <w:p w:rsidRPr="007F620E" w:rsidR="00A92D0B" w:rsidP="00AF61A9" w:rsidRDefault="00D53F15" w14:paraId="275BF57A" w14:textId="04854BCE">
            <w:pPr>
              <w:spacing w:before="60" w:after="60"/>
              <w:jc w:val="center"/>
              <w:rPr>
                <w:color w:val="000000"/>
              </w:rPr>
            </w:pPr>
            <w:r>
              <w:rPr>
                <w:color w:val="000000"/>
              </w:rPr>
              <w:t>2023</w:t>
            </w:r>
          </w:p>
        </w:tc>
        <w:tc>
          <w:tcPr>
            <w:tcW w:w="884" w:type="dxa"/>
            <w:gridSpan w:val="2"/>
            <w:shd w:val="clear" w:color="auto" w:fill="auto"/>
          </w:tcPr>
          <w:p w:rsidRPr="007F620E" w:rsidR="00A92D0B" w:rsidP="00AF61A9" w:rsidRDefault="00BA5FC3" w14:paraId="0DE506C4" w14:textId="7A35B00D">
            <w:pPr>
              <w:spacing w:before="60" w:after="60"/>
              <w:jc w:val="center"/>
              <w:rPr>
                <w:color w:val="000000"/>
              </w:rPr>
            </w:pPr>
            <w:r>
              <w:rPr>
                <w:color w:val="000000"/>
              </w:rPr>
              <w:t>78.1</w:t>
            </w:r>
          </w:p>
        </w:tc>
        <w:tc>
          <w:tcPr>
            <w:tcW w:w="1121" w:type="dxa"/>
            <w:shd w:val="clear" w:color="auto" w:fill="auto"/>
          </w:tcPr>
          <w:p w:rsidRPr="007F620E" w:rsidR="00A92D0B" w:rsidP="00E775D0" w:rsidRDefault="00656A2A" w14:paraId="26413E95" w14:textId="0357C4C9">
            <w:pPr>
              <w:spacing w:before="60" w:after="60"/>
              <w:jc w:val="right"/>
              <w:rPr>
                <w:color w:val="000000"/>
              </w:rPr>
            </w:pPr>
            <w:r>
              <w:rPr>
                <w:color w:val="000000"/>
              </w:rPr>
              <w:t>$235</w:t>
            </w:r>
            <w:r w:rsidR="005911E7">
              <w:rPr>
                <w:color w:val="000000"/>
              </w:rPr>
              <w:t>/hr</w:t>
            </w:r>
          </w:p>
        </w:tc>
        <w:tc>
          <w:tcPr>
            <w:tcW w:w="1530" w:type="dxa"/>
            <w:gridSpan w:val="2"/>
            <w:tcBorders>
              <w:right w:val="single" w:color="auto" w:sz="4" w:space="0"/>
            </w:tcBorders>
            <w:shd w:val="clear" w:color="auto" w:fill="auto"/>
          </w:tcPr>
          <w:p w:rsidRPr="007F620E" w:rsidR="00A92D0B" w:rsidP="00187FA5" w:rsidRDefault="00397322" w14:paraId="300AA881" w14:textId="4CE5F709">
            <w:pPr>
              <w:spacing w:before="60" w:after="60"/>
              <w:jc w:val="center"/>
              <w:rPr>
                <w:color w:val="000000"/>
              </w:rPr>
            </w:pPr>
            <w:r w:rsidRPr="00187FA5">
              <w:rPr>
                <w:i/>
                <w:iCs/>
                <w:color w:val="000000"/>
              </w:rPr>
              <w:t xml:space="preserve">See </w:t>
            </w:r>
            <w:r>
              <w:rPr>
                <w:color w:val="000000"/>
              </w:rPr>
              <w:t>Comment #2</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B17005" w:rsidRDefault="002A57D8" w14:paraId="23EF368E" w14:textId="164DE5C2">
            <w:pPr>
              <w:spacing w:before="60" w:after="60"/>
              <w:jc w:val="right"/>
              <w:rPr>
                <w:color w:val="000000"/>
              </w:rPr>
            </w:pPr>
            <w:r>
              <w:rPr>
                <w:color w:val="000000"/>
              </w:rPr>
              <w:t>$</w:t>
            </w:r>
            <w:r w:rsidR="00BA5FC3">
              <w:rPr>
                <w:color w:val="000000"/>
              </w:rPr>
              <w:t>16,010.50</w:t>
            </w:r>
            <w:r w:rsidR="00694C43">
              <w:rPr>
                <w:rStyle w:val="FootnoteReference"/>
                <w:color w:val="000000"/>
              </w:rPr>
              <w:footnoteReference w:id="4"/>
            </w:r>
          </w:p>
        </w:tc>
        <w:tc>
          <w:tcPr>
            <w:tcW w:w="955" w:type="dxa"/>
            <w:tcBorders>
              <w:left w:val="single" w:color="auto" w:sz="4" w:space="0"/>
            </w:tcBorders>
            <w:shd w:val="clear" w:color="auto" w:fill="auto"/>
          </w:tcPr>
          <w:p w:rsidRPr="007F620E" w:rsidR="00A92D0B" w:rsidP="00F6500B" w:rsidRDefault="00202ADF" w14:paraId="2B0CA953" w14:textId="61C21BEA">
            <w:pPr>
              <w:spacing w:before="60" w:after="60"/>
              <w:jc w:val="center"/>
              <w:rPr>
                <w:color w:val="000000"/>
              </w:rPr>
            </w:pPr>
            <w:r>
              <w:rPr>
                <w:color w:val="000000"/>
              </w:rPr>
              <w:t>77.35</w:t>
            </w:r>
            <w:r w:rsidR="00B91CF4">
              <w:rPr>
                <w:color w:val="000000"/>
              </w:rPr>
              <w:t xml:space="preserve"> [5]</w:t>
            </w:r>
          </w:p>
        </w:tc>
        <w:tc>
          <w:tcPr>
            <w:tcW w:w="1146" w:type="dxa"/>
            <w:shd w:val="clear" w:color="auto" w:fill="auto"/>
          </w:tcPr>
          <w:p w:rsidR="00A92D0B" w:rsidP="00F6500B" w:rsidRDefault="00783A86" w14:paraId="3F7E1A02" w14:textId="77777777">
            <w:pPr>
              <w:spacing w:before="60" w:after="60"/>
              <w:jc w:val="center"/>
              <w:rPr>
                <w:color w:val="000000"/>
              </w:rPr>
            </w:pPr>
            <w:r>
              <w:rPr>
                <w:color w:val="000000"/>
              </w:rPr>
              <w:t>$150.00</w:t>
            </w:r>
          </w:p>
          <w:p w:rsidRPr="007F620E" w:rsidR="003A2A4F" w:rsidP="00F6500B" w:rsidRDefault="003A2A4F" w14:paraId="1FC8906C" w14:textId="2F6DFFB0">
            <w:pPr>
              <w:spacing w:before="60" w:after="60"/>
              <w:jc w:val="center"/>
              <w:rPr>
                <w:color w:val="000000"/>
              </w:rPr>
            </w:pPr>
            <w:r>
              <w:rPr>
                <w:color w:val="000000"/>
              </w:rPr>
              <w:t>[3]</w:t>
            </w:r>
          </w:p>
        </w:tc>
        <w:tc>
          <w:tcPr>
            <w:tcW w:w="1881" w:type="dxa"/>
            <w:shd w:val="clear" w:color="auto" w:fill="auto"/>
          </w:tcPr>
          <w:p w:rsidRPr="007F620E" w:rsidR="00A92D0B" w:rsidP="00F6500B" w:rsidRDefault="00AB0AEA" w14:paraId="6C594CB5" w14:textId="01B5F713">
            <w:pPr>
              <w:spacing w:before="60" w:after="60"/>
              <w:jc w:val="center"/>
              <w:rPr>
                <w:color w:val="000000"/>
              </w:rPr>
            </w:pPr>
            <w:r w:rsidRPr="00AB0AEA">
              <w:rPr>
                <w:color w:val="000000"/>
              </w:rPr>
              <w:t>$11,602.50</w:t>
            </w:r>
          </w:p>
        </w:tc>
      </w:tr>
      <w:tr w:rsidRPr="007F620E" w:rsidR="00490DA7" w:rsidTr="00B77799" w14:paraId="17C25465" w14:textId="77777777">
        <w:trPr>
          <w:jc w:val="center"/>
        </w:trPr>
        <w:tc>
          <w:tcPr>
            <w:tcW w:w="1489" w:type="dxa"/>
            <w:shd w:val="clear" w:color="auto" w:fill="auto"/>
          </w:tcPr>
          <w:p w:rsidR="00490DA7" w:rsidP="00A92D0B" w:rsidRDefault="00490DA7" w14:paraId="61A664C1" w14:textId="62D3A68C">
            <w:pPr>
              <w:spacing w:before="60" w:after="60"/>
              <w:rPr>
                <w:color w:val="000000"/>
              </w:rPr>
            </w:pPr>
            <w:r>
              <w:rPr>
                <w:color w:val="000000"/>
              </w:rPr>
              <w:t>Jonathan Webster [Attorney]</w:t>
            </w:r>
          </w:p>
        </w:tc>
        <w:tc>
          <w:tcPr>
            <w:tcW w:w="821" w:type="dxa"/>
            <w:shd w:val="clear" w:color="auto" w:fill="auto"/>
          </w:tcPr>
          <w:p w:rsidR="00490DA7" w:rsidP="00AF61A9" w:rsidRDefault="00490DA7" w14:paraId="47741D7A" w14:textId="7B6C8DE3">
            <w:pPr>
              <w:spacing w:before="60" w:after="60"/>
              <w:jc w:val="center"/>
              <w:rPr>
                <w:color w:val="000000"/>
              </w:rPr>
            </w:pPr>
            <w:r>
              <w:rPr>
                <w:color w:val="000000"/>
              </w:rPr>
              <w:t>2023</w:t>
            </w:r>
          </w:p>
        </w:tc>
        <w:tc>
          <w:tcPr>
            <w:tcW w:w="884" w:type="dxa"/>
            <w:gridSpan w:val="2"/>
            <w:shd w:val="clear" w:color="auto" w:fill="auto"/>
          </w:tcPr>
          <w:p w:rsidRPr="007F620E" w:rsidR="00490DA7" w:rsidP="00AF61A9" w:rsidRDefault="002A57D8" w14:paraId="4C9B9CB3" w14:textId="0D5BAE42">
            <w:pPr>
              <w:spacing w:before="60" w:after="60"/>
              <w:jc w:val="center"/>
              <w:rPr>
                <w:color w:val="000000"/>
              </w:rPr>
            </w:pPr>
            <w:r>
              <w:rPr>
                <w:color w:val="000000"/>
              </w:rPr>
              <w:t>7.2</w:t>
            </w:r>
          </w:p>
        </w:tc>
        <w:tc>
          <w:tcPr>
            <w:tcW w:w="1121" w:type="dxa"/>
            <w:shd w:val="clear" w:color="auto" w:fill="auto"/>
          </w:tcPr>
          <w:p w:rsidRPr="007F620E" w:rsidR="00490DA7" w:rsidP="00E775D0" w:rsidRDefault="005911E7" w14:paraId="08D74E88" w14:textId="09790F46">
            <w:pPr>
              <w:spacing w:before="60" w:after="60"/>
              <w:jc w:val="right"/>
              <w:rPr>
                <w:color w:val="000000"/>
              </w:rPr>
            </w:pPr>
            <w:r>
              <w:rPr>
                <w:color w:val="000000"/>
              </w:rPr>
              <w:t>$270/hr</w:t>
            </w:r>
          </w:p>
        </w:tc>
        <w:tc>
          <w:tcPr>
            <w:tcW w:w="1530" w:type="dxa"/>
            <w:gridSpan w:val="2"/>
            <w:tcBorders>
              <w:right w:val="single" w:color="auto" w:sz="4" w:space="0"/>
            </w:tcBorders>
            <w:shd w:val="clear" w:color="auto" w:fill="auto"/>
          </w:tcPr>
          <w:p w:rsidRPr="007F620E" w:rsidR="00490DA7" w:rsidP="00187FA5" w:rsidRDefault="00397322" w14:paraId="46EC602B" w14:textId="68F2553E">
            <w:pPr>
              <w:spacing w:before="60" w:after="60"/>
              <w:jc w:val="center"/>
              <w:rPr>
                <w:color w:val="000000"/>
              </w:rPr>
            </w:pPr>
            <w:r w:rsidRPr="00187FA5">
              <w:rPr>
                <w:i/>
                <w:iCs/>
                <w:color w:val="000000"/>
              </w:rPr>
              <w:t xml:space="preserve">See </w:t>
            </w:r>
            <w:r>
              <w:rPr>
                <w:color w:val="000000"/>
              </w:rPr>
              <w:t>Comment #2</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490DA7" w:rsidP="00B17005" w:rsidRDefault="002A57D8" w14:paraId="75322444" w14:textId="6A11F4F8">
            <w:pPr>
              <w:spacing w:before="60" w:after="60"/>
              <w:jc w:val="right"/>
              <w:rPr>
                <w:color w:val="000000"/>
              </w:rPr>
            </w:pPr>
            <w:r>
              <w:rPr>
                <w:color w:val="000000"/>
              </w:rPr>
              <w:t>$1,944</w:t>
            </w:r>
          </w:p>
        </w:tc>
        <w:tc>
          <w:tcPr>
            <w:tcW w:w="955" w:type="dxa"/>
            <w:tcBorders>
              <w:left w:val="single" w:color="auto" w:sz="4" w:space="0"/>
            </w:tcBorders>
            <w:shd w:val="clear" w:color="auto" w:fill="auto"/>
          </w:tcPr>
          <w:p w:rsidRPr="007F620E" w:rsidR="00490DA7" w:rsidP="00F6500B" w:rsidRDefault="00E52DEF" w14:paraId="1FA62BF5" w14:textId="4F1B4505">
            <w:pPr>
              <w:spacing w:before="60" w:after="60"/>
              <w:jc w:val="center"/>
              <w:rPr>
                <w:color w:val="000000"/>
              </w:rPr>
            </w:pPr>
            <w:r>
              <w:rPr>
                <w:color w:val="000000"/>
              </w:rPr>
              <w:t>7.20</w:t>
            </w:r>
          </w:p>
        </w:tc>
        <w:tc>
          <w:tcPr>
            <w:tcW w:w="1146" w:type="dxa"/>
            <w:shd w:val="clear" w:color="auto" w:fill="auto"/>
          </w:tcPr>
          <w:p w:rsidRPr="007F620E" w:rsidR="00490DA7" w:rsidP="00F6500B" w:rsidRDefault="00FA5A5C" w14:paraId="44F1152B" w14:textId="4A479403">
            <w:pPr>
              <w:spacing w:before="60" w:after="60"/>
              <w:jc w:val="center"/>
              <w:rPr>
                <w:color w:val="000000"/>
              </w:rPr>
            </w:pPr>
            <w:r>
              <w:rPr>
                <w:color w:val="000000"/>
              </w:rPr>
              <w:t>$270.00</w:t>
            </w:r>
            <w:r w:rsidR="00B91CF4">
              <w:rPr>
                <w:color w:val="000000"/>
              </w:rPr>
              <w:t xml:space="preserve"> [3]</w:t>
            </w:r>
          </w:p>
        </w:tc>
        <w:tc>
          <w:tcPr>
            <w:tcW w:w="1881" w:type="dxa"/>
            <w:shd w:val="clear" w:color="auto" w:fill="auto"/>
          </w:tcPr>
          <w:p w:rsidRPr="007F620E" w:rsidR="00490DA7" w:rsidP="00F6500B" w:rsidRDefault="00AB0AEA" w14:paraId="6FC5F12E" w14:textId="09034180">
            <w:pPr>
              <w:spacing w:before="60" w:after="60"/>
              <w:jc w:val="center"/>
              <w:rPr>
                <w:color w:val="000000"/>
              </w:rPr>
            </w:pPr>
            <w:r w:rsidRPr="00AB0AEA">
              <w:rPr>
                <w:color w:val="000000"/>
              </w:rPr>
              <w:t>$1,944.00</w:t>
            </w:r>
          </w:p>
        </w:tc>
      </w:tr>
      <w:tr w:rsidRPr="007F620E" w:rsidR="00A92D0B" w:rsidTr="00B77799" w14:paraId="78FC5ECE" w14:textId="77777777">
        <w:trPr>
          <w:jc w:val="center"/>
        </w:trPr>
        <w:tc>
          <w:tcPr>
            <w:tcW w:w="1489" w:type="dxa"/>
            <w:shd w:val="clear" w:color="auto" w:fill="auto"/>
          </w:tcPr>
          <w:p w:rsidRPr="007F620E" w:rsidR="00A92D0B" w:rsidP="00A92D0B" w:rsidRDefault="00D53F15" w14:paraId="1F8943E9" w14:textId="6A6BC1F0">
            <w:pPr>
              <w:spacing w:before="60" w:after="60"/>
              <w:rPr>
                <w:color w:val="000000"/>
              </w:rPr>
            </w:pPr>
            <w:r>
              <w:rPr>
                <w:color w:val="000000"/>
              </w:rPr>
              <w:t>Jonathan Webster [Attorney]</w:t>
            </w:r>
          </w:p>
        </w:tc>
        <w:tc>
          <w:tcPr>
            <w:tcW w:w="821" w:type="dxa"/>
            <w:shd w:val="clear" w:color="auto" w:fill="auto"/>
          </w:tcPr>
          <w:p w:rsidRPr="007F620E" w:rsidR="00A92D0B" w:rsidP="00AF61A9" w:rsidRDefault="00D53F15" w14:paraId="6FFEFF62" w14:textId="6BDFFF1E">
            <w:pPr>
              <w:spacing w:before="60" w:after="60"/>
              <w:jc w:val="center"/>
              <w:rPr>
                <w:color w:val="000000"/>
              </w:rPr>
            </w:pPr>
            <w:r>
              <w:rPr>
                <w:color w:val="000000"/>
              </w:rPr>
              <w:t>2024</w:t>
            </w:r>
          </w:p>
        </w:tc>
        <w:tc>
          <w:tcPr>
            <w:tcW w:w="884" w:type="dxa"/>
            <w:gridSpan w:val="2"/>
            <w:shd w:val="clear" w:color="auto" w:fill="auto"/>
          </w:tcPr>
          <w:p w:rsidRPr="007F620E" w:rsidR="00A92D0B" w:rsidP="00AF61A9" w:rsidRDefault="002A57D8" w14:paraId="24984638" w14:textId="0F0EBF0F">
            <w:pPr>
              <w:spacing w:before="60" w:after="60"/>
              <w:jc w:val="center"/>
              <w:rPr>
                <w:color w:val="000000"/>
              </w:rPr>
            </w:pPr>
            <w:r>
              <w:rPr>
                <w:color w:val="000000"/>
              </w:rPr>
              <w:t>29.1</w:t>
            </w:r>
          </w:p>
        </w:tc>
        <w:tc>
          <w:tcPr>
            <w:tcW w:w="1121" w:type="dxa"/>
            <w:shd w:val="clear" w:color="auto" w:fill="auto"/>
          </w:tcPr>
          <w:p w:rsidRPr="007F620E" w:rsidR="00A92D0B" w:rsidP="00E775D0" w:rsidRDefault="005911E7" w14:paraId="00CA9050" w14:textId="30CC1691">
            <w:pPr>
              <w:spacing w:before="60" w:after="60"/>
              <w:jc w:val="right"/>
              <w:rPr>
                <w:color w:val="000000"/>
              </w:rPr>
            </w:pPr>
            <w:r>
              <w:rPr>
                <w:color w:val="000000"/>
              </w:rPr>
              <w:t>$280/hr</w:t>
            </w:r>
          </w:p>
        </w:tc>
        <w:tc>
          <w:tcPr>
            <w:tcW w:w="1530" w:type="dxa"/>
            <w:gridSpan w:val="2"/>
            <w:tcBorders>
              <w:right w:val="single" w:color="auto" w:sz="4" w:space="0"/>
            </w:tcBorders>
            <w:shd w:val="clear" w:color="auto" w:fill="auto"/>
          </w:tcPr>
          <w:p w:rsidRPr="007F620E" w:rsidR="00A92D0B" w:rsidP="00187FA5" w:rsidRDefault="00397322" w14:paraId="760F08DA" w14:textId="6A731320">
            <w:pPr>
              <w:spacing w:before="60" w:after="60"/>
              <w:jc w:val="center"/>
              <w:rPr>
                <w:color w:val="000000"/>
              </w:rPr>
            </w:pPr>
            <w:r w:rsidRPr="00187FA5">
              <w:rPr>
                <w:i/>
                <w:iCs/>
                <w:color w:val="000000"/>
              </w:rPr>
              <w:t xml:space="preserve">See </w:t>
            </w:r>
            <w:r>
              <w:rPr>
                <w:color w:val="000000"/>
              </w:rPr>
              <w:t>Comment #2</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B17005" w:rsidRDefault="002A57D8" w14:paraId="39D39174" w14:textId="43BED367">
            <w:pPr>
              <w:spacing w:before="60" w:after="60"/>
              <w:jc w:val="right"/>
              <w:rPr>
                <w:color w:val="000000"/>
              </w:rPr>
            </w:pPr>
            <w:r>
              <w:rPr>
                <w:color w:val="000000"/>
              </w:rPr>
              <w:t>$8,148</w:t>
            </w:r>
          </w:p>
        </w:tc>
        <w:tc>
          <w:tcPr>
            <w:tcW w:w="955" w:type="dxa"/>
            <w:tcBorders>
              <w:left w:val="single" w:color="auto" w:sz="4" w:space="0"/>
            </w:tcBorders>
            <w:shd w:val="clear" w:color="auto" w:fill="auto"/>
          </w:tcPr>
          <w:p w:rsidRPr="007F620E" w:rsidR="00A92D0B" w:rsidP="00F6500B" w:rsidRDefault="00C106A1" w14:paraId="047FD0B5" w14:textId="772E2ED4">
            <w:pPr>
              <w:spacing w:before="60" w:after="60"/>
              <w:jc w:val="center"/>
              <w:rPr>
                <w:color w:val="000000"/>
              </w:rPr>
            </w:pPr>
            <w:r>
              <w:rPr>
                <w:color w:val="000000"/>
              </w:rPr>
              <w:t>29.10</w:t>
            </w:r>
          </w:p>
        </w:tc>
        <w:tc>
          <w:tcPr>
            <w:tcW w:w="1146" w:type="dxa"/>
            <w:shd w:val="clear" w:color="auto" w:fill="auto"/>
          </w:tcPr>
          <w:p w:rsidRPr="007F620E" w:rsidR="00A92D0B" w:rsidP="00F6500B" w:rsidRDefault="00B20D7E" w14:paraId="367660C2" w14:textId="11D70531">
            <w:pPr>
              <w:spacing w:before="60" w:after="60"/>
              <w:jc w:val="center"/>
              <w:rPr>
                <w:color w:val="000000"/>
              </w:rPr>
            </w:pPr>
            <w:r>
              <w:rPr>
                <w:color w:val="000000"/>
              </w:rPr>
              <w:t>$</w:t>
            </w:r>
            <w:r w:rsidR="0071522D">
              <w:rPr>
                <w:color w:val="000000"/>
              </w:rPr>
              <w:t>280.00</w:t>
            </w:r>
            <w:r w:rsidR="00B91CF4">
              <w:rPr>
                <w:color w:val="000000"/>
              </w:rPr>
              <w:t xml:space="preserve"> [4]</w:t>
            </w:r>
          </w:p>
        </w:tc>
        <w:tc>
          <w:tcPr>
            <w:tcW w:w="1881" w:type="dxa"/>
            <w:shd w:val="clear" w:color="auto" w:fill="auto"/>
          </w:tcPr>
          <w:p w:rsidRPr="007F620E" w:rsidR="00A92D0B" w:rsidP="00F6500B" w:rsidRDefault="003461A1" w14:paraId="766AC45F" w14:textId="028F375B">
            <w:pPr>
              <w:spacing w:before="60" w:after="60"/>
              <w:jc w:val="center"/>
              <w:rPr>
                <w:color w:val="000000"/>
              </w:rPr>
            </w:pPr>
            <w:r w:rsidRPr="003461A1">
              <w:rPr>
                <w:color w:val="000000"/>
              </w:rPr>
              <w:t>$8,148.00</w:t>
            </w:r>
          </w:p>
        </w:tc>
      </w:tr>
      <w:tr w:rsidRPr="00234808" w:rsidR="00E3786F" w:rsidTr="00EC6387" w14:paraId="1B237C11" w14:textId="77777777">
        <w:trPr>
          <w:jc w:val="center"/>
        </w:trPr>
        <w:tc>
          <w:tcPr>
            <w:tcW w:w="7178" w:type="dxa"/>
            <w:gridSpan w:val="9"/>
            <w:tcBorders>
              <w:bottom w:val="single" w:color="auto" w:sz="4" w:space="0"/>
              <w:right w:val="single" w:color="auto" w:sz="24" w:space="0"/>
            </w:tcBorders>
            <w:shd w:val="clear" w:color="auto" w:fill="auto"/>
            <w:vAlign w:val="bottom"/>
          </w:tcPr>
          <w:p w:rsidRPr="00234808" w:rsidR="00E3786F" w:rsidP="00691528" w:rsidRDefault="00E3786F" w14:paraId="2ECB6744" w14:textId="5FC10288">
            <w:pPr>
              <w:tabs>
                <w:tab w:val="left" w:pos="957"/>
              </w:tabs>
              <w:spacing w:before="60" w:after="60"/>
              <w:ind w:right="162"/>
              <w:jc w:val="right"/>
              <w:rPr>
                <w:b/>
                <w:i/>
                <w:color w:val="000000"/>
                <w:highlight w:val="yellow"/>
              </w:rPr>
            </w:pPr>
            <w:r w:rsidRPr="000E68E7">
              <w:rPr>
                <w:b/>
                <w:i/>
                <w:color w:val="000000"/>
              </w:rPr>
              <w:lastRenderedPageBreak/>
              <w:t>Subtotal: $</w:t>
            </w:r>
            <w:r w:rsidRPr="000E68E7" w:rsidR="000E68E7">
              <w:rPr>
                <w:b/>
                <w:i/>
                <w:color w:val="000000"/>
              </w:rPr>
              <w:t>61,050.50</w:t>
            </w:r>
            <w:r w:rsidR="00E525E1">
              <w:rPr>
                <w:rStyle w:val="FootnoteReference"/>
                <w:b/>
                <w:i/>
                <w:color w:val="000000"/>
              </w:rPr>
              <w:footnoteReference w:id="5"/>
            </w:r>
          </w:p>
        </w:tc>
        <w:tc>
          <w:tcPr>
            <w:tcW w:w="3982" w:type="dxa"/>
            <w:gridSpan w:val="3"/>
            <w:tcBorders>
              <w:left w:val="single" w:color="auto" w:sz="24" w:space="0"/>
              <w:bottom w:val="single" w:color="auto" w:sz="4" w:space="0"/>
            </w:tcBorders>
            <w:shd w:val="clear" w:color="auto" w:fill="auto"/>
            <w:vAlign w:val="bottom"/>
          </w:tcPr>
          <w:p w:rsidRPr="00BC64BA" w:rsidR="00E3786F" w:rsidP="003B6A1B" w:rsidRDefault="00E3786F" w14:paraId="4C4556E5" w14:textId="118EE55C">
            <w:pPr>
              <w:tabs>
                <w:tab w:val="left" w:pos="957"/>
              </w:tabs>
              <w:spacing w:before="60" w:after="60"/>
              <w:ind w:right="162"/>
              <w:jc w:val="right"/>
              <w:rPr>
                <w:i/>
                <w:color w:val="000000"/>
              </w:rPr>
            </w:pPr>
            <w:r w:rsidRPr="00681F13">
              <w:rPr>
                <w:b/>
                <w:i/>
                <w:color w:val="000000"/>
              </w:rPr>
              <w:t xml:space="preserve">Subtotal: </w:t>
            </w:r>
            <w:r w:rsidRPr="00BC64BA">
              <w:rPr>
                <w:b/>
                <w:i/>
                <w:color w:val="000000"/>
              </w:rPr>
              <w:t>$</w:t>
            </w:r>
            <w:r w:rsidRPr="00BC64BA" w:rsidR="00B75B00">
              <w:rPr>
                <w:b/>
                <w:i/>
                <w:color w:val="000000"/>
              </w:rPr>
              <w:t>53,380.50</w:t>
            </w:r>
          </w:p>
        </w:tc>
      </w:tr>
      <w:tr w:rsidRPr="007F620E" w:rsidR="00A92D0B"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4A6FD4" w:rsidRDefault="00A92D0B" w14:paraId="41FE304C" w14:textId="77777777">
            <w:pPr>
              <w:keepNext/>
              <w:spacing w:before="60" w:after="60"/>
              <w:jc w:val="center"/>
              <w:rPr>
                <w:color w:val="000000"/>
              </w:rPr>
            </w:pPr>
            <w:r w:rsidRPr="007F620E">
              <w:rPr>
                <w:b/>
                <w:color w:val="000000"/>
              </w:rPr>
              <w:t xml:space="preserve">INTERVENOR COMPENSATION CLAIM PREPARATION </w:t>
            </w:r>
            <w:r w:rsidRPr="007F620E">
              <w:rPr>
                <w:b/>
                <w:smallCaps/>
                <w:color w:val="000000"/>
              </w:rPr>
              <w:t xml:space="preserve"> **</w:t>
            </w:r>
          </w:p>
        </w:tc>
      </w:tr>
      <w:tr w:rsidRPr="00260518" w:rsidR="00A92D0B" w:rsidTr="005911E7" w14:paraId="48B3E535" w14:textId="77777777">
        <w:trPr>
          <w:jc w:val="center"/>
        </w:trPr>
        <w:tc>
          <w:tcPr>
            <w:tcW w:w="1489" w:type="dxa"/>
            <w:tcBorders>
              <w:top w:val="single" w:color="auto" w:sz="4" w:space="0"/>
              <w:bottom w:val="single" w:color="auto" w:sz="4" w:space="0"/>
            </w:tcBorders>
            <w:shd w:val="clear" w:color="auto" w:fill="auto"/>
            <w:vAlign w:val="bottom"/>
          </w:tcPr>
          <w:p w:rsidRPr="00260518" w:rsidR="00A92D0B" w:rsidP="004A6FD4" w:rsidRDefault="00A92D0B" w14:paraId="563A43BB" w14:textId="77777777">
            <w:pPr>
              <w:keepNext/>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A92D0B" w:rsidP="004A6FD4" w:rsidRDefault="00A92D0B" w14:paraId="144552E0" w14:textId="7777777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A92D0B" w:rsidP="004A6FD4" w:rsidRDefault="00A92D0B" w14:paraId="42890B1B" w14:textId="77777777">
            <w:pPr>
              <w:keepNext/>
              <w:spacing w:before="60" w:after="60"/>
              <w:jc w:val="center"/>
              <w:rPr>
                <w:b/>
                <w:color w:val="000000"/>
                <w:sz w:val="22"/>
                <w:szCs w:val="22"/>
              </w:rPr>
            </w:pPr>
            <w:r w:rsidRPr="00260518">
              <w:rPr>
                <w:b/>
                <w:color w:val="000000"/>
                <w:sz w:val="22"/>
                <w:szCs w:val="22"/>
              </w:rPr>
              <w:t>Hours</w:t>
            </w:r>
          </w:p>
        </w:tc>
        <w:tc>
          <w:tcPr>
            <w:tcW w:w="1121" w:type="dxa"/>
            <w:tcBorders>
              <w:top w:val="single" w:color="auto" w:sz="4" w:space="0"/>
              <w:bottom w:val="single" w:color="auto" w:sz="4" w:space="0"/>
            </w:tcBorders>
            <w:shd w:val="clear" w:color="auto" w:fill="auto"/>
            <w:vAlign w:val="bottom"/>
          </w:tcPr>
          <w:p w:rsidRPr="00260518" w:rsidR="00A92D0B" w:rsidP="004A6FD4" w:rsidRDefault="00A92D0B" w14:paraId="1E7BD956" w14:textId="243077B9">
            <w:pPr>
              <w:keepNext/>
              <w:spacing w:before="60" w:after="60"/>
              <w:jc w:val="center"/>
              <w:rPr>
                <w:b/>
                <w:color w:val="000000"/>
                <w:sz w:val="22"/>
                <w:szCs w:val="22"/>
              </w:rPr>
            </w:pPr>
            <w:r w:rsidRPr="00260518">
              <w:rPr>
                <w:b/>
                <w:color w:val="000000"/>
                <w:sz w:val="22"/>
                <w:szCs w:val="22"/>
              </w:rPr>
              <w:t>Rate</w:t>
            </w:r>
            <w:r w:rsidRPr="00260518" w:rsidR="00380703">
              <w:rPr>
                <w:b/>
                <w:color w:val="000000"/>
                <w:sz w:val="22"/>
                <w:szCs w:val="22"/>
              </w:rPr>
              <w:t xml:space="preserve"> $</w:t>
            </w:r>
          </w:p>
        </w:tc>
        <w:tc>
          <w:tcPr>
            <w:tcW w:w="1530" w:type="dxa"/>
            <w:gridSpan w:val="2"/>
            <w:tcBorders>
              <w:top w:val="single" w:color="auto" w:sz="4" w:space="0"/>
              <w:bottom w:val="single" w:color="auto" w:sz="4" w:space="0"/>
              <w:right w:val="single" w:color="auto" w:sz="4" w:space="0"/>
            </w:tcBorders>
            <w:shd w:val="clear" w:color="auto" w:fill="auto"/>
            <w:vAlign w:val="bottom"/>
          </w:tcPr>
          <w:p w:rsidRPr="00260518" w:rsidR="00A92D0B" w:rsidP="004A6FD4" w:rsidRDefault="00A92D0B" w14:paraId="104D7982" w14:textId="77777777">
            <w:pPr>
              <w:keepNext/>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4A6FD4" w:rsidRDefault="00A92D0B"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4A6FD4" w:rsidRDefault="00A92D0B" w14:paraId="0409143B" w14:textId="77777777">
            <w:pPr>
              <w:keepNext/>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A92D0B" w:rsidP="004A6FD4" w:rsidRDefault="00A92D0B" w14:paraId="6B59BB80" w14:textId="2C791D8E">
            <w:pPr>
              <w:keepNext/>
              <w:spacing w:before="60" w:after="60"/>
              <w:jc w:val="center"/>
              <w:rPr>
                <w:b/>
                <w:color w:val="000000"/>
                <w:sz w:val="22"/>
                <w:szCs w:val="22"/>
              </w:rPr>
            </w:pPr>
            <w:r w:rsidRPr="00260518">
              <w:rPr>
                <w:b/>
                <w:color w:val="000000"/>
                <w:sz w:val="22"/>
                <w:szCs w:val="22"/>
              </w:rPr>
              <w:t xml:space="preserve">Rate </w:t>
            </w:r>
            <w:r w:rsidR="00B17005">
              <w:rPr>
                <w:b/>
                <w:color w:val="000000"/>
                <w:sz w:val="22"/>
                <w:szCs w:val="22"/>
              </w:rPr>
              <w:t>$</w:t>
            </w:r>
          </w:p>
        </w:tc>
        <w:tc>
          <w:tcPr>
            <w:tcW w:w="1881" w:type="dxa"/>
            <w:tcBorders>
              <w:top w:val="single" w:color="auto" w:sz="4" w:space="0"/>
            </w:tcBorders>
            <w:shd w:val="clear" w:color="auto" w:fill="auto"/>
            <w:vAlign w:val="bottom"/>
          </w:tcPr>
          <w:p w:rsidRPr="00260518" w:rsidR="00A92D0B" w:rsidP="004A6FD4" w:rsidRDefault="00A92D0B" w14:paraId="6C7B13CF" w14:textId="77777777">
            <w:pPr>
              <w:keepNext/>
              <w:spacing w:before="60" w:after="60"/>
              <w:jc w:val="center"/>
              <w:rPr>
                <w:b/>
                <w:color w:val="000000"/>
                <w:sz w:val="22"/>
                <w:szCs w:val="22"/>
              </w:rPr>
            </w:pPr>
            <w:r w:rsidRPr="00260518">
              <w:rPr>
                <w:b/>
                <w:color w:val="000000"/>
                <w:sz w:val="22"/>
                <w:szCs w:val="22"/>
              </w:rPr>
              <w:t>Total $</w:t>
            </w:r>
          </w:p>
        </w:tc>
      </w:tr>
      <w:tr w:rsidRPr="007F620E" w:rsidR="00A92D0B" w:rsidTr="00000CF1" w14:paraId="25086E67" w14:textId="77777777">
        <w:trPr>
          <w:jc w:val="center"/>
        </w:trPr>
        <w:tc>
          <w:tcPr>
            <w:tcW w:w="1489" w:type="dxa"/>
            <w:shd w:val="clear" w:color="auto" w:fill="auto"/>
          </w:tcPr>
          <w:p w:rsidRPr="007F620E" w:rsidR="00A92D0B" w:rsidP="003B6A1B" w:rsidRDefault="00D53F15" w14:paraId="386D0995" w14:textId="1CD934BC">
            <w:pPr>
              <w:spacing w:before="60" w:after="60"/>
              <w:rPr>
                <w:color w:val="000000"/>
              </w:rPr>
            </w:pPr>
            <w:r>
              <w:rPr>
                <w:color w:val="000000"/>
              </w:rPr>
              <w:t>Jonathan Webster</w:t>
            </w:r>
          </w:p>
        </w:tc>
        <w:tc>
          <w:tcPr>
            <w:tcW w:w="821" w:type="dxa"/>
            <w:shd w:val="clear" w:color="auto" w:fill="auto"/>
          </w:tcPr>
          <w:p w:rsidRPr="007F620E" w:rsidR="00A92D0B" w:rsidP="00AF61A9" w:rsidRDefault="00C70772" w14:paraId="4A155F1D" w14:textId="41DFB628">
            <w:pPr>
              <w:spacing w:before="60" w:after="60"/>
              <w:jc w:val="center"/>
              <w:rPr>
                <w:color w:val="000000"/>
              </w:rPr>
            </w:pPr>
            <w:r>
              <w:rPr>
                <w:color w:val="000000"/>
              </w:rPr>
              <w:t>2024</w:t>
            </w:r>
          </w:p>
        </w:tc>
        <w:tc>
          <w:tcPr>
            <w:tcW w:w="884" w:type="dxa"/>
            <w:gridSpan w:val="2"/>
            <w:shd w:val="clear" w:color="auto" w:fill="auto"/>
          </w:tcPr>
          <w:p w:rsidRPr="007F620E" w:rsidR="00A92D0B" w:rsidP="00AF61A9" w:rsidRDefault="000E68E7" w14:paraId="30EEA80A" w14:textId="77127491">
            <w:pPr>
              <w:spacing w:before="60" w:after="60"/>
              <w:jc w:val="center"/>
              <w:rPr>
                <w:color w:val="000000"/>
              </w:rPr>
            </w:pPr>
            <w:r>
              <w:rPr>
                <w:color w:val="000000"/>
              </w:rPr>
              <w:t>8.3</w:t>
            </w:r>
          </w:p>
        </w:tc>
        <w:tc>
          <w:tcPr>
            <w:tcW w:w="1121" w:type="dxa"/>
            <w:shd w:val="clear" w:color="auto" w:fill="auto"/>
          </w:tcPr>
          <w:p w:rsidRPr="007F620E" w:rsidR="00A92D0B" w:rsidP="003B6A1B" w:rsidRDefault="004E6592" w14:paraId="4EB14C91" w14:textId="1834B2FC">
            <w:pPr>
              <w:spacing w:before="60" w:after="60"/>
              <w:rPr>
                <w:color w:val="000000"/>
              </w:rPr>
            </w:pPr>
            <w:r>
              <w:rPr>
                <w:color w:val="000000"/>
              </w:rPr>
              <w:t>$140/hr</w:t>
            </w:r>
          </w:p>
        </w:tc>
        <w:tc>
          <w:tcPr>
            <w:tcW w:w="1530" w:type="dxa"/>
            <w:gridSpan w:val="2"/>
            <w:tcBorders>
              <w:right w:val="single" w:color="auto" w:sz="4" w:space="0"/>
            </w:tcBorders>
            <w:shd w:val="clear" w:color="auto" w:fill="auto"/>
          </w:tcPr>
          <w:p w:rsidRPr="007F620E" w:rsidR="00A92D0B" w:rsidP="003B6A1B" w:rsidRDefault="004E6592" w14:paraId="02D334B7" w14:textId="604235C5">
            <w:pPr>
              <w:spacing w:before="60" w:after="60"/>
              <w:rPr>
                <w:color w:val="000000"/>
              </w:rPr>
            </w:pPr>
            <w:r>
              <w:rPr>
                <w:color w:val="000000"/>
              </w:rPr>
              <w:t xml:space="preserve">½ </w:t>
            </w:r>
            <w:r w:rsidR="00C378E0">
              <w:rPr>
                <w:color w:val="000000"/>
              </w:rPr>
              <w:t>2024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AE6488" w:rsidRDefault="000E68E7" w14:paraId="7B9A0261" w14:textId="2A2D2553">
            <w:pPr>
              <w:spacing w:before="60" w:after="60"/>
              <w:jc w:val="right"/>
              <w:rPr>
                <w:color w:val="000000"/>
              </w:rPr>
            </w:pPr>
            <w:r>
              <w:rPr>
                <w:color w:val="000000"/>
              </w:rPr>
              <w:t>$1,162</w:t>
            </w:r>
          </w:p>
        </w:tc>
        <w:tc>
          <w:tcPr>
            <w:tcW w:w="955" w:type="dxa"/>
            <w:tcBorders>
              <w:left w:val="single" w:color="auto" w:sz="4" w:space="0"/>
              <w:right w:val="single" w:color="auto" w:sz="4" w:space="0"/>
            </w:tcBorders>
            <w:shd w:val="clear" w:color="auto" w:fill="auto"/>
          </w:tcPr>
          <w:p w:rsidRPr="007F620E" w:rsidR="00A92D0B" w:rsidP="00F6500B" w:rsidRDefault="00E52DEF" w14:paraId="5E5A4264" w14:textId="5C1FB2BB">
            <w:pPr>
              <w:spacing w:before="60" w:after="60"/>
              <w:jc w:val="center"/>
              <w:rPr>
                <w:color w:val="000000"/>
              </w:rPr>
            </w:pPr>
            <w:r>
              <w:rPr>
                <w:color w:val="000000"/>
              </w:rPr>
              <w:t>8.30</w:t>
            </w:r>
          </w:p>
        </w:tc>
        <w:tc>
          <w:tcPr>
            <w:tcW w:w="1146" w:type="dxa"/>
            <w:tcBorders>
              <w:left w:val="single" w:color="auto" w:sz="4" w:space="0"/>
            </w:tcBorders>
            <w:shd w:val="clear" w:color="auto" w:fill="auto"/>
          </w:tcPr>
          <w:p w:rsidRPr="007F620E" w:rsidR="00A92D0B" w:rsidP="00F6500B" w:rsidRDefault="003D7C26" w14:paraId="47B1F089" w14:textId="74963077">
            <w:pPr>
              <w:spacing w:before="60" w:after="60"/>
              <w:jc w:val="center"/>
              <w:rPr>
                <w:color w:val="000000"/>
              </w:rPr>
            </w:pPr>
            <w:r>
              <w:rPr>
                <w:color w:val="000000"/>
              </w:rPr>
              <w:t>$140.00</w:t>
            </w:r>
          </w:p>
        </w:tc>
        <w:tc>
          <w:tcPr>
            <w:tcW w:w="1881" w:type="dxa"/>
            <w:shd w:val="clear" w:color="auto" w:fill="auto"/>
          </w:tcPr>
          <w:p w:rsidRPr="007F620E" w:rsidR="00A92D0B" w:rsidP="00F6500B" w:rsidRDefault="003461A1" w14:paraId="10659B6D" w14:textId="467FF85B">
            <w:pPr>
              <w:spacing w:before="60" w:after="60"/>
              <w:jc w:val="center"/>
              <w:rPr>
                <w:color w:val="000000"/>
              </w:rPr>
            </w:pPr>
            <w:r w:rsidRPr="003461A1">
              <w:rPr>
                <w:color w:val="000000"/>
              </w:rPr>
              <w:t>$1,162.00</w:t>
            </w:r>
          </w:p>
        </w:tc>
      </w:tr>
      <w:tr w:rsidRPr="007F620E" w:rsidR="00A92D0B" w:rsidTr="00000CF1" w14:paraId="7AB9EF54" w14:textId="77777777">
        <w:trPr>
          <w:jc w:val="center"/>
        </w:trPr>
        <w:tc>
          <w:tcPr>
            <w:tcW w:w="1489" w:type="dxa"/>
            <w:shd w:val="clear" w:color="auto" w:fill="auto"/>
          </w:tcPr>
          <w:p w:rsidRPr="007F620E" w:rsidR="00A92D0B" w:rsidP="003B6A1B" w:rsidRDefault="00D53F15" w14:paraId="4F803C09" w14:textId="1EEB6881">
            <w:pPr>
              <w:spacing w:before="60" w:after="60"/>
              <w:rPr>
                <w:color w:val="000000"/>
              </w:rPr>
            </w:pPr>
            <w:r>
              <w:rPr>
                <w:color w:val="000000"/>
              </w:rPr>
              <w:t>Malinda Dickenson</w:t>
            </w:r>
          </w:p>
        </w:tc>
        <w:tc>
          <w:tcPr>
            <w:tcW w:w="821" w:type="dxa"/>
            <w:shd w:val="clear" w:color="auto" w:fill="auto"/>
          </w:tcPr>
          <w:p w:rsidRPr="007F620E" w:rsidR="00A92D0B" w:rsidP="00AF61A9" w:rsidRDefault="00C70772" w14:paraId="058BFE37" w14:textId="13BFAE5F">
            <w:pPr>
              <w:spacing w:before="60" w:after="60"/>
              <w:jc w:val="center"/>
              <w:rPr>
                <w:color w:val="000000"/>
              </w:rPr>
            </w:pPr>
            <w:r>
              <w:rPr>
                <w:color w:val="000000"/>
              </w:rPr>
              <w:t>2024</w:t>
            </w:r>
          </w:p>
        </w:tc>
        <w:tc>
          <w:tcPr>
            <w:tcW w:w="884" w:type="dxa"/>
            <w:gridSpan w:val="2"/>
            <w:shd w:val="clear" w:color="auto" w:fill="auto"/>
          </w:tcPr>
          <w:p w:rsidRPr="007F620E" w:rsidR="00A92D0B" w:rsidP="00AF61A9" w:rsidRDefault="000E68E7" w14:paraId="66A42865" w14:textId="477C3CD9">
            <w:pPr>
              <w:spacing w:before="60" w:after="60"/>
              <w:jc w:val="center"/>
              <w:rPr>
                <w:color w:val="000000"/>
              </w:rPr>
            </w:pPr>
            <w:r>
              <w:rPr>
                <w:color w:val="000000"/>
              </w:rPr>
              <w:t>1.5</w:t>
            </w:r>
          </w:p>
        </w:tc>
        <w:tc>
          <w:tcPr>
            <w:tcW w:w="1121" w:type="dxa"/>
            <w:shd w:val="clear" w:color="auto" w:fill="auto"/>
          </w:tcPr>
          <w:p w:rsidRPr="007F620E" w:rsidR="00A92D0B" w:rsidP="003B6A1B" w:rsidRDefault="00C378E0" w14:paraId="42AE8F2C" w14:textId="61A4B6CA">
            <w:pPr>
              <w:spacing w:before="60" w:after="60"/>
              <w:rPr>
                <w:color w:val="000000"/>
              </w:rPr>
            </w:pPr>
            <w:r>
              <w:rPr>
                <w:color w:val="000000"/>
              </w:rPr>
              <w:t>$3</w:t>
            </w:r>
            <w:r w:rsidR="00DE75F2">
              <w:rPr>
                <w:color w:val="000000"/>
              </w:rPr>
              <w:t>65</w:t>
            </w:r>
            <w:r>
              <w:rPr>
                <w:color w:val="000000"/>
              </w:rPr>
              <w:t>/hr</w:t>
            </w:r>
          </w:p>
        </w:tc>
        <w:tc>
          <w:tcPr>
            <w:tcW w:w="1530" w:type="dxa"/>
            <w:gridSpan w:val="2"/>
            <w:tcBorders>
              <w:right w:val="single" w:color="auto" w:sz="4" w:space="0"/>
            </w:tcBorders>
            <w:shd w:val="clear" w:color="auto" w:fill="auto"/>
          </w:tcPr>
          <w:p w:rsidRPr="007F620E" w:rsidR="00A92D0B" w:rsidP="003B6A1B" w:rsidRDefault="00C378E0" w14:paraId="3DB754B7" w14:textId="01E0303F">
            <w:pPr>
              <w:spacing w:before="60" w:after="60"/>
              <w:rPr>
                <w:color w:val="000000"/>
              </w:rPr>
            </w:pPr>
            <w:r>
              <w:rPr>
                <w:color w:val="000000"/>
              </w:rPr>
              <w:t>½ 2024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7F620E" w:rsidR="00A92D0B" w:rsidP="00AE6488" w:rsidRDefault="00E115F1" w14:paraId="3D39C021" w14:textId="533A7A33">
            <w:pPr>
              <w:spacing w:before="60" w:after="60"/>
              <w:jc w:val="right"/>
              <w:rPr>
                <w:color w:val="000000"/>
              </w:rPr>
            </w:pPr>
            <w:r>
              <w:rPr>
                <w:color w:val="000000"/>
              </w:rPr>
              <w:t>$547.50</w:t>
            </w:r>
          </w:p>
        </w:tc>
        <w:tc>
          <w:tcPr>
            <w:tcW w:w="955" w:type="dxa"/>
            <w:tcBorders>
              <w:left w:val="single" w:color="auto" w:sz="4" w:space="0"/>
              <w:right w:val="single" w:color="auto" w:sz="4" w:space="0"/>
            </w:tcBorders>
            <w:shd w:val="clear" w:color="auto" w:fill="auto"/>
          </w:tcPr>
          <w:p w:rsidRPr="007F620E" w:rsidR="00A92D0B" w:rsidP="00F6500B" w:rsidRDefault="008F2907" w14:paraId="6B8C8F0C" w14:textId="68EBACC3">
            <w:pPr>
              <w:spacing w:before="60" w:after="60"/>
              <w:jc w:val="center"/>
              <w:rPr>
                <w:color w:val="000000"/>
              </w:rPr>
            </w:pPr>
            <w:r>
              <w:rPr>
                <w:color w:val="000000"/>
              </w:rPr>
              <w:t>0.00</w:t>
            </w:r>
            <w:r w:rsidR="00B91CF4">
              <w:rPr>
                <w:color w:val="000000"/>
              </w:rPr>
              <w:t xml:space="preserve"> [6]</w:t>
            </w:r>
          </w:p>
        </w:tc>
        <w:tc>
          <w:tcPr>
            <w:tcW w:w="1146" w:type="dxa"/>
            <w:tcBorders>
              <w:left w:val="single" w:color="auto" w:sz="4" w:space="0"/>
            </w:tcBorders>
            <w:shd w:val="clear" w:color="auto" w:fill="auto"/>
          </w:tcPr>
          <w:p w:rsidRPr="007F620E" w:rsidR="00A92D0B" w:rsidP="00F6500B" w:rsidRDefault="00FD39DC" w14:paraId="0A58B021" w14:textId="12E938D6">
            <w:pPr>
              <w:spacing w:before="60" w:after="60"/>
              <w:jc w:val="center"/>
              <w:rPr>
                <w:color w:val="000000"/>
              </w:rPr>
            </w:pPr>
            <w:r>
              <w:rPr>
                <w:color w:val="000000"/>
              </w:rPr>
              <w:t>$330.00</w:t>
            </w:r>
            <w:r w:rsidR="00B40C64">
              <w:rPr>
                <w:color w:val="000000"/>
              </w:rPr>
              <w:t xml:space="preserve"> [2]</w:t>
            </w:r>
          </w:p>
        </w:tc>
        <w:tc>
          <w:tcPr>
            <w:tcW w:w="1881" w:type="dxa"/>
            <w:shd w:val="clear" w:color="auto" w:fill="auto"/>
          </w:tcPr>
          <w:p w:rsidRPr="007F620E" w:rsidR="00A92D0B" w:rsidP="00F6500B" w:rsidRDefault="003461A1" w14:paraId="0769A3B4" w14:textId="75D9CDB7">
            <w:pPr>
              <w:spacing w:before="60" w:after="60"/>
              <w:jc w:val="center"/>
              <w:rPr>
                <w:color w:val="000000"/>
              </w:rPr>
            </w:pPr>
            <w:r w:rsidRPr="003461A1">
              <w:rPr>
                <w:color w:val="000000"/>
              </w:rPr>
              <w:t>$0.00</w:t>
            </w:r>
          </w:p>
        </w:tc>
      </w:tr>
      <w:tr w:rsidRPr="007F620E" w:rsidR="00E15DC3" w:rsidTr="00EC6387"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374FD1" w:rsidR="00E15DC3" w:rsidP="003B6A1B" w:rsidRDefault="00E15DC3" w14:paraId="4A1F5988" w14:textId="1D0F8C09">
            <w:pPr>
              <w:tabs>
                <w:tab w:val="left" w:pos="957"/>
              </w:tabs>
              <w:spacing w:before="60" w:after="60"/>
              <w:ind w:right="162"/>
              <w:jc w:val="right"/>
              <w:rPr>
                <w:b/>
                <w:i/>
                <w:color w:val="000000"/>
              </w:rPr>
            </w:pPr>
            <w:r w:rsidRPr="00E115F1">
              <w:rPr>
                <w:b/>
                <w:i/>
                <w:color w:val="000000"/>
              </w:rPr>
              <w:t>Subtotal: $</w:t>
            </w:r>
            <w:r w:rsidR="00E115F1">
              <w:rPr>
                <w:b/>
                <w:i/>
                <w:color w:val="000000"/>
              </w:rPr>
              <w:t>1,709.50</w:t>
            </w:r>
          </w:p>
        </w:tc>
        <w:tc>
          <w:tcPr>
            <w:tcW w:w="3982" w:type="dxa"/>
            <w:gridSpan w:val="3"/>
            <w:tcBorders>
              <w:left w:val="single" w:color="auto" w:sz="24" w:space="0"/>
              <w:bottom w:val="single" w:color="auto" w:sz="4" w:space="0"/>
            </w:tcBorders>
            <w:shd w:val="clear" w:color="auto" w:fill="auto"/>
            <w:vAlign w:val="bottom"/>
          </w:tcPr>
          <w:p w:rsidRPr="00374FD1" w:rsidR="00E15DC3" w:rsidP="00691528" w:rsidRDefault="00E15DC3" w14:paraId="2FBAA587" w14:textId="75D58896">
            <w:pPr>
              <w:tabs>
                <w:tab w:val="left" w:pos="957"/>
              </w:tabs>
              <w:spacing w:before="60" w:after="60"/>
              <w:ind w:right="162"/>
              <w:jc w:val="right"/>
              <w:rPr>
                <w:b/>
                <w:i/>
                <w:color w:val="000000"/>
              </w:rPr>
            </w:pPr>
            <w:r w:rsidRPr="007F620E">
              <w:rPr>
                <w:b/>
                <w:i/>
                <w:color w:val="000000"/>
              </w:rPr>
              <w:t xml:space="preserve">Subtotal: </w:t>
            </w:r>
            <w:r w:rsidRPr="0064737D" w:rsidR="0064737D">
              <w:rPr>
                <w:b/>
                <w:i/>
                <w:color w:val="000000"/>
              </w:rPr>
              <w:t>$1,162.00</w:t>
            </w:r>
          </w:p>
        </w:tc>
      </w:tr>
      <w:tr w:rsidRPr="007F620E" w:rsidR="003B6A1B" w:rsidTr="00EC6387"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FE3BAE" w:rsidR="003B6A1B" w:rsidP="00FE3BAE" w:rsidRDefault="003B6A1B" w14:paraId="11B3B704" w14:textId="6D85F43D">
            <w:pPr>
              <w:tabs>
                <w:tab w:val="left" w:pos="957"/>
              </w:tabs>
              <w:spacing w:before="60" w:after="60"/>
              <w:ind w:right="72"/>
              <w:jc w:val="right"/>
              <w:rPr>
                <w:b/>
                <w:color w:val="000000"/>
              </w:rPr>
            </w:pPr>
            <w:r w:rsidRPr="00E115F1">
              <w:rPr>
                <w:b/>
                <w:i/>
                <w:color w:val="000000"/>
              </w:rPr>
              <w:t>TOTAL REQUEST: $</w:t>
            </w:r>
            <w:r w:rsidR="004857DE">
              <w:rPr>
                <w:b/>
                <w:i/>
                <w:color w:val="000000"/>
              </w:rPr>
              <w:t>62,760</w:t>
            </w:r>
            <w:r w:rsidR="00937703">
              <w:rPr>
                <w:rStyle w:val="FootnoteReference"/>
                <w:b/>
                <w:i/>
                <w:color w:val="000000"/>
              </w:rPr>
              <w:footnoteReference w:id="6"/>
            </w:r>
          </w:p>
        </w:tc>
        <w:tc>
          <w:tcPr>
            <w:tcW w:w="3982" w:type="dxa"/>
            <w:gridSpan w:val="3"/>
            <w:tcBorders>
              <w:left w:val="single" w:color="auto" w:sz="24" w:space="0"/>
            </w:tcBorders>
            <w:shd w:val="clear" w:color="auto" w:fill="E6E6E6"/>
            <w:vAlign w:val="bottom"/>
          </w:tcPr>
          <w:p w:rsidRPr="00FE3BAE" w:rsidR="003B6A1B" w:rsidP="00FE3BAE" w:rsidRDefault="003B6A1B" w14:paraId="3680D139" w14:textId="0D00E172">
            <w:pPr>
              <w:tabs>
                <w:tab w:val="left" w:pos="957"/>
              </w:tabs>
              <w:spacing w:before="60" w:after="60"/>
              <w:ind w:right="72"/>
              <w:jc w:val="right"/>
              <w:rPr>
                <w:b/>
                <w:color w:val="000000"/>
              </w:rPr>
            </w:pPr>
            <w:r w:rsidRPr="00374FD1">
              <w:rPr>
                <w:b/>
                <w:i/>
                <w:color w:val="000000"/>
              </w:rPr>
              <w:t>TOTAL AWARD: $</w:t>
            </w:r>
            <w:r w:rsidRPr="0064737D" w:rsidR="0064737D">
              <w:rPr>
                <w:b/>
                <w:i/>
                <w:color w:val="000000"/>
              </w:rPr>
              <w:t>54,542.50</w:t>
            </w:r>
          </w:p>
        </w:tc>
      </w:tr>
      <w:tr w:rsidRPr="007F620E" w:rsidR="003B6A1B"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7F620E" w:rsidR="003B6A1B" w:rsidP="00D075B1" w:rsidRDefault="003B6A1B"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3B6A1B" w:rsidP="00963EEF" w:rsidRDefault="003B6A1B"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3B6A1B"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B6A1B" w:rsidP="004A6FD4" w:rsidRDefault="003B6A1B" w14:paraId="48B43CBD" w14:textId="77777777">
            <w:pPr>
              <w:keepNext/>
              <w:spacing w:before="60" w:after="60"/>
              <w:jc w:val="center"/>
              <w:rPr>
                <w:b/>
                <w:smallCaps/>
                <w:color w:val="000000"/>
              </w:rPr>
            </w:pPr>
            <w:r w:rsidRPr="007F620E">
              <w:rPr>
                <w:b/>
                <w:smallCaps/>
                <w:color w:val="000000"/>
              </w:rPr>
              <w:t>ATTORNEY INFORMATION</w:t>
            </w:r>
          </w:p>
        </w:tc>
      </w:tr>
      <w:tr w:rsidRPr="00C16981" w:rsidR="003B6A1B"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3B6A1B" w:rsidP="00E775D0" w:rsidRDefault="003B6A1B"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3B6A1B" w:rsidP="00E775D0" w:rsidRDefault="003B6A1B"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7"/>
            </w:r>
          </w:p>
        </w:tc>
        <w:tc>
          <w:tcPr>
            <w:tcW w:w="2291" w:type="dxa"/>
            <w:gridSpan w:val="2"/>
            <w:tcBorders>
              <w:top w:val="single" w:color="auto" w:sz="4" w:space="0"/>
              <w:bottom w:val="single" w:color="auto" w:sz="4" w:space="0"/>
            </w:tcBorders>
            <w:shd w:val="clear" w:color="auto" w:fill="FFFFFF"/>
            <w:vAlign w:val="bottom"/>
          </w:tcPr>
          <w:p w:rsidRPr="00C16981" w:rsidR="003B6A1B" w:rsidP="00E775D0" w:rsidRDefault="003B6A1B" w14:paraId="27E64ED7" w14:textId="77777777">
            <w:pPr>
              <w:keepNext/>
              <w:keepLines/>
              <w:spacing w:before="60" w:after="60"/>
              <w:jc w:val="center"/>
              <w:rPr>
                <w:b/>
                <w:color w:val="000000"/>
                <w:sz w:val="22"/>
                <w:szCs w:val="22"/>
              </w:rPr>
            </w:pPr>
            <w:r w:rsidRPr="00C16981">
              <w:rPr>
                <w:b/>
                <w:sz w:val="22"/>
                <w:szCs w:val="22"/>
              </w:rPr>
              <w:t>Member Number</w:t>
            </w:r>
          </w:p>
        </w:tc>
        <w:tc>
          <w:tcPr>
            <w:tcW w:w="4268" w:type="dxa"/>
            <w:gridSpan w:val="4"/>
            <w:tcBorders>
              <w:top w:val="single" w:color="auto" w:sz="4" w:space="0"/>
              <w:bottom w:val="single" w:color="auto" w:sz="4" w:space="0"/>
            </w:tcBorders>
            <w:shd w:val="clear" w:color="auto" w:fill="FFFFFF"/>
            <w:vAlign w:val="bottom"/>
          </w:tcPr>
          <w:p w:rsidRPr="00C16981" w:rsidR="003B6A1B" w:rsidP="00E775D0" w:rsidRDefault="003B6A1B" w14:paraId="496B5DC1" w14:textId="77777777">
            <w:pPr>
              <w:keepNext/>
              <w:keepLines/>
              <w:spacing w:before="60" w:after="60"/>
              <w:jc w:val="center"/>
              <w:rPr>
                <w:b/>
                <w:sz w:val="22"/>
                <w:szCs w:val="22"/>
              </w:rPr>
            </w:pPr>
            <w:r w:rsidRPr="00C16981">
              <w:rPr>
                <w:b/>
                <w:sz w:val="22"/>
                <w:szCs w:val="22"/>
              </w:rPr>
              <w:t>Actions Affecting Eligibility (Yes/No?)</w:t>
            </w:r>
          </w:p>
          <w:p w:rsidRPr="00C16981" w:rsidR="003B6A1B" w:rsidP="00E775D0" w:rsidRDefault="003B6A1B"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3B6A1B" w:rsidTr="00FC6B7D"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7F620E" w:rsidR="003B6A1B" w:rsidP="001A3CF3" w:rsidRDefault="00C70772" w14:paraId="7266B7BF" w14:textId="4B73554E">
            <w:pPr>
              <w:keepLines/>
              <w:spacing w:before="60" w:after="60"/>
              <w:jc w:val="center"/>
              <w:rPr>
                <w:color w:val="000000"/>
              </w:rPr>
            </w:pPr>
            <w:r>
              <w:rPr>
                <w:color w:val="000000"/>
              </w:rPr>
              <w:t>Malinda Dickenson</w:t>
            </w:r>
          </w:p>
        </w:tc>
        <w:tc>
          <w:tcPr>
            <w:tcW w:w="1909" w:type="dxa"/>
            <w:gridSpan w:val="3"/>
            <w:tcBorders>
              <w:top w:val="single" w:color="auto" w:sz="4" w:space="0"/>
              <w:bottom w:val="single" w:color="auto" w:sz="4" w:space="0"/>
            </w:tcBorders>
            <w:shd w:val="clear" w:color="auto" w:fill="auto"/>
          </w:tcPr>
          <w:p w:rsidRPr="007F620E" w:rsidR="003B6A1B" w:rsidP="001A3CF3" w:rsidRDefault="003E7000" w14:paraId="69A41F15" w14:textId="24E46AC6">
            <w:pPr>
              <w:keepLines/>
              <w:spacing w:before="60" w:after="60"/>
              <w:jc w:val="center"/>
              <w:rPr>
                <w:color w:val="000000"/>
              </w:rPr>
            </w:pPr>
            <w:r>
              <w:rPr>
                <w:color w:val="000000"/>
              </w:rPr>
              <w:t>2002</w:t>
            </w:r>
          </w:p>
        </w:tc>
        <w:tc>
          <w:tcPr>
            <w:tcW w:w="2291" w:type="dxa"/>
            <w:gridSpan w:val="2"/>
            <w:tcBorders>
              <w:top w:val="single" w:color="auto" w:sz="4" w:space="0"/>
              <w:bottom w:val="single" w:color="auto" w:sz="4" w:space="0"/>
            </w:tcBorders>
            <w:shd w:val="clear" w:color="auto" w:fill="auto"/>
          </w:tcPr>
          <w:p w:rsidRPr="007F620E" w:rsidR="003B6A1B" w:rsidP="001A3CF3" w:rsidRDefault="003E7000" w14:paraId="58495CD7" w14:textId="662D486A">
            <w:pPr>
              <w:keepLines/>
              <w:spacing w:before="60" w:after="60"/>
              <w:jc w:val="center"/>
              <w:rPr>
                <w:color w:val="000000"/>
              </w:rPr>
            </w:pPr>
            <w:r>
              <w:rPr>
                <w:color w:val="000000"/>
              </w:rPr>
              <w:t>222564</w:t>
            </w:r>
          </w:p>
        </w:tc>
        <w:tc>
          <w:tcPr>
            <w:tcW w:w="4268" w:type="dxa"/>
            <w:gridSpan w:val="4"/>
            <w:tcBorders>
              <w:top w:val="single" w:color="auto" w:sz="4" w:space="0"/>
              <w:bottom w:val="single" w:color="auto" w:sz="4" w:space="0"/>
            </w:tcBorders>
            <w:shd w:val="clear" w:color="auto" w:fill="auto"/>
          </w:tcPr>
          <w:p w:rsidRPr="007F620E" w:rsidR="003B6A1B" w:rsidP="001A3CF3" w:rsidRDefault="00A64BEE" w14:paraId="117B99BF" w14:textId="06888370">
            <w:pPr>
              <w:keepLines/>
              <w:spacing w:before="60" w:after="60"/>
              <w:jc w:val="center"/>
              <w:rPr>
                <w:color w:val="000000"/>
              </w:rPr>
            </w:pPr>
            <w:r>
              <w:rPr>
                <w:color w:val="000000"/>
              </w:rPr>
              <w:t>No</w:t>
            </w:r>
          </w:p>
        </w:tc>
      </w:tr>
      <w:tr w:rsidRPr="007F620E" w:rsidR="003B6A1B" w:rsidTr="00FC6B7D"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7F620E" w:rsidR="003B6A1B" w:rsidP="00E17B34" w:rsidRDefault="00C70772" w14:paraId="3D5F8F51" w14:textId="058BFE2A">
            <w:pPr>
              <w:spacing w:before="60" w:after="60"/>
              <w:jc w:val="center"/>
              <w:rPr>
                <w:color w:val="000000"/>
              </w:rPr>
            </w:pPr>
            <w:r>
              <w:rPr>
                <w:color w:val="000000"/>
              </w:rPr>
              <w:t>Jonathan Webster</w:t>
            </w:r>
          </w:p>
        </w:tc>
        <w:tc>
          <w:tcPr>
            <w:tcW w:w="1909" w:type="dxa"/>
            <w:gridSpan w:val="3"/>
            <w:tcBorders>
              <w:top w:val="single" w:color="auto" w:sz="4" w:space="0"/>
              <w:bottom w:val="single" w:color="auto" w:sz="4" w:space="0"/>
            </w:tcBorders>
            <w:shd w:val="clear" w:color="auto" w:fill="auto"/>
          </w:tcPr>
          <w:p w:rsidRPr="007F620E" w:rsidR="003B6A1B" w:rsidP="00E17B34" w:rsidRDefault="003E7000" w14:paraId="1609FC8E" w14:textId="5AC56454">
            <w:pPr>
              <w:spacing w:before="60" w:after="60"/>
              <w:jc w:val="center"/>
              <w:rPr>
                <w:color w:val="000000"/>
              </w:rPr>
            </w:pPr>
            <w:r>
              <w:rPr>
                <w:color w:val="000000"/>
              </w:rPr>
              <w:t>2023</w:t>
            </w:r>
          </w:p>
        </w:tc>
        <w:tc>
          <w:tcPr>
            <w:tcW w:w="2291" w:type="dxa"/>
            <w:gridSpan w:val="2"/>
            <w:tcBorders>
              <w:top w:val="single" w:color="auto" w:sz="4" w:space="0"/>
              <w:bottom w:val="single" w:color="auto" w:sz="4" w:space="0"/>
            </w:tcBorders>
            <w:shd w:val="clear" w:color="auto" w:fill="auto"/>
          </w:tcPr>
          <w:p w:rsidRPr="007F620E" w:rsidR="003B6A1B" w:rsidP="00E17B34" w:rsidRDefault="00601333" w14:paraId="182A9D2B" w14:textId="783DECE0">
            <w:pPr>
              <w:spacing w:before="60" w:after="60"/>
              <w:jc w:val="center"/>
              <w:rPr>
                <w:color w:val="000000"/>
              </w:rPr>
            </w:pPr>
            <w:r>
              <w:rPr>
                <w:color w:val="000000"/>
              </w:rPr>
              <w:t>351823</w:t>
            </w:r>
          </w:p>
        </w:tc>
        <w:tc>
          <w:tcPr>
            <w:tcW w:w="4268" w:type="dxa"/>
            <w:gridSpan w:val="4"/>
            <w:tcBorders>
              <w:top w:val="single" w:color="auto" w:sz="4" w:space="0"/>
              <w:bottom w:val="single" w:color="auto" w:sz="4" w:space="0"/>
            </w:tcBorders>
            <w:shd w:val="clear" w:color="auto" w:fill="auto"/>
          </w:tcPr>
          <w:p w:rsidRPr="007F620E" w:rsidR="003B6A1B" w:rsidP="00E17B34" w:rsidRDefault="00A64BEE" w14:paraId="35DC3C56" w14:textId="7C508157">
            <w:pPr>
              <w:spacing w:before="60" w:after="60"/>
              <w:jc w:val="center"/>
              <w:rPr>
                <w:color w:val="000000"/>
              </w:rPr>
            </w:pPr>
            <w:r>
              <w:rPr>
                <w:color w:val="000000"/>
              </w:rPr>
              <w:t>No</w:t>
            </w:r>
          </w:p>
        </w:tc>
      </w:tr>
    </w:tbl>
    <w:p w:rsidR="00A92D0B" w:rsidP="00771D9A" w:rsidRDefault="00A92D0B" w14:paraId="04BC309E" w14:textId="7ACB17C3">
      <w:pPr>
        <w:keepNext/>
        <w:numPr>
          <w:ilvl w:val="0"/>
          <w:numId w:val="9"/>
        </w:numPr>
        <w:spacing w:before="240"/>
        <w:rPr>
          <w:b/>
          <w:color w:val="000000"/>
        </w:rPr>
      </w:pPr>
      <w:r w:rsidRPr="005B5B44">
        <w:rPr>
          <w:b/>
          <w:color w:val="000000"/>
        </w:rPr>
        <w:t>Attachments</w:t>
      </w:r>
      <w:r w:rsidRPr="007F620E">
        <w:rPr>
          <w:b/>
        </w:rPr>
        <w:t xml:space="preserve"> Documenting Specific Claim and Comments on Part III</w:t>
      </w:r>
      <w:r w:rsidR="00950419">
        <w:rPr>
          <w:rStyle w:val="FootnoteReference"/>
          <w:b/>
        </w:rPr>
        <w:footnoteReference w:id="8"/>
      </w:r>
      <w:r w:rsidR="00C02649">
        <w:rPr>
          <w:b/>
        </w:rPr>
        <w:t>:</w:t>
      </w:r>
    </w:p>
    <w:p w:rsidRPr="00771D9A" w:rsidR="00771D9A" w:rsidP="00771D9A" w:rsidRDefault="00771D9A" w14:paraId="40623AB5" w14:textId="77777777">
      <w:pPr>
        <w:keepNext/>
        <w:rPr>
          <w:b/>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Attachment or Comment  #</w:t>
            </w:r>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A92D0B" w:rsidTr="00950419" w14:paraId="71F47148" w14:textId="77777777">
        <w:tc>
          <w:tcPr>
            <w:tcW w:w="1795" w:type="dxa"/>
            <w:tcBorders>
              <w:bottom w:val="single" w:color="auto" w:sz="4" w:space="0"/>
            </w:tcBorders>
            <w:shd w:val="clear" w:color="auto" w:fill="auto"/>
          </w:tcPr>
          <w:p w:rsidRPr="007F620E" w:rsidR="00A92D0B" w:rsidP="001A3CF3" w:rsidRDefault="00CD72F5" w14:paraId="7A5C03D8" w14:textId="619836C2">
            <w:pPr>
              <w:tabs>
                <w:tab w:val="left" w:pos="1260"/>
              </w:tabs>
              <w:rPr>
                <w:color w:val="000000"/>
              </w:rPr>
            </w:pPr>
            <w:r>
              <w:rPr>
                <w:color w:val="000000"/>
              </w:rPr>
              <w:t>Attachment #1</w:t>
            </w:r>
          </w:p>
        </w:tc>
        <w:tc>
          <w:tcPr>
            <w:tcW w:w="7565" w:type="dxa"/>
            <w:tcBorders>
              <w:bottom w:val="single" w:color="auto" w:sz="4" w:space="0"/>
            </w:tcBorders>
            <w:shd w:val="clear" w:color="auto" w:fill="auto"/>
          </w:tcPr>
          <w:p w:rsidRPr="001C0DD1" w:rsidR="00A92D0B" w:rsidP="001A3CF3" w:rsidRDefault="00A92D0B" w14:paraId="370C67BC" w14:textId="77777777">
            <w:pPr>
              <w:tabs>
                <w:tab w:val="left" w:pos="1260"/>
              </w:tabs>
              <w:rPr>
                <w:color w:val="000000"/>
              </w:rPr>
            </w:pPr>
            <w:r w:rsidRPr="001C0DD1">
              <w:rPr>
                <w:color w:val="000000"/>
              </w:rPr>
              <w:t>Certificate of Service</w:t>
            </w:r>
          </w:p>
        </w:tc>
      </w:tr>
      <w:tr w:rsidRPr="007F620E" w:rsidR="00A92D0B" w:rsidTr="00950419" w14:paraId="72C869B0" w14:textId="77777777">
        <w:tc>
          <w:tcPr>
            <w:tcW w:w="1795" w:type="dxa"/>
            <w:shd w:val="clear" w:color="auto" w:fill="auto"/>
          </w:tcPr>
          <w:p w:rsidRPr="007F620E" w:rsidR="00A92D0B" w:rsidP="001A3CF3" w:rsidRDefault="00CD72F5" w14:paraId="49AADD21" w14:textId="36E73741">
            <w:pPr>
              <w:tabs>
                <w:tab w:val="left" w:pos="1260"/>
              </w:tabs>
              <w:rPr>
                <w:color w:val="000000"/>
              </w:rPr>
            </w:pPr>
            <w:r>
              <w:rPr>
                <w:color w:val="000000"/>
              </w:rPr>
              <w:t>Attachment #</w:t>
            </w:r>
            <w:r w:rsidR="0022302F">
              <w:rPr>
                <w:color w:val="000000"/>
              </w:rPr>
              <w:t>2</w:t>
            </w:r>
          </w:p>
        </w:tc>
        <w:tc>
          <w:tcPr>
            <w:tcW w:w="7565" w:type="dxa"/>
            <w:shd w:val="clear" w:color="auto" w:fill="auto"/>
          </w:tcPr>
          <w:p w:rsidRPr="00A44C61" w:rsidR="00A92D0B" w:rsidP="001A3CF3" w:rsidRDefault="00A44C61" w14:paraId="3AF20C23" w14:textId="2B6B38B5">
            <w:pPr>
              <w:tabs>
                <w:tab w:val="left" w:pos="1260"/>
              </w:tabs>
              <w:rPr>
                <w:bCs/>
                <w:color w:val="000000"/>
              </w:rPr>
            </w:pPr>
            <w:r w:rsidRPr="00A44C61">
              <w:rPr>
                <w:bCs/>
                <w:color w:val="000000"/>
              </w:rPr>
              <w:t>Timesheet and Categorization</w:t>
            </w:r>
          </w:p>
        </w:tc>
      </w:tr>
      <w:tr w:rsidRPr="007F620E" w:rsidR="00CD72F5" w:rsidTr="00950419" w14:paraId="7DB1D536" w14:textId="77777777">
        <w:tc>
          <w:tcPr>
            <w:tcW w:w="1795" w:type="dxa"/>
            <w:shd w:val="clear" w:color="auto" w:fill="auto"/>
          </w:tcPr>
          <w:p w:rsidR="00CD72F5" w:rsidP="001A3CF3" w:rsidRDefault="00CD72F5" w14:paraId="7051D505" w14:textId="4474522E">
            <w:pPr>
              <w:tabs>
                <w:tab w:val="left" w:pos="1260"/>
              </w:tabs>
              <w:rPr>
                <w:color w:val="000000"/>
              </w:rPr>
            </w:pPr>
            <w:r>
              <w:rPr>
                <w:color w:val="000000"/>
              </w:rPr>
              <w:lastRenderedPageBreak/>
              <w:t>Attachment #3</w:t>
            </w:r>
          </w:p>
        </w:tc>
        <w:tc>
          <w:tcPr>
            <w:tcW w:w="7565" w:type="dxa"/>
            <w:shd w:val="clear" w:color="auto" w:fill="auto"/>
          </w:tcPr>
          <w:p w:rsidRPr="00A44C61" w:rsidR="00CD72F5" w:rsidP="001A3CF3" w:rsidRDefault="00A44C61" w14:paraId="0E6617F5" w14:textId="5062D7C4">
            <w:pPr>
              <w:tabs>
                <w:tab w:val="left" w:pos="1260"/>
              </w:tabs>
              <w:rPr>
                <w:bCs/>
                <w:color w:val="000000"/>
              </w:rPr>
            </w:pPr>
            <w:r w:rsidRPr="00A44C61">
              <w:rPr>
                <w:bCs/>
                <w:color w:val="000000"/>
              </w:rPr>
              <w:t>Malinda Dickenson Resume</w:t>
            </w:r>
          </w:p>
        </w:tc>
      </w:tr>
      <w:tr w:rsidRPr="007F620E" w:rsidR="00CD72F5" w:rsidTr="00950419" w14:paraId="2078BDF9" w14:textId="77777777">
        <w:tc>
          <w:tcPr>
            <w:tcW w:w="1795" w:type="dxa"/>
            <w:shd w:val="clear" w:color="auto" w:fill="auto"/>
          </w:tcPr>
          <w:p w:rsidR="00CD72F5" w:rsidP="001A3CF3" w:rsidRDefault="00CD72F5" w14:paraId="69E8F995" w14:textId="609F45A7">
            <w:pPr>
              <w:tabs>
                <w:tab w:val="left" w:pos="1260"/>
              </w:tabs>
              <w:rPr>
                <w:color w:val="000000"/>
              </w:rPr>
            </w:pPr>
            <w:r>
              <w:rPr>
                <w:color w:val="000000"/>
              </w:rPr>
              <w:t>Attachment #4</w:t>
            </w:r>
          </w:p>
        </w:tc>
        <w:tc>
          <w:tcPr>
            <w:tcW w:w="7565" w:type="dxa"/>
            <w:shd w:val="clear" w:color="auto" w:fill="auto"/>
          </w:tcPr>
          <w:p w:rsidRPr="00A44C61" w:rsidR="00CD72F5" w:rsidP="001A3CF3" w:rsidRDefault="00A44C61" w14:paraId="29BBB0C2" w14:textId="38CF9A84">
            <w:pPr>
              <w:tabs>
                <w:tab w:val="left" w:pos="1260"/>
              </w:tabs>
              <w:rPr>
                <w:bCs/>
                <w:color w:val="000000"/>
              </w:rPr>
            </w:pPr>
            <w:r w:rsidRPr="00A44C61">
              <w:rPr>
                <w:bCs/>
                <w:color w:val="000000"/>
              </w:rPr>
              <w:t>Jonathan Webster Resume</w:t>
            </w:r>
          </w:p>
        </w:tc>
      </w:tr>
      <w:tr w:rsidRPr="007F620E" w:rsidR="004C7305" w:rsidTr="006F3567" w14:paraId="75518EE2" w14:textId="77777777">
        <w:tc>
          <w:tcPr>
            <w:tcW w:w="1795" w:type="dxa"/>
            <w:shd w:val="clear" w:color="auto" w:fill="auto"/>
          </w:tcPr>
          <w:p w:rsidR="004C7305" w:rsidP="004C7305" w:rsidRDefault="004C7305" w14:paraId="0FB0EF11" w14:textId="77DFC166">
            <w:pPr>
              <w:tabs>
                <w:tab w:val="left" w:pos="1260"/>
              </w:tabs>
              <w:rPr>
                <w:color w:val="000000"/>
              </w:rPr>
            </w:pPr>
            <w:r>
              <w:rPr>
                <w:color w:val="000000"/>
              </w:rPr>
              <w:t>Comment #1</w:t>
            </w:r>
          </w:p>
        </w:tc>
        <w:tc>
          <w:tcPr>
            <w:tcW w:w="7565" w:type="dxa"/>
            <w:shd w:val="clear" w:color="auto" w:fill="auto"/>
          </w:tcPr>
          <w:p w:rsidR="004C7305" w:rsidP="004C7305" w:rsidRDefault="004C7305" w14:paraId="503AE5C8" w14:textId="16FA364C">
            <w:pPr>
              <w:tabs>
                <w:tab w:val="left" w:pos="1260"/>
              </w:tabs>
              <w:rPr>
                <w:b/>
                <w:color w:val="000000"/>
              </w:rPr>
            </w:pPr>
            <w:r w:rsidRPr="006B4054">
              <w:rPr>
                <w:b/>
                <w:color w:val="000000"/>
              </w:rPr>
              <w:t xml:space="preserve">Malinda Dickenson basis for </w:t>
            </w:r>
            <w:r>
              <w:rPr>
                <w:b/>
                <w:color w:val="000000"/>
              </w:rPr>
              <w:t xml:space="preserve">2023 and </w:t>
            </w:r>
            <w:r w:rsidRPr="006B4054">
              <w:rPr>
                <w:b/>
                <w:color w:val="000000"/>
              </w:rPr>
              <w:t>2024 rate</w:t>
            </w:r>
            <w:r>
              <w:rPr>
                <w:b/>
                <w:color w:val="000000"/>
              </w:rPr>
              <w:t>s</w:t>
            </w:r>
            <w:r w:rsidRPr="006B4054">
              <w:rPr>
                <w:b/>
                <w:color w:val="000000"/>
              </w:rPr>
              <w:t xml:space="preserve">: </w:t>
            </w:r>
            <w:r>
              <w:rPr>
                <w:b/>
                <w:color w:val="000000"/>
              </w:rPr>
              <w:t>$700/hr, $730/hr, respectively.</w:t>
            </w:r>
          </w:p>
          <w:p w:rsidRPr="006B4054" w:rsidR="00065A73" w:rsidP="004C7305" w:rsidRDefault="00065A73" w14:paraId="71E3C1B0" w14:textId="77777777">
            <w:pPr>
              <w:tabs>
                <w:tab w:val="left" w:pos="1260"/>
              </w:tabs>
              <w:rPr>
                <w:b/>
                <w:color w:val="000000"/>
              </w:rPr>
            </w:pPr>
          </w:p>
          <w:p w:rsidR="004C7305" w:rsidP="004C7305" w:rsidRDefault="004C7305" w14:paraId="7E8E133A" w14:textId="1EA124A7">
            <w:pPr>
              <w:tabs>
                <w:tab w:val="left" w:pos="526"/>
              </w:tabs>
              <w:rPr>
                <w:bCs/>
                <w:color w:val="000000"/>
              </w:rPr>
            </w:pPr>
            <w:r w:rsidRPr="006B4054">
              <w:rPr>
                <w:bCs/>
                <w:color w:val="000000"/>
              </w:rPr>
              <w:tab/>
              <w:t xml:space="preserve">Ms. Dickenson has </w:t>
            </w:r>
            <w:r>
              <w:rPr>
                <w:bCs/>
                <w:color w:val="000000"/>
              </w:rPr>
              <w:t xml:space="preserve">more than </w:t>
            </w:r>
            <w:r w:rsidRPr="006B4054">
              <w:rPr>
                <w:bCs/>
                <w:color w:val="000000"/>
              </w:rPr>
              <w:t xml:space="preserve">13 years of experience in the legal director role of the Commission’s hourly rate chart, which includes 9 years as principal of her own law firm plus </w:t>
            </w:r>
            <w:r w:rsidR="009F75E8">
              <w:rPr>
                <w:bCs/>
                <w:color w:val="000000"/>
              </w:rPr>
              <w:t>nearly 5</w:t>
            </w:r>
            <w:r>
              <w:rPr>
                <w:bCs/>
                <w:color w:val="000000"/>
              </w:rPr>
              <w:t xml:space="preserve"> </w:t>
            </w:r>
            <w:r w:rsidRPr="006B4054">
              <w:rPr>
                <w:bCs/>
                <w:color w:val="000000"/>
              </w:rPr>
              <w:t xml:space="preserve">years as PCF’s General Counsel and then Legal &amp; Executive Director.  Ms. Dickenson’s </w:t>
            </w:r>
            <w:r w:rsidR="009F75E8">
              <w:rPr>
                <w:bCs/>
                <w:color w:val="000000"/>
              </w:rPr>
              <w:t>nearly</w:t>
            </w:r>
            <w:r>
              <w:rPr>
                <w:bCs/>
                <w:color w:val="000000"/>
              </w:rPr>
              <w:t xml:space="preserve"> </w:t>
            </w:r>
            <w:r w:rsidRPr="006B4054">
              <w:rPr>
                <w:bCs/>
                <w:color w:val="000000"/>
              </w:rPr>
              <w:t>1</w:t>
            </w:r>
            <w:r w:rsidR="009F75E8">
              <w:rPr>
                <w:bCs/>
                <w:color w:val="000000"/>
              </w:rPr>
              <w:t>4</w:t>
            </w:r>
            <w:r w:rsidRPr="006B4054">
              <w:rPr>
                <w:bCs/>
                <w:color w:val="000000"/>
              </w:rPr>
              <w:t xml:space="preserve"> years of experience in the legal director role qualifies her for the upper range of Level IV, which applies to 10-15 years of legal director experience. The Commission hourly rate chart provides a median rate of $6</w:t>
            </w:r>
            <w:r>
              <w:rPr>
                <w:bCs/>
                <w:color w:val="000000"/>
              </w:rPr>
              <w:t>99.57</w:t>
            </w:r>
            <w:r w:rsidRPr="006B4054">
              <w:rPr>
                <w:bCs/>
                <w:color w:val="000000"/>
              </w:rPr>
              <w:t xml:space="preserve"> and a high-end rate of $8</w:t>
            </w:r>
            <w:r>
              <w:rPr>
                <w:bCs/>
                <w:color w:val="000000"/>
              </w:rPr>
              <w:t>60.03</w:t>
            </w:r>
            <w:r w:rsidRPr="006B4054">
              <w:rPr>
                <w:bCs/>
                <w:color w:val="000000"/>
              </w:rPr>
              <w:t xml:space="preserve"> for Level IV legal directors in 202</w:t>
            </w:r>
            <w:r>
              <w:rPr>
                <w:bCs/>
                <w:color w:val="000000"/>
              </w:rPr>
              <w:t>4</w:t>
            </w:r>
            <w:r w:rsidRPr="006B4054">
              <w:rPr>
                <w:bCs/>
                <w:color w:val="000000"/>
              </w:rPr>
              <w:t>. These rates include overhead costs. Ms. Dickenson’s 202</w:t>
            </w:r>
            <w:r>
              <w:rPr>
                <w:bCs/>
                <w:color w:val="000000"/>
              </w:rPr>
              <w:t>4</w:t>
            </w:r>
            <w:r w:rsidRPr="006B4054">
              <w:rPr>
                <w:bCs/>
                <w:color w:val="000000"/>
              </w:rPr>
              <w:t xml:space="preserve"> rate of $7</w:t>
            </w:r>
            <w:r>
              <w:rPr>
                <w:bCs/>
                <w:color w:val="000000"/>
              </w:rPr>
              <w:t>3</w:t>
            </w:r>
            <w:r w:rsidRPr="006B4054">
              <w:rPr>
                <w:bCs/>
                <w:color w:val="000000"/>
              </w:rPr>
              <w:t>0</w:t>
            </w:r>
            <w:r w:rsidR="00422951">
              <w:rPr>
                <w:bCs/>
                <w:color w:val="000000"/>
              </w:rPr>
              <w:t>,</w:t>
            </w:r>
            <w:r w:rsidRPr="006B4054">
              <w:rPr>
                <w:bCs/>
                <w:color w:val="000000"/>
              </w:rPr>
              <w:t xml:space="preserve"> </w:t>
            </w:r>
            <w:r w:rsidRPr="006B4054" w:rsidR="00422951">
              <w:rPr>
                <w:bCs/>
                <w:color w:val="000000"/>
              </w:rPr>
              <w:t xml:space="preserve">which is just above the median and far below the upper range for Level IV Legal Directors, </w:t>
            </w:r>
            <w:r w:rsidR="00422951">
              <w:rPr>
                <w:bCs/>
                <w:color w:val="000000"/>
              </w:rPr>
              <w:t xml:space="preserve">is lower than what can be justified </w:t>
            </w:r>
            <w:r w:rsidRPr="006B4054">
              <w:rPr>
                <w:bCs/>
                <w:color w:val="000000"/>
              </w:rPr>
              <w:t xml:space="preserve">based on </w:t>
            </w:r>
            <w:r w:rsidR="00422951">
              <w:rPr>
                <w:bCs/>
                <w:color w:val="000000"/>
              </w:rPr>
              <w:t>Ms. Dickenson’s</w:t>
            </w:r>
            <w:r w:rsidRPr="006B4054">
              <w:rPr>
                <w:bCs/>
                <w:color w:val="000000"/>
              </w:rPr>
              <w:t xml:space="preserve"> </w:t>
            </w:r>
            <w:r w:rsidR="00966861">
              <w:rPr>
                <w:bCs/>
                <w:color w:val="000000"/>
              </w:rPr>
              <w:t xml:space="preserve">nearly </w:t>
            </w:r>
            <w:r w:rsidRPr="006B4054">
              <w:rPr>
                <w:bCs/>
                <w:color w:val="000000"/>
              </w:rPr>
              <w:t>1</w:t>
            </w:r>
            <w:r w:rsidR="00966861">
              <w:rPr>
                <w:bCs/>
                <w:color w:val="000000"/>
              </w:rPr>
              <w:t>4</w:t>
            </w:r>
            <w:r w:rsidRPr="006B4054">
              <w:rPr>
                <w:bCs/>
                <w:color w:val="000000"/>
              </w:rPr>
              <w:t xml:space="preserve"> years of experience in the legal director role</w:t>
            </w:r>
            <w:r w:rsidR="00E904DA">
              <w:rPr>
                <w:bCs/>
                <w:color w:val="000000"/>
              </w:rPr>
              <w:t>.</w:t>
            </w:r>
          </w:p>
          <w:p w:rsidR="004C7305" w:rsidP="004C7305" w:rsidRDefault="004C7305" w14:paraId="2B8495A7" w14:textId="77777777">
            <w:pPr>
              <w:tabs>
                <w:tab w:val="left" w:pos="526"/>
              </w:tabs>
              <w:ind w:firstLine="526"/>
              <w:rPr>
                <w:bCs/>
                <w:color w:val="000000"/>
              </w:rPr>
            </w:pPr>
            <w:bookmarkStart w:name="_Hlk161919637" w:id="1"/>
            <w:r w:rsidRPr="009D08E0">
              <w:rPr>
                <w:bCs/>
                <w:color w:val="000000"/>
              </w:rPr>
              <w:t>Legal directors with comparable and less experience than Ms. Dickenson have been awarded rates exceeding Ms. Dickenson’s $730 rate.  Mr. Birkelund was awarded $705 for 2022 rates (D.23-02-016, p. 10), which equals $765 per hour in 2024 dollars</w:t>
            </w:r>
            <w:r>
              <w:rPr>
                <w:bCs/>
                <w:color w:val="000000"/>
              </w:rPr>
              <w:t xml:space="preserve">, $735 in 2023 dollars, and $680 in 2021 dollars, </w:t>
            </w:r>
            <w:r w:rsidRPr="009D08E0">
              <w:rPr>
                <w:bCs/>
                <w:color w:val="000000"/>
              </w:rPr>
              <w:t>utilizing the Commission’s approved COLA for 2023 and 2024 and the Commission’s established practice of rounding to the nearest five-dollar increment. Mr. Birkelund has two years less experience in the legal director role than Ms. Dickenson. (See D.22-08-046, p. 17.) Ms. Elliott, who had 13 years of legal director experience in 2021, was awarded a rate of $700 for 2021 which equates to $785 in 2024 dollars</w:t>
            </w:r>
            <w:r>
              <w:rPr>
                <w:bCs/>
                <w:color w:val="000000"/>
              </w:rPr>
              <w:t xml:space="preserve"> and $755 in 2023 dollars,</w:t>
            </w:r>
            <w:r w:rsidRPr="009D08E0">
              <w:rPr>
                <w:bCs/>
                <w:color w:val="000000"/>
              </w:rPr>
              <w:t xml:space="preserve"> utilizing the Commission’s approved COLA for 2022 and 2023 and the Commission’s established practice of rounding to the nearest five-dollar increment. (D.23-08-043, p. 31.)</w:t>
            </w:r>
            <w:r w:rsidRPr="006B4054">
              <w:rPr>
                <w:bCs/>
                <w:color w:val="000000"/>
              </w:rPr>
              <w:t xml:space="preserve"> </w:t>
            </w:r>
          </w:p>
          <w:bookmarkEnd w:id="1"/>
          <w:p w:rsidR="004C7305" w:rsidP="004C7305" w:rsidRDefault="004C7305" w14:paraId="186DEBA1" w14:textId="43C0860C">
            <w:pPr>
              <w:tabs>
                <w:tab w:val="left" w:pos="526"/>
              </w:tabs>
              <w:ind w:firstLine="526"/>
              <w:rPr>
                <w:bCs/>
                <w:color w:val="000000"/>
              </w:rPr>
            </w:pPr>
            <w:r w:rsidRPr="006B4054">
              <w:rPr>
                <w:bCs/>
                <w:color w:val="000000"/>
              </w:rPr>
              <w:t xml:space="preserve">Ms. Dickenson’s rate is also justified by her experience as an Attorney. Ms. Dickenson’s resume is attached and has been updated from previous claims to clarify that Ms. Dickenson is a lawyer with </w:t>
            </w:r>
            <w:r w:rsidR="00422951">
              <w:rPr>
                <w:bCs/>
                <w:color w:val="000000"/>
              </w:rPr>
              <w:t xml:space="preserve">close to </w:t>
            </w:r>
            <w:r w:rsidRPr="006B4054">
              <w:rPr>
                <w:bCs/>
                <w:color w:val="000000"/>
              </w:rPr>
              <w:t>2</w:t>
            </w:r>
            <w:r w:rsidR="00422951">
              <w:rPr>
                <w:bCs/>
                <w:color w:val="000000"/>
              </w:rPr>
              <w:t>2</w:t>
            </w:r>
            <w:r w:rsidRPr="006B4054">
              <w:rPr>
                <w:bCs/>
                <w:color w:val="000000"/>
              </w:rPr>
              <w:t xml:space="preserve"> years of experience that is directly related to her work before the Commission. (See Comment #3, infra (last paragraph).) The Commission hourly rate chart provides a median rate of $6</w:t>
            </w:r>
            <w:r>
              <w:rPr>
                <w:bCs/>
                <w:color w:val="000000"/>
              </w:rPr>
              <w:t>80</w:t>
            </w:r>
            <w:r w:rsidRPr="006B4054">
              <w:rPr>
                <w:bCs/>
                <w:color w:val="000000"/>
              </w:rPr>
              <w:t>.</w:t>
            </w:r>
            <w:r>
              <w:rPr>
                <w:bCs/>
                <w:color w:val="000000"/>
              </w:rPr>
              <w:t>95</w:t>
            </w:r>
            <w:r w:rsidRPr="006B4054">
              <w:rPr>
                <w:bCs/>
                <w:color w:val="000000"/>
              </w:rPr>
              <w:t xml:space="preserve"> and a high-end rate of $77</w:t>
            </w:r>
            <w:r>
              <w:rPr>
                <w:bCs/>
                <w:color w:val="000000"/>
              </w:rPr>
              <w:t>3</w:t>
            </w:r>
            <w:r w:rsidRPr="006B4054">
              <w:rPr>
                <w:bCs/>
                <w:color w:val="000000"/>
              </w:rPr>
              <w:t>.</w:t>
            </w:r>
            <w:r>
              <w:rPr>
                <w:bCs/>
                <w:color w:val="000000"/>
              </w:rPr>
              <w:t>67</w:t>
            </w:r>
            <w:r w:rsidRPr="006B4054">
              <w:rPr>
                <w:bCs/>
                <w:color w:val="000000"/>
              </w:rPr>
              <w:t xml:space="preserve"> for Level V Attorneys in 202</w:t>
            </w:r>
            <w:r>
              <w:rPr>
                <w:bCs/>
                <w:color w:val="000000"/>
              </w:rPr>
              <w:t>4</w:t>
            </w:r>
            <w:r w:rsidRPr="006B4054">
              <w:rPr>
                <w:bCs/>
                <w:color w:val="000000"/>
              </w:rPr>
              <w:t>.  These rates include overhead costs. Ms. Dickenson’s 202</w:t>
            </w:r>
            <w:r>
              <w:rPr>
                <w:bCs/>
                <w:color w:val="000000"/>
              </w:rPr>
              <w:t>4</w:t>
            </w:r>
            <w:r w:rsidRPr="006B4054">
              <w:rPr>
                <w:bCs/>
                <w:color w:val="000000"/>
              </w:rPr>
              <w:t xml:space="preserve"> rate of $7</w:t>
            </w:r>
            <w:r>
              <w:rPr>
                <w:bCs/>
                <w:color w:val="000000"/>
              </w:rPr>
              <w:t>30</w:t>
            </w:r>
            <w:r w:rsidRPr="006B4054">
              <w:rPr>
                <w:bCs/>
                <w:color w:val="000000"/>
              </w:rPr>
              <w:t xml:space="preserve"> falls in between the median and high values for Level V Attorneys, which is </w:t>
            </w:r>
            <w:r w:rsidR="00422951">
              <w:rPr>
                <w:bCs/>
                <w:color w:val="000000"/>
              </w:rPr>
              <w:t xml:space="preserve">extremely </w:t>
            </w:r>
            <w:r w:rsidRPr="006B4054">
              <w:rPr>
                <w:bCs/>
                <w:color w:val="000000"/>
              </w:rPr>
              <w:t xml:space="preserve">conservative based on Ms. Dickenson’s </w:t>
            </w:r>
            <w:r w:rsidR="00422951">
              <w:rPr>
                <w:bCs/>
                <w:color w:val="000000"/>
              </w:rPr>
              <w:t xml:space="preserve">nearly </w:t>
            </w:r>
            <w:r w:rsidRPr="006B4054">
              <w:rPr>
                <w:bCs/>
                <w:color w:val="000000"/>
              </w:rPr>
              <w:t>2</w:t>
            </w:r>
            <w:r w:rsidR="00422951">
              <w:rPr>
                <w:bCs/>
                <w:color w:val="000000"/>
              </w:rPr>
              <w:t>2</w:t>
            </w:r>
            <w:r w:rsidRPr="006B4054">
              <w:rPr>
                <w:bCs/>
                <w:color w:val="000000"/>
              </w:rPr>
              <w:t xml:space="preserve"> years of directly related experience in 2023.</w:t>
            </w:r>
          </w:p>
          <w:p w:rsidR="004C7305" w:rsidP="004C7305" w:rsidRDefault="004C7305" w14:paraId="4BF54FA9" w14:textId="77777777">
            <w:pPr>
              <w:tabs>
                <w:tab w:val="left" w:pos="526"/>
              </w:tabs>
              <w:ind w:firstLine="526"/>
              <w:rPr>
                <w:bCs/>
                <w:color w:val="000000"/>
              </w:rPr>
            </w:pPr>
            <w:r w:rsidRPr="006B4054">
              <w:rPr>
                <w:bCs/>
                <w:color w:val="000000"/>
              </w:rPr>
              <w:t>The requested 202</w:t>
            </w:r>
            <w:r>
              <w:rPr>
                <w:bCs/>
                <w:color w:val="000000"/>
              </w:rPr>
              <w:t>4</w:t>
            </w:r>
            <w:r w:rsidRPr="006B4054">
              <w:rPr>
                <w:bCs/>
                <w:color w:val="000000"/>
              </w:rPr>
              <w:t xml:space="preserve"> rate for Ms. Dickenson also aligns with the newly updated</w:t>
            </w:r>
            <w:r>
              <w:rPr>
                <w:bCs/>
                <w:color w:val="000000"/>
              </w:rPr>
              <w:t xml:space="preserve"> rate of $700/hour for 2023.</w:t>
            </w:r>
          </w:p>
          <w:p w:rsidR="004C7305" w:rsidP="004C7305" w:rsidRDefault="004C7305" w14:paraId="1CFDEDDF" w14:textId="3FE4EE2A">
            <w:pPr>
              <w:tabs>
                <w:tab w:val="left" w:pos="526"/>
              </w:tabs>
              <w:ind w:firstLine="526"/>
              <w:rPr>
                <w:bCs/>
                <w:color w:val="000000"/>
              </w:rPr>
            </w:pPr>
            <w:r w:rsidRPr="006B4054">
              <w:rPr>
                <w:bCs/>
                <w:color w:val="000000"/>
              </w:rPr>
              <w:lastRenderedPageBreak/>
              <w:t xml:space="preserve">Ms. Dickenson’s resume and this justification have been updated since Ms. Dickenson was awarded a 2022 rate of $610 per hour in D.23-08-020 and D.23-10-018 which were in turn based on the 2021 rate of $590 per hour in D.22-10-030. PCF appreciates that in D.23-11-050, the Commission identified the basis for its interpretation of Ms. Dickenson’s previous resume which led to D.22-10-030 and invited Ms. Dickenson to provide additional information by citing to the Intervenor Compensation Guide at page 22 which “advises intervenors seeking a higher hourly expert rate to identify a decision approving a higher rate or to provide updated credentials for its expert to supplement the record.” (D.23-11-043, p. 4.) Accordingly, Ms. Dickenson’s resume and this justification have been updated to clarify </w:t>
            </w:r>
            <w:r>
              <w:rPr>
                <w:bCs/>
                <w:color w:val="000000"/>
              </w:rPr>
              <w:t>a less comprehensive description of her experience in the previous version of Ms. Dickenson’s resume</w:t>
            </w:r>
            <w:r w:rsidRPr="006B4054">
              <w:rPr>
                <w:bCs/>
                <w:color w:val="000000"/>
              </w:rPr>
              <w:t>.</w:t>
            </w:r>
            <w:r>
              <w:rPr>
                <w:bCs/>
                <w:color w:val="000000"/>
              </w:rPr>
              <w:t xml:space="preserve"> Ms. Dickenson’s current resume unequivocally establishes </w:t>
            </w:r>
            <w:r w:rsidRPr="006B4054">
              <w:rPr>
                <w:bCs/>
                <w:color w:val="000000"/>
              </w:rPr>
              <w:t xml:space="preserve">that Ms. Dickenson </w:t>
            </w:r>
            <w:r>
              <w:rPr>
                <w:bCs/>
                <w:color w:val="000000"/>
              </w:rPr>
              <w:t xml:space="preserve">has </w:t>
            </w:r>
            <w:r w:rsidR="00422951">
              <w:rPr>
                <w:bCs/>
                <w:color w:val="000000"/>
              </w:rPr>
              <w:t xml:space="preserve">nearly </w:t>
            </w:r>
            <w:r w:rsidRPr="006B4054">
              <w:rPr>
                <w:bCs/>
                <w:color w:val="000000"/>
              </w:rPr>
              <w:t>2</w:t>
            </w:r>
            <w:r w:rsidR="00422951">
              <w:rPr>
                <w:bCs/>
                <w:color w:val="000000"/>
              </w:rPr>
              <w:t>2</w:t>
            </w:r>
            <w:r w:rsidRPr="006B4054">
              <w:rPr>
                <w:bCs/>
                <w:color w:val="000000"/>
              </w:rPr>
              <w:t xml:space="preserve"> years of experience that is directly related to her work before the Commission</w:t>
            </w:r>
            <w:r>
              <w:rPr>
                <w:bCs/>
                <w:color w:val="000000"/>
              </w:rPr>
              <w:t>.</w:t>
            </w:r>
          </w:p>
          <w:p w:rsidRPr="007F620E" w:rsidR="004C7305" w:rsidP="0007232C" w:rsidRDefault="004C7305" w14:paraId="11D00B63" w14:textId="77777777">
            <w:pPr>
              <w:tabs>
                <w:tab w:val="left" w:pos="526"/>
              </w:tabs>
              <w:ind w:firstLine="526"/>
              <w:rPr>
                <w:b/>
                <w:color w:val="000000"/>
              </w:rPr>
            </w:pPr>
          </w:p>
        </w:tc>
      </w:tr>
      <w:tr w:rsidRPr="007F620E" w:rsidR="00A8448F" w:rsidTr="006F3567" w14:paraId="1A32BB93" w14:textId="77777777">
        <w:tc>
          <w:tcPr>
            <w:tcW w:w="1795" w:type="dxa"/>
            <w:shd w:val="clear" w:color="auto" w:fill="auto"/>
          </w:tcPr>
          <w:p w:rsidR="00A8448F" w:rsidP="00A8448F" w:rsidRDefault="00A8448F" w14:paraId="30231F3F" w14:textId="77F12BB6">
            <w:pPr>
              <w:tabs>
                <w:tab w:val="left" w:pos="1260"/>
              </w:tabs>
              <w:rPr>
                <w:color w:val="000000"/>
              </w:rPr>
            </w:pPr>
            <w:r>
              <w:rPr>
                <w:color w:val="000000"/>
              </w:rPr>
              <w:lastRenderedPageBreak/>
              <w:t>Comment #2</w:t>
            </w:r>
          </w:p>
        </w:tc>
        <w:tc>
          <w:tcPr>
            <w:tcW w:w="7565" w:type="dxa"/>
            <w:shd w:val="clear" w:color="auto" w:fill="auto"/>
          </w:tcPr>
          <w:p w:rsidR="00A8448F" w:rsidP="00A8448F" w:rsidRDefault="00A8448F" w14:paraId="39AB0D32" w14:textId="6A31288D">
            <w:pPr>
              <w:tabs>
                <w:tab w:val="left" w:pos="720"/>
                <w:tab w:val="left" w:pos="1260"/>
              </w:tabs>
              <w:rPr>
                <w:b/>
                <w:color w:val="000000"/>
              </w:rPr>
            </w:pPr>
            <w:r>
              <w:rPr>
                <w:b/>
                <w:color w:val="000000"/>
              </w:rPr>
              <w:t>Jonathan Webster basis for 2023</w:t>
            </w:r>
            <w:r w:rsidR="001F4B7E">
              <w:rPr>
                <w:b/>
                <w:color w:val="000000"/>
              </w:rPr>
              <w:t xml:space="preserve"> Law Fellow rate, </w:t>
            </w:r>
            <w:r w:rsidR="00BB587F">
              <w:rPr>
                <w:b/>
                <w:color w:val="000000"/>
              </w:rPr>
              <w:t xml:space="preserve">2023 </w:t>
            </w:r>
            <w:r w:rsidR="001F4B7E">
              <w:rPr>
                <w:b/>
                <w:color w:val="000000"/>
              </w:rPr>
              <w:t>Attorney 0-1 Year</w:t>
            </w:r>
            <w:r>
              <w:rPr>
                <w:b/>
                <w:color w:val="000000"/>
              </w:rPr>
              <w:t xml:space="preserve"> rate</w:t>
            </w:r>
            <w:r w:rsidR="00BB587F">
              <w:rPr>
                <w:b/>
                <w:color w:val="000000"/>
              </w:rPr>
              <w:t>,</w:t>
            </w:r>
            <w:r>
              <w:rPr>
                <w:b/>
                <w:color w:val="000000"/>
              </w:rPr>
              <w:t xml:space="preserve"> and 2024</w:t>
            </w:r>
            <w:r w:rsidR="001F4B7E">
              <w:rPr>
                <w:b/>
                <w:color w:val="000000"/>
              </w:rPr>
              <w:t xml:space="preserve"> Attorney 0-1 Year</w:t>
            </w:r>
            <w:r w:rsidR="00BB587F">
              <w:rPr>
                <w:b/>
                <w:color w:val="000000"/>
              </w:rPr>
              <w:t xml:space="preserve"> rate</w:t>
            </w:r>
            <w:r>
              <w:rPr>
                <w:b/>
                <w:color w:val="000000"/>
              </w:rPr>
              <w:t>: $2</w:t>
            </w:r>
            <w:r w:rsidR="00904CD9">
              <w:rPr>
                <w:b/>
                <w:color w:val="000000"/>
              </w:rPr>
              <w:t>0</w:t>
            </w:r>
            <w:r>
              <w:rPr>
                <w:b/>
                <w:color w:val="000000"/>
              </w:rPr>
              <w:t>5</w:t>
            </w:r>
            <w:r w:rsidR="00BB587F">
              <w:rPr>
                <w:b/>
                <w:color w:val="000000"/>
              </w:rPr>
              <w:t xml:space="preserve">, </w:t>
            </w:r>
            <w:r w:rsidR="00D46A7D">
              <w:rPr>
                <w:b/>
                <w:color w:val="000000"/>
              </w:rPr>
              <w:t>$270, and</w:t>
            </w:r>
            <w:r>
              <w:rPr>
                <w:b/>
                <w:color w:val="000000"/>
              </w:rPr>
              <w:t xml:space="preserve"> $280/hour respectively. </w:t>
            </w:r>
          </w:p>
          <w:p w:rsidR="00065A73" w:rsidP="00A8448F" w:rsidRDefault="00065A73" w14:paraId="38E261F2" w14:textId="77777777">
            <w:pPr>
              <w:tabs>
                <w:tab w:val="left" w:pos="720"/>
                <w:tab w:val="left" w:pos="1260"/>
              </w:tabs>
              <w:rPr>
                <w:bCs/>
              </w:rPr>
            </w:pPr>
          </w:p>
          <w:p w:rsidR="00A8448F" w:rsidP="00A8448F" w:rsidRDefault="00A8448F" w14:paraId="722618F1" w14:textId="074AD1A6">
            <w:pPr>
              <w:tabs>
                <w:tab w:val="left" w:pos="436"/>
                <w:tab w:val="left" w:pos="1260"/>
              </w:tabs>
              <w:rPr>
                <w:bCs/>
              </w:rPr>
            </w:pPr>
            <w:r>
              <w:rPr>
                <w:bCs/>
              </w:rPr>
              <w:tab/>
              <w:t>Jonathan Webster is a Staff Attorney at The Protect Our Communities Foundation. PCF is requesting a rate of $280 per hour for Mr. Webster for 2024</w:t>
            </w:r>
            <w:r w:rsidR="002D1A29">
              <w:rPr>
                <w:bCs/>
              </w:rPr>
              <w:t xml:space="preserve">, $270 </w:t>
            </w:r>
            <w:r w:rsidR="00A644DC">
              <w:rPr>
                <w:bCs/>
              </w:rPr>
              <w:t xml:space="preserve">per hour for 2023, and </w:t>
            </w:r>
            <w:r>
              <w:rPr>
                <w:bCs/>
              </w:rPr>
              <w:t>$2</w:t>
            </w:r>
            <w:r w:rsidR="00904CD9">
              <w:rPr>
                <w:bCs/>
              </w:rPr>
              <w:t>0</w:t>
            </w:r>
            <w:r>
              <w:rPr>
                <w:bCs/>
              </w:rPr>
              <w:t>5 per hour for 202</w:t>
            </w:r>
            <w:r w:rsidR="006B32A7">
              <w:rPr>
                <w:bCs/>
              </w:rPr>
              <w:t>3</w:t>
            </w:r>
            <w:r w:rsidR="003811F3">
              <w:rPr>
                <w:bCs/>
              </w:rPr>
              <w:t xml:space="preserve"> prior to his admission to the state bar</w:t>
            </w:r>
            <w:r w:rsidR="002C49A4">
              <w:rPr>
                <w:bCs/>
              </w:rPr>
              <w:t>.</w:t>
            </w:r>
            <w:r>
              <w:rPr>
                <w:bCs/>
              </w:rPr>
              <w:t xml:space="preserve"> M</w:t>
            </w:r>
            <w:r w:rsidR="002C49A4">
              <w:rPr>
                <w:bCs/>
              </w:rPr>
              <w:t>r</w:t>
            </w:r>
            <w:r>
              <w:rPr>
                <w:bCs/>
              </w:rPr>
              <w:t>. W</w:t>
            </w:r>
            <w:r w:rsidR="002C49A4">
              <w:rPr>
                <w:bCs/>
              </w:rPr>
              <w:t>ebster</w:t>
            </w:r>
            <w:r>
              <w:rPr>
                <w:bCs/>
              </w:rPr>
              <w:t xml:space="preserve"> graduated from the University </w:t>
            </w:r>
            <w:r w:rsidR="00EF4A28">
              <w:rPr>
                <w:bCs/>
              </w:rPr>
              <w:t>of San Diego</w:t>
            </w:r>
            <w:r>
              <w:rPr>
                <w:bCs/>
              </w:rPr>
              <w:t xml:space="preserve"> School of Law in May of 2023 and was admitted to the California bar on December 5, 2023.  M</w:t>
            </w:r>
            <w:r w:rsidR="00EF4A28">
              <w:rPr>
                <w:bCs/>
              </w:rPr>
              <w:t>r. Webster</w:t>
            </w:r>
            <w:r>
              <w:rPr>
                <w:bCs/>
              </w:rPr>
              <w:t xml:space="preserve"> joined PCF as a Law Fellow after law school and was promoted to Staff Attorney upon h</w:t>
            </w:r>
            <w:r w:rsidR="00EF4A28">
              <w:rPr>
                <w:bCs/>
              </w:rPr>
              <w:t>is</w:t>
            </w:r>
            <w:r>
              <w:rPr>
                <w:bCs/>
              </w:rPr>
              <w:t xml:space="preserve"> admission to the State Bar of California.  M</w:t>
            </w:r>
            <w:r w:rsidR="003811F3">
              <w:rPr>
                <w:bCs/>
              </w:rPr>
              <w:t>r. Webster</w:t>
            </w:r>
            <w:r>
              <w:rPr>
                <w:bCs/>
              </w:rPr>
              <w:t xml:space="preserve"> performs h</w:t>
            </w:r>
            <w:r w:rsidR="003811F3">
              <w:rPr>
                <w:bCs/>
              </w:rPr>
              <w:t>is</w:t>
            </w:r>
            <w:r>
              <w:rPr>
                <w:bCs/>
              </w:rPr>
              <w:t xml:space="preserve"> job duties with the skill of lawyers with much more experience: </w:t>
            </w:r>
            <w:r w:rsidR="003811F3">
              <w:rPr>
                <w:bCs/>
              </w:rPr>
              <w:t>he</w:t>
            </w:r>
            <w:r>
              <w:rPr>
                <w:bCs/>
              </w:rPr>
              <w:t xml:space="preserve"> prepares briefs, participates in meet and confers, performs legal research, analyzes evidence, prepares data requests, assists in the drafting of testimony, attends workshops, and drafts comments, while under the supervision of an experienced attorney. </w:t>
            </w:r>
          </w:p>
          <w:p w:rsidR="00DB5309" w:rsidP="00A8448F" w:rsidRDefault="00DB5309" w14:paraId="79651F7F" w14:textId="21AEC380">
            <w:pPr>
              <w:tabs>
                <w:tab w:val="left" w:pos="436"/>
                <w:tab w:val="left" w:pos="1260"/>
              </w:tabs>
              <w:rPr>
                <w:bCs/>
              </w:rPr>
            </w:pPr>
          </w:p>
          <w:p w:rsidRPr="001F1F47" w:rsidR="001F1F47" w:rsidP="00A8448F" w:rsidRDefault="001F1F47" w14:paraId="5B819124" w14:textId="2FF3CD92">
            <w:pPr>
              <w:tabs>
                <w:tab w:val="left" w:pos="436"/>
                <w:tab w:val="left" w:pos="1260"/>
              </w:tabs>
              <w:rPr>
                <w:b/>
              </w:rPr>
            </w:pPr>
            <w:r w:rsidRPr="001F1F47">
              <w:rPr>
                <w:b/>
              </w:rPr>
              <w:t>Mr. Webster’s 202</w:t>
            </w:r>
            <w:r w:rsidR="00C9450C">
              <w:rPr>
                <w:b/>
              </w:rPr>
              <w:t>3</w:t>
            </w:r>
            <w:r w:rsidRPr="001F1F47">
              <w:rPr>
                <w:b/>
              </w:rPr>
              <w:t xml:space="preserve"> Rate (Attorney 0-1 Year)</w:t>
            </w:r>
            <w:r w:rsidR="00E53595">
              <w:rPr>
                <w:b/>
              </w:rPr>
              <w:t xml:space="preserve"> ($270/hr)</w:t>
            </w:r>
            <w:r w:rsidRPr="001F1F47">
              <w:rPr>
                <w:b/>
              </w:rPr>
              <w:t>:</w:t>
            </w:r>
          </w:p>
          <w:p w:rsidR="00A8448F" w:rsidP="00A8448F" w:rsidRDefault="00A8448F" w14:paraId="3A97D754" w14:textId="60877BFD">
            <w:pPr>
              <w:tabs>
                <w:tab w:val="left" w:pos="436"/>
                <w:tab w:val="left" w:pos="1260"/>
              </w:tabs>
              <w:ind w:firstLine="526"/>
              <w:rPr>
                <w:bCs/>
              </w:rPr>
            </w:pPr>
            <w:r>
              <w:rPr>
                <w:bCs/>
              </w:rPr>
              <w:t>M</w:t>
            </w:r>
            <w:r w:rsidR="00275377">
              <w:rPr>
                <w:bCs/>
              </w:rPr>
              <w:t>r. Webster</w:t>
            </w:r>
            <w:r>
              <w:rPr>
                <w:bCs/>
              </w:rPr>
              <w:t>’s</w:t>
            </w:r>
            <w:r w:rsidR="003F6F28">
              <w:rPr>
                <w:bCs/>
              </w:rPr>
              <w:t xml:space="preserve"> 202</w:t>
            </w:r>
            <w:r w:rsidR="00C9450C">
              <w:rPr>
                <w:bCs/>
              </w:rPr>
              <w:t>3</w:t>
            </w:r>
            <w:r>
              <w:rPr>
                <w:bCs/>
              </w:rPr>
              <w:t xml:space="preserve"> rate </w:t>
            </w:r>
            <w:r w:rsidR="002F4B3C">
              <w:rPr>
                <w:bCs/>
              </w:rPr>
              <w:t xml:space="preserve">($270/hr) </w:t>
            </w:r>
            <w:r>
              <w:rPr>
                <w:bCs/>
              </w:rPr>
              <w:t>is based on the Commission’s hourly rate chart and the rates awarded for attorneys with 0-1 years of experience. For 202</w:t>
            </w:r>
            <w:r w:rsidR="002F4B3C">
              <w:rPr>
                <w:bCs/>
              </w:rPr>
              <w:t>3</w:t>
            </w:r>
            <w:r>
              <w:rPr>
                <w:bCs/>
              </w:rPr>
              <w:t>, the range for 0-1 years of attorney experience is $</w:t>
            </w:r>
            <w:r w:rsidR="00490DA7">
              <w:rPr>
                <w:bCs/>
              </w:rPr>
              <w:t>193.45</w:t>
            </w:r>
            <w:r>
              <w:rPr>
                <w:bCs/>
              </w:rPr>
              <w:t xml:space="preserve"> (low), $2</w:t>
            </w:r>
            <w:r w:rsidR="00490DA7">
              <w:rPr>
                <w:bCs/>
              </w:rPr>
              <w:t>51.87</w:t>
            </w:r>
            <w:r>
              <w:rPr>
                <w:bCs/>
              </w:rPr>
              <w:t xml:space="preserve"> (median), and $3</w:t>
            </w:r>
            <w:r w:rsidR="00490DA7">
              <w:rPr>
                <w:bCs/>
              </w:rPr>
              <w:t>17</w:t>
            </w:r>
            <w:r>
              <w:rPr>
                <w:bCs/>
              </w:rPr>
              <w:t>.</w:t>
            </w:r>
            <w:r w:rsidR="00490DA7">
              <w:rPr>
                <w:bCs/>
              </w:rPr>
              <w:t>95</w:t>
            </w:r>
            <w:r>
              <w:rPr>
                <w:bCs/>
              </w:rPr>
              <w:t xml:space="preserve"> (high).</w:t>
            </w:r>
            <w:r w:rsidR="00CC1D36">
              <w:rPr>
                <w:bCs/>
              </w:rPr>
              <w:t xml:space="preserve"> </w:t>
            </w:r>
          </w:p>
          <w:p w:rsidR="00DD0F79" w:rsidP="00A8448F" w:rsidRDefault="00DB5309" w14:paraId="6D19471F" w14:textId="77777777">
            <w:pPr>
              <w:tabs>
                <w:tab w:val="left" w:pos="436"/>
                <w:tab w:val="left" w:pos="1260"/>
              </w:tabs>
              <w:ind w:firstLine="526"/>
              <w:rPr>
                <w:bCs/>
              </w:rPr>
            </w:pPr>
            <w:r>
              <w:rPr>
                <w:bCs/>
              </w:rPr>
              <w:t xml:space="preserve">The requested rate is consistent with past </w:t>
            </w:r>
            <w:r w:rsidR="00A26326">
              <w:rPr>
                <w:bCs/>
              </w:rPr>
              <w:t xml:space="preserve">Commission precedent regarding rates for Attorneys with 0-1 years experience. </w:t>
            </w:r>
            <w:r>
              <w:rPr>
                <w:bCs/>
              </w:rPr>
              <w:t>In D.23-08-043 and D.22-09-022, the Commission approved a 2021 rate of $250 for Rebecca Ruff immediately after being admitted to the bar, which equals $2</w:t>
            </w:r>
            <w:r w:rsidR="00DA0141">
              <w:rPr>
                <w:bCs/>
              </w:rPr>
              <w:t>7</w:t>
            </w:r>
            <w:r>
              <w:rPr>
                <w:bCs/>
              </w:rPr>
              <w:t xml:space="preserve">0 per </w:t>
            </w:r>
            <w:r>
              <w:rPr>
                <w:bCs/>
              </w:rPr>
              <w:lastRenderedPageBreak/>
              <w:t>hour in 202</w:t>
            </w:r>
            <w:r w:rsidR="00DA0141">
              <w:rPr>
                <w:bCs/>
              </w:rPr>
              <w:t>3</w:t>
            </w:r>
            <w:r>
              <w:rPr>
                <w:bCs/>
              </w:rPr>
              <w:t xml:space="preserve"> dollars utilizing the Commission’s approved COLA for 2022</w:t>
            </w:r>
            <w:r w:rsidR="00A54330">
              <w:rPr>
                <w:bCs/>
              </w:rPr>
              <w:t xml:space="preserve"> and</w:t>
            </w:r>
            <w:r>
              <w:rPr>
                <w:bCs/>
              </w:rPr>
              <w:t xml:space="preserve"> 2023 and the Commission’s established practice of rounding to the nearest five-dollar increment. Additionally, in D.24-02-044, the Commission awarded a rate of $275 an hour to Marna Anning for 2022 and a rate of $285/hour for 2023. </w:t>
            </w:r>
            <w:r w:rsidR="006A6BD4">
              <w:rPr>
                <w:bCs/>
              </w:rPr>
              <w:t xml:space="preserve">Both Ms. Ruff and </w:t>
            </w:r>
            <w:r w:rsidR="00DD0F79">
              <w:rPr>
                <w:bCs/>
              </w:rPr>
              <w:t xml:space="preserve">Ms. Anning have comparable experience to Mr. Webster. </w:t>
            </w:r>
          </w:p>
          <w:p w:rsidR="00DB5309" w:rsidP="00A8448F" w:rsidRDefault="00DB5309" w14:paraId="280B7F8D" w14:textId="4D02523A">
            <w:pPr>
              <w:tabs>
                <w:tab w:val="left" w:pos="436"/>
                <w:tab w:val="left" w:pos="1260"/>
              </w:tabs>
              <w:ind w:firstLine="526"/>
              <w:rPr>
                <w:bCs/>
              </w:rPr>
            </w:pPr>
            <w:r>
              <w:rPr>
                <w:bCs/>
              </w:rPr>
              <w:t>The rate of $2</w:t>
            </w:r>
            <w:r w:rsidR="00354321">
              <w:rPr>
                <w:bCs/>
              </w:rPr>
              <w:t>7</w:t>
            </w:r>
            <w:r>
              <w:rPr>
                <w:bCs/>
              </w:rPr>
              <w:t>0 per hour is slightly above the 2023 median rate for a Level 1 Attorney and well below the high end of the range, and supported by Ms. W</w:t>
            </w:r>
            <w:r w:rsidR="00887B45">
              <w:rPr>
                <w:bCs/>
              </w:rPr>
              <w:t>ebster</w:t>
            </w:r>
            <w:r>
              <w:rPr>
                <w:bCs/>
              </w:rPr>
              <w:t>’s background, experience, and education in areas of laws and procedures relevant to CPUC matters, including environmental law and utility regulations</w:t>
            </w:r>
            <w:r w:rsidR="004D2C9D">
              <w:rPr>
                <w:bCs/>
              </w:rPr>
              <w:t>.</w:t>
            </w:r>
          </w:p>
          <w:p w:rsidR="00AF4C3A" w:rsidP="00AF4C3A" w:rsidRDefault="00AF4C3A" w14:paraId="44CD2C26" w14:textId="3854C287">
            <w:pPr>
              <w:pStyle w:val="Default"/>
              <w:rPr>
                <w:sz w:val="23"/>
                <w:szCs w:val="23"/>
              </w:rPr>
            </w:pPr>
            <w:r>
              <w:rPr>
                <w:sz w:val="23"/>
                <w:szCs w:val="23"/>
              </w:rPr>
              <w:tab/>
              <w:t>Mr. Webster graduated from the University of San Diego School of Law in 2023 with Certificates of Specialization in Environmental Law</w:t>
            </w:r>
            <w:r w:rsidR="005119A6">
              <w:rPr>
                <w:sz w:val="23"/>
                <w:szCs w:val="23"/>
              </w:rPr>
              <w:t xml:space="preserve"> and </w:t>
            </w:r>
            <w:r>
              <w:rPr>
                <w:sz w:val="23"/>
                <w:szCs w:val="23"/>
              </w:rPr>
              <w:t>with a Bachelor of Arts in Environmental studies from The University of California at Santa Barbara in 2013.  Mr. Webster was a member of both the Journal of Climate and Energy Law and the Environmental Law Society</w:t>
            </w:r>
            <w:r w:rsidR="005119A6">
              <w:rPr>
                <w:sz w:val="23"/>
                <w:szCs w:val="23"/>
              </w:rPr>
              <w:t xml:space="preserve"> while in law school</w:t>
            </w:r>
            <w:r>
              <w:rPr>
                <w:sz w:val="23"/>
                <w:szCs w:val="23"/>
              </w:rPr>
              <w:t xml:space="preserve">. </w:t>
            </w:r>
          </w:p>
          <w:p w:rsidR="00A8448F" w:rsidP="00AF4C3A" w:rsidRDefault="00AF4C3A" w14:paraId="7AD3A888" w14:textId="6813D0EC">
            <w:pPr>
              <w:rPr>
                <w:sz w:val="23"/>
                <w:szCs w:val="23"/>
              </w:rPr>
            </w:pPr>
            <w:r>
              <w:rPr>
                <w:sz w:val="23"/>
                <w:szCs w:val="23"/>
              </w:rPr>
              <w:tab/>
              <w:t xml:space="preserve">During law school Mr. Webster obtained a variety of legal experience directly relevant to his work before the CPUC. Mr. Webster took classes relevant to environmental and energy law, such as Administrative Law, Energy Law and Policy, Environmental Law and Policy, and Water Law. Mr. Webster received the CALI Award (awarded to highest achiever) in his Energy Law and Policy Course. Mr. Webster was a member of the Energy Policy Initiative Center’s (EPIC) Environmental Law Clinic, in which he worked with the California Air Resources Board (CARB) on a confidential project. In Summer 2022, he interned with the Honorable Judge Ronald F. Frazier in </w:t>
            </w:r>
            <w:r w:rsidR="00A620D6">
              <w:rPr>
                <w:sz w:val="23"/>
                <w:szCs w:val="23"/>
              </w:rPr>
              <w:t xml:space="preserve">the </w:t>
            </w:r>
            <w:r>
              <w:rPr>
                <w:sz w:val="23"/>
                <w:szCs w:val="23"/>
              </w:rPr>
              <w:t xml:space="preserve">San Diego Superior Court, where he worked on CEQA litigation as well as Judge Frazier’s general course load. In Spring 2023, Mr. Webster interned with the Honorable Judge Thomas J. Whelan in the United States District Court for the Southern District of California. Mr. Webster’s extensive experience working alongside government agencies such as CARB, coupled with his experience working in both the State and Federal court system, provided him with directly relevant experience and </w:t>
            </w:r>
            <w:r w:rsidR="00DB2A04">
              <w:rPr>
                <w:sz w:val="23"/>
                <w:szCs w:val="23"/>
              </w:rPr>
              <w:t>makes him well position to meaningfully contribute to CPUC proceedings.</w:t>
            </w:r>
          </w:p>
          <w:p w:rsidR="00AF4C3A" w:rsidP="00AF4C3A" w:rsidRDefault="00AF4C3A" w14:paraId="75C498B5" w14:textId="77777777">
            <w:pPr>
              <w:rPr>
                <w:b/>
                <w:color w:val="000000"/>
              </w:rPr>
            </w:pPr>
          </w:p>
          <w:p w:rsidR="0003634A" w:rsidP="00AF4C3A" w:rsidRDefault="0003634A" w14:paraId="5613E8A1" w14:textId="3DF4EC0A">
            <w:pPr>
              <w:rPr>
                <w:b/>
                <w:color w:val="000000"/>
              </w:rPr>
            </w:pPr>
            <w:r>
              <w:rPr>
                <w:b/>
                <w:color w:val="000000"/>
              </w:rPr>
              <w:t>Mr. Webster’s 2023 Rate (</w:t>
            </w:r>
            <w:r w:rsidR="00362194">
              <w:rPr>
                <w:b/>
                <w:color w:val="000000"/>
              </w:rPr>
              <w:t xml:space="preserve">Pre-Bar </w:t>
            </w:r>
            <w:r>
              <w:rPr>
                <w:b/>
                <w:color w:val="000000"/>
              </w:rPr>
              <w:t>Law Fellow</w:t>
            </w:r>
            <w:r w:rsidR="00362194">
              <w:rPr>
                <w:b/>
                <w:color w:val="000000"/>
              </w:rPr>
              <w:t>)</w:t>
            </w:r>
            <w:r>
              <w:rPr>
                <w:b/>
                <w:color w:val="000000"/>
              </w:rPr>
              <w:t xml:space="preserve"> </w:t>
            </w:r>
            <w:r w:rsidR="004D18C0">
              <w:rPr>
                <w:b/>
                <w:color w:val="000000"/>
              </w:rPr>
              <w:t>($2</w:t>
            </w:r>
            <w:r w:rsidR="00B42312">
              <w:rPr>
                <w:b/>
                <w:color w:val="000000"/>
              </w:rPr>
              <w:t>0</w:t>
            </w:r>
            <w:r w:rsidR="004D18C0">
              <w:rPr>
                <w:b/>
                <w:color w:val="000000"/>
              </w:rPr>
              <w:t>5/hr):</w:t>
            </w:r>
          </w:p>
          <w:p w:rsidR="00AF4C3A" w:rsidP="00AF4C3A" w:rsidRDefault="00AF4C3A" w14:paraId="12236153" w14:textId="7BE5CC8C">
            <w:pPr>
              <w:tabs>
                <w:tab w:val="left" w:pos="436"/>
                <w:tab w:val="left" w:pos="1260"/>
              </w:tabs>
              <w:ind w:firstLine="526"/>
            </w:pPr>
            <w:r>
              <w:t xml:space="preserve">The requested rate </w:t>
            </w:r>
            <w:r w:rsidR="0023426E">
              <w:t>is</w:t>
            </w:r>
            <w:r>
              <w:t xml:space="preserve"> consistent with the Commission’s past decisions granting rates to </w:t>
            </w:r>
            <w:r w:rsidR="00E5703C">
              <w:t xml:space="preserve">Pre-Bar Law </w:t>
            </w:r>
            <w:r w:rsidR="00674FB6">
              <w:t>Graduates</w:t>
            </w:r>
            <w:r>
              <w:t xml:space="preserve"> with similar experience to Mr. Webster. </w:t>
            </w:r>
            <w:r w:rsidRPr="0042574B">
              <w:t xml:space="preserve">In 2021, the Commission approved a 2020 rate of $190 per hour for Rebecca Ruff, a law school graduate </w:t>
            </w:r>
            <w:r w:rsidR="004D18C0">
              <w:t>who was yet</w:t>
            </w:r>
            <w:r w:rsidR="00964044">
              <w:t xml:space="preserve"> to be admitted to the state bar and who had </w:t>
            </w:r>
            <w:r w:rsidRPr="0042574B">
              <w:t>comparable training and experience to M</w:t>
            </w:r>
            <w:r>
              <w:t>r. Webster</w:t>
            </w:r>
            <w:r w:rsidRPr="0042574B">
              <w:t xml:space="preserve"> (D.21-07-025, p. 20).</w:t>
            </w:r>
            <w:r w:rsidR="00387C28">
              <w:t xml:space="preserve"> Estimating directly from Rebecca Ruff’s 202</w:t>
            </w:r>
            <w:r w:rsidR="008871A1">
              <w:t>0</w:t>
            </w:r>
            <w:r w:rsidR="00387C28">
              <w:t xml:space="preserve"> rate of $190</w:t>
            </w:r>
            <w:r w:rsidR="00E81C43">
              <w:t xml:space="preserve"> per hour</w:t>
            </w:r>
            <w:r w:rsidRPr="0042574B">
              <w:t xml:space="preserve">, </w:t>
            </w:r>
            <w:r w:rsidR="00E81C43">
              <w:t>the rate after applying 2021-2023 escalation would</w:t>
            </w:r>
            <w:r w:rsidR="00F826A0">
              <w:t xml:space="preserve"> total $205 an hour. PCF arrived at this number by </w:t>
            </w:r>
            <w:r w:rsidRPr="0042574B">
              <w:t xml:space="preserve">utilizing the Commission’s </w:t>
            </w:r>
            <w:r w:rsidRPr="0042574B">
              <w:lastRenderedPageBreak/>
              <w:t xml:space="preserve">approved escalation rates and rounding to the </w:t>
            </w:r>
            <w:r w:rsidRPr="00851C30">
              <w:t>nearest five-dollar increment pursuant to the Commission’s established practice</w:t>
            </w:r>
            <w:r w:rsidR="00F415F2">
              <w:t xml:space="preserve"> (</w:t>
            </w:r>
            <w:r w:rsidRPr="00F415F2" w:rsidR="00F415F2">
              <w:t xml:space="preserve">2020 rate of $190 * 0% escalation = $190/ hour in 2021. 2021 rate of $190 * </w:t>
            </w:r>
            <w:r w:rsidR="00106E99">
              <w:t>1.0</w:t>
            </w:r>
            <w:r w:rsidRPr="00F415F2" w:rsidR="00F415F2">
              <w:t xml:space="preserve">331 escalation in 2022 = $196.29/ hour in 2022. 2022 rate of $196.29 * </w:t>
            </w:r>
            <w:r w:rsidR="00C11563">
              <w:t>1.04</w:t>
            </w:r>
            <w:r w:rsidRPr="00F415F2" w:rsidR="00F415F2">
              <w:t>46 escalation in 2023 = $205/hour in 2023</w:t>
            </w:r>
            <w:r w:rsidR="00F415F2">
              <w:t>)</w:t>
            </w:r>
            <w:r w:rsidRPr="00851C30">
              <w:t xml:space="preserve">. </w:t>
            </w:r>
            <w:r w:rsidR="006F6100">
              <w:t xml:space="preserve">Thus, </w:t>
            </w:r>
            <w:r w:rsidRPr="00851C30">
              <w:t>M</w:t>
            </w:r>
            <w:r w:rsidR="006F6100">
              <w:t>r</w:t>
            </w:r>
            <w:r w:rsidRPr="00851C30">
              <w:t>. W</w:t>
            </w:r>
            <w:r w:rsidR="006F6100">
              <w:t>ebster’s</w:t>
            </w:r>
            <w:r w:rsidRPr="00851C30">
              <w:t xml:space="preserve"> requested rate of $2</w:t>
            </w:r>
            <w:r w:rsidR="00F415F2">
              <w:t>0</w:t>
            </w:r>
            <w:r w:rsidRPr="00851C30">
              <w:t>5 per hour in 2023 is reasonable</w:t>
            </w:r>
            <w:r w:rsidR="007A2383">
              <w:t xml:space="preserve"> when compared to past Commission decisions</w:t>
            </w:r>
            <w:r w:rsidRPr="00851C30">
              <w:t>, especially given M</w:t>
            </w:r>
            <w:r w:rsidR="006F6100">
              <w:t>r</w:t>
            </w:r>
            <w:r w:rsidRPr="00851C30">
              <w:t>. W</w:t>
            </w:r>
            <w:r w:rsidR="006F6100">
              <w:t>ebster</w:t>
            </w:r>
            <w:r w:rsidRPr="00851C30">
              <w:t xml:space="preserve">’s experience in legal areas related to the CPUC which are summarized </w:t>
            </w:r>
            <w:r w:rsidR="00933972">
              <w:t>above</w:t>
            </w:r>
            <w:r w:rsidRPr="00851C30">
              <w:t xml:space="preserve">. </w:t>
            </w:r>
          </w:p>
          <w:p w:rsidR="00546B44" w:rsidP="00AF4C3A" w:rsidRDefault="00546B44" w14:paraId="2F8F90BF" w14:textId="77777777">
            <w:pPr>
              <w:tabs>
                <w:tab w:val="left" w:pos="436"/>
                <w:tab w:val="left" w:pos="1260"/>
              </w:tabs>
              <w:ind w:firstLine="526"/>
              <w:rPr>
                <w:bCs/>
              </w:rPr>
            </w:pPr>
          </w:p>
          <w:p w:rsidR="00546B44" w:rsidP="00546B44" w:rsidRDefault="00546B44" w14:paraId="669D424F" w14:textId="741B1663">
            <w:pPr>
              <w:tabs>
                <w:tab w:val="left" w:pos="436"/>
                <w:tab w:val="left" w:pos="1260"/>
              </w:tabs>
              <w:rPr>
                <w:b/>
              </w:rPr>
            </w:pPr>
            <w:r w:rsidRPr="00546B44">
              <w:rPr>
                <w:b/>
              </w:rPr>
              <w:t>Mr. Webster’s 2024 Rate (Attorney 0-1 Year)</w:t>
            </w:r>
            <w:r>
              <w:rPr>
                <w:b/>
              </w:rPr>
              <w:t>:</w:t>
            </w:r>
          </w:p>
          <w:p w:rsidRPr="00546B44" w:rsidR="00546B44" w:rsidP="00546B44" w:rsidRDefault="006A1075" w14:paraId="29453E0F" w14:textId="24769893">
            <w:pPr>
              <w:tabs>
                <w:tab w:val="left" w:pos="436"/>
                <w:tab w:val="left" w:pos="1260"/>
              </w:tabs>
              <w:rPr>
                <w:bCs/>
              </w:rPr>
            </w:pPr>
            <w:r>
              <w:rPr>
                <w:bCs/>
              </w:rPr>
              <w:t xml:space="preserve">To calculate Mr. Webster’s 2024 rate, PCF utilized the Commission approved COLA </w:t>
            </w:r>
            <w:r w:rsidR="008D70B1">
              <w:rPr>
                <w:bCs/>
              </w:rPr>
              <w:t>for 2024. Given a 2023 rate of $270/hr</w:t>
            </w:r>
            <w:r w:rsidR="00B040C5">
              <w:rPr>
                <w:bCs/>
              </w:rPr>
              <w:t xml:space="preserve"> and an escalation of 4.07%</w:t>
            </w:r>
            <w:r w:rsidR="008D70B1">
              <w:rPr>
                <w:bCs/>
              </w:rPr>
              <w:t xml:space="preserve">, </w:t>
            </w:r>
            <w:r w:rsidR="002A0DFB">
              <w:rPr>
                <w:bCs/>
              </w:rPr>
              <w:t>PCF requests a rate of $280/hr for 2024 for Mr. Webster (270*1.04</w:t>
            </w:r>
            <w:r w:rsidR="00B040C5">
              <w:rPr>
                <w:bCs/>
              </w:rPr>
              <w:t>07</w:t>
            </w:r>
            <w:r w:rsidR="00EC6672">
              <w:rPr>
                <w:bCs/>
              </w:rPr>
              <w:t xml:space="preserve">=280.99, which equals 280 when rounded to nearest 5). </w:t>
            </w:r>
          </w:p>
          <w:p w:rsidRPr="007F620E" w:rsidR="00AF4C3A" w:rsidP="00AF4C3A" w:rsidRDefault="00AF4C3A" w14:paraId="4E7283AF" w14:textId="57C79E8C">
            <w:pPr>
              <w:rPr>
                <w:b/>
                <w:color w:val="000000"/>
              </w:rPr>
            </w:pPr>
          </w:p>
        </w:tc>
      </w:tr>
    </w:tbl>
    <w:p w:rsidRPr="007F620E" w:rsidR="00A92D0B" w:rsidP="005B5B44" w:rsidRDefault="00A92D0B" w14:paraId="0D8B7003" w14:textId="19307567">
      <w:pPr>
        <w:keepNext/>
        <w:numPr>
          <w:ilvl w:val="0"/>
          <w:numId w:val="9"/>
        </w:numPr>
        <w:spacing w:before="240" w:after="240"/>
        <w:rPr>
          <w:b/>
          <w:color w:val="000000"/>
        </w:rPr>
      </w:pPr>
      <w:r w:rsidRPr="007F620E">
        <w:rPr>
          <w:b/>
          <w:color w:val="000000"/>
        </w:rPr>
        <w:lastRenderedPageBreak/>
        <w:t xml:space="preserve">CPUC </w:t>
      </w:r>
      <w:r w:rsidR="008C09F7">
        <w:rPr>
          <w:b/>
          <w:color w:val="000000"/>
        </w:rPr>
        <w:t xml:space="preserve">Comments, </w:t>
      </w:r>
      <w:r w:rsidRPr="007F620E">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Pr>
          <w:b/>
          <w:color w:val="000000"/>
        </w:rPr>
        <w:t>Adjustments</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16"/>
        <w:gridCol w:w="7744"/>
      </w:tblGrid>
      <w:tr w:rsidRPr="007F620E" w:rsidR="00A92D0B" w:rsidTr="00E07566" w14:paraId="52CD0603" w14:textId="77777777">
        <w:trPr>
          <w:tblHeader/>
        </w:trPr>
        <w:tc>
          <w:tcPr>
            <w:tcW w:w="1616"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744"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E07566" w14:paraId="69DEE01C" w14:textId="77777777">
        <w:tc>
          <w:tcPr>
            <w:tcW w:w="1616" w:type="dxa"/>
            <w:shd w:val="clear" w:color="auto" w:fill="auto"/>
          </w:tcPr>
          <w:p w:rsidRPr="007F620E" w:rsidR="00A92D0B" w:rsidP="00EB64CF" w:rsidRDefault="0082328B" w14:paraId="1E6C8F3D" w14:textId="0F7D3F13">
            <w:pPr>
              <w:tabs>
                <w:tab w:val="left" w:pos="1440"/>
              </w:tabs>
              <w:rPr>
                <w:color w:val="000000"/>
              </w:rPr>
            </w:pPr>
            <w:r>
              <w:rPr>
                <w:color w:val="000000"/>
              </w:rPr>
              <w:t xml:space="preserve">[1] </w:t>
            </w:r>
            <w:r w:rsidR="00720CFE">
              <w:rPr>
                <w:color w:val="000000"/>
              </w:rPr>
              <w:t>Dickenson’s 2023 Hourly Rate</w:t>
            </w:r>
          </w:p>
        </w:tc>
        <w:tc>
          <w:tcPr>
            <w:tcW w:w="7744" w:type="dxa"/>
            <w:shd w:val="clear" w:color="auto" w:fill="auto"/>
          </w:tcPr>
          <w:p w:rsidR="00945DD2" w:rsidP="00EB64CF" w:rsidRDefault="00193175" w14:paraId="57184937" w14:textId="77777777">
            <w:pPr>
              <w:tabs>
                <w:tab w:val="left" w:pos="1440"/>
              </w:tabs>
              <w:rPr>
                <w:color w:val="000000"/>
              </w:rPr>
            </w:pPr>
            <w:r w:rsidRPr="00193175">
              <w:rPr>
                <w:color w:val="000000"/>
              </w:rPr>
              <w:t>D.24-03-030 approved a 2023 hourly rate of $635.00 for Dickenson.</w:t>
            </w:r>
            <w:r w:rsidR="00A47128">
              <w:rPr>
                <w:color w:val="000000"/>
              </w:rPr>
              <w:t xml:space="preserve"> </w:t>
            </w:r>
          </w:p>
          <w:p w:rsidR="00945DD2" w:rsidP="00EB64CF" w:rsidRDefault="00945DD2" w14:paraId="594A4090" w14:textId="77777777">
            <w:pPr>
              <w:tabs>
                <w:tab w:val="left" w:pos="1440"/>
              </w:tabs>
              <w:rPr>
                <w:color w:val="000000"/>
              </w:rPr>
            </w:pPr>
          </w:p>
          <w:p w:rsidRPr="007F620E" w:rsidR="00A92D0B" w:rsidP="00EB64CF" w:rsidRDefault="00335A7F" w14:paraId="45BFCB16" w14:textId="256BBB57">
            <w:pPr>
              <w:tabs>
                <w:tab w:val="left" w:pos="1440"/>
              </w:tabs>
              <w:rPr>
                <w:color w:val="000000"/>
              </w:rPr>
            </w:pPr>
            <w:r>
              <w:rPr>
                <w:color w:val="000000"/>
              </w:rPr>
              <w:t>PCF</w:t>
            </w:r>
            <w:r w:rsidR="00945DD2">
              <w:rPr>
                <w:color w:val="000000"/>
              </w:rPr>
              <w:t xml:space="preserve"> requests a new classification for Dickenson. </w:t>
            </w:r>
            <w:r w:rsidRPr="00193175" w:rsidR="00193175">
              <w:rPr>
                <w:color w:val="000000"/>
              </w:rPr>
              <w:t>Following the review of Dickenson’s resume, we continue to classify Dickenson as Legal</w:t>
            </w:r>
            <w:r w:rsidR="00193175">
              <w:rPr>
                <w:color w:val="000000"/>
              </w:rPr>
              <w:t xml:space="preserve"> </w:t>
            </w:r>
            <w:r w:rsidRPr="00193175" w:rsidR="00193175">
              <w:rPr>
                <w:color w:val="000000"/>
              </w:rPr>
              <w:t xml:space="preserve">Director IV. We note </w:t>
            </w:r>
            <w:r w:rsidR="0076106A">
              <w:rPr>
                <w:color w:val="000000"/>
              </w:rPr>
              <w:t>the Commission has not applied any</w:t>
            </w:r>
            <w:r w:rsidRPr="00193175" w:rsidR="00193175">
              <w:rPr>
                <w:color w:val="000000"/>
              </w:rPr>
              <w:t xml:space="preserve"> step increase</w:t>
            </w:r>
            <w:r w:rsidR="00601C20">
              <w:rPr>
                <w:color w:val="000000"/>
              </w:rPr>
              <w:t>s</w:t>
            </w:r>
            <w:r w:rsidRPr="00193175" w:rsidR="00193175">
              <w:rPr>
                <w:color w:val="000000"/>
              </w:rPr>
              <w:t xml:space="preserve"> for Dickenson as a Legal Director IV. </w:t>
            </w:r>
            <w:r w:rsidR="00601C20">
              <w:rPr>
                <w:color w:val="000000"/>
              </w:rPr>
              <w:t>We</w:t>
            </w:r>
            <w:r w:rsidRPr="00193175" w:rsidR="00193175">
              <w:rPr>
                <w:color w:val="000000"/>
              </w:rPr>
              <w:t xml:space="preserve"> remind</w:t>
            </w:r>
            <w:r w:rsidR="006F66C9">
              <w:rPr>
                <w:color w:val="000000"/>
              </w:rPr>
              <w:t xml:space="preserve"> </w:t>
            </w:r>
            <w:r w:rsidR="00601C20">
              <w:rPr>
                <w:color w:val="000000"/>
              </w:rPr>
              <w:t>PCF that</w:t>
            </w:r>
            <w:r w:rsidRPr="00193175" w:rsidR="00193175">
              <w:rPr>
                <w:color w:val="000000"/>
              </w:rPr>
              <w:t xml:space="preserve"> the Commission allows individuals an annual 5% “step increase” twice within each labor role, upon request. </w:t>
            </w:r>
            <w:r w:rsidRPr="00315BB3" w:rsidR="00193175">
              <w:rPr>
                <w:i/>
                <w:iCs/>
                <w:color w:val="000000"/>
              </w:rPr>
              <w:t>See</w:t>
            </w:r>
            <w:r w:rsidRPr="00193175" w:rsidR="00193175">
              <w:rPr>
                <w:color w:val="000000"/>
              </w:rPr>
              <w:t xml:space="preserve"> D.07-01-009 at page 1.</w:t>
            </w:r>
          </w:p>
        </w:tc>
      </w:tr>
      <w:tr w:rsidRPr="007F620E" w:rsidR="00A92D0B" w:rsidTr="00E07566" w14:paraId="52155EFC" w14:textId="77777777">
        <w:tc>
          <w:tcPr>
            <w:tcW w:w="1616" w:type="dxa"/>
            <w:shd w:val="clear" w:color="auto" w:fill="auto"/>
          </w:tcPr>
          <w:p w:rsidRPr="007F620E" w:rsidR="00A92D0B" w:rsidP="00EB64CF" w:rsidRDefault="0082328B" w14:paraId="26487933" w14:textId="69F17BDE">
            <w:pPr>
              <w:tabs>
                <w:tab w:val="left" w:pos="1440"/>
              </w:tabs>
              <w:rPr>
                <w:color w:val="000000"/>
              </w:rPr>
            </w:pPr>
            <w:r>
              <w:rPr>
                <w:color w:val="000000"/>
              </w:rPr>
              <w:t xml:space="preserve">[2] </w:t>
            </w:r>
            <w:r w:rsidR="00720CFE">
              <w:rPr>
                <w:color w:val="000000"/>
              </w:rPr>
              <w:t>Dickenson’s 2024 Hourly Rate</w:t>
            </w:r>
          </w:p>
        </w:tc>
        <w:tc>
          <w:tcPr>
            <w:tcW w:w="7744" w:type="dxa"/>
            <w:shd w:val="clear" w:color="auto" w:fill="auto"/>
          </w:tcPr>
          <w:p w:rsidRPr="007F620E" w:rsidR="00A92D0B" w:rsidP="000B6E33" w:rsidRDefault="00A07F71" w14:paraId="455E6A00" w14:textId="730FB5D3">
            <w:pPr>
              <w:tabs>
                <w:tab w:val="left" w:pos="1440"/>
              </w:tabs>
              <w:rPr>
                <w:color w:val="000000"/>
              </w:rPr>
            </w:pPr>
            <w:r w:rsidRPr="00193175">
              <w:rPr>
                <w:color w:val="000000"/>
              </w:rPr>
              <w:t>D.24-03-030 approved a 2023 hourly rate of $635.00 for Dickenson.</w:t>
            </w:r>
            <w:r>
              <w:rPr>
                <w:color w:val="000000"/>
              </w:rPr>
              <w:t xml:space="preserve"> </w:t>
            </w:r>
            <w:r w:rsidR="000B6E33">
              <w:rPr>
                <w:color w:val="000000"/>
              </w:rPr>
              <w:t xml:space="preserve">We </w:t>
            </w:r>
            <w:r w:rsidRPr="008452A9" w:rsidR="008452A9">
              <w:rPr>
                <w:color w:val="000000"/>
              </w:rPr>
              <w:t xml:space="preserve">apply the 2024 escalation factor of 4.07% to </w:t>
            </w:r>
            <w:r w:rsidR="00733269">
              <w:rPr>
                <w:color w:val="000000"/>
              </w:rPr>
              <w:t>the</w:t>
            </w:r>
            <w:r w:rsidRPr="008452A9" w:rsidR="008452A9">
              <w:rPr>
                <w:color w:val="000000"/>
              </w:rPr>
              <w:t xml:space="preserve"> 2023 rate, resulting in a 2024 rate of $660.00 for Dickenson.</w:t>
            </w:r>
          </w:p>
        </w:tc>
      </w:tr>
      <w:tr w:rsidRPr="007F620E" w:rsidR="00720CFE" w:rsidTr="00E07566" w14:paraId="786F3216" w14:textId="77777777">
        <w:tc>
          <w:tcPr>
            <w:tcW w:w="1616" w:type="dxa"/>
            <w:shd w:val="clear" w:color="auto" w:fill="auto"/>
          </w:tcPr>
          <w:p w:rsidR="00720CFE" w:rsidP="00EB64CF" w:rsidRDefault="007C7112" w14:paraId="50A6FF0B" w14:textId="64F35FA7">
            <w:pPr>
              <w:tabs>
                <w:tab w:val="left" w:pos="1440"/>
              </w:tabs>
              <w:rPr>
                <w:color w:val="000000"/>
              </w:rPr>
            </w:pPr>
            <w:r>
              <w:rPr>
                <w:color w:val="000000"/>
              </w:rPr>
              <w:t xml:space="preserve">[3] </w:t>
            </w:r>
            <w:r w:rsidR="00720CFE">
              <w:rPr>
                <w:color w:val="000000"/>
              </w:rPr>
              <w:t>Webster’s 2023 Hourly Rates</w:t>
            </w:r>
          </w:p>
        </w:tc>
        <w:tc>
          <w:tcPr>
            <w:tcW w:w="7744" w:type="dxa"/>
            <w:shd w:val="clear" w:color="auto" w:fill="auto"/>
          </w:tcPr>
          <w:p w:rsidRPr="008452A9" w:rsidR="008452A9" w:rsidP="008452A9" w:rsidRDefault="008452A9" w14:paraId="4C5F5195" w14:textId="3AF4399E">
            <w:pPr>
              <w:tabs>
                <w:tab w:val="left" w:pos="1440"/>
              </w:tabs>
              <w:rPr>
                <w:color w:val="000000"/>
              </w:rPr>
            </w:pPr>
            <w:r w:rsidRPr="008452A9">
              <w:rPr>
                <w:color w:val="000000"/>
              </w:rPr>
              <w:t xml:space="preserve">PCF requests </w:t>
            </w:r>
            <w:r w:rsidR="00113DE5">
              <w:rPr>
                <w:color w:val="000000"/>
              </w:rPr>
              <w:t>two</w:t>
            </w:r>
            <w:r w:rsidRPr="008452A9" w:rsidR="00113DE5">
              <w:rPr>
                <w:color w:val="000000"/>
              </w:rPr>
              <w:t xml:space="preserve"> </w:t>
            </w:r>
            <w:r w:rsidRPr="008452A9">
              <w:rPr>
                <w:color w:val="000000"/>
              </w:rPr>
              <w:t>2023 rates within this claim for Webster</w:t>
            </w:r>
            <w:r w:rsidR="00050589">
              <w:rPr>
                <w:color w:val="000000"/>
              </w:rPr>
              <w:t>, one rate</w:t>
            </w:r>
            <w:r w:rsidRPr="008452A9">
              <w:rPr>
                <w:color w:val="000000"/>
              </w:rPr>
              <w:t xml:space="preserve"> as a </w:t>
            </w:r>
            <w:r w:rsidR="004029F4">
              <w:rPr>
                <w:color w:val="000000"/>
              </w:rPr>
              <w:t>l</w:t>
            </w:r>
            <w:r w:rsidRPr="008452A9">
              <w:rPr>
                <w:color w:val="000000"/>
              </w:rPr>
              <w:t xml:space="preserve">aw </w:t>
            </w:r>
            <w:r w:rsidR="004029F4">
              <w:rPr>
                <w:color w:val="000000"/>
              </w:rPr>
              <w:t>f</w:t>
            </w:r>
            <w:r w:rsidRPr="008452A9">
              <w:rPr>
                <w:color w:val="000000"/>
              </w:rPr>
              <w:t>ellow and</w:t>
            </w:r>
            <w:r w:rsidR="00050589">
              <w:rPr>
                <w:color w:val="000000"/>
              </w:rPr>
              <w:t xml:space="preserve"> one rate as an</w:t>
            </w:r>
            <w:r w:rsidRPr="008452A9">
              <w:rPr>
                <w:color w:val="000000"/>
              </w:rPr>
              <w:t xml:space="preserve"> attorney. We find it reasonable to establish a pre-CA BAR rate and post-CA BAR rate for Webster</w:t>
            </w:r>
            <w:r w:rsidR="00050589">
              <w:rPr>
                <w:color w:val="000000"/>
              </w:rPr>
              <w:t xml:space="preserve"> in 2023</w:t>
            </w:r>
            <w:r w:rsidRPr="008452A9">
              <w:rPr>
                <w:color w:val="000000"/>
              </w:rPr>
              <w:t>.</w:t>
            </w:r>
            <w:r w:rsidRPr="008452A9" w:rsidR="00B57AE8">
              <w:rPr>
                <w:color w:val="000000"/>
              </w:rPr>
              <w:t xml:space="preserve"> Webster received a bachelor’s degree in environmental studies from U.C. Santa Barbara and a Juris Doctor from </w:t>
            </w:r>
            <w:r w:rsidR="00B57AE8">
              <w:rPr>
                <w:color w:val="000000"/>
              </w:rPr>
              <w:t xml:space="preserve">the </w:t>
            </w:r>
            <w:r w:rsidRPr="008452A9" w:rsidR="00B57AE8">
              <w:rPr>
                <w:color w:val="000000"/>
              </w:rPr>
              <w:t>University of San Diego</w:t>
            </w:r>
            <w:r w:rsidR="00B57AE8">
              <w:rPr>
                <w:color w:val="000000"/>
              </w:rPr>
              <w:t>,</w:t>
            </w:r>
            <w:r w:rsidRPr="008452A9" w:rsidR="00B57AE8">
              <w:rPr>
                <w:color w:val="000000"/>
              </w:rPr>
              <w:t xml:space="preserve"> School of Law in May 2023.</w:t>
            </w:r>
          </w:p>
          <w:p w:rsidRPr="008452A9" w:rsidR="008452A9" w:rsidP="008452A9" w:rsidRDefault="008452A9" w14:paraId="7FC9A335" w14:textId="77777777">
            <w:pPr>
              <w:tabs>
                <w:tab w:val="left" w:pos="1440"/>
              </w:tabs>
              <w:rPr>
                <w:color w:val="000000"/>
              </w:rPr>
            </w:pPr>
          </w:p>
          <w:p w:rsidRPr="008452A9" w:rsidR="008452A9" w:rsidP="008452A9" w:rsidRDefault="008452A9" w14:paraId="75871F89" w14:textId="66536164">
            <w:pPr>
              <w:tabs>
                <w:tab w:val="left" w:pos="1440"/>
              </w:tabs>
              <w:rPr>
                <w:color w:val="000000"/>
              </w:rPr>
            </w:pPr>
            <w:r w:rsidRPr="008452A9">
              <w:rPr>
                <w:color w:val="000000"/>
              </w:rPr>
              <w:t xml:space="preserve">Prior to passing the CA-BAR, Webster gained </w:t>
            </w:r>
            <w:r w:rsidR="00B15603">
              <w:rPr>
                <w:color w:val="000000"/>
              </w:rPr>
              <w:t>a</w:t>
            </w:r>
            <w:r w:rsidR="0050684C">
              <w:rPr>
                <w:color w:val="000000"/>
              </w:rPr>
              <w:t>pproximately</w:t>
            </w:r>
            <w:r w:rsidRPr="008452A9">
              <w:rPr>
                <w:color w:val="000000"/>
              </w:rPr>
              <w:t xml:space="preserve"> </w:t>
            </w:r>
            <w:r w:rsidR="00EC1823">
              <w:rPr>
                <w:color w:val="000000"/>
              </w:rPr>
              <w:t>one</w:t>
            </w:r>
            <w:r w:rsidRPr="008452A9">
              <w:rPr>
                <w:color w:val="000000"/>
              </w:rPr>
              <w:t xml:space="preserve"> year of experience in various roles such as a student attorney, judicial extern, and law fellow. We classify Webster’s pre-BAR work as </w:t>
            </w:r>
            <w:r w:rsidRPr="008452A9" w:rsidR="00750C16">
              <w:rPr>
                <w:color w:val="000000"/>
              </w:rPr>
              <w:t>a Legal</w:t>
            </w:r>
            <w:r w:rsidRPr="008452A9">
              <w:rPr>
                <w:color w:val="000000"/>
              </w:rPr>
              <w:t xml:space="preserve"> - Paralegal - Level I (0-1 years)</w:t>
            </w:r>
            <w:r w:rsidR="00B40C64">
              <w:rPr>
                <w:color w:val="000000"/>
              </w:rPr>
              <w:t xml:space="preserve"> with the r</w:t>
            </w:r>
            <w:r w:rsidRPr="008452A9">
              <w:rPr>
                <w:color w:val="000000"/>
              </w:rPr>
              <w:t xml:space="preserve">ate </w:t>
            </w:r>
            <w:r w:rsidR="00B40C64">
              <w:rPr>
                <w:color w:val="000000"/>
              </w:rPr>
              <w:t xml:space="preserve">range </w:t>
            </w:r>
            <w:r w:rsidRPr="008452A9">
              <w:rPr>
                <w:color w:val="000000"/>
              </w:rPr>
              <w:t xml:space="preserve">of $97.52 - $150.48. We approve a 2023 </w:t>
            </w:r>
            <w:r w:rsidRPr="008452A9">
              <w:rPr>
                <w:color w:val="000000"/>
              </w:rPr>
              <w:lastRenderedPageBreak/>
              <w:t>hourly rate of $150.00 for Webster’s pre-CA BAR rate. This is the highest possible rate for a paralegal with under two years of experience.</w:t>
            </w:r>
          </w:p>
          <w:p w:rsidRPr="008452A9" w:rsidR="008452A9" w:rsidP="008452A9" w:rsidRDefault="008452A9" w14:paraId="5BD1D190" w14:textId="77777777">
            <w:pPr>
              <w:tabs>
                <w:tab w:val="left" w:pos="1440"/>
              </w:tabs>
              <w:rPr>
                <w:color w:val="000000"/>
              </w:rPr>
            </w:pPr>
          </w:p>
          <w:p w:rsidRPr="007F620E" w:rsidR="00720CFE" w:rsidP="008452A9" w:rsidRDefault="008452A9" w14:paraId="31933BF0" w14:textId="1BE942CC">
            <w:pPr>
              <w:tabs>
                <w:tab w:val="left" w:pos="1440"/>
              </w:tabs>
              <w:rPr>
                <w:color w:val="000000"/>
              </w:rPr>
            </w:pPr>
            <w:r w:rsidRPr="008452A9">
              <w:rPr>
                <w:color w:val="000000"/>
              </w:rPr>
              <w:t xml:space="preserve">Webster was admitted to the CA-BAR on December 5, 2023, and since then has practiced with PCF as a staff attorney. </w:t>
            </w:r>
            <w:r w:rsidR="00B57AE8">
              <w:rPr>
                <w:color w:val="000000"/>
              </w:rPr>
              <w:t>T</w:t>
            </w:r>
            <w:r w:rsidRPr="008452A9">
              <w:rPr>
                <w:color w:val="000000"/>
              </w:rPr>
              <w:t>he 2023</w:t>
            </w:r>
            <w:r w:rsidR="00B57AE8">
              <w:rPr>
                <w:color w:val="000000"/>
              </w:rPr>
              <w:t xml:space="preserve"> rate</w:t>
            </w:r>
            <w:r w:rsidRPr="008452A9">
              <w:rPr>
                <w:color w:val="000000"/>
              </w:rPr>
              <w:t xml:space="preserve"> range for Legal - Attorney - I (0-1 years) is $193.45 - $317.95. We approve a 2023 hourly rate of $270.00 for Webster’s p</w:t>
            </w:r>
            <w:r w:rsidR="0085560A">
              <w:rPr>
                <w:color w:val="000000"/>
              </w:rPr>
              <w:t>ost</w:t>
            </w:r>
            <w:r w:rsidRPr="008452A9">
              <w:rPr>
                <w:color w:val="000000"/>
              </w:rPr>
              <w:t xml:space="preserve">-BAR experience. </w:t>
            </w:r>
          </w:p>
        </w:tc>
      </w:tr>
      <w:tr w:rsidRPr="007F620E" w:rsidR="00720CFE" w:rsidTr="00E07566" w14:paraId="4E523404" w14:textId="77777777">
        <w:tc>
          <w:tcPr>
            <w:tcW w:w="1616" w:type="dxa"/>
            <w:shd w:val="clear" w:color="auto" w:fill="auto"/>
          </w:tcPr>
          <w:p w:rsidR="00720CFE" w:rsidP="00EB64CF" w:rsidRDefault="007C7112" w14:paraId="5983FDDD" w14:textId="3688E3DC">
            <w:pPr>
              <w:tabs>
                <w:tab w:val="left" w:pos="1440"/>
              </w:tabs>
              <w:rPr>
                <w:color w:val="000000"/>
              </w:rPr>
            </w:pPr>
            <w:r>
              <w:rPr>
                <w:color w:val="000000"/>
              </w:rPr>
              <w:lastRenderedPageBreak/>
              <w:t xml:space="preserve">[4] </w:t>
            </w:r>
            <w:r w:rsidR="00720CFE">
              <w:rPr>
                <w:color w:val="000000"/>
              </w:rPr>
              <w:t>Webster’s 2024 Hourly Rate</w:t>
            </w:r>
          </w:p>
        </w:tc>
        <w:tc>
          <w:tcPr>
            <w:tcW w:w="7744" w:type="dxa"/>
            <w:shd w:val="clear" w:color="auto" w:fill="auto"/>
          </w:tcPr>
          <w:p w:rsidRPr="007F620E" w:rsidR="00720CFE" w:rsidP="00EB64CF" w:rsidRDefault="00F34B16" w14:paraId="37AEF74E" w14:textId="6DC9184A">
            <w:pPr>
              <w:tabs>
                <w:tab w:val="left" w:pos="1440"/>
              </w:tabs>
              <w:rPr>
                <w:color w:val="000000"/>
              </w:rPr>
            </w:pPr>
            <w:r>
              <w:rPr>
                <w:color w:val="000000"/>
              </w:rPr>
              <w:t>W</w:t>
            </w:r>
            <w:r w:rsidRPr="001E4686" w:rsidR="001E4686">
              <w:rPr>
                <w:color w:val="000000"/>
              </w:rPr>
              <w:t xml:space="preserve">e apply the 2024 escalation factor of 4.07% to </w:t>
            </w:r>
            <w:r>
              <w:rPr>
                <w:color w:val="000000"/>
              </w:rPr>
              <w:t>Webster’s</w:t>
            </w:r>
            <w:r w:rsidRPr="001E4686">
              <w:rPr>
                <w:color w:val="000000"/>
              </w:rPr>
              <w:t xml:space="preserve"> </w:t>
            </w:r>
            <w:r w:rsidRPr="001E4686" w:rsidR="001E4686">
              <w:rPr>
                <w:color w:val="000000"/>
              </w:rPr>
              <w:t>2023 rate</w:t>
            </w:r>
            <w:r>
              <w:rPr>
                <w:color w:val="000000"/>
              </w:rPr>
              <w:t xml:space="preserve"> as an Attorney - I</w:t>
            </w:r>
            <w:r w:rsidRPr="001E4686" w:rsidR="001E4686">
              <w:rPr>
                <w:color w:val="000000"/>
              </w:rPr>
              <w:t>, resulting in a 2024 rate of $</w:t>
            </w:r>
            <w:r w:rsidR="00674543">
              <w:rPr>
                <w:color w:val="000000"/>
              </w:rPr>
              <w:t>280</w:t>
            </w:r>
            <w:r w:rsidRPr="001E4686" w:rsidR="001E4686">
              <w:rPr>
                <w:color w:val="000000"/>
              </w:rPr>
              <w:t xml:space="preserve">.00 for </w:t>
            </w:r>
            <w:r w:rsidR="00674543">
              <w:rPr>
                <w:color w:val="000000"/>
              </w:rPr>
              <w:t>Webster</w:t>
            </w:r>
            <w:r w:rsidRPr="001E4686" w:rsidR="001E4686">
              <w:rPr>
                <w:color w:val="000000"/>
              </w:rPr>
              <w:t>.</w:t>
            </w:r>
          </w:p>
        </w:tc>
      </w:tr>
      <w:tr w:rsidRPr="007F620E" w:rsidR="00720CFE" w:rsidTr="00E07566" w14:paraId="734416C1" w14:textId="77777777">
        <w:tc>
          <w:tcPr>
            <w:tcW w:w="1616" w:type="dxa"/>
            <w:shd w:val="clear" w:color="auto" w:fill="auto"/>
          </w:tcPr>
          <w:p w:rsidR="00720CFE" w:rsidP="00EB64CF" w:rsidRDefault="007C7112" w14:paraId="0FF35545" w14:textId="458B25B2">
            <w:pPr>
              <w:tabs>
                <w:tab w:val="left" w:pos="1440"/>
              </w:tabs>
              <w:rPr>
                <w:color w:val="000000"/>
              </w:rPr>
            </w:pPr>
            <w:r>
              <w:rPr>
                <w:color w:val="000000"/>
              </w:rPr>
              <w:t xml:space="preserve">[5] </w:t>
            </w:r>
            <w:r w:rsidR="004A5929">
              <w:rPr>
                <w:color w:val="000000"/>
              </w:rPr>
              <w:t xml:space="preserve">Webster’s </w:t>
            </w:r>
            <w:r w:rsidR="00622A80">
              <w:rPr>
                <w:color w:val="000000"/>
              </w:rPr>
              <w:t xml:space="preserve">2023 </w:t>
            </w:r>
            <w:r w:rsidR="0028723B">
              <w:rPr>
                <w:color w:val="000000"/>
              </w:rPr>
              <w:t xml:space="preserve">Pre-BAR </w:t>
            </w:r>
            <w:r w:rsidR="00622A80">
              <w:rPr>
                <w:color w:val="000000"/>
              </w:rPr>
              <w:t>Disallowance</w:t>
            </w:r>
          </w:p>
        </w:tc>
        <w:tc>
          <w:tcPr>
            <w:tcW w:w="7744" w:type="dxa"/>
            <w:shd w:val="clear" w:color="auto" w:fill="auto"/>
          </w:tcPr>
          <w:p w:rsidR="00720CFE" w:rsidP="00EB64CF" w:rsidRDefault="00B16D10" w14:paraId="22B34C07" w14:textId="316659AC">
            <w:pPr>
              <w:tabs>
                <w:tab w:val="left" w:pos="1440"/>
              </w:tabs>
              <w:rPr>
                <w:color w:val="000000"/>
              </w:rPr>
            </w:pPr>
            <w:r>
              <w:rPr>
                <w:color w:val="000000"/>
              </w:rPr>
              <w:t>Webster’s</w:t>
            </w:r>
            <w:r w:rsidR="00623794">
              <w:rPr>
                <w:color w:val="000000"/>
              </w:rPr>
              <w:t xml:space="preserve"> </w:t>
            </w:r>
            <w:r w:rsidRPr="00B16D10">
              <w:rPr>
                <w:color w:val="000000"/>
              </w:rPr>
              <w:t>202</w:t>
            </w:r>
            <w:r w:rsidR="00623794">
              <w:rPr>
                <w:color w:val="000000"/>
              </w:rPr>
              <w:t>3</w:t>
            </w:r>
            <w:r w:rsidRPr="00B16D10">
              <w:rPr>
                <w:color w:val="000000"/>
              </w:rPr>
              <w:t xml:space="preserve"> claimed hours are reduced by </w:t>
            </w:r>
            <w:r w:rsidR="005918E3">
              <w:rPr>
                <w:color w:val="000000"/>
              </w:rPr>
              <w:t>0.75</w:t>
            </w:r>
            <w:r w:rsidRPr="00B16D10">
              <w:rPr>
                <w:color w:val="000000"/>
              </w:rPr>
              <w:t xml:space="preserve"> hour</w:t>
            </w:r>
            <w:r w:rsidR="0028723B">
              <w:rPr>
                <w:color w:val="000000"/>
              </w:rPr>
              <w:t>s</w:t>
            </w:r>
            <w:r w:rsidRPr="00B16D10">
              <w:rPr>
                <w:color w:val="000000"/>
              </w:rPr>
              <w:t xml:space="preserve"> for the activities below:</w:t>
            </w:r>
          </w:p>
          <w:p w:rsidR="00310BCC" w:rsidP="00EB64CF" w:rsidRDefault="00310BCC" w14:paraId="5FEB69C0" w14:textId="77777777">
            <w:pPr>
              <w:tabs>
                <w:tab w:val="left" w:pos="1440"/>
              </w:tabs>
              <w:rPr>
                <w:color w:val="000000"/>
              </w:rPr>
            </w:pPr>
          </w:p>
          <w:p w:rsidR="00733A3A" w:rsidP="00EB64CF" w:rsidRDefault="002612BA" w14:paraId="1A945092" w14:textId="2D22E907">
            <w:pPr>
              <w:tabs>
                <w:tab w:val="left" w:pos="1440"/>
              </w:tabs>
              <w:rPr>
                <w:color w:val="000000"/>
                <w:u w:val="single"/>
              </w:rPr>
            </w:pPr>
            <w:r w:rsidRPr="002612BA">
              <w:rPr>
                <w:color w:val="000000"/>
                <w:u w:val="single"/>
              </w:rPr>
              <w:t>Excessive Hours Claimed (</w:t>
            </w:r>
            <w:r w:rsidR="00A76EC5">
              <w:rPr>
                <w:color w:val="000000"/>
                <w:u w:val="single"/>
              </w:rPr>
              <w:t>0.75</w:t>
            </w:r>
            <w:r w:rsidRPr="002612BA">
              <w:rPr>
                <w:color w:val="000000"/>
                <w:u w:val="single"/>
              </w:rPr>
              <w:t>)</w:t>
            </w:r>
            <w:r w:rsidR="00D1205D">
              <w:rPr>
                <w:color w:val="000000"/>
                <w:u w:val="single"/>
              </w:rPr>
              <w:t>:</w:t>
            </w:r>
          </w:p>
          <w:p w:rsidR="00733A3A" w:rsidP="00EB64CF" w:rsidRDefault="007D7202" w14:paraId="34205347" w14:textId="22D25897">
            <w:pPr>
              <w:tabs>
                <w:tab w:val="left" w:pos="1440"/>
              </w:tabs>
              <w:rPr>
                <w:color w:val="000000"/>
              </w:rPr>
            </w:pPr>
            <w:r w:rsidRPr="00CE4D45">
              <w:rPr>
                <w:color w:val="000000"/>
              </w:rPr>
              <w:t xml:space="preserve">Webster logged </w:t>
            </w:r>
            <w:r w:rsidR="0068556E">
              <w:rPr>
                <w:color w:val="000000"/>
              </w:rPr>
              <w:t xml:space="preserve">a total of </w:t>
            </w:r>
            <w:r w:rsidRPr="00CE4D45" w:rsidR="006E21BD">
              <w:rPr>
                <w:color w:val="000000"/>
              </w:rPr>
              <w:t xml:space="preserve">5.00 hours </w:t>
            </w:r>
            <w:r w:rsidRPr="00CE4D45" w:rsidR="003E7B03">
              <w:rPr>
                <w:color w:val="000000"/>
              </w:rPr>
              <w:t>on 9</w:t>
            </w:r>
            <w:r w:rsidRPr="00CE4D45" w:rsidR="009F40AA">
              <w:rPr>
                <w:color w:val="000000"/>
              </w:rPr>
              <w:t>/13/2023 for</w:t>
            </w:r>
            <w:r w:rsidR="00BE3EE5">
              <w:rPr>
                <w:color w:val="000000"/>
              </w:rPr>
              <w:t xml:space="preserve"> attending</w:t>
            </w:r>
            <w:r w:rsidRPr="00CE4D45" w:rsidR="009F40AA">
              <w:rPr>
                <w:color w:val="000000"/>
              </w:rPr>
              <w:t xml:space="preserve"> the </w:t>
            </w:r>
            <w:r w:rsidR="00B121B6">
              <w:rPr>
                <w:color w:val="000000"/>
              </w:rPr>
              <w:t>“</w:t>
            </w:r>
            <w:r w:rsidRPr="00CE4D45" w:rsidR="00752160">
              <w:rPr>
                <w:color w:val="000000"/>
              </w:rPr>
              <w:t>Phase 3 Workshop #3 on Climate Change</w:t>
            </w:r>
            <w:r w:rsidR="00B121B6">
              <w:rPr>
                <w:color w:val="000000"/>
              </w:rPr>
              <w:t>”</w:t>
            </w:r>
            <w:r w:rsidRPr="00CE4D45" w:rsidR="00673F0A">
              <w:rPr>
                <w:color w:val="000000"/>
              </w:rPr>
              <w:t xml:space="preserve">. However, records indicate that </w:t>
            </w:r>
            <w:r w:rsidRPr="00CE4D45" w:rsidR="008539D2">
              <w:rPr>
                <w:color w:val="000000"/>
              </w:rPr>
              <w:t xml:space="preserve">this workshop lasted approximately </w:t>
            </w:r>
            <w:r w:rsidRPr="00CE4D45" w:rsidR="00C87489">
              <w:rPr>
                <w:color w:val="000000"/>
              </w:rPr>
              <w:t>4.25 hours</w:t>
            </w:r>
            <w:r w:rsidRPr="00CE4D45" w:rsidR="0070132B">
              <w:rPr>
                <w:color w:val="000000"/>
              </w:rPr>
              <w:t>. Therefore</w:t>
            </w:r>
            <w:r w:rsidRPr="00CE4D45" w:rsidR="00496569">
              <w:rPr>
                <w:color w:val="000000"/>
              </w:rPr>
              <w:t>, we disallow 0.7</w:t>
            </w:r>
            <w:r w:rsidRPr="00CE4D45" w:rsidR="00CE4D45">
              <w:rPr>
                <w:color w:val="000000"/>
              </w:rPr>
              <w:t xml:space="preserve">5 hours </w:t>
            </w:r>
            <w:r w:rsidR="00DC06E0">
              <w:rPr>
                <w:color w:val="000000"/>
              </w:rPr>
              <w:t xml:space="preserve">of the combined total </w:t>
            </w:r>
            <w:r w:rsidRPr="00CE4D45" w:rsidR="00CE4D45">
              <w:rPr>
                <w:color w:val="000000"/>
              </w:rPr>
              <w:t>from the following time entr</w:t>
            </w:r>
            <w:r w:rsidR="00DC06E0">
              <w:rPr>
                <w:color w:val="000000"/>
              </w:rPr>
              <w:t>ies</w:t>
            </w:r>
            <w:r w:rsidRPr="00CE4D45" w:rsidR="00CE4D45">
              <w:rPr>
                <w:color w:val="000000"/>
              </w:rPr>
              <w:t>:</w:t>
            </w:r>
          </w:p>
          <w:p w:rsidR="00D34349" w:rsidP="00EB64CF" w:rsidRDefault="00D34349" w14:paraId="260C163A" w14:textId="77777777">
            <w:pPr>
              <w:tabs>
                <w:tab w:val="left" w:pos="1440"/>
              </w:tabs>
              <w:rPr>
                <w:color w:val="000000"/>
              </w:rPr>
            </w:pPr>
          </w:p>
          <w:p w:rsidRPr="00B57AE8" w:rsidR="00D34349" w:rsidP="00B57AE8" w:rsidRDefault="00255A2F" w14:paraId="266BA218" w14:textId="24488D7C">
            <w:pPr>
              <w:pStyle w:val="ListParagraph"/>
              <w:numPr>
                <w:ilvl w:val="0"/>
                <w:numId w:val="12"/>
              </w:numPr>
              <w:tabs>
                <w:tab w:val="left" w:pos="1440"/>
              </w:tabs>
              <w:rPr>
                <w:rFonts w:ascii="Times New Roman" w:hAnsi="Times New Roman"/>
                <w:color w:val="000000"/>
                <w:sz w:val="24"/>
                <w:szCs w:val="24"/>
              </w:rPr>
            </w:pPr>
            <w:r w:rsidRPr="00B57AE8">
              <w:rPr>
                <w:rFonts w:ascii="Times New Roman" w:hAnsi="Times New Roman"/>
                <w:color w:val="000000"/>
                <w:sz w:val="24"/>
                <w:szCs w:val="24"/>
              </w:rPr>
              <w:t>9/13/2023</w:t>
            </w:r>
            <w:r w:rsidRPr="00B57AE8" w:rsidR="004856E7">
              <w:rPr>
                <w:rFonts w:ascii="Times New Roman" w:hAnsi="Times New Roman"/>
                <w:color w:val="000000"/>
                <w:sz w:val="24"/>
                <w:szCs w:val="24"/>
              </w:rPr>
              <w:t xml:space="preserve"> -</w:t>
            </w:r>
            <w:r w:rsidRPr="00B57AE8" w:rsidR="004B5164">
              <w:rPr>
                <w:rFonts w:ascii="Times New Roman" w:hAnsi="Times New Roman"/>
                <w:sz w:val="24"/>
                <w:szCs w:val="24"/>
              </w:rPr>
              <w:t xml:space="preserve"> </w:t>
            </w:r>
            <w:r w:rsidRPr="00B57AE8" w:rsidR="004B5164">
              <w:rPr>
                <w:rFonts w:ascii="Times New Roman" w:hAnsi="Times New Roman"/>
                <w:color w:val="000000"/>
                <w:sz w:val="24"/>
                <w:szCs w:val="24"/>
              </w:rPr>
              <w:t>Attend Climate Change workshop - Morning</w:t>
            </w:r>
          </w:p>
          <w:p w:rsidRPr="00B57AE8" w:rsidR="00255A2F" w:rsidP="00B57AE8" w:rsidRDefault="00255A2F" w14:paraId="051AE15B" w14:textId="68BF9799">
            <w:pPr>
              <w:pStyle w:val="ListParagraph"/>
              <w:numPr>
                <w:ilvl w:val="0"/>
                <w:numId w:val="12"/>
              </w:numPr>
              <w:tabs>
                <w:tab w:val="left" w:pos="1440"/>
              </w:tabs>
              <w:rPr>
                <w:color w:val="000000"/>
              </w:rPr>
            </w:pPr>
            <w:r w:rsidRPr="00B57AE8">
              <w:rPr>
                <w:rFonts w:ascii="Times New Roman" w:hAnsi="Times New Roman"/>
                <w:color w:val="000000"/>
                <w:sz w:val="24"/>
                <w:szCs w:val="24"/>
              </w:rPr>
              <w:t>9/13/2023</w:t>
            </w:r>
            <w:r w:rsidRPr="00B57AE8" w:rsidR="004856E7">
              <w:rPr>
                <w:rFonts w:ascii="Times New Roman" w:hAnsi="Times New Roman"/>
                <w:color w:val="000000"/>
                <w:sz w:val="24"/>
                <w:szCs w:val="24"/>
              </w:rPr>
              <w:t xml:space="preserve"> -</w:t>
            </w:r>
            <w:r w:rsidRPr="00B57AE8" w:rsidR="004B5164">
              <w:rPr>
                <w:rFonts w:ascii="Times New Roman" w:hAnsi="Times New Roman"/>
                <w:sz w:val="24"/>
                <w:szCs w:val="24"/>
              </w:rPr>
              <w:t xml:space="preserve"> </w:t>
            </w:r>
            <w:r w:rsidRPr="00B57AE8" w:rsidR="004B5164">
              <w:rPr>
                <w:rFonts w:ascii="Times New Roman" w:hAnsi="Times New Roman"/>
                <w:color w:val="000000"/>
                <w:sz w:val="24"/>
                <w:szCs w:val="24"/>
              </w:rPr>
              <w:t>Attend Climate Change workshop - Afternoon</w:t>
            </w:r>
          </w:p>
        </w:tc>
      </w:tr>
      <w:tr w:rsidRPr="007F620E" w:rsidR="00720CFE" w:rsidTr="00E07566" w14:paraId="67B559B1" w14:textId="77777777">
        <w:tc>
          <w:tcPr>
            <w:tcW w:w="1616" w:type="dxa"/>
            <w:shd w:val="clear" w:color="auto" w:fill="auto"/>
          </w:tcPr>
          <w:p w:rsidR="00720CFE" w:rsidP="00EB64CF" w:rsidRDefault="007C7112" w14:paraId="6A58DC7D" w14:textId="5E44C357">
            <w:pPr>
              <w:tabs>
                <w:tab w:val="left" w:pos="1440"/>
              </w:tabs>
              <w:rPr>
                <w:color w:val="000000"/>
              </w:rPr>
            </w:pPr>
            <w:r>
              <w:rPr>
                <w:color w:val="000000"/>
              </w:rPr>
              <w:t xml:space="preserve">[6] </w:t>
            </w:r>
            <w:r w:rsidR="00AF497C">
              <w:rPr>
                <w:color w:val="000000"/>
              </w:rPr>
              <w:t>Dickenson’s 2024 I</w:t>
            </w:r>
            <w:r w:rsidR="00B57AE8">
              <w:rPr>
                <w:color w:val="000000"/>
              </w:rPr>
              <w:t xml:space="preserve">ntervenor </w:t>
            </w:r>
            <w:r w:rsidR="00AF497C">
              <w:rPr>
                <w:color w:val="000000"/>
              </w:rPr>
              <w:t>Comp</w:t>
            </w:r>
            <w:r w:rsidR="00B57AE8">
              <w:rPr>
                <w:color w:val="000000"/>
              </w:rPr>
              <w:t>ensation Claim Preparation</w:t>
            </w:r>
            <w:r w:rsidR="00AF497C">
              <w:rPr>
                <w:color w:val="000000"/>
              </w:rPr>
              <w:t xml:space="preserve"> </w:t>
            </w:r>
            <w:r w:rsidR="00B57AE8">
              <w:rPr>
                <w:color w:val="000000"/>
              </w:rPr>
              <w:t xml:space="preserve">(IComp Prep) </w:t>
            </w:r>
            <w:r w:rsidR="00AF497C">
              <w:rPr>
                <w:color w:val="000000"/>
              </w:rPr>
              <w:t>Disallowances</w:t>
            </w:r>
          </w:p>
        </w:tc>
        <w:tc>
          <w:tcPr>
            <w:tcW w:w="7744" w:type="dxa"/>
            <w:shd w:val="clear" w:color="auto" w:fill="auto"/>
          </w:tcPr>
          <w:p w:rsidR="00720CFE" w:rsidP="00EB64CF" w:rsidRDefault="00AF497C" w14:paraId="37C55E9F" w14:textId="02805F1E">
            <w:pPr>
              <w:tabs>
                <w:tab w:val="left" w:pos="1440"/>
              </w:tabs>
              <w:rPr>
                <w:color w:val="000000"/>
              </w:rPr>
            </w:pPr>
            <w:r>
              <w:rPr>
                <w:color w:val="000000"/>
              </w:rPr>
              <w:t>Dickenson</w:t>
            </w:r>
            <w:r w:rsidRPr="00AF497C">
              <w:rPr>
                <w:color w:val="000000"/>
              </w:rPr>
              <w:t xml:space="preserve">’s 2024 </w:t>
            </w:r>
            <w:r w:rsidR="00B57AE8">
              <w:rPr>
                <w:color w:val="000000"/>
              </w:rPr>
              <w:t>IComp</w:t>
            </w:r>
            <w:r w:rsidR="00752FC9">
              <w:rPr>
                <w:color w:val="000000"/>
              </w:rPr>
              <w:t xml:space="preserve"> </w:t>
            </w:r>
            <w:r w:rsidR="00B57AE8">
              <w:rPr>
                <w:color w:val="000000"/>
              </w:rPr>
              <w:t>Prep</w:t>
            </w:r>
            <w:r w:rsidR="00752FC9">
              <w:rPr>
                <w:color w:val="000000"/>
              </w:rPr>
              <w:t xml:space="preserve"> </w:t>
            </w:r>
            <w:r w:rsidRPr="00AF497C">
              <w:rPr>
                <w:color w:val="000000"/>
              </w:rPr>
              <w:t xml:space="preserve">hours are reduced by </w:t>
            </w:r>
            <w:r w:rsidR="004856E7">
              <w:rPr>
                <w:color w:val="000000"/>
              </w:rPr>
              <w:t>1.50</w:t>
            </w:r>
            <w:r w:rsidRPr="00AF497C">
              <w:rPr>
                <w:color w:val="000000"/>
              </w:rPr>
              <w:t xml:space="preserve"> hour</w:t>
            </w:r>
            <w:r w:rsidR="0028723B">
              <w:rPr>
                <w:color w:val="000000"/>
              </w:rPr>
              <w:t>s</w:t>
            </w:r>
            <w:r w:rsidRPr="00AF497C">
              <w:rPr>
                <w:color w:val="000000"/>
              </w:rPr>
              <w:t xml:space="preserve"> for the activities below</w:t>
            </w:r>
            <w:r w:rsidR="007163CC">
              <w:rPr>
                <w:color w:val="000000"/>
              </w:rPr>
              <w:t>:</w:t>
            </w:r>
          </w:p>
          <w:p w:rsidR="002612BA" w:rsidP="00EB64CF" w:rsidRDefault="002612BA" w14:paraId="175E3156" w14:textId="77777777">
            <w:pPr>
              <w:tabs>
                <w:tab w:val="left" w:pos="1440"/>
              </w:tabs>
              <w:rPr>
                <w:color w:val="000000"/>
              </w:rPr>
            </w:pPr>
          </w:p>
          <w:p w:rsidR="003B3483" w:rsidP="00EB64CF" w:rsidRDefault="00147A78" w14:paraId="772476E9" w14:textId="317AFA94">
            <w:pPr>
              <w:tabs>
                <w:tab w:val="left" w:pos="1440"/>
              </w:tabs>
              <w:rPr>
                <w:color w:val="000000"/>
                <w:u w:val="single"/>
              </w:rPr>
            </w:pPr>
            <w:r w:rsidRPr="00306C1C">
              <w:rPr>
                <w:color w:val="000000"/>
                <w:u w:val="single"/>
              </w:rPr>
              <w:t>Internal Duplication</w:t>
            </w:r>
            <w:r w:rsidR="00306C1C">
              <w:rPr>
                <w:color w:val="000000"/>
                <w:u w:val="single"/>
              </w:rPr>
              <w:t xml:space="preserve"> (</w:t>
            </w:r>
            <w:r w:rsidRPr="004856E7" w:rsidR="004856E7">
              <w:rPr>
                <w:color w:val="000000"/>
                <w:u w:val="single"/>
              </w:rPr>
              <w:t>1.50</w:t>
            </w:r>
            <w:r w:rsidR="00306C1C">
              <w:rPr>
                <w:color w:val="000000"/>
                <w:u w:val="single"/>
              </w:rPr>
              <w:t>)</w:t>
            </w:r>
            <w:r w:rsidR="00D1205D">
              <w:rPr>
                <w:color w:val="000000"/>
                <w:u w:val="single"/>
              </w:rPr>
              <w:t>:</w:t>
            </w:r>
          </w:p>
          <w:p w:rsidR="003B3483" w:rsidP="00EB64CF" w:rsidRDefault="00F53D12" w14:paraId="2B5A1E2C" w14:textId="508A60E5">
            <w:pPr>
              <w:tabs>
                <w:tab w:val="left" w:pos="1440"/>
              </w:tabs>
              <w:rPr>
                <w:color w:val="000000"/>
              </w:rPr>
            </w:pPr>
            <w:r>
              <w:rPr>
                <w:color w:val="000000"/>
              </w:rPr>
              <w:t xml:space="preserve">We also find Dickenson’s </w:t>
            </w:r>
            <w:r w:rsidR="00555A57">
              <w:rPr>
                <w:color w:val="000000"/>
              </w:rPr>
              <w:t xml:space="preserve">hours to be unnecessary and </w:t>
            </w:r>
            <w:r w:rsidR="00E76B11">
              <w:rPr>
                <w:color w:val="000000"/>
              </w:rPr>
              <w:t>duplicative</w:t>
            </w:r>
            <w:r w:rsidR="00555A57">
              <w:rPr>
                <w:color w:val="000000"/>
              </w:rPr>
              <w:t xml:space="preserve"> of work </w:t>
            </w:r>
            <w:r w:rsidR="00C3583B">
              <w:rPr>
                <w:color w:val="000000"/>
              </w:rPr>
              <w:t>completed</w:t>
            </w:r>
            <w:r w:rsidR="00555A57">
              <w:rPr>
                <w:color w:val="000000"/>
              </w:rPr>
              <w:t xml:space="preserve"> by Webster.</w:t>
            </w:r>
            <w:r w:rsidR="00E76B11">
              <w:rPr>
                <w:color w:val="000000"/>
              </w:rPr>
              <w:t xml:space="preserve"> Therefore, we disallow the following hours:</w:t>
            </w:r>
          </w:p>
          <w:p w:rsidR="00E3283C" w:rsidP="00EB64CF" w:rsidRDefault="00E3283C" w14:paraId="4826689C" w14:textId="77777777">
            <w:pPr>
              <w:tabs>
                <w:tab w:val="left" w:pos="1440"/>
              </w:tabs>
              <w:rPr>
                <w:color w:val="000000"/>
              </w:rPr>
            </w:pPr>
          </w:p>
          <w:p w:rsidRPr="00B57AE8" w:rsidR="00E3283C" w:rsidP="00B57AE8" w:rsidRDefault="00E3283C" w14:paraId="6E0F9ADF" w14:textId="433BEDEE">
            <w:pPr>
              <w:pStyle w:val="ListParagraph"/>
              <w:numPr>
                <w:ilvl w:val="0"/>
                <w:numId w:val="13"/>
              </w:numPr>
              <w:tabs>
                <w:tab w:val="left" w:pos="1440"/>
              </w:tabs>
              <w:rPr>
                <w:rFonts w:ascii="Times New Roman" w:hAnsi="Times New Roman"/>
                <w:color w:val="000000"/>
                <w:sz w:val="24"/>
                <w:szCs w:val="24"/>
              </w:rPr>
            </w:pPr>
            <w:r w:rsidRPr="00B57AE8">
              <w:rPr>
                <w:rFonts w:ascii="Times New Roman" w:hAnsi="Times New Roman"/>
                <w:color w:val="000000"/>
                <w:sz w:val="24"/>
                <w:szCs w:val="24"/>
              </w:rPr>
              <w:t>8/05/2024</w:t>
            </w:r>
            <w:r w:rsidRPr="00B57AE8" w:rsidR="004856E7">
              <w:rPr>
                <w:rFonts w:ascii="Times New Roman" w:hAnsi="Times New Roman"/>
                <w:color w:val="000000"/>
                <w:sz w:val="24"/>
                <w:szCs w:val="24"/>
              </w:rPr>
              <w:t xml:space="preserve"> -</w:t>
            </w:r>
            <w:r w:rsidRPr="00B57AE8" w:rsidR="004856E7">
              <w:rPr>
                <w:rFonts w:ascii="Times New Roman" w:hAnsi="Times New Roman"/>
                <w:sz w:val="24"/>
                <w:szCs w:val="24"/>
              </w:rPr>
              <w:t xml:space="preserve"> </w:t>
            </w:r>
            <w:r w:rsidRPr="00B57AE8" w:rsidR="004856E7">
              <w:rPr>
                <w:rFonts w:ascii="Times New Roman" w:hAnsi="Times New Roman"/>
                <w:color w:val="000000"/>
                <w:sz w:val="24"/>
                <w:szCs w:val="24"/>
              </w:rPr>
              <w:t>Supervise preparation of IC claim: review and revise draft claim</w:t>
            </w:r>
          </w:p>
        </w:tc>
      </w:tr>
    </w:tbl>
    <w:p w:rsidR="00106762" w:rsidP="00106762" w:rsidRDefault="00106762" w14:paraId="05BC831E" w14:textId="77777777">
      <w:pPr>
        <w:keepNext/>
        <w:tabs>
          <w:tab w:val="left" w:pos="1260"/>
        </w:tabs>
        <w:jc w:val="center"/>
        <w:rPr>
          <w:b/>
          <w:color w:val="000000"/>
        </w:rPr>
      </w:pPr>
    </w:p>
    <w:p w:rsidRPr="007F620E" w:rsidR="00A92D0B" w:rsidP="00106762" w:rsidRDefault="00A92D0B" w14:paraId="18E9D359" w14:textId="2DBB4E6D">
      <w:pPr>
        <w:keepNext/>
        <w:tabs>
          <w:tab w:val="left" w:pos="1260"/>
        </w:tabs>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shd w:val="clear" w:color="auto" w:fill="auto"/>
          </w:tcPr>
          <w:p w:rsidRPr="007F620E" w:rsidR="00A92D0B" w:rsidP="005A3018" w:rsidRDefault="00A92D0B" w14:paraId="607B1FB9" w14:textId="639D7800">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rsidRPr="007F620E" w:rsidR="00A92D0B" w:rsidP="00187FA5" w:rsidRDefault="00062F28" w14:paraId="6E7CD931" w14:textId="541088D7">
            <w:pPr>
              <w:jc w:val="center"/>
              <w:rPr>
                <w:color w:val="000000"/>
              </w:rPr>
            </w:pPr>
            <w:r w:rsidRPr="006F5C3B">
              <w:rPr>
                <w:color w:val="000000"/>
              </w:rPr>
              <w:t>No</w:t>
            </w:r>
          </w:p>
        </w:tc>
      </w:tr>
    </w:tbl>
    <w:p w:rsidRPr="007F620E" w:rsidR="00A92D0B" w:rsidP="00062F28" w:rsidRDefault="00A92D0B" w14:paraId="23420BFC" w14:textId="77777777">
      <w:pPr>
        <w:tabs>
          <w:tab w:val="left" w:pos="1260"/>
        </w:tabs>
        <w:spacing w:before="60"/>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7F620E" w:rsidR="00A92D0B" w:rsidP="005A3018" w:rsidRDefault="00A92D0B" w14:paraId="37D28D8D" w14:textId="4DD2F575">
            <w:pPr>
              <w:ind w:left="360" w:hanging="360"/>
              <w:rPr>
                <w:color w:val="000000"/>
              </w:rPr>
            </w:pPr>
            <w:r w:rsidRPr="007F620E">
              <w:rPr>
                <w:b/>
                <w:color w:val="000000"/>
              </w:rPr>
              <w:t>B.</w:t>
            </w:r>
            <w:r w:rsidR="005A3018">
              <w:rPr>
                <w:b/>
                <w:color w:val="000000"/>
              </w:rPr>
              <w:tab/>
            </w:r>
            <w:r w:rsidRPr="007F620E">
              <w:rPr>
                <w:b/>
                <w:color w:val="000000"/>
              </w:rPr>
              <w:t>Comment Period:  Was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shd w:val="clear" w:color="auto" w:fill="auto"/>
          </w:tcPr>
          <w:p w:rsidRPr="007F620E" w:rsidR="00A92D0B" w:rsidP="00187FA5" w:rsidRDefault="00062F28" w14:paraId="238D2D3F" w14:textId="462C6DB7">
            <w:pPr>
              <w:keepNext/>
              <w:keepLines/>
              <w:spacing w:after="240"/>
              <w:jc w:val="center"/>
              <w:rPr>
                <w:color w:val="000000"/>
              </w:rPr>
            </w:pPr>
            <w:r>
              <w:rPr>
                <w:color w:val="000000"/>
              </w:rPr>
              <w:t>Yes</w:t>
            </w:r>
          </w:p>
        </w:tc>
      </w:tr>
    </w:tbl>
    <w:p w:rsidR="00BE45D0" w:rsidRDefault="00BE45D0" w14:paraId="4C76EB64" w14:textId="77777777">
      <w:pPr>
        <w:jc w:val="center"/>
        <w:rPr>
          <w:b/>
          <w:color w:val="000000"/>
          <w:u w:val="single"/>
        </w:rPr>
      </w:pPr>
    </w:p>
    <w:p w:rsidRPr="007F620E" w:rsidR="00A92D0B" w:rsidP="00CE057B" w:rsidRDefault="00A92D0B" w14:paraId="186E115A" w14:textId="77777777">
      <w:pPr>
        <w:keepNext/>
        <w:spacing w:before="480" w:after="240"/>
        <w:jc w:val="center"/>
        <w:rPr>
          <w:b/>
          <w:color w:val="000000"/>
          <w:u w:val="single"/>
        </w:rPr>
      </w:pPr>
      <w:r w:rsidRPr="007F620E">
        <w:rPr>
          <w:b/>
          <w:color w:val="000000"/>
          <w:u w:val="single"/>
        </w:rPr>
        <w:lastRenderedPageBreak/>
        <w:t>FINDINGS OF FACT</w:t>
      </w:r>
    </w:p>
    <w:p w:rsidRPr="006F5C3B" w:rsidR="00A92D0B" w:rsidRDefault="006B6EA3" w14:paraId="7772A9DC" w14:textId="549879BE">
      <w:pPr>
        <w:numPr>
          <w:ilvl w:val="0"/>
          <w:numId w:val="3"/>
        </w:numPr>
        <w:tabs>
          <w:tab w:val="num" w:pos="540"/>
        </w:tabs>
        <w:ind w:left="540" w:hanging="540"/>
      </w:pPr>
      <w:r w:rsidRPr="006F5C3B">
        <w:t>The Protec</w:t>
      </w:r>
      <w:r w:rsidRPr="006F5C3B" w:rsidR="00AA0B78">
        <w:t>t</w:t>
      </w:r>
      <w:r w:rsidRPr="006F5C3B">
        <w:t xml:space="preserve"> Our Communities Foundation</w:t>
      </w:r>
      <w:r w:rsidRPr="006F5C3B" w:rsidR="00FE3BAE">
        <w:t xml:space="preserve"> </w:t>
      </w:r>
      <w:r w:rsidRPr="006F5C3B" w:rsidR="00A92D0B">
        <w:t>has</w:t>
      </w:r>
      <w:r w:rsidRPr="006F5C3B" w:rsidR="006C1D80">
        <w:t xml:space="preserve"> </w:t>
      </w:r>
      <w:r w:rsidRPr="006F5C3B" w:rsidR="00A92D0B">
        <w:t>made a substantia</w:t>
      </w:r>
      <w:r w:rsidRPr="006F5C3B" w:rsidR="00DE3A5D">
        <w:t xml:space="preserve">l contribution to </w:t>
      </w:r>
      <w:r w:rsidR="00B57AE8">
        <w:br/>
      </w:r>
      <w:r w:rsidRPr="006F5C3B" w:rsidR="00DE3A5D">
        <w:t>D.</w:t>
      </w:r>
      <w:r w:rsidRPr="006F5C3B">
        <w:t>24-05-064</w:t>
      </w:r>
      <w:r w:rsidRPr="006F5C3B" w:rsidR="00A92D0B">
        <w:t>.</w:t>
      </w:r>
    </w:p>
    <w:p w:rsidRPr="007F620E" w:rsidR="00A92D0B" w:rsidRDefault="00A92D0B" w14:paraId="04EB50FD" w14:textId="286BBDE3">
      <w:pPr>
        <w:numPr>
          <w:ilvl w:val="0"/>
          <w:numId w:val="3"/>
        </w:numPr>
        <w:tabs>
          <w:tab w:val="num" w:pos="540"/>
        </w:tabs>
        <w:spacing w:before="240"/>
      </w:pPr>
      <w:r w:rsidRPr="007F620E">
        <w:t>The requested hourly rates for</w:t>
      </w:r>
      <w:r w:rsidR="003B6A1B">
        <w:t xml:space="preserve"> </w:t>
      </w:r>
      <w:r w:rsidRPr="006F5C3B" w:rsidR="00FC549F">
        <w:t>The Protect Our Communities Foundation</w:t>
      </w:r>
      <w:r w:rsidRPr="006F5C3B" w:rsidR="005A63D4">
        <w:t xml:space="preserve">’s </w:t>
      </w:r>
      <w:r w:rsidRPr="006F5C3B">
        <w:t>representatives,</w:t>
      </w:r>
      <w:r w:rsidR="00962934">
        <w:t xml:space="preserve"> </w:t>
      </w:r>
      <w:r w:rsidRPr="006F5C3B">
        <w:t>as adjusted herein, are comparable to market rates</w:t>
      </w:r>
      <w:r w:rsidRPr="007F620E">
        <w:t xml:space="preserve"> paid to experts and advocates having comparable training and experience and offering similar services.</w:t>
      </w:r>
    </w:p>
    <w:p w:rsidRPr="007F620E" w:rsidR="00A92D0B" w:rsidRDefault="00A92D0B" w14:paraId="528EBB52" w14:textId="6F2CA0BB">
      <w:pPr>
        <w:numPr>
          <w:ilvl w:val="0"/>
          <w:numId w:val="3"/>
        </w:numPr>
        <w:tabs>
          <w:tab w:val="num" w:pos="540"/>
        </w:tabs>
        <w:spacing w:before="240"/>
      </w:pPr>
      <w:r w:rsidRPr="007F620E">
        <w:t>The claimed costs and expenses,</w:t>
      </w:r>
      <w:r w:rsidR="003B5EAC">
        <w:t xml:space="preserve"> </w:t>
      </w:r>
      <w:r w:rsidRPr="007F620E">
        <w:t xml:space="preserve">as adjusted herein, are reasonable and commensurate with the work performed. </w:t>
      </w:r>
    </w:p>
    <w:p w:rsidRPr="007F620E" w:rsidR="00A92D0B" w:rsidP="00106762" w:rsidRDefault="00A92D0B" w14:paraId="48B52895" w14:textId="688DDF99">
      <w:pPr>
        <w:numPr>
          <w:ilvl w:val="0"/>
          <w:numId w:val="3"/>
        </w:numPr>
        <w:tabs>
          <w:tab w:val="num" w:pos="540"/>
        </w:tabs>
        <w:spacing w:before="240" w:after="240"/>
      </w:pPr>
      <w:r w:rsidRPr="007F620E">
        <w:t xml:space="preserve">The total of reasonable </w:t>
      </w:r>
      <w:r w:rsidRPr="007F620E" w:rsidR="003C608A">
        <w:t xml:space="preserve">compensation </w:t>
      </w:r>
      <w:r w:rsidRPr="007F620E">
        <w:t xml:space="preserve">is </w:t>
      </w:r>
      <w:r w:rsidRPr="00B0632E" w:rsidR="00B0632E">
        <w:t>$54,542.50</w:t>
      </w:r>
      <w:r w:rsidRPr="007F620E">
        <w:t>.</w:t>
      </w:r>
    </w:p>
    <w:p w:rsidRPr="007F620E" w:rsidR="00A92D0B" w:rsidP="00106762" w:rsidRDefault="00A92D0B" w14:paraId="5C773C3F" w14:textId="77777777">
      <w:pPr>
        <w:keepNext/>
        <w:spacing w:after="240"/>
        <w:jc w:val="center"/>
        <w:rPr>
          <w:b/>
          <w:color w:val="000000"/>
          <w:u w:val="single"/>
        </w:rPr>
      </w:pPr>
      <w:r w:rsidRPr="007F620E">
        <w:rPr>
          <w:b/>
          <w:color w:val="000000"/>
          <w:u w:val="single"/>
        </w:rPr>
        <w:t>CONCLUSION OF LAW</w:t>
      </w:r>
    </w:p>
    <w:p w:rsidRPr="007F620E" w:rsidR="00A92D0B" w:rsidP="00472B6C" w:rsidRDefault="00A92D0B" w14:paraId="654F2C27" w14:textId="14F11D21">
      <w:pPr>
        <w:numPr>
          <w:ilvl w:val="0"/>
          <w:numId w:val="10"/>
        </w:numPr>
        <w:rPr>
          <w:color w:val="000000"/>
        </w:rPr>
      </w:pPr>
      <w:r w:rsidRPr="00575494">
        <w:t>The</w:t>
      </w:r>
      <w:r w:rsidRPr="007F620E">
        <w:rPr>
          <w:color w:val="000000"/>
        </w:rPr>
        <w:t xml:space="preserv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A92D0B" w:rsidP="00472B6C" w:rsidRDefault="00A92D0B" w14:paraId="0E2503A5" w14:textId="77777777">
      <w:pPr>
        <w:keepNext/>
        <w:spacing w:after="240"/>
        <w:jc w:val="center"/>
        <w:rPr>
          <w:b/>
          <w:color w:val="000000"/>
          <w:u w:val="single"/>
        </w:rPr>
      </w:pPr>
      <w:r w:rsidRPr="007F620E">
        <w:rPr>
          <w:b/>
          <w:color w:val="000000"/>
          <w:u w:val="single"/>
        </w:rPr>
        <w:t>ORDER</w:t>
      </w:r>
    </w:p>
    <w:p w:rsidRPr="007F620E" w:rsidR="00A92D0B" w:rsidP="00CE057B" w:rsidRDefault="007D1565" w14:paraId="33FB4E15" w14:textId="170795B0">
      <w:pPr>
        <w:keepNext/>
        <w:numPr>
          <w:ilvl w:val="0"/>
          <w:numId w:val="4"/>
        </w:numPr>
        <w:tabs>
          <w:tab w:val="clear" w:pos="900"/>
          <w:tab w:val="num" w:pos="540"/>
        </w:tabs>
        <w:ind w:left="547" w:hanging="547"/>
        <w:rPr>
          <w:color w:val="000000"/>
        </w:rPr>
      </w:pPr>
      <w:r w:rsidRPr="008340D8">
        <w:t>The Protect Our Communities Foundation</w:t>
      </w:r>
      <w:r w:rsidRPr="00FE3BAE" w:rsidR="00FE3BAE">
        <w:t xml:space="preserve"> </w:t>
      </w:r>
      <w:r w:rsidR="00831652">
        <w:t>is</w:t>
      </w:r>
      <w:r w:rsidRPr="00FE3BAE" w:rsidR="00FE3BAE">
        <w:t xml:space="preserve"> </w:t>
      </w:r>
      <w:r w:rsidRPr="00FE3BAE" w:rsidR="00A92D0B">
        <w:rPr>
          <w:color w:val="000000"/>
        </w:rPr>
        <w:t xml:space="preserve">awarded </w:t>
      </w:r>
      <w:r w:rsidRPr="007F620E" w:rsidR="00A92D0B">
        <w:rPr>
          <w:color w:val="000000"/>
        </w:rPr>
        <w:t>$</w:t>
      </w:r>
      <w:r w:rsidRPr="00B0632E" w:rsidR="00B0632E">
        <w:rPr>
          <w:color w:val="000000"/>
        </w:rPr>
        <w:t>54,542.50</w:t>
      </w:r>
      <w:r w:rsidRPr="007F620E" w:rsidR="00A92D0B">
        <w:rPr>
          <w:color w:val="000000"/>
        </w:rPr>
        <w:t>.</w:t>
      </w:r>
    </w:p>
    <w:p w:rsidR="00A92D0B" w:rsidRDefault="0055228B" w14:paraId="4AEF5671" w14:textId="579FA271">
      <w:pPr>
        <w:numPr>
          <w:ilvl w:val="0"/>
          <w:numId w:val="4"/>
        </w:numPr>
        <w:tabs>
          <w:tab w:val="clear" w:pos="900"/>
          <w:tab w:val="num" w:pos="540"/>
        </w:tabs>
        <w:spacing w:before="240"/>
        <w:ind w:left="547" w:hanging="547"/>
      </w:pPr>
      <w:r>
        <w:t xml:space="preserve">Within 30 days of the effective date of this decision, </w:t>
      </w:r>
      <w:r w:rsidRPr="00B46692" w:rsidR="00B46692">
        <w:t>Pacific Gas and Electric Company, Southern California Edison Company, San Diego Gas &amp; Electric Company, and Southern California Gas Company</w:t>
      </w:r>
      <w:r>
        <w:t xml:space="preserve"> </w:t>
      </w:r>
      <w:r w:rsidRPr="00831652">
        <w:t>shall</w:t>
      </w:r>
      <w:r>
        <w:t xml:space="preserve"> pay</w:t>
      </w:r>
      <w:r w:rsidRPr="008340D8">
        <w:t xml:space="preserve"> </w:t>
      </w:r>
      <w:r w:rsidRPr="008340D8" w:rsidR="007D1565">
        <w:t>The Protect Our Communities Foundation</w:t>
      </w:r>
      <w:r w:rsidRPr="0022302F">
        <w:t xml:space="preserve"> </w:t>
      </w:r>
      <w:r>
        <w:t xml:space="preserve">their respective shares of the award, based on their California-jurisdictional </w:t>
      </w:r>
      <w:r w:rsidR="002B6C71">
        <w:t>gas and electric</w:t>
      </w:r>
      <w:r>
        <w:t xml:space="preserve"> revenues for the </w:t>
      </w:r>
      <w:r w:rsidR="00B46692">
        <w:t>2023</w:t>
      </w:r>
      <w:r>
        <w:t xml:space="preserve"> calendar year, </w:t>
      </w:r>
      <w:r w:rsidRPr="0055228B">
        <w:t xml:space="preserve">to reflect the year in which the proceeding was primarily litigated.  If such data </w:t>
      </w:r>
      <w:r w:rsidR="00DF034A">
        <w:t>is</w:t>
      </w:r>
      <w:r w:rsidRPr="0055228B" w:rsidR="00DF034A">
        <w:t xml:space="preserve"> </w:t>
      </w:r>
      <w:r w:rsidRPr="0055228B">
        <w:t xml:space="preserve">unavailable, the most recent </w:t>
      </w:r>
      <w:r w:rsidR="002B6C71">
        <w:t>gas and electric</w:t>
      </w:r>
      <w:r w:rsidRPr="0055228B">
        <w:t xml:space="preserve"> revenue data shall be used.</w:t>
      </w:r>
      <w:r w:rsidRPr="007F620E" w:rsidR="00A92D0B">
        <w:t xml:space="preserve"> Payment of the award </w:t>
      </w:r>
      <w:r w:rsidRPr="00831652" w:rsidR="00A92D0B">
        <w:t>shall</w:t>
      </w:r>
      <w:r w:rsidRPr="007F620E" w:rsidR="00A92D0B">
        <w:t xml:space="preserve"> include</w:t>
      </w:r>
      <w:r w:rsidRPr="007F620E" w:rsidR="004E3939">
        <w:t xml:space="preserve"> compound </w:t>
      </w:r>
      <w:r w:rsidRPr="007F620E" w:rsidR="00A92D0B">
        <w:t xml:space="preserve">interest at the rate earned on prime, three-month </w:t>
      </w:r>
      <w:r w:rsidRPr="007F620E" w:rsidR="00214B22">
        <w:t xml:space="preserve">non-financial </w:t>
      </w:r>
      <w:r w:rsidRPr="007F620E" w:rsidR="00A92D0B">
        <w:t>commercial paper as reported in Federal Reserve Statistical Release H.15, beginning</w:t>
      </w:r>
      <w:r w:rsidRPr="007F620E" w:rsidR="00357F1A">
        <w:t xml:space="preserve"> </w:t>
      </w:r>
      <w:r w:rsidR="002F4ECA">
        <w:t>October 19, 2024</w:t>
      </w:r>
      <w:r w:rsidRPr="007F620E" w:rsidR="00357F1A">
        <w:t xml:space="preserve">, </w:t>
      </w:r>
      <w:r w:rsidRPr="007F620E" w:rsidR="00A92D0B">
        <w:t>the 75</w:t>
      </w:r>
      <w:r w:rsidRPr="007F620E" w:rsidR="00A92D0B">
        <w:rPr>
          <w:vertAlign w:val="superscript"/>
        </w:rPr>
        <w:t>th</w:t>
      </w:r>
      <w:r w:rsidRPr="007F620E" w:rsidR="00A92D0B">
        <w:t xml:space="preserve"> day after the filing of </w:t>
      </w:r>
      <w:r w:rsidRPr="008340D8" w:rsidR="007D1565">
        <w:t>The Protect Our Communities Foundation</w:t>
      </w:r>
      <w:r w:rsidRPr="008340D8" w:rsidR="00FE3BAE">
        <w:t>’s</w:t>
      </w:r>
      <w:r w:rsidRPr="003B6A1B" w:rsidR="00FE3BAE">
        <w:rPr>
          <w:b/>
        </w:rPr>
        <w:t xml:space="preserve"> </w:t>
      </w:r>
      <w:r w:rsidRPr="007F620E" w:rsidR="00A92D0B">
        <w:t>request, and continuing until full payment is made.</w:t>
      </w:r>
    </w:p>
    <w:p w:rsidR="00A35598" w:rsidP="00A35598" w:rsidRDefault="00A35598" w14:paraId="0380D892" w14:textId="77777777">
      <w:pPr>
        <w:spacing w:before="240"/>
        <w:ind w:left="547"/>
      </w:pPr>
    </w:p>
    <w:p w:rsidR="00A35598" w:rsidP="00A35598" w:rsidRDefault="00A35598" w14:paraId="43FA3102" w14:textId="77777777">
      <w:pPr>
        <w:spacing w:before="240"/>
        <w:ind w:left="547"/>
      </w:pPr>
    </w:p>
    <w:p w:rsidR="00A35598" w:rsidP="00A35598" w:rsidRDefault="00A35598" w14:paraId="05C38384" w14:textId="77777777">
      <w:pPr>
        <w:spacing w:before="240"/>
        <w:ind w:left="547"/>
      </w:pPr>
    </w:p>
    <w:p w:rsidR="00A35598" w:rsidP="00A35598" w:rsidRDefault="00A35598" w14:paraId="65CBFBF4" w14:textId="77777777">
      <w:pPr>
        <w:spacing w:before="240"/>
        <w:ind w:left="547"/>
      </w:pPr>
    </w:p>
    <w:p w:rsidR="00A35598" w:rsidP="00A35598" w:rsidRDefault="00A35598" w14:paraId="22059325" w14:textId="77777777">
      <w:pPr>
        <w:spacing w:before="240"/>
        <w:ind w:left="547"/>
      </w:pPr>
    </w:p>
    <w:p w:rsidRPr="007F620E" w:rsidR="00A92D0B" w:rsidP="00DE3A5D" w:rsidRDefault="00A92D0B" w14:paraId="5AD40C95" w14:textId="0E7E56B0">
      <w:pPr>
        <w:keepNext/>
        <w:keepLines/>
        <w:numPr>
          <w:ilvl w:val="0"/>
          <w:numId w:val="4"/>
        </w:numPr>
        <w:tabs>
          <w:tab w:val="clear" w:pos="900"/>
          <w:tab w:val="num" w:pos="540"/>
        </w:tabs>
        <w:spacing w:before="240"/>
        <w:ind w:left="547" w:hanging="547"/>
      </w:pPr>
      <w:r w:rsidRPr="007F620E">
        <w:lastRenderedPageBreak/>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357623" w:rsidRDefault="00A92D0B" w14:paraId="0467B995" w14:textId="359CAB87">
      <w:pPr>
        <w:keepNext/>
        <w:keepLines/>
        <w:spacing w:before="240"/>
        <w:ind w:left="547"/>
        <w:rPr>
          <w:color w:val="000000"/>
        </w:rPr>
      </w:pPr>
      <w:r w:rsidRPr="007F620E">
        <w:rPr>
          <w:color w:val="000000"/>
        </w:rPr>
        <w:t>Dated</w:t>
      </w:r>
      <w:r w:rsidR="00A35598">
        <w:rPr>
          <w:color w:val="000000"/>
        </w:rPr>
        <w:t xml:space="preserve"> January 16, 2025</w:t>
      </w:r>
      <w:r w:rsidRPr="007F620E">
        <w:rPr>
          <w:color w:val="000000"/>
        </w:rPr>
        <w:t>, at San Francisco, California.</w:t>
      </w:r>
    </w:p>
    <w:p w:rsidRPr="007F620E" w:rsidR="00A92D0B" w:rsidRDefault="00A92D0B" w14:paraId="1A474D77" w14:textId="77777777"/>
    <w:p w:rsidR="00FE3BAE" w:rsidRDefault="00FE3BAE" w14:paraId="3C739AE2" w14:textId="71F3AFC8"/>
    <w:p w:rsidRPr="00A35598" w:rsidR="00A35598" w:rsidP="00A35598" w:rsidRDefault="00A35598" w14:paraId="68846289" w14:textId="77777777">
      <w:pPr>
        <w:keepNext/>
        <w:keepLines/>
        <w:autoSpaceDE w:val="0"/>
        <w:autoSpaceDN w:val="0"/>
        <w:adjustRightInd w:val="0"/>
        <w:ind w:left="4320"/>
        <w:jc w:val="both"/>
      </w:pPr>
      <w:r w:rsidRPr="00A35598">
        <w:t>ALICE REYNOLDS</w:t>
      </w:r>
    </w:p>
    <w:p w:rsidRPr="00A35598" w:rsidR="00A35598" w:rsidP="00A35598" w:rsidRDefault="00A35598" w14:paraId="39C50A98" w14:textId="77777777">
      <w:pPr>
        <w:keepNext/>
        <w:keepLines/>
        <w:autoSpaceDE w:val="0"/>
        <w:autoSpaceDN w:val="0"/>
        <w:adjustRightInd w:val="0"/>
        <w:ind w:firstLine="720"/>
        <w:jc w:val="both"/>
      </w:pPr>
      <w:r w:rsidRPr="00A35598">
        <w:tab/>
      </w:r>
      <w:r w:rsidRPr="00A35598">
        <w:tab/>
      </w:r>
      <w:r w:rsidRPr="00A35598">
        <w:tab/>
      </w:r>
      <w:r w:rsidRPr="00A35598">
        <w:tab/>
      </w:r>
      <w:r w:rsidRPr="00A35598">
        <w:tab/>
        <w:t xml:space="preserve">                       President</w:t>
      </w:r>
    </w:p>
    <w:p w:rsidRPr="00A35598" w:rsidR="00A35598" w:rsidP="00A35598" w:rsidRDefault="00A35598" w14:paraId="5734477A" w14:textId="77777777">
      <w:pPr>
        <w:autoSpaceDE w:val="0"/>
        <w:autoSpaceDN w:val="0"/>
        <w:adjustRightInd w:val="0"/>
        <w:ind w:left="3600" w:firstLine="720"/>
        <w:jc w:val="both"/>
      </w:pPr>
      <w:r w:rsidRPr="00A35598">
        <w:t>DARCIE L. HOUCK</w:t>
      </w:r>
    </w:p>
    <w:p w:rsidRPr="00A35598" w:rsidR="00A35598" w:rsidP="00A35598" w:rsidRDefault="00A35598" w14:paraId="0BA7007F" w14:textId="77777777">
      <w:pPr>
        <w:autoSpaceDE w:val="0"/>
        <w:autoSpaceDN w:val="0"/>
        <w:adjustRightInd w:val="0"/>
        <w:ind w:left="3600" w:firstLine="720"/>
        <w:jc w:val="both"/>
      </w:pPr>
      <w:r w:rsidRPr="00A35598">
        <w:t>JOHN REYNOLDS</w:t>
      </w:r>
    </w:p>
    <w:p w:rsidRPr="00A35598" w:rsidR="00A35598" w:rsidP="00A35598" w:rsidRDefault="00A35598" w14:paraId="20CAAE34" w14:textId="77777777">
      <w:pPr>
        <w:autoSpaceDE w:val="0"/>
        <w:autoSpaceDN w:val="0"/>
        <w:adjustRightInd w:val="0"/>
        <w:ind w:left="3600" w:firstLine="720"/>
        <w:jc w:val="both"/>
        <w:rPr>
          <w:color w:val="000000"/>
        </w:rPr>
      </w:pPr>
      <w:r w:rsidRPr="00A35598">
        <w:rPr>
          <w:color w:val="000000"/>
        </w:rPr>
        <w:t>KAREN DOUGLAS</w:t>
      </w:r>
    </w:p>
    <w:p w:rsidRPr="00A35598" w:rsidR="00A35598" w:rsidP="00A35598" w:rsidRDefault="00A35598" w14:paraId="1A89BEDC" w14:textId="77777777">
      <w:pPr>
        <w:keepNext/>
        <w:keepLines/>
        <w:autoSpaceDE w:val="0"/>
        <w:autoSpaceDN w:val="0"/>
        <w:adjustRightInd w:val="0"/>
        <w:ind w:left="4320" w:firstLine="720"/>
        <w:jc w:val="both"/>
      </w:pPr>
      <w:r w:rsidRPr="00A35598">
        <w:t xml:space="preserve">            Commissioners</w:t>
      </w:r>
    </w:p>
    <w:p w:rsidRPr="00A35598" w:rsidR="00A35598" w:rsidP="00A35598" w:rsidRDefault="00A35598" w14:paraId="316BB9B7" w14:textId="77777777">
      <w:pPr>
        <w:pStyle w:val="standard"/>
        <w:keepNext/>
        <w:keepLines/>
        <w:rPr>
          <w:rFonts w:ascii="Times New Roman" w:hAnsi="Times New Roman"/>
          <w:sz w:val="24"/>
          <w:szCs w:val="24"/>
        </w:rPr>
      </w:pPr>
    </w:p>
    <w:p w:rsidRPr="00A35598" w:rsidR="00A35598" w:rsidP="00A35598" w:rsidRDefault="00A35598" w14:paraId="0CC07960" w14:textId="77777777">
      <w:pPr>
        <w:keepNext/>
        <w:keepLines/>
        <w:autoSpaceDE w:val="0"/>
        <w:autoSpaceDN w:val="0"/>
        <w:adjustRightInd w:val="0"/>
        <w:ind w:left="4380"/>
      </w:pPr>
      <w:r w:rsidRPr="00A35598">
        <w:t>Commissioner Matthew Baker recused himself from this agenda item and was not part of the quorum in its consideration.</w:t>
      </w:r>
    </w:p>
    <w:p w:rsidR="006B7228" w:rsidRDefault="006B7228" w14:paraId="37D74F32" w14:textId="77777777">
      <w:pPr>
        <w:sectPr w:rsidR="006B7228" w:rsidSect="006B7228">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A23C17" w:rsidRDefault="00A35598" w14:paraId="16C5D6B1" w14:textId="3E854125">
            <w:r>
              <w:t>D2501026</w:t>
            </w:r>
          </w:p>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A23C17"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A23C17" w:rsidRDefault="0084524E" w14:paraId="6846FB87" w14:textId="00AE0074">
            <w:pPr>
              <w:jc w:val="center"/>
            </w:pPr>
            <w:r>
              <w:t>No</w:t>
            </w:r>
          </w:p>
        </w:tc>
      </w:tr>
      <w:tr w:rsidRPr="00B803D5" w:rsidR="00FE3BAE" w:rsidTr="008340D8"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8340D8" w:rsidR="00FE3BAE" w:rsidP="00A23C17" w:rsidRDefault="007D1565" w14:paraId="426F2C45" w14:textId="0582B926">
            <w:r w:rsidRPr="008340D8">
              <w:t>D2405064</w:t>
            </w:r>
          </w:p>
        </w:tc>
      </w:tr>
      <w:tr w:rsidRPr="00B803D5" w:rsidR="00FE3BAE" w:rsidTr="008340D8"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8340D8" w:rsidR="00FE3BAE" w:rsidP="00A23C17" w:rsidRDefault="007D1565" w14:paraId="5B85688D" w14:textId="10A9426B">
            <w:r w:rsidRPr="008340D8">
              <w:t>R2007013</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F14CD7" w14:paraId="5E75C0F0" w14:textId="059C3B09">
            <w:r>
              <w:t>ALJ</w:t>
            </w:r>
            <w:r w:rsidRPr="00F14CD7">
              <w:t xml:space="preserve"> Lakey</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6257A0" w14:paraId="7CA711B6" w14:textId="6F5D33F0">
            <w:r w:rsidRPr="006257A0">
              <w:t>Pacific Gas and Electric Company, Southern California Edison Company, San Diego Gas &amp; Electric Company, and Southern California Gas Company</w:t>
            </w:r>
          </w:p>
        </w:tc>
      </w:tr>
    </w:tbl>
    <w:p w:rsidR="00747C01" w:rsidP="00472B6C" w:rsidRDefault="00747C01" w14:paraId="76182967" w14:textId="77777777">
      <w:pPr>
        <w:rPr>
          <w:b/>
          <w:bCs/>
          <w:sz w:val="28"/>
          <w:szCs w:val="28"/>
        </w:rPr>
      </w:pPr>
    </w:p>
    <w:p w:rsidRPr="00B803D5" w:rsidR="00FE3BAE" w:rsidP="00747C01" w:rsidRDefault="00FE3BAE" w14:paraId="7F0236A2" w14:textId="6ED17F93">
      <w:pPr>
        <w:spacing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6"/>
        <w:gridCol w:w="1460"/>
        <w:gridCol w:w="1420"/>
        <w:gridCol w:w="1588"/>
        <w:gridCol w:w="1405"/>
        <w:gridCol w:w="2501"/>
      </w:tblGrid>
      <w:tr w:rsidRPr="00B803D5"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4857DE">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381754"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7D1565" w14:paraId="3008FB17" w14:textId="5650E8F9">
            <w:pPr>
              <w:jc w:val="center"/>
            </w:pPr>
            <w:r>
              <w:t>The Protect Our Communities Foundation</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D11090" w14:paraId="63956769" w14:textId="361641F7">
            <w:pPr>
              <w:jc w:val="center"/>
            </w:pPr>
            <w:r>
              <w:t>8/05/2024</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4857DE" w14:paraId="75AD20FA" w14:textId="14A111BB">
            <w:pPr>
              <w:jc w:val="center"/>
            </w:pPr>
            <w:r>
              <w:t>$62,760</w:t>
            </w:r>
            <w:r w:rsidR="00410CD1">
              <w:fldChar w:fldCharType="begin"/>
            </w:r>
            <w:r w:rsidR="00410CD1">
              <w:instrText xml:space="preserve"> NOTEREF _Ref175927219 \f \h </w:instrText>
            </w:r>
            <w:r w:rsidR="00381754">
              <w:instrText xml:space="preserve"> \* MERGEFORMAT </w:instrText>
            </w:r>
            <w:r w:rsidR="00410CD1">
              <w:fldChar w:fldCharType="separate"/>
            </w:r>
            <w:r w:rsidRPr="00410CD1" w:rsidR="00410CD1">
              <w:rPr>
                <w:rStyle w:val="FootnoteReference"/>
              </w:rPr>
              <w:t>2</w:t>
            </w:r>
            <w:r w:rsidR="00410CD1">
              <w:fldChar w:fldCharType="end"/>
            </w:r>
          </w:p>
        </w:tc>
        <w:tc>
          <w:tcPr>
            <w:tcW w:w="1571" w:type="dxa"/>
            <w:tcBorders>
              <w:top w:val="single" w:color="auto" w:sz="4" w:space="0"/>
              <w:left w:val="single" w:color="auto" w:sz="4" w:space="0"/>
              <w:bottom w:val="single" w:color="auto" w:sz="4" w:space="0"/>
              <w:right w:val="single" w:color="auto" w:sz="4" w:space="0"/>
            </w:tcBorders>
            <w:hideMark/>
          </w:tcPr>
          <w:p w:rsidRPr="00B803D5" w:rsidR="00FE3BAE" w:rsidP="00A23C17" w:rsidRDefault="00B0632E" w14:paraId="0DD6FE00" w14:textId="0E00A3EB">
            <w:pPr>
              <w:jc w:val="center"/>
            </w:pPr>
            <w:r w:rsidRPr="00B0632E">
              <w:t>$54,542.50</w:t>
            </w:r>
          </w:p>
        </w:tc>
        <w:tc>
          <w:tcPr>
            <w:tcW w:w="1390" w:type="dxa"/>
            <w:tcBorders>
              <w:top w:val="single" w:color="auto" w:sz="4" w:space="0"/>
              <w:left w:val="single" w:color="auto" w:sz="4" w:space="0"/>
              <w:bottom w:val="single" w:color="auto" w:sz="4" w:space="0"/>
              <w:right w:val="single" w:color="auto" w:sz="4" w:space="0"/>
            </w:tcBorders>
            <w:hideMark/>
          </w:tcPr>
          <w:p w:rsidRPr="00B803D5" w:rsidR="00FE3BAE" w:rsidP="00A23C17"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B803D5" w:rsidR="00FE3BAE" w:rsidP="00A23C17" w:rsidRDefault="00774DE5" w14:paraId="6B53C6F9" w14:textId="3DF053B8">
            <w:pPr>
              <w:jc w:val="center"/>
            </w:pPr>
            <w:r w:rsidRPr="00000309">
              <w:rPr>
                <w:i/>
                <w:iCs/>
              </w:rPr>
              <w:t>See</w:t>
            </w:r>
            <w:r w:rsidRPr="00774DE5">
              <w:t xml:space="preserve"> Part III.D CPUC Comments, Disallowances, and Adjustments above.</w:t>
            </w:r>
          </w:p>
        </w:tc>
      </w:tr>
    </w:tbl>
    <w:p w:rsidR="006D5651" w:rsidP="006D5651" w:rsidRDefault="006D5651" w14:paraId="4330F2F5" w14:textId="77777777">
      <w:pPr>
        <w:rPr>
          <w:b/>
          <w:bCs/>
          <w:sz w:val="28"/>
          <w:szCs w:val="28"/>
        </w:rPr>
      </w:pPr>
    </w:p>
    <w:p w:rsidRPr="00B803D5" w:rsidR="00FE3BAE" w:rsidP="006D5651" w:rsidRDefault="0022302F" w14:paraId="2841210B" w14:textId="0A178409">
      <w:pPr>
        <w:spacing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934237"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C02649" w:rsidTr="00381754"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0F0C6D6C" w14:textId="742E7429">
            <w:pPr>
              <w:jc w:val="center"/>
            </w:pPr>
            <w:r w:rsidRPr="002D3014">
              <w:t>Malinda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6ACE7B68" w14:textId="75D649AC">
            <w:pPr>
              <w:jc w:val="center"/>
            </w:pPr>
            <w:r w:rsidRPr="002D3014">
              <w:t>Dickenson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FE0119" w:rsidR="003B6A1B" w:rsidP="00A23C17" w:rsidRDefault="00C94877" w14:paraId="0E61474F" w14:textId="1DCFF3E0">
            <w:pPr>
              <w:jc w:val="center"/>
            </w:pPr>
            <w:r w:rsidRPr="00FE0119">
              <w:t>Attorney</w:t>
            </w:r>
            <w:bookmarkStart w:name="_Ref176263246" w:id="2"/>
            <w:r w:rsidR="00E163CA">
              <w:rPr>
                <w:rStyle w:val="FootnoteReference"/>
              </w:rPr>
              <w:footnoteReference w:id="9"/>
            </w:r>
            <w:bookmarkEnd w:id="2"/>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234808" w14:paraId="44F9655C" w14:textId="1AB131A7">
            <w:pPr>
              <w:jc w:val="center"/>
            </w:pPr>
            <w:r>
              <w:t>700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D11090" w14:paraId="2EB25516" w14:textId="1A6378C8">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CB22BA" w14:paraId="0A76FE98" w14:textId="62615C0F">
            <w:pPr>
              <w:jc w:val="center"/>
            </w:pPr>
            <w:r>
              <w:t>$635.00</w:t>
            </w:r>
          </w:p>
        </w:tc>
      </w:tr>
      <w:tr w:rsidRPr="00B803D5" w:rsidR="00C02649" w:rsidTr="00381754"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4CFDAB24" w14:textId="286D9C67">
            <w:pPr>
              <w:jc w:val="center"/>
            </w:pPr>
            <w:r w:rsidRPr="002D3014">
              <w:t>Malinda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3A9B4F75" w14:textId="6AC73A9B">
            <w:pPr>
              <w:jc w:val="center"/>
            </w:pPr>
            <w:r w:rsidRPr="002D3014">
              <w:t>Dickenson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FE0119" w:rsidR="003B6A1B" w:rsidP="00A23C17" w:rsidRDefault="00C94877" w14:paraId="73440B00" w14:textId="710997D8">
            <w:pPr>
              <w:jc w:val="center"/>
            </w:pPr>
            <w:r w:rsidRPr="00FE0119">
              <w:t>Attorney</w:t>
            </w:r>
            <w:r w:rsidR="00E163CA">
              <w:fldChar w:fldCharType="begin"/>
            </w:r>
            <w:r w:rsidR="00E163CA">
              <w:instrText xml:space="preserve"> NOTEREF _Ref176263246 \f \h </w:instrText>
            </w:r>
            <w:r w:rsidR="00E163CA">
              <w:fldChar w:fldCharType="separate"/>
            </w:r>
            <w:r w:rsidRPr="00E163CA" w:rsidR="00E163CA">
              <w:rPr>
                <w:rStyle w:val="FootnoteReference"/>
              </w:rPr>
              <w:t>10</w:t>
            </w:r>
            <w:r w:rsidR="00E163CA">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234808" w14:paraId="1466F47E" w14:textId="1B42B53B">
            <w:pPr>
              <w:jc w:val="center"/>
            </w:pPr>
            <w:r>
              <w:t>730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D11090" w14:paraId="4CBE320E" w14:textId="6C72B2BC">
            <w:pPr>
              <w:jc w:val="center"/>
            </w:pPr>
            <w:r>
              <w:t>2024</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EF281C" w14:paraId="37932A57" w14:textId="449031F2">
            <w:pPr>
              <w:jc w:val="center"/>
            </w:pPr>
            <w:r>
              <w:t>$660.00</w:t>
            </w:r>
          </w:p>
        </w:tc>
      </w:tr>
      <w:tr w:rsidRPr="00B803D5" w:rsidR="00C02649" w:rsidTr="00381754" w14:paraId="4C519B4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65C04662" w14:textId="00DE464F">
            <w:pPr>
              <w:jc w:val="center"/>
            </w:pPr>
            <w:r w:rsidRPr="002D3014">
              <w:t>Jonathan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1C590887" w14:textId="7815AC6D">
            <w:pPr>
              <w:jc w:val="center"/>
            </w:pPr>
            <w:r w:rsidRPr="002D3014">
              <w:t>Webster</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FE0119" w:rsidR="003B6A1B" w:rsidP="00A23C17" w:rsidRDefault="00C94877" w14:paraId="1EA8DE3D" w14:textId="3DEF0ADF">
            <w:pPr>
              <w:jc w:val="center"/>
            </w:pPr>
            <w:r w:rsidRPr="00FE0119">
              <w:t>Advocate</w:t>
            </w:r>
            <w:r w:rsidR="00BE7236">
              <w:rPr>
                <w:rStyle w:val="FootnoteReference"/>
              </w:rPr>
              <w:footnoteReference w:id="10"/>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AA0B78" w14:paraId="4F6290AB" w14:textId="5C38FE9B">
            <w:pPr>
              <w:jc w:val="center"/>
            </w:pPr>
            <w:r>
              <w:t>2</w:t>
            </w:r>
            <w:r w:rsidR="00B61895">
              <w:t>0</w:t>
            </w:r>
            <w:r>
              <w:t>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D11090" w14:paraId="1354C70A" w14:textId="61A5A24B">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0F299A" w14:paraId="36649915" w14:textId="6C5094A1">
            <w:pPr>
              <w:jc w:val="center"/>
            </w:pPr>
            <w:r>
              <w:t>$150.00</w:t>
            </w:r>
          </w:p>
        </w:tc>
      </w:tr>
      <w:tr w:rsidRPr="00B803D5" w:rsidR="00C02649" w:rsidTr="00381754"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71BF257F" w14:textId="297146AE">
            <w:pPr>
              <w:jc w:val="center"/>
            </w:pPr>
            <w:r w:rsidRPr="002D3014">
              <w:t>Jonathan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4D0E5B24" w14:textId="37912475">
            <w:pPr>
              <w:jc w:val="center"/>
            </w:pPr>
            <w:r w:rsidRPr="002D3014">
              <w:t>Webster</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FE0119" w:rsidR="003B6A1B" w:rsidP="00A23C17" w:rsidRDefault="00C06452" w14:paraId="3ACB6465" w14:textId="467531F2">
            <w:pPr>
              <w:jc w:val="center"/>
            </w:pPr>
            <w:r w:rsidRPr="00FE0119">
              <w:t>Attorney</w:t>
            </w:r>
            <w:bookmarkStart w:name="_Ref176263320" w:id="3"/>
            <w:r w:rsidR="00BE7236">
              <w:rPr>
                <w:rStyle w:val="FootnoteReference"/>
              </w:rPr>
              <w:footnoteReference w:id="11"/>
            </w:r>
            <w:bookmarkEnd w:id="3"/>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AA0B78" w14:paraId="27D75B3F" w14:textId="2EA9C819">
            <w:pPr>
              <w:jc w:val="center"/>
            </w:pPr>
            <w:r>
              <w:t>270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D11090" w14:paraId="0BD45097" w14:textId="348E5D16">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D76425" w14:paraId="6B245605" w14:textId="2823E0E0">
            <w:pPr>
              <w:jc w:val="center"/>
            </w:pPr>
            <w:r>
              <w:t>$270.00</w:t>
            </w:r>
          </w:p>
        </w:tc>
      </w:tr>
      <w:tr w:rsidRPr="00B803D5" w:rsidR="00C02649" w:rsidTr="00381754"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115C1393" w14:textId="77B401E2">
            <w:pPr>
              <w:jc w:val="center"/>
            </w:pPr>
            <w:r w:rsidRPr="002D3014">
              <w:t>Jonathan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3014" w:rsidR="003B6A1B" w:rsidP="00A23C17" w:rsidRDefault="00D11090" w14:paraId="1467A27B" w14:textId="238FBBED">
            <w:pPr>
              <w:jc w:val="center"/>
            </w:pPr>
            <w:r w:rsidRPr="002D3014">
              <w:t>Webster</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FE0119" w:rsidR="003B6A1B" w:rsidP="00A23C17" w:rsidRDefault="00C06452" w14:paraId="66D10560" w14:textId="065F4AA1">
            <w:pPr>
              <w:jc w:val="center"/>
            </w:pPr>
            <w:r w:rsidRPr="00FE0119">
              <w:t>Attorney</w:t>
            </w:r>
            <w:r w:rsidR="00BE7236">
              <w:fldChar w:fldCharType="begin"/>
            </w:r>
            <w:r w:rsidR="00BE7236">
              <w:instrText xml:space="preserve"> NOTEREF _Ref176263320 \f \h </w:instrText>
            </w:r>
            <w:r w:rsidR="00BE7236">
              <w:fldChar w:fldCharType="separate"/>
            </w:r>
            <w:r w:rsidRPr="00BE7236" w:rsidR="00BE7236">
              <w:rPr>
                <w:rStyle w:val="FootnoteReference"/>
              </w:rPr>
              <w:t>12</w:t>
            </w:r>
            <w:r w:rsidR="00BE7236">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AA0B78" w14:paraId="7BC812A8" w14:textId="02215849">
            <w:pPr>
              <w:jc w:val="center"/>
            </w:pPr>
            <w:r>
              <w:t>280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3B6A1B" w:rsidP="00A23C17" w:rsidRDefault="00D11090" w14:paraId="4580AE9E" w14:textId="334A09B5">
            <w:pPr>
              <w:jc w:val="center"/>
            </w:pPr>
            <w:r>
              <w:t>2024</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D76425" w14:paraId="74B7B957" w14:textId="070FB7C1">
            <w:pPr>
              <w:jc w:val="center"/>
            </w:pPr>
            <w:r>
              <w:t>$280.00</w:t>
            </w:r>
          </w:p>
        </w:tc>
      </w:tr>
    </w:tbl>
    <w:p w:rsidR="0022302F" w:rsidP="00FE3BAE" w:rsidRDefault="0022302F" w14:paraId="439C0840" w14:textId="77777777">
      <w:pPr>
        <w:spacing w:line="360" w:lineRule="auto"/>
        <w:rPr>
          <w:b/>
        </w:rPr>
      </w:pPr>
    </w:p>
    <w:p w:rsidRPr="00B803D5" w:rsidR="00FE3BAE" w:rsidP="00FE3BAE" w:rsidRDefault="00FE3BAE" w14:paraId="53F54635" w14:textId="77777777">
      <w:pPr>
        <w:jc w:val="center"/>
      </w:pPr>
      <w:r w:rsidRPr="00B803D5">
        <w:rPr>
          <w:b/>
        </w:rPr>
        <w:t xml:space="preserve">(END OF </w:t>
      </w:r>
      <w:r w:rsidRPr="00B803D5">
        <w:rPr>
          <w:b/>
          <w:szCs w:val="26"/>
        </w:rPr>
        <w:t>APPENDIX</w:t>
      </w:r>
      <w:r w:rsidRPr="00B803D5">
        <w:rPr>
          <w:b/>
        </w:rPr>
        <w:t>)</w:t>
      </w:r>
    </w:p>
    <w:sectPr w:rsidRPr="00B803D5" w:rsidR="00FE3BAE" w:rsidSect="006B7228">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D8A4" w14:textId="77777777" w:rsidR="00097FE1" w:rsidRDefault="00097FE1" w:rsidP="00885956">
      <w:r>
        <w:separator/>
      </w:r>
    </w:p>
  </w:endnote>
  <w:endnote w:type="continuationSeparator" w:id="0">
    <w:p w14:paraId="056F0337" w14:textId="77777777" w:rsidR="00097FE1" w:rsidRDefault="00097FE1"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9329"/>
      <w:docPartObj>
        <w:docPartGallery w:val="Page Numbers (Bottom of Page)"/>
        <w:docPartUnique/>
      </w:docPartObj>
    </w:sdtPr>
    <w:sdtEndPr>
      <w:rPr>
        <w:noProof/>
      </w:rPr>
    </w:sdtEndPr>
    <w:sdtContent>
      <w:p w14:paraId="560F7D5D" w14:textId="2FBC605D" w:rsidR="00CF1129" w:rsidRDefault="00A35598" w:rsidP="00187FA5">
        <w:pPr>
          <w:pStyle w:val="Footer"/>
        </w:pPr>
        <w:r w:rsidRPr="00A35598">
          <w:rPr>
            <w:sz w:val="16"/>
            <w:szCs w:val="16"/>
          </w:rPr>
          <w:t>555511606</w:t>
        </w:r>
        <w:r w:rsidR="00187FA5">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8A90" w14:textId="77777777" w:rsidR="00097FE1" w:rsidRDefault="00097FE1" w:rsidP="00885956">
      <w:r>
        <w:separator/>
      </w:r>
    </w:p>
  </w:footnote>
  <w:footnote w:type="continuationSeparator" w:id="0">
    <w:p w14:paraId="7C9B15C5" w14:textId="77777777" w:rsidR="00097FE1" w:rsidRDefault="00097FE1" w:rsidP="00885956">
      <w:r>
        <w:continuationSeparator/>
      </w:r>
    </w:p>
  </w:footnote>
  <w:footnote w:id="1">
    <w:p w14:paraId="6A083E02" w14:textId="1EC36EB6" w:rsidR="00934237" w:rsidRDefault="00934237">
      <w:pPr>
        <w:pStyle w:val="FootnoteText"/>
      </w:pPr>
      <w:r>
        <w:rPr>
          <w:rStyle w:val="FootnoteReference"/>
        </w:rPr>
        <w:footnoteRef/>
      </w:r>
      <w:r>
        <w:t xml:space="preserve"> </w:t>
      </w:r>
      <w:r w:rsidRPr="00934237">
        <w:t xml:space="preserve">The correct </w:t>
      </w:r>
      <w:r w:rsidR="00F14CD7">
        <w:t>amount claimed</w:t>
      </w:r>
      <w:r w:rsidRPr="00934237">
        <w:t xml:space="preserve"> is $65,103.00</w:t>
      </w:r>
      <w:r w:rsidR="00F14CD7">
        <w:t>.</w:t>
      </w:r>
    </w:p>
  </w:footnote>
  <w:footnote w:id="2">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3">
    <w:p w14:paraId="313F21B8" w14:textId="1BB64DB4" w:rsidR="00124122" w:rsidRDefault="00124122">
      <w:pPr>
        <w:pStyle w:val="FootnoteText"/>
      </w:pPr>
      <w:r>
        <w:rPr>
          <w:rStyle w:val="FootnoteReference"/>
        </w:rPr>
        <w:footnoteRef/>
      </w:r>
      <w:r>
        <w:t xml:space="preserve"> We note the correct file date is </w:t>
      </w:r>
      <w:r w:rsidRPr="00124122">
        <w:t>April 21, 2023</w:t>
      </w:r>
      <w:r>
        <w:t>.</w:t>
      </w:r>
    </w:p>
  </w:footnote>
  <w:footnote w:id="4">
    <w:p w14:paraId="4573FB60" w14:textId="0E201103" w:rsidR="00694C43" w:rsidRDefault="00694C43">
      <w:pPr>
        <w:pStyle w:val="FootnoteText"/>
      </w:pPr>
      <w:r>
        <w:rPr>
          <w:rStyle w:val="FootnoteReference"/>
        </w:rPr>
        <w:footnoteRef/>
      </w:r>
      <w:r>
        <w:t xml:space="preserve"> </w:t>
      </w:r>
      <w:r w:rsidR="00644D0E">
        <w:t>T</w:t>
      </w:r>
      <w:r>
        <w:t>he correct total is</w:t>
      </w:r>
      <w:r w:rsidR="00CB74B6">
        <w:t xml:space="preserve"> </w:t>
      </w:r>
      <w:r w:rsidR="00CB74B6" w:rsidRPr="00CB74B6">
        <w:t>$18,353.50</w:t>
      </w:r>
      <w:r w:rsidR="00CB74B6">
        <w:t>.</w:t>
      </w:r>
    </w:p>
  </w:footnote>
  <w:footnote w:id="5">
    <w:p w14:paraId="0A8B1205" w14:textId="6085E3A7" w:rsidR="00E525E1" w:rsidRDefault="00E525E1">
      <w:pPr>
        <w:pStyle w:val="FootnoteText"/>
      </w:pPr>
      <w:r>
        <w:rPr>
          <w:rStyle w:val="FootnoteReference"/>
        </w:rPr>
        <w:footnoteRef/>
      </w:r>
      <w:r>
        <w:t xml:space="preserve"> </w:t>
      </w:r>
      <w:r w:rsidR="009F01F0">
        <w:t>The</w:t>
      </w:r>
      <w:r>
        <w:t xml:space="preserve"> correct </w:t>
      </w:r>
      <w:r w:rsidR="007A7557">
        <w:t>sub</w:t>
      </w:r>
      <w:r>
        <w:t xml:space="preserve">total is </w:t>
      </w:r>
      <w:r w:rsidR="006D64F3">
        <w:t>$63,393.50</w:t>
      </w:r>
      <w:r w:rsidR="007173D2">
        <w:t>.</w:t>
      </w:r>
    </w:p>
  </w:footnote>
  <w:footnote w:id="6">
    <w:p w14:paraId="46F7C5AA" w14:textId="66F969DE" w:rsidR="00937703" w:rsidRDefault="00937703">
      <w:pPr>
        <w:pStyle w:val="FootnoteText"/>
      </w:pPr>
      <w:r>
        <w:rPr>
          <w:rStyle w:val="FootnoteReference"/>
        </w:rPr>
        <w:footnoteRef/>
      </w:r>
      <w:r>
        <w:t xml:space="preserve"> </w:t>
      </w:r>
      <w:r w:rsidR="009F01F0">
        <w:t>T</w:t>
      </w:r>
      <w:r>
        <w:t xml:space="preserve">he correct total request is </w:t>
      </w:r>
      <w:r w:rsidR="007173D2">
        <w:t>$65,103.00.</w:t>
      </w:r>
    </w:p>
  </w:footnote>
  <w:footnote w:id="7">
    <w:p w14:paraId="2A44723A" w14:textId="14FE22AB"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8">
    <w:p w14:paraId="1CFA02EE" w14:textId="62FB9D05" w:rsidR="00950419" w:rsidRDefault="00950419">
      <w:pPr>
        <w:pStyle w:val="FootnoteText"/>
      </w:pPr>
      <w:r>
        <w:rPr>
          <w:rStyle w:val="FootnoteReference"/>
        </w:rPr>
        <w:footnoteRef/>
      </w:r>
      <w:r>
        <w:t xml:space="preserve"> </w:t>
      </w:r>
      <w:r w:rsidRPr="00950419">
        <w:t>Attachments not included in final Decision.</w:t>
      </w:r>
    </w:p>
  </w:footnote>
  <w:footnote w:id="9">
    <w:p w14:paraId="4DCBA0C1" w14:textId="55CA55C1" w:rsidR="00E163CA" w:rsidRDefault="00E163CA">
      <w:pPr>
        <w:pStyle w:val="FootnoteText"/>
      </w:pPr>
      <w:r>
        <w:rPr>
          <w:rStyle w:val="FootnoteReference"/>
        </w:rPr>
        <w:footnoteRef/>
      </w:r>
      <w:r>
        <w:t xml:space="preserve"> Dickenson is classified as a Legal Director – IV.</w:t>
      </w:r>
    </w:p>
  </w:footnote>
  <w:footnote w:id="10">
    <w:p w14:paraId="1680EEA5" w14:textId="5D8152BD" w:rsidR="00BE7236" w:rsidRDefault="00BE7236">
      <w:pPr>
        <w:pStyle w:val="FootnoteText"/>
      </w:pPr>
      <w:r>
        <w:rPr>
          <w:rStyle w:val="FootnoteReference"/>
        </w:rPr>
        <w:footnoteRef/>
      </w:r>
      <w:r>
        <w:t xml:space="preserve"> Webster is classified as a Paralegal – I (pre-BAR rate</w:t>
      </w:r>
      <w:r w:rsidR="00B60680">
        <w:t>).</w:t>
      </w:r>
    </w:p>
  </w:footnote>
  <w:footnote w:id="11">
    <w:p w14:paraId="1909E117" w14:textId="72642F36" w:rsidR="00BE7236" w:rsidRDefault="00BE7236">
      <w:pPr>
        <w:pStyle w:val="FootnoteText"/>
      </w:pPr>
      <w:r>
        <w:rPr>
          <w:rStyle w:val="FootnoteReference"/>
        </w:rPr>
        <w:footnoteRef/>
      </w:r>
      <w:r>
        <w:t xml:space="preserve"> Webster is classified as an Attorney – I (post-BAR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E726" w14:textId="6C2B2238" w:rsidR="00243D8C" w:rsidRDefault="00243D8C">
    <w:pPr>
      <w:pStyle w:val="Header"/>
      <w:rPr>
        <w:b/>
        <w:bCs/>
      </w:rPr>
    </w:pPr>
    <w:r>
      <w:t>R.20-07-013  ALJ/JLQ/smt</w:t>
    </w:r>
    <w:r>
      <w:tab/>
    </w:r>
    <w:r>
      <w:tab/>
    </w:r>
  </w:p>
  <w:p w14:paraId="21A32EF0" w14:textId="77777777" w:rsidR="00243D8C" w:rsidRDefault="00243D8C">
    <w:pPr>
      <w:pStyle w:val="Header"/>
      <w:rPr>
        <w:b/>
        <w:bCs/>
      </w:rPr>
    </w:pPr>
  </w:p>
  <w:p w14:paraId="455FB2D7" w14:textId="77777777" w:rsidR="00243D8C" w:rsidRDefault="0024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D0AA8"/>
    <w:multiLevelType w:val="hybridMultilevel"/>
    <w:tmpl w:val="DC68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5B71D89"/>
    <w:multiLevelType w:val="hybridMultilevel"/>
    <w:tmpl w:val="F7BA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2E72B5"/>
    <w:multiLevelType w:val="hybridMultilevel"/>
    <w:tmpl w:val="463E372E"/>
    <w:lvl w:ilvl="0" w:tplc="6D98E85E">
      <w:start w:val="1"/>
      <w:numFmt w:val="upp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431786">
    <w:abstractNumId w:val="10"/>
  </w:num>
  <w:num w:numId="2" w16cid:durableId="296566636">
    <w:abstractNumId w:val="0"/>
  </w:num>
  <w:num w:numId="3" w16cid:durableId="2098595014">
    <w:abstractNumId w:val="11"/>
  </w:num>
  <w:num w:numId="4" w16cid:durableId="1312905431">
    <w:abstractNumId w:val="6"/>
  </w:num>
  <w:num w:numId="5" w16cid:durableId="417093550">
    <w:abstractNumId w:val="4"/>
  </w:num>
  <w:num w:numId="6" w16cid:durableId="1486429129">
    <w:abstractNumId w:val="9"/>
  </w:num>
  <w:num w:numId="7" w16cid:durableId="258221757">
    <w:abstractNumId w:val="5"/>
  </w:num>
  <w:num w:numId="8" w16cid:durableId="842936081">
    <w:abstractNumId w:val="8"/>
  </w:num>
  <w:num w:numId="9" w16cid:durableId="1685205339">
    <w:abstractNumId w:val="1"/>
  </w:num>
  <w:num w:numId="10" w16cid:durableId="789317941">
    <w:abstractNumId w:val="3"/>
  </w:num>
  <w:num w:numId="11" w16cid:durableId="402684679">
    <w:abstractNumId w:val="12"/>
  </w:num>
  <w:num w:numId="12" w16cid:durableId="802770043">
    <w:abstractNumId w:val="7"/>
  </w:num>
  <w:num w:numId="13" w16cid:durableId="251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309"/>
    <w:rsid w:val="00000CF1"/>
    <w:rsid w:val="00002CAC"/>
    <w:rsid w:val="00003A49"/>
    <w:rsid w:val="00006AB0"/>
    <w:rsid w:val="00011996"/>
    <w:rsid w:val="00014F60"/>
    <w:rsid w:val="00017E3C"/>
    <w:rsid w:val="000213C3"/>
    <w:rsid w:val="00026A15"/>
    <w:rsid w:val="00030C3E"/>
    <w:rsid w:val="00031487"/>
    <w:rsid w:val="00033E0D"/>
    <w:rsid w:val="00034492"/>
    <w:rsid w:val="00035A26"/>
    <w:rsid w:val="0003634A"/>
    <w:rsid w:val="00036F54"/>
    <w:rsid w:val="00042D49"/>
    <w:rsid w:val="00044DDA"/>
    <w:rsid w:val="000450F8"/>
    <w:rsid w:val="00045A2F"/>
    <w:rsid w:val="00046B63"/>
    <w:rsid w:val="00046ED6"/>
    <w:rsid w:val="00050589"/>
    <w:rsid w:val="00052D1B"/>
    <w:rsid w:val="0005538D"/>
    <w:rsid w:val="00055843"/>
    <w:rsid w:val="00055AC6"/>
    <w:rsid w:val="00062F28"/>
    <w:rsid w:val="00062FF6"/>
    <w:rsid w:val="00065A73"/>
    <w:rsid w:val="00066C9C"/>
    <w:rsid w:val="0007232C"/>
    <w:rsid w:val="00072C81"/>
    <w:rsid w:val="00073262"/>
    <w:rsid w:val="00073B22"/>
    <w:rsid w:val="00075E20"/>
    <w:rsid w:val="000775B8"/>
    <w:rsid w:val="00083E46"/>
    <w:rsid w:val="00084200"/>
    <w:rsid w:val="00092ADE"/>
    <w:rsid w:val="00093A7B"/>
    <w:rsid w:val="00094EB5"/>
    <w:rsid w:val="0009556A"/>
    <w:rsid w:val="00095EF9"/>
    <w:rsid w:val="000971C0"/>
    <w:rsid w:val="00097FE1"/>
    <w:rsid w:val="000A0076"/>
    <w:rsid w:val="000A3441"/>
    <w:rsid w:val="000A62F6"/>
    <w:rsid w:val="000B0E79"/>
    <w:rsid w:val="000B1085"/>
    <w:rsid w:val="000B28F8"/>
    <w:rsid w:val="000B4F8F"/>
    <w:rsid w:val="000B5BCE"/>
    <w:rsid w:val="000B6E33"/>
    <w:rsid w:val="000C651E"/>
    <w:rsid w:val="000D5961"/>
    <w:rsid w:val="000D6624"/>
    <w:rsid w:val="000D6CA0"/>
    <w:rsid w:val="000D6DF8"/>
    <w:rsid w:val="000E41D9"/>
    <w:rsid w:val="000E68E7"/>
    <w:rsid w:val="000E6ABD"/>
    <w:rsid w:val="000E6FE7"/>
    <w:rsid w:val="000F0736"/>
    <w:rsid w:val="000F0D27"/>
    <w:rsid w:val="000F2402"/>
    <w:rsid w:val="000F24EC"/>
    <w:rsid w:val="000F297B"/>
    <w:rsid w:val="000F299A"/>
    <w:rsid w:val="000F595C"/>
    <w:rsid w:val="000F7277"/>
    <w:rsid w:val="000F761B"/>
    <w:rsid w:val="000F7670"/>
    <w:rsid w:val="00102D40"/>
    <w:rsid w:val="001040F4"/>
    <w:rsid w:val="0010480F"/>
    <w:rsid w:val="00106762"/>
    <w:rsid w:val="00106E99"/>
    <w:rsid w:val="00110D89"/>
    <w:rsid w:val="00113DE5"/>
    <w:rsid w:val="00123103"/>
    <w:rsid w:val="00124122"/>
    <w:rsid w:val="00125492"/>
    <w:rsid w:val="001267F8"/>
    <w:rsid w:val="00126B25"/>
    <w:rsid w:val="00130D29"/>
    <w:rsid w:val="0013174B"/>
    <w:rsid w:val="001346EB"/>
    <w:rsid w:val="00141A4E"/>
    <w:rsid w:val="0014394F"/>
    <w:rsid w:val="00147A78"/>
    <w:rsid w:val="0015084D"/>
    <w:rsid w:val="00151AA8"/>
    <w:rsid w:val="00152F94"/>
    <w:rsid w:val="0015624B"/>
    <w:rsid w:val="00171CCC"/>
    <w:rsid w:val="00171EBF"/>
    <w:rsid w:val="001727DF"/>
    <w:rsid w:val="001744EB"/>
    <w:rsid w:val="001745C9"/>
    <w:rsid w:val="00175865"/>
    <w:rsid w:val="0018029A"/>
    <w:rsid w:val="00180E8C"/>
    <w:rsid w:val="00181E1F"/>
    <w:rsid w:val="00181EB2"/>
    <w:rsid w:val="00183262"/>
    <w:rsid w:val="00183A8D"/>
    <w:rsid w:val="00187FA5"/>
    <w:rsid w:val="001930C4"/>
    <w:rsid w:val="001930F4"/>
    <w:rsid w:val="00193175"/>
    <w:rsid w:val="001962EB"/>
    <w:rsid w:val="00196351"/>
    <w:rsid w:val="001A3CF3"/>
    <w:rsid w:val="001B4565"/>
    <w:rsid w:val="001C06C3"/>
    <w:rsid w:val="001C0DD1"/>
    <w:rsid w:val="001C21AE"/>
    <w:rsid w:val="001D2C79"/>
    <w:rsid w:val="001D3ED2"/>
    <w:rsid w:val="001D4D3A"/>
    <w:rsid w:val="001D5833"/>
    <w:rsid w:val="001D5DAB"/>
    <w:rsid w:val="001E056A"/>
    <w:rsid w:val="001E311D"/>
    <w:rsid w:val="001E4686"/>
    <w:rsid w:val="001E63FF"/>
    <w:rsid w:val="001E77CF"/>
    <w:rsid w:val="001E795C"/>
    <w:rsid w:val="001E7EE2"/>
    <w:rsid w:val="001F1942"/>
    <w:rsid w:val="001F1BF0"/>
    <w:rsid w:val="001F1F47"/>
    <w:rsid w:val="001F238E"/>
    <w:rsid w:val="001F438F"/>
    <w:rsid w:val="001F4B7E"/>
    <w:rsid w:val="00202ADF"/>
    <w:rsid w:val="00204E3A"/>
    <w:rsid w:val="00206DAB"/>
    <w:rsid w:val="002076E1"/>
    <w:rsid w:val="00212E10"/>
    <w:rsid w:val="00214B22"/>
    <w:rsid w:val="0021532F"/>
    <w:rsid w:val="00217224"/>
    <w:rsid w:val="00221797"/>
    <w:rsid w:val="0022302F"/>
    <w:rsid w:val="002253FE"/>
    <w:rsid w:val="00227B70"/>
    <w:rsid w:val="00230358"/>
    <w:rsid w:val="00230392"/>
    <w:rsid w:val="002312A9"/>
    <w:rsid w:val="0023306E"/>
    <w:rsid w:val="0023426E"/>
    <w:rsid w:val="00234808"/>
    <w:rsid w:val="002415DC"/>
    <w:rsid w:val="00241F7A"/>
    <w:rsid w:val="002422E9"/>
    <w:rsid w:val="00242B66"/>
    <w:rsid w:val="00243D8C"/>
    <w:rsid w:val="00246355"/>
    <w:rsid w:val="002466F8"/>
    <w:rsid w:val="00253AD9"/>
    <w:rsid w:val="002556D1"/>
    <w:rsid w:val="002557D8"/>
    <w:rsid w:val="00255A2F"/>
    <w:rsid w:val="002563C3"/>
    <w:rsid w:val="00256F00"/>
    <w:rsid w:val="00260518"/>
    <w:rsid w:val="002612BA"/>
    <w:rsid w:val="002612E0"/>
    <w:rsid w:val="00261FD2"/>
    <w:rsid w:val="002633B2"/>
    <w:rsid w:val="00264333"/>
    <w:rsid w:val="00264EE9"/>
    <w:rsid w:val="00270E2E"/>
    <w:rsid w:val="00273208"/>
    <w:rsid w:val="00275377"/>
    <w:rsid w:val="002808D4"/>
    <w:rsid w:val="0028723B"/>
    <w:rsid w:val="00287A37"/>
    <w:rsid w:val="002A0096"/>
    <w:rsid w:val="002A0DFB"/>
    <w:rsid w:val="002A179F"/>
    <w:rsid w:val="002A210B"/>
    <w:rsid w:val="002A3FEE"/>
    <w:rsid w:val="002A468A"/>
    <w:rsid w:val="002A57D8"/>
    <w:rsid w:val="002A6C07"/>
    <w:rsid w:val="002B26B4"/>
    <w:rsid w:val="002B6C71"/>
    <w:rsid w:val="002B6C74"/>
    <w:rsid w:val="002B7DD0"/>
    <w:rsid w:val="002C2516"/>
    <w:rsid w:val="002C2899"/>
    <w:rsid w:val="002C49A4"/>
    <w:rsid w:val="002D1A29"/>
    <w:rsid w:val="002D21CA"/>
    <w:rsid w:val="002D3014"/>
    <w:rsid w:val="002D53AA"/>
    <w:rsid w:val="002D5893"/>
    <w:rsid w:val="002D5D44"/>
    <w:rsid w:val="002D682D"/>
    <w:rsid w:val="002E2A8B"/>
    <w:rsid w:val="002E58AC"/>
    <w:rsid w:val="002E5F83"/>
    <w:rsid w:val="002E696F"/>
    <w:rsid w:val="002E6F2E"/>
    <w:rsid w:val="002E77D8"/>
    <w:rsid w:val="002F21FD"/>
    <w:rsid w:val="002F31BD"/>
    <w:rsid w:val="002F4006"/>
    <w:rsid w:val="002F4B3C"/>
    <w:rsid w:val="002F4ECA"/>
    <w:rsid w:val="002F4FE5"/>
    <w:rsid w:val="002F5D1E"/>
    <w:rsid w:val="002F67E3"/>
    <w:rsid w:val="00303C2B"/>
    <w:rsid w:val="00306C1C"/>
    <w:rsid w:val="003101A0"/>
    <w:rsid w:val="00310BCC"/>
    <w:rsid w:val="00311B1F"/>
    <w:rsid w:val="00315BB3"/>
    <w:rsid w:val="00320DFE"/>
    <w:rsid w:val="003240B8"/>
    <w:rsid w:val="00335A7F"/>
    <w:rsid w:val="003461A1"/>
    <w:rsid w:val="003501DD"/>
    <w:rsid w:val="0035276E"/>
    <w:rsid w:val="00354321"/>
    <w:rsid w:val="0035447F"/>
    <w:rsid w:val="003556A5"/>
    <w:rsid w:val="00357623"/>
    <w:rsid w:val="00357F1A"/>
    <w:rsid w:val="00360383"/>
    <w:rsid w:val="00361386"/>
    <w:rsid w:val="003616B1"/>
    <w:rsid w:val="00362194"/>
    <w:rsid w:val="003649D1"/>
    <w:rsid w:val="00364ED1"/>
    <w:rsid w:val="00365746"/>
    <w:rsid w:val="003679F4"/>
    <w:rsid w:val="00374FD1"/>
    <w:rsid w:val="003754A6"/>
    <w:rsid w:val="00375C46"/>
    <w:rsid w:val="003773DF"/>
    <w:rsid w:val="00377884"/>
    <w:rsid w:val="00380703"/>
    <w:rsid w:val="00380EEB"/>
    <w:rsid w:val="003811F3"/>
    <w:rsid w:val="00381754"/>
    <w:rsid w:val="0038688E"/>
    <w:rsid w:val="00387C28"/>
    <w:rsid w:val="003902CB"/>
    <w:rsid w:val="003903F3"/>
    <w:rsid w:val="00395D93"/>
    <w:rsid w:val="00397322"/>
    <w:rsid w:val="003A2A4F"/>
    <w:rsid w:val="003B1782"/>
    <w:rsid w:val="003B2DE2"/>
    <w:rsid w:val="003B3483"/>
    <w:rsid w:val="003B5EAC"/>
    <w:rsid w:val="003B61F9"/>
    <w:rsid w:val="003B6A1B"/>
    <w:rsid w:val="003C291D"/>
    <w:rsid w:val="003C608A"/>
    <w:rsid w:val="003C6320"/>
    <w:rsid w:val="003D1C3F"/>
    <w:rsid w:val="003D359B"/>
    <w:rsid w:val="003D4455"/>
    <w:rsid w:val="003D682D"/>
    <w:rsid w:val="003D7C26"/>
    <w:rsid w:val="003E1B2D"/>
    <w:rsid w:val="003E34FD"/>
    <w:rsid w:val="003E7000"/>
    <w:rsid w:val="003E7B03"/>
    <w:rsid w:val="003F299E"/>
    <w:rsid w:val="003F4D02"/>
    <w:rsid w:val="003F6F28"/>
    <w:rsid w:val="0040252D"/>
    <w:rsid w:val="004029F4"/>
    <w:rsid w:val="00410CD1"/>
    <w:rsid w:val="00412C6A"/>
    <w:rsid w:val="004162D3"/>
    <w:rsid w:val="00417CC4"/>
    <w:rsid w:val="004213F9"/>
    <w:rsid w:val="00422951"/>
    <w:rsid w:val="0042435F"/>
    <w:rsid w:val="00427133"/>
    <w:rsid w:val="004349B6"/>
    <w:rsid w:val="00434D6E"/>
    <w:rsid w:val="00434DCE"/>
    <w:rsid w:val="0043509B"/>
    <w:rsid w:val="00435C30"/>
    <w:rsid w:val="004506EE"/>
    <w:rsid w:val="00450804"/>
    <w:rsid w:val="004534E7"/>
    <w:rsid w:val="00461277"/>
    <w:rsid w:val="0046248A"/>
    <w:rsid w:val="004625A4"/>
    <w:rsid w:val="00467E65"/>
    <w:rsid w:val="0047196F"/>
    <w:rsid w:val="004729EF"/>
    <w:rsid w:val="00472B6C"/>
    <w:rsid w:val="00472F74"/>
    <w:rsid w:val="00473A73"/>
    <w:rsid w:val="00473CA9"/>
    <w:rsid w:val="00476510"/>
    <w:rsid w:val="00480BF6"/>
    <w:rsid w:val="00483EB2"/>
    <w:rsid w:val="004840D2"/>
    <w:rsid w:val="00484CF0"/>
    <w:rsid w:val="004855CC"/>
    <w:rsid w:val="004856E7"/>
    <w:rsid w:val="004857DE"/>
    <w:rsid w:val="00486A5D"/>
    <w:rsid w:val="00487A90"/>
    <w:rsid w:val="00490534"/>
    <w:rsid w:val="00490DA7"/>
    <w:rsid w:val="0049249F"/>
    <w:rsid w:val="00494451"/>
    <w:rsid w:val="00496569"/>
    <w:rsid w:val="004A0930"/>
    <w:rsid w:val="004A4242"/>
    <w:rsid w:val="004A5929"/>
    <w:rsid w:val="004A5B48"/>
    <w:rsid w:val="004A6FD4"/>
    <w:rsid w:val="004B3D63"/>
    <w:rsid w:val="004B5164"/>
    <w:rsid w:val="004B735D"/>
    <w:rsid w:val="004C0961"/>
    <w:rsid w:val="004C39A1"/>
    <w:rsid w:val="004C3D49"/>
    <w:rsid w:val="004C47C7"/>
    <w:rsid w:val="004C48DA"/>
    <w:rsid w:val="004C7305"/>
    <w:rsid w:val="004D18C0"/>
    <w:rsid w:val="004D295B"/>
    <w:rsid w:val="004D2C9D"/>
    <w:rsid w:val="004D3A33"/>
    <w:rsid w:val="004D3EF7"/>
    <w:rsid w:val="004D4DC6"/>
    <w:rsid w:val="004D6B6D"/>
    <w:rsid w:val="004D7162"/>
    <w:rsid w:val="004D779D"/>
    <w:rsid w:val="004E0395"/>
    <w:rsid w:val="004E2F0E"/>
    <w:rsid w:val="004E3939"/>
    <w:rsid w:val="004E3D93"/>
    <w:rsid w:val="004E4B7C"/>
    <w:rsid w:val="004E549D"/>
    <w:rsid w:val="004E6592"/>
    <w:rsid w:val="004E73F2"/>
    <w:rsid w:val="004F2771"/>
    <w:rsid w:val="004F2F3A"/>
    <w:rsid w:val="004F32CF"/>
    <w:rsid w:val="004F54DB"/>
    <w:rsid w:val="00502D69"/>
    <w:rsid w:val="00504183"/>
    <w:rsid w:val="005042FA"/>
    <w:rsid w:val="00505653"/>
    <w:rsid w:val="0050684C"/>
    <w:rsid w:val="00507A25"/>
    <w:rsid w:val="00511161"/>
    <w:rsid w:val="005119A6"/>
    <w:rsid w:val="00516CE7"/>
    <w:rsid w:val="005215EF"/>
    <w:rsid w:val="00521B86"/>
    <w:rsid w:val="0052318A"/>
    <w:rsid w:val="00523E92"/>
    <w:rsid w:val="005261E9"/>
    <w:rsid w:val="005266FD"/>
    <w:rsid w:val="00526FF6"/>
    <w:rsid w:val="00527FDB"/>
    <w:rsid w:val="0053086D"/>
    <w:rsid w:val="00533373"/>
    <w:rsid w:val="00534A90"/>
    <w:rsid w:val="005362C7"/>
    <w:rsid w:val="00546B44"/>
    <w:rsid w:val="00547145"/>
    <w:rsid w:val="00551967"/>
    <w:rsid w:val="00551A43"/>
    <w:rsid w:val="0055228B"/>
    <w:rsid w:val="00555A57"/>
    <w:rsid w:val="00557B83"/>
    <w:rsid w:val="005600C7"/>
    <w:rsid w:val="005628A9"/>
    <w:rsid w:val="00565EA9"/>
    <w:rsid w:val="00566E3A"/>
    <w:rsid w:val="0057088A"/>
    <w:rsid w:val="00575494"/>
    <w:rsid w:val="00585CB7"/>
    <w:rsid w:val="005911E7"/>
    <w:rsid w:val="005912FA"/>
    <w:rsid w:val="005918E3"/>
    <w:rsid w:val="0059289A"/>
    <w:rsid w:val="005961FD"/>
    <w:rsid w:val="005A07FA"/>
    <w:rsid w:val="005A0916"/>
    <w:rsid w:val="005A28E9"/>
    <w:rsid w:val="005A3018"/>
    <w:rsid w:val="005A3C45"/>
    <w:rsid w:val="005A4F44"/>
    <w:rsid w:val="005A53F1"/>
    <w:rsid w:val="005A54E4"/>
    <w:rsid w:val="005A63D4"/>
    <w:rsid w:val="005A65C2"/>
    <w:rsid w:val="005A7013"/>
    <w:rsid w:val="005A7D59"/>
    <w:rsid w:val="005B4343"/>
    <w:rsid w:val="005B5B44"/>
    <w:rsid w:val="005C327F"/>
    <w:rsid w:val="005C6B46"/>
    <w:rsid w:val="005D12CE"/>
    <w:rsid w:val="005D1EEF"/>
    <w:rsid w:val="005D24C2"/>
    <w:rsid w:val="005D374C"/>
    <w:rsid w:val="005D3BF0"/>
    <w:rsid w:val="005D3FAE"/>
    <w:rsid w:val="005D6F23"/>
    <w:rsid w:val="005E5A33"/>
    <w:rsid w:val="005E795E"/>
    <w:rsid w:val="005F0426"/>
    <w:rsid w:val="005F1B97"/>
    <w:rsid w:val="005F3E0A"/>
    <w:rsid w:val="005F3FC3"/>
    <w:rsid w:val="005F4D82"/>
    <w:rsid w:val="005F510E"/>
    <w:rsid w:val="00601333"/>
    <w:rsid w:val="00601C20"/>
    <w:rsid w:val="00604C60"/>
    <w:rsid w:val="00607CA1"/>
    <w:rsid w:val="00614997"/>
    <w:rsid w:val="00615D2C"/>
    <w:rsid w:val="00616B35"/>
    <w:rsid w:val="006174E7"/>
    <w:rsid w:val="006211A1"/>
    <w:rsid w:val="00621A7C"/>
    <w:rsid w:val="00622A80"/>
    <w:rsid w:val="00623794"/>
    <w:rsid w:val="00624CE6"/>
    <w:rsid w:val="006257A0"/>
    <w:rsid w:val="00633930"/>
    <w:rsid w:val="00644D0E"/>
    <w:rsid w:val="006455EE"/>
    <w:rsid w:val="00645CF1"/>
    <w:rsid w:val="006471AE"/>
    <w:rsid w:val="0064737D"/>
    <w:rsid w:val="006474D0"/>
    <w:rsid w:val="0065087E"/>
    <w:rsid w:val="00652DEA"/>
    <w:rsid w:val="006530D1"/>
    <w:rsid w:val="00654331"/>
    <w:rsid w:val="00655722"/>
    <w:rsid w:val="00655C94"/>
    <w:rsid w:val="00656A2A"/>
    <w:rsid w:val="00657459"/>
    <w:rsid w:val="00660D7E"/>
    <w:rsid w:val="006637D2"/>
    <w:rsid w:val="006643EE"/>
    <w:rsid w:val="00671E8F"/>
    <w:rsid w:val="00673145"/>
    <w:rsid w:val="00673595"/>
    <w:rsid w:val="00673EB1"/>
    <w:rsid w:val="00673F0A"/>
    <w:rsid w:val="00673FD3"/>
    <w:rsid w:val="00674543"/>
    <w:rsid w:val="00674ECD"/>
    <w:rsid w:val="00674FB6"/>
    <w:rsid w:val="00675718"/>
    <w:rsid w:val="006758C8"/>
    <w:rsid w:val="00676D00"/>
    <w:rsid w:val="006805DF"/>
    <w:rsid w:val="00680F0E"/>
    <w:rsid w:val="00681F13"/>
    <w:rsid w:val="0068556E"/>
    <w:rsid w:val="00690A3F"/>
    <w:rsid w:val="00691528"/>
    <w:rsid w:val="00692738"/>
    <w:rsid w:val="00693790"/>
    <w:rsid w:val="00693B5B"/>
    <w:rsid w:val="00694C43"/>
    <w:rsid w:val="006951BC"/>
    <w:rsid w:val="00695FCD"/>
    <w:rsid w:val="006971D8"/>
    <w:rsid w:val="006A032F"/>
    <w:rsid w:val="006A1075"/>
    <w:rsid w:val="006A1955"/>
    <w:rsid w:val="006A3EB5"/>
    <w:rsid w:val="006A6BD4"/>
    <w:rsid w:val="006A7272"/>
    <w:rsid w:val="006B0407"/>
    <w:rsid w:val="006B0BC7"/>
    <w:rsid w:val="006B19AC"/>
    <w:rsid w:val="006B2216"/>
    <w:rsid w:val="006B2BE6"/>
    <w:rsid w:val="006B32A7"/>
    <w:rsid w:val="006B6EA3"/>
    <w:rsid w:val="006B7228"/>
    <w:rsid w:val="006B7375"/>
    <w:rsid w:val="006C1D80"/>
    <w:rsid w:val="006D1BE0"/>
    <w:rsid w:val="006D4B0E"/>
    <w:rsid w:val="006D5651"/>
    <w:rsid w:val="006D5AA3"/>
    <w:rsid w:val="006D64F3"/>
    <w:rsid w:val="006D67C9"/>
    <w:rsid w:val="006E04CA"/>
    <w:rsid w:val="006E1BB7"/>
    <w:rsid w:val="006E21BD"/>
    <w:rsid w:val="006F3567"/>
    <w:rsid w:val="006F51AA"/>
    <w:rsid w:val="006F5C3B"/>
    <w:rsid w:val="006F5CFE"/>
    <w:rsid w:val="006F6100"/>
    <w:rsid w:val="006F66C9"/>
    <w:rsid w:val="0070132B"/>
    <w:rsid w:val="00703D5A"/>
    <w:rsid w:val="0070459B"/>
    <w:rsid w:val="007056FC"/>
    <w:rsid w:val="00711247"/>
    <w:rsid w:val="007115EC"/>
    <w:rsid w:val="00712682"/>
    <w:rsid w:val="00712A04"/>
    <w:rsid w:val="00712F4D"/>
    <w:rsid w:val="00713A1E"/>
    <w:rsid w:val="0071467A"/>
    <w:rsid w:val="0071522D"/>
    <w:rsid w:val="007163CC"/>
    <w:rsid w:val="007173D2"/>
    <w:rsid w:val="007201E0"/>
    <w:rsid w:val="00720346"/>
    <w:rsid w:val="007204ED"/>
    <w:rsid w:val="00720CFE"/>
    <w:rsid w:val="007238E4"/>
    <w:rsid w:val="00723C77"/>
    <w:rsid w:val="00725D56"/>
    <w:rsid w:val="007319DE"/>
    <w:rsid w:val="00733269"/>
    <w:rsid w:val="00733A3A"/>
    <w:rsid w:val="00733B3D"/>
    <w:rsid w:val="0074620B"/>
    <w:rsid w:val="00746C04"/>
    <w:rsid w:val="00747C01"/>
    <w:rsid w:val="00750C16"/>
    <w:rsid w:val="00751AC8"/>
    <w:rsid w:val="00752068"/>
    <w:rsid w:val="00752160"/>
    <w:rsid w:val="00752FC9"/>
    <w:rsid w:val="00757557"/>
    <w:rsid w:val="00757B44"/>
    <w:rsid w:val="00760381"/>
    <w:rsid w:val="0076106A"/>
    <w:rsid w:val="00763797"/>
    <w:rsid w:val="007639C4"/>
    <w:rsid w:val="00771D9A"/>
    <w:rsid w:val="00773CA2"/>
    <w:rsid w:val="00774000"/>
    <w:rsid w:val="00774395"/>
    <w:rsid w:val="007748CD"/>
    <w:rsid w:val="00774DE5"/>
    <w:rsid w:val="00780C7B"/>
    <w:rsid w:val="00780EF3"/>
    <w:rsid w:val="00783A86"/>
    <w:rsid w:val="00783CCA"/>
    <w:rsid w:val="00786CAD"/>
    <w:rsid w:val="00787B6B"/>
    <w:rsid w:val="007A2383"/>
    <w:rsid w:val="007A3C22"/>
    <w:rsid w:val="007A3FCC"/>
    <w:rsid w:val="007A6971"/>
    <w:rsid w:val="007A7557"/>
    <w:rsid w:val="007B4F33"/>
    <w:rsid w:val="007B702D"/>
    <w:rsid w:val="007C1B69"/>
    <w:rsid w:val="007C2CD6"/>
    <w:rsid w:val="007C413B"/>
    <w:rsid w:val="007C6BFD"/>
    <w:rsid w:val="007C7112"/>
    <w:rsid w:val="007D1565"/>
    <w:rsid w:val="007D5483"/>
    <w:rsid w:val="007D594D"/>
    <w:rsid w:val="007D7202"/>
    <w:rsid w:val="007E0C84"/>
    <w:rsid w:val="007E348B"/>
    <w:rsid w:val="007E71C3"/>
    <w:rsid w:val="007F0005"/>
    <w:rsid w:val="007F47DB"/>
    <w:rsid w:val="007F620E"/>
    <w:rsid w:val="007F6CF5"/>
    <w:rsid w:val="00802101"/>
    <w:rsid w:val="00802701"/>
    <w:rsid w:val="008036DB"/>
    <w:rsid w:val="00807680"/>
    <w:rsid w:val="00811DB1"/>
    <w:rsid w:val="00813EFB"/>
    <w:rsid w:val="00814C5A"/>
    <w:rsid w:val="00815F1F"/>
    <w:rsid w:val="0081626F"/>
    <w:rsid w:val="0082328B"/>
    <w:rsid w:val="0082456F"/>
    <w:rsid w:val="008247DC"/>
    <w:rsid w:val="008251A1"/>
    <w:rsid w:val="00831652"/>
    <w:rsid w:val="0083328B"/>
    <w:rsid w:val="0083350A"/>
    <w:rsid w:val="008340D8"/>
    <w:rsid w:val="0083442F"/>
    <w:rsid w:val="00836021"/>
    <w:rsid w:val="00836E52"/>
    <w:rsid w:val="00837227"/>
    <w:rsid w:val="0084290D"/>
    <w:rsid w:val="0084524E"/>
    <w:rsid w:val="00845265"/>
    <w:rsid w:val="008452A9"/>
    <w:rsid w:val="00845666"/>
    <w:rsid w:val="00846248"/>
    <w:rsid w:val="008470B0"/>
    <w:rsid w:val="0085062D"/>
    <w:rsid w:val="00850825"/>
    <w:rsid w:val="00851323"/>
    <w:rsid w:val="00851812"/>
    <w:rsid w:val="008539D2"/>
    <w:rsid w:val="0085560A"/>
    <w:rsid w:val="00855FD7"/>
    <w:rsid w:val="0085684F"/>
    <w:rsid w:val="0085757F"/>
    <w:rsid w:val="00857C45"/>
    <w:rsid w:val="0086454D"/>
    <w:rsid w:val="008732F2"/>
    <w:rsid w:val="00875D2E"/>
    <w:rsid w:val="00880855"/>
    <w:rsid w:val="00882E59"/>
    <w:rsid w:val="008844B6"/>
    <w:rsid w:val="0088457B"/>
    <w:rsid w:val="00885956"/>
    <w:rsid w:val="0088652F"/>
    <w:rsid w:val="00886869"/>
    <w:rsid w:val="008871A1"/>
    <w:rsid w:val="00887B45"/>
    <w:rsid w:val="0089151B"/>
    <w:rsid w:val="00896DA0"/>
    <w:rsid w:val="008A07C4"/>
    <w:rsid w:val="008A0F9E"/>
    <w:rsid w:val="008A38CE"/>
    <w:rsid w:val="008A5B19"/>
    <w:rsid w:val="008B037D"/>
    <w:rsid w:val="008B0D0C"/>
    <w:rsid w:val="008B1594"/>
    <w:rsid w:val="008B2BA9"/>
    <w:rsid w:val="008B5DD9"/>
    <w:rsid w:val="008B67E2"/>
    <w:rsid w:val="008B685C"/>
    <w:rsid w:val="008B72E4"/>
    <w:rsid w:val="008C09F7"/>
    <w:rsid w:val="008C2208"/>
    <w:rsid w:val="008C5B83"/>
    <w:rsid w:val="008D07E3"/>
    <w:rsid w:val="008D32B4"/>
    <w:rsid w:val="008D458D"/>
    <w:rsid w:val="008D474B"/>
    <w:rsid w:val="008D52E1"/>
    <w:rsid w:val="008D70B1"/>
    <w:rsid w:val="008D7A80"/>
    <w:rsid w:val="008E182E"/>
    <w:rsid w:val="008E2AB5"/>
    <w:rsid w:val="008E3450"/>
    <w:rsid w:val="008E3674"/>
    <w:rsid w:val="008E3884"/>
    <w:rsid w:val="008E4336"/>
    <w:rsid w:val="008F2907"/>
    <w:rsid w:val="008F558D"/>
    <w:rsid w:val="008F6901"/>
    <w:rsid w:val="0090084C"/>
    <w:rsid w:val="009017B5"/>
    <w:rsid w:val="0090336B"/>
    <w:rsid w:val="0090388B"/>
    <w:rsid w:val="00903914"/>
    <w:rsid w:val="00904CD9"/>
    <w:rsid w:val="00911E2F"/>
    <w:rsid w:val="00912D6D"/>
    <w:rsid w:val="0091462D"/>
    <w:rsid w:val="00915118"/>
    <w:rsid w:val="009165BE"/>
    <w:rsid w:val="009203F5"/>
    <w:rsid w:val="00923300"/>
    <w:rsid w:val="00925FAB"/>
    <w:rsid w:val="009274A0"/>
    <w:rsid w:val="00927BDC"/>
    <w:rsid w:val="00933052"/>
    <w:rsid w:val="00933972"/>
    <w:rsid w:val="00934237"/>
    <w:rsid w:val="009350D0"/>
    <w:rsid w:val="00937703"/>
    <w:rsid w:val="00940024"/>
    <w:rsid w:val="00944BC4"/>
    <w:rsid w:val="00945DD2"/>
    <w:rsid w:val="009463E1"/>
    <w:rsid w:val="009479AC"/>
    <w:rsid w:val="009503E5"/>
    <w:rsid w:val="00950419"/>
    <w:rsid w:val="009553B6"/>
    <w:rsid w:val="00960C90"/>
    <w:rsid w:val="00962934"/>
    <w:rsid w:val="00963C9A"/>
    <w:rsid w:val="00963EEF"/>
    <w:rsid w:val="00964044"/>
    <w:rsid w:val="00966861"/>
    <w:rsid w:val="009669F8"/>
    <w:rsid w:val="009759E4"/>
    <w:rsid w:val="0097777B"/>
    <w:rsid w:val="00980712"/>
    <w:rsid w:val="009821DD"/>
    <w:rsid w:val="00993E45"/>
    <w:rsid w:val="00997236"/>
    <w:rsid w:val="009A046A"/>
    <w:rsid w:val="009A0545"/>
    <w:rsid w:val="009A1F1C"/>
    <w:rsid w:val="009A3FC4"/>
    <w:rsid w:val="009A62F6"/>
    <w:rsid w:val="009B0D0D"/>
    <w:rsid w:val="009B2F1B"/>
    <w:rsid w:val="009B773A"/>
    <w:rsid w:val="009B7BEE"/>
    <w:rsid w:val="009C4087"/>
    <w:rsid w:val="009C540F"/>
    <w:rsid w:val="009D1ABC"/>
    <w:rsid w:val="009D4169"/>
    <w:rsid w:val="009E0A41"/>
    <w:rsid w:val="009E324E"/>
    <w:rsid w:val="009E48E4"/>
    <w:rsid w:val="009F00EC"/>
    <w:rsid w:val="009F01F0"/>
    <w:rsid w:val="009F40AA"/>
    <w:rsid w:val="009F464E"/>
    <w:rsid w:val="009F67AD"/>
    <w:rsid w:val="009F75E8"/>
    <w:rsid w:val="00A06DED"/>
    <w:rsid w:val="00A07A96"/>
    <w:rsid w:val="00A07F71"/>
    <w:rsid w:val="00A11109"/>
    <w:rsid w:val="00A1436C"/>
    <w:rsid w:val="00A23930"/>
    <w:rsid w:val="00A24E91"/>
    <w:rsid w:val="00A25056"/>
    <w:rsid w:val="00A26326"/>
    <w:rsid w:val="00A300B4"/>
    <w:rsid w:val="00A30B3B"/>
    <w:rsid w:val="00A319DE"/>
    <w:rsid w:val="00A32013"/>
    <w:rsid w:val="00A35598"/>
    <w:rsid w:val="00A36959"/>
    <w:rsid w:val="00A401BC"/>
    <w:rsid w:val="00A40860"/>
    <w:rsid w:val="00A43A76"/>
    <w:rsid w:val="00A44C61"/>
    <w:rsid w:val="00A47128"/>
    <w:rsid w:val="00A53B55"/>
    <w:rsid w:val="00A54330"/>
    <w:rsid w:val="00A56149"/>
    <w:rsid w:val="00A600A6"/>
    <w:rsid w:val="00A60203"/>
    <w:rsid w:val="00A617CD"/>
    <w:rsid w:val="00A620D6"/>
    <w:rsid w:val="00A6228C"/>
    <w:rsid w:val="00A644DC"/>
    <w:rsid w:val="00A64BEE"/>
    <w:rsid w:val="00A6731F"/>
    <w:rsid w:val="00A67442"/>
    <w:rsid w:val="00A67E89"/>
    <w:rsid w:val="00A70520"/>
    <w:rsid w:val="00A70712"/>
    <w:rsid w:val="00A75D2D"/>
    <w:rsid w:val="00A76EC5"/>
    <w:rsid w:val="00A77198"/>
    <w:rsid w:val="00A824A4"/>
    <w:rsid w:val="00A8448F"/>
    <w:rsid w:val="00A86489"/>
    <w:rsid w:val="00A86988"/>
    <w:rsid w:val="00A87967"/>
    <w:rsid w:val="00A902BA"/>
    <w:rsid w:val="00A910F1"/>
    <w:rsid w:val="00A92D0B"/>
    <w:rsid w:val="00A97657"/>
    <w:rsid w:val="00AA0B78"/>
    <w:rsid w:val="00AA1740"/>
    <w:rsid w:val="00AA28A3"/>
    <w:rsid w:val="00AA2EBE"/>
    <w:rsid w:val="00AA3AA7"/>
    <w:rsid w:val="00AA6F6B"/>
    <w:rsid w:val="00AB0AEA"/>
    <w:rsid w:val="00AB1A10"/>
    <w:rsid w:val="00AB2F7F"/>
    <w:rsid w:val="00AB3510"/>
    <w:rsid w:val="00AB3A84"/>
    <w:rsid w:val="00AB75F0"/>
    <w:rsid w:val="00AC07A0"/>
    <w:rsid w:val="00AC0E68"/>
    <w:rsid w:val="00AC3D74"/>
    <w:rsid w:val="00AC58E7"/>
    <w:rsid w:val="00AC5A4B"/>
    <w:rsid w:val="00AC605B"/>
    <w:rsid w:val="00AC625C"/>
    <w:rsid w:val="00AC7EE2"/>
    <w:rsid w:val="00AD56DB"/>
    <w:rsid w:val="00AD5797"/>
    <w:rsid w:val="00AD742A"/>
    <w:rsid w:val="00AE17C8"/>
    <w:rsid w:val="00AE28F0"/>
    <w:rsid w:val="00AE3430"/>
    <w:rsid w:val="00AE429F"/>
    <w:rsid w:val="00AE6488"/>
    <w:rsid w:val="00AE6C56"/>
    <w:rsid w:val="00AF2559"/>
    <w:rsid w:val="00AF497C"/>
    <w:rsid w:val="00AF4C3A"/>
    <w:rsid w:val="00AF61A9"/>
    <w:rsid w:val="00AF6DEE"/>
    <w:rsid w:val="00AF7CD1"/>
    <w:rsid w:val="00B00BCD"/>
    <w:rsid w:val="00B03003"/>
    <w:rsid w:val="00B040C5"/>
    <w:rsid w:val="00B0632E"/>
    <w:rsid w:val="00B07F77"/>
    <w:rsid w:val="00B121B6"/>
    <w:rsid w:val="00B12FD2"/>
    <w:rsid w:val="00B15603"/>
    <w:rsid w:val="00B1593B"/>
    <w:rsid w:val="00B16D10"/>
    <w:rsid w:val="00B17005"/>
    <w:rsid w:val="00B17B49"/>
    <w:rsid w:val="00B20A15"/>
    <w:rsid w:val="00B20D7E"/>
    <w:rsid w:val="00B2427A"/>
    <w:rsid w:val="00B25D43"/>
    <w:rsid w:val="00B30F84"/>
    <w:rsid w:val="00B312DA"/>
    <w:rsid w:val="00B31565"/>
    <w:rsid w:val="00B40C64"/>
    <w:rsid w:val="00B418B5"/>
    <w:rsid w:val="00B41F66"/>
    <w:rsid w:val="00B42312"/>
    <w:rsid w:val="00B4296F"/>
    <w:rsid w:val="00B43A7C"/>
    <w:rsid w:val="00B44289"/>
    <w:rsid w:val="00B46692"/>
    <w:rsid w:val="00B51C2B"/>
    <w:rsid w:val="00B51F03"/>
    <w:rsid w:val="00B53ADA"/>
    <w:rsid w:val="00B5439C"/>
    <w:rsid w:val="00B54991"/>
    <w:rsid w:val="00B55CCD"/>
    <w:rsid w:val="00B55D78"/>
    <w:rsid w:val="00B57AE8"/>
    <w:rsid w:val="00B60680"/>
    <w:rsid w:val="00B61895"/>
    <w:rsid w:val="00B62AC0"/>
    <w:rsid w:val="00B636DB"/>
    <w:rsid w:val="00B63711"/>
    <w:rsid w:val="00B64BAA"/>
    <w:rsid w:val="00B66CF5"/>
    <w:rsid w:val="00B7225C"/>
    <w:rsid w:val="00B72A7E"/>
    <w:rsid w:val="00B75B00"/>
    <w:rsid w:val="00B761A1"/>
    <w:rsid w:val="00B77799"/>
    <w:rsid w:val="00B77D91"/>
    <w:rsid w:val="00B803D5"/>
    <w:rsid w:val="00B840E9"/>
    <w:rsid w:val="00B8645D"/>
    <w:rsid w:val="00B87A59"/>
    <w:rsid w:val="00B90B59"/>
    <w:rsid w:val="00B91229"/>
    <w:rsid w:val="00B91CF4"/>
    <w:rsid w:val="00BA1F05"/>
    <w:rsid w:val="00BA4678"/>
    <w:rsid w:val="00BA53F3"/>
    <w:rsid w:val="00BA548C"/>
    <w:rsid w:val="00BA5FC3"/>
    <w:rsid w:val="00BA68CD"/>
    <w:rsid w:val="00BA6D2C"/>
    <w:rsid w:val="00BA75F3"/>
    <w:rsid w:val="00BA7CA7"/>
    <w:rsid w:val="00BB09C3"/>
    <w:rsid w:val="00BB0FC0"/>
    <w:rsid w:val="00BB3037"/>
    <w:rsid w:val="00BB4863"/>
    <w:rsid w:val="00BB49BB"/>
    <w:rsid w:val="00BB5424"/>
    <w:rsid w:val="00BB587F"/>
    <w:rsid w:val="00BC437B"/>
    <w:rsid w:val="00BC524D"/>
    <w:rsid w:val="00BC64BA"/>
    <w:rsid w:val="00BD6C72"/>
    <w:rsid w:val="00BD7F66"/>
    <w:rsid w:val="00BE3EE5"/>
    <w:rsid w:val="00BE45D0"/>
    <w:rsid w:val="00BE66F5"/>
    <w:rsid w:val="00BE7236"/>
    <w:rsid w:val="00BE7EF9"/>
    <w:rsid w:val="00BF2EF6"/>
    <w:rsid w:val="00BF2F45"/>
    <w:rsid w:val="00BF411B"/>
    <w:rsid w:val="00BF4BE9"/>
    <w:rsid w:val="00BF4D51"/>
    <w:rsid w:val="00BF7D1B"/>
    <w:rsid w:val="00C02649"/>
    <w:rsid w:val="00C0471D"/>
    <w:rsid w:val="00C048D4"/>
    <w:rsid w:val="00C049C0"/>
    <w:rsid w:val="00C06452"/>
    <w:rsid w:val="00C072E6"/>
    <w:rsid w:val="00C106A1"/>
    <w:rsid w:val="00C10A4F"/>
    <w:rsid w:val="00C11563"/>
    <w:rsid w:val="00C1293A"/>
    <w:rsid w:val="00C13B3F"/>
    <w:rsid w:val="00C163CF"/>
    <w:rsid w:val="00C16981"/>
    <w:rsid w:val="00C2161D"/>
    <w:rsid w:val="00C231EB"/>
    <w:rsid w:val="00C2744C"/>
    <w:rsid w:val="00C31CBC"/>
    <w:rsid w:val="00C343EF"/>
    <w:rsid w:val="00C3583B"/>
    <w:rsid w:val="00C35F45"/>
    <w:rsid w:val="00C372E0"/>
    <w:rsid w:val="00C378E0"/>
    <w:rsid w:val="00C47629"/>
    <w:rsid w:val="00C47A2B"/>
    <w:rsid w:val="00C519A0"/>
    <w:rsid w:val="00C52266"/>
    <w:rsid w:val="00C5371E"/>
    <w:rsid w:val="00C550FE"/>
    <w:rsid w:val="00C55B3B"/>
    <w:rsid w:val="00C6105B"/>
    <w:rsid w:val="00C61290"/>
    <w:rsid w:val="00C62CE0"/>
    <w:rsid w:val="00C62DBE"/>
    <w:rsid w:val="00C64A85"/>
    <w:rsid w:val="00C65EE8"/>
    <w:rsid w:val="00C65F17"/>
    <w:rsid w:val="00C67ADB"/>
    <w:rsid w:val="00C70772"/>
    <w:rsid w:val="00C71D31"/>
    <w:rsid w:val="00C742D7"/>
    <w:rsid w:val="00C765A2"/>
    <w:rsid w:val="00C80771"/>
    <w:rsid w:val="00C86A44"/>
    <w:rsid w:val="00C86B0B"/>
    <w:rsid w:val="00C86E86"/>
    <w:rsid w:val="00C87489"/>
    <w:rsid w:val="00C91625"/>
    <w:rsid w:val="00C9446C"/>
    <w:rsid w:val="00C9450C"/>
    <w:rsid w:val="00C94877"/>
    <w:rsid w:val="00CA1667"/>
    <w:rsid w:val="00CA2E10"/>
    <w:rsid w:val="00CA49CB"/>
    <w:rsid w:val="00CA7399"/>
    <w:rsid w:val="00CB0FF9"/>
    <w:rsid w:val="00CB22BA"/>
    <w:rsid w:val="00CB74B6"/>
    <w:rsid w:val="00CC0CB1"/>
    <w:rsid w:val="00CC10AF"/>
    <w:rsid w:val="00CC153D"/>
    <w:rsid w:val="00CC1D36"/>
    <w:rsid w:val="00CC1F3C"/>
    <w:rsid w:val="00CC30B5"/>
    <w:rsid w:val="00CC3B6D"/>
    <w:rsid w:val="00CC4B40"/>
    <w:rsid w:val="00CC4F3E"/>
    <w:rsid w:val="00CC6AB7"/>
    <w:rsid w:val="00CC6B83"/>
    <w:rsid w:val="00CD1516"/>
    <w:rsid w:val="00CD6886"/>
    <w:rsid w:val="00CD72F5"/>
    <w:rsid w:val="00CD7D17"/>
    <w:rsid w:val="00CE057B"/>
    <w:rsid w:val="00CE1F0F"/>
    <w:rsid w:val="00CE4D45"/>
    <w:rsid w:val="00CE5DA2"/>
    <w:rsid w:val="00CF1129"/>
    <w:rsid w:val="00CF5EB4"/>
    <w:rsid w:val="00D02E47"/>
    <w:rsid w:val="00D075B1"/>
    <w:rsid w:val="00D07E7D"/>
    <w:rsid w:val="00D10120"/>
    <w:rsid w:val="00D10372"/>
    <w:rsid w:val="00D10E37"/>
    <w:rsid w:val="00D11090"/>
    <w:rsid w:val="00D1169F"/>
    <w:rsid w:val="00D1205D"/>
    <w:rsid w:val="00D13E53"/>
    <w:rsid w:val="00D13EC1"/>
    <w:rsid w:val="00D152F2"/>
    <w:rsid w:val="00D1778A"/>
    <w:rsid w:val="00D17B4D"/>
    <w:rsid w:val="00D235D1"/>
    <w:rsid w:val="00D24B90"/>
    <w:rsid w:val="00D26CB3"/>
    <w:rsid w:val="00D27D5F"/>
    <w:rsid w:val="00D30039"/>
    <w:rsid w:val="00D30C4F"/>
    <w:rsid w:val="00D32A3D"/>
    <w:rsid w:val="00D34349"/>
    <w:rsid w:val="00D36884"/>
    <w:rsid w:val="00D36927"/>
    <w:rsid w:val="00D36EB8"/>
    <w:rsid w:val="00D425A5"/>
    <w:rsid w:val="00D43A23"/>
    <w:rsid w:val="00D46A7D"/>
    <w:rsid w:val="00D51BEB"/>
    <w:rsid w:val="00D52620"/>
    <w:rsid w:val="00D53300"/>
    <w:rsid w:val="00D53F15"/>
    <w:rsid w:val="00D53F5D"/>
    <w:rsid w:val="00D55349"/>
    <w:rsid w:val="00D56BCA"/>
    <w:rsid w:val="00D6488F"/>
    <w:rsid w:val="00D67DC3"/>
    <w:rsid w:val="00D7285A"/>
    <w:rsid w:val="00D7334B"/>
    <w:rsid w:val="00D73441"/>
    <w:rsid w:val="00D7457D"/>
    <w:rsid w:val="00D74F4E"/>
    <w:rsid w:val="00D75107"/>
    <w:rsid w:val="00D75610"/>
    <w:rsid w:val="00D76425"/>
    <w:rsid w:val="00D81841"/>
    <w:rsid w:val="00D82535"/>
    <w:rsid w:val="00D84E3A"/>
    <w:rsid w:val="00D84F94"/>
    <w:rsid w:val="00D86F60"/>
    <w:rsid w:val="00D8769E"/>
    <w:rsid w:val="00D94110"/>
    <w:rsid w:val="00DA0141"/>
    <w:rsid w:val="00DA0DB9"/>
    <w:rsid w:val="00DA3AEE"/>
    <w:rsid w:val="00DA6EFD"/>
    <w:rsid w:val="00DB2A04"/>
    <w:rsid w:val="00DB36C6"/>
    <w:rsid w:val="00DB4739"/>
    <w:rsid w:val="00DB52C3"/>
    <w:rsid w:val="00DB5309"/>
    <w:rsid w:val="00DB7366"/>
    <w:rsid w:val="00DC06E0"/>
    <w:rsid w:val="00DC10DD"/>
    <w:rsid w:val="00DC1250"/>
    <w:rsid w:val="00DC14E1"/>
    <w:rsid w:val="00DC199E"/>
    <w:rsid w:val="00DC3ED4"/>
    <w:rsid w:val="00DC64BB"/>
    <w:rsid w:val="00DC752C"/>
    <w:rsid w:val="00DC7627"/>
    <w:rsid w:val="00DC7A8F"/>
    <w:rsid w:val="00DD0F79"/>
    <w:rsid w:val="00DD24C9"/>
    <w:rsid w:val="00DD504F"/>
    <w:rsid w:val="00DD52BB"/>
    <w:rsid w:val="00DD7F80"/>
    <w:rsid w:val="00DE0468"/>
    <w:rsid w:val="00DE3A5D"/>
    <w:rsid w:val="00DE51EB"/>
    <w:rsid w:val="00DE5874"/>
    <w:rsid w:val="00DE75F2"/>
    <w:rsid w:val="00DF034A"/>
    <w:rsid w:val="00DF768A"/>
    <w:rsid w:val="00E00990"/>
    <w:rsid w:val="00E00FCE"/>
    <w:rsid w:val="00E0662A"/>
    <w:rsid w:val="00E06C29"/>
    <w:rsid w:val="00E07566"/>
    <w:rsid w:val="00E10B56"/>
    <w:rsid w:val="00E115F1"/>
    <w:rsid w:val="00E12A9C"/>
    <w:rsid w:val="00E15DC3"/>
    <w:rsid w:val="00E163CA"/>
    <w:rsid w:val="00E16924"/>
    <w:rsid w:val="00E17B34"/>
    <w:rsid w:val="00E21EA5"/>
    <w:rsid w:val="00E231D7"/>
    <w:rsid w:val="00E235A7"/>
    <w:rsid w:val="00E2497A"/>
    <w:rsid w:val="00E25078"/>
    <w:rsid w:val="00E26FC9"/>
    <w:rsid w:val="00E3283C"/>
    <w:rsid w:val="00E32B98"/>
    <w:rsid w:val="00E3378B"/>
    <w:rsid w:val="00E34D5E"/>
    <w:rsid w:val="00E36095"/>
    <w:rsid w:val="00E374F6"/>
    <w:rsid w:val="00E3786F"/>
    <w:rsid w:val="00E40140"/>
    <w:rsid w:val="00E403F2"/>
    <w:rsid w:val="00E41708"/>
    <w:rsid w:val="00E438E3"/>
    <w:rsid w:val="00E5016F"/>
    <w:rsid w:val="00E525E1"/>
    <w:rsid w:val="00E52992"/>
    <w:rsid w:val="00E52DEF"/>
    <w:rsid w:val="00E53595"/>
    <w:rsid w:val="00E53F7B"/>
    <w:rsid w:val="00E54DDF"/>
    <w:rsid w:val="00E554E5"/>
    <w:rsid w:val="00E5703C"/>
    <w:rsid w:val="00E60942"/>
    <w:rsid w:val="00E6528E"/>
    <w:rsid w:val="00E66FE7"/>
    <w:rsid w:val="00E755B6"/>
    <w:rsid w:val="00E75E09"/>
    <w:rsid w:val="00E76B11"/>
    <w:rsid w:val="00E775D0"/>
    <w:rsid w:val="00E7761D"/>
    <w:rsid w:val="00E8036F"/>
    <w:rsid w:val="00E80BCC"/>
    <w:rsid w:val="00E81881"/>
    <w:rsid w:val="00E81C43"/>
    <w:rsid w:val="00E841FB"/>
    <w:rsid w:val="00E84925"/>
    <w:rsid w:val="00E84B62"/>
    <w:rsid w:val="00E904DA"/>
    <w:rsid w:val="00E9246C"/>
    <w:rsid w:val="00E9287E"/>
    <w:rsid w:val="00E9306C"/>
    <w:rsid w:val="00E9366A"/>
    <w:rsid w:val="00E959A0"/>
    <w:rsid w:val="00E95D1F"/>
    <w:rsid w:val="00E977C4"/>
    <w:rsid w:val="00EA1CC6"/>
    <w:rsid w:val="00EB0DBA"/>
    <w:rsid w:val="00EB19AC"/>
    <w:rsid w:val="00EB326C"/>
    <w:rsid w:val="00EB5A45"/>
    <w:rsid w:val="00EB64CF"/>
    <w:rsid w:val="00EC092C"/>
    <w:rsid w:val="00EC1823"/>
    <w:rsid w:val="00EC4AD4"/>
    <w:rsid w:val="00EC6387"/>
    <w:rsid w:val="00EC6672"/>
    <w:rsid w:val="00EC7C1E"/>
    <w:rsid w:val="00ED17B1"/>
    <w:rsid w:val="00ED2E44"/>
    <w:rsid w:val="00ED6B6B"/>
    <w:rsid w:val="00EE1FB4"/>
    <w:rsid w:val="00EE4B04"/>
    <w:rsid w:val="00EE4E47"/>
    <w:rsid w:val="00EE7729"/>
    <w:rsid w:val="00EF0D58"/>
    <w:rsid w:val="00EF13EC"/>
    <w:rsid w:val="00EF281C"/>
    <w:rsid w:val="00EF3FEA"/>
    <w:rsid w:val="00EF4A28"/>
    <w:rsid w:val="00EF6E82"/>
    <w:rsid w:val="00EF750B"/>
    <w:rsid w:val="00EF755D"/>
    <w:rsid w:val="00F028C8"/>
    <w:rsid w:val="00F04904"/>
    <w:rsid w:val="00F05BE9"/>
    <w:rsid w:val="00F14CD7"/>
    <w:rsid w:val="00F1500E"/>
    <w:rsid w:val="00F20061"/>
    <w:rsid w:val="00F20190"/>
    <w:rsid w:val="00F26371"/>
    <w:rsid w:val="00F2682B"/>
    <w:rsid w:val="00F30DA8"/>
    <w:rsid w:val="00F32689"/>
    <w:rsid w:val="00F34B16"/>
    <w:rsid w:val="00F34C1F"/>
    <w:rsid w:val="00F35CEB"/>
    <w:rsid w:val="00F36FB5"/>
    <w:rsid w:val="00F3772B"/>
    <w:rsid w:val="00F40A6C"/>
    <w:rsid w:val="00F415F2"/>
    <w:rsid w:val="00F41A4E"/>
    <w:rsid w:val="00F425E4"/>
    <w:rsid w:val="00F47246"/>
    <w:rsid w:val="00F47E87"/>
    <w:rsid w:val="00F53D12"/>
    <w:rsid w:val="00F53FE5"/>
    <w:rsid w:val="00F56554"/>
    <w:rsid w:val="00F5768F"/>
    <w:rsid w:val="00F6307B"/>
    <w:rsid w:val="00F63C29"/>
    <w:rsid w:val="00F6500B"/>
    <w:rsid w:val="00F650AE"/>
    <w:rsid w:val="00F718D9"/>
    <w:rsid w:val="00F71F30"/>
    <w:rsid w:val="00F7579D"/>
    <w:rsid w:val="00F774A8"/>
    <w:rsid w:val="00F81778"/>
    <w:rsid w:val="00F826A0"/>
    <w:rsid w:val="00F83759"/>
    <w:rsid w:val="00F862A9"/>
    <w:rsid w:val="00F871A4"/>
    <w:rsid w:val="00F87DCB"/>
    <w:rsid w:val="00F90D74"/>
    <w:rsid w:val="00FA1E4E"/>
    <w:rsid w:val="00FA35ED"/>
    <w:rsid w:val="00FA45A5"/>
    <w:rsid w:val="00FA4732"/>
    <w:rsid w:val="00FA4E75"/>
    <w:rsid w:val="00FA5A5C"/>
    <w:rsid w:val="00FB04E0"/>
    <w:rsid w:val="00FC3AF0"/>
    <w:rsid w:val="00FC549F"/>
    <w:rsid w:val="00FC6B7D"/>
    <w:rsid w:val="00FC72B7"/>
    <w:rsid w:val="00FD39DC"/>
    <w:rsid w:val="00FD5047"/>
    <w:rsid w:val="00FD688E"/>
    <w:rsid w:val="00FE0119"/>
    <w:rsid w:val="00FE2A5D"/>
    <w:rsid w:val="00FE2E87"/>
    <w:rsid w:val="00FE3BAE"/>
    <w:rsid w:val="00FE5F91"/>
    <w:rsid w:val="00FF0250"/>
    <w:rsid w:val="00FF09E1"/>
    <w:rsid w:val="00FF0F27"/>
    <w:rsid w:val="00FF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AF4C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897">
      <w:bodyDiv w:val="1"/>
      <w:marLeft w:val="0"/>
      <w:marRight w:val="0"/>
      <w:marTop w:val="0"/>
      <w:marBottom w:val="0"/>
      <w:divBdr>
        <w:top w:val="none" w:sz="0" w:space="0" w:color="auto"/>
        <w:left w:val="none" w:sz="0" w:space="0" w:color="auto"/>
        <w:bottom w:val="none" w:sz="0" w:space="0" w:color="auto"/>
        <w:right w:val="none" w:sz="0" w:space="0" w:color="auto"/>
      </w:divBdr>
    </w:div>
    <w:div w:id="315378735">
      <w:bodyDiv w:val="1"/>
      <w:marLeft w:val="0"/>
      <w:marRight w:val="0"/>
      <w:marTop w:val="0"/>
      <w:marBottom w:val="0"/>
      <w:divBdr>
        <w:top w:val="none" w:sz="0" w:space="0" w:color="auto"/>
        <w:left w:val="none" w:sz="0" w:space="0" w:color="auto"/>
        <w:bottom w:val="none" w:sz="0" w:space="0" w:color="auto"/>
        <w:right w:val="none" w:sz="0" w:space="0" w:color="auto"/>
      </w:divBdr>
    </w:div>
    <w:div w:id="957487414">
      <w:bodyDiv w:val="1"/>
      <w:marLeft w:val="0"/>
      <w:marRight w:val="0"/>
      <w:marTop w:val="0"/>
      <w:marBottom w:val="0"/>
      <w:divBdr>
        <w:top w:val="none" w:sz="0" w:space="0" w:color="auto"/>
        <w:left w:val="none" w:sz="0" w:space="0" w:color="auto"/>
        <w:bottom w:val="none" w:sz="0" w:space="0" w:color="auto"/>
        <w:right w:val="none" w:sz="0" w:space="0" w:color="auto"/>
      </w:divBdr>
    </w:div>
    <w:div w:id="964314611">
      <w:bodyDiv w:val="1"/>
      <w:marLeft w:val="0"/>
      <w:marRight w:val="0"/>
      <w:marTop w:val="0"/>
      <w:marBottom w:val="0"/>
      <w:divBdr>
        <w:top w:val="none" w:sz="0" w:space="0" w:color="auto"/>
        <w:left w:val="none" w:sz="0" w:space="0" w:color="auto"/>
        <w:bottom w:val="none" w:sz="0" w:space="0" w:color="auto"/>
        <w:right w:val="none" w:sz="0" w:space="0" w:color="auto"/>
      </w:divBdr>
    </w:div>
    <w:div w:id="998730776">
      <w:bodyDiv w:val="1"/>
      <w:marLeft w:val="0"/>
      <w:marRight w:val="0"/>
      <w:marTop w:val="0"/>
      <w:marBottom w:val="0"/>
      <w:divBdr>
        <w:top w:val="none" w:sz="0" w:space="0" w:color="auto"/>
        <w:left w:val="none" w:sz="0" w:space="0" w:color="auto"/>
        <w:bottom w:val="none" w:sz="0" w:space="0" w:color="auto"/>
        <w:right w:val="none" w:sz="0" w:space="0" w:color="auto"/>
      </w:divBdr>
    </w:div>
    <w:div w:id="1293514854">
      <w:bodyDiv w:val="1"/>
      <w:marLeft w:val="0"/>
      <w:marRight w:val="0"/>
      <w:marTop w:val="0"/>
      <w:marBottom w:val="0"/>
      <w:divBdr>
        <w:top w:val="none" w:sz="0" w:space="0" w:color="auto"/>
        <w:left w:val="none" w:sz="0" w:space="0" w:color="auto"/>
        <w:bottom w:val="none" w:sz="0" w:space="0" w:color="auto"/>
        <w:right w:val="none" w:sz="0" w:space="0" w:color="auto"/>
      </w:divBdr>
    </w:div>
    <w:div w:id="1469976662">
      <w:bodyDiv w:val="1"/>
      <w:marLeft w:val="0"/>
      <w:marRight w:val="0"/>
      <w:marTop w:val="0"/>
      <w:marBottom w:val="0"/>
      <w:divBdr>
        <w:top w:val="none" w:sz="0" w:space="0" w:color="auto"/>
        <w:left w:val="none" w:sz="0" w:space="0" w:color="auto"/>
        <w:bottom w:val="none" w:sz="0" w:space="0" w:color="auto"/>
        <w:right w:val="none" w:sz="0" w:space="0" w:color="auto"/>
      </w:divBdr>
    </w:div>
    <w:div w:id="1489321514">
      <w:bodyDiv w:val="1"/>
      <w:marLeft w:val="0"/>
      <w:marRight w:val="0"/>
      <w:marTop w:val="0"/>
      <w:marBottom w:val="0"/>
      <w:divBdr>
        <w:top w:val="none" w:sz="0" w:space="0" w:color="auto"/>
        <w:left w:val="none" w:sz="0" w:space="0" w:color="auto"/>
        <w:bottom w:val="none" w:sz="0" w:space="0" w:color="auto"/>
        <w:right w:val="none" w:sz="0" w:space="0" w:color="auto"/>
      </w:divBdr>
    </w:div>
    <w:div w:id="1597440432">
      <w:bodyDiv w:val="1"/>
      <w:marLeft w:val="0"/>
      <w:marRight w:val="0"/>
      <w:marTop w:val="0"/>
      <w:marBottom w:val="0"/>
      <w:divBdr>
        <w:top w:val="none" w:sz="0" w:space="0" w:color="auto"/>
        <w:left w:val="none" w:sz="0" w:space="0" w:color="auto"/>
        <w:bottom w:val="none" w:sz="0" w:space="0" w:color="auto"/>
        <w:right w:val="none" w:sz="0" w:space="0" w:color="auto"/>
      </w:divBdr>
    </w:div>
    <w:div w:id="1652755436">
      <w:bodyDiv w:val="1"/>
      <w:marLeft w:val="0"/>
      <w:marRight w:val="0"/>
      <w:marTop w:val="0"/>
      <w:marBottom w:val="0"/>
      <w:divBdr>
        <w:top w:val="none" w:sz="0" w:space="0" w:color="auto"/>
        <w:left w:val="none" w:sz="0" w:space="0" w:color="auto"/>
        <w:bottom w:val="none" w:sz="0" w:space="0" w:color="auto"/>
        <w:right w:val="none" w:sz="0" w:space="0" w:color="auto"/>
      </w:divBdr>
    </w:div>
    <w:div w:id="1730806482">
      <w:bodyDiv w:val="1"/>
      <w:marLeft w:val="0"/>
      <w:marRight w:val="0"/>
      <w:marTop w:val="0"/>
      <w:marBottom w:val="0"/>
      <w:divBdr>
        <w:top w:val="none" w:sz="0" w:space="0" w:color="auto"/>
        <w:left w:val="none" w:sz="0" w:space="0" w:color="auto"/>
        <w:bottom w:val="none" w:sz="0" w:space="0" w:color="auto"/>
        <w:right w:val="none" w:sz="0" w:space="0" w:color="auto"/>
      </w:divBdr>
    </w:div>
    <w:div w:id="1771200644">
      <w:bodyDiv w:val="1"/>
      <w:marLeft w:val="0"/>
      <w:marRight w:val="0"/>
      <w:marTop w:val="0"/>
      <w:marBottom w:val="0"/>
      <w:divBdr>
        <w:top w:val="none" w:sz="0" w:space="0" w:color="auto"/>
        <w:left w:val="none" w:sz="0" w:space="0" w:color="auto"/>
        <w:bottom w:val="none" w:sz="0" w:space="0" w:color="auto"/>
        <w:right w:val="none" w:sz="0" w:space="0" w:color="auto"/>
      </w:divBdr>
    </w:div>
    <w:div w:id="1813055062">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14002592">
      <w:bodyDiv w:val="1"/>
      <w:marLeft w:val="0"/>
      <w:marRight w:val="0"/>
      <w:marTop w:val="0"/>
      <w:marBottom w:val="0"/>
      <w:divBdr>
        <w:top w:val="none" w:sz="0" w:space="0" w:color="auto"/>
        <w:left w:val="none" w:sz="0" w:space="0" w:color="auto"/>
        <w:bottom w:val="none" w:sz="0" w:space="0" w:color="auto"/>
        <w:right w:val="none" w:sz="0" w:space="0" w:color="auto"/>
      </w:divBdr>
    </w:div>
    <w:div w:id="2002270586">
      <w:bodyDiv w:val="1"/>
      <w:marLeft w:val="0"/>
      <w:marRight w:val="0"/>
      <w:marTop w:val="0"/>
      <w:marBottom w:val="0"/>
      <w:divBdr>
        <w:top w:val="none" w:sz="0" w:space="0" w:color="auto"/>
        <w:left w:val="none" w:sz="0" w:space="0" w:color="auto"/>
        <w:bottom w:val="none" w:sz="0" w:space="0" w:color="auto"/>
        <w:right w:val="none" w:sz="0" w:space="0" w:color="auto"/>
      </w:divBdr>
    </w:div>
    <w:div w:id="2050841523">
      <w:bodyDiv w:val="1"/>
      <w:marLeft w:val="0"/>
      <w:marRight w:val="0"/>
      <w:marTop w:val="0"/>
      <w:marBottom w:val="0"/>
      <w:divBdr>
        <w:top w:val="none" w:sz="0" w:space="0" w:color="auto"/>
        <w:left w:val="none" w:sz="0" w:space="0" w:color="auto"/>
        <w:bottom w:val="none" w:sz="0" w:space="0" w:color="auto"/>
        <w:right w:val="none" w:sz="0" w:space="0" w:color="auto"/>
      </w:divBdr>
    </w:div>
    <w:div w:id="21434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84D3-8B4A-4CAA-ABF0-309443386AA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33</ap:Pages>
  <ap:Words>8862</ap:Words>
  <ap:Characters>50520</ap:Characters>
  <ap:Application>Microsoft Office Word</ap:Application>
  <ap:DocSecurity>0</ap:DocSecurity>
  <ap:Lines>421</ap:Lines>
  <ap:Paragraphs>118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59264</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2025-01-24T10:47:41Z</dcterms:created>
  <dcterms:modified xsi:type="dcterms:W3CDTF">2025-01-24T10:47:41Z</dcterms:modified>
</cp:coreProperties>
</file>