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2291" w:rsidP="00B74114" w:rsidRDefault="00050453" w14:paraId="7D22737F" w14:textId="552ED98D">
      <w:pPr>
        <w:suppressAutoHyphens/>
        <w:rPr>
          <w:color w:val="000000"/>
        </w:rPr>
      </w:pPr>
      <w:r>
        <w:rPr>
          <w:color w:val="000000"/>
        </w:rPr>
        <w:t>ALJ/</w:t>
      </w:r>
      <w:r w:rsidR="00DD3EB7">
        <w:rPr>
          <w:color w:val="000000"/>
        </w:rPr>
        <w:t>TJG</w:t>
      </w:r>
      <w:r>
        <w:rPr>
          <w:color w:val="000000"/>
        </w:rPr>
        <w:t>/</w:t>
      </w:r>
      <w:proofErr w:type="spellStart"/>
      <w:r>
        <w:rPr>
          <w:color w:val="000000"/>
        </w:rPr>
        <w:t>smt</w:t>
      </w:r>
      <w:proofErr w:type="spellEnd"/>
      <w:r>
        <w:rPr>
          <w:color w:val="000000"/>
        </w:rPr>
        <w:tab/>
      </w:r>
      <w:r>
        <w:rPr>
          <w:color w:val="000000"/>
        </w:rPr>
        <w:tab/>
      </w:r>
      <w:r>
        <w:rPr>
          <w:color w:val="000000"/>
        </w:rPr>
        <w:tab/>
      </w:r>
      <w:r w:rsidR="00F2335F">
        <w:rPr>
          <w:color w:val="000000"/>
        </w:rPr>
        <w:tab/>
      </w:r>
      <w:r w:rsidR="00F2335F">
        <w:rPr>
          <w:color w:val="000000"/>
        </w:rPr>
        <w:tab/>
      </w:r>
      <w:r w:rsidR="00F2335F">
        <w:rPr>
          <w:color w:val="000000"/>
        </w:rPr>
        <w:tab/>
      </w:r>
      <w:r w:rsidR="00F2335F">
        <w:rPr>
          <w:color w:val="000000"/>
        </w:rPr>
        <w:tab/>
      </w:r>
      <w:r w:rsidR="00F2335F">
        <w:rPr>
          <w:color w:val="000000"/>
        </w:rPr>
        <w:tab/>
      </w:r>
      <w:r w:rsidRPr="00F2335F" w:rsidR="00F2335F">
        <w:rPr>
          <w:b/>
          <w:bCs/>
          <w:color w:val="000000"/>
        </w:rPr>
        <w:t>Date of Issuance 1/24/2025</w:t>
      </w:r>
    </w:p>
    <w:p w:rsidR="00B74114" w:rsidP="00B74114" w:rsidRDefault="00B74114" w14:paraId="7503F02F" w14:textId="77777777">
      <w:pPr>
        <w:suppressAutoHyphens/>
        <w:rPr>
          <w:color w:val="000000"/>
        </w:rPr>
      </w:pPr>
    </w:p>
    <w:p w:rsidRPr="00050453" w:rsidR="00B74114" w:rsidP="00B74114" w:rsidRDefault="00B74114" w14:paraId="40C50182" w14:textId="77777777">
      <w:pPr>
        <w:suppressAutoHyphens/>
        <w:rPr>
          <w:b/>
          <w:bCs/>
          <w:color w:val="000000"/>
        </w:rPr>
      </w:pPr>
    </w:p>
    <w:p w:rsidRPr="00B72876" w:rsidR="00A92D0B" w:rsidRDefault="00A92D0B" w14:paraId="5BDA9FD4" w14:textId="664B7F3C">
      <w:pPr>
        <w:suppressAutoHyphens/>
        <w:rPr>
          <w:color w:val="000000"/>
        </w:rPr>
      </w:pPr>
      <w:r w:rsidRPr="00B72876">
        <w:rPr>
          <w:color w:val="000000"/>
        </w:rPr>
        <w:t>Decision</w:t>
      </w:r>
      <w:r w:rsidR="00F2335F">
        <w:rPr>
          <w:color w:val="000000"/>
        </w:rPr>
        <w:t xml:space="preserve"> 25-01-022  January 16, 2025</w:t>
      </w:r>
    </w:p>
    <w:p w:rsidRPr="00B72876" w:rsidR="00A92D0B" w:rsidRDefault="00A92D0B" w14:paraId="44E03231" w14:textId="77777777">
      <w:pPr>
        <w:pStyle w:val="titlebar"/>
        <w:rPr>
          <w:rFonts w:ascii="Times New Roman" w:hAnsi="Times New Roman"/>
          <w:color w:val="000000"/>
          <w:sz w:val="24"/>
          <w:szCs w:val="24"/>
        </w:rPr>
      </w:pPr>
    </w:p>
    <w:p w:rsidRPr="00B72876" w:rsidR="00A92D0B" w:rsidRDefault="00A92D0B" w14:paraId="67F2520C" w14:textId="77777777">
      <w:pPr>
        <w:pStyle w:val="titlebar"/>
        <w:rPr>
          <w:rFonts w:ascii="Times New Roman" w:hAnsi="Times New Roman"/>
          <w:color w:val="000000"/>
          <w:sz w:val="24"/>
          <w:szCs w:val="24"/>
        </w:rPr>
      </w:pPr>
      <w:r w:rsidRPr="00B72876">
        <w:rPr>
          <w:rFonts w:ascii="Times New Roman" w:hAnsi="Times New Roman"/>
          <w:color w:val="000000"/>
          <w:sz w:val="24"/>
          <w:szCs w:val="24"/>
        </w:rPr>
        <w:t>BEFORE THE PUBLIC UTILITIES COMMISSION OF THE STATE OF CALIFORNIA</w:t>
      </w:r>
    </w:p>
    <w:p w:rsidRPr="00B72876" w:rsidR="00A92D0B" w:rsidRDefault="00A92D0B" w14:paraId="564284CD" w14:textId="77777777">
      <w:pPr>
        <w:suppressAutoHyphens/>
        <w:rPr>
          <w:color w:val="000000"/>
        </w:rPr>
      </w:pPr>
    </w:p>
    <w:tbl>
      <w:tblPr>
        <w:tblW w:w="9828"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4680"/>
        <w:gridCol w:w="5148"/>
      </w:tblGrid>
      <w:tr w:rsidRPr="00B72876" w:rsidR="00A92D0B" w:rsidTr="00CA0D2A" w14:paraId="3942D7B4" w14:textId="77777777">
        <w:tc>
          <w:tcPr>
            <w:tcW w:w="4680" w:type="dxa"/>
            <w:shd w:val="clear" w:color="auto" w:fill="FFFFFF" w:themeFill="background1"/>
          </w:tcPr>
          <w:p w:rsidR="00A92D0B" w:rsidP="00794A54" w:rsidRDefault="002A6B05" w14:paraId="677085E6" w14:textId="77777777">
            <w:pPr>
              <w:shd w:val="clear" w:color="auto" w:fill="FFFFFF" w:themeFill="background1"/>
            </w:pPr>
            <w:r w:rsidRPr="00B72876">
              <w:t>Order Instituting Rulemaking Regarding Broadband Infrastructure Deployment and to Support Service Providers in the State of California</w:t>
            </w:r>
            <w:r w:rsidR="00CA0D2A">
              <w:t>.</w:t>
            </w:r>
          </w:p>
          <w:p w:rsidRPr="00B72876" w:rsidR="00CA0D2A" w:rsidP="00794A54" w:rsidRDefault="00CA0D2A" w14:paraId="47850BD9" w14:textId="225E5450">
            <w:pPr>
              <w:shd w:val="clear" w:color="auto" w:fill="FFFFFF" w:themeFill="background1"/>
              <w:rPr>
                <w:color w:val="000000"/>
              </w:rPr>
            </w:pPr>
          </w:p>
        </w:tc>
        <w:tc>
          <w:tcPr>
            <w:tcW w:w="5148" w:type="dxa"/>
            <w:tcBorders>
              <w:top w:val="nil"/>
              <w:bottom w:val="nil"/>
            </w:tcBorders>
            <w:shd w:val="clear" w:color="auto" w:fill="FFFFFF" w:themeFill="background1"/>
          </w:tcPr>
          <w:p w:rsidR="00CA0D2A" w:rsidP="00794A54" w:rsidRDefault="00CA0D2A" w14:paraId="154592EE" w14:textId="77777777">
            <w:pPr>
              <w:shd w:val="clear" w:color="auto" w:fill="FFFFFF" w:themeFill="background1"/>
              <w:tabs>
                <w:tab w:val="left" w:pos="1440"/>
                <w:tab w:val="left" w:pos="3600"/>
              </w:tabs>
              <w:jc w:val="center"/>
            </w:pPr>
          </w:p>
          <w:p w:rsidR="00CA0D2A" w:rsidP="00794A54" w:rsidRDefault="00CA0D2A" w14:paraId="62479FE5" w14:textId="77777777">
            <w:pPr>
              <w:shd w:val="clear" w:color="auto" w:fill="FFFFFF" w:themeFill="background1"/>
              <w:tabs>
                <w:tab w:val="left" w:pos="1440"/>
                <w:tab w:val="left" w:pos="3600"/>
              </w:tabs>
              <w:jc w:val="center"/>
            </w:pPr>
          </w:p>
          <w:p w:rsidRPr="00B72876" w:rsidR="002A6B05" w:rsidP="00794A54" w:rsidRDefault="002A6B05" w14:paraId="705E0DD4" w14:textId="1D79BCAB">
            <w:pPr>
              <w:shd w:val="clear" w:color="auto" w:fill="FFFFFF" w:themeFill="background1"/>
              <w:tabs>
                <w:tab w:val="left" w:pos="1440"/>
                <w:tab w:val="left" w:pos="3600"/>
              </w:tabs>
              <w:jc w:val="center"/>
              <w:rPr>
                <w:color w:val="000000"/>
              </w:rPr>
            </w:pPr>
            <w:r w:rsidRPr="00B72876">
              <w:t>Rulemaking 20-09-001</w:t>
            </w:r>
          </w:p>
          <w:p w:rsidRPr="00B72876" w:rsidR="00A92D0B" w:rsidP="00CA0D2A" w:rsidRDefault="00A92D0B" w14:paraId="7EC7277D" w14:textId="77777777">
            <w:pPr>
              <w:shd w:val="clear" w:color="auto" w:fill="FFFFFF" w:themeFill="background1"/>
              <w:tabs>
                <w:tab w:val="left" w:pos="1440"/>
                <w:tab w:val="left" w:pos="3600"/>
              </w:tabs>
              <w:jc w:val="center"/>
              <w:rPr>
                <w:color w:val="000000"/>
              </w:rPr>
            </w:pPr>
          </w:p>
        </w:tc>
      </w:tr>
    </w:tbl>
    <w:p w:rsidRPr="00B72876" w:rsidR="00FC72B7" w:rsidP="00794A54" w:rsidRDefault="00FC72B7" w14:paraId="5459E071" w14:textId="77777777">
      <w:pPr>
        <w:shd w:val="clear" w:color="auto" w:fill="FFFFFF" w:themeFill="background1"/>
        <w:jc w:val="center"/>
        <w:rPr>
          <w:b/>
          <w:color w:val="000000"/>
        </w:rPr>
      </w:pPr>
    </w:p>
    <w:p w:rsidRPr="00B72876" w:rsidR="00374FD1" w:rsidP="002A6B05" w:rsidRDefault="007574EA" w14:paraId="7DD45571" w14:textId="2A257891">
      <w:pPr>
        <w:jc w:val="center"/>
        <w:rPr>
          <w:b/>
        </w:rPr>
      </w:pPr>
      <w:r>
        <w:rPr>
          <w:b/>
        </w:rPr>
        <w:t xml:space="preserve">DECISION </w:t>
      </w:r>
      <w:r w:rsidR="00704747">
        <w:rPr>
          <w:b/>
        </w:rPr>
        <w:t>GRANTING</w:t>
      </w:r>
      <w:r w:rsidRPr="00B72876" w:rsidR="00A92D0B">
        <w:rPr>
          <w:b/>
        </w:rPr>
        <w:t xml:space="preserve"> COMPENSATION </w:t>
      </w:r>
      <w:r w:rsidR="00704747">
        <w:rPr>
          <w:b/>
        </w:rPr>
        <w:t>T</w:t>
      </w:r>
      <w:r w:rsidRPr="00B72876" w:rsidR="00A92D0B">
        <w:rPr>
          <w:b/>
        </w:rPr>
        <w:t xml:space="preserve">O </w:t>
      </w:r>
      <w:r>
        <w:rPr>
          <w:b/>
        </w:rPr>
        <w:t xml:space="preserve">THE </w:t>
      </w:r>
      <w:r w:rsidRPr="00704747" w:rsidR="002A6B05">
        <w:rPr>
          <w:b/>
        </w:rPr>
        <w:t xml:space="preserve">UTILITY CONSUMERS’ </w:t>
      </w:r>
      <w:r w:rsidR="00CA0D2A">
        <w:rPr>
          <w:b/>
        </w:rPr>
        <w:br/>
      </w:r>
      <w:r w:rsidRPr="00704747" w:rsidR="002A6B05">
        <w:rPr>
          <w:b/>
        </w:rPr>
        <w:t>ACTION NETWORK</w:t>
      </w:r>
      <w:r w:rsidR="00704747">
        <w:rPr>
          <w:b/>
        </w:rPr>
        <w:t xml:space="preserve"> FOR SUBSTANTIAL CONTRIBUTION TO </w:t>
      </w:r>
      <w:r w:rsidR="00CA0D2A">
        <w:rPr>
          <w:b/>
        </w:rPr>
        <w:br/>
      </w:r>
      <w:r w:rsidRPr="00B72876" w:rsidR="00A92D0B">
        <w:rPr>
          <w:b/>
        </w:rPr>
        <w:t>DECISION</w:t>
      </w:r>
      <w:r>
        <w:rPr>
          <w:b/>
        </w:rPr>
        <w:t xml:space="preserve"> (D.)</w:t>
      </w:r>
      <w:r w:rsidR="00704747">
        <w:rPr>
          <w:b/>
        </w:rPr>
        <w:t xml:space="preserve"> 21-10-020 AND </w:t>
      </w:r>
      <w:r>
        <w:rPr>
          <w:b/>
        </w:rPr>
        <w:t>D</w:t>
      </w:r>
      <w:r w:rsidR="008937FA">
        <w:rPr>
          <w:b/>
        </w:rPr>
        <w:t>.</w:t>
      </w:r>
      <w:r w:rsidR="00704747">
        <w:rPr>
          <w:b/>
        </w:rPr>
        <w:t>22-04-055</w:t>
      </w:r>
      <w:r w:rsidRPr="00B72876" w:rsidR="00A92D0B">
        <w:rPr>
          <w:b/>
        </w:rPr>
        <w:t xml:space="preserve"> </w:t>
      </w:r>
    </w:p>
    <w:p w:rsidRPr="00B72876" w:rsidR="002A6B05" w:rsidRDefault="002A6B05" w14:paraId="50529DC3" w14:textId="77777777">
      <w:pPr>
        <w:jc w:val="center"/>
        <w:rPr>
          <w:b/>
          <w:shd w:val="clear" w:color="auto" w:fill="CCFFCC"/>
        </w:rPr>
      </w:pPr>
    </w:p>
    <w:p w:rsidRPr="00B72876" w:rsidR="00A92D0B" w:rsidRDefault="00A92D0B" w14:paraId="4BEAFF75" w14:textId="77777777">
      <w:pPr>
        <w:suppressAutoHyphens/>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675"/>
        <w:gridCol w:w="4685"/>
      </w:tblGrid>
      <w:tr w:rsidRPr="00B72876" w:rsidR="00A92D0B" w:rsidTr="00CA0D2A" w14:paraId="0FE98F62" w14:textId="77777777">
        <w:tc>
          <w:tcPr>
            <w:tcW w:w="4675" w:type="dxa"/>
            <w:shd w:val="clear" w:color="auto" w:fill="FFFFFF" w:themeFill="background1"/>
          </w:tcPr>
          <w:p w:rsidRPr="00B72876" w:rsidR="00A92D0B" w:rsidP="00C47A2B" w:rsidRDefault="005A63D4" w14:paraId="11570D4A" w14:textId="1424476A">
            <w:pPr>
              <w:tabs>
                <w:tab w:val="left" w:pos="1620"/>
                <w:tab w:val="right" w:pos="4500"/>
              </w:tabs>
              <w:rPr>
                <w:color w:val="000000"/>
              </w:rPr>
            </w:pPr>
            <w:r w:rsidRPr="00B72876">
              <w:rPr>
                <w:b/>
                <w:color w:val="000000"/>
              </w:rPr>
              <w:t>Intervenor</w:t>
            </w:r>
            <w:r w:rsidRPr="00B72876" w:rsidR="00F63C29">
              <w:rPr>
                <w:b/>
                <w:color w:val="000000"/>
              </w:rPr>
              <w:t>:</w:t>
            </w:r>
            <w:r w:rsidR="00CA0D2A">
              <w:rPr>
                <w:b/>
                <w:color w:val="000000"/>
              </w:rPr>
              <w:t xml:space="preserve"> </w:t>
            </w:r>
            <w:r w:rsidRPr="00B72876" w:rsidR="00691528">
              <w:rPr>
                <w:b/>
                <w:color w:val="000000"/>
              </w:rPr>
              <w:t xml:space="preserve"> </w:t>
            </w:r>
            <w:r w:rsidRPr="00B72876" w:rsidR="002A6B05">
              <w:rPr>
                <w:b/>
                <w:color w:val="000000"/>
              </w:rPr>
              <w:t>Utility Consumers’ Action Network</w:t>
            </w:r>
          </w:p>
        </w:tc>
        <w:tc>
          <w:tcPr>
            <w:tcW w:w="4685" w:type="dxa"/>
            <w:shd w:val="clear" w:color="auto" w:fill="FFFFFF" w:themeFill="background1"/>
          </w:tcPr>
          <w:p w:rsidRPr="00B72876" w:rsidR="00A92D0B" w:rsidP="00C47A2B" w:rsidRDefault="00A92D0B" w14:paraId="53A584EE" w14:textId="4D3C0F50">
            <w:pPr>
              <w:tabs>
                <w:tab w:val="left" w:pos="1872"/>
                <w:tab w:val="right" w:pos="3672"/>
              </w:tabs>
              <w:rPr>
                <w:b/>
                <w:color w:val="000000"/>
              </w:rPr>
            </w:pPr>
            <w:r w:rsidRPr="00B72876">
              <w:rPr>
                <w:b/>
                <w:color w:val="000000"/>
              </w:rPr>
              <w:t>For contribution to D</w:t>
            </w:r>
            <w:r w:rsidRPr="00B72876" w:rsidR="00DE3A5D">
              <w:rPr>
                <w:b/>
                <w:color w:val="000000"/>
              </w:rPr>
              <w:t xml:space="preserve">ecision </w:t>
            </w:r>
            <w:r w:rsidR="00CA0D2A">
              <w:rPr>
                <w:b/>
                <w:color w:val="000000"/>
              </w:rPr>
              <w:br/>
            </w:r>
            <w:r w:rsidRPr="00B72876" w:rsidR="00DE3A5D">
              <w:rPr>
                <w:b/>
                <w:color w:val="000000"/>
              </w:rPr>
              <w:t xml:space="preserve">(D.) </w:t>
            </w:r>
            <w:r w:rsidRPr="00B72876" w:rsidR="002A6B05">
              <w:rPr>
                <w:b/>
                <w:color w:val="000000"/>
              </w:rPr>
              <w:t xml:space="preserve">21-10-020, </w:t>
            </w:r>
            <w:r w:rsidRPr="00B72876" w:rsidR="00365D26">
              <w:rPr>
                <w:rFonts w:eastAsia="Calibri"/>
                <w:b/>
              </w:rPr>
              <w:t>D.22-04-055</w:t>
            </w:r>
          </w:p>
        </w:tc>
      </w:tr>
      <w:tr w:rsidRPr="00B72876" w:rsidR="00A92D0B" w:rsidTr="00CA0D2A" w14:paraId="47003B8E" w14:textId="77777777">
        <w:tc>
          <w:tcPr>
            <w:tcW w:w="4675" w:type="dxa"/>
            <w:shd w:val="clear" w:color="auto" w:fill="FFFFFF" w:themeFill="background1"/>
          </w:tcPr>
          <w:p w:rsidRPr="00B72876" w:rsidR="00A92D0B" w:rsidP="00C47A2B" w:rsidRDefault="00A92D0B" w14:paraId="0E2E4BD1" w14:textId="766A0A1F">
            <w:pPr>
              <w:tabs>
                <w:tab w:val="left" w:pos="1620"/>
                <w:tab w:val="right" w:pos="4500"/>
              </w:tabs>
              <w:rPr>
                <w:b/>
                <w:color w:val="000000"/>
                <w:u w:val="single"/>
              </w:rPr>
            </w:pPr>
            <w:r w:rsidRPr="00B72876">
              <w:rPr>
                <w:b/>
                <w:color w:val="000000"/>
              </w:rPr>
              <w:t>Claimed:</w:t>
            </w:r>
            <w:r w:rsidRPr="00B72876" w:rsidR="00F63C29">
              <w:rPr>
                <w:b/>
                <w:color w:val="000000"/>
              </w:rPr>
              <w:t xml:space="preserve"> </w:t>
            </w:r>
            <w:r w:rsidRPr="00B72876" w:rsidR="002D21CA">
              <w:rPr>
                <w:b/>
                <w:color w:val="000000"/>
              </w:rPr>
              <w:t xml:space="preserve"> </w:t>
            </w:r>
            <w:r w:rsidRPr="00B72876" w:rsidR="00FC72B7">
              <w:rPr>
                <w:b/>
                <w:color w:val="000000"/>
              </w:rPr>
              <w:t>$</w:t>
            </w:r>
            <w:r w:rsidR="00365D26">
              <w:rPr>
                <w:b/>
                <w:color w:val="000000"/>
              </w:rPr>
              <w:t xml:space="preserve"> 125,158.5</w:t>
            </w:r>
            <w:r w:rsidR="0041559F">
              <w:rPr>
                <w:b/>
                <w:color w:val="000000"/>
              </w:rPr>
              <w:t>6</w:t>
            </w:r>
          </w:p>
        </w:tc>
        <w:tc>
          <w:tcPr>
            <w:tcW w:w="4685" w:type="dxa"/>
            <w:tcBorders>
              <w:bottom w:val="single" w:color="auto" w:sz="4" w:space="0"/>
            </w:tcBorders>
            <w:shd w:val="clear" w:color="auto" w:fill="FFFFFF" w:themeFill="background1"/>
          </w:tcPr>
          <w:p w:rsidRPr="00B72876" w:rsidR="00A92D0B" w:rsidP="00C47A2B" w:rsidRDefault="00A92D0B" w14:paraId="211F40A8" w14:textId="09BB2452">
            <w:pPr>
              <w:tabs>
                <w:tab w:val="left" w:pos="1872"/>
                <w:tab w:val="right" w:pos="3672"/>
              </w:tabs>
              <w:rPr>
                <w:b/>
                <w:color w:val="000000"/>
                <w:u w:val="single"/>
              </w:rPr>
            </w:pPr>
            <w:r w:rsidRPr="00B72876">
              <w:rPr>
                <w:b/>
                <w:color w:val="000000"/>
              </w:rPr>
              <w:t>Awarded:</w:t>
            </w:r>
            <w:r w:rsidRPr="00B72876" w:rsidR="00FC72B7">
              <w:rPr>
                <w:b/>
                <w:color w:val="000000"/>
              </w:rPr>
              <w:t xml:space="preserve">  </w:t>
            </w:r>
            <w:r w:rsidRPr="0040767C" w:rsidR="00FC72B7">
              <w:rPr>
                <w:b/>
                <w:color w:val="000000"/>
              </w:rPr>
              <w:t>$</w:t>
            </w:r>
            <w:r w:rsidRPr="0040767C" w:rsidR="0037657D">
              <w:rPr>
                <w:b/>
                <w:color w:val="000000"/>
              </w:rPr>
              <w:t>6</w:t>
            </w:r>
            <w:r w:rsidR="006B6F0C">
              <w:rPr>
                <w:b/>
                <w:color w:val="000000"/>
              </w:rPr>
              <w:t>2</w:t>
            </w:r>
            <w:r w:rsidRPr="0040767C" w:rsidR="0037657D">
              <w:rPr>
                <w:b/>
                <w:color w:val="000000"/>
              </w:rPr>
              <w:t>,</w:t>
            </w:r>
            <w:r w:rsidR="006B6F0C">
              <w:rPr>
                <w:b/>
                <w:color w:val="000000"/>
              </w:rPr>
              <w:t>134</w:t>
            </w:r>
            <w:r w:rsidR="00FC13C4">
              <w:rPr>
                <w:b/>
                <w:color w:val="000000"/>
              </w:rPr>
              <w:t>.</w:t>
            </w:r>
            <w:r w:rsidR="006B6F0C">
              <w:rPr>
                <w:b/>
                <w:color w:val="000000"/>
              </w:rPr>
              <w:t>4</w:t>
            </w:r>
            <w:r w:rsidR="00FC13C4">
              <w:rPr>
                <w:b/>
                <w:color w:val="000000"/>
              </w:rPr>
              <w:t>8</w:t>
            </w:r>
          </w:p>
        </w:tc>
      </w:tr>
      <w:tr w:rsidRPr="00B72876" w:rsidR="00A92D0B" w:rsidTr="00CA0D2A" w14:paraId="5C56877D" w14:textId="77777777">
        <w:tc>
          <w:tcPr>
            <w:tcW w:w="4675" w:type="dxa"/>
            <w:shd w:val="clear" w:color="auto" w:fill="FFFFFF" w:themeFill="background1"/>
          </w:tcPr>
          <w:p w:rsidRPr="00B72876" w:rsidR="00A92D0B" w:rsidP="00C47A2B" w:rsidRDefault="00A92D0B" w14:paraId="6EF99E36" w14:textId="619E6438">
            <w:pPr>
              <w:tabs>
                <w:tab w:val="left" w:pos="3060"/>
                <w:tab w:val="right" w:pos="4500"/>
              </w:tabs>
              <w:rPr>
                <w:color w:val="000000"/>
                <w:u w:val="single"/>
              </w:rPr>
            </w:pPr>
            <w:r w:rsidRPr="00B72876">
              <w:rPr>
                <w:b/>
                <w:color w:val="000000"/>
              </w:rPr>
              <w:t xml:space="preserve">Assigned Commissioner: </w:t>
            </w:r>
            <w:r w:rsidR="00CA0D2A">
              <w:rPr>
                <w:b/>
                <w:color w:val="000000"/>
              </w:rPr>
              <w:t xml:space="preserve"> </w:t>
            </w:r>
            <w:r w:rsidRPr="00B72876" w:rsidR="002A6B05">
              <w:rPr>
                <w:b/>
                <w:color w:val="000000"/>
              </w:rPr>
              <w:t>Alice Reynolds</w:t>
            </w:r>
          </w:p>
        </w:tc>
        <w:tc>
          <w:tcPr>
            <w:tcW w:w="4685" w:type="dxa"/>
            <w:shd w:val="clear" w:color="auto" w:fill="FFFFFF" w:themeFill="background1"/>
          </w:tcPr>
          <w:p w:rsidRPr="00B72876" w:rsidR="00A92D0B" w:rsidP="00C47A2B" w:rsidRDefault="00A92D0B" w14:paraId="79375F78" w14:textId="6723C08A">
            <w:pPr>
              <w:tabs>
                <w:tab w:val="left" w:pos="1872"/>
                <w:tab w:val="right" w:pos="3672"/>
              </w:tabs>
              <w:rPr>
                <w:color w:val="000000"/>
                <w:u w:val="single"/>
              </w:rPr>
            </w:pPr>
            <w:r w:rsidRPr="00B72876">
              <w:rPr>
                <w:b/>
                <w:color w:val="000000"/>
              </w:rPr>
              <w:t>Assigned ALJ:</w:t>
            </w:r>
            <w:r w:rsidRPr="00B72876" w:rsidR="00F63C29">
              <w:rPr>
                <w:b/>
                <w:color w:val="000000"/>
              </w:rPr>
              <w:t xml:space="preserve"> </w:t>
            </w:r>
            <w:r w:rsidR="00CA0D2A">
              <w:rPr>
                <w:b/>
                <w:color w:val="000000"/>
              </w:rPr>
              <w:t xml:space="preserve"> </w:t>
            </w:r>
            <w:r w:rsidRPr="00B72876" w:rsidR="002A6B05">
              <w:rPr>
                <w:b/>
                <w:color w:val="000000"/>
              </w:rPr>
              <w:t>Thomas J. Glegola</w:t>
            </w:r>
          </w:p>
        </w:tc>
      </w:tr>
    </w:tbl>
    <w:p w:rsidRPr="00B72876" w:rsidR="00691528" w:rsidP="00CA0D2A" w:rsidRDefault="00A92D0B" w14:paraId="3CEED871" w14:textId="62381001">
      <w:pPr>
        <w:keepNext/>
        <w:spacing w:before="120"/>
        <w:jc w:val="center"/>
        <w:rPr>
          <w:b/>
          <w:color w:val="000000"/>
        </w:rPr>
      </w:pPr>
      <w:r w:rsidRPr="00B72876">
        <w:rPr>
          <w:b/>
          <w:color w:val="000000"/>
        </w:rPr>
        <w:t>PART I:</w:t>
      </w:r>
      <w:r w:rsidRPr="00B72876" w:rsidR="008E182E">
        <w:rPr>
          <w:b/>
          <w:color w:val="000000"/>
        </w:rPr>
        <w:t xml:space="preserve">  </w:t>
      </w:r>
      <w:r w:rsidRPr="00B72876">
        <w:rPr>
          <w:b/>
          <w:color w:val="000000"/>
        </w:rPr>
        <w:t>PROCEDURAL ISSUES</w:t>
      </w:r>
    </w:p>
    <w:p w:rsidRPr="00B72876" w:rsidR="00A92D0B" w:rsidP="00055843" w:rsidRDefault="00A92D0B" w14:paraId="37AA25BD" w14:textId="77777777">
      <w:pPr>
        <w:keepNext/>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B72876" w:rsidR="00A92D0B" w:rsidTr="00794A54" w14:paraId="3C5C25ED" w14:textId="77777777">
        <w:tc>
          <w:tcPr>
            <w:tcW w:w="3708" w:type="dxa"/>
            <w:shd w:val="clear" w:color="auto" w:fill="auto"/>
          </w:tcPr>
          <w:p w:rsidRPr="00B72876" w:rsidR="00A92D0B" w:rsidP="00915118" w:rsidRDefault="00A92D0B" w14:paraId="1576A0A6" w14:textId="77777777">
            <w:pPr>
              <w:rPr>
                <w:b/>
                <w:color w:val="000000"/>
              </w:rPr>
            </w:pPr>
            <w:r w:rsidRPr="00B72876">
              <w:rPr>
                <w:b/>
                <w:color w:val="000000"/>
              </w:rPr>
              <w:t xml:space="preserve">A.  Brief </w:t>
            </w:r>
            <w:r w:rsidRPr="00B72876" w:rsidR="00A319DE">
              <w:rPr>
                <w:b/>
                <w:color w:val="000000"/>
              </w:rPr>
              <w:t>d</w:t>
            </w:r>
            <w:r w:rsidRPr="00B72876">
              <w:rPr>
                <w:b/>
                <w:color w:val="000000"/>
              </w:rPr>
              <w:t xml:space="preserve">escription of Decision: </w:t>
            </w:r>
          </w:p>
        </w:tc>
        <w:tc>
          <w:tcPr>
            <w:tcW w:w="6120" w:type="dxa"/>
            <w:shd w:val="clear" w:color="auto" w:fill="FFFFFF" w:themeFill="background1"/>
          </w:tcPr>
          <w:p w:rsidRPr="00B72876" w:rsidR="0005030F" w:rsidP="0005030F" w:rsidRDefault="0005030F" w14:paraId="44AC5357" w14:textId="77777777">
            <w:pPr>
              <w:rPr>
                <w:color w:val="000000"/>
              </w:rPr>
            </w:pPr>
            <w:r w:rsidRPr="00B72876">
              <w:rPr>
                <w:color w:val="000000"/>
              </w:rPr>
              <w:t>On September 10, 2020, the California Public Utilities Commission (Commission) initiated this “Broadband for All” proceeding to set the strategic direction and changes necessary to expeditiously deploy reliable, fast, and affordable broadband Internet access services that connect all Californians.  Subsequently, the proceeding was</w:t>
            </w:r>
            <w:r w:rsidRPr="00B72876">
              <w:t xml:space="preserve"> </w:t>
            </w:r>
            <w:r w:rsidRPr="00B72876">
              <w:rPr>
                <w:color w:val="000000"/>
              </w:rPr>
              <w:t>divided into three phases.</w:t>
            </w:r>
          </w:p>
          <w:p w:rsidRPr="00B72876" w:rsidR="0005030F" w:rsidP="0005030F" w:rsidRDefault="0005030F" w14:paraId="220600EE" w14:textId="77777777">
            <w:pPr>
              <w:rPr>
                <w:color w:val="000000"/>
              </w:rPr>
            </w:pPr>
          </w:p>
          <w:p w:rsidRPr="00B72876" w:rsidR="0005030F" w:rsidP="0005030F" w:rsidRDefault="0005030F" w14:paraId="5B5E7982" w14:textId="14627AC7">
            <w:pPr>
              <w:rPr>
                <w:color w:val="000000"/>
              </w:rPr>
            </w:pPr>
            <w:r w:rsidRPr="00B72876">
              <w:rPr>
                <w:color w:val="000000"/>
              </w:rPr>
              <w:t xml:space="preserve">On October 21, 2021, the Commission adopted Decision </w:t>
            </w:r>
            <w:r w:rsidR="00CA0D2A">
              <w:rPr>
                <w:color w:val="000000"/>
              </w:rPr>
              <w:br/>
              <w:t xml:space="preserve">(D.) </w:t>
            </w:r>
            <w:r w:rsidRPr="00B72876">
              <w:rPr>
                <w:color w:val="000000"/>
              </w:rPr>
              <w:t xml:space="preserve">21-10-020.  This Decision resolved Phase I of this proceeding, adopting new post-disaster community engagement and reporting requirements for Investor-Owned Utilities and facilities-based telecommunications service providers in California.  Furthermore, requirements for the Digital Divide Account created in California Public Utilities </w:t>
            </w:r>
            <w:r w:rsidR="00CA0D2A">
              <w:rPr>
                <w:color w:val="000000"/>
              </w:rPr>
              <w:t xml:space="preserve">(Pub Util.) </w:t>
            </w:r>
            <w:r w:rsidRPr="00B72876">
              <w:rPr>
                <w:color w:val="000000"/>
              </w:rPr>
              <w:t>Code Section 280.5 were also adopted.  The proceeding remained open.</w:t>
            </w:r>
          </w:p>
          <w:p w:rsidRPr="00B72876" w:rsidR="0005030F" w:rsidP="0005030F" w:rsidRDefault="0005030F" w14:paraId="52686244" w14:textId="77777777">
            <w:pPr>
              <w:rPr>
                <w:color w:val="000000"/>
              </w:rPr>
            </w:pPr>
          </w:p>
          <w:p w:rsidRPr="00B72876" w:rsidR="0005030F" w:rsidP="0005030F" w:rsidRDefault="0005030F" w14:paraId="098EB614" w14:textId="77777777">
            <w:pPr>
              <w:rPr>
                <w:color w:val="000000"/>
              </w:rPr>
            </w:pPr>
            <w:r w:rsidRPr="00B72876">
              <w:rPr>
                <w:color w:val="000000"/>
              </w:rPr>
              <w:t xml:space="preserve">Thereafter, President Biden signed into law the American Rescue Plan Act of 2021 (ARPA), also called the COVID-19 Stimulus Package or American Rescue Plan, which </w:t>
            </w:r>
            <w:r w:rsidRPr="00B72876">
              <w:rPr>
                <w:color w:val="000000"/>
              </w:rPr>
              <w:lastRenderedPageBreak/>
              <w:t xml:space="preserve">appropriated funds for states to deploy last-mile broadband Internet networks.  On July 20, 2021, Governor Newsom signed SB 156 into law, creating the Federal Funding Account, with this Commission being responsible for implementing the new grant program.  Consequently, certain </w:t>
            </w:r>
          </w:p>
          <w:p w:rsidRPr="00B72876" w:rsidR="0005030F" w:rsidP="0005030F" w:rsidRDefault="0005030F" w14:paraId="42EBDBE8" w14:textId="77777777">
            <w:pPr>
              <w:rPr>
                <w:color w:val="000000"/>
              </w:rPr>
            </w:pPr>
            <w:r w:rsidRPr="00B72876">
              <w:rPr>
                <w:color w:val="000000"/>
              </w:rPr>
              <w:t>issues associated with the implementation of SB 156 were added to the scope of this proceeding, including implementation of the Federal Funding Account in Phase III.</w:t>
            </w:r>
          </w:p>
          <w:p w:rsidRPr="00B72876" w:rsidR="0005030F" w:rsidP="0005030F" w:rsidRDefault="0005030F" w14:paraId="6D60276C" w14:textId="77777777">
            <w:pPr>
              <w:rPr>
                <w:color w:val="000000"/>
              </w:rPr>
            </w:pPr>
          </w:p>
          <w:p w:rsidRPr="00B72876" w:rsidR="0005030F" w:rsidP="0005030F" w:rsidRDefault="0005030F" w14:paraId="1CD559C4" w14:textId="77777777">
            <w:pPr>
              <w:rPr>
                <w:color w:val="000000"/>
              </w:rPr>
            </w:pPr>
            <w:r w:rsidRPr="00B72876">
              <w:rPr>
                <w:color w:val="000000"/>
              </w:rPr>
              <w:t>On April 21, 2022, Decision 22-04-055 was adopted.  This decision adopts rules for the Federal Funding Account (FFA) created by Senate Bill (SB) 156 and funded through the federal American Rescue Plan Act of 2021 (Public Law No. 117-2), and the rules issued by the U.S. Treasury Department.  The scope of this decision is the development of the rules governing the Federal Funding Account (FFA), focused on last-mile Internet connections, including whether the Commission should adopt the Staff Proposal or refine it. Additionally, the rules adopted in this decision include, among other items, the following subjects:  project eligibility, application objections, allocating FFA funding between rural and urban counties, reimbursing grantees, a ministerial review process whereby Communications Division Staff may approve certain projects, and minimum performance standards for grantees.</w:t>
            </w:r>
          </w:p>
          <w:p w:rsidRPr="00B72876" w:rsidR="0005030F" w:rsidP="0005030F" w:rsidRDefault="0005030F" w14:paraId="3FE16DAC" w14:textId="77777777">
            <w:pPr>
              <w:rPr>
                <w:color w:val="000000"/>
              </w:rPr>
            </w:pPr>
          </w:p>
          <w:p w:rsidRPr="00B72876" w:rsidR="00C02649" w:rsidRDefault="0005030F" w14:paraId="67B8ECAA" w14:textId="2621BCE4">
            <w:pPr>
              <w:rPr>
                <w:color w:val="000000"/>
              </w:rPr>
            </w:pPr>
            <w:r w:rsidRPr="00B72876">
              <w:rPr>
                <w:color w:val="000000"/>
              </w:rPr>
              <w:t>This proceeding remains open.</w:t>
            </w:r>
          </w:p>
        </w:tc>
      </w:tr>
    </w:tbl>
    <w:p w:rsidRPr="00B72876" w:rsidR="00A92D0B" w:rsidP="00880855" w:rsidRDefault="005A63D4" w14:paraId="2FBF046C" w14:textId="77777777">
      <w:pPr>
        <w:keepNext/>
        <w:numPr>
          <w:ilvl w:val="0"/>
          <w:numId w:val="5"/>
        </w:numPr>
        <w:spacing w:before="240" w:after="240"/>
        <w:rPr>
          <w:b/>
          <w:color w:val="000000"/>
        </w:rPr>
      </w:pPr>
      <w:r w:rsidRPr="00B72876">
        <w:rPr>
          <w:b/>
          <w:color w:val="000000"/>
        </w:rPr>
        <w:lastRenderedPageBreak/>
        <w:t xml:space="preserve">Intervenor </w:t>
      </w:r>
      <w:r w:rsidRPr="00B72876" w:rsidR="00A92D0B">
        <w:rPr>
          <w:b/>
          <w:color w:val="000000"/>
        </w:rPr>
        <w:t xml:space="preserve">must satisfy intervenor compensation </w:t>
      </w:r>
      <w:r w:rsidRPr="00B72876" w:rsidR="00DE3A5D">
        <w:rPr>
          <w:b/>
          <w:color w:val="000000"/>
        </w:rPr>
        <w:t>requirements set forth in Pub. Util.</w:t>
      </w:r>
      <w:r w:rsidRPr="00B72876" w:rsidR="00A92D0B">
        <w:rPr>
          <w:b/>
          <w:color w:val="000000"/>
        </w:rPr>
        <w:t xml:space="preserve"> Code §§ 1801-1812</w:t>
      </w:r>
      <w:r w:rsidRPr="00B72876" w:rsidR="003B6A1B">
        <w:rPr>
          <w:rStyle w:val="FootnoteReference"/>
          <w:b/>
          <w:color w:val="000000"/>
        </w:rPr>
        <w:footnoteReference w:id="1"/>
      </w:r>
      <w:r w:rsidRPr="00B72876" w:rsidR="00A92D0B">
        <w:rPr>
          <w:b/>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276"/>
      </w:tblGrid>
      <w:tr w:rsidRPr="00B72876" w:rsidR="00A92D0B" w:rsidTr="00F028C8" w14:paraId="640CF70A" w14:textId="77777777">
        <w:trPr>
          <w:tblHeader/>
        </w:trPr>
        <w:tc>
          <w:tcPr>
            <w:tcW w:w="4817" w:type="dxa"/>
            <w:tcBorders>
              <w:bottom w:val="single" w:color="auto" w:sz="4" w:space="0"/>
            </w:tcBorders>
            <w:shd w:val="clear" w:color="auto" w:fill="auto"/>
          </w:tcPr>
          <w:p w:rsidRPr="00B72876" w:rsidR="00A92D0B" w:rsidP="00F028C8" w:rsidRDefault="00A92D0B" w14:paraId="409E4D92" w14:textId="77777777">
            <w:pPr>
              <w:tabs>
                <w:tab w:val="left" w:pos="360"/>
              </w:tabs>
              <w:jc w:val="center"/>
              <w:rPr>
                <w:color w:val="000000"/>
              </w:rPr>
            </w:pPr>
          </w:p>
        </w:tc>
        <w:tc>
          <w:tcPr>
            <w:tcW w:w="2267" w:type="dxa"/>
            <w:tcBorders>
              <w:bottom w:val="single" w:color="auto" w:sz="4" w:space="0"/>
            </w:tcBorders>
            <w:shd w:val="clear" w:color="auto" w:fill="auto"/>
          </w:tcPr>
          <w:p w:rsidRPr="00B72876" w:rsidR="00A92D0B" w:rsidP="00F028C8" w:rsidRDefault="005A63D4" w14:paraId="1412A3C6" w14:textId="77777777">
            <w:pPr>
              <w:tabs>
                <w:tab w:val="left" w:pos="360"/>
              </w:tabs>
              <w:jc w:val="center"/>
              <w:rPr>
                <w:b/>
                <w:color w:val="000000"/>
              </w:rPr>
            </w:pPr>
            <w:r w:rsidRPr="00B72876">
              <w:rPr>
                <w:b/>
                <w:color w:val="000000"/>
              </w:rPr>
              <w:t>Intervenor</w:t>
            </w:r>
          </w:p>
        </w:tc>
        <w:tc>
          <w:tcPr>
            <w:tcW w:w="2276" w:type="dxa"/>
            <w:tcBorders>
              <w:bottom w:val="single" w:color="auto" w:sz="4" w:space="0"/>
            </w:tcBorders>
            <w:shd w:val="clear" w:color="auto" w:fill="auto"/>
          </w:tcPr>
          <w:p w:rsidRPr="00B72876" w:rsidR="00A92D0B" w:rsidP="00F028C8" w:rsidRDefault="00A92D0B" w14:paraId="2A218C38" w14:textId="386C9A6A">
            <w:pPr>
              <w:tabs>
                <w:tab w:val="left" w:pos="360"/>
              </w:tabs>
              <w:jc w:val="center"/>
              <w:rPr>
                <w:b/>
                <w:color w:val="000000"/>
              </w:rPr>
            </w:pPr>
            <w:r w:rsidRPr="00B72876">
              <w:rPr>
                <w:b/>
                <w:color w:val="000000"/>
              </w:rPr>
              <w:t xml:space="preserve">CPUC </w:t>
            </w:r>
            <w:r w:rsidRPr="00B72876" w:rsidR="0081626F">
              <w:rPr>
                <w:b/>
                <w:color w:val="000000"/>
              </w:rPr>
              <w:t>Verification</w:t>
            </w:r>
          </w:p>
        </w:tc>
      </w:tr>
      <w:tr w:rsidRPr="00B72876" w:rsidR="00A92D0B" w:rsidTr="00F028C8" w14:paraId="7D83D00D"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72876" w:rsidR="00A92D0B" w:rsidP="00F028C8" w:rsidRDefault="00A92D0B" w14:paraId="606E2B66" w14:textId="77777777">
            <w:pPr>
              <w:keepNext/>
              <w:tabs>
                <w:tab w:val="left" w:pos="360"/>
              </w:tabs>
              <w:jc w:val="center"/>
              <w:rPr>
                <w:b/>
              </w:rPr>
            </w:pPr>
            <w:r w:rsidRPr="00B72876">
              <w:rPr>
                <w:b/>
              </w:rPr>
              <w:t>Timely filing of notice of intent to claim compensation (NOI) (§ 1804(a)):</w:t>
            </w:r>
          </w:p>
        </w:tc>
      </w:tr>
      <w:tr w:rsidRPr="00B72876" w:rsidR="00A92D0B" w:rsidTr="00704747" w14:paraId="160E284A" w14:textId="77777777">
        <w:tc>
          <w:tcPr>
            <w:tcW w:w="4817" w:type="dxa"/>
            <w:tcBorders>
              <w:top w:val="single" w:color="auto" w:sz="4" w:space="0"/>
            </w:tcBorders>
            <w:shd w:val="clear" w:color="auto" w:fill="auto"/>
          </w:tcPr>
          <w:p w:rsidRPr="00B72876" w:rsidR="00A92D0B" w:rsidP="00F028C8" w:rsidRDefault="00A92D0B" w14:paraId="44D1876C" w14:textId="641E86F1">
            <w:pPr>
              <w:keepNext/>
              <w:tabs>
                <w:tab w:val="left" w:pos="360"/>
              </w:tabs>
              <w:ind w:left="360" w:hanging="360"/>
              <w:rPr>
                <w:color w:val="000000"/>
              </w:rPr>
            </w:pPr>
            <w:r w:rsidRPr="00B72876">
              <w:rPr>
                <w:color w:val="000000"/>
              </w:rPr>
              <w:t>1.</w:t>
            </w:r>
            <w:r w:rsidRPr="00B72876" w:rsidR="001E7EE2">
              <w:rPr>
                <w:color w:val="000000"/>
              </w:rPr>
              <w:tab/>
            </w:r>
            <w:r w:rsidRPr="00B72876">
              <w:rPr>
                <w:color w:val="000000"/>
              </w:rPr>
              <w:t xml:space="preserve">Date of </w:t>
            </w:r>
            <w:r w:rsidR="00050453">
              <w:rPr>
                <w:color w:val="000000"/>
              </w:rPr>
              <w:t>p</w:t>
            </w:r>
            <w:r w:rsidRPr="00B72876">
              <w:rPr>
                <w:color w:val="000000"/>
              </w:rPr>
              <w:t xml:space="preserve">rehearing </w:t>
            </w:r>
            <w:r w:rsidR="00050453">
              <w:rPr>
                <w:color w:val="000000"/>
              </w:rPr>
              <w:t>c</w:t>
            </w:r>
            <w:r w:rsidRPr="00B72876">
              <w:rPr>
                <w:color w:val="000000"/>
              </w:rPr>
              <w:t>onference:</w:t>
            </w:r>
          </w:p>
        </w:tc>
        <w:tc>
          <w:tcPr>
            <w:tcW w:w="2267" w:type="dxa"/>
            <w:tcBorders>
              <w:top w:val="single" w:color="auto" w:sz="4" w:space="0"/>
            </w:tcBorders>
            <w:shd w:val="clear" w:color="auto" w:fill="auto"/>
          </w:tcPr>
          <w:p w:rsidRPr="00B72876" w:rsidR="00A92D0B" w:rsidP="00F028C8" w:rsidRDefault="00522813" w14:paraId="35450816" w14:textId="4C07AE11">
            <w:pPr>
              <w:keepNext/>
              <w:keepLines/>
              <w:tabs>
                <w:tab w:val="left" w:pos="360"/>
              </w:tabs>
              <w:ind w:left="360" w:hanging="360"/>
              <w:rPr>
                <w:color w:val="000000"/>
              </w:rPr>
            </w:pPr>
            <w:r w:rsidRPr="00B72876">
              <w:rPr>
                <w:color w:val="000000"/>
              </w:rPr>
              <w:t>November 10, 2020</w:t>
            </w:r>
          </w:p>
        </w:tc>
        <w:tc>
          <w:tcPr>
            <w:tcW w:w="2276" w:type="dxa"/>
            <w:tcBorders>
              <w:top w:val="single" w:color="auto" w:sz="4" w:space="0"/>
            </w:tcBorders>
            <w:shd w:val="clear" w:color="auto" w:fill="auto"/>
          </w:tcPr>
          <w:p w:rsidRPr="00B72876" w:rsidR="00A92D0B" w:rsidP="00050453" w:rsidRDefault="00704747" w14:paraId="34540344" w14:textId="2F65AC85">
            <w:pPr>
              <w:keepNext/>
              <w:tabs>
                <w:tab w:val="left" w:pos="360"/>
              </w:tabs>
              <w:jc w:val="center"/>
              <w:rPr>
                <w:color w:val="000000"/>
              </w:rPr>
            </w:pPr>
            <w:r>
              <w:rPr>
                <w:color w:val="000000"/>
              </w:rPr>
              <w:t>Verified</w:t>
            </w:r>
          </w:p>
        </w:tc>
      </w:tr>
      <w:tr w:rsidRPr="00B72876" w:rsidR="00A92D0B" w:rsidTr="00704747" w14:paraId="24C85564" w14:textId="77777777">
        <w:tc>
          <w:tcPr>
            <w:tcW w:w="4817" w:type="dxa"/>
            <w:shd w:val="clear" w:color="auto" w:fill="auto"/>
          </w:tcPr>
          <w:p w:rsidRPr="00B72876" w:rsidR="00A92D0B" w:rsidP="00F028C8" w:rsidRDefault="00A92D0B" w14:paraId="382C5788" w14:textId="49F0E39E">
            <w:pPr>
              <w:tabs>
                <w:tab w:val="left" w:pos="360"/>
              </w:tabs>
              <w:ind w:left="360" w:hanging="360"/>
              <w:rPr>
                <w:color w:val="000000"/>
              </w:rPr>
            </w:pPr>
            <w:r w:rsidRPr="00B72876">
              <w:rPr>
                <w:color w:val="000000"/>
              </w:rPr>
              <w:t>2.</w:t>
            </w:r>
            <w:r w:rsidRPr="00B72876" w:rsidR="001E7EE2">
              <w:rPr>
                <w:color w:val="000000"/>
              </w:rPr>
              <w:tab/>
            </w:r>
            <w:r w:rsidRPr="00B72876">
              <w:rPr>
                <w:color w:val="000000"/>
              </w:rPr>
              <w:t xml:space="preserve">Other </w:t>
            </w:r>
            <w:r w:rsidRPr="00B72876" w:rsidR="00A319DE">
              <w:rPr>
                <w:color w:val="000000"/>
              </w:rPr>
              <w:t>s</w:t>
            </w:r>
            <w:r w:rsidRPr="00B72876">
              <w:rPr>
                <w:color w:val="000000"/>
              </w:rPr>
              <w:t xml:space="preserve">pecified </w:t>
            </w:r>
            <w:r w:rsidRPr="00B72876" w:rsidR="00A319DE">
              <w:rPr>
                <w:color w:val="000000"/>
              </w:rPr>
              <w:t>d</w:t>
            </w:r>
            <w:r w:rsidRPr="00B72876">
              <w:rPr>
                <w:color w:val="000000"/>
              </w:rPr>
              <w:t>ate for NOI:</w:t>
            </w:r>
          </w:p>
        </w:tc>
        <w:tc>
          <w:tcPr>
            <w:tcW w:w="2267" w:type="dxa"/>
            <w:shd w:val="clear" w:color="auto" w:fill="auto"/>
          </w:tcPr>
          <w:p w:rsidRPr="00B72876" w:rsidR="00A92D0B" w:rsidP="00F028C8" w:rsidRDefault="00A92D0B" w14:paraId="1826BC2C" w14:textId="77777777">
            <w:pPr>
              <w:keepNext/>
              <w:keepLines/>
              <w:tabs>
                <w:tab w:val="left" w:pos="360"/>
              </w:tabs>
              <w:ind w:left="360" w:hanging="360"/>
              <w:rPr>
                <w:color w:val="000000"/>
              </w:rPr>
            </w:pPr>
          </w:p>
        </w:tc>
        <w:tc>
          <w:tcPr>
            <w:tcW w:w="2276" w:type="dxa"/>
            <w:shd w:val="clear" w:color="auto" w:fill="auto"/>
          </w:tcPr>
          <w:p w:rsidRPr="00B72876" w:rsidR="00A92D0B" w:rsidP="00050453" w:rsidRDefault="00A92D0B" w14:paraId="210DAD91" w14:textId="77777777">
            <w:pPr>
              <w:tabs>
                <w:tab w:val="left" w:pos="360"/>
              </w:tabs>
              <w:jc w:val="center"/>
              <w:rPr>
                <w:color w:val="000000"/>
              </w:rPr>
            </w:pPr>
          </w:p>
        </w:tc>
      </w:tr>
      <w:tr w:rsidRPr="00B72876" w:rsidR="00A92D0B" w:rsidTr="00704747" w14:paraId="4836EEA6" w14:textId="77777777">
        <w:tc>
          <w:tcPr>
            <w:tcW w:w="4817" w:type="dxa"/>
            <w:shd w:val="clear" w:color="auto" w:fill="auto"/>
          </w:tcPr>
          <w:p w:rsidRPr="00B72876" w:rsidR="00A92D0B" w:rsidP="00F028C8" w:rsidRDefault="00A92D0B" w14:paraId="34809C45" w14:textId="2501A8A3">
            <w:pPr>
              <w:tabs>
                <w:tab w:val="left" w:pos="360"/>
              </w:tabs>
              <w:ind w:left="360" w:hanging="360"/>
              <w:rPr>
                <w:color w:val="000000"/>
              </w:rPr>
            </w:pPr>
            <w:r w:rsidRPr="00B72876">
              <w:rPr>
                <w:color w:val="000000"/>
              </w:rPr>
              <w:t>3.</w:t>
            </w:r>
            <w:r w:rsidRPr="00B72876" w:rsidR="001E7EE2">
              <w:rPr>
                <w:color w:val="000000"/>
              </w:rPr>
              <w:tab/>
            </w:r>
            <w:r w:rsidRPr="00B72876">
              <w:rPr>
                <w:color w:val="000000"/>
              </w:rPr>
              <w:t xml:space="preserve">Date NOI </w:t>
            </w:r>
            <w:r w:rsidRPr="00B72876" w:rsidR="00A319DE">
              <w:rPr>
                <w:color w:val="000000"/>
              </w:rPr>
              <w:t>f</w:t>
            </w:r>
            <w:r w:rsidRPr="00B72876">
              <w:rPr>
                <w:color w:val="000000"/>
              </w:rPr>
              <w:t>iled:</w:t>
            </w:r>
          </w:p>
        </w:tc>
        <w:tc>
          <w:tcPr>
            <w:tcW w:w="2267" w:type="dxa"/>
            <w:tcBorders>
              <w:bottom w:val="single" w:color="auto" w:sz="4" w:space="0"/>
            </w:tcBorders>
            <w:shd w:val="clear" w:color="auto" w:fill="auto"/>
          </w:tcPr>
          <w:p w:rsidRPr="00B72876" w:rsidR="00A92D0B" w:rsidP="00F028C8" w:rsidRDefault="00522813" w14:paraId="44F7CCB9" w14:textId="48EF74A4">
            <w:pPr>
              <w:keepNext/>
              <w:keepLines/>
              <w:tabs>
                <w:tab w:val="left" w:pos="360"/>
              </w:tabs>
              <w:ind w:left="360" w:hanging="360"/>
              <w:rPr>
                <w:color w:val="000000"/>
              </w:rPr>
            </w:pPr>
            <w:r w:rsidRPr="00B72876">
              <w:rPr>
                <w:color w:val="000000"/>
              </w:rPr>
              <w:t>December 10, 2020</w:t>
            </w:r>
          </w:p>
        </w:tc>
        <w:tc>
          <w:tcPr>
            <w:tcW w:w="2276" w:type="dxa"/>
            <w:tcBorders>
              <w:bottom w:val="single" w:color="auto" w:sz="4" w:space="0"/>
            </w:tcBorders>
            <w:shd w:val="clear" w:color="auto" w:fill="auto"/>
          </w:tcPr>
          <w:p w:rsidRPr="00B72876" w:rsidR="00A92D0B" w:rsidP="00050453" w:rsidRDefault="00704747" w14:paraId="71759DE3" w14:textId="19A4324F">
            <w:pPr>
              <w:tabs>
                <w:tab w:val="left" w:pos="360"/>
              </w:tabs>
              <w:jc w:val="center"/>
              <w:rPr>
                <w:color w:val="000000"/>
              </w:rPr>
            </w:pPr>
            <w:r>
              <w:rPr>
                <w:color w:val="000000"/>
              </w:rPr>
              <w:t>Verified</w:t>
            </w:r>
          </w:p>
        </w:tc>
      </w:tr>
      <w:tr w:rsidRPr="00B72876" w:rsidR="00A92D0B" w:rsidTr="00F028C8" w14:paraId="22BBCDE3" w14:textId="77777777">
        <w:tc>
          <w:tcPr>
            <w:tcW w:w="7084" w:type="dxa"/>
            <w:gridSpan w:val="2"/>
            <w:tcBorders>
              <w:bottom w:val="single" w:color="auto" w:sz="4" w:space="0"/>
            </w:tcBorders>
            <w:shd w:val="clear" w:color="auto" w:fill="auto"/>
          </w:tcPr>
          <w:p w:rsidRPr="00B72876" w:rsidR="00A92D0B" w:rsidP="00F028C8" w:rsidRDefault="00A92D0B" w14:paraId="7E6E2068" w14:textId="1D4DD6B8">
            <w:pPr>
              <w:tabs>
                <w:tab w:val="left" w:pos="360"/>
              </w:tabs>
              <w:ind w:left="360" w:hanging="360"/>
              <w:rPr>
                <w:color w:val="000000"/>
              </w:rPr>
            </w:pPr>
            <w:r w:rsidRPr="00B72876">
              <w:rPr>
                <w:color w:val="000000"/>
              </w:rPr>
              <w:t>4.</w:t>
            </w:r>
            <w:r w:rsidRPr="00B72876" w:rsidR="001E7EE2">
              <w:rPr>
                <w:color w:val="000000"/>
              </w:rPr>
              <w:tab/>
            </w:r>
            <w:r w:rsidRPr="00B72876">
              <w:rPr>
                <w:color w:val="000000"/>
              </w:rPr>
              <w:t>Was the NOI timely filed?</w:t>
            </w:r>
          </w:p>
        </w:tc>
        <w:tc>
          <w:tcPr>
            <w:tcW w:w="2276" w:type="dxa"/>
            <w:tcBorders>
              <w:bottom w:val="single" w:color="auto" w:sz="4" w:space="0"/>
            </w:tcBorders>
            <w:shd w:val="clear" w:color="auto" w:fill="auto"/>
          </w:tcPr>
          <w:p w:rsidRPr="00B72876" w:rsidR="00A92D0B" w:rsidP="00050453" w:rsidRDefault="00704747" w14:paraId="61DE2845" w14:textId="4D5565E9">
            <w:pPr>
              <w:tabs>
                <w:tab w:val="left" w:pos="360"/>
              </w:tabs>
              <w:jc w:val="center"/>
              <w:rPr>
                <w:color w:val="000000"/>
              </w:rPr>
            </w:pPr>
            <w:r>
              <w:rPr>
                <w:color w:val="000000"/>
              </w:rPr>
              <w:t>Yes</w:t>
            </w:r>
          </w:p>
        </w:tc>
      </w:tr>
      <w:tr w:rsidRPr="00B72876" w:rsidR="00A92D0B" w:rsidTr="00F028C8" w14:paraId="4CD7D46A"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B72876" w:rsidR="00F028C8" w:rsidP="00F028C8" w:rsidRDefault="00A92D0B" w14:paraId="003AB151" w14:textId="75841E30">
            <w:pPr>
              <w:keepNext/>
              <w:keepLines/>
              <w:tabs>
                <w:tab w:val="left" w:pos="360"/>
              </w:tabs>
              <w:jc w:val="center"/>
              <w:rPr>
                <w:b/>
                <w:color w:val="000000"/>
              </w:rPr>
            </w:pPr>
            <w:r w:rsidRPr="00B72876">
              <w:rPr>
                <w:b/>
                <w:color w:val="000000"/>
              </w:rPr>
              <w:lastRenderedPageBreak/>
              <w:t xml:space="preserve">Showing of </w:t>
            </w:r>
            <w:r w:rsidRPr="00B72876" w:rsidR="00F63C29">
              <w:rPr>
                <w:b/>
                <w:color w:val="000000"/>
              </w:rPr>
              <w:t xml:space="preserve">eligible </w:t>
            </w:r>
            <w:r w:rsidRPr="00B72876">
              <w:rPr>
                <w:b/>
                <w:color w:val="000000"/>
              </w:rPr>
              <w:t xml:space="preserve">customer </w:t>
            </w:r>
            <w:r w:rsidRPr="00B72876" w:rsidR="00F63C29">
              <w:rPr>
                <w:b/>
                <w:color w:val="000000"/>
              </w:rPr>
              <w:t>status (§ 1802(b)</w:t>
            </w:r>
            <w:r w:rsidRPr="00B72876" w:rsidR="00F028C8">
              <w:rPr>
                <w:b/>
                <w:color w:val="000000"/>
              </w:rPr>
              <w:t>)</w:t>
            </w:r>
          </w:p>
          <w:p w:rsidRPr="00B72876" w:rsidR="00A92D0B" w:rsidP="00F028C8" w:rsidRDefault="00F63C29" w14:paraId="19D649BF" w14:textId="31FAE647">
            <w:pPr>
              <w:keepNext/>
              <w:keepLines/>
              <w:tabs>
                <w:tab w:val="left" w:pos="360"/>
              </w:tabs>
              <w:jc w:val="center"/>
              <w:rPr>
                <w:b/>
                <w:color w:val="000000"/>
              </w:rPr>
            </w:pPr>
            <w:r w:rsidRPr="00B72876">
              <w:rPr>
                <w:b/>
                <w:color w:val="000000"/>
              </w:rPr>
              <w:t xml:space="preserve"> or eligible local government entity </w:t>
            </w:r>
            <w:r w:rsidRPr="00B72876" w:rsidR="00ED6B6B">
              <w:rPr>
                <w:b/>
                <w:color w:val="000000"/>
              </w:rPr>
              <w:t>status</w:t>
            </w:r>
            <w:r w:rsidRPr="00B72876" w:rsidR="00F028C8">
              <w:rPr>
                <w:b/>
                <w:color w:val="000000"/>
              </w:rPr>
              <w:t xml:space="preserve"> </w:t>
            </w:r>
            <w:r w:rsidRPr="00B72876">
              <w:rPr>
                <w:b/>
                <w:color w:val="000000"/>
              </w:rPr>
              <w:t>(§§ 1802(d), 1802.4)</w:t>
            </w:r>
            <w:r w:rsidRPr="00B72876" w:rsidR="00A92D0B">
              <w:rPr>
                <w:b/>
                <w:color w:val="000000"/>
              </w:rPr>
              <w:t>:</w:t>
            </w:r>
          </w:p>
        </w:tc>
      </w:tr>
      <w:tr w:rsidRPr="00B72876" w:rsidR="00A92D0B" w:rsidTr="00704747" w14:paraId="259EC227" w14:textId="77777777">
        <w:tc>
          <w:tcPr>
            <w:tcW w:w="4817" w:type="dxa"/>
            <w:tcBorders>
              <w:top w:val="single" w:color="auto" w:sz="4" w:space="0"/>
            </w:tcBorders>
            <w:shd w:val="clear" w:color="auto" w:fill="auto"/>
          </w:tcPr>
          <w:p w:rsidRPr="00B72876" w:rsidR="00A92D0B" w:rsidP="00F028C8" w:rsidRDefault="00A92D0B" w14:paraId="0EFCD0E9" w14:textId="1A5E3FBE">
            <w:pPr>
              <w:keepNext/>
              <w:keepLines/>
              <w:ind w:left="360" w:hanging="360"/>
              <w:rPr>
                <w:color w:val="000000"/>
              </w:rPr>
            </w:pPr>
            <w:r w:rsidRPr="00B72876">
              <w:rPr>
                <w:color w:val="000000"/>
              </w:rPr>
              <w:t>5.</w:t>
            </w:r>
            <w:r w:rsidRPr="00B72876" w:rsidR="001E7EE2">
              <w:rPr>
                <w:color w:val="000000"/>
              </w:rPr>
              <w:tab/>
            </w:r>
            <w:r w:rsidRPr="00B72876">
              <w:rPr>
                <w:color w:val="000000"/>
              </w:rPr>
              <w:t xml:space="preserve">Based on ALJ ruling issued in proceeding </w:t>
            </w:r>
            <w:r w:rsidRPr="00B72876" w:rsidR="00E3786F">
              <w:rPr>
                <w:color w:val="000000"/>
              </w:rPr>
              <w:t xml:space="preserve">  </w:t>
            </w:r>
            <w:r w:rsidRPr="00B72876">
              <w:rPr>
                <w:color w:val="000000"/>
              </w:rPr>
              <w:t>number:</w:t>
            </w:r>
          </w:p>
        </w:tc>
        <w:tc>
          <w:tcPr>
            <w:tcW w:w="2267" w:type="dxa"/>
            <w:tcBorders>
              <w:top w:val="single" w:color="auto" w:sz="4" w:space="0"/>
            </w:tcBorders>
            <w:shd w:val="clear" w:color="auto" w:fill="auto"/>
          </w:tcPr>
          <w:p w:rsidRPr="00B72876" w:rsidR="00A92D0B" w:rsidP="00050453" w:rsidRDefault="002223F5" w14:paraId="4B02CB43" w14:textId="61F72FF7">
            <w:pPr>
              <w:keepNext/>
              <w:keepLines/>
              <w:tabs>
                <w:tab w:val="left" w:pos="360"/>
              </w:tabs>
              <w:jc w:val="center"/>
              <w:rPr>
                <w:color w:val="000000"/>
              </w:rPr>
            </w:pPr>
            <w:r w:rsidRPr="00B72876">
              <w:rPr>
                <w:color w:val="000000"/>
              </w:rPr>
              <w:t>R</w:t>
            </w:r>
            <w:r w:rsidR="00050453">
              <w:rPr>
                <w:color w:val="000000"/>
              </w:rPr>
              <w:t xml:space="preserve">ulemaking </w:t>
            </w:r>
            <w:r w:rsidR="00050453">
              <w:rPr>
                <w:color w:val="000000"/>
              </w:rPr>
              <w:br/>
              <w:t xml:space="preserve">(R.) </w:t>
            </w:r>
            <w:r w:rsidRPr="00B72876">
              <w:rPr>
                <w:color w:val="000000"/>
              </w:rPr>
              <w:t>20-07-013</w:t>
            </w:r>
          </w:p>
          <w:p w:rsidRPr="00B72876" w:rsidR="002223F5" w:rsidP="00050453" w:rsidRDefault="002223F5" w14:paraId="13E72B6D" w14:textId="04A787B6">
            <w:pPr>
              <w:keepNext/>
              <w:keepLines/>
              <w:tabs>
                <w:tab w:val="left" w:pos="360"/>
              </w:tabs>
              <w:jc w:val="center"/>
              <w:rPr>
                <w:color w:val="000000"/>
              </w:rPr>
            </w:pPr>
            <w:r w:rsidRPr="00B72876">
              <w:rPr>
                <w:color w:val="000000"/>
              </w:rPr>
              <w:t>(</w:t>
            </w:r>
            <w:r w:rsidRPr="00050453">
              <w:rPr>
                <w:i/>
                <w:iCs/>
                <w:color w:val="000000"/>
              </w:rPr>
              <w:t>See</w:t>
            </w:r>
            <w:r w:rsidRPr="00B72876">
              <w:rPr>
                <w:color w:val="000000"/>
              </w:rPr>
              <w:t xml:space="preserve"> Comment 1 in Part </w:t>
            </w:r>
            <w:r w:rsidRPr="00B72876" w:rsidR="0048515B">
              <w:rPr>
                <w:color w:val="000000"/>
              </w:rPr>
              <w:t>I. C</w:t>
            </w:r>
            <w:r w:rsidRPr="00B72876">
              <w:rPr>
                <w:color w:val="000000"/>
              </w:rPr>
              <w:t>)</w:t>
            </w:r>
          </w:p>
        </w:tc>
        <w:tc>
          <w:tcPr>
            <w:tcW w:w="2276" w:type="dxa"/>
            <w:tcBorders>
              <w:top w:val="single" w:color="auto" w:sz="4" w:space="0"/>
            </w:tcBorders>
            <w:shd w:val="clear" w:color="auto" w:fill="auto"/>
          </w:tcPr>
          <w:p w:rsidRPr="00B72876" w:rsidR="00A92D0B" w:rsidP="00F028C8" w:rsidRDefault="00704747" w14:paraId="2679B197" w14:textId="073BE67C">
            <w:pPr>
              <w:keepNext/>
              <w:keepLines/>
              <w:tabs>
                <w:tab w:val="left" w:pos="360"/>
              </w:tabs>
              <w:rPr>
                <w:color w:val="000000"/>
              </w:rPr>
            </w:pPr>
            <w:r>
              <w:rPr>
                <w:color w:val="000000"/>
              </w:rPr>
              <w:t>Verified</w:t>
            </w:r>
            <w:r w:rsidR="00B46857">
              <w:rPr>
                <w:color w:val="000000"/>
              </w:rPr>
              <w:t>. The Ruling of December 14, 2020 in R.20-07-013 has found that UCAN has demonstrated eligibility to claim intervenor compensation, including the eligible customer status.</w:t>
            </w:r>
          </w:p>
        </w:tc>
      </w:tr>
      <w:tr w:rsidRPr="00B72876" w:rsidR="00A92D0B" w:rsidTr="00704747" w14:paraId="4E0FB3B6" w14:textId="77777777">
        <w:tc>
          <w:tcPr>
            <w:tcW w:w="4817" w:type="dxa"/>
            <w:shd w:val="clear" w:color="auto" w:fill="auto"/>
          </w:tcPr>
          <w:p w:rsidRPr="00B72876" w:rsidR="00A92D0B" w:rsidP="00F028C8" w:rsidRDefault="00A92D0B" w14:paraId="568B12E8" w14:textId="6121FC05">
            <w:pPr>
              <w:tabs>
                <w:tab w:val="left" w:pos="360"/>
              </w:tabs>
              <w:ind w:left="360" w:hanging="360"/>
              <w:rPr>
                <w:color w:val="000000"/>
              </w:rPr>
            </w:pPr>
            <w:r w:rsidRPr="00B72876">
              <w:rPr>
                <w:color w:val="000000"/>
              </w:rPr>
              <w:t>6.</w:t>
            </w:r>
            <w:r w:rsidRPr="00B72876" w:rsidR="001E7EE2">
              <w:rPr>
                <w:color w:val="000000"/>
              </w:rPr>
              <w:tab/>
            </w:r>
            <w:r w:rsidRPr="00B72876">
              <w:rPr>
                <w:color w:val="000000"/>
              </w:rPr>
              <w:t>Date of ALJ ruling:</w:t>
            </w:r>
          </w:p>
        </w:tc>
        <w:tc>
          <w:tcPr>
            <w:tcW w:w="2267" w:type="dxa"/>
            <w:shd w:val="clear" w:color="auto" w:fill="auto"/>
          </w:tcPr>
          <w:p w:rsidRPr="00B72876" w:rsidR="00A92D0B" w:rsidP="00F028C8" w:rsidRDefault="002223F5" w14:paraId="306125B9" w14:textId="0E896AEC">
            <w:pPr>
              <w:tabs>
                <w:tab w:val="left" w:pos="360"/>
              </w:tabs>
              <w:ind w:left="360" w:hanging="360"/>
              <w:rPr>
                <w:color w:val="000000"/>
              </w:rPr>
            </w:pPr>
            <w:r w:rsidRPr="00B72876">
              <w:rPr>
                <w:color w:val="000000"/>
              </w:rPr>
              <w:t>December 1</w:t>
            </w:r>
            <w:r w:rsidRPr="00B72876" w:rsidR="0005030F">
              <w:rPr>
                <w:color w:val="000000"/>
              </w:rPr>
              <w:t>4</w:t>
            </w:r>
            <w:r w:rsidRPr="00B72876">
              <w:rPr>
                <w:color w:val="000000"/>
              </w:rPr>
              <w:t>, 2020</w:t>
            </w:r>
          </w:p>
        </w:tc>
        <w:tc>
          <w:tcPr>
            <w:tcW w:w="2276" w:type="dxa"/>
            <w:shd w:val="clear" w:color="auto" w:fill="auto"/>
          </w:tcPr>
          <w:p w:rsidRPr="00B72876" w:rsidR="00A92D0B" w:rsidP="00050453" w:rsidRDefault="00704747" w14:paraId="19F10313" w14:textId="02C73BA4">
            <w:pPr>
              <w:tabs>
                <w:tab w:val="left" w:pos="360"/>
              </w:tabs>
              <w:jc w:val="center"/>
              <w:rPr>
                <w:color w:val="000000"/>
              </w:rPr>
            </w:pPr>
            <w:r>
              <w:rPr>
                <w:color w:val="000000"/>
              </w:rPr>
              <w:t>Verified</w:t>
            </w:r>
          </w:p>
        </w:tc>
      </w:tr>
      <w:tr w:rsidRPr="00B72876" w:rsidR="00A92D0B" w:rsidTr="00704747" w14:paraId="7F6C1E54" w14:textId="77777777">
        <w:tc>
          <w:tcPr>
            <w:tcW w:w="4817" w:type="dxa"/>
            <w:shd w:val="clear" w:color="auto" w:fill="auto"/>
          </w:tcPr>
          <w:p w:rsidRPr="00B72876" w:rsidR="00A92D0B" w:rsidP="00F028C8" w:rsidRDefault="00A92D0B" w14:paraId="4B6E35B7" w14:textId="56E59D65">
            <w:pPr>
              <w:tabs>
                <w:tab w:val="left" w:pos="360"/>
              </w:tabs>
              <w:ind w:left="360" w:hanging="360"/>
              <w:rPr>
                <w:color w:val="000000"/>
              </w:rPr>
            </w:pPr>
            <w:r w:rsidRPr="00B72876">
              <w:rPr>
                <w:color w:val="000000"/>
              </w:rPr>
              <w:t>7.</w:t>
            </w:r>
            <w:r w:rsidRPr="00B72876" w:rsidR="001E7EE2">
              <w:rPr>
                <w:color w:val="000000"/>
              </w:rPr>
              <w:tab/>
            </w:r>
            <w:r w:rsidRPr="00B72876">
              <w:rPr>
                <w:color w:val="000000"/>
              </w:rPr>
              <w:t>Based on another CPUC determination (specify):</w:t>
            </w:r>
          </w:p>
        </w:tc>
        <w:tc>
          <w:tcPr>
            <w:tcW w:w="2267" w:type="dxa"/>
            <w:tcBorders>
              <w:bottom w:val="single" w:color="auto" w:sz="4" w:space="0"/>
            </w:tcBorders>
            <w:shd w:val="clear" w:color="auto" w:fill="auto"/>
          </w:tcPr>
          <w:p w:rsidR="00613200" w:rsidP="00050453" w:rsidRDefault="00613200" w14:paraId="28A5CA02" w14:textId="4A5FAB53">
            <w:pPr>
              <w:tabs>
                <w:tab w:val="left" w:pos="360"/>
              </w:tabs>
              <w:ind w:left="360" w:hanging="360"/>
              <w:jc w:val="center"/>
              <w:rPr>
                <w:color w:val="000000"/>
              </w:rPr>
            </w:pPr>
            <w:r w:rsidRPr="00613200">
              <w:rPr>
                <w:color w:val="000000"/>
              </w:rPr>
              <w:t>D.2</w:t>
            </w:r>
            <w:r>
              <w:rPr>
                <w:color w:val="000000"/>
              </w:rPr>
              <w:t>2-05-008</w:t>
            </w:r>
          </w:p>
          <w:p w:rsidRPr="00613200" w:rsidR="00613200" w:rsidP="00050453" w:rsidRDefault="00613200" w14:paraId="533C60AC" w14:textId="44C09871">
            <w:pPr>
              <w:tabs>
                <w:tab w:val="left" w:pos="360"/>
              </w:tabs>
              <w:ind w:left="360" w:hanging="360"/>
              <w:jc w:val="center"/>
              <w:rPr>
                <w:color w:val="000000"/>
              </w:rPr>
            </w:pPr>
            <w:r>
              <w:rPr>
                <w:color w:val="000000"/>
              </w:rPr>
              <w:t>D.22-06-022</w:t>
            </w:r>
          </w:p>
          <w:p w:rsidRPr="00613200" w:rsidR="00613200" w:rsidP="00050453" w:rsidRDefault="00613200" w14:paraId="7B43887D" w14:textId="77777777">
            <w:pPr>
              <w:tabs>
                <w:tab w:val="left" w:pos="360"/>
              </w:tabs>
              <w:ind w:left="360" w:hanging="360"/>
              <w:jc w:val="center"/>
              <w:rPr>
                <w:color w:val="000000"/>
              </w:rPr>
            </w:pPr>
            <w:r w:rsidRPr="00613200">
              <w:rPr>
                <w:color w:val="000000"/>
              </w:rPr>
              <w:t>D.21-08-016</w:t>
            </w:r>
          </w:p>
          <w:p w:rsidRPr="00613200" w:rsidR="00613200" w:rsidP="00050453" w:rsidRDefault="00613200" w14:paraId="68D8147A" w14:textId="77777777">
            <w:pPr>
              <w:tabs>
                <w:tab w:val="left" w:pos="360"/>
              </w:tabs>
              <w:ind w:left="360" w:hanging="360"/>
              <w:jc w:val="center"/>
              <w:rPr>
                <w:color w:val="000000"/>
              </w:rPr>
            </w:pPr>
            <w:r w:rsidRPr="00613200">
              <w:rPr>
                <w:color w:val="000000"/>
              </w:rPr>
              <w:t>D.21-08-035</w:t>
            </w:r>
          </w:p>
          <w:p w:rsidRPr="00613200" w:rsidR="00613200" w:rsidP="00050453" w:rsidRDefault="00613200" w14:paraId="449669E8" w14:textId="77777777">
            <w:pPr>
              <w:tabs>
                <w:tab w:val="left" w:pos="360"/>
              </w:tabs>
              <w:ind w:left="360" w:hanging="360"/>
              <w:jc w:val="center"/>
              <w:rPr>
                <w:color w:val="000000"/>
              </w:rPr>
            </w:pPr>
            <w:r w:rsidRPr="00613200">
              <w:rPr>
                <w:color w:val="000000"/>
              </w:rPr>
              <w:t>D.21-09-012</w:t>
            </w:r>
          </w:p>
          <w:p w:rsidRPr="00613200" w:rsidR="00613200" w:rsidP="00050453" w:rsidRDefault="00613200" w14:paraId="5969BE19" w14:textId="77777777">
            <w:pPr>
              <w:tabs>
                <w:tab w:val="left" w:pos="360"/>
              </w:tabs>
              <w:ind w:left="360" w:hanging="360"/>
              <w:jc w:val="center"/>
              <w:rPr>
                <w:color w:val="000000"/>
              </w:rPr>
            </w:pPr>
            <w:r w:rsidRPr="00613200">
              <w:rPr>
                <w:color w:val="000000"/>
              </w:rPr>
              <w:t>D.21-08-015</w:t>
            </w:r>
          </w:p>
          <w:p w:rsidRPr="00B72876" w:rsidR="00A92D0B" w:rsidP="00050453" w:rsidRDefault="00613200" w14:paraId="5E0F9D32" w14:textId="48AEB699">
            <w:pPr>
              <w:tabs>
                <w:tab w:val="left" w:pos="360"/>
              </w:tabs>
              <w:ind w:left="360" w:hanging="360"/>
              <w:jc w:val="center"/>
              <w:rPr>
                <w:color w:val="000000"/>
              </w:rPr>
            </w:pPr>
            <w:r w:rsidRPr="00613200">
              <w:rPr>
                <w:color w:val="000000"/>
              </w:rPr>
              <w:t>D.21-12-050</w:t>
            </w:r>
          </w:p>
        </w:tc>
        <w:tc>
          <w:tcPr>
            <w:tcW w:w="2276" w:type="dxa"/>
            <w:tcBorders>
              <w:bottom w:val="single" w:color="auto" w:sz="4" w:space="0"/>
            </w:tcBorders>
            <w:shd w:val="clear" w:color="auto" w:fill="auto"/>
          </w:tcPr>
          <w:p w:rsidRPr="00B72876" w:rsidR="00A92D0B" w:rsidP="00050453" w:rsidRDefault="00EB08E7" w14:paraId="180E80B3" w14:textId="0B77B96F">
            <w:pPr>
              <w:tabs>
                <w:tab w:val="left" w:pos="360"/>
              </w:tabs>
              <w:jc w:val="center"/>
              <w:rPr>
                <w:color w:val="000000"/>
              </w:rPr>
            </w:pPr>
            <w:r>
              <w:rPr>
                <w:color w:val="000000"/>
              </w:rPr>
              <w:t>Noted</w:t>
            </w:r>
          </w:p>
        </w:tc>
      </w:tr>
      <w:tr w:rsidRPr="00B72876" w:rsidR="00A92D0B" w:rsidTr="00F028C8" w14:paraId="397CC4AD" w14:textId="77777777">
        <w:tc>
          <w:tcPr>
            <w:tcW w:w="7084" w:type="dxa"/>
            <w:gridSpan w:val="2"/>
            <w:tcBorders>
              <w:bottom w:val="single" w:color="auto" w:sz="4" w:space="0"/>
            </w:tcBorders>
            <w:shd w:val="clear" w:color="auto" w:fill="auto"/>
          </w:tcPr>
          <w:p w:rsidRPr="00B72876" w:rsidR="00A92D0B" w:rsidP="00F028C8" w:rsidRDefault="00A92D0B" w14:paraId="71D46B68" w14:textId="56857D2E">
            <w:pPr>
              <w:tabs>
                <w:tab w:val="left" w:pos="360"/>
              </w:tabs>
              <w:ind w:left="360" w:hanging="360"/>
              <w:rPr>
                <w:color w:val="000000"/>
              </w:rPr>
            </w:pPr>
            <w:r w:rsidRPr="00B72876">
              <w:rPr>
                <w:color w:val="000000"/>
              </w:rPr>
              <w:t>8.</w:t>
            </w:r>
            <w:r w:rsidRPr="00B72876" w:rsidR="001E7EE2">
              <w:rPr>
                <w:color w:val="000000"/>
              </w:rPr>
              <w:tab/>
            </w:r>
            <w:r w:rsidRPr="00B72876">
              <w:rPr>
                <w:color w:val="000000"/>
              </w:rPr>
              <w:t xml:space="preserve">Has the </w:t>
            </w:r>
            <w:r w:rsidRPr="00B72876" w:rsidR="005A63D4">
              <w:rPr>
                <w:color w:val="000000"/>
              </w:rPr>
              <w:t xml:space="preserve">Intervenor </w:t>
            </w:r>
            <w:r w:rsidRPr="00B72876">
              <w:rPr>
                <w:color w:val="000000"/>
              </w:rPr>
              <w:t xml:space="preserve">demonstrated </w:t>
            </w:r>
            <w:r w:rsidRPr="00B72876">
              <w:t>customer</w:t>
            </w:r>
            <w:r w:rsidRPr="00B72876">
              <w:rPr>
                <w:color w:val="000000"/>
              </w:rPr>
              <w:t xml:space="preserve"> </w:t>
            </w:r>
            <w:r w:rsidRPr="00B72876" w:rsidR="00ED6B6B">
              <w:rPr>
                <w:color w:val="000000"/>
              </w:rPr>
              <w:t>status or eligible government entity status</w:t>
            </w:r>
            <w:r w:rsidRPr="00B72876">
              <w:rPr>
                <w:color w:val="000000"/>
              </w:rPr>
              <w:t>?</w:t>
            </w:r>
          </w:p>
        </w:tc>
        <w:tc>
          <w:tcPr>
            <w:tcW w:w="2276" w:type="dxa"/>
            <w:tcBorders>
              <w:bottom w:val="single" w:color="auto" w:sz="4" w:space="0"/>
            </w:tcBorders>
            <w:shd w:val="clear" w:color="auto" w:fill="auto"/>
          </w:tcPr>
          <w:p w:rsidRPr="00B72876" w:rsidR="00A92D0B" w:rsidP="00050453" w:rsidRDefault="007967F9" w14:paraId="7D296E63" w14:textId="2211B292">
            <w:pPr>
              <w:tabs>
                <w:tab w:val="left" w:pos="360"/>
              </w:tabs>
              <w:jc w:val="center"/>
              <w:rPr>
                <w:color w:val="000000"/>
              </w:rPr>
            </w:pPr>
            <w:r>
              <w:rPr>
                <w:color w:val="000000"/>
              </w:rPr>
              <w:t>Yes</w:t>
            </w:r>
          </w:p>
        </w:tc>
      </w:tr>
      <w:tr w:rsidRPr="00B72876" w:rsidR="00A92D0B" w:rsidTr="00F028C8" w14:paraId="33231C71"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B72876" w:rsidR="00A92D0B" w:rsidP="00F028C8" w:rsidRDefault="00A92D0B" w14:paraId="0291EC4E" w14:textId="77777777">
            <w:pPr>
              <w:keepNext/>
              <w:tabs>
                <w:tab w:val="left" w:pos="360"/>
              </w:tabs>
              <w:jc w:val="center"/>
              <w:rPr>
                <w:color w:val="000000"/>
              </w:rPr>
            </w:pPr>
            <w:r w:rsidRPr="00B72876">
              <w:rPr>
                <w:b/>
                <w:color w:val="000000"/>
              </w:rPr>
              <w:t>Showing of “significant</w:t>
            </w:r>
            <w:r w:rsidRPr="00B72876" w:rsidR="00F63C29">
              <w:rPr>
                <w:b/>
                <w:color w:val="000000"/>
              </w:rPr>
              <w:t xml:space="preserve"> financial hardship” (§1802(</w:t>
            </w:r>
            <w:r w:rsidRPr="00B72876" w:rsidR="00175865">
              <w:rPr>
                <w:b/>
                <w:color w:val="000000"/>
              </w:rPr>
              <w:t>h</w:t>
            </w:r>
            <w:r w:rsidRPr="00B72876" w:rsidR="00F63C29">
              <w:rPr>
                <w:b/>
                <w:color w:val="000000"/>
              </w:rPr>
              <w:t xml:space="preserve">) or </w:t>
            </w:r>
            <w:r w:rsidRPr="00B72876" w:rsidR="00ED6B6B">
              <w:rPr>
                <w:b/>
                <w:color w:val="000000"/>
              </w:rPr>
              <w:t>§</w:t>
            </w:r>
            <w:r w:rsidRPr="00B72876" w:rsidR="00F63C29">
              <w:rPr>
                <w:b/>
                <w:color w:val="000000"/>
              </w:rPr>
              <w:t>1803.1(b))</w:t>
            </w:r>
            <w:r w:rsidRPr="00B72876" w:rsidR="00C02649">
              <w:rPr>
                <w:b/>
                <w:color w:val="000000"/>
              </w:rPr>
              <w:t>:</w:t>
            </w:r>
          </w:p>
        </w:tc>
      </w:tr>
      <w:tr w:rsidRPr="00B72876" w:rsidR="00A92D0B" w:rsidTr="00704747" w14:paraId="77F91856" w14:textId="77777777">
        <w:tc>
          <w:tcPr>
            <w:tcW w:w="4817" w:type="dxa"/>
            <w:tcBorders>
              <w:top w:val="single" w:color="auto" w:sz="4" w:space="0"/>
            </w:tcBorders>
            <w:shd w:val="clear" w:color="auto" w:fill="auto"/>
          </w:tcPr>
          <w:p w:rsidRPr="00B72876" w:rsidR="00A92D0B" w:rsidP="00F028C8" w:rsidRDefault="00A92D0B" w14:paraId="6506E60E" w14:textId="7F0FF6A0">
            <w:pPr>
              <w:tabs>
                <w:tab w:val="left" w:pos="315"/>
              </w:tabs>
              <w:ind w:left="360" w:hanging="360"/>
              <w:rPr>
                <w:color w:val="000000"/>
              </w:rPr>
            </w:pPr>
            <w:r w:rsidRPr="00B72876">
              <w:rPr>
                <w:color w:val="000000"/>
              </w:rPr>
              <w:t>9.</w:t>
            </w:r>
            <w:r w:rsidRPr="00B72876" w:rsidR="001E7EE2">
              <w:rPr>
                <w:color w:val="000000"/>
              </w:rPr>
              <w:tab/>
            </w:r>
            <w:r w:rsidRPr="00B72876">
              <w:rPr>
                <w:color w:val="000000"/>
              </w:rPr>
              <w:t>Based on ALJ ruling issued in proceeding number:</w:t>
            </w:r>
          </w:p>
        </w:tc>
        <w:tc>
          <w:tcPr>
            <w:tcW w:w="2267" w:type="dxa"/>
            <w:tcBorders>
              <w:top w:val="single" w:color="auto" w:sz="4" w:space="0"/>
            </w:tcBorders>
            <w:shd w:val="clear" w:color="auto" w:fill="auto"/>
          </w:tcPr>
          <w:p w:rsidRPr="00B72876" w:rsidR="00A92D0B" w:rsidP="00050453" w:rsidRDefault="002223F5" w14:paraId="47AE3C1C" w14:textId="77777777">
            <w:pPr>
              <w:tabs>
                <w:tab w:val="left" w:pos="360"/>
              </w:tabs>
              <w:ind w:left="360" w:hanging="360"/>
              <w:jc w:val="center"/>
              <w:rPr>
                <w:color w:val="000000"/>
              </w:rPr>
            </w:pPr>
            <w:r w:rsidRPr="00B72876">
              <w:rPr>
                <w:color w:val="000000"/>
              </w:rPr>
              <w:t>R.20-07-013</w:t>
            </w:r>
          </w:p>
          <w:p w:rsidRPr="00B72876" w:rsidR="002223F5" w:rsidP="00050453" w:rsidRDefault="002223F5" w14:paraId="54B4911C" w14:textId="09D0300C">
            <w:pPr>
              <w:tabs>
                <w:tab w:val="left" w:pos="360"/>
              </w:tabs>
              <w:ind w:left="360" w:hanging="360"/>
              <w:jc w:val="center"/>
              <w:rPr>
                <w:color w:val="000000"/>
              </w:rPr>
            </w:pPr>
            <w:r w:rsidRPr="00B72876">
              <w:rPr>
                <w:color w:val="000000"/>
              </w:rPr>
              <w:t>(</w:t>
            </w:r>
            <w:r w:rsidRPr="00050453">
              <w:rPr>
                <w:i/>
                <w:iCs/>
                <w:color w:val="000000"/>
              </w:rPr>
              <w:t>See</w:t>
            </w:r>
            <w:r w:rsidRPr="00B72876">
              <w:rPr>
                <w:color w:val="000000"/>
              </w:rPr>
              <w:t xml:space="preserve"> Comment 1 in Part </w:t>
            </w:r>
            <w:r w:rsidRPr="00B72876" w:rsidR="00C7255F">
              <w:rPr>
                <w:color w:val="000000"/>
              </w:rPr>
              <w:t>I. C</w:t>
            </w:r>
            <w:r w:rsidRPr="00B72876">
              <w:rPr>
                <w:color w:val="000000"/>
              </w:rPr>
              <w:t>)</w:t>
            </w:r>
          </w:p>
        </w:tc>
        <w:tc>
          <w:tcPr>
            <w:tcW w:w="2276" w:type="dxa"/>
            <w:tcBorders>
              <w:top w:val="single" w:color="auto" w:sz="4" w:space="0"/>
            </w:tcBorders>
            <w:shd w:val="clear" w:color="auto" w:fill="auto"/>
          </w:tcPr>
          <w:p w:rsidRPr="00B72876" w:rsidR="00A92D0B" w:rsidP="00050453" w:rsidRDefault="00704747" w14:paraId="2E2FB9D6" w14:textId="24A1E633">
            <w:pPr>
              <w:tabs>
                <w:tab w:val="left" w:pos="360"/>
              </w:tabs>
              <w:jc w:val="center"/>
              <w:rPr>
                <w:color w:val="000000"/>
              </w:rPr>
            </w:pPr>
            <w:r>
              <w:rPr>
                <w:color w:val="000000"/>
              </w:rPr>
              <w:t>Verified</w:t>
            </w:r>
          </w:p>
        </w:tc>
      </w:tr>
      <w:tr w:rsidRPr="00B72876" w:rsidR="00A92D0B" w:rsidTr="00704747" w14:paraId="4AD750C1" w14:textId="77777777">
        <w:tc>
          <w:tcPr>
            <w:tcW w:w="4817" w:type="dxa"/>
            <w:shd w:val="clear" w:color="auto" w:fill="auto"/>
          </w:tcPr>
          <w:p w:rsidRPr="00B72876" w:rsidR="00A92D0B" w:rsidP="00F028C8" w:rsidRDefault="00A92D0B" w14:paraId="2A279407" w14:textId="1E831EEE">
            <w:pPr>
              <w:ind w:left="360" w:hanging="360"/>
              <w:rPr>
                <w:color w:val="000000"/>
              </w:rPr>
            </w:pPr>
            <w:r w:rsidRPr="00B72876">
              <w:rPr>
                <w:color w:val="000000"/>
              </w:rPr>
              <w:t>10.</w:t>
            </w:r>
            <w:r w:rsidRPr="00B72876" w:rsidR="001E7EE2">
              <w:rPr>
                <w:color w:val="000000"/>
              </w:rPr>
              <w:tab/>
            </w:r>
            <w:r w:rsidRPr="00B72876">
              <w:rPr>
                <w:color w:val="000000"/>
              </w:rPr>
              <w:t>Date of ALJ ruling:</w:t>
            </w:r>
          </w:p>
        </w:tc>
        <w:tc>
          <w:tcPr>
            <w:tcW w:w="2267" w:type="dxa"/>
            <w:shd w:val="clear" w:color="auto" w:fill="auto"/>
          </w:tcPr>
          <w:p w:rsidRPr="00B72876" w:rsidR="00A92D0B" w:rsidP="00050453" w:rsidRDefault="002223F5" w14:paraId="4B66A2E4" w14:textId="1211C677">
            <w:pPr>
              <w:tabs>
                <w:tab w:val="left" w:pos="360"/>
              </w:tabs>
              <w:ind w:left="360" w:hanging="360"/>
              <w:jc w:val="center"/>
              <w:rPr>
                <w:color w:val="000000"/>
              </w:rPr>
            </w:pPr>
            <w:r w:rsidRPr="00B72876">
              <w:rPr>
                <w:color w:val="000000"/>
              </w:rPr>
              <w:t>December 1</w:t>
            </w:r>
            <w:r w:rsidRPr="00B72876" w:rsidR="0005030F">
              <w:rPr>
                <w:color w:val="000000"/>
              </w:rPr>
              <w:t>4</w:t>
            </w:r>
            <w:r w:rsidRPr="00B72876">
              <w:rPr>
                <w:color w:val="000000"/>
              </w:rPr>
              <w:t>, 2020</w:t>
            </w:r>
          </w:p>
        </w:tc>
        <w:tc>
          <w:tcPr>
            <w:tcW w:w="2276" w:type="dxa"/>
            <w:shd w:val="clear" w:color="auto" w:fill="auto"/>
          </w:tcPr>
          <w:p w:rsidRPr="00B72876" w:rsidR="00A92D0B" w:rsidP="00050453" w:rsidRDefault="00704747" w14:paraId="3B83D035" w14:textId="2FA540B7">
            <w:pPr>
              <w:tabs>
                <w:tab w:val="left" w:pos="360"/>
              </w:tabs>
              <w:jc w:val="center"/>
              <w:rPr>
                <w:color w:val="000000"/>
              </w:rPr>
            </w:pPr>
            <w:r>
              <w:rPr>
                <w:color w:val="000000"/>
              </w:rPr>
              <w:t>Verified</w:t>
            </w:r>
          </w:p>
        </w:tc>
      </w:tr>
      <w:tr w:rsidRPr="00B72876" w:rsidR="00613200" w:rsidTr="00704747" w14:paraId="7C183C5E" w14:textId="77777777">
        <w:tc>
          <w:tcPr>
            <w:tcW w:w="4817" w:type="dxa"/>
            <w:shd w:val="clear" w:color="auto" w:fill="auto"/>
          </w:tcPr>
          <w:p w:rsidRPr="00B72876" w:rsidR="00613200" w:rsidP="00613200" w:rsidRDefault="00613200" w14:paraId="4141CB3D" w14:textId="2DCA8797">
            <w:pPr>
              <w:ind w:left="360" w:hanging="360"/>
              <w:rPr>
                <w:color w:val="000000"/>
              </w:rPr>
            </w:pPr>
            <w:r w:rsidRPr="00B72876">
              <w:rPr>
                <w:color w:val="000000"/>
              </w:rPr>
              <w:t>11.</w:t>
            </w:r>
            <w:r w:rsidRPr="00B72876">
              <w:rPr>
                <w:color w:val="000000"/>
              </w:rPr>
              <w:tab/>
              <w:t>Based on another CPUC determination (specify):</w:t>
            </w:r>
          </w:p>
        </w:tc>
        <w:tc>
          <w:tcPr>
            <w:tcW w:w="2267" w:type="dxa"/>
            <w:shd w:val="clear" w:color="auto" w:fill="auto"/>
          </w:tcPr>
          <w:p w:rsidR="00613200" w:rsidP="00050453" w:rsidRDefault="00613200" w14:paraId="2A3159E5" w14:textId="42525E17">
            <w:pPr>
              <w:tabs>
                <w:tab w:val="left" w:pos="360"/>
              </w:tabs>
              <w:ind w:left="360" w:hanging="360"/>
              <w:jc w:val="center"/>
              <w:rPr>
                <w:color w:val="000000"/>
              </w:rPr>
            </w:pPr>
            <w:r w:rsidRPr="00613200">
              <w:rPr>
                <w:color w:val="000000"/>
              </w:rPr>
              <w:t>D.2</w:t>
            </w:r>
            <w:r>
              <w:rPr>
                <w:color w:val="000000"/>
              </w:rPr>
              <w:t>2-05-008</w:t>
            </w:r>
          </w:p>
          <w:p w:rsidRPr="00613200" w:rsidR="00613200" w:rsidP="00050453" w:rsidRDefault="00613200" w14:paraId="6CF05F29" w14:textId="039DB8AE">
            <w:pPr>
              <w:tabs>
                <w:tab w:val="left" w:pos="360"/>
              </w:tabs>
              <w:ind w:left="360" w:hanging="360"/>
              <w:jc w:val="center"/>
              <w:rPr>
                <w:color w:val="000000"/>
              </w:rPr>
            </w:pPr>
            <w:r>
              <w:rPr>
                <w:color w:val="000000"/>
              </w:rPr>
              <w:t>D.22-06-022</w:t>
            </w:r>
          </w:p>
          <w:p w:rsidRPr="00613200" w:rsidR="00613200" w:rsidP="00050453" w:rsidRDefault="00613200" w14:paraId="5E70646D" w14:textId="77777777">
            <w:pPr>
              <w:tabs>
                <w:tab w:val="left" w:pos="360"/>
              </w:tabs>
              <w:ind w:left="360" w:hanging="360"/>
              <w:jc w:val="center"/>
              <w:rPr>
                <w:color w:val="000000"/>
              </w:rPr>
            </w:pPr>
            <w:r w:rsidRPr="00613200">
              <w:rPr>
                <w:color w:val="000000"/>
              </w:rPr>
              <w:t>D.21-08-016</w:t>
            </w:r>
          </w:p>
          <w:p w:rsidRPr="00613200" w:rsidR="00613200" w:rsidP="00050453" w:rsidRDefault="00613200" w14:paraId="18C995B9" w14:textId="77777777">
            <w:pPr>
              <w:tabs>
                <w:tab w:val="left" w:pos="360"/>
              </w:tabs>
              <w:ind w:left="360" w:hanging="360"/>
              <w:jc w:val="center"/>
              <w:rPr>
                <w:color w:val="000000"/>
              </w:rPr>
            </w:pPr>
            <w:r w:rsidRPr="00613200">
              <w:rPr>
                <w:color w:val="000000"/>
              </w:rPr>
              <w:t>D.21-08-035</w:t>
            </w:r>
          </w:p>
          <w:p w:rsidRPr="00613200" w:rsidR="00613200" w:rsidP="00050453" w:rsidRDefault="00613200" w14:paraId="088191CF" w14:textId="77777777">
            <w:pPr>
              <w:tabs>
                <w:tab w:val="left" w:pos="360"/>
              </w:tabs>
              <w:ind w:left="360" w:hanging="360"/>
              <w:jc w:val="center"/>
              <w:rPr>
                <w:color w:val="000000"/>
              </w:rPr>
            </w:pPr>
            <w:r w:rsidRPr="00613200">
              <w:rPr>
                <w:color w:val="000000"/>
              </w:rPr>
              <w:t>D.21-09-012</w:t>
            </w:r>
          </w:p>
          <w:p w:rsidRPr="00613200" w:rsidR="00613200" w:rsidP="00050453" w:rsidRDefault="00613200" w14:paraId="6DC35D21" w14:textId="77777777">
            <w:pPr>
              <w:tabs>
                <w:tab w:val="left" w:pos="360"/>
              </w:tabs>
              <w:ind w:left="360" w:hanging="360"/>
              <w:jc w:val="center"/>
              <w:rPr>
                <w:color w:val="000000"/>
              </w:rPr>
            </w:pPr>
            <w:r w:rsidRPr="00613200">
              <w:rPr>
                <w:color w:val="000000"/>
              </w:rPr>
              <w:t>D.21-08-015</w:t>
            </w:r>
          </w:p>
          <w:p w:rsidRPr="00B72876" w:rsidR="00613200" w:rsidP="00050453" w:rsidRDefault="00613200" w14:paraId="141EB5CF" w14:textId="7AD8BE42">
            <w:pPr>
              <w:tabs>
                <w:tab w:val="left" w:pos="360"/>
              </w:tabs>
              <w:ind w:left="360" w:hanging="360"/>
              <w:jc w:val="center"/>
              <w:rPr>
                <w:color w:val="000000"/>
              </w:rPr>
            </w:pPr>
            <w:r w:rsidRPr="00613200">
              <w:rPr>
                <w:color w:val="000000"/>
              </w:rPr>
              <w:t>D.21-12-050</w:t>
            </w:r>
          </w:p>
        </w:tc>
        <w:tc>
          <w:tcPr>
            <w:tcW w:w="2276" w:type="dxa"/>
            <w:shd w:val="clear" w:color="auto" w:fill="auto"/>
          </w:tcPr>
          <w:p w:rsidRPr="00B72876" w:rsidR="00613200" w:rsidP="00050453" w:rsidRDefault="004F37C3" w14:paraId="79318715" w14:textId="0F1A2D5B">
            <w:pPr>
              <w:tabs>
                <w:tab w:val="left" w:pos="360"/>
              </w:tabs>
              <w:jc w:val="center"/>
              <w:rPr>
                <w:color w:val="000000"/>
              </w:rPr>
            </w:pPr>
            <w:r>
              <w:rPr>
                <w:color w:val="000000"/>
              </w:rPr>
              <w:t>Noted</w:t>
            </w:r>
          </w:p>
        </w:tc>
      </w:tr>
      <w:tr w:rsidRPr="00B72876" w:rsidR="00613200" w:rsidTr="00F028C8" w14:paraId="4E8D20BF" w14:textId="77777777">
        <w:tc>
          <w:tcPr>
            <w:tcW w:w="7084" w:type="dxa"/>
            <w:gridSpan w:val="2"/>
            <w:tcBorders>
              <w:bottom w:val="single" w:color="auto" w:sz="4" w:space="0"/>
            </w:tcBorders>
            <w:shd w:val="clear" w:color="auto" w:fill="auto"/>
          </w:tcPr>
          <w:p w:rsidRPr="00B72876" w:rsidR="00613200" w:rsidP="00613200" w:rsidRDefault="00613200" w14:paraId="48D0D936" w14:textId="6A3DF8B8">
            <w:pPr>
              <w:tabs>
                <w:tab w:val="left" w:pos="360"/>
              </w:tabs>
              <w:ind w:left="360" w:hanging="360"/>
              <w:rPr>
                <w:color w:val="000000"/>
              </w:rPr>
            </w:pPr>
            <w:r w:rsidRPr="00B72876">
              <w:rPr>
                <w:color w:val="000000"/>
              </w:rPr>
              <w:t>12.</w:t>
            </w:r>
            <w:r w:rsidRPr="00B72876">
              <w:rPr>
                <w:color w:val="000000"/>
              </w:rPr>
              <w:tab/>
              <w:t>Has the Intervenor demonstrated significant financial hardship?</w:t>
            </w:r>
          </w:p>
        </w:tc>
        <w:tc>
          <w:tcPr>
            <w:tcW w:w="2276" w:type="dxa"/>
            <w:tcBorders>
              <w:bottom w:val="single" w:color="auto" w:sz="4" w:space="0"/>
            </w:tcBorders>
            <w:shd w:val="clear" w:color="auto" w:fill="auto"/>
          </w:tcPr>
          <w:p w:rsidRPr="00B72876" w:rsidR="00613200" w:rsidP="00050453" w:rsidRDefault="007967F9" w14:paraId="0F29B839" w14:textId="41770A4B">
            <w:pPr>
              <w:tabs>
                <w:tab w:val="left" w:pos="360"/>
              </w:tabs>
              <w:jc w:val="center"/>
              <w:rPr>
                <w:color w:val="000000"/>
              </w:rPr>
            </w:pPr>
            <w:r>
              <w:rPr>
                <w:color w:val="000000"/>
              </w:rPr>
              <w:t>Yes</w:t>
            </w:r>
          </w:p>
        </w:tc>
      </w:tr>
      <w:tr w:rsidRPr="00B72876" w:rsidR="00613200" w:rsidTr="00F028C8" w14:paraId="60D4FD5C"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B72876" w:rsidR="00613200" w:rsidP="00613200" w:rsidRDefault="00613200" w14:paraId="172E2884" w14:textId="77777777">
            <w:pPr>
              <w:keepNext/>
              <w:tabs>
                <w:tab w:val="left" w:pos="360"/>
              </w:tabs>
              <w:jc w:val="center"/>
              <w:rPr>
                <w:color w:val="000000"/>
              </w:rPr>
            </w:pPr>
            <w:r w:rsidRPr="00B72876">
              <w:rPr>
                <w:b/>
                <w:color w:val="000000"/>
              </w:rPr>
              <w:lastRenderedPageBreak/>
              <w:t>Timely request for compensation (§ 1804(c)):</w:t>
            </w:r>
          </w:p>
        </w:tc>
      </w:tr>
      <w:tr w:rsidRPr="00B72876" w:rsidR="00613200" w:rsidTr="00704747" w14:paraId="3E7938B0" w14:textId="77777777">
        <w:tc>
          <w:tcPr>
            <w:tcW w:w="4817" w:type="dxa"/>
            <w:tcBorders>
              <w:top w:val="single" w:color="auto" w:sz="4" w:space="0"/>
            </w:tcBorders>
            <w:shd w:val="clear" w:color="auto" w:fill="auto"/>
          </w:tcPr>
          <w:p w:rsidRPr="00B72876" w:rsidR="00613200" w:rsidP="00613200" w:rsidRDefault="00613200" w14:paraId="66088F1B" w14:textId="2DB4A731">
            <w:pPr>
              <w:keepNext/>
              <w:tabs>
                <w:tab w:val="left" w:pos="612"/>
              </w:tabs>
              <w:ind w:left="360" w:hanging="360"/>
              <w:rPr>
                <w:color w:val="000000"/>
              </w:rPr>
            </w:pPr>
            <w:r w:rsidRPr="00B72876">
              <w:rPr>
                <w:color w:val="000000"/>
              </w:rPr>
              <w:t>13.</w:t>
            </w:r>
            <w:r w:rsidRPr="00B72876">
              <w:rPr>
                <w:color w:val="000000"/>
              </w:rPr>
              <w:tab/>
              <w:t>Identify Final Decision:</w:t>
            </w:r>
          </w:p>
        </w:tc>
        <w:tc>
          <w:tcPr>
            <w:tcW w:w="2267" w:type="dxa"/>
            <w:tcBorders>
              <w:top w:val="single" w:color="auto" w:sz="4" w:space="0"/>
            </w:tcBorders>
            <w:shd w:val="clear" w:color="auto" w:fill="auto"/>
          </w:tcPr>
          <w:p w:rsidRPr="00B72876" w:rsidR="00613200" w:rsidP="00050453" w:rsidRDefault="00613200" w14:paraId="7166F318" w14:textId="6CB9A92F">
            <w:pPr>
              <w:tabs>
                <w:tab w:val="left" w:pos="360"/>
              </w:tabs>
              <w:jc w:val="center"/>
              <w:rPr>
                <w:color w:val="000000"/>
              </w:rPr>
            </w:pPr>
            <w:r w:rsidRPr="00B72876">
              <w:rPr>
                <w:color w:val="000000"/>
              </w:rPr>
              <w:t>D.</w:t>
            </w:r>
            <w:r w:rsidRPr="00B72876">
              <w:t>22-04-055</w:t>
            </w:r>
          </w:p>
        </w:tc>
        <w:tc>
          <w:tcPr>
            <w:tcW w:w="2276" w:type="dxa"/>
            <w:tcBorders>
              <w:top w:val="single" w:color="auto" w:sz="4" w:space="0"/>
            </w:tcBorders>
            <w:shd w:val="clear" w:color="auto" w:fill="auto"/>
          </w:tcPr>
          <w:p w:rsidRPr="00B72876" w:rsidR="00613200" w:rsidP="00050453" w:rsidRDefault="00704747" w14:paraId="1588DC54" w14:textId="68EDEFE0">
            <w:pPr>
              <w:tabs>
                <w:tab w:val="left" w:pos="360"/>
              </w:tabs>
              <w:jc w:val="center"/>
              <w:rPr>
                <w:color w:val="000000"/>
              </w:rPr>
            </w:pPr>
            <w:r>
              <w:rPr>
                <w:color w:val="000000"/>
              </w:rPr>
              <w:t>Verified</w:t>
            </w:r>
          </w:p>
        </w:tc>
      </w:tr>
      <w:tr w:rsidRPr="00B72876" w:rsidR="00613200" w:rsidTr="00704747" w14:paraId="6360DE59" w14:textId="77777777">
        <w:tc>
          <w:tcPr>
            <w:tcW w:w="4817" w:type="dxa"/>
            <w:shd w:val="clear" w:color="auto" w:fill="auto"/>
          </w:tcPr>
          <w:p w:rsidRPr="00B72876" w:rsidR="00613200" w:rsidP="00613200" w:rsidRDefault="00613200" w14:paraId="4B809E4A" w14:textId="4BEED0BB">
            <w:pPr>
              <w:tabs>
                <w:tab w:val="left" w:pos="612"/>
              </w:tabs>
              <w:ind w:left="360" w:hanging="360"/>
              <w:rPr>
                <w:color w:val="000000"/>
              </w:rPr>
            </w:pPr>
            <w:r w:rsidRPr="00B72876">
              <w:rPr>
                <w:color w:val="000000"/>
              </w:rPr>
              <w:t>14.</w:t>
            </w:r>
            <w:r w:rsidRPr="00B72876">
              <w:rPr>
                <w:color w:val="000000"/>
              </w:rPr>
              <w:tab/>
              <w:t xml:space="preserve">Date of issuance of Final Order or Decision:    </w:t>
            </w:r>
          </w:p>
        </w:tc>
        <w:tc>
          <w:tcPr>
            <w:tcW w:w="2267" w:type="dxa"/>
            <w:shd w:val="clear" w:color="auto" w:fill="auto"/>
          </w:tcPr>
          <w:p w:rsidRPr="00B72876" w:rsidR="00613200" w:rsidP="00050453" w:rsidRDefault="00613200" w14:paraId="36B6C90F" w14:textId="77777777">
            <w:pPr>
              <w:tabs>
                <w:tab w:val="left" w:pos="360"/>
              </w:tabs>
              <w:jc w:val="center"/>
              <w:rPr>
                <w:color w:val="000000"/>
              </w:rPr>
            </w:pPr>
          </w:p>
          <w:p w:rsidRPr="00B72876" w:rsidR="00613200" w:rsidP="00050453" w:rsidRDefault="00613200" w14:paraId="20455B5F" w14:textId="40EF4855">
            <w:pPr>
              <w:tabs>
                <w:tab w:val="left" w:pos="360"/>
              </w:tabs>
              <w:jc w:val="center"/>
              <w:rPr>
                <w:color w:val="000000"/>
              </w:rPr>
            </w:pPr>
            <w:r w:rsidRPr="00B72876">
              <w:rPr>
                <w:color w:val="000000"/>
              </w:rPr>
              <w:t>April 22, 2022</w:t>
            </w:r>
          </w:p>
        </w:tc>
        <w:tc>
          <w:tcPr>
            <w:tcW w:w="2276" w:type="dxa"/>
            <w:shd w:val="clear" w:color="auto" w:fill="auto"/>
          </w:tcPr>
          <w:p w:rsidRPr="00B72876" w:rsidR="00613200" w:rsidP="00050453" w:rsidRDefault="00704747" w14:paraId="1FCF00DD" w14:textId="50ABB8EE">
            <w:pPr>
              <w:tabs>
                <w:tab w:val="left" w:pos="360"/>
              </w:tabs>
              <w:jc w:val="center"/>
              <w:rPr>
                <w:color w:val="000000"/>
              </w:rPr>
            </w:pPr>
            <w:r>
              <w:rPr>
                <w:color w:val="000000"/>
              </w:rPr>
              <w:t>Verified</w:t>
            </w:r>
          </w:p>
        </w:tc>
      </w:tr>
      <w:tr w:rsidRPr="00B72876" w:rsidR="00613200" w:rsidTr="00704747" w14:paraId="723259E3" w14:textId="77777777">
        <w:tc>
          <w:tcPr>
            <w:tcW w:w="4817" w:type="dxa"/>
            <w:shd w:val="clear" w:color="auto" w:fill="auto"/>
          </w:tcPr>
          <w:p w:rsidRPr="00B72876" w:rsidR="00613200" w:rsidP="00613200" w:rsidRDefault="00613200" w14:paraId="163EE1CA" w14:textId="2B64EB9E">
            <w:pPr>
              <w:tabs>
                <w:tab w:val="left" w:pos="612"/>
              </w:tabs>
              <w:ind w:left="360" w:hanging="360"/>
              <w:rPr>
                <w:color w:val="000000"/>
              </w:rPr>
            </w:pPr>
            <w:r w:rsidRPr="00B72876">
              <w:rPr>
                <w:color w:val="000000"/>
              </w:rPr>
              <w:t>15.</w:t>
            </w:r>
            <w:r w:rsidRPr="00B72876">
              <w:rPr>
                <w:color w:val="000000"/>
              </w:rPr>
              <w:tab/>
              <w:t>File date of compensation request:</w:t>
            </w:r>
          </w:p>
        </w:tc>
        <w:tc>
          <w:tcPr>
            <w:tcW w:w="2267" w:type="dxa"/>
            <w:shd w:val="clear" w:color="auto" w:fill="auto"/>
          </w:tcPr>
          <w:p w:rsidRPr="00B72876" w:rsidR="00613200" w:rsidP="00050453" w:rsidRDefault="00613200" w14:paraId="0568B39D" w14:textId="534F1CB1">
            <w:pPr>
              <w:tabs>
                <w:tab w:val="left" w:pos="360"/>
              </w:tabs>
              <w:jc w:val="center"/>
              <w:rPr>
                <w:color w:val="000000"/>
              </w:rPr>
            </w:pPr>
            <w:r w:rsidRPr="00B72876">
              <w:rPr>
                <w:color w:val="000000"/>
              </w:rPr>
              <w:t>June 21, 2022</w:t>
            </w:r>
          </w:p>
        </w:tc>
        <w:tc>
          <w:tcPr>
            <w:tcW w:w="2276" w:type="dxa"/>
            <w:shd w:val="clear" w:color="auto" w:fill="auto"/>
          </w:tcPr>
          <w:p w:rsidRPr="00B72876" w:rsidR="00613200" w:rsidP="00050453" w:rsidRDefault="00704747" w14:paraId="1CBF4E7A" w14:textId="3F345F4D">
            <w:pPr>
              <w:tabs>
                <w:tab w:val="left" w:pos="360"/>
              </w:tabs>
              <w:jc w:val="center"/>
              <w:rPr>
                <w:color w:val="000000"/>
              </w:rPr>
            </w:pPr>
            <w:r>
              <w:rPr>
                <w:color w:val="000000"/>
              </w:rPr>
              <w:t>Verified</w:t>
            </w:r>
            <w:r w:rsidR="00924B3E">
              <w:rPr>
                <w:color w:val="000000"/>
              </w:rPr>
              <w:t>. On November 13, 2023, UCAN filed a Supplement to the Claim.</w:t>
            </w:r>
          </w:p>
        </w:tc>
      </w:tr>
      <w:tr w:rsidRPr="00B72876" w:rsidR="00613200" w:rsidTr="00F028C8" w14:paraId="406BCA3A" w14:textId="77777777">
        <w:tc>
          <w:tcPr>
            <w:tcW w:w="7084" w:type="dxa"/>
            <w:gridSpan w:val="2"/>
            <w:shd w:val="clear" w:color="auto" w:fill="auto"/>
          </w:tcPr>
          <w:p w:rsidRPr="00B72876" w:rsidR="00613200" w:rsidP="00613200" w:rsidRDefault="00613200" w14:paraId="10AF42D1" w14:textId="67695104">
            <w:pPr>
              <w:tabs>
                <w:tab w:val="left" w:pos="360"/>
              </w:tabs>
              <w:ind w:left="360" w:hanging="360"/>
              <w:rPr>
                <w:color w:val="000000"/>
              </w:rPr>
            </w:pPr>
            <w:proofErr w:type="gramStart"/>
            <w:r w:rsidRPr="00B72876">
              <w:rPr>
                <w:color w:val="000000"/>
              </w:rPr>
              <w:t>16.</w:t>
            </w:r>
            <w:r w:rsidRPr="00B72876">
              <w:rPr>
                <w:color w:val="000000"/>
              </w:rPr>
              <w:tab/>
              <w:t>Was</w:t>
            </w:r>
            <w:proofErr w:type="gramEnd"/>
            <w:r w:rsidRPr="00B72876">
              <w:rPr>
                <w:color w:val="000000"/>
              </w:rPr>
              <w:t xml:space="preserve"> the request for compensation timely?</w:t>
            </w:r>
          </w:p>
        </w:tc>
        <w:tc>
          <w:tcPr>
            <w:tcW w:w="2276" w:type="dxa"/>
            <w:shd w:val="clear" w:color="auto" w:fill="auto"/>
          </w:tcPr>
          <w:p w:rsidRPr="00B72876" w:rsidR="00613200" w:rsidP="00050453" w:rsidRDefault="00704747" w14:paraId="2EA30E63" w14:textId="4C4E6F3B">
            <w:pPr>
              <w:tabs>
                <w:tab w:val="left" w:pos="360"/>
              </w:tabs>
              <w:jc w:val="center"/>
              <w:rPr>
                <w:color w:val="000000"/>
              </w:rPr>
            </w:pPr>
            <w:r>
              <w:rPr>
                <w:color w:val="000000"/>
              </w:rPr>
              <w:t>Yes</w:t>
            </w:r>
          </w:p>
        </w:tc>
      </w:tr>
    </w:tbl>
    <w:p w:rsidRPr="00B72876" w:rsidR="00A92D0B" w:rsidP="00880855" w:rsidRDefault="00A92D0B" w14:paraId="0068592B" w14:textId="4BD57D20">
      <w:pPr>
        <w:keepNext/>
        <w:numPr>
          <w:ilvl w:val="0"/>
          <w:numId w:val="5"/>
        </w:numPr>
        <w:spacing w:before="240" w:after="240"/>
        <w:rPr>
          <w:b/>
          <w:color w:val="000000"/>
        </w:rPr>
      </w:pPr>
      <w:r w:rsidRPr="00B72876">
        <w:rPr>
          <w:b/>
          <w:color w:val="000000"/>
        </w:rPr>
        <w:t>Additional Comments on Part I</w:t>
      </w:r>
      <w:r w:rsidRPr="00B72876" w:rsidR="00C02649">
        <w:rPr>
          <w:b/>
          <w:color w:val="000000"/>
        </w:rPr>
        <w:t>:</w:t>
      </w:r>
      <w:r w:rsidRPr="00B72876">
        <w:rPr>
          <w:b/>
          <w:color w:val="000000"/>
        </w:rPr>
        <w:t xml:space="preserve">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860"/>
        <w:gridCol w:w="3759"/>
        <w:gridCol w:w="4741"/>
      </w:tblGrid>
      <w:tr w:rsidRPr="00B72876" w:rsidR="003C608A" w:rsidTr="007056FC" w14:paraId="046F77BA" w14:textId="77777777">
        <w:trPr>
          <w:tblHeader/>
        </w:trPr>
        <w:tc>
          <w:tcPr>
            <w:tcW w:w="860" w:type="dxa"/>
            <w:tcBorders>
              <w:bottom w:val="single" w:color="auto" w:sz="4" w:space="0"/>
            </w:tcBorders>
            <w:shd w:val="clear" w:color="auto" w:fill="D9D9D9" w:themeFill="background1" w:themeFillShade="D9"/>
          </w:tcPr>
          <w:p w:rsidRPr="00B72876" w:rsidR="003C608A" w:rsidP="007056FC" w:rsidRDefault="003C608A" w14:paraId="0CB867A6" w14:textId="77777777">
            <w:pPr>
              <w:tabs>
                <w:tab w:val="left" w:pos="360"/>
              </w:tabs>
              <w:jc w:val="center"/>
              <w:rPr>
                <w:b/>
                <w:color w:val="000000"/>
              </w:rPr>
            </w:pPr>
            <w:r w:rsidRPr="00B72876">
              <w:rPr>
                <w:b/>
                <w:color w:val="000000"/>
              </w:rPr>
              <w:t>#</w:t>
            </w:r>
          </w:p>
        </w:tc>
        <w:tc>
          <w:tcPr>
            <w:tcW w:w="3759" w:type="dxa"/>
            <w:tcBorders>
              <w:bottom w:val="single" w:color="auto" w:sz="4" w:space="0"/>
            </w:tcBorders>
            <w:shd w:val="clear" w:color="auto" w:fill="D9D9D9" w:themeFill="background1" w:themeFillShade="D9"/>
          </w:tcPr>
          <w:p w:rsidRPr="00B72876" w:rsidR="003C608A" w:rsidP="007056FC" w:rsidRDefault="003C608A" w14:paraId="196D09DF" w14:textId="77777777">
            <w:pPr>
              <w:tabs>
                <w:tab w:val="left" w:pos="360"/>
              </w:tabs>
              <w:jc w:val="center"/>
              <w:rPr>
                <w:b/>
                <w:color w:val="000000"/>
              </w:rPr>
            </w:pPr>
            <w:r w:rsidRPr="00B72876">
              <w:rPr>
                <w:b/>
                <w:color w:val="000000"/>
              </w:rPr>
              <w:t>Intervenor’s Comment(s)</w:t>
            </w:r>
          </w:p>
        </w:tc>
        <w:tc>
          <w:tcPr>
            <w:tcW w:w="4741" w:type="dxa"/>
            <w:shd w:val="clear" w:color="auto" w:fill="D9D9D9" w:themeFill="background1" w:themeFillShade="D9"/>
          </w:tcPr>
          <w:p w:rsidRPr="00B72876" w:rsidR="003C608A" w:rsidP="007056FC" w:rsidRDefault="003C608A" w14:paraId="07207D31" w14:textId="77777777">
            <w:pPr>
              <w:tabs>
                <w:tab w:val="left" w:pos="360"/>
              </w:tabs>
              <w:jc w:val="center"/>
              <w:rPr>
                <w:b/>
                <w:color w:val="000000"/>
              </w:rPr>
            </w:pPr>
            <w:r w:rsidRPr="00B72876">
              <w:rPr>
                <w:b/>
                <w:color w:val="000000"/>
              </w:rPr>
              <w:t>CPUC Discussion</w:t>
            </w:r>
          </w:p>
        </w:tc>
      </w:tr>
      <w:tr w:rsidRPr="00B72876" w:rsidR="003C608A" w:rsidTr="00704747" w14:paraId="1C6180A4" w14:textId="77777777">
        <w:trPr>
          <w:trHeight w:val="67"/>
        </w:trPr>
        <w:tc>
          <w:tcPr>
            <w:tcW w:w="860" w:type="dxa"/>
            <w:shd w:val="clear" w:color="auto" w:fill="auto"/>
          </w:tcPr>
          <w:p w:rsidRPr="00B72876" w:rsidR="003C608A" w:rsidP="007056FC" w:rsidRDefault="003C608A" w14:paraId="4350D384" w14:textId="77777777">
            <w:pPr>
              <w:tabs>
                <w:tab w:val="left" w:pos="360"/>
              </w:tabs>
              <w:rPr>
                <w:color w:val="000000"/>
              </w:rPr>
            </w:pPr>
          </w:p>
        </w:tc>
        <w:tc>
          <w:tcPr>
            <w:tcW w:w="3759" w:type="dxa"/>
            <w:shd w:val="clear" w:color="auto" w:fill="auto"/>
          </w:tcPr>
          <w:p w:rsidR="00050453" w:rsidP="00D140E6" w:rsidRDefault="00D140E6" w14:paraId="7CAD6C39" w14:textId="77777777">
            <w:pPr>
              <w:tabs>
                <w:tab w:val="left" w:pos="360"/>
              </w:tabs>
              <w:rPr>
                <w:color w:val="000000"/>
              </w:rPr>
            </w:pPr>
            <w:r w:rsidRPr="00B72876">
              <w:rPr>
                <w:color w:val="000000"/>
              </w:rPr>
              <w:t xml:space="preserve">UCAN was last found to satisfy the § 1802(g) “significant financial hardship” requirement in </w:t>
            </w:r>
          </w:p>
          <w:p w:rsidRPr="00B72876" w:rsidR="00D140E6" w:rsidP="00D140E6" w:rsidRDefault="00D140E6" w14:paraId="71D71D7C" w14:textId="6B14166E">
            <w:pPr>
              <w:tabs>
                <w:tab w:val="left" w:pos="360"/>
              </w:tabs>
              <w:rPr>
                <w:color w:val="000000"/>
              </w:rPr>
            </w:pPr>
            <w:r w:rsidRPr="00B72876">
              <w:rPr>
                <w:color w:val="000000"/>
              </w:rPr>
              <w:t>R.</w:t>
            </w:r>
            <w:r w:rsidRPr="00B72876" w:rsidR="00D363C9">
              <w:rPr>
                <w:color w:val="000000"/>
              </w:rPr>
              <w:t>20-07-013</w:t>
            </w:r>
            <w:r w:rsidRPr="00B72876" w:rsidR="00976D20">
              <w:rPr>
                <w:color w:val="000000"/>
              </w:rPr>
              <w:t xml:space="preserve"> </w:t>
            </w:r>
            <w:r w:rsidRPr="00B72876" w:rsidR="003B373E">
              <w:rPr>
                <w:color w:val="000000"/>
              </w:rPr>
              <w:t xml:space="preserve">on December 15, 2020, and before that </w:t>
            </w:r>
            <w:r w:rsidRPr="00B72876">
              <w:rPr>
                <w:color w:val="000000"/>
              </w:rPr>
              <w:t>R.18-07-006</w:t>
            </w:r>
            <w:r w:rsidRPr="00B72876" w:rsidR="003B373E">
              <w:rPr>
                <w:color w:val="000000"/>
              </w:rPr>
              <w:t xml:space="preserve"> granted on May 30, 2019.</w:t>
            </w:r>
          </w:p>
          <w:p w:rsidRPr="00B72876" w:rsidR="003B373E" w:rsidP="00D140E6" w:rsidRDefault="003B373E" w14:paraId="2A3A1DE6" w14:textId="77777777">
            <w:pPr>
              <w:tabs>
                <w:tab w:val="left" w:pos="360"/>
              </w:tabs>
              <w:rPr>
                <w:color w:val="000000"/>
              </w:rPr>
            </w:pPr>
          </w:p>
          <w:p w:rsidR="00050453" w:rsidP="00D140E6" w:rsidRDefault="00D140E6" w14:paraId="0F59CDD6" w14:textId="77777777">
            <w:pPr>
              <w:tabs>
                <w:tab w:val="left" w:pos="360"/>
              </w:tabs>
            </w:pPr>
            <w:r w:rsidRPr="00B72876">
              <w:rPr>
                <w:color w:val="000000"/>
              </w:rPr>
              <w:t>UCAN has requested a significant financial hardship ruling in its NOI’s filed in A</w:t>
            </w:r>
            <w:r w:rsidR="00050453">
              <w:rPr>
                <w:color w:val="000000"/>
              </w:rPr>
              <w:t xml:space="preserve">pplication </w:t>
            </w:r>
            <w:r w:rsidR="00050453">
              <w:rPr>
                <w:color w:val="000000"/>
              </w:rPr>
              <w:br/>
              <w:t xml:space="preserve">(A.) </w:t>
            </w:r>
            <w:r w:rsidRPr="00B72876">
              <w:rPr>
                <w:color w:val="000000"/>
              </w:rPr>
              <w:t xml:space="preserve">17-12-011 on March 23, 2018; in R.18-12-005 on March 20, 2019; in R.20-01-007 on April 13, 2020; in A.20-04-014 on July 17, 2020; in A.20-07-016 on October 14, 2020; </w:t>
            </w:r>
            <w:r w:rsidRPr="00B72876" w:rsidR="003B373E">
              <w:rPr>
                <w:color w:val="000000"/>
              </w:rPr>
              <w:t>in</w:t>
            </w:r>
            <w:r w:rsidRPr="00B72876">
              <w:rPr>
                <w:color w:val="000000"/>
              </w:rPr>
              <w:t xml:space="preserve"> R.21-03-011 on May 26, 2021</w:t>
            </w:r>
            <w:r w:rsidRPr="00B72876" w:rsidR="003B373E">
              <w:rPr>
                <w:color w:val="000000"/>
              </w:rPr>
              <w:t xml:space="preserve">, </w:t>
            </w:r>
            <w:r w:rsidRPr="00B72876">
              <w:t>A.21-03-001 on May 26, 2021,</w:t>
            </w:r>
            <w:r w:rsidRPr="00B72876" w:rsidR="003B373E">
              <w:t xml:space="preserve"> in</w:t>
            </w:r>
            <w:r w:rsidRPr="00B72876">
              <w:t xml:space="preserve"> R.21-06-017 on September 16, 2021, </w:t>
            </w:r>
            <w:r w:rsidRPr="00B72876" w:rsidR="003B373E">
              <w:t xml:space="preserve">in </w:t>
            </w:r>
            <w:r w:rsidRPr="00B72876">
              <w:t xml:space="preserve">A.21-08-010 on </w:t>
            </w:r>
          </w:p>
          <w:p w:rsidRPr="008161B1" w:rsidR="008161B1" w:rsidP="00D140E6" w:rsidRDefault="00D140E6" w14:paraId="0ECF4A98" w14:textId="1D7E3F94">
            <w:pPr>
              <w:tabs>
                <w:tab w:val="left" w:pos="360"/>
              </w:tabs>
            </w:pPr>
            <w:r w:rsidRPr="00B72876">
              <w:t xml:space="preserve">October 14, 2021, </w:t>
            </w:r>
            <w:r w:rsidRPr="00B72876" w:rsidR="003B373E">
              <w:t xml:space="preserve">in </w:t>
            </w:r>
            <w:r w:rsidRPr="00B72876">
              <w:t xml:space="preserve">A.21-07-017 on November 12, 2021, </w:t>
            </w:r>
            <w:r w:rsidRPr="00B72876" w:rsidR="003B373E">
              <w:t xml:space="preserve">in </w:t>
            </w:r>
            <w:r w:rsidRPr="00B72876">
              <w:t xml:space="preserve">A.21-08-013 on November 15, 2021, </w:t>
            </w:r>
            <w:r w:rsidRPr="00B72876" w:rsidR="003B373E">
              <w:t xml:space="preserve">in </w:t>
            </w:r>
            <w:r w:rsidRPr="00B72876">
              <w:t xml:space="preserve">A.21-09-001 on November 29, 2021, and </w:t>
            </w:r>
            <w:r w:rsidRPr="00B72876" w:rsidR="003B373E">
              <w:t xml:space="preserve">in </w:t>
            </w:r>
            <w:r w:rsidRPr="00B72876">
              <w:t>A.21-12-00</w:t>
            </w:r>
            <w:r w:rsidR="007022D8">
              <w:t xml:space="preserve">6 on April 6, 2022.  UCAN </w:t>
            </w:r>
            <w:r w:rsidRPr="00B72876">
              <w:t>has yet to receive a ruling on any of these requests.</w:t>
            </w:r>
          </w:p>
        </w:tc>
        <w:tc>
          <w:tcPr>
            <w:tcW w:w="4741" w:type="dxa"/>
            <w:shd w:val="clear" w:color="auto" w:fill="auto"/>
          </w:tcPr>
          <w:p w:rsidRPr="00B72876" w:rsidR="003C608A" w:rsidP="00050453" w:rsidRDefault="00704747" w14:paraId="416D6250" w14:textId="43F3823B">
            <w:pPr>
              <w:tabs>
                <w:tab w:val="left" w:pos="360"/>
              </w:tabs>
              <w:jc w:val="center"/>
              <w:rPr>
                <w:color w:val="000000"/>
              </w:rPr>
            </w:pPr>
            <w:r>
              <w:rPr>
                <w:color w:val="000000"/>
              </w:rPr>
              <w:t>Noted</w:t>
            </w:r>
          </w:p>
        </w:tc>
      </w:tr>
    </w:tbl>
    <w:p w:rsidRPr="00B72876" w:rsidR="003B6A1B" w:rsidP="0057088A" w:rsidRDefault="00A92D0B" w14:paraId="501B5F3D" w14:textId="5E86859D">
      <w:pPr>
        <w:keepNext/>
        <w:spacing w:before="480"/>
        <w:jc w:val="center"/>
        <w:rPr>
          <w:b/>
          <w:color w:val="000000"/>
        </w:rPr>
      </w:pPr>
      <w:r w:rsidRPr="00B72876">
        <w:rPr>
          <w:b/>
          <w:color w:val="000000"/>
        </w:rPr>
        <w:lastRenderedPageBreak/>
        <w:t>PART II:</w:t>
      </w:r>
      <w:r w:rsidRPr="00B72876" w:rsidR="00D1778A">
        <w:rPr>
          <w:b/>
          <w:color w:val="000000"/>
        </w:rPr>
        <w:t xml:space="preserve">  </w:t>
      </w:r>
      <w:r w:rsidRPr="00B72876">
        <w:rPr>
          <w:b/>
          <w:color w:val="000000"/>
        </w:rPr>
        <w:t>SUBSTANTIAL CONTRIBUTION</w:t>
      </w:r>
    </w:p>
    <w:p w:rsidRPr="00B72876" w:rsidR="00A92D0B" w:rsidP="005B5B44" w:rsidRDefault="00D075B1" w14:paraId="337CC332" w14:textId="6FD7F7DC">
      <w:pPr>
        <w:keepNext/>
        <w:numPr>
          <w:ilvl w:val="0"/>
          <w:numId w:val="8"/>
        </w:numPr>
        <w:spacing w:before="240" w:after="240"/>
        <w:rPr>
          <w:b/>
          <w:color w:val="000000"/>
        </w:rPr>
      </w:pPr>
      <w:r w:rsidRPr="00B72876">
        <w:rPr>
          <w:b/>
          <w:color w:val="000000"/>
        </w:rPr>
        <w:t xml:space="preserve">Did the </w:t>
      </w:r>
      <w:r w:rsidRPr="00B72876" w:rsidR="005A63D4">
        <w:rPr>
          <w:b/>
          <w:color w:val="000000"/>
        </w:rPr>
        <w:t>Intervenor</w:t>
      </w:r>
      <w:r w:rsidRPr="00B72876">
        <w:rPr>
          <w:b/>
          <w:color w:val="000000"/>
        </w:rPr>
        <w:t xml:space="preserve"> substantially contribute to the final decision</w:t>
      </w:r>
      <w:r w:rsidRPr="00B72876" w:rsidR="00A92D0B">
        <w:rPr>
          <w:b/>
          <w:color w:val="000000"/>
        </w:rPr>
        <w:t xml:space="preserve"> (</w:t>
      </w:r>
      <w:r w:rsidRPr="00B72876" w:rsidR="00A92D0B">
        <w:rPr>
          <w:b/>
          <w:i/>
          <w:color w:val="000000"/>
        </w:rPr>
        <w:t>see</w:t>
      </w:r>
      <w:r w:rsidRPr="00B72876" w:rsidR="00A92D0B">
        <w:rPr>
          <w:b/>
          <w:color w:val="000000"/>
        </w:rPr>
        <w:t xml:space="preserve"> § 1802(</w:t>
      </w:r>
      <w:r w:rsidRPr="00B72876" w:rsidR="00ED6B6B">
        <w:rPr>
          <w:b/>
          <w:color w:val="000000"/>
        </w:rPr>
        <w:t>j</w:t>
      </w:r>
      <w:r w:rsidRPr="00B72876" w:rsidR="00A92D0B">
        <w:rPr>
          <w:b/>
          <w:color w:val="000000"/>
        </w:rPr>
        <w:t xml:space="preserve">), </w:t>
      </w:r>
      <w:r w:rsidRPr="00B72876" w:rsidR="001E77CF">
        <w:rPr>
          <w:b/>
          <w:color w:val="000000"/>
        </w:rPr>
        <w:br/>
      </w:r>
      <w:r w:rsidRPr="00B72876" w:rsidR="00A92D0B">
        <w:rPr>
          <w:b/>
          <w:color w:val="000000"/>
        </w:rPr>
        <w:t>§ 1803(a)</w:t>
      </w:r>
      <w:r w:rsidRPr="00B72876" w:rsidR="00F30DA8">
        <w:rPr>
          <w:b/>
          <w:color w:val="000000"/>
        </w:rPr>
        <w:t>,</w:t>
      </w:r>
      <w:r w:rsidRPr="00B72876" w:rsidR="00A92D0B">
        <w:rPr>
          <w:b/>
          <w:color w:val="000000"/>
        </w:rPr>
        <w:t xml:space="preserve"> </w:t>
      </w:r>
      <w:r w:rsidRPr="00B72876" w:rsidR="00ED6B6B">
        <w:rPr>
          <w:b/>
          <w:color w:val="000000"/>
        </w:rPr>
        <w:t xml:space="preserve">1803.1(a) </w:t>
      </w:r>
      <w:r w:rsidRPr="00B72876" w:rsidR="00F30DA8">
        <w:rPr>
          <w:b/>
          <w:color w:val="000000"/>
        </w:rPr>
        <w:t>and</w:t>
      </w:r>
      <w:r w:rsidRPr="00B72876" w:rsidR="00A92D0B">
        <w:rPr>
          <w:b/>
          <w:color w:val="000000"/>
        </w:rPr>
        <w:t xml:space="preserve"> D.98-04-059)</w:t>
      </w:r>
      <w:r w:rsidRPr="00B72876" w:rsidR="00C02649">
        <w:rPr>
          <w:b/>
          <w:color w:val="000000"/>
        </w:rPr>
        <w:t>:</w:t>
      </w:r>
      <w:r w:rsidRPr="00B72876" w:rsidR="00A92D0B">
        <w:rPr>
          <w:b/>
          <w:color w:val="000000"/>
        </w:rPr>
        <w:t xml:space="preserve">  </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505"/>
        <w:gridCol w:w="4230"/>
        <w:gridCol w:w="2003"/>
      </w:tblGrid>
      <w:tr w:rsidRPr="00B72876" w:rsidR="00A92D0B" w:rsidTr="00FE4987" w14:paraId="67755362" w14:textId="77777777">
        <w:tc>
          <w:tcPr>
            <w:tcW w:w="3505" w:type="dxa"/>
            <w:tcBorders>
              <w:bottom w:val="single" w:color="auto" w:sz="4" w:space="0"/>
            </w:tcBorders>
            <w:shd w:val="pct12" w:color="auto" w:fill="auto"/>
            <w:vAlign w:val="bottom"/>
          </w:tcPr>
          <w:p w:rsidRPr="00B72876" w:rsidR="00A92D0B" w:rsidP="00073262" w:rsidRDefault="00D075B1" w14:paraId="7CE2E5BB" w14:textId="77777777">
            <w:pPr>
              <w:jc w:val="center"/>
              <w:rPr>
                <w:b/>
                <w:color w:val="000000"/>
              </w:rPr>
            </w:pPr>
            <w:r w:rsidRPr="00B72876">
              <w:rPr>
                <w:b/>
                <w:color w:val="000000"/>
              </w:rPr>
              <w:t>Intervenor’s Claimed Contribution(s)</w:t>
            </w:r>
          </w:p>
        </w:tc>
        <w:tc>
          <w:tcPr>
            <w:tcW w:w="4230" w:type="dxa"/>
            <w:tcBorders>
              <w:bottom w:val="single" w:color="auto" w:sz="4" w:space="0"/>
            </w:tcBorders>
            <w:shd w:val="pct12" w:color="auto" w:fill="auto"/>
            <w:vAlign w:val="bottom"/>
          </w:tcPr>
          <w:p w:rsidRPr="00B72876" w:rsidR="00A92D0B" w:rsidP="00073262" w:rsidRDefault="00A92D0B" w14:paraId="2794272E" w14:textId="77777777">
            <w:pPr>
              <w:jc w:val="center"/>
              <w:rPr>
                <w:b/>
                <w:color w:val="000000"/>
              </w:rPr>
            </w:pPr>
            <w:r w:rsidRPr="00B72876">
              <w:rPr>
                <w:b/>
                <w:color w:val="000000"/>
              </w:rPr>
              <w:t xml:space="preserve">Specific References to </w:t>
            </w:r>
            <w:r w:rsidRPr="00B72876" w:rsidR="00D075B1">
              <w:rPr>
                <w:b/>
                <w:color w:val="000000"/>
              </w:rPr>
              <w:t>Intervenor’s Claimed Contribution(s)</w:t>
            </w:r>
          </w:p>
        </w:tc>
        <w:tc>
          <w:tcPr>
            <w:tcW w:w="2003" w:type="dxa"/>
            <w:shd w:val="pct12" w:color="auto" w:fill="auto"/>
            <w:vAlign w:val="bottom"/>
          </w:tcPr>
          <w:p w:rsidRPr="00B72876" w:rsidR="00A92D0B" w:rsidP="00073262" w:rsidRDefault="00D075B1" w14:paraId="79AFC714" w14:textId="77777777">
            <w:pPr>
              <w:jc w:val="center"/>
              <w:rPr>
                <w:b/>
                <w:color w:val="000000"/>
              </w:rPr>
            </w:pPr>
            <w:r w:rsidRPr="00B72876">
              <w:rPr>
                <w:b/>
                <w:color w:val="000000"/>
              </w:rPr>
              <w:t>CPUC Discussion</w:t>
            </w:r>
          </w:p>
        </w:tc>
      </w:tr>
      <w:tr w:rsidRPr="00B72876" w:rsidR="00B72876" w:rsidTr="00794A54" w14:paraId="2E691FFC" w14:textId="77777777">
        <w:tc>
          <w:tcPr>
            <w:tcW w:w="3505" w:type="dxa"/>
            <w:shd w:val="clear" w:color="auto" w:fill="FFFFFF" w:themeFill="background1"/>
          </w:tcPr>
          <w:p w:rsidRPr="00B72876" w:rsidR="00B72876" w:rsidP="00B72876" w:rsidRDefault="00B72876" w14:paraId="3BCE5692" w14:textId="77777777">
            <w:pPr>
              <w:pStyle w:val="ListParagraph"/>
              <w:numPr>
                <w:ilvl w:val="0"/>
                <w:numId w:val="12"/>
              </w:numPr>
              <w:ind w:left="330"/>
              <w:rPr>
                <w:rFonts w:ascii="Times New Roman" w:hAnsi="Times New Roman"/>
                <w:b/>
                <w:sz w:val="24"/>
                <w:szCs w:val="24"/>
              </w:rPr>
            </w:pPr>
            <w:r w:rsidRPr="00B72876">
              <w:rPr>
                <w:rFonts w:ascii="Times New Roman" w:hAnsi="Times New Roman"/>
                <w:b/>
                <w:sz w:val="24"/>
                <w:szCs w:val="24"/>
              </w:rPr>
              <w:t>UCAN CONTRIBUTED TO THE DECISION BY INFORMING AND DEVELOPING THE RECORD, ADDRESSING VARIOUS AND MULTIPLE ISSUES AND TOPICS, AND PROVIDING RELEVANT COMMENTS TO PHASE I AND II DECISIONS.</w:t>
            </w:r>
          </w:p>
          <w:p w:rsidRPr="00B72876" w:rsidR="00B72876" w:rsidP="00B72876" w:rsidRDefault="00B72876" w14:paraId="75DBFEDF" w14:textId="77777777">
            <w:pPr>
              <w:pStyle w:val="ListParagraph"/>
              <w:rPr>
                <w:rFonts w:ascii="Times New Roman" w:hAnsi="Times New Roman"/>
                <w:sz w:val="24"/>
                <w:szCs w:val="24"/>
                <w:u w:val="single"/>
              </w:rPr>
            </w:pPr>
          </w:p>
          <w:p w:rsidRPr="00B72876" w:rsidR="00B72876" w:rsidP="00B72876" w:rsidRDefault="00B72876" w14:paraId="13CD9711" w14:textId="77777777">
            <w:pPr>
              <w:pStyle w:val="ListParagraph"/>
              <w:numPr>
                <w:ilvl w:val="0"/>
                <w:numId w:val="11"/>
              </w:numPr>
              <w:rPr>
                <w:rFonts w:ascii="Times New Roman" w:hAnsi="Times New Roman"/>
                <w:sz w:val="24"/>
                <w:szCs w:val="24"/>
                <w:u w:val="single"/>
              </w:rPr>
            </w:pPr>
            <w:r w:rsidRPr="00B72876">
              <w:rPr>
                <w:rFonts w:ascii="Times New Roman" w:hAnsi="Times New Roman"/>
                <w:sz w:val="24"/>
                <w:szCs w:val="24"/>
                <w:u w:val="single"/>
              </w:rPr>
              <w:t>UCAN actively intervened in the proceeding that led to Decisions for Phase I and II issues.</w:t>
            </w:r>
          </w:p>
          <w:p w:rsidRPr="00B72876" w:rsidR="00B72876" w:rsidP="00B72876" w:rsidRDefault="00B72876" w14:paraId="512929F0" w14:textId="77777777">
            <w:pPr>
              <w:pStyle w:val="ListParagraph"/>
              <w:rPr>
                <w:rFonts w:ascii="Times New Roman" w:hAnsi="Times New Roman"/>
                <w:sz w:val="24"/>
                <w:szCs w:val="24"/>
                <w:u w:val="single"/>
              </w:rPr>
            </w:pPr>
          </w:p>
          <w:p w:rsidR="00B72876" w:rsidP="00B72876" w:rsidRDefault="00B72876" w14:paraId="333AAFF5" w14:textId="783D2884">
            <w:pPr>
              <w:pStyle w:val="ListParagraph"/>
              <w:rPr>
                <w:rFonts w:ascii="Times New Roman" w:hAnsi="Times New Roman"/>
                <w:sz w:val="24"/>
                <w:szCs w:val="24"/>
              </w:rPr>
            </w:pPr>
            <w:r w:rsidRPr="00B72876">
              <w:rPr>
                <w:rFonts w:ascii="Times New Roman" w:hAnsi="Times New Roman"/>
                <w:sz w:val="24"/>
                <w:szCs w:val="24"/>
              </w:rPr>
              <w:t xml:space="preserve">UCAN intervened in the proceeding through its various and consistent comments.  For example, UCAN emphasized balanced approaches to community engagement and reporting requirements and greater flexibility to urban-rural allocations.  UCAN recommended any policies adopted should examine deployment, and adoption, at both a municipal-wide and neighborhood-level.  UCAN advocated for the importance of data collection and analysis to inform policies to achieve </w:t>
            </w:r>
            <w:r w:rsidRPr="00B72876">
              <w:rPr>
                <w:rFonts w:ascii="Times New Roman" w:hAnsi="Times New Roman"/>
                <w:sz w:val="24"/>
                <w:szCs w:val="24"/>
              </w:rPr>
              <w:lastRenderedPageBreak/>
              <w:t>digital equity.  By offering comments in various filings, addressing critical issues, UCAN aided and supported the development of a more complete record for the Decision.</w:t>
            </w:r>
          </w:p>
          <w:p w:rsidRPr="00B72876" w:rsidR="00B72876" w:rsidP="00B72876" w:rsidRDefault="00B72876" w14:paraId="6D7D26B0" w14:textId="19D7EBA8">
            <w:pPr>
              <w:rPr>
                <w:rFonts w:eastAsia="Calibri"/>
              </w:rPr>
            </w:pPr>
          </w:p>
          <w:p w:rsidRPr="00B72876" w:rsidR="00B72876" w:rsidP="00B72876" w:rsidRDefault="00B72876" w14:paraId="75422239" w14:textId="77777777">
            <w:pPr>
              <w:pStyle w:val="ListParagraph"/>
              <w:ind w:left="0"/>
              <w:rPr>
                <w:rFonts w:ascii="Times New Roman" w:hAnsi="Times New Roman"/>
                <w:sz w:val="24"/>
                <w:szCs w:val="24"/>
                <w:u w:val="single"/>
              </w:rPr>
            </w:pPr>
            <w:r w:rsidRPr="00B72876">
              <w:rPr>
                <w:rFonts w:ascii="Times New Roman" w:hAnsi="Times New Roman"/>
                <w:sz w:val="24"/>
                <w:szCs w:val="24"/>
                <w:u w:val="single"/>
              </w:rPr>
              <w:t>Phase I</w:t>
            </w:r>
          </w:p>
          <w:p w:rsidRPr="00B72876" w:rsidR="00B72876" w:rsidP="00B72876" w:rsidRDefault="00B72876" w14:paraId="0527E151" w14:textId="77777777">
            <w:pPr>
              <w:pStyle w:val="ListParagraph"/>
              <w:numPr>
                <w:ilvl w:val="0"/>
                <w:numId w:val="13"/>
              </w:numPr>
              <w:rPr>
                <w:rFonts w:ascii="Times New Roman" w:hAnsi="Times New Roman"/>
                <w:sz w:val="24"/>
                <w:szCs w:val="24"/>
              </w:rPr>
            </w:pPr>
            <w:r w:rsidRPr="00B72876">
              <w:rPr>
                <w:rFonts w:ascii="Times New Roman" w:hAnsi="Times New Roman"/>
                <w:sz w:val="24"/>
                <w:szCs w:val="24"/>
              </w:rPr>
              <w:t>UCAN filed Opening and Reply Comments to the to Order Instituting Rulemaking</w:t>
            </w:r>
          </w:p>
          <w:p w:rsidRPr="00B72876" w:rsidR="00B72876" w:rsidP="00B72876" w:rsidRDefault="00B72876" w14:paraId="65FB9699" w14:textId="77777777">
            <w:pPr>
              <w:pStyle w:val="ListParagraph"/>
              <w:numPr>
                <w:ilvl w:val="0"/>
                <w:numId w:val="13"/>
              </w:numPr>
              <w:rPr>
                <w:rFonts w:ascii="Times New Roman" w:hAnsi="Times New Roman"/>
                <w:sz w:val="24"/>
                <w:szCs w:val="24"/>
              </w:rPr>
            </w:pPr>
            <w:r w:rsidRPr="00B72876">
              <w:rPr>
                <w:rFonts w:ascii="Times New Roman" w:hAnsi="Times New Roman"/>
                <w:sz w:val="24"/>
                <w:szCs w:val="24"/>
              </w:rPr>
              <w:t>UCAN filed Opening and Reply Briefs and Comments on the Phase I staff proposal</w:t>
            </w:r>
          </w:p>
          <w:p w:rsidRPr="00B72876" w:rsidR="00B72876" w:rsidP="00B72876" w:rsidRDefault="00B72876" w14:paraId="7FCD51EE" w14:textId="77777777">
            <w:pPr>
              <w:pStyle w:val="ListParagraph"/>
              <w:numPr>
                <w:ilvl w:val="0"/>
                <w:numId w:val="13"/>
              </w:numPr>
              <w:rPr>
                <w:rFonts w:ascii="Times New Roman" w:hAnsi="Times New Roman"/>
                <w:sz w:val="24"/>
                <w:szCs w:val="24"/>
              </w:rPr>
            </w:pPr>
            <w:r w:rsidRPr="00B72876">
              <w:rPr>
                <w:rFonts w:ascii="Times New Roman" w:hAnsi="Times New Roman"/>
                <w:sz w:val="24"/>
                <w:szCs w:val="24"/>
              </w:rPr>
              <w:t>UCAN filed Comments on Assigned Commissioner’s Amended Scoping Memo and Ruling</w:t>
            </w:r>
          </w:p>
          <w:p w:rsidRPr="00B72876" w:rsidR="00B72876" w:rsidP="00B72876" w:rsidRDefault="00B72876" w14:paraId="02CD1C50" w14:textId="77777777">
            <w:pPr>
              <w:pStyle w:val="ListParagraph"/>
              <w:numPr>
                <w:ilvl w:val="0"/>
                <w:numId w:val="13"/>
              </w:numPr>
              <w:rPr>
                <w:rFonts w:ascii="Times New Roman" w:hAnsi="Times New Roman"/>
                <w:sz w:val="24"/>
                <w:szCs w:val="24"/>
              </w:rPr>
            </w:pPr>
            <w:r w:rsidRPr="00B72876">
              <w:rPr>
                <w:rFonts w:ascii="Times New Roman" w:hAnsi="Times New Roman"/>
                <w:sz w:val="24"/>
                <w:szCs w:val="24"/>
              </w:rPr>
              <w:t>UCAN filed Opening and Reply Comments regarding PHASE II-B issues</w:t>
            </w:r>
          </w:p>
          <w:p w:rsidRPr="00B72876" w:rsidR="00B72876" w:rsidP="00B72876" w:rsidRDefault="00B72876" w14:paraId="11C3DE7D" w14:textId="77777777">
            <w:pPr>
              <w:pStyle w:val="ListParagraph"/>
              <w:numPr>
                <w:ilvl w:val="0"/>
                <w:numId w:val="13"/>
              </w:numPr>
              <w:rPr>
                <w:rFonts w:ascii="Times New Roman" w:hAnsi="Times New Roman"/>
                <w:sz w:val="24"/>
                <w:szCs w:val="24"/>
              </w:rPr>
            </w:pPr>
            <w:r w:rsidRPr="00B72876">
              <w:rPr>
                <w:rFonts w:ascii="Times New Roman" w:hAnsi="Times New Roman"/>
                <w:sz w:val="24"/>
                <w:szCs w:val="24"/>
              </w:rPr>
              <w:t>UCAN filed various Comments on the Administrative Law Judge’s Ruling and the Assigned Commissioner’s Ruling</w:t>
            </w:r>
          </w:p>
          <w:p w:rsidRPr="00B72876" w:rsidR="00B72876" w:rsidP="00B72876" w:rsidRDefault="00B72876" w14:paraId="223B2872" w14:textId="77777777">
            <w:pPr>
              <w:pStyle w:val="ListParagraph"/>
              <w:numPr>
                <w:ilvl w:val="0"/>
                <w:numId w:val="13"/>
              </w:numPr>
              <w:rPr>
                <w:rFonts w:ascii="Times New Roman" w:hAnsi="Times New Roman"/>
                <w:sz w:val="24"/>
                <w:szCs w:val="24"/>
              </w:rPr>
            </w:pPr>
            <w:r w:rsidRPr="00B72876">
              <w:rPr>
                <w:rFonts w:ascii="Times New Roman" w:hAnsi="Times New Roman"/>
                <w:sz w:val="24"/>
                <w:szCs w:val="24"/>
              </w:rPr>
              <w:t>UCAN filed Opening Comments on the Proposed Decision (Phase I)</w:t>
            </w:r>
          </w:p>
          <w:p w:rsidRPr="00B72876" w:rsidR="00B72876" w:rsidP="00B72876" w:rsidRDefault="00B72876" w14:paraId="528B6F63" w14:textId="77777777">
            <w:pPr>
              <w:pStyle w:val="ListParagraph"/>
              <w:rPr>
                <w:rFonts w:ascii="Times New Roman" w:hAnsi="Times New Roman"/>
                <w:sz w:val="24"/>
                <w:szCs w:val="24"/>
                <w:u w:val="single"/>
              </w:rPr>
            </w:pPr>
          </w:p>
          <w:p w:rsidRPr="00B72876" w:rsidR="00B72876" w:rsidP="00B72876" w:rsidRDefault="00B72876" w14:paraId="4A3CF7DD" w14:textId="77777777">
            <w:pPr>
              <w:pStyle w:val="ListParagraph"/>
              <w:rPr>
                <w:rFonts w:ascii="Times New Roman" w:hAnsi="Times New Roman"/>
                <w:sz w:val="24"/>
                <w:szCs w:val="24"/>
                <w:u w:val="single"/>
              </w:rPr>
            </w:pPr>
          </w:p>
          <w:p w:rsidRPr="00B72876" w:rsidR="00B72876" w:rsidP="00B72876" w:rsidRDefault="00B72876" w14:paraId="1FFDBD64" w14:textId="77777777">
            <w:pPr>
              <w:pStyle w:val="ListParagraph"/>
              <w:rPr>
                <w:rFonts w:ascii="Times New Roman" w:hAnsi="Times New Roman"/>
                <w:sz w:val="24"/>
                <w:szCs w:val="24"/>
                <w:u w:val="single"/>
              </w:rPr>
            </w:pPr>
          </w:p>
          <w:p w:rsidRPr="00B72876" w:rsidR="00B72876" w:rsidP="00B72876" w:rsidRDefault="00B72876" w14:paraId="64577294" w14:textId="77777777">
            <w:pPr>
              <w:pStyle w:val="ListParagraph"/>
              <w:rPr>
                <w:rFonts w:ascii="Times New Roman" w:hAnsi="Times New Roman"/>
                <w:sz w:val="24"/>
                <w:szCs w:val="24"/>
                <w:u w:val="single"/>
              </w:rPr>
            </w:pPr>
          </w:p>
          <w:p w:rsidRPr="00B72876" w:rsidR="00B72876" w:rsidP="00B72876" w:rsidRDefault="00B72876" w14:paraId="09D37C06" w14:textId="77777777">
            <w:pPr>
              <w:pStyle w:val="ListParagraph"/>
              <w:rPr>
                <w:rFonts w:ascii="Times New Roman" w:hAnsi="Times New Roman"/>
                <w:sz w:val="24"/>
                <w:szCs w:val="24"/>
                <w:u w:val="single"/>
              </w:rPr>
            </w:pPr>
          </w:p>
          <w:p w:rsidRPr="00B72876" w:rsidR="00B72876" w:rsidP="00B72876" w:rsidRDefault="00B72876" w14:paraId="1149A702" w14:textId="77777777">
            <w:pPr>
              <w:pStyle w:val="ListParagraph"/>
              <w:rPr>
                <w:rFonts w:ascii="Times New Roman" w:hAnsi="Times New Roman"/>
                <w:sz w:val="24"/>
                <w:szCs w:val="24"/>
                <w:u w:val="single"/>
              </w:rPr>
            </w:pPr>
          </w:p>
          <w:p w:rsidRPr="00B72876" w:rsidR="00B72876" w:rsidP="00B72876" w:rsidRDefault="00B72876" w14:paraId="5198AD60" w14:textId="77777777">
            <w:pPr>
              <w:pStyle w:val="ListParagraph"/>
              <w:rPr>
                <w:rFonts w:ascii="Times New Roman" w:hAnsi="Times New Roman"/>
                <w:sz w:val="24"/>
                <w:szCs w:val="24"/>
                <w:u w:val="single"/>
              </w:rPr>
            </w:pPr>
          </w:p>
          <w:p w:rsidRPr="00B72876" w:rsidR="00B72876" w:rsidP="00B72876" w:rsidRDefault="00B72876" w14:paraId="694017CF" w14:textId="77777777">
            <w:pPr>
              <w:pStyle w:val="ListParagraph"/>
              <w:rPr>
                <w:rFonts w:ascii="Times New Roman" w:hAnsi="Times New Roman"/>
                <w:sz w:val="24"/>
                <w:szCs w:val="24"/>
                <w:u w:val="single"/>
              </w:rPr>
            </w:pPr>
          </w:p>
          <w:p w:rsidRPr="00B72876" w:rsidR="00B72876" w:rsidP="00B72876" w:rsidRDefault="00B72876" w14:paraId="5ADE5B88" w14:textId="77777777">
            <w:pPr>
              <w:pStyle w:val="ListParagraph"/>
              <w:rPr>
                <w:rFonts w:ascii="Times New Roman" w:hAnsi="Times New Roman"/>
                <w:sz w:val="24"/>
                <w:szCs w:val="24"/>
                <w:u w:val="single"/>
              </w:rPr>
            </w:pPr>
          </w:p>
          <w:p w:rsidRPr="00B72876" w:rsidR="00B72876" w:rsidP="00B72876" w:rsidRDefault="00B72876" w14:paraId="1F6A4980" w14:textId="77777777">
            <w:pPr>
              <w:pStyle w:val="ListParagraph"/>
              <w:rPr>
                <w:rFonts w:ascii="Times New Roman" w:hAnsi="Times New Roman"/>
                <w:sz w:val="24"/>
                <w:szCs w:val="24"/>
                <w:u w:val="single"/>
              </w:rPr>
            </w:pPr>
          </w:p>
          <w:p w:rsidRPr="00B72876" w:rsidR="00B72876" w:rsidP="00B72876" w:rsidRDefault="00B72876" w14:paraId="4B9265DA" w14:textId="77777777">
            <w:pPr>
              <w:pStyle w:val="ListParagraph"/>
              <w:rPr>
                <w:rFonts w:ascii="Times New Roman" w:hAnsi="Times New Roman"/>
                <w:sz w:val="24"/>
                <w:szCs w:val="24"/>
                <w:u w:val="single"/>
              </w:rPr>
            </w:pPr>
          </w:p>
          <w:p w:rsidRPr="00B72876" w:rsidR="00B72876" w:rsidP="00B72876" w:rsidRDefault="00B72876" w14:paraId="4A5A386F" w14:textId="77777777">
            <w:pPr>
              <w:pStyle w:val="ListParagraph"/>
              <w:rPr>
                <w:rFonts w:ascii="Times New Roman" w:hAnsi="Times New Roman"/>
                <w:sz w:val="24"/>
                <w:szCs w:val="24"/>
                <w:u w:val="single"/>
              </w:rPr>
            </w:pPr>
          </w:p>
          <w:p w:rsidRPr="00B72876" w:rsidR="00B72876" w:rsidP="00B72876" w:rsidRDefault="00B72876" w14:paraId="0233C4CF" w14:textId="77777777">
            <w:pPr>
              <w:pStyle w:val="ListParagraph"/>
              <w:rPr>
                <w:rFonts w:ascii="Times New Roman" w:hAnsi="Times New Roman"/>
                <w:sz w:val="24"/>
                <w:szCs w:val="24"/>
                <w:u w:val="single"/>
              </w:rPr>
            </w:pPr>
          </w:p>
          <w:p w:rsidRPr="00B72876" w:rsidR="00B72876" w:rsidP="00B72876" w:rsidRDefault="00B72876" w14:paraId="1711DB72" w14:textId="77777777">
            <w:pPr>
              <w:pStyle w:val="ListParagraph"/>
              <w:rPr>
                <w:rFonts w:ascii="Times New Roman" w:hAnsi="Times New Roman"/>
                <w:sz w:val="24"/>
                <w:szCs w:val="24"/>
                <w:u w:val="single"/>
              </w:rPr>
            </w:pPr>
          </w:p>
          <w:p w:rsidRPr="00B72876" w:rsidR="00B72876" w:rsidP="00B72876" w:rsidRDefault="00B72876" w14:paraId="231C5845" w14:textId="77777777">
            <w:pPr>
              <w:pStyle w:val="ListParagraph"/>
              <w:rPr>
                <w:rFonts w:ascii="Times New Roman" w:hAnsi="Times New Roman"/>
                <w:sz w:val="24"/>
                <w:szCs w:val="24"/>
                <w:u w:val="single"/>
              </w:rPr>
            </w:pPr>
          </w:p>
          <w:p w:rsidRPr="00B72876" w:rsidR="00B72876" w:rsidP="00B72876" w:rsidRDefault="00B72876" w14:paraId="11730DDC" w14:textId="77777777">
            <w:pPr>
              <w:pStyle w:val="ListParagraph"/>
              <w:rPr>
                <w:rFonts w:ascii="Times New Roman" w:hAnsi="Times New Roman"/>
                <w:sz w:val="24"/>
                <w:szCs w:val="24"/>
                <w:u w:val="single"/>
              </w:rPr>
            </w:pPr>
          </w:p>
          <w:p w:rsidRPr="00B72876" w:rsidR="00B72876" w:rsidP="00B72876" w:rsidRDefault="00B72876" w14:paraId="05E76CA5" w14:textId="77777777">
            <w:pPr>
              <w:pStyle w:val="ListParagraph"/>
              <w:rPr>
                <w:rFonts w:ascii="Times New Roman" w:hAnsi="Times New Roman"/>
                <w:sz w:val="24"/>
                <w:szCs w:val="24"/>
                <w:u w:val="single"/>
              </w:rPr>
            </w:pPr>
          </w:p>
          <w:p w:rsidRPr="00B72876" w:rsidR="00B72876" w:rsidP="00B72876" w:rsidRDefault="00B72876" w14:paraId="1A3FA081" w14:textId="77777777">
            <w:pPr>
              <w:pStyle w:val="ListParagraph"/>
              <w:rPr>
                <w:rFonts w:ascii="Times New Roman" w:hAnsi="Times New Roman"/>
                <w:sz w:val="24"/>
                <w:szCs w:val="24"/>
                <w:u w:val="single"/>
              </w:rPr>
            </w:pPr>
          </w:p>
          <w:p w:rsidRPr="00B72876" w:rsidR="00B72876" w:rsidP="00B72876" w:rsidRDefault="00B72876" w14:paraId="15FD2EF0" w14:textId="77777777">
            <w:pPr>
              <w:pStyle w:val="ListParagraph"/>
              <w:rPr>
                <w:rFonts w:ascii="Times New Roman" w:hAnsi="Times New Roman"/>
                <w:sz w:val="24"/>
                <w:szCs w:val="24"/>
                <w:u w:val="single"/>
              </w:rPr>
            </w:pPr>
          </w:p>
          <w:p w:rsidR="00B72876" w:rsidP="00B72876" w:rsidRDefault="00B72876" w14:paraId="2CFE57E6" w14:textId="2403CF6E">
            <w:pPr>
              <w:rPr>
                <w:rFonts w:eastAsia="Calibri"/>
                <w:u w:val="single"/>
              </w:rPr>
            </w:pPr>
          </w:p>
          <w:p w:rsidR="0048283B" w:rsidP="00B72876" w:rsidRDefault="0048283B" w14:paraId="41396D87" w14:textId="532BA138">
            <w:pPr>
              <w:rPr>
                <w:rFonts w:eastAsia="Calibri"/>
                <w:u w:val="single"/>
              </w:rPr>
            </w:pPr>
          </w:p>
          <w:p w:rsidR="0048283B" w:rsidP="00B72876" w:rsidRDefault="0048283B" w14:paraId="4BD4BEA1" w14:textId="3BA205CC">
            <w:pPr>
              <w:rPr>
                <w:rFonts w:eastAsia="Calibri"/>
                <w:u w:val="single"/>
              </w:rPr>
            </w:pPr>
          </w:p>
          <w:p w:rsidR="0048283B" w:rsidP="00B72876" w:rsidRDefault="0048283B" w14:paraId="51C53EBF" w14:textId="170504D9">
            <w:pPr>
              <w:rPr>
                <w:rFonts w:eastAsia="Calibri"/>
                <w:u w:val="single"/>
              </w:rPr>
            </w:pPr>
          </w:p>
          <w:p w:rsidR="0048283B" w:rsidP="00B72876" w:rsidRDefault="0048283B" w14:paraId="3697BC0B" w14:textId="270CFB0C">
            <w:pPr>
              <w:rPr>
                <w:rFonts w:eastAsia="Calibri"/>
                <w:u w:val="single"/>
              </w:rPr>
            </w:pPr>
          </w:p>
          <w:p w:rsidR="008161B1" w:rsidP="00B72876" w:rsidRDefault="008161B1" w14:paraId="3807D593" w14:textId="1EF9B6A8">
            <w:pPr>
              <w:rPr>
                <w:rFonts w:eastAsia="Calibri"/>
                <w:u w:val="single"/>
              </w:rPr>
            </w:pPr>
          </w:p>
          <w:p w:rsidR="008161B1" w:rsidP="00B72876" w:rsidRDefault="008161B1" w14:paraId="6CE0FCEE" w14:textId="77777777">
            <w:pPr>
              <w:rPr>
                <w:rFonts w:eastAsia="Calibri"/>
                <w:u w:val="single"/>
              </w:rPr>
            </w:pPr>
          </w:p>
          <w:p w:rsidR="0048283B" w:rsidP="00B72876" w:rsidRDefault="0048283B" w14:paraId="3CD506F1" w14:textId="53781BCC">
            <w:pPr>
              <w:rPr>
                <w:rFonts w:eastAsia="Calibri"/>
                <w:u w:val="single"/>
              </w:rPr>
            </w:pPr>
          </w:p>
          <w:p w:rsidRPr="00B72876" w:rsidR="00B72876" w:rsidP="00B72876" w:rsidRDefault="00B72876" w14:paraId="347EDA90" w14:textId="77777777">
            <w:pPr>
              <w:pStyle w:val="ListParagraph"/>
              <w:ind w:left="0"/>
              <w:rPr>
                <w:rFonts w:ascii="Times New Roman" w:hAnsi="Times New Roman"/>
                <w:sz w:val="24"/>
                <w:szCs w:val="24"/>
                <w:u w:val="single"/>
              </w:rPr>
            </w:pPr>
            <w:r w:rsidRPr="00B72876">
              <w:rPr>
                <w:rFonts w:ascii="Times New Roman" w:hAnsi="Times New Roman"/>
                <w:sz w:val="24"/>
                <w:szCs w:val="24"/>
                <w:u w:val="single"/>
              </w:rPr>
              <w:t>Phase II</w:t>
            </w:r>
          </w:p>
          <w:p w:rsidRPr="00B72876" w:rsidR="00B72876" w:rsidP="00B72876" w:rsidRDefault="00B72876" w14:paraId="01938F26" w14:textId="77777777">
            <w:pPr>
              <w:pStyle w:val="ListParagraph"/>
              <w:numPr>
                <w:ilvl w:val="0"/>
                <w:numId w:val="14"/>
              </w:numPr>
              <w:rPr>
                <w:rFonts w:ascii="Times New Roman" w:hAnsi="Times New Roman"/>
                <w:sz w:val="24"/>
                <w:szCs w:val="24"/>
              </w:rPr>
            </w:pPr>
            <w:r w:rsidRPr="00B72876">
              <w:rPr>
                <w:rFonts w:ascii="Times New Roman" w:hAnsi="Times New Roman"/>
                <w:sz w:val="24"/>
                <w:szCs w:val="24"/>
              </w:rPr>
              <w:t>UCAN filed Opening and Reply Comments on the Administrative Law Judge’s Email Ruling Requesting Comments on the Proposal for the Apportionment of the Federal Funding Account Grant Program</w:t>
            </w:r>
          </w:p>
          <w:p w:rsidRPr="00B72876" w:rsidR="00B72876" w:rsidP="00B72876" w:rsidRDefault="00B72876" w14:paraId="14E74733" w14:textId="77777777">
            <w:pPr>
              <w:pStyle w:val="ListParagraph"/>
              <w:numPr>
                <w:ilvl w:val="0"/>
                <w:numId w:val="14"/>
              </w:numPr>
              <w:rPr>
                <w:rFonts w:ascii="Times New Roman" w:hAnsi="Times New Roman"/>
                <w:sz w:val="24"/>
                <w:szCs w:val="24"/>
              </w:rPr>
            </w:pPr>
            <w:r w:rsidRPr="00B72876">
              <w:rPr>
                <w:rFonts w:ascii="Times New Roman" w:hAnsi="Times New Roman"/>
                <w:sz w:val="24"/>
                <w:szCs w:val="24"/>
              </w:rPr>
              <w:t>UCAN filed Opening Comments on Proposed Decision (Phase II)</w:t>
            </w:r>
          </w:p>
          <w:p w:rsidRPr="00B72876" w:rsidR="00B72876" w:rsidP="00B72876" w:rsidRDefault="00B72876" w14:paraId="1B0CC007" w14:textId="77777777">
            <w:pPr>
              <w:rPr>
                <w:color w:val="000000"/>
              </w:rPr>
            </w:pPr>
          </w:p>
        </w:tc>
        <w:tc>
          <w:tcPr>
            <w:tcW w:w="4230" w:type="dxa"/>
            <w:shd w:val="clear" w:color="auto" w:fill="FFFFFF" w:themeFill="background1"/>
          </w:tcPr>
          <w:p w:rsidRPr="0048283B" w:rsidR="00B72876" w:rsidP="00B72876" w:rsidRDefault="00B72876" w14:paraId="3570AB10" w14:textId="77777777">
            <w:pPr>
              <w:ind w:left="360"/>
              <w:contextualSpacing/>
              <w:rPr>
                <w:rFonts w:eastAsia="Calibri"/>
              </w:rPr>
            </w:pPr>
          </w:p>
          <w:p w:rsidRPr="0048283B" w:rsidR="00B72876" w:rsidP="00B72876" w:rsidRDefault="00B72876" w14:paraId="6B82A10E" w14:textId="77777777">
            <w:pPr>
              <w:ind w:left="360"/>
              <w:contextualSpacing/>
              <w:rPr>
                <w:rFonts w:eastAsia="Calibri"/>
              </w:rPr>
            </w:pPr>
          </w:p>
          <w:p w:rsidRPr="0048283B" w:rsidR="00B72876" w:rsidP="00B72876" w:rsidRDefault="00B72876" w14:paraId="225EF89B" w14:textId="77777777">
            <w:pPr>
              <w:ind w:left="360"/>
              <w:contextualSpacing/>
              <w:rPr>
                <w:rFonts w:eastAsia="Calibri"/>
              </w:rPr>
            </w:pPr>
          </w:p>
          <w:p w:rsidRPr="0048283B" w:rsidR="00B72876" w:rsidP="00B72876" w:rsidRDefault="00B72876" w14:paraId="7147BC92" w14:textId="77777777">
            <w:pPr>
              <w:ind w:left="360"/>
              <w:contextualSpacing/>
              <w:rPr>
                <w:rFonts w:eastAsia="Calibri"/>
              </w:rPr>
            </w:pPr>
          </w:p>
          <w:p w:rsidRPr="0048283B" w:rsidR="00B72876" w:rsidP="00B72876" w:rsidRDefault="00B72876" w14:paraId="502F4AB8" w14:textId="77777777">
            <w:pPr>
              <w:ind w:left="360"/>
              <w:contextualSpacing/>
              <w:rPr>
                <w:rFonts w:eastAsia="Calibri"/>
              </w:rPr>
            </w:pPr>
          </w:p>
          <w:p w:rsidRPr="0048283B" w:rsidR="00B72876" w:rsidP="00B72876" w:rsidRDefault="00B72876" w14:paraId="0F47EE3D" w14:textId="77777777">
            <w:pPr>
              <w:ind w:left="360"/>
              <w:contextualSpacing/>
              <w:rPr>
                <w:rFonts w:eastAsia="Calibri"/>
              </w:rPr>
            </w:pPr>
          </w:p>
          <w:p w:rsidRPr="0048283B" w:rsidR="00B72876" w:rsidP="00B72876" w:rsidRDefault="00B72876" w14:paraId="5D508AD3" w14:textId="77777777">
            <w:pPr>
              <w:ind w:left="360"/>
              <w:contextualSpacing/>
              <w:rPr>
                <w:rFonts w:eastAsia="Calibri"/>
              </w:rPr>
            </w:pPr>
          </w:p>
          <w:p w:rsidRPr="0048283B" w:rsidR="00B72876" w:rsidP="00B72876" w:rsidRDefault="00B72876" w14:paraId="4501BC43" w14:textId="638032EE">
            <w:pPr>
              <w:ind w:left="720"/>
              <w:contextualSpacing/>
              <w:rPr>
                <w:rFonts w:eastAsia="Calibri"/>
              </w:rPr>
            </w:pPr>
          </w:p>
          <w:p w:rsidRPr="0048283B" w:rsidR="00B72876" w:rsidP="00B72876" w:rsidRDefault="00B72876" w14:paraId="482ECEF8" w14:textId="46C6D942">
            <w:pPr>
              <w:ind w:left="720"/>
              <w:contextualSpacing/>
              <w:rPr>
                <w:rFonts w:eastAsia="Calibri"/>
              </w:rPr>
            </w:pPr>
          </w:p>
          <w:p w:rsidRPr="0048283B" w:rsidR="00B72876" w:rsidP="00B72876" w:rsidRDefault="00B72876" w14:paraId="558998A9" w14:textId="20FF8D38">
            <w:pPr>
              <w:ind w:left="720"/>
              <w:contextualSpacing/>
              <w:rPr>
                <w:rFonts w:eastAsia="Calibri"/>
              </w:rPr>
            </w:pPr>
          </w:p>
          <w:p w:rsidRPr="0048283B" w:rsidR="00B72876" w:rsidP="00B72876" w:rsidRDefault="00B72876" w14:paraId="06D97158" w14:textId="5EDDE1D5">
            <w:pPr>
              <w:ind w:left="720"/>
              <w:contextualSpacing/>
              <w:rPr>
                <w:rFonts w:eastAsia="Calibri"/>
              </w:rPr>
            </w:pPr>
          </w:p>
          <w:p w:rsidRPr="0048283B" w:rsidR="00B72876" w:rsidP="00B72876" w:rsidRDefault="00B72876" w14:paraId="4857A852" w14:textId="77777777">
            <w:pPr>
              <w:contextualSpacing/>
              <w:rPr>
                <w:rFonts w:eastAsia="Calibri"/>
              </w:rPr>
            </w:pPr>
          </w:p>
          <w:p w:rsidRPr="0048283B" w:rsidR="00B72876" w:rsidP="00B72876" w:rsidRDefault="00B72876" w14:paraId="4C8AF6B7" w14:textId="6EA03E1D">
            <w:pPr>
              <w:numPr>
                <w:ilvl w:val="0"/>
                <w:numId w:val="31"/>
              </w:numPr>
              <w:contextualSpacing/>
              <w:rPr>
                <w:rFonts w:eastAsia="Calibri"/>
              </w:rPr>
            </w:pPr>
            <w:r w:rsidRPr="00050453">
              <w:rPr>
                <w:rFonts w:eastAsia="Calibri"/>
                <w:i/>
                <w:iCs/>
              </w:rPr>
              <w:t>See</w:t>
            </w:r>
            <w:r w:rsidRPr="0048283B">
              <w:rPr>
                <w:rFonts w:eastAsia="Calibri"/>
              </w:rPr>
              <w:t xml:space="preserve">, e.g., </w:t>
            </w:r>
            <w:r w:rsidRPr="0048283B">
              <w:rPr>
                <w:rFonts w:eastAsia="Calibri"/>
                <w:b/>
              </w:rPr>
              <w:t>D.21-10-020, at pp. 4-5, 11, 21-23; D.22-04-055, at pp. 5, 29, 32, 94.</w:t>
            </w:r>
          </w:p>
          <w:p w:rsidRPr="0048283B" w:rsidR="00B72876" w:rsidP="00B72876" w:rsidRDefault="00B72876" w14:paraId="0A27B76E" w14:textId="77777777">
            <w:pPr>
              <w:rPr>
                <w:rFonts w:eastAsia="Calibri"/>
              </w:rPr>
            </w:pPr>
          </w:p>
          <w:p w:rsidRPr="0048283B" w:rsidR="00B72876" w:rsidP="00B72876" w:rsidRDefault="00B72876" w14:paraId="380BA9F4" w14:textId="77777777">
            <w:pPr>
              <w:rPr>
                <w:color w:val="000000"/>
              </w:rPr>
            </w:pPr>
          </w:p>
          <w:p w:rsidRPr="0048283B" w:rsidR="00B72876" w:rsidP="00B72876" w:rsidRDefault="00B72876" w14:paraId="0639EDAB" w14:textId="77777777">
            <w:pPr>
              <w:rPr>
                <w:color w:val="000000"/>
              </w:rPr>
            </w:pPr>
          </w:p>
          <w:p w:rsidRPr="0048283B" w:rsidR="00B72876" w:rsidP="00B72876" w:rsidRDefault="00B72876" w14:paraId="245729ED" w14:textId="77777777">
            <w:pPr>
              <w:rPr>
                <w:color w:val="000000"/>
              </w:rPr>
            </w:pPr>
          </w:p>
          <w:p w:rsidRPr="0048283B" w:rsidR="00B72876" w:rsidP="00B72876" w:rsidRDefault="00B72876" w14:paraId="1FEEDDC3" w14:textId="77777777">
            <w:pPr>
              <w:rPr>
                <w:color w:val="000000"/>
              </w:rPr>
            </w:pPr>
          </w:p>
          <w:p w:rsidRPr="0048283B" w:rsidR="00B72876" w:rsidP="00B72876" w:rsidRDefault="00B72876" w14:paraId="02F8E01E" w14:textId="77777777">
            <w:pPr>
              <w:rPr>
                <w:color w:val="000000"/>
              </w:rPr>
            </w:pPr>
          </w:p>
          <w:p w:rsidRPr="0048283B" w:rsidR="00B72876" w:rsidP="00B72876" w:rsidRDefault="00B72876" w14:paraId="2EFBD0A8" w14:textId="77777777">
            <w:pPr>
              <w:rPr>
                <w:color w:val="000000"/>
              </w:rPr>
            </w:pPr>
          </w:p>
          <w:p w:rsidRPr="0048283B" w:rsidR="00B72876" w:rsidP="00B72876" w:rsidRDefault="00B72876" w14:paraId="1703B363" w14:textId="77777777">
            <w:pPr>
              <w:rPr>
                <w:color w:val="000000"/>
              </w:rPr>
            </w:pPr>
          </w:p>
          <w:p w:rsidRPr="0048283B" w:rsidR="00B72876" w:rsidP="00B72876" w:rsidRDefault="00B72876" w14:paraId="676B8F3A" w14:textId="77777777">
            <w:pPr>
              <w:rPr>
                <w:color w:val="000000"/>
              </w:rPr>
            </w:pPr>
          </w:p>
          <w:p w:rsidRPr="0048283B" w:rsidR="00B72876" w:rsidP="00B72876" w:rsidRDefault="00B72876" w14:paraId="72797A52" w14:textId="77777777">
            <w:pPr>
              <w:rPr>
                <w:color w:val="000000"/>
              </w:rPr>
            </w:pPr>
          </w:p>
          <w:p w:rsidRPr="0048283B" w:rsidR="00B72876" w:rsidP="00B72876" w:rsidRDefault="00B72876" w14:paraId="49D95A89" w14:textId="77777777">
            <w:pPr>
              <w:rPr>
                <w:color w:val="000000"/>
              </w:rPr>
            </w:pPr>
          </w:p>
          <w:p w:rsidRPr="0048283B" w:rsidR="00B72876" w:rsidP="00B72876" w:rsidRDefault="00B72876" w14:paraId="04E0AC8B" w14:textId="77777777">
            <w:pPr>
              <w:rPr>
                <w:color w:val="000000"/>
              </w:rPr>
            </w:pPr>
          </w:p>
          <w:p w:rsidRPr="0048283B" w:rsidR="00B72876" w:rsidP="00B72876" w:rsidRDefault="00B72876" w14:paraId="79D581B8" w14:textId="77777777">
            <w:pPr>
              <w:rPr>
                <w:color w:val="000000"/>
              </w:rPr>
            </w:pPr>
          </w:p>
          <w:p w:rsidRPr="0048283B" w:rsidR="00B72876" w:rsidP="00B72876" w:rsidRDefault="00B72876" w14:paraId="03DF8C51" w14:textId="77777777">
            <w:pPr>
              <w:rPr>
                <w:color w:val="000000"/>
              </w:rPr>
            </w:pPr>
          </w:p>
          <w:p w:rsidRPr="0048283B" w:rsidR="00B72876" w:rsidP="00B72876" w:rsidRDefault="00B72876" w14:paraId="2E0AA05F" w14:textId="77777777">
            <w:pPr>
              <w:rPr>
                <w:color w:val="000000"/>
              </w:rPr>
            </w:pPr>
          </w:p>
          <w:p w:rsidRPr="0048283B" w:rsidR="00B72876" w:rsidP="00B72876" w:rsidRDefault="00B72876" w14:paraId="57E949A6" w14:textId="77777777">
            <w:pPr>
              <w:rPr>
                <w:color w:val="000000"/>
              </w:rPr>
            </w:pPr>
          </w:p>
          <w:p w:rsidRPr="0048283B" w:rsidR="00B72876" w:rsidP="00B72876" w:rsidRDefault="00B72876" w14:paraId="4DA82F9E" w14:textId="77777777">
            <w:pPr>
              <w:rPr>
                <w:color w:val="000000"/>
              </w:rPr>
            </w:pPr>
          </w:p>
          <w:p w:rsidRPr="0048283B" w:rsidR="00B72876" w:rsidP="00B72876" w:rsidRDefault="00B72876" w14:paraId="1672DB5D" w14:textId="77777777">
            <w:pPr>
              <w:rPr>
                <w:color w:val="000000"/>
              </w:rPr>
            </w:pPr>
          </w:p>
          <w:p w:rsidRPr="0048283B" w:rsidR="00B72876" w:rsidP="00B72876" w:rsidRDefault="00B72876" w14:paraId="3A06982D" w14:textId="77777777">
            <w:pPr>
              <w:rPr>
                <w:color w:val="000000"/>
              </w:rPr>
            </w:pPr>
          </w:p>
          <w:p w:rsidRPr="0048283B" w:rsidR="00B72876" w:rsidP="00B72876" w:rsidRDefault="00B72876" w14:paraId="2C3F149B" w14:textId="77777777">
            <w:pPr>
              <w:rPr>
                <w:color w:val="000000"/>
              </w:rPr>
            </w:pPr>
          </w:p>
          <w:p w:rsidRPr="0048283B" w:rsidR="00B72876" w:rsidP="00B72876" w:rsidRDefault="00B72876" w14:paraId="0C59A806" w14:textId="77777777">
            <w:pPr>
              <w:rPr>
                <w:color w:val="000000"/>
              </w:rPr>
            </w:pPr>
          </w:p>
          <w:p w:rsidRPr="0048283B" w:rsidR="00B72876" w:rsidP="00B72876" w:rsidRDefault="00B72876" w14:paraId="319240AD" w14:textId="77777777">
            <w:pPr>
              <w:rPr>
                <w:color w:val="000000"/>
              </w:rPr>
            </w:pPr>
          </w:p>
          <w:p w:rsidRPr="0048283B" w:rsidR="00B72876" w:rsidP="00B72876" w:rsidRDefault="00B72876" w14:paraId="5C0C1E42" w14:textId="77777777">
            <w:pPr>
              <w:rPr>
                <w:color w:val="000000"/>
              </w:rPr>
            </w:pPr>
          </w:p>
          <w:p w:rsidRPr="0048283B" w:rsidR="00B72876" w:rsidP="00B72876" w:rsidRDefault="00B72876" w14:paraId="6EB89CFB" w14:textId="77777777">
            <w:pPr>
              <w:rPr>
                <w:color w:val="000000"/>
              </w:rPr>
            </w:pPr>
          </w:p>
          <w:p w:rsidRPr="0048283B" w:rsidR="00B72876" w:rsidP="00B72876" w:rsidRDefault="00B72876" w14:paraId="1A677545" w14:textId="77777777">
            <w:pPr>
              <w:rPr>
                <w:color w:val="000000"/>
              </w:rPr>
            </w:pPr>
          </w:p>
          <w:p w:rsidRPr="0048283B" w:rsidR="00B72876" w:rsidP="00B72876" w:rsidRDefault="00B72876" w14:paraId="4572C6D9" w14:textId="77777777">
            <w:pPr>
              <w:rPr>
                <w:color w:val="000000"/>
              </w:rPr>
            </w:pPr>
          </w:p>
          <w:p w:rsidRPr="0048283B" w:rsidR="00B72876" w:rsidP="00B72876" w:rsidRDefault="00B72876" w14:paraId="36177AAE" w14:textId="77777777">
            <w:pPr>
              <w:rPr>
                <w:color w:val="000000"/>
              </w:rPr>
            </w:pPr>
          </w:p>
          <w:p w:rsidRPr="0048283B" w:rsidR="00B72876" w:rsidP="00B72876" w:rsidRDefault="00B72876" w14:paraId="11E1D2E8" w14:textId="77777777">
            <w:pPr>
              <w:rPr>
                <w:color w:val="000000"/>
              </w:rPr>
            </w:pPr>
          </w:p>
          <w:p w:rsidRPr="0048283B" w:rsidR="00B72876" w:rsidP="00B72876" w:rsidRDefault="00B72876" w14:paraId="7A91BCCE" w14:textId="77777777">
            <w:pPr>
              <w:rPr>
                <w:color w:val="000000"/>
              </w:rPr>
            </w:pPr>
          </w:p>
          <w:p w:rsidRPr="0048283B" w:rsidR="00B72876" w:rsidP="00B72876" w:rsidRDefault="00B72876" w14:paraId="142E9D85" w14:textId="77777777">
            <w:pPr>
              <w:rPr>
                <w:color w:val="000000"/>
              </w:rPr>
            </w:pPr>
          </w:p>
          <w:p w:rsidRPr="0048283B" w:rsidR="00B72876" w:rsidP="00B72876" w:rsidRDefault="00B72876" w14:paraId="34961219" w14:textId="77777777">
            <w:pPr>
              <w:rPr>
                <w:color w:val="000000"/>
              </w:rPr>
            </w:pPr>
          </w:p>
          <w:p w:rsidR="00FE4987" w:rsidP="0048283B" w:rsidRDefault="00FE4987" w14:paraId="381CF759" w14:textId="0E86B5EA">
            <w:pPr>
              <w:rPr>
                <w:rFonts w:eastAsia="Calibri"/>
                <w:u w:val="single"/>
              </w:rPr>
            </w:pPr>
          </w:p>
          <w:p w:rsidRPr="0048283B" w:rsidR="0048283B" w:rsidP="0048283B" w:rsidRDefault="0048283B" w14:paraId="0D5213AD" w14:textId="57D5975F">
            <w:pPr>
              <w:rPr>
                <w:rFonts w:eastAsia="Calibri"/>
                <w:u w:val="single"/>
              </w:rPr>
            </w:pPr>
            <w:r w:rsidRPr="0048283B">
              <w:rPr>
                <w:rFonts w:eastAsia="Calibri"/>
                <w:u w:val="single"/>
              </w:rPr>
              <w:t>Phase I</w:t>
            </w:r>
          </w:p>
          <w:p w:rsidRPr="0048283B" w:rsidR="0048283B" w:rsidP="0048283B" w:rsidRDefault="0048283B" w14:paraId="20C99DE1" w14:textId="77777777">
            <w:pPr>
              <w:numPr>
                <w:ilvl w:val="0"/>
                <w:numId w:val="31"/>
              </w:numPr>
              <w:rPr>
                <w:rFonts w:eastAsia="Calibri"/>
              </w:rPr>
            </w:pPr>
            <w:r w:rsidRPr="0048283B">
              <w:rPr>
                <w:rFonts w:eastAsia="Calibri"/>
              </w:rPr>
              <w:t xml:space="preserve">October 12, 2020, </w:t>
            </w:r>
            <w:r w:rsidRPr="0048283B">
              <w:rPr>
                <w:rFonts w:eastAsia="Calibri"/>
                <w:b/>
              </w:rPr>
              <w:t>OPENING COMMENTS TO ORDER INSTITUTING RULEMAKING</w:t>
            </w:r>
          </w:p>
          <w:p w:rsidRPr="0048283B" w:rsidR="0048283B" w:rsidP="0048283B" w:rsidRDefault="0048283B" w14:paraId="71BA85E5" w14:textId="77777777">
            <w:pPr>
              <w:numPr>
                <w:ilvl w:val="0"/>
                <w:numId w:val="31"/>
              </w:numPr>
              <w:rPr>
                <w:rFonts w:eastAsia="Calibri"/>
              </w:rPr>
            </w:pPr>
            <w:r w:rsidRPr="0048283B">
              <w:rPr>
                <w:rFonts w:eastAsia="Calibri"/>
              </w:rPr>
              <w:t xml:space="preserve">October 27, 2020, </w:t>
            </w:r>
            <w:r w:rsidRPr="0048283B">
              <w:rPr>
                <w:rFonts w:eastAsia="Calibri"/>
                <w:b/>
              </w:rPr>
              <w:t>REPLY COMMENTS TO ORDER INSTITUTING RULEMAKING</w:t>
            </w:r>
          </w:p>
          <w:p w:rsidRPr="0048283B" w:rsidR="0048283B" w:rsidP="0048283B" w:rsidRDefault="0048283B" w14:paraId="1BAF9522" w14:textId="77777777">
            <w:pPr>
              <w:numPr>
                <w:ilvl w:val="0"/>
                <w:numId w:val="31"/>
              </w:numPr>
              <w:rPr>
                <w:rFonts w:eastAsia="Calibri"/>
                <w:b/>
              </w:rPr>
            </w:pPr>
            <w:r w:rsidRPr="0048283B">
              <w:rPr>
                <w:rFonts w:eastAsia="Calibri"/>
              </w:rPr>
              <w:t xml:space="preserve">February 01, 2021, </w:t>
            </w:r>
            <w:r w:rsidRPr="0048283B">
              <w:rPr>
                <w:rFonts w:eastAsia="Calibri"/>
                <w:b/>
              </w:rPr>
              <w:t>OPENING BRIEF AND COMMENTS ON ADMINISTRATIVE LAW JUDGE’S RULING (PHASE I STAFF PROPOSAL)</w:t>
            </w:r>
          </w:p>
          <w:p w:rsidRPr="0048283B" w:rsidR="0048283B" w:rsidP="0048283B" w:rsidRDefault="0048283B" w14:paraId="39F90568" w14:textId="77777777">
            <w:pPr>
              <w:numPr>
                <w:ilvl w:val="0"/>
                <w:numId w:val="31"/>
              </w:numPr>
              <w:rPr>
                <w:rFonts w:eastAsia="Calibri"/>
                <w:b/>
              </w:rPr>
            </w:pPr>
            <w:r w:rsidRPr="0048283B">
              <w:rPr>
                <w:rFonts w:eastAsia="Calibri"/>
              </w:rPr>
              <w:t xml:space="preserve">February 16, 2021, </w:t>
            </w:r>
            <w:r w:rsidRPr="0048283B">
              <w:rPr>
                <w:rFonts w:eastAsia="Calibri"/>
                <w:b/>
              </w:rPr>
              <w:t>REPLY BRIEF AND COMMENTS ON ADMINISTRATIVE LAW JUDGE’S RULING (PHASE I STAFF PROPOSAL)</w:t>
            </w:r>
          </w:p>
          <w:p w:rsidRPr="0048283B" w:rsidR="0048283B" w:rsidP="0048283B" w:rsidRDefault="0048283B" w14:paraId="21512845" w14:textId="77777777">
            <w:pPr>
              <w:numPr>
                <w:ilvl w:val="0"/>
                <w:numId w:val="31"/>
              </w:numPr>
              <w:rPr>
                <w:rFonts w:eastAsia="Calibri"/>
                <w:b/>
              </w:rPr>
            </w:pPr>
            <w:r w:rsidRPr="0048283B">
              <w:rPr>
                <w:rFonts w:eastAsia="Calibri"/>
              </w:rPr>
              <w:t xml:space="preserve">May 05, 2021, </w:t>
            </w:r>
            <w:r w:rsidRPr="0048283B">
              <w:rPr>
                <w:rFonts w:eastAsia="Calibri"/>
                <w:b/>
              </w:rPr>
              <w:t>COMMENTS ON ASSIGNED COMMISSIONER’S AMENDED SCOPING MEMO AND RULING</w:t>
            </w:r>
          </w:p>
          <w:p w:rsidRPr="0048283B" w:rsidR="0048283B" w:rsidP="0048283B" w:rsidRDefault="0048283B" w14:paraId="4182AF77" w14:textId="77777777">
            <w:pPr>
              <w:numPr>
                <w:ilvl w:val="0"/>
                <w:numId w:val="31"/>
              </w:numPr>
              <w:rPr>
                <w:rFonts w:eastAsia="Calibri"/>
              </w:rPr>
            </w:pPr>
            <w:r w:rsidRPr="0048283B">
              <w:rPr>
                <w:rFonts w:eastAsia="Calibri"/>
              </w:rPr>
              <w:t xml:space="preserve">May 17, 2021, </w:t>
            </w:r>
            <w:r w:rsidRPr="0048283B">
              <w:rPr>
                <w:rFonts w:eastAsia="Calibri"/>
                <w:b/>
              </w:rPr>
              <w:t>PHASE I SUPPLEMENTAL REPLY COMMENTS</w:t>
            </w:r>
          </w:p>
          <w:p w:rsidRPr="0048283B" w:rsidR="0048283B" w:rsidP="0048283B" w:rsidRDefault="0048283B" w14:paraId="4D923E3F" w14:textId="77777777">
            <w:pPr>
              <w:numPr>
                <w:ilvl w:val="0"/>
                <w:numId w:val="31"/>
              </w:numPr>
              <w:rPr>
                <w:rFonts w:eastAsia="Calibri"/>
                <w:b/>
              </w:rPr>
            </w:pPr>
            <w:r w:rsidRPr="0048283B">
              <w:rPr>
                <w:rFonts w:eastAsia="Calibri"/>
              </w:rPr>
              <w:t xml:space="preserve">July 01, 2021, </w:t>
            </w:r>
            <w:r w:rsidRPr="0048283B">
              <w:rPr>
                <w:rFonts w:eastAsia="Calibri"/>
                <w:b/>
              </w:rPr>
              <w:t>COMMENTS REGARDING PHASE II-B</w:t>
            </w:r>
          </w:p>
          <w:p w:rsidRPr="0048283B" w:rsidR="0048283B" w:rsidP="0048283B" w:rsidRDefault="0048283B" w14:paraId="7E6AE4CE" w14:textId="77777777">
            <w:pPr>
              <w:numPr>
                <w:ilvl w:val="0"/>
                <w:numId w:val="31"/>
              </w:numPr>
              <w:rPr>
                <w:rFonts w:eastAsia="Calibri"/>
                <w:b/>
              </w:rPr>
            </w:pPr>
            <w:r w:rsidRPr="0048283B">
              <w:rPr>
                <w:rFonts w:eastAsia="Calibri"/>
              </w:rPr>
              <w:t xml:space="preserve">July 26, 2021, </w:t>
            </w:r>
            <w:r w:rsidRPr="0048283B">
              <w:rPr>
                <w:rFonts w:eastAsia="Calibri"/>
                <w:b/>
              </w:rPr>
              <w:t>PHASE II-B REPLY COMMENTS</w:t>
            </w:r>
          </w:p>
          <w:p w:rsidRPr="0048283B" w:rsidR="0048283B" w:rsidP="0048283B" w:rsidRDefault="0048283B" w14:paraId="65D89E95" w14:textId="77777777">
            <w:pPr>
              <w:numPr>
                <w:ilvl w:val="0"/>
                <w:numId w:val="31"/>
              </w:numPr>
              <w:rPr>
                <w:rFonts w:eastAsia="Calibri"/>
              </w:rPr>
            </w:pPr>
            <w:r w:rsidRPr="0048283B">
              <w:rPr>
                <w:rFonts w:eastAsia="Calibri"/>
              </w:rPr>
              <w:t xml:space="preserve">September 03, 2021, </w:t>
            </w:r>
            <w:r w:rsidRPr="0048283B">
              <w:rPr>
                <w:rFonts w:eastAsia="Calibri"/>
                <w:b/>
              </w:rPr>
              <w:t>COMMENTS ON THE ASSIGNED COMMISSIONER’S RULING</w:t>
            </w:r>
          </w:p>
          <w:p w:rsidRPr="0048283B" w:rsidR="0048283B" w:rsidP="0048283B" w:rsidRDefault="0048283B" w14:paraId="42489BC3" w14:textId="77777777">
            <w:pPr>
              <w:numPr>
                <w:ilvl w:val="0"/>
                <w:numId w:val="31"/>
              </w:numPr>
              <w:rPr>
                <w:rFonts w:eastAsia="Calibri"/>
                <w:b/>
              </w:rPr>
            </w:pPr>
            <w:r w:rsidRPr="0048283B">
              <w:rPr>
                <w:rFonts w:eastAsia="Calibri"/>
              </w:rPr>
              <w:lastRenderedPageBreak/>
              <w:t xml:space="preserve">September 21, 2021, </w:t>
            </w:r>
            <w:r w:rsidRPr="0048283B">
              <w:rPr>
                <w:rFonts w:eastAsia="Calibri"/>
                <w:b/>
              </w:rPr>
              <w:t>REPLY COMMENTS ON THE ASSIGNED COMMISSIONER’S RULING</w:t>
            </w:r>
          </w:p>
          <w:p w:rsidRPr="0048283B" w:rsidR="0048283B" w:rsidP="0048283B" w:rsidRDefault="0048283B" w14:paraId="768C5550" w14:textId="77777777">
            <w:pPr>
              <w:numPr>
                <w:ilvl w:val="0"/>
                <w:numId w:val="31"/>
              </w:numPr>
              <w:rPr>
                <w:rFonts w:eastAsia="Calibri"/>
              </w:rPr>
            </w:pPr>
            <w:r w:rsidRPr="0048283B">
              <w:rPr>
                <w:rFonts w:eastAsia="Calibri"/>
              </w:rPr>
              <w:t xml:space="preserve">October 01, 2021, </w:t>
            </w:r>
            <w:r w:rsidRPr="0048283B">
              <w:rPr>
                <w:rFonts w:eastAsia="Calibri"/>
                <w:b/>
              </w:rPr>
              <w:t>COMMENTS ON ADMINISTRATIVE LAW JUDGE’S RULING</w:t>
            </w:r>
          </w:p>
          <w:p w:rsidRPr="0048283B" w:rsidR="0048283B" w:rsidP="0048283B" w:rsidRDefault="0048283B" w14:paraId="00B1D73A" w14:textId="77777777">
            <w:pPr>
              <w:numPr>
                <w:ilvl w:val="0"/>
                <w:numId w:val="31"/>
              </w:numPr>
              <w:rPr>
                <w:rFonts w:eastAsia="Calibri"/>
              </w:rPr>
            </w:pPr>
            <w:r w:rsidRPr="0048283B">
              <w:rPr>
                <w:rFonts w:eastAsia="Calibri"/>
              </w:rPr>
              <w:t xml:space="preserve">October 06, 2021, </w:t>
            </w:r>
            <w:r w:rsidRPr="0048283B">
              <w:rPr>
                <w:rFonts w:eastAsia="Calibri"/>
                <w:b/>
              </w:rPr>
              <w:t>OPENING COMMENTS ON PROPOSED DECISION</w:t>
            </w:r>
          </w:p>
          <w:p w:rsidRPr="0048283B" w:rsidR="0048283B" w:rsidP="0048283B" w:rsidRDefault="0048283B" w14:paraId="419A749B" w14:textId="77777777">
            <w:pPr>
              <w:numPr>
                <w:ilvl w:val="0"/>
                <w:numId w:val="31"/>
              </w:numPr>
              <w:rPr>
                <w:rFonts w:eastAsia="Calibri"/>
              </w:rPr>
            </w:pPr>
            <w:r w:rsidRPr="0048283B">
              <w:rPr>
                <w:rFonts w:eastAsia="Calibri"/>
              </w:rPr>
              <w:t xml:space="preserve">October 14, 2021, </w:t>
            </w:r>
            <w:r w:rsidRPr="0048283B">
              <w:rPr>
                <w:rFonts w:eastAsia="Calibri"/>
                <w:b/>
              </w:rPr>
              <w:t>REPLY COMMENTS ON ADMINISTRATIVE LAW JUDGE’S RULING</w:t>
            </w:r>
          </w:p>
          <w:p w:rsidRPr="008161B1" w:rsidR="0048283B" w:rsidP="0048283B" w:rsidRDefault="0048283B" w14:paraId="5D78426A" w14:textId="1259E6FD">
            <w:pPr>
              <w:numPr>
                <w:ilvl w:val="0"/>
                <w:numId w:val="31"/>
              </w:numPr>
              <w:rPr>
                <w:rFonts w:eastAsia="Calibri"/>
              </w:rPr>
            </w:pPr>
            <w:r w:rsidRPr="0048283B">
              <w:rPr>
                <w:rFonts w:eastAsia="Calibri"/>
              </w:rPr>
              <w:t xml:space="preserve">November 15, 2021, </w:t>
            </w:r>
            <w:r w:rsidRPr="0048283B">
              <w:rPr>
                <w:rFonts w:eastAsia="Calibri"/>
                <w:b/>
              </w:rPr>
              <w:t>REPLY COMMENTS ON ASSIGNED COMMISSIONER’S RULING</w:t>
            </w:r>
          </w:p>
          <w:p w:rsidRPr="0048283B" w:rsidR="008161B1" w:rsidP="008161B1" w:rsidRDefault="008161B1" w14:paraId="1DFF4550" w14:textId="77777777">
            <w:pPr>
              <w:ind w:left="720"/>
              <w:rPr>
                <w:rFonts w:eastAsia="Calibri"/>
              </w:rPr>
            </w:pPr>
          </w:p>
          <w:p w:rsidRPr="0048283B" w:rsidR="0048283B" w:rsidP="0048283B" w:rsidRDefault="0048283B" w14:paraId="7E39FAF4" w14:textId="168665D8">
            <w:pPr>
              <w:rPr>
                <w:rFonts w:eastAsia="Calibri"/>
                <w:u w:val="single"/>
              </w:rPr>
            </w:pPr>
            <w:r w:rsidRPr="0048283B">
              <w:rPr>
                <w:rFonts w:eastAsia="Calibri"/>
                <w:u w:val="single"/>
              </w:rPr>
              <w:t>Phase II</w:t>
            </w:r>
          </w:p>
          <w:p w:rsidRPr="0048283B" w:rsidR="0048283B" w:rsidP="0048283B" w:rsidRDefault="0048283B" w14:paraId="115D4BC5" w14:textId="77777777">
            <w:pPr>
              <w:numPr>
                <w:ilvl w:val="0"/>
                <w:numId w:val="31"/>
              </w:numPr>
              <w:rPr>
                <w:rFonts w:eastAsia="Calibri"/>
              </w:rPr>
            </w:pPr>
            <w:r w:rsidRPr="0048283B">
              <w:rPr>
                <w:rFonts w:eastAsia="Calibri"/>
              </w:rPr>
              <w:t xml:space="preserve">November 30, 2021, </w:t>
            </w:r>
            <w:r w:rsidRPr="0048283B">
              <w:rPr>
                <w:rFonts w:eastAsia="Calibri"/>
                <w:b/>
              </w:rPr>
              <w:t>COMMENTS OF THE UTILITY CONSUMERS’ ACTION NETWORK (UCAN) ON THE NOVEMBER 10, 2021 ADMINISTRATIVE LAW JUDGE’S EMAIL RULING REQUESTING COMMENTS ON THE PROPOSAL FOR THE APPORTIONMENT OF THE FEDERAL FUNDING ACCOUNT GRANT PROGRAM</w:t>
            </w:r>
          </w:p>
          <w:p w:rsidRPr="0048283B" w:rsidR="0048283B" w:rsidP="0048283B" w:rsidRDefault="0048283B" w14:paraId="4330720C" w14:textId="77777777">
            <w:pPr>
              <w:numPr>
                <w:ilvl w:val="0"/>
                <w:numId w:val="31"/>
              </w:numPr>
              <w:rPr>
                <w:rFonts w:eastAsia="Calibri"/>
                <w:b/>
              </w:rPr>
            </w:pPr>
            <w:r w:rsidRPr="0048283B">
              <w:rPr>
                <w:rFonts w:eastAsia="Calibri"/>
              </w:rPr>
              <w:t xml:space="preserve">December 10, 2021, </w:t>
            </w:r>
            <w:r w:rsidRPr="0048283B">
              <w:rPr>
                <w:rFonts w:eastAsia="Calibri"/>
                <w:b/>
              </w:rPr>
              <w:t>REPLY COMMENTS ON THE APPORTIONMENT OF THE FEDERAL FUNDING ACCOUNT GRANT PROGRAM</w:t>
            </w:r>
          </w:p>
          <w:p w:rsidRPr="0048283B" w:rsidR="0048283B" w:rsidP="0048283B" w:rsidRDefault="0048283B" w14:paraId="532F95D2" w14:textId="34941A04">
            <w:pPr>
              <w:pStyle w:val="ListParagraph"/>
              <w:numPr>
                <w:ilvl w:val="0"/>
                <w:numId w:val="31"/>
              </w:numPr>
              <w:rPr>
                <w:rFonts w:ascii="Times New Roman" w:hAnsi="Times New Roman"/>
                <w:color w:val="000000"/>
                <w:sz w:val="24"/>
                <w:szCs w:val="24"/>
              </w:rPr>
            </w:pPr>
            <w:r w:rsidRPr="0048283B">
              <w:rPr>
                <w:rFonts w:ascii="Times New Roman" w:hAnsi="Times New Roman"/>
                <w:sz w:val="24"/>
                <w:szCs w:val="24"/>
              </w:rPr>
              <w:t xml:space="preserve">March 22, 2022, </w:t>
            </w:r>
            <w:r w:rsidRPr="0048283B">
              <w:rPr>
                <w:rFonts w:ascii="Times New Roman" w:hAnsi="Times New Roman"/>
                <w:b/>
                <w:sz w:val="24"/>
                <w:szCs w:val="24"/>
              </w:rPr>
              <w:t>OPENING COMMENTS ON PROPOSED DECISION</w:t>
            </w:r>
          </w:p>
        </w:tc>
        <w:tc>
          <w:tcPr>
            <w:tcW w:w="2003" w:type="dxa"/>
            <w:shd w:val="clear" w:color="auto" w:fill="auto"/>
          </w:tcPr>
          <w:p w:rsidRPr="00B72876" w:rsidR="00E44BF4" w:rsidP="00B72876" w:rsidRDefault="00225503" w14:paraId="63938BDA" w14:textId="2D8289EC">
            <w:pPr>
              <w:rPr>
                <w:color w:val="000000"/>
              </w:rPr>
            </w:pPr>
            <w:r>
              <w:rPr>
                <w:color w:val="000000"/>
              </w:rPr>
              <w:lastRenderedPageBreak/>
              <w:t xml:space="preserve">Except for a few instances, the Commission did not rely on UCAN’s presentations because of their unspecific nature or because they repeated other parties’ presentations or the Commission’s findings, without enriching them with </w:t>
            </w:r>
            <w:r w:rsidR="00BA7366">
              <w:rPr>
                <w:color w:val="000000"/>
              </w:rPr>
              <w:t>distinctive</w:t>
            </w:r>
            <w:r w:rsidR="00474DB7">
              <w:rPr>
                <w:color w:val="000000"/>
              </w:rPr>
              <w:t>,</w:t>
            </w:r>
            <w:r w:rsidR="00BA7366">
              <w:rPr>
                <w:color w:val="000000"/>
              </w:rPr>
              <w:t xml:space="preserve"> substantive</w:t>
            </w:r>
            <w:r>
              <w:rPr>
                <w:color w:val="000000"/>
              </w:rPr>
              <w:t xml:space="preserve"> analysis. </w:t>
            </w:r>
            <w:r w:rsidRPr="00050453" w:rsidR="00BA7366">
              <w:rPr>
                <w:i/>
                <w:iCs/>
                <w:color w:val="000000"/>
              </w:rPr>
              <w:t>See</w:t>
            </w:r>
            <w:r w:rsidR="00BA7366">
              <w:rPr>
                <w:color w:val="000000"/>
              </w:rPr>
              <w:t xml:space="preserve"> the Commission’s </w:t>
            </w:r>
            <w:r w:rsidR="0099790D">
              <w:rPr>
                <w:color w:val="000000"/>
              </w:rPr>
              <w:t>Discussion</w:t>
            </w:r>
            <w:r w:rsidR="00BA7366">
              <w:rPr>
                <w:color w:val="000000"/>
              </w:rPr>
              <w:t xml:space="preserve"> in Part III (D)</w:t>
            </w:r>
            <w:r w:rsidR="005D6F59">
              <w:rPr>
                <w:color w:val="000000"/>
              </w:rPr>
              <w:t xml:space="preserve"> [1]</w:t>
            </w:r>
          </w:p>
        </w:tc>
      </w:tr>
      <w:tr w:rsidRPr="00B72876" w:rsidR="00B72876" w:rsidTr="00794A54" w14:paraId="4AAA05AE" w14:textId="77777777">
        <w:tc>
          <w:tcPr>
            <w:tcW w:w="3505" w:type="dxa"/>
            <w:shd w:val="clear" w:color="auto" w:fill="FFFFFF" w:themeFill="background1"/>
          </w:tcPr>
          <w:p w:rsidRPr="00B72876" w:rsidR="00B72876" w:rsidP="00B72876" w:rsidRDefault="00B72876" w14:paraId="07A33152" w14:textId="77777777">
            <w:pPr>
              <w:pStyle w:val="ListParagraph"/>
              <w:numPr>
                <w:ilvl w:val="0"/>
                <w:numId w:val="17"/>
              </w:numPr>
              <w:ind w:left="330"/>
              <w:contextualSpacing/>
              <w:rPr>
                <w:rFonts w:ascii="Times New Roman" w:hAnsi="Times New Roman"/>
                <w:b/>
                <w:sz w:val="24"/>
                <w:szCs w:val="24"/>
              </w:rPr>
            </w:pPr>
            <w:r w:rsidRPr="00B72876">
              <w:rPr>
                <w:rFonts w:ascii="Times New Roman" w:hAnsi="Times New Roman"/>
                <w:b/>
                <w:sz w:val="24"/>
                <w:szCs w:val="24"/>
              </w:rPr>
              <w:lastRenderedPageBreak/>
              <w:t xml:space="preserve">UCAN CONTRIBUTED TO D.21-10-020, RESOLVING </w:t>
            </w:r>
            <w:r w:rsidRPr="00B72876">
              <w:rPr>
                <w:rFonts w:ascii="Times New Roman" w:hAnsi="Times New Roman"/>
                <w:b/>
                <w:sz w:val="24"/>
                <w:szCs w:val="24"/>
              </w:rPr>
              <w:lastRenderedPageBreak/>
              <w:t>PHASE I OF BROADBAND FOR ALL PROCEEDING.</w:t>
            </w:r>
          </w:p>
          <w:p w:rsidRPr="00B72876" w:rsidR="00B72876" w:rsidP="00B72876" w:rsidRDefault="00B72876" w14:paraId="1AA7C1D7" w14:textId="77777777">
            <w:pPr>
              <w:pStyle w:val="ListParagraph"/>
              <w:ind w:left="330"/>
              <w:contextualSpacing/>
              <w:rPr>
                <w:rFonts w:ascii="Times New Roman" w:hAnsi="Times New Roman"/>
                <w:b/>
                <w:sz w:val="24"/>
                <w:szCs w:val="24"/>
              </w:rPr>
            </w:pPr>
          </w:p>
          <w:p w:rsidRPr="00B72876" w:rsidR="00B72876" w:rsidP="00B72876" w:rsidRDefault="00B72876" w14:paraId="30C402ED" w14:textId="77777777">
            <w:pPr>
              <w:rPr>
                <w:rFonts w:eastAsia="Calibri"/>
                <w:b/>
              </w:rPr>
            </w:pPr>
            <w:r w:rsidRPr="00B72876">
              <w:rPr>
                <w:rFonts w:eastAsia="Calibri"/>
              </w:rPr>
              <w:t xml:space="preserve">D.21-10-020 resolved Phase I of this proceeding, adopting new post-disaster community engagement and reporting requirements for Investor-Owned Utilities and facilities-based telecommunications service providers in California. We also adopt eligibility requirements for the Digital Divide Account created in California Public Utilities Code Section 280.5. This proceeding remains open.  </w:t>
            </w:r>
            <w:r w:rsidRPr="00B72876">
              <w:rPr>
                <w:rFonts w:eastAsia="Calibri"/>
                <w:b/>
              </w:rPr>
              <w:t xml:space="preserve">D.21-10-020, </w:t>
            </w:r>
            <w:proofErr w:type="gramStart"/>
            <w:r w:rsidRPr="00B72876">
              <w:rPr>
                <w:rFonts w:eastAsia="Calibri"/>
                <w:b/>
              </w:rPr>
              <w:t>at p.</w:t>
            </w:r>
            <w:proofErr w:type="gramEnd"/>
            <w:r w:rsidRPr="00B72876">
              <w:rPr>
                <w:rFonts w:eastAsia="Calibri"/>
                <w:b/>
              </w:rPr>
              <w:t xml:space="preserve"> 2.</w:t>
            </w:r>
          </w:p>
          <w:p w:rsidRPr="00B72876" w:rsidR="00B72876" w:rsidP="00B72876" w:rsidRDefault="00B72876" w14:paraId="6AB10790" w14:textId="77777777">
            <w:pPr>
              <w:rPr>
                <w:rFonts w:eastAsia="Calibri"/>
                <w:b/>
              </w:rPr>
            </w:pPr>
          </w:p>
          <w:p w:rsidRPr="00B72876" w:rsidR="00B72876" w:rsidP="00B72876" w:rsidRDefault="00B72876" w14:paraId="247C101E" w14:textId="77777777">
            <w:pPr>
              <w:numPr>
                <w:ilvl w:val="0"/>
                <w:numId w:val="16"/>
              </w:numPr>
              <w:contextualSpacing/>
              <w:rPr>
                <w:rFonts w:eastAsia="Calibri"/>
                <w:u w:val="single"/>
              </w:rPr>
            </w:pPr>
            <w:r w:rsidRPr="00B72876">
              <w:rPr>
                <w:rFonts w:eastAsia="Calibri"/>
                <w:u w:val="single"/>
              </w:rPr>
              <w:t>UCAN advocated, supported and recommended that the Commission recognize and adopt requirements for the Digital Divide Account to accommodate and allocate Account funds to urban schools too.</w:t>
            </w:r>
          </w:p>
          <w:p w:rsidRPr="00B72876" w:rsidR="00B72876" w:rsidP="00B72876" w:rsidRDefault="00B72876" w14:paraId="4683272A" w14:textId="77777777">
            <w:pPr>
              <w:rPr>
                <w:rFonts w:eastAsia="Calibri"/>
              </w:rPr>
            </w:pPr>
          </w:p>
          <w:p w:rsidRPr="00B72876" w:rsidR="00B72876" w:rsidP="00B72876" w:rsidRDefault="00B72876" w14:paraId="30824F0D" w14:textId="77777777">
            <w:pPr>
              <w:rPr>
                <w:rFonts w:eastAsia="Calibri"/>
              </w:rPr>
            </w:pPr>
          </w:p>
          <w:p w:rsidRPr="00B72876" w:rsidR="00B72876" w:rsidP="00B72876" w:rsidRDefault="00B72876" w14:paraId="121F6291" w14:textId="77777777">
            <w:pPr>
              <w:rPr>
                <w:rFonts w:eastAsia="Calibri"/>
              </w:rPr>
            </w:pPr>
          </w:p>
          <w:p w:rsidRPr="00B72876" w:rsidR="00B72876" w:rsidP="00B72876" w:rsidRDefault="00B72876" w14:paraId="59151B08" w14:textId="77777777">
            <w:pPr>
              <w:rPr>
                <w:rFonts w:eastAsia="Calibri"/>
              </w:rPr>
            </w:pPr>
          </w:p>
          <w:p w:rsidRPr="00B72876" w:rsidR="00B72876" w:rsidP="00B72876" w:rsidRDefault="00B72876" w14:paraId="19BAF141" w14:textId="77777777">
            <w:pPr>
              <w:spacing w:after="160" w:line="259" w:lineRule="auto"/>
              <w:rPr>
                <w:rFonts w:eastAsia="Calibri"/>
              </w:rPr>
            </w:pPr>
          </w:p>
          <w:p w:rsidRPr="00B72876" w:rsidR="00B72876" w:rsidP="00B72876" w:rsidRDefault="00B72876" w14:paraId="33C5FAF1" w14:textId="77777777">
            <w:pPr>
              <w:spacing w:after="160" w:line="259" w:lineRule="auto"/>
              <w:rPr>
                <w:rFonts w:eastAsia="Calibri"/>
              </w:rPr>
            </w:pPr>
          </w:p>
          <w:p w:rsidRPr="00B72876" w:rsidR="00B72876" w:rsidP="00B72876" w:rsidRDefault="00B72876" w14:paraId="4D38CF75" w14:textId="77777777">
            <w:pPr>
              <w:spacing w:after="160" w:line="259" w:lineRule="auto"/>
              <w:rPr>
                <w:rFonts w:eastAsia="Calibri"/>
              </w:rPr>
            </w:pPr>
          </w:p>
          <w:p w:rsidRPr="00B72876" w:rsidR="00B72876" w:rsidP="00B72876" w:rsidRDefault="00B72876" w14:paraId="177BA887" w14:textId="77777777">
            <w:pPr>
              <w:spacing w:after="160" w:line="259" w:lineRule="auto"/>
              <w:rPr>
                <w:rFonts w:eastAsia="Calibri"/>
              </w:rPr>
            </w:pPr>
          </w:p>
          <w:p w:rsidRPr="00B72876" w:rsidR="00B72876" w:rsidP="00B72876" w:rsidRDefault="00B72876" w14:paraId="7DFD0188" w14:textId="77777777">
            <w:pPr>
              <w:spacing w:after="160" w:line="259" w:lineRule="auto"/>
              <w:rPr>
                <w:rFonts w:eastAsia="Calibri"/>
              </w:rPr>
            </w:pPr>
          </w:p>
          <w:p w:rsidRPr="00B72876" w:rsidR="00B72876" w:rsidP="00B72876" w:rsidRDefault="00B72876" w14:paraId="6E30AAFA" w14:textId="77777777">
            <w:pPr>
              <w:spacing w:after="160" w:line="259" w:lineRule="auto"/>
              <w:rPr>
                <w:rFonts w:eastAsia="Calibri"/>
              </w:rPr>
            </w:pPr>
          </w:p>
          <w:p w:rsidRPr="00B72876" w:rsidR="00B72876" w:rsidP="00B72876" w:rsidRDefault="00B72876" w14:paraId="5C1C1A4D" w14:textId="77777777">
            <w:pPr>
              <w:spacing w:after="160" w:line="259" w:lineRule="auto"/>
              <w:rPr>
                <w:rFonts w:eastAsia="Calibri"/>
              </w:rPr>
            </w:pPr>
          </w:p>
          <w:p w:rsidRPr="00B72876" w:rsidR="00B72876" w:rsidP="00B72876" w:rsidRDefault="00B72876" w14:paraId="3D29E1F3" w14:textId="77777777">
            <w:pPr>
              <w:spacing w:after="160" w:line="259" w:lineRule="auto"/>
              <w:rPr>
                <w:rFonts w:eastAsia="Calibri"/>
              </w:rPr>
            </w:pPr>
          </w:p>
          <w:p w:rsidRPr="00B72876" w:rsidR="00B72876" w:rsidP="00B72876" w:rsidRDefault="00B72876" w14:paraId="0ACE094A" w14:textId="77777777">
            <w:pPr>
              <w:spacing w:after="160" w:line="259" w:lineRule="auto"/>
              <w:rPr>
                <w:rFonts w:eastAsia="Calibri"/>
              </w:rPr>
            </w:pPr>
          </w:p>
          <w:p w:rsidRPr="00B72876" w:rsidR="00B72876" w:rsidP="00B72876" w:rsidRDefault="00B72876" w14:paraId="1D46FF7A" w14:textId="77777777">
            <w:pPr>
              <w:spacing w:after="160" w:line="259" w:lineRule="auto"/>
              <w:rPr>
                <w:rFonts w:eastAsia="Calibri"/>
              </w:rPr>
            </w:pPr>
          </w:p>
          <w:p w:rsidRPr="00B72876" w:rsidR="00B72876" w:rsidP="00B72876" w:rsidRDefault="00B72876" w14:paraId="47C3A983" w14:textId="77777777">
            <w:pPr>
              <w:spacing w:after="160" w:line="259" w:lineRule="auto"/>
              <w:rPr>
                <w:rFonts w:eastAsia="Calibri"/>
              </w:rPr>
            </w:pPr>
          </w:p>
          <w:p w:rsidRPr="00B72876" w:rsidR="00B72876" w:rsidP="00B72876" w:rsidRDefault="00B72876" w14:paraId="384AD74A" w14:textId="77777777">
            <w:pPr>
              <w:spacing w:after="160" w:line="259" w:lineRule="auto"/>
              <w:rPr>
                <w:rFonts w:eastAsia="Calibri"/>
              </w:rPr>
            </w:pPr>
          </w:p>
          <w:p w:rsidRPr="00B72876" w:rsidR="00B72876" w:rsidP="00B72876" w:rsidRDefault="00B72876" w14:paraId="2A31FD6A" w14:textId="77777777">
            <w:pPr>
              <w:spacing w:after="160" w:line="259" w:lineRule="auto"/>
              <w:rPr>
                <w:rFonts w:eastAsia="Calibri"/>
              </w:rPr>
            </w:pPr>
          </w:p>
          <w:p w:rsidRPr="00B72876" w:rsidR="00B72876" w:rsidP="00B72876" w:rsidRDefault="00B72876" w14:paraId="5AD38294" w14:textId="77777777">
            <w:pPr>
              <w:spacing w:after="160" w:line="259" w:lineRule="auto"/>
              <w:rPr>
                <w:rFonts w:eastAsia="Calibri"/>
              </w:rPr>
            </w:pPr>
          </w:p>
          <w:p w:rsidRPr="00B72876" w:rsidR="00B72876" w:rsidP="00B72876" w:rsidRDefault="00B72876" w14:paraId="7F455502" w14:textId="77777777">
            <w:pPr>
              <w:spacing w:after="160" w:line="259" w:lineRule="auto"/>
              <w:rPr>
                <w:rFonts w:eastAsia="Calibri"/>
              </w:rPr>
            </w:pPr>
          </w:p>
          <w:p w:rsidRPr="00B72876" w:rsidR="00B72876" w:rsidP="00B72876" w:rsidRDefault="00B72876" w14:paraId="21DB277D" w14:textId="77777777">
            <w:pPr>
              <w:spacing w:after="160" w:line="259" w:lineRule="auto"/>
              <w:rPr>
                <w:rFonts w:eastAsia="Calibri"/>
              </w:rPr>
            </w:pPr>
          </w:p>
          <w:p w:rsidRPr="00B72876" w:rsidR="00B72876" w:rsidP="00B72876" w:rsidRDefault="00B72876" w14:paraId="6F86A054" w14:textId="77777777">
            <w:pPr>
              <w:spacing w:after="160" w:line="259" w:lineRule="auto"/>
              <w:rPr>
                <w:rFonts w:eastAsia="Calibri"/>
              </w:rPr>
            </w:pPr>
          </w:p>
          <w:p w:rsidRPr="00B72876" w:rsidR="00B72876" w:rsidP="00B72876" w:rsidRDefault="00B72876" w14:paraId="1AC1A004" w14:textId="77777777">
            <w:pPr>
              <w:spacing w:after="160" w:line="259" w:lineRule="auto"/>
              <w:rPr>
                <w:rFonts w:eastAsia="Calibri"/>
              </w:rPr>
            </w:pPr>
          </w:p>
          <w:p w:rsidRPr="00B72876" w:rsidR="00B72876" w:rsidP="00B72876" w:rsidRDefault="00B72876" w14:paraId="112489B4" w14:textId="77777777">
            <w:pPr>
              <w:spacing w:after="160" w:line="259" w:lineRule="auto"/>
              <w:rPr>
                <w:rFonts w:eastAsia="Calibri"/>
              </w:rPr>
            </w:pPr>
          </w:p>
          <w:p w:rsidRPr="00B72876" w:rsidR="00B72876" w:rsidP="00B72876" w:rsidRDefault="00B72876" w14:paraId="41C38679" w14:textId="77777777">
            <w:pPr>
              <w:spacing w:after="160" w:line="259" w:lineRule="auto"/>
              <w:rPr>
                <w:rFonts w:eastAsia="Calibri"/>
              </w:rPr>
            </w:pPr>
          </w:p>
          <w:p w:rsidRPr="00B72876" w:rsidR="00B72876" w:rsidP="00B72876" w:rsidRDefault="00B72876" w14:paraId="050A9FC2" w14:textId="77777777">
            <w:pPr>
              <w:spacing w:after="160" w:line="259" w:lineRule="auto"/>
              <w:rPr>
                <w:rFonts w:eastAsia="Calibri"/>
              </w:rPr>
            </w:pPr>
          </w:p>
          <w:p w:rsidRPr="00B72876" w:rsidR="00B72876" w:rsidP="00B72876" w:rsidRDefault="00B72876" w14:paraId="039F9A1D" w14:textId="77777777">
            <w:pPr>
              <w:spacing w:after="160" w:line="259" w:lineRule="auto"/>
              <w:rPr>
                <w:rFonts w:eastAsia="Calibri"/>
              </w:rPr>
            </w:pPr>
          </w:p>
          <w:p w:rsidRPr="00B72876" w:rsidR="00B72876" w:rsidP="00B72876" w:rsidRDefault="00B72876" w14:paraId="1CE80CB3" w14:textId="77777777">
            <w:pPr>
              <w:spacing w:after="160" w:line="259" w:lineRule="auto"/>
              <w:rPr>
                <w:rFonts w:eastAsia="Calibri"/>
              </w:rPr>
            </w:pPr>
          </w:p>
          <w:p w:rsidRPr="00B72876" w:rsidR="00B72876" w:rsidP="00B72876" w:rsidRDefault="00B72876" w14:paraId="0D3BF16B" w14:textId="77777777">
            <w:pPr>
              <w:spacing w:after="160" w:line="259" w:lineRule="auto"/>
              <w:rPr>
                <w:rFonts w:eastAsia="Calibri"/>
              </w:rPr>
            </w:pPr>
          </w:p>
          <w:p w:rsidRPr="00B72876" w:rsidR="00B72876" w:rsidP="00B72876" w:rsidRDefault="00B72876" w14:paraId="4FA946CC" w14:textId="77777777">
            <w:pPr>
              <w:spacing w:after="160" w:line="259" w:lineRule="auto"/>
              <w:rPr>
                <w:rFonts w:eastAsia="Calibri"/>
              </w:rPr>
            </w:pPr>
          </w:p>
          <w:p w:rsidRPr="00B72876" w:rsidR="00B72876" w:rsidP="00B72876" w:rsidRDefault="00B72876" w14:paraId="2C0DF167" w14:textId="77777777">
            <w:pPr>
              <w:spacing w:after="160" w:line="259" w:lineRule="auto"/>
              <w:rPr>
                <w:rFonts w:eastAsia="Calibri"/>
              </w:rPr>
            </w:pPr>
          </w:p>
          <w:p w:rsidRPr="00B72876" w:rsidR="00B72876" w:rsidP="00B72876" w:rsidRDefault="00B72876" w14:paraId="2DF2C879" w14:textId="77777777">
            <w:pPr>
              <w:spacing w:after="160" w:line="259" w:lineRule="auto"/>
              <w:rPr>
                <w:rFonts w:eastAsia="Calibri"/>
              </w:rPr>
            </w:pPr>
          </w:p>
          <w:p w:rsidRPr="00B72876" w:rsidR="00B72876" w:rsidP="00B72876" w:rsidRDefault="00B72876" w14:paraId="56018B71" w14:textId="77777777">
            <w:pPr>
              <w:spacing w:after="160" w:line="259" w:lineRule="auto"/>
              <w:rPr>
                <w:rFonts w:eastAsia="Calibri"/>
              </w:rPr>
            </w:pPr>
          </w:p>
          <w:p w:rsidR="0048283B" w:rsidP="00B72876" w:rsidRDefault="0048283B" w14:paraId="5078A93E" w14:textId="77777777">
            <w:pPr>
              <w:spacing w:after="160" w:line="259" w:lineRule="auto"/>
              <w:rPr>
                <w:rFonts w:eastAsia="Calibri"/>
              </w:rPr>
            </w:pPr>
          </w:p>
          <w:p w:rsidR="0048283B" w:rsidP="00B72876" w:rsidRDefault="0048283B" w14:paraId="3A262E6D" w14:textId="6EB68960">
            <w:pPr>
              <w:spacing w:after="160" w:line="259" w:lineRule="auto"/>
              <w:rPr>
                <w:rFonts w:eastAsia="Calibri"/>
              </w:rPr>
            </w:pPr>
          </w:p>
          <w:p w:rsidR="00FE4987" w:rsidP="00B72876" w:rsidRDefault="00FE4987" w14:paraId="6BC121A2" w14:textId="1A9C1642">
            <w:pPr>
              <w:spacing w:after="160" w:line="259" w:lineRule="auto"/>
              <w:rPr>
                <w:rFonts w:eastAsia="Calibri"/>
              </w:rPr>
            </w:pPr>
          </w:p>
          <w:p w:rsidR="008161B1" w:rsidP="00B72876" w:rsidRDefault="008161B1" w14:paraId="710EA6C2" w14:textId="77777777">
            <w:pPr>
              <w:spacing w:after="160" w:line="259" w:lineRule="auto"/>
              <w:rPr>
                <w:rFonts w:eastAsia="Calibri"/>
              </w:rPr>
            </w:pPr>
          </w:p>
          <w:p w:rsidRPr="00B72876" w:rsidR="00B72876" w:rsidP="00B72876" w:rsidRDefault="00B72876" w14:paraId="144F64D1" w14:textId="65CFE476">
            <w:pPr>
              <w:spacing w:after="160" w:line="259" w:lineRule="auto"/>
              <w:rPr>
                <w:rFonts w:eastAsia="Calibri"/>
              </w:rPr>
            </w:pPr>
            <w:r w:rsidRPr="00B72876">
              <w:rPr>
                <w:rFonts w:eastAsia="Calibri"/>
              </w:rPr>
              <w:t>The Phase I Decision incorporated and adopted UCAN’s advocacy.</w:t>
            </w:r>
          </w:p>
          <w:p w:rsidRPr="00B72876" w:rsidR="00B72876" w:rsidP="00B72876" w:rsidRDefault="00B72876" w14:paraId="44DB5595" w14:textId="77777777">
            <w:pPr>
              <w:numPr>
                <w:ilvl w:val="0"/>
                <w:numId w:val="15"/>
              </w:numPr>
              <w:spacing w:after="160" w:line="259" w:lineRule="auto"/>
              <w:contextualSpacing/>
              <w:rPr>
                <w:rFonts w:eastAsia="Calibri"/>
                <w:i/>
              </w:rPr>
            </w:pPr>
            <w:r w:rsidRPr="00B72876">
              <w:rPr>
                <w:rFonts w:eastAsia="Calibri"/>
                <w:i/>
              </w:rPr>
              <w:t xml:space="preserve">AARP, Joint ILECs, NDC, UCAN, CETF, CENIC, </w:t>
            </w:r>
            <w:r w:rsidRPr="00B72876">
              <w:rPr>
                <w:rFonts w:eastAsia="Calibri"/>
                <w:i/>
              </w:rPr>
              <w:lastRenderedPageBreak/>
              <w:t xml:space="preserve">CWA, and </w:t>
            </w:r>
            <w:proofErr w:type="spellStart"/>
            <w:r w:rsidRPr="00B72876">
              <w:rPr>
                <w:rFonts w:eastAsia="Calibri"/>
                <w:i/>
              </w:rPr>
              <w:t>CforAT</w:t>
            </w:r>
            <w:proofErr w:type="spellEnd"/>
            <w:r w:rsidRPr="00B72876">
              <w:rPr>
                <w:rFonts w:eastAsia="Calibri"/>
                <w:i/>
              </w:rPr>
              <w:t xml:space="preserve"> all argue that urban schools also should benefit from the Digital Divide Account grant program, because students in urban areas are affected in pockets by the same broadband access problems as students in rural areas. Further, these parties argue that excluding urban schools would not comply with the requirement in statute to disburse the funds widely. </w:t>
            </w:r>
            <w:r w:rsidRPr="00B72876">
              <w:rPr>
                <w:rFonts w:eastAsia="Calibri"/>
                <w:b/>
                <w:i/>
              </w:rPr>
              <w:t>D.21-10-020, at p. 21.</w:t>
            </w:r>
          </w:p>
          <w:p w:rsidRPr="008161B1" w:rsidR="00B72876" w:rsidP="00B72876" w:rsidRDefault="00B72876" w14:paraId="2D6EFCB0" w14:textId="77D2E105">
            <w:pPr>
              <w:numPr>
                <w:ilvl w:val="0"/>
                <w:numId w:val="15"/>
              </w:numPr>
              <w:spacing w:after="160" w:line="259" w:lineRule="auto"/>
              <w:rPr>
                <w:rFonts w:eastAsia="Calibri"/>
                <w:i/>
              </w:rPr>
            </w:pPr>
            <w:r w:rsidRPr="00B72876">
              <w:rPr>
                <w:rFonts w:eastAsia="Calibri"/>
                <w:i/>
              </w:rPr>
              <w:t xml:space="preserve">We adopt the proposed requirements for the Digital Divide Account with some modifications. The enabling statute directs Digital Divide Account funds </w:t>
            </w:r>
            <w:proofErr w:type="gramStart"/>
            <w:r w:rsidRPr="00B72876">
              <w:rPr>
                <w:rFonts w:eastAsia="Calibri"/>
                <w:i/>
              </w:rPr>
              <w:t>be</w:t>
            </w:r>
            <w:proofErr w:type="gramEnd"/>
            <w:r w:rsidRPr="00B72876">
              <w:rPr>
                <w:rFonts w:eastAsia="Calibri"/>
                <w:i/>
              </w:rPr>
              <w:t xml:space="preserve"> available for both rural and urban areas, thus we modify the proposal to include urban schools.  </w:t>
            </w:r>
            <w:r w:rsidRPr="00B72876">
              <w:rPr>
                <w:rFonts w:eastAsia="Calibri"/>
                <w:b/>
                <w:i/>
              </w:rPr>
              <w:t xml:space="preserve">D.21-10-020, </w:t>
            </w:r>
            <w:proofErr w:type="gramStart"/>
            <w:r w:rsidRPr="00B72876">
              <w:rPr>
                <w:rFonts w:eastAsia="Calibri"/>
                <w:b/>
                <w:i/>
              </w:rPr>
              <w:t>at p.</w:t>
            </w:r>
            <w:proofErr w:type="gramEnd"/>
            <w:r w:rsidRPr="00B72876">
              <w:rPr>
                <w:rFonts w:eastAsia="Calibri"/>
                <w:b/>
                <w:i/>
              </w:rPr>
              <w:t xml:space="preserve"> 22.</w:t>
            </w:r>
          </w:p>
          <w:p w:rsidRPr="00B72876" w:rsidR="008161B1" w:rsidP="008161B1" w:rsidRDefault="008161B1" w14:paraId="700F8123" w14:textId="77777777">
            <w:pPr>
              <w:spacing w:after="160" w:line="259" w:lineRule="auto"/>
              <w:ind w:left="720"/>
              <w:rPr>
                <w:rFonts w:eastAsia="Calibri"/>
                <w:i/>
              </w:rPr>
            </w:pPr>
          </w:p>
          <w:p w:rsidRPr="00B72876" w:rsidR="00B72876" w:rsidP="00B72876" w:rsidRDefault="00B72876" w14:paraId="15E0B153" w14:textId="77777777">
            <w:pPr>
              <w:pStyle w:val="ListParagraph"/>
              <w:numPr>
                <w:ilvl w:val="0"/>
                <w:numId w:val="16"/>
              </w:numPr>
              <w:spacing w:after="160" w:line="259" w:lineRule="auto"/>
              <w:contextualSpacing/>
              <w:rPr>
                <w:rFonts w:ascii="Times New Roman" w:hAnsi="Times New Roman"/>
                <w:sz w:val="24"/>
                <w:szCs w:val="24"/>
                <w:u w:val="single"/>
              </w:rPr>
            </w:pPr>
            <w:r w:rsidRPr="00B72876">
              <w:rPr>
                <w:rFonts w:ascii="Times New Roman" w:hAnsi="Times New Roman"/>
                <w:sz w:val="24"/>
                <w:szCs w:val="24"/>
                <w:u w:val="single"/>
              </w:rPr>
              <w:t>UCAN contended that the CPUC should assert broad jurisdiction over pertinent broadband issues in this proceeding and require addition reporting requirements.</w:t>
            </w:r>
          </w:p>
          <w:p w:rsidRPr="00B72876" w:rsidR="00B72876" w:rsidP="00B72876" w:rsidRDefault="00B72876" w14:paraId="67FF7845" w14:textId="77777777">
            <w:pPr>
              <w:spacing w:after="160" w:line="259" w:lineRule="auto"/>
              <w:ind w:left="720"/>
              <w:contextualSpacing/>
              <w:rPr>
                <w:rFonts w:eastAsia="Calibri"/>
                <w:u w:val="single"/>
              </w:rPr>
            </w:pPr>
          </w:p>
          <w:p w:rsidRPr="00B72876" w:rsidR="00B72876" w:rsidP="00B72876" w:rsidRDefault="00B72876" w14:paraId="4EB5D4F8" w14:textId="77777777">
            <w:pPr>
              <w:spacing w:after="160" w:line="259" w:lineRule="auto"/>
              <w:ind w:left="720"/>
              <w:contextualSpacing/>
              <w:rPr>
                <w:rFonts w:eastAsia="Calibri"/>
                <w:u w:val="single"/>
              </w:rPr>
            </w:pPr>
          </w:p>
          <w:p w:rsidRPr="00B72876" w:rsidR="00B72876" w:rsidP="00B72876" w:rsidRDefault="00B72876" w14:paraId="30B80922" w14:textId="77777777">
            <w:pPr>
              <w:spacing w:after="160" w:line="259" w:lineRule="auto"/>
              <w:ind w:left="720"/>
              <w:contextualSpacing/>
              <w:rPr>
                <w:rFonts w:eastAsia="Calibri"/>
                <w:u w:val="single"/>
              </w:rPr>
            </w:pPr>
          </w:p>
          <w:p w:rsidRPr="00B72876" w:rsidR="00B72876" w:rsidP="00B72876" w:rsidRDefault="00B72876" w14:paraId="1F432B6E" w14:textId="77777777">
            <w:pPr>
              <w:spacing w:after="160" w:line="259" w:lineRule="auto"/>
              <w:ind w:left="720"/>
              <w:contextualSpacing/>
              <w:rPr>
                <w:rFonts w:eastAsia="Calibri"/>
                <w:u w:val="single"/>
              </w:rPr>
            </w:pPr>
          </w:p>
          <w:p w:rsidRPr="00B72876" w:rsidR="00B72876" w:rsidP="00B72876" w:rsidRDefault="00B72876" w14:paraId="6EE5D8C6" w14:textId="77777777">
            <w:pPr>
              <w:spacing w:after="160" w:line="259" w:lineRule="auto"/>
              <w:ind w:left="720"/>
              <w:contextualSpacing/>
              <w:rPr>
                <w:rFonts w:eastAsia="Calibri"/>
                <w:u w:val="single"/>
              </w:rPr>
            </w:pPr>
          </w:p>
          <w:p w:rsidRPr="00B72876" w:rsidR="00B72876" w:rsidP="00B72876" w:rsidRDefault="00B72876" w14:paraId="02BA1E84" w14:textId="77777777">
            <w:pPr>
              <w:spacing w:after="160" w:line="259" w:lineRule="auto"/>
              <w:rPr>
                <w:rFonts w:eastAsia="Calibri"/>
                <w:i/>
              </w:rPr>
            </w:pPr>
          </w:p>
          <w:p w:rsidRPr="00B72876" w:rsidR="00B72876" w:rsidP="00B72876" w:rsidRDefault="00B72876" w14:paraId="393167B9" w14:textId="77777777">
            <w:pPr>
              <w:contextualSpacing/>
              <w:rPr>
                <w:rFonts w:eastAsia="Calibri"/>
              </w:rPr>
            </w:pPr>
          </w:p>
          <w:p w:rsidRPr="00B72876" w:rsidR="00B72876" w:rsidP="00B72876" w:rsidRDefault="00B72876" w14:paraId="3764FFC6" w14:textId="77777777">
            <w:pPr>
              <w:contextualSpacing/>
              <w:rPr>
                <w:rFonts w:eastAsia="Calibri"/>
              </w:rPr>
            </w:pPr>
          </w:p>
          <w:p w:rsidRPr="00B72876" w:rsidR="00B72876" w:rsidP="00B72876" w:rsidRDefault="00B72876" w14:paraId="38B5180F" w14:textId="77777777">
            <w:pPr>
              <w:contextualSpacing/>
              <w:rPr>
                <w:rFonts w:eastAsia="Calibri"/>
              </w:rPr>
            </w:pPr>
          </w:p>
          <w:p w:rsidRPr="00B72876" w:rsidR="00B72876" w:rsidP="00B72876" w:rsidRDefault="00B72876" w14:paraId="1668DC15" w14:textId="77777777">
            <w:pPr>
              <w:contextualSpacing/>
              <w:rPr>
                <w:rFonts w:eastAsia="Calibri"/>
              </w:rPr>
            </w:pPr>
          </w:p>
          <w:p w:rsidRPr="00B72876" w:rsidR="00B72876" w:rsidP="00B72876" w:rsidRDefault="00B72876" w14:paraId="4FCFC2EE" w14:textId="77777777">
            <w:pPr>
              <w:contextualSpacing/>
              <w:rPr>
                <w:rFonts w:eastAsia="Calibri"/>
              </w:rPr>
            </w:pPr>
          </w:p>
          <w:p w:rsidRPr="00B72876" w:rsidR="00B72876" w:rsidP="00B72876" w:rsidRDefault="00B72876" w14:paraId="7076123A" w14:textId="77777777">
            <w:pPr>
              <w:contextualSpacing/>
              <w:rPr>
                <w:rFonts w:eastAsia="Calibri"/>
              </w:rPr>
            </w:pPr>
          </w:p>
          <w:p w:rsidRPr="00B72876" w:rsidR="00B72876" w:rsidP="00B72876" w:rsidRDefault="00B72876" w14:paraId="7CA63F3E" w14:textId="77777777">
            <w:pPr>
              <w:contextualSpacing/>
              <w:rPr>
                <w:rFonts w:eastAsia="Calibri"/>
              </w:rPr>
            </w:pPr>
          </w:p>
          <w:p w:rsidRPr="00B72876" w:rsidR="00B72876" w:rsidP="00B72876" w:rsidRDefault="00B72876" w14:paraId="10D51740" w14:textId="77777777">
            <w:pPr>
              <w:contextualSpacing/>
              <w:rPr>
                <w:rFonts w:eastAsia="Calibri"/>
              </w:rPr>
            </w:pPr>
          </w:p>
          <w:p w:rsidRPr="00B72876" w:rsidR="00B72876" w:rsidP="00B72876" w:rsidRDefault="00B72876" w14:paraId="59E9B11D" w14:textId="77777777">
            <w:pPr>
              <w:contextualSpacing/>
              <w:rPr>
                <w:rFonts w:eastAsia="Calibri"/>
              </w:rPr>
            </w:pPr>
          </w:p>
          <w:p w:rsidRPr="00B72876" w:rsidR="00B72876" w:rsidP="00B72876" w:rsidRDefault="00B72876" w14:paraId="753C8E95" w14:textId="77777777">
            <w:pPr>
              <w:contextualSpacing/>
              <w:rPr>
                <w:rFonts w:eastAsia="Calibri"/>
              </w:rPr>
            </w:pPr>
          </w:p>
          <w:p w:rsidRPr="00B72876" w:rsidR="00B72876" w:rsidP="00B72876" w:rsidRDefault="00B72876" w14:paraId="2F36DD4C" w14:textId="77777777">
            <w:pPr>
              <w:contextualSpacing/>
              <w:rPr>
                <w:rFonts w:eastAsia="Calibri"/>
              </w:rPr>
            </w:pPr>
          </w:p>
          <w:p w:rsidRPr="00B72876" w:rsidR="00B72876" w:rsidP="00B72876" w:rsidRDefault="00B72876" w14:paraId="66D46720" w14:textId="77777777">
            <w:pPr>
              <w:contextualSpacing/>
              <w:rPr>
                <w:rFonts w:eastAsia="Calibri"/>
              </w:rPr>
            </w:pPr>
          </w:p>
          <w:p w:rsidRPr="00B72876" w:rsidR="00B72876" w:rsidP="00B72876" w:rsidRDefault="00B72876" w14:paraId="7D853181" w14:textId="77777777">
            <w:pPr>
              <w:contextualSpacing/>
              <w:rPr>
                <w:rFonts w:eastAsia="Calibri"/>
              </w:rPr>
            </w:pPr>
          </w:p>
          <w:p w:rsidRPr="00B72876" w:rsidR="00B72876" w:rsidP="00B72876" w:rsidRDefault="00B72876" w14:paraId="79C91DDE" w14:textId="77777777">
            <w:pPr>
              <w:contextualSpacing/>
              <w:rPr>
                <w:rFonts w:eastAsia="Calibri"/>
              </w:rPr>
            </w:pPr>
          </w:p>
          <w:p w:rsidRPr="00B72876" w:rsidR="00B72876" w:rsidP="00B72876" w:rsidRDefault="00B72876" w14:paraId="338BBF2A" w14:textId="77777777">
            <w:pPr>
              <w:contextualSpacing/>
              <w:rPr>
                <w:rFonts w:eastAsia="Calibri"/>
              </w:rPr>
            </w:pPr>
          </w:p>
          <w:p w:rsidRPr="00B72876" w:rsidR="00B72876" w:rsidP="00B72876" w:rsidRDefault="00B72876" w14:paraId="13318F4B" w14:textId="77777777">
            <w:pPr>
              <w:contextualSpacing/>
              <w:rPr>
                <w:rFonts w:eastAsia="Calibri"/>
              </w:rPr>
            </w:pPr>
          </w:p>
          <w:p w:rsidRPr="00B72876" w:rsidR="00B72876" w:rsidP="00B72876" w:rsidRDefault="00B72876" w14:paraId="6F52EC56" w14:textId="77777777">
            <w:pPr>
              <w:contextualSpacing/>
              <w:rPr>
                <w:rFonts w:eastAsia="Calibri"/>
              </w:rPr>
            </w:pPr>
          </w:p>
          <w:p w:rsidRPr="00B72876" w:rsidR="00B72876" w:rsidP="00B72876" w:rsidRDefault="00B72876" w14:paraId="5B419301" w14:textId="77777777">
            <w:pPr>
              <w:contextualSpacing/>
              <w:rPr>
                <w:rFonts w:eastAsia="Calibri"/>
              </w:rPr>
            </w:pPr>
          </w:p>
          <w:p w:rsidRPr="00B72876" w:rsidR="00B72876" w:rsidP="00B72876" w:rsidRDefault="00B72876" w14:paraId="7DB17FA0" w14:textId="77777777">
            <w:pPr>
              <w:contextualSpacing/>
              <w:rPr>
                <w:rFonts w:eastAsia="Calibri"/>
              </w:rPr>
            </w:pPr>
          </w:p>
          <w:p w:rsidRPr="00B72876" w:rsidR="00B72876" w:rsidP="00B72876" w:rsidRDefault="00B72876" w14:paraId="1D7A1D68" w14:textId="77777777">
            <w:pPr>
              <w:contextualSpacing/>
              <w:rPr>
                <w:rFonts w:eastAsia="Calibri"/>
              </w:rPr>
            </w:pPr>
          </w:p>
          <w:p w:rsidRPr="00B72876" w:rsidR="00B72876" w:rsidP="00B72876" w:rsidRDefault="00B72876" w14:paraId="70C6D10E" w14:textId="77777777">
            <w:pPr>
              <w:contextualSpacing/>
              <w:rPr>
                <w:rFonts w:eastAsia="Calibri"/>
              </w:rPr>
            </w:pPr>
          </w:p>
          <w:p w:rsidRPr="00B72876" w:rsidR="00B72876" w:rsidP="00B72876" w:rsidRDefault="00B72876" w14:paraId="164F01B8" w14:textId="77777777">
            <w:pPr>
              <w:contextualSpacing/>
              <w:rPr>
                <w:rFonts w:eastAsia="Calibri"/>
              </w:rPr>
            </w:pPr>
          </w:p>
          <w:p w:rsidRPr="00B72876" w:rsidR="00B72876" w:rsidP="00B72876" w:rsidRDefault="00B72876" w14:paraId="7001BE97" w14:textId="77777777">
            <w:pPr>
              <w:contextualSpacing/>
              <w:rPr>
                <w:rFonts w:eastAsia="Calibri"/>
              </w:rPr>
            </w:pPr>
          </w:p>
          <w:p w:rsidRPr="00B72876" w:rsidR="00B72876" w:rsidP="00B72876" w:rsidRDefault="00B72876" w14:paraId="0DF9A364" w14:textId="77777777">
            <w:pPr>
              <w:contextualSpacing/>
              <w:rPr>
                <w:rFonts w:eastAsia="Calibri"/>
              </w:rPr>
            </w:pPr>
          </w:p>
          <w:p w:rsidRPr="00B72876" w:rsidR="00B72876" w:rsidP="00B72876" w:rsidRDefault="00B72876" w14:paraId="3CFDE29C" w14:textId="77777777">
            <w:pPr>
              <w:contextualSpacing/>
              <w:rPr>
                <w:rFonts w:eastAsia="Calibri"/>
              </w:rPr>
            </w:pPr>
          </w:p>
          <w:p w:rsidRPr="00B72876" w:rsidR="00B72876" w:rsidP="00B72876" w:rsidRDefault="00B72876" w14:paraId="72EB45BF" w14:textId="77777777">
            <w:pPr>
              <w:contextualSpacing/>
              <w:rPr>
                <w:rFonts w:eastAsia="Calibri"/>
              </w:rPr>
            </w:pPr>
          </w:p>
          <w:p w:rsidRPr="00B72876" w:rsidR="00B72876" w:rsidP="00B72876" w:rsidRDefault="00B72876" w14:paraId="46DFB0BD" w14:textId="77777777">
            <w:pPr>
              <w:contextualSpacing/>
              <w:rPr>
                <w:rFonts w:eastAsia="Calibri"/>
              </w:rPr>
            </w:pPr>
          </w:p>
          <w:p w:rsidRPr="00B72876" w:rsidR="00B72876" w:rsidP="00B72876" w:rsidRDefault="00B72876" w14:paraId="0E8C2259" w14:textId="77777777">
            <w:pPr>
              <w:contextualSpacing/>
              <w:rPr>
                <w:rFonts w:eastAsia="Calibri"/>
              </w:rPr>
            </w:pPr>
          </w:p>
          <w:p w:rsidRPr="00B72876" w:rsidR="00B72876" w:rsidP="00B72876" w:rsidRDefault="00B72876" w14:paraId="310E6216" w14:textId="77777777">
            <w:pPr>
              <w:contextualSpacing/>
              <w:rPr>
                <w:rFonts w:eastAsia="Calibri"/>
              </w:rPr>
            </w:pPr>
          </w:p>
          <w:p w:rsidRPr="00B72876" w:rsidR="00B72876" w:rsidP="00B72876" w:rsidRDefault="00B72876" w14:paraId="0FD5B0D9" w14:textId="77777777">
            <w:pPr>
              <w:contextualSpacing/>
              <w:rPr>
                <w:rFonts w:eastAsia="Calibri"/>
              </w:rPr>
            </w:pPr>
          </w:p>
          <w:p w:rsidRPr="00B72876" w:rsidR="00B72876" w:rsidP="00B72876" w:rsidRDefault="00B72876" w14:paraId="13EE39EB" w14:textId="77777777">
            <w:pPr>
              <w:contextualSpacing/>
              <w:rPr>
                <w:rFonts w:eastAsia="Calibri"/>
              </w:rPr>
            </w:pPr>
          </w:p>
          <w:p w:rsidRPr="00B72876" w:rsidR="00B72876" w:rsidP="00B72876" w:rsidRDefault="00B72876" w14:paraId="3530B1FB" w14:textId="77777777">
            <w:pPr>
              <w:contextualSpacing/>
              <w:rPr>
                <w:rFonts w:eastAsia="Calibri"/>
              </w:rPr>
            </w:pPr>
          </w:p>
          <w:p w:rsidRPr="00B72876" w:rsidR="00B72876" w:rsidP="00B72876" w:rsidRDefault="00B72876" w14:paraId="2828BA35" w14:textId="77777777">
            <w:pPr>
              <w:contextualSpacing/>
              <w:rPr>
                <w:rFonts w:eastAsia="Calibri"/>
              </w:rPr>
            </w:pPr>
          </w:p>
          <w:p w:rsidRPr="00B72876" w:rsidR="00B72876" w:rsidP="00B72876" w:rsidRDefault="00B72876" w14:paraId="3D7C5CCB" w14:textId="77777777">
            <w:pPr>
              <w:contextualSpacing/>
              <w:rPr>
                <w:rFonts w:eastAsia="Calibri"/>
              </w:rPr>
            </w:pPr>
          </w:p>
          <w:p w:rsidRPr="00B72876" w:rsidR="00B72876" w:rsidP="00B72876" w:rsidRDefault="00B72876" w14:paraId="6700B3E8" w14:textId="77777777">
            <w:pPr>
              <w:contextualSpacing/>
              <w:rPr>
                <w:rFonts w:eastAsia="Calibri"/>
              </w:rPr>
            </w:pPr>
          </w:p>
          <w:p w:rsidRPr="00B72876" w:rsidR="00B72876" w:rsidP="00B72876" w:rsidRDefault="00B72876" w14:paraId="2102B528" w14:textId="77777777">
            <w:pPr>
              <w:contextualSpacing/>
              <w:rPr>
                <w:rFonts w:eastAsia="Calibri"/>
              </w:rPr>
            </w:pPr>
          </w:p>
          <w:p w:rsidRPr="00B72876" w:rsidR="00B72876" w:rsidP="00B72876" w:rsidRDefault="00B72876" w14:paraId="7FEC8C41" w14:textId="77777777">
            <w:pPr>
              <w:contextualSpacing/>
              <w:rPr>
                <w:rFonts w:eastAsia="Calibri"/>
              </w:rPr>
            </w:pPr>
          </w:p>
          <w:p w:rsidRPr="00B72876" w:rsidR="00B72876" w:rsidP="00B72876" w:rsidRDefault="00B72876" w14:paraId="30CD99D1" w14:textId="77777777">
            <w:pPr>
              <w:contextualSpacing/>
              <w:rPr>
                <w:rFonts w:eastAsia="Calibri"/>
              </w:rPr>
            </w:pPr>
          </w:p>
          <w:p w:rsidRPr="00B72876" w:rsidR="00B72876" w:rsidP="00B72876" w:rsidRDefault="00B72876" w14:paraId="5A92B8AC" w14:textId="77777777">
            <w:pPr>
              <w:contextualSpacing/>
              <w:rPr>
                <w:rFonts w:eastAsia="Calibri"/>
              </w:rPr>
            </w:pPr>
          </w:p>
          <w:p w:rsidRPr="00B72876" w:rsidR="00B72876" w:rsidP="00B72876" w:rsidRDefault="00B72876" w14:paraId="49C37ED8" w14:textId="77777777">
            <w:pPr>
              <w:contextualSpacing/>
              <w:rPr>
                <w:rFonts w:eastAsia="Calibri"/>
              </w:rPr>
            </w:pPr>
          </w:p>
          <w:p w:rsidRPr="00B72876" w:rsidR="00B72876" w:rsidP="00B72876" w:rsidRDefault="00B72876" w14:paraId="6BE5EE92" w14:textId="77777777">
            <w:pPr>
              <w:contextualSpacing/>
              <w:rPr>
                <w:rFonts w:eastAsia="Calibri"/>
              </w:rPr>
            </w:pPr>
          </w:p>
          <w:p w:rsidRPr="00B72876" w:rsidR="00B72876" w:rsidP="00B72876" w:rsidRDefault="00B72876" w14:paraId="6EFE4987" w14:textId="77777777">
            <w:pPr>
              <w:contextualSpacing/>
              <w:rPr>
                <w:rFonts w:eastAsia="Calibri"/>
              </w:rPr>
            </w:pPr>
          </w:p>
          <w:p w:rsidRPr="00B72876" w:rsidR="00B72876" w:rsidP="00B72876" w:rsidRDefault="00B72876" w14:paraId="2C57AEDD" w14:textId="77777777">
            <w:pPr>
              <w:contextualSpacing/>
              <w:rPr>
                <w:rFonts w:eastAsia="Calibri"/>
              </w:rPr>
            </w:pPr>
          </w:p>
          <w:p w:rsidRPr="00B72876" w:rsidR="00B72876" w:rsidP="00B72876" w:rsidRDefault="00B72876" w14:paraId="3ADC20A3" w14:textId="77777777">
            <w:pPr>
              <w:contextualSpacing/>
              <w:rPr>
                <w:rFonts w:eastAsia="Calibri"/>
              </w:rPr>
            </w:pPr>
          </w:p>
          <w:p w:rsidRPr="00B72876" w:rsidR="00B72876" w:rsidP="00B72876" w:rsidRDefault="00B72876" w14:paraId="29DCEA94" w14:textId="77777777">
            <w:pPr>
              <w:contextualSpacing/>
              <w:rPr>
                <w:rFonts w:eastAsia="Calibri"/>
              </w:rPr>
            </w:pPr>
          </w:p>
          <w:p w:rsidRPr="00B72876" w:rsidR="00B72876" w:rsidP="00B72876" w:rsidRDefault="00B72876" w14:paraId="1B1FEFAF" w14:textId="77777777">
            <w:pPr>
              <w:contextualSpacing/>
              <w:rPr>
                <w:rFonts w:eastAsia="Calibri"/>
              </w:rPr>
            </w:pPr>
          </w:p>
          <w:p w:rsidRPr="00B72876" w:rsidR="00B72876" w:rsidP="00B72876" w:rsidRDefault="00B72876" w14:paraId="333ABDBA" w14:textId="77777777">
            <w:pPr>
              <w:contextualSpacing/>
              <w:rPr>
                <w:rFonts w:eastAsia="Calibri"/>
              </w:rPr>
            </w:pPr>
          </w:p>
          <w:p w:rsidRPr="00B72876" w:rsidR="00B72876" w:rsidP="00B72876" w:rsidRDefault="00B72876" w14:paraId="6F8D6867" w14:textId="77777777">
            <w:pPr>
              <w:contextualSpacing/>
              <w:rPr>
                <w:rFonts w:eastAsia="Calibri"/>
              </w:rPr>
            </w:pPr>
          </w:p>
          <w:p w:rsidRPr="00B72876" w:rsidR="00B72876" w:rsidP="00B72876" w:rsidRDefault="00B72876" w14:paraId="1EEB1D79" w14:textId="77777777">
            <w:pPr>
              <w:contextualSpacing/>
              <w:rPr>
                <w:rFonts w:eastAsia="Calibri"/>
              </w:rPr>
            </w:pPr>
          </w:p>
          <w:p w:rsidR="00B72876" w:rsidP="00B72876" w:rsidRDefault="00B72876" w14:paraId="3CD66DB8" w14:textId="093D0D2D">
            <w:pPr>
              <w:contextualSpacing/>
              <w:rPr>
                <w:rFonts w:eastAsia="Calibri"/>
              </w:rPr>
            </w:pPr>
          </w:p>
          <w:p w:rsidR="00FE4987" w:rsidP="00B72876" w:rsidRDefault="00FE4987" w14:paraId="062F376A" w14:textId="5C6D9C99">
            <w:pPr>
              <w:contextualSpacing/>
              <w:rPr>
                <w:rFonts w:eastAsia="Calibri"/>
              </w:rPr>
            </w:pPr>
          </w:p>
          <w:p w:rsidR="00FE4987" w:rsidP="00B72876" w:rsidRDefault="00FE4987" w14:paraId="741D712C" w14:textId="288B8BCA">
            <w:pPr>
              <w:contextualSpacing/>
              <w:rPr>
                <w:rFonts w:eastAsia="Calibri"/>
              </w:rPr>
            </w:pPr>
          </w:p>
          <w:p w:rsidR="00FE4987" w:rsidP="00B72876" w:rsidRDefault="00FE4987" w14:paraId="0C7E7FF4" w14:textId="6BFF76A0">
            <w:pPr>
              <w:contextualSpacing/>
              <w:rPr>
                <w:rFonts w:eastAsia="Calibri"/>
              </w:rPr>
            </w:pPr>
          </w:p>
          <w:p w:rsidR="00FE4987" w:rsidP="00B72876" w:rsidRDefault="00FE4987" w14:paraId="4276C0CD" w14:textId="60CF48DE">
            <w:pPr>
              <w:contextualSpacing/>
              <w:rPr>
                <w:rFonts w:eastAsia="Calibri"/>
              </w:rPr>
            </w:pPr>
          </w:p>
          <w:p w:rsidR="00FE4987" w:rsidP="00B72876" w:rsidRDefault="00FE4987" w14:paraId="0B2B6908" w14:textId="1B691F77">
            <w:pPr>
              <w:contextualSpacing/>
              <w:rPr>
                <w:rFonts w:eastAsia="Calibri"/>
              </w:rPr>
            </w:pPr>
          </w:p>
          <w:p w:rsidR="00FE4987" w:rsidP="00B72876" w:rsidRDefault="00FE4987" w14:paraId="2AE8DD9E" w14:textId="428AB184">
            <w:pPr>
              <w:contextualSpacing/>
              <w:rPr>
                <w:rFonts w:eastAsia="Calibri"/>
              </w:rPr>
            </w:pPr>
          </w:p>
          <w:p w:rsidRPr="00B72876" w:rsidR="00FE4987" w:rsidP="00B72876" w:rsidRDefault="00FE4987" w14:paraId="5DC8FADB" w14:textId="77777777">
            <w:pPr>
              <w:contextualSpacing/>
              <w:rPr>
                <w:rFonts w:eastAsia="Calibri"/>
              </w:rPr>
            </w:pPr>
          </w:p>
          <w:p w:rsidRPr="00B72876" w:rsidR="00B72876" w:rsidP="00B72876" w:rsidRDefault="00B72876" w14:paraId="093BFF9E" w14:textId="77777777">
            <w:pPr>
              <w:spacing w:after="160" w:line="259" w:lineRule="auto"/>
              <w:contextualSpacing/>
              <w:rPr>
                <w:rFonts w:eastAsia="Calibri"/>
                <w:u w:val="single"/>
              </w:rPr>
            </w:pPr>
          </w:p>
          <w:p w:rsidRPr="00B72876" w:rsidR="00B72876" w:rsidP="00B72876" w:rsidRDefault="00B72876" w14:paraId="5DCA06B8" w14:textId="77777777">
            <w:pPr>
              <w:numPr>
                <w:ilvl w:val="0"/>
                <w:numId w:val="16"/>
              </w:numPr>
              <w:spacing w:after="160" w:line="259" w:lineRule="auto"/>
              <w:contextualSpacing/>
              <w:rPr>
                <w:rFonts w:eastAsia="Calibri"/>
                <w:u w:val="single"/>
              </w:rPr>
            </w:pPr>
            <w:r w:rsidRPr="00B72876">
              <w:rPr>
                <w:rFonts w:eastAsia="Calibri"/>
                <w:u w:val="single"/>
              </w:rPr>
              <w:t>UCAN supported the Advice Letter requirements as adopted in the Decision.</w:t>
            </w:r>
          </w:p>
          <w:p w:rsidRPr="00B72876" w:rsidR="00B72876" w:rsidP="00B72876" w:rsidRDefault="00B72876" w14:paraId="2A70B522" w14:textId="77777777">
            <w:pPr>
              <w:spacing w:after="160" w:line="259" w:lineRule="auto"/>
              <w:rPr>
                <w:rFonts w:eastAsia="Calibri"/>
                <w:u w:val="single"/>
              </w:rPr>
            </w:pPr>
          </w:p>
          <w:p w:rsidRPr="00B72876" w:rsidR="00B72876" w:rsidP="00B72876" w:rsidRDefault="00B72876" w14:paraId="40E1AF98" w14:textId="77777777">
            <w:pPr>
              <w:contextualSpacing/>
              <w:rPr>
                <w:rFonts w:eastAsia="Calibri"/>
              </w:rPr>
            </w:pPr>
          </w:p>
          <w:p w:rsidRPr="00B72876" w:rsidR="00B72876" w:rsidP="00B72876" w:rsidRDefault="00B72876" w14:paraId="2D1A36AF" w14:textId="77777777">
            <w:pPr>
              <w:contextualSpacing/>
              <w:rPr>
                <w:rFonts w:eastAsia="Calibri"/>
              </w:rPr>
            </w:pPr>
          </w:p>
          <w:p w:rsidRPr="00B72876" w:rsidR="00B72876" w:rsidP="00B72876" w:rsidRDefault="00B72876" w14:paraId="61B09098" w14:textId="77777777">
            <w:pPr>
              <w:contextualSpacing/>
              <w:rPr>
                <w:rFonts w:eastAsia="Calibri"/>
              </w:rPr>
            </w:pPr>
          </w:p>
          <w:p w:rsidRPr="00B72876" w:rsidR="00B72876" w:rsidP="00B72876" w:rsidRDefault="00B72876" w14:paraId="4DA7F9D3" w14:textId="77777777">
            <w:pPr>
              <w:contextualSpacing/>
              <w:rPr>
                <w:rFonts w:eastAsia="Calibri"/>
              </w:rPr>
            </w:pPr>
          </w:p>
          <w:p w:rsidRPr="00B72876" w:rsidR="00B72876" w:rsidP="00B72876" w:rsidRDefault="00B72876" w14:paraId="4027EEFE" w14:textId="77777777">
            <w:pPr>
              <w:contextualSpacing/>
              <w:rPr>
                <w:rFonts w:eastAsia="Calibri"/>
              </w:rPr>
            </w:pPr>
          </w:p>
          <w:p w:rsidRPr="00B72876" w:rsidR="00B72876" w:rsidP="00B72876" w:rsidRDefault="00B72876" w14:paraId="570849DC" w14:textId="77777777">
            <w:pPr>
              <w:contextualSpacing/>
              <w:rPr>
                <w:rFonts w:eastAsia="Calibri"/>
              </w:rPr>
            </w:pPr>
          </w:p>
          <w:p w:rsidRPr="00B72876" w:rsidR="00B72876" w:rsidP="00B72876" w:rsidRDefault="00B72876" w14:paraId="7406509D" w14:textId="77777777">
            <w:pPr>
              <w:contextualSpacing/>
              <w:rPr>
                <w:rFonts w:eastAsia="Calibri"/>
              </w:rPr>
            </w:pPr>
          </w:p>
          <w:p w:rsidRPr="00B72876" w:rsidR="00B72876" w:rsidP="00B72876" w:rsidRDefault="00B72876" w14:paraId="314F931E" w14:textId="77777777">
            <w:pPr>
              <w:contextualSpacing/>
              <w:rPr>
                <w:rFonts w:eastAsia="Calibri"/>
              </w:rPr>
            </w:pPr>
          </w:p>
          <w:p w:rsidR="00B72876" w:rsidP="00B72876" w:rsidRDefault="00B72876" w14:paraId="54CBB7F2" w14:textId="024C7E9A">
            <w:pPr>
              <w:contextualSpacing/>
              <w:rPr>
                <w:rFonts w:eastAsia="Calibri"/>
              </w:rPr>
            </w:pPr>
          </w:p>
          <w:p w:rsidRPr="00B72876" w:rsidR="00FE4987" w:rsidP="00B72876" w:rsidRDefault="00FE4987" w14:paraId="4BA181A8" w14:textId="77777777">
            <w:pPr>
              <w:contextualSpacing/>
              <w:rPr>
                <w:rFonts w:eastAsia="Calibri"/>
              </w:rPr>
            </w:pPr>
          </w:p>
          <w:p w:rsidRPr="00B72876" w:rsidR="00B72876" w:rsidP="00B72876" w:rsidRDefault="00B72876" w14:paraId="265C94C9" w14:textId="77777777">
            <w:pPr>
              <w:contextualSpacing/>
              <w:rPr>
                <w:rFonts w:eastAsia="Calibri"/>
              </w:rPr>
            </w:pPr>
          </w:p>
          <w:p w:rsidRPr="00B72876" w:rsidR="00B72876" w:rsidP="00B72876" w:rsidRDefault="00B72876" w14:paraId="48C49CA4" w14:textId="77777777">
            <w:pPr>
              <w:rPr>
                <w:rFonts w:eastAsia="Calibri"/>
                <w:u w:val="single"/>
              </w:rPr>
            </w:pPr>
          </w:p>
          <w:p w:rsidRPr="00B72876" w:rsidR="00B72876" w:rsidP="00B72876" w:rsidRDefault="00B72876" w14:paraId="39BA0D34" w14:textId="77777777">
            <w:pPr>
              <w:numPr>
                <w:ilvl w:val="0"/>
                <w:numId w:val="16"/>
              </w:numPr>
              <w:spacing w:after="160" w:line="259" w:lineRule="auto"/>
              <w:contextualSpacing/>
              <w:rPr>
                <w:rFonts w:eastAsia="Calibri"/>
                <w:u w:val="single"/>
              </w:rPr>
            </w:pPr>
            <w:r w:rsidRPr="00B72876">
              <w:rPr>
                <w:rFonts w:eastAsia="Calibri"/>
                <w:u w:val="single"/>
              </w:rPr>
              <w:t>UCAN addressed other Phase I issues which helped develop the record and inform the Decision.</w:t>
            </w:r>
          </w:p>
          <w:p w:rsidRPr="00B72876" w:rsidR="00B72876" w:rsidP="00B72876" w:rsidRDefault="00B72876" w14:paraId="319964A0" w14:textId="77777777">
            <w:pPr>
              <w:spacing w:after="160" w:line="259" w:lineRule="auto"/>
              <w:rPr>
                <w:rFonts w:eastAsia="Calibri"/>
              </w:rPr>
            </w:pPr>
          </w:p>
          <w:p w:rsidRPr="00B72876" w:rsidR="00B72876" w:rsidP="00B72876" w:rsidRDefault="00B72876" w14:paraId="64B614B5" w14:textId="77777777">
            <w:pPr>
              <w:spacing w:after="160" w:line="259" w:lineRule="auto"/>
              <w:rPr>
                <w:rFonts w:eastAsia="Calibri"/>
              </w:rPr>
            </w:pPr>
          </w:p>
          <w:p w:rsidRPr="00B72876" w:rsidR="00B72876" w:rsidP="00B72876" w:rsidRDefault="00B72876" w14:paraId="384541A4" w14:textId="77777777">
            <w:pPr>
              <w:spacing w:after="160" w:line="259" w:lineRule="auto"/>
              <w:rPr>
                <w:rFonts w:eastAsia="Calibri"/>
              </w:rPr>
            </w:pPr>
          </w:p>
          <w:p w:rsidRPr="00B72876" w:rsidR="00B72876" w:rsidP="00B72876" w:rsidRDefault="00B72876" w14:paraId="53F3FAE8" w14:textId="77777777">
            <w:pPr>
              <w:spacing w:after="160" w:line="259" w:lineRule="auto"/>
              <w:rPr>
                <w:rFonts w:eastAsia="Calibri"/>
              </w:rPr>
            </w:pPr>
          </w:p>
          <w:p w:rsidRPr="00B72876" w:rsidR="00B72876" w:rsidP="00B72876" w:rsidRDefault="00B72876" w14:paraId="51ED7750" w14:textId="77777777">
            <w:pPr>
              <w:spacing w:after="160" w:line="259" w:lineRule="auto"/>
              <w:rPr>
                <w:rFonts w:eastAsia="Calibri"/>
              </w:rPr>
            </w:pPr>
          </w:p>
          <w:p w:rsidRPr="00B72876" w:rsidR="00B72876" w:rsidP="00B72876" w:rsidRDefault="00B72876" w14:paraId="1E071A85" w14:textId="77777777">
            <w:pPr>
              <w:spacing w:after="160" w:line="259" w:lineRule="auto"/>
              <w:rPr>
                <w:rFonts w:eastAsia="Calibri"/>
              </w:rPr>
            </w:pPr>
          </w:p>
          <w:p w:rsidRPr="00B72876" w:rsidR="00B72876" w:rsidP="00B72876" w:rsidRDefault="00B72876" w14:paraId="11912DB8" w14:textId="77777777">
            <w:pPr>
              <w:spacing w:after="160" w:line="259" w:lineRule="auto"/>
              <w:rPr>
                <w:rFonts w:eastAsia="Calibri"/>
              </w:rPr>
            </w:pPr>
          </w:p>
          <w:p w:rsidRPr="00B72876" w:rsidR="00B72876" w:rsidP="00B72876" w:rsidRDefault="00B72876" w14:paraId="0993B7AD" w14:textId="77777777">
            <w:pPr>
              <w:spacing w:after="160" w:line="259" w:lineRule="auto"/>
              <w:rPr>
                <w:rFonts w:eastAsia="Calibri"/>
              </w:rPr>
            </w:pPr>
          </w:p>
          <w:p w:rsidRPr="00B72876" w:rsidR="00B72876" w:rsidP="00B72876" w:rsidRDefault="00B72876" w14:paraId="02FA146F" w14:textId="77777777">
            <w:pPr>
              <w:spacing w:after="160" w:line="259" w:lineRule="auto"/>
              <w:rPr>
                <w:rFonts w:eastAsia="Calibri"/>
              </w:rPr>
            </w:pPr>
          </w:p>
          <w:p w:rsidRPr="00B72876" w:rsidR="00B72876" w:rsidP="00B72876" w:rsidRDefault="00B72876" w14:paraId="4EEE9CB9" w14:textId="77777777">
            <w:pPr>
              <w:spacing w:after="160" w:line="259" w:lineRule="auto"/>
              <w:rPr>
                <w:rFonts w:eastAsia="Calibri"/>
              </w:rPr>
            </w:pPr>
          </w:p>
          <w:p w:rsidRPr="00B72876" w:rsidR="00B72876" w:rsidP="00B72876" w:rsidRDefault="00B72876" w14:paraId="32FF3A1B" w14:textId="77777777">
            <w:pPr>
              <w:spacing w:after="160" w:line="259" w:lineRule="auto"/>
              <w:rPr>
                <w:rFonts w:eastAsia="Calibri"/>
              </w:rPr>
            </w:pPr>
          </w:p>
          <w:p w:rsidRPr="00B72876" w:rsidR="00B72876" w:rsidP="00B72876" w:rsidRDefault="00B72876" w14:paraId="0464E093" w14:textId="77777777">
            <w:pPr>
              <w:spacing w:after="160" w:line="259" w:lineRule="auto"/>
              <w:rPr>
                <w:rFonts w:eastAsia="Calibri"/>
              </w:rPr>
            </w:pPr>
          </w:p>
          <w:p w:rsidRPr="00B72876" w:rsidR="00B72876" w:rsidP="00B72876" w:rsidRDefault="00B72876" w14:paraId="2D0814CF" w14:textId="77777777">
            <w:pPr>
              <w:spacing w:after="160" w:line="259" w:lineRule="auto"/>
              <w:rPr>
                <w:rFonts w:eastAsia="Calibri"/>
              </w:rPr>
            </w:pPr>
          </w:p>
          <w:p w:rsidRPr="00B72876" w:rsidR="00B72876" w:rsidP="00B72876" w:rsidRDefault="00B72876" w14:paraId="2A1325E3" w14:textId="77777777">
            <w:pPr>
              <w:spacing w:after="160" w:line="259" w:lineRule="auto"/>
              <w:rPr>
                <w:rFonts w:eastAsia="Calibri"/>
              </w:rPr>
            </w:pPr>
          </w:p>
          <w:p w:rsidRPr="00B72876" w:rsidR="00B72876" w:rsidP="00B72876" w:rsidRDefault="00B72876" w14:paraId="3BA14364" w14:textId="77777777">
            <w:pPr>
              <w:spacing w:after="160" w:line="259" w:lineRule="auto"/>
              <w:rPr>
                <w:rFonts w:eastAsia="Calibri"/>
              </w:rPr>
            </w:pPr>
          </w:p>
          <w:p w:rsidRPr="00B72876" w:rsidR="00B72876" w:rsidP="00B72876" w:rsidRDefault="00B72876" w14:paraId="34A32992" w14:textId="77777777">
            <w:pPr>
              <w:spacing w:after="160" w:line="259" w:lineRule="auto"/>
              <w:rPr>
                <w:rFonts w:eastAsia="Calibri"/>
              </w:rPr>
            </w:pPr>
          </w:p>
          <w:p w:rsidRPr="00B72876" w:rsidR="00B72876" w:rsidP="00B72876" w:rsidRDefault="00B72876" w14:paraId="727EA27F" w14:textId="77777777">
            <w:pPr>
              <w:spacing w:after="160" w:line="259" w:lineRule="auto"/>
              <w:rPr>
                <w:rFonts w:eastAsia="Calibri"/>
              </w:rPr>
            </w:pPr>
          </w:p>
          <w:p w:rsidRPr="00B72876" w:rsidR="00B72876" w:rsidP="00B72876" w:rsidRDefault="00B72876" w14:paraId="7F2CE7E1" w14:textId="77777777">
            <w:pPr>
              <w:spacing w:after="160" w:line="259" w:lineRule="auto"/>
              <w:rPr>
                <w:rFonts w:eastAsia="Calibri"/>
              </w:rPr>
            </w:pPr>
          </w:p>
          <w:p w:rsidRPr="00B72876" w:rsidR="00B72876" w:rsidP="00B72876" w:rsidRDefault="00B72876" w14:paraId="78C8ABC7" w14:textId="77777777">
            <w:pPr>
              <w:spacing w:after="160" w:line="259" w:lineRule="auto"/>
              <w:rPr>
                <w:rFonts w:eastAsia="Calibri"/>
              </w:rPr>
            </w:pPr>
          </w:p>
          <w:p w:rsidRPr="00B72876" w:rsidR="00B72876" w:rsidP="00B72876" w:rsidRDefault="00B72876" w14:paraId="4572FA09" w14:textId="77777777">
            <w:pPr>
              <w:spacing w:after="160" w:line="259" w:lineRule="auto"/>
              <w:rPr>
                <w:rFonts w:eastAsia="Calibri"/>
              </w:rPr>
            </w:pPr>
          </w:p>
          <w:p w:rsidRPr="00B72876" w:rsidR="00B72876" w:rsidP="00B72876" w:rsidRDefault="00B72876" w14:paraId="66EF1823" w14:textId="77777777">
            <w:pPr>
              <w:spacing w:after="160" w:line="259" w:lineRule="auto"/>
              <w:rPr>
                <w:rFonts w:eastAsia="Calibri"/>
              </w:rPr>
            </w:pPr>
          </w:p>
          <w:p w:rsidRPr="00B72876" w:rsidR="00B72876" w:rsidP="00B72876" w:rsidRDefault="00B72876" w14:paraId="7D7DF3FE" w14:textId="77777777">
            <w:pPr>
              <w:spacing w:after="160" w:line="259" w:lineRule="auto"/>
              <w:rPr>
                <w:rFonts w:eastAsia="Calibri"/>
              </w:rPr>
            </w:pPr>
          </w:p>
          <w:p w:rsidRPr="00B72876" w:rsidR="00B72876" w:rsidP="00B72876" w:rsidRDefault="00B72876" w14:paraId="64064C16" w14:textId="77777777">
            <w:pPr>
              <w:spacing w:after="160" w:line="259" w:lineRule="auto"/>
              <w:rPr>
                <w:rFonts w:eastAsia="Calibri"/>
              </w:rPr>
            </w:pPr>
          </w:p>
          <w:p w:rsidRPr="00B72876" w:rsidR="00B72876" w:rsidP="00B72876" w:rsidRDefault="00B72876" w14:paraId="60A1C8B9" w14:textId="77777777">
            <w:pPr>
              <w:spacing w:after="160" w:line="259" w:lineRule="auto"/>
              <w:rPr>
                <w:rFonts w:eastAsia="Calibri"/>
              </w:rPr>
            </w:pPr>
          </w:p>
          <w:p w:rsidRPr="00B72876" w:rsidR="00B72876" w:rsidP="00B72876" w:rsidRDefault="00B72876" w14:paraId="399E4E27" w14:textId="77777777">
            <w:pPr>
              <w:spacing w:after="160" w:line="259" w:lineRule="auto"/>
              <w:rPr>
                <w:rFonts w:eastAsia="Calibri"/>
              </w:rPr>
            </w:pPr>
          </w:p>
          <w:p w:rsidRPr="00B72876" w:rsidR="00B72876" w:rsidP="00B72876" w:rsidRDefault="00B72876" w14:paraId="09290C0F" w14:textId="77777777">
            <w:pPr>
              <w:spacing w:after="160" w:line="259" w:lineRule="auto"/>
              <w:rPr>
                <w:rFonts w:eastAsia="Calibri"/>
              </w:rPr>
            </w:pPr>
          </w:p>
          <w:p w:rsidRPr="00B72876" w:rsidR="00B72876" w:rsidP="00B72876" w:rsidRDefault="00B72876" w14:paraId="06C03F6B" w14:textId="77777777">
            <w:pPr>
              <w:spacing w:after="160" w:line="259" w:lineRule="auto"/>
              <w:rPr>
                <w:rFonts w:eastAsia="Calibri"/>
              </w:rPr>
            </w:pPr>
          </w:p>
          <w:p w:rsidRPr="00B72876" w:rsidR="00B72876" w:rsidP="00B72876" w:rsidRDefault="00B72876" w14:paraId="184DA68B" w14:textId="77777777">
            <w:pPr>
              <w:spacing w:after="160" w:line="259" w:lineRule="auto"/>
              <w:rPr>
                <w:rFonts w:eastAsia="Calibri"/>
              </w:rPr>
            </w:pPr>
          </w:p>
          <w:p w:rsidRPr="00B72876" w:rsidR="00B72876" w:rsidP="00B72876" w:rsidRDefault="00B72876" w14:paraId="75FADE96" w14:textId="77777777">
            <w:pPr>
              <w:rPr>
                <w:rFonts w:eastAsia="Calibri"/>
              </w:rPr>
            </w:pPr>
          </w:p>
          <w:p w:rsidR="00FE4987" w:rsidP="00B72876" w:rsidRDefault="00FE4987" w14:paraId="7B7A78D6" w14:textId="77777777">
            <w:pPr>
              <w:rPr>
                <w:rFonts w:eastAsia="Calibri"/>
              </w:rPr>
            </w:pPr>
          </w:p>
          <w:p w:rsidR="00FE4987" w:rsidP="00B72876" w:rsidRDefault="00FE4987" w14:paraId="106C1F86" w14:textId="77777777">
            <w:pPr>
              <w:rPr>
                <w:rFonts w:eastAsia="Calibri"/>
              </w:rPr>
            </w:pPr>
          </w:p>
          <w:p w:rsidR="00FE4987" w:rsidP="00B72876" w:rsidRDefault="00FE4987" w14:paraId="2E52D99B" w14:textId="77777777">
            <w:pPr>
              <w:rPr>
                <w:rFonts w:eastAsia="Calibri"/>
              </w:rPr>
            </w:pPr>
          </w:p>
          <w:p w:rsidR="00FE4987" w:rsidP="00B72876" w:rsidRDefault="00FE4987" w14:paraId="42AF053E" w14:textId="32A1F46A">
            <w:pPr>
              <w:rPr>
                <w:rFonts w:eastAsia="Calibri"/>
              </w:rPr>
            </w:pPr>
          </w:p>
          <w:p w:rsidR="008161B1" w:rsidP="00B72876" w:rsidRDefault="008161B1" w14:paraId="0A2A4347" w14:textId="77777777">
            <w:pPr>
              <w:rPr>
                <w:rFonts w:eastAsia="Calibri"/>
              </w:rPr>
            </w:pPr>
          </w:p>
          <w:p w:rsidR="00FE4987" w:rsidP="00B72876" w:rsidRDefault="00FE4987" w14:paraId="4F22D783" w14:textId="77777777">
            <w:pPr>
              <w:rPr>
                <w:rFonts w:eastAsia="Calibri"/>
              </w:rPr>
            </w:pPr>
          </w:p>
          <w:p w:rsidRPr="00B72876" w:rsidR="00B72876" w:rsidP="00B72876" w:rsidRDefault="00B72876" w14:paraId="343A1442" w14:textId="45404EFB">
            <w:pPr>
              <w:rPr>
                <w:rFonts w:eastAsia="Calibri"/>
              </w:rPr>
            </w:pPr>
            <w:r w:rsidRPr="00B72876">
              <w:rPr>
                <w:rFonts w:eastAsia="Calibri"/>
              </w:rPr>
              <w:lastRenderedPageBreak/>
              <w:t>The Phase I Decision considered and reflected UCAN’s contentions in its findings.</w:t>
            </w:r>
          </w:p>
          <w:p w:rsidRPr="00B72876" w:rsidR="00B72876" w:rsidP="00B72876" w:rsidRDefault="00B72876" w14:paraId="3327F3E1" w14:textId="36978331">
            <w:pPr>
              <w:numPr>
                <w:ilvl w:val="0"/>
                <w:numId w:val="15"/>
              </w:numPr>
              <w:contextualSpacing/>
              <w:rPr>
                <w:rFonts w:eastAsia="Calibri"/>
                <w:b/>
              </w:rPr>
            </w:pPr>
            <w:r w:rsidRPr="00B72876">
              <w:rPr>
                <w:rFonts w:eastAsia="Calibri"/>
                <w:i/>
              </w:rPr>
              <w:t>We are not persuaded by arguments that leveraging IOU fiber to serve unserved communities somehow violates statute or is anticompetitive.  Further, we will continue to explore options that include local and tribal governments.</w:t>
            </w:r>
            <w:r w:rsidRPr="00B72876">
              <w:rPr>
                <w:rFonts w:eastAsia="Calibri"/>
                <w:b/>
              </w:rPr>
              <w:t xml:space="preserve">  </w:t>
            </w:r>
            <w:r w:rsidR="00565C82">
              <w:rPr>
                <w:rFonts w:eastAsia="Calibri"/>
                <w:b/>
              </w:rPr>
              <w:br/>
            </w:r>
            <w:r w:rsidRPr="00B72876">
              <w:rPr>
                <w:rFonts w:eastAsia="Calibri"/>
                <w:b/>
              </w:rPr>
              <w:t xml:space="preserve">D.21-10-020, </w:t>
            </w:r>
            <w:proofErr w:type="gramStart"/>
            <w:r w:rsidRPr="00B72876">
              <w:rPr>
                <w:rFonts w:eastAsia="Calibri"/>
                <w:b/>
              </w:rPr>
              <w:t>at p.</w:t>
            </w:r>
            <w:proofErr w:type="gramEnd"/>
            <w:r w:rsidRPr="00B72876">
              <w:rPr>
                <w:rFonts w:eastAsia="Calibri"/>
                <w:b/>
              </w:rPr>
              <w:t xml:space="preserve"> 12.</w:t>
            </w:r>
          </w:p>
          <w:p w:rsidRPr="00B72876" w:rsidR="00B72876" w:rsidP="00B72876" w:rsidRDefault="00B72876" w14:paraId="1EC3D8A8" w14:textId="6D90B2FC">
            <w:pPr>
              <w:numPr>
                <w:ilvl w:val="0"/>
                <w:numId w:val="15"/>
              </w:numPr>
              <w:contextualSpacing/>
              <w:rPr>
                <w:rFonts w:eastAsia="Calibri"/>
                <w:b/>
              </w:rPr>
            </w:pPr>
            <w:r w:rsidRPr="00B72876">
              <w:rPr>
                <w:rFonts w:eastAsia="Calibri"/>
                <w:i/>
              </w:rPr>
              <w:t xml:space="preserve">We dismiss the extremely broad claims made by the large ILECs, cable providers and CTIA that this Commission does not have the authority to adopt these rules.  . . . </w:t>
            </w:r>
            <w:proofErr w:type="gramStart"/>
            <w:r w:rsidRPr="00B72876">
              <w:rPr>
                <w:rFonts w:eastAsia="Calibri"/>
                <w:i/>
              </w:rPr>
              <w:t>While</w:t>
            </w:r>
            <w:proofErr w:type="gramEnd"/>
            <w:r w:rsidRPr="00B72876">
              <w:rPr>
                <w:rFonts w:eastAsia="Calibri"/>
                <w:i/>
              </w:rPr>
              <w:t xml:space="preserve"> there are specific actions state commissions cannot take, such as licensing spectrum, state commissions are not preempted from adopting these types of rules.  Further, we are not persuaded by objections that community engagement and Advice Letter requirements will divert critical resources from the restoration efforts, as these claims are unsupported.  </w:t>
            </w:r>
            <w:r w:rsidR="00565C82">
              <w:rPr>
                <w:rFonts w:eastAsia="Calibri"/>
                <w:i/>
              </w:rPr>
              <w:br/>
            </w:r>
            <w:r w:rsidRPr="00B72876">
              <w:rPr>
                <w:rFonts w:eastAsia="Calibri"/>
                <w:b/>
              </w:rPr>
              <w:t>D.21-10-020, at p. 17.</w:t>
            </w:r>
          </w:p>
          <w:p w:rsidRPr="00B72876" w:rsidR="00B72876" w:rsidP="00B72876" w:rsidRDefault="00B72876" w14:paraId="5A5B574F" w14:textId="77777777">
            <w:pPr>
              <w:numPr>
                <w:ilvl w:val="0"/>
                <w:numId w:val="15"/>
              </w:numPr>
              <w:contextualSpacing/>
              <w:rPr>
                <w:rFonts w:eastAsia="Calibri"/>
                <w:b/>
              </w:rPr>
            </w:pPr>
            <w:r w:rsidRPr="00B72876">
              <w:rPr>
                <w:rFonts w:eastAsia="Calibri"/>
                <w:i/>
              </w:rPr>
              <w:t>In general, most parties filing comments support the proposed criteria, though most also assert the Commission should broaden eligible grantees to beyond just rural, low-</w:t>
            </w:r>
            <w:r w:rsidRPr="00B72876">
              <w:rPr>
                <w:rFonts w:eastAsia="Calibri"/>
                <w:i/>
              </w:rPr>
              <w:lastRenderedPageBreak/>
              <w:t xml:space="preserve">income small school districts.  Some parties also support increasing the limit on administrative expenses to more than the proposed five percent.  Parties also propose other modifications. AARP, Joint ILECs, NDC, UCAN, CETF, CENIC, CWA, and </w:t>
            </w:r>
            <w:proofErr w:type="spellStart"/>
            <w:r w:rsidRPr="00B72876">
              <w:rPr>
                <w:rFonts w:eastAsia="Calibri"/>
                <w:i/>
              </w:rPr>
              <w:t>CforAT</w:t>
            </w:r>
            <w:proofErr w:type="spellEnd"/>
            <w:r w:rsidRPr="00B72876">
              <w:rPr>
                <w:rFonts w:eastAsia="Calibri"/>
                <w:i/>
              </w:rPr>
              <w:t xml:space="preserve"> all argue that urban schools also should benefit from the Digital Divide Account grant program, because students in urban areas are affected in pockets by the same broadband access problems as students in rural areas.</w:t>
            </w:r>
            <w:r w:rsidRPr="00B72876">
              <w:rPr>
                <w:rFonts w:eastAsia="Calibri"/>
                <w:b/>
              </w:rPr>
              <w:t xml:space="preserve">  D.21-10-020, at p. 17.</w:t>
            </w:r>
          </w:p>
          <w:p w:rsidRPr="00B72876" w:rsidR="00B72876" w:rsidP="00B72876" w:rsidRDefault="00B72876" w14:paraId="7D3146F7" w14:textId="77777777">
            <w:pPr>
              <w:numPr>
                <w:ilvl w:val="0"/>
                <w:numId w:val="15"/>
              </w:numPr>
            </w:pPr>
            <w:r w:rsidRPr="00B72876">
              <w:t xml:space="preserve">The first requirement we adopt is that, in the event of a disaster declared either by the Governor of California or the President of the United States, IOUs and facilities-based telecommunications service providers shall each file a Tier 1 Advice Letter within 15 business days from when they are allowed into an affected area to assess the damage to their facilities.  </w:t>
            </w:r>
            <w:r w:rsidRPr="00B72876">
              <w:rPr>
                <w:b/>
              </w:rPr>
              <w:t xml:space="preserve">D.21-10-020, </w:t>
            </w:r>
            <w:proofErr w:type="gramStart"/>
            <w:r w:rsidRPr="00B72876">
              <w:rPr>
                <w:b/>
              </w:rPr>
              <w:t>at p.</w:t>
            </w:r>
            <w:proofErr w:type="gramEnd"/>
            <w:r w:rsidRPr="00B72876">
              <w:rPr>
                <w:b/>
              </w:rPr>
              <w:t xml:space="preserve"> 18.</w:t>
            </w:r>
          </w:p>
          <w:p w:rsidRPr="00B72876" w:rsidR="00B72876" w:rsidP="00B72876" w:rsidRDefault="00B72876" w14:paraId="667C66B1" w14:textId="77777777">
            <w:pPr>
              <w:numPr>
                <w:ilvl w:val="0"/>
                <w:numId w:val="15"/>
              </w:numPr>
            </w:pPr>
            <w:r w:rsidRPr="00B72876">
              <w:rPr>
                <w:i/>
              </w:rPr>
              <w:t xml:space="preserve">Finally, we adopt a 10 percent cap on administrative expenses associated with this grant.  As some parties note, Pub. Util. Code Section 280.5(b), which mandates </w:t>
            </w:r>
            <w:r w:rsidRPr="00B72876">
              <w:rPr>
                <w:i/>
              </w:rPr>
              <w:lastRenderedPageBreak/>
              <w:t xml:space="preserve">that "Not more than 5 percent of the revenues… be used to pay the costs incurred in connection with the administration of digital divide pilot projects…" appears to limit this Commission’s administrative expenses, not the administrative expenses this Commission imposes on grantees. </w:t>
            </w:r>
            <w:r w:rsidRPr="00B72876">
              <w:rPr>
                <w:b/>
              </w:rPr>
              <w:t>D.21-10-020, at p. 23.</w:t>
            </w:r>
          </w:p>
          <w:p w:rsidRPr="00B72876" w:rsidR="00B72876" w:rsidP="00B72876" w:rsidRDefault="00B72876" w14:paraId="11FCCEB5" w14:textId="4D7C82F8">
            <w:pPr>
              <w:rPr>
                <w:color w:val="000000"/>
              </w:rPr>
            </w:pPr>
            <w:r w:rsidRPr="00B72876">
              <w:rPr>
                <w:i/>
              </w:rPr>
              <w:t>We also are not persuaded by arguments that existing post-disaster reporting requirements are sufficient.  The Commission has received enough formal and informal complaints to suggest this is not the case.  Comments in the record from several types of consumer groups further support this point</w:t>
            </w:r>
            <w:r w:rsidRPr="00B72876">
              <w:t xml:space="preserve">.  </w:t>
            </w:r>
            <w:r w:rsidRPr="00B72876">
              <w:rPr>
                <w:b/>
              </w:rPr>
              <w:t xml:space="preserve">D.21-10-020, </w:t>
            </w:r>
            <w:proofErr w:type="gramStart"/>
            <w:r w:rsidRPr="00B72876">
              <w:rPr>
                <w:b/>
              </w:rPr>
              <w:t>at p.</w:t>
            </w:r>
            <w:proofErr w:type="gramEnd"/>
            <w:r w:rsidRPr="00B72876">
              <w:rPr>
                <w:b/>
              </w:rPr>
              <w:t xml:space="preserve"> 17.</w:t>
            </w:r>
          </w:p>
        </w:tc>
        <w:tc>
          <w:tcPr>
            <w:tcW w:w="4230" w:type="dxa"/>
            <w:shd w:val="clear" w:color="auto" w:fill="FFFFFF" w:themeFill="background1"/>
          </w:tcPr>
          <w:p w:rsidR="00B72876" w:rsidP="00B72876" w:rsidRDefault="00B72876" w14:paraId="2A8E365B" w14:textId="77777777">
            <w:pPr>
              <w:rPr>
                <w:color w:val="000000"/>
              </w:rPr>
            </w:pPr>
          </w:p>
          <w:p w:rsidR="0048283B" w:rsidP="00B72876" w:rsidRDefault="0048283B" w14:paraId="13E4F96B" w14:textId="77777777">
            <w:pPr>
              <w:rPr>
                <w:color w:val="000000"/>
              </w:rPr>
            </w:pPr>
          </w:p>
          <w:p w:rsidR="0048283B" w:rsidP="00B72876" w:rsidRDefault="0048283B" w14:paraId="2CD7D4EF" w14:textId="77777777">
            <w:pPr>
              <w:rPr>
                <w:color w:val="000000"/>
              </w:rPr>
            </w:pPr>
          </w:p>
          <w:p w:rsidR="0048283B" w:rsidP="00B72876" w:rsidRDefault="0048283B" w14:paraId="6A496C9F" w14:textId="77777777">
            <w:pPr>
              <w:rPr>
                <w:color w:val="000000"/>
              </w:rPr>
            </w:pPr>
          </w:p>
          <w:p w:rsidR="0048283B" w:rsidP="00B72876" w:rsidRDefault="0048283B" w14:paraId="2A82D133" w14:textId="77777777">
            <w:pPr>
              <w:rPr>
                <w:color w:val="000000"/>
              </w:rPr>
            </w:pPr>
          </w:p>
          <w:p w:rsidR="0048283B" w:rsidP="00B72876" w:rsidRDefault="0048283B" w14:paraId="5C3335A3" w14:textId="77777777">
            <w:pPr>
              <w:rPr>
                <w:color w:val="000000"/>
              </w:rPr>
            </w:pPr>
          </w:p>
          <w:p w:rsidR="0048283B" w:rsidP="00B72876" w:rsidRDefault="0048283B" w14:paraId="3CC15B09" w14:textId="77777777">
            <w:pPr>
              <w:rPr>
                <w:color w:val="000000"/>
              </w:rPr>
            </w:pPr>
          </w:p>
          <w:p w:rsidR="0048283B" w:rsidP="00B72876" w:rsidRDefault="0048283B" w14:paraId="6301C6E5" w14:textId="77777777">
            <w:pPr>
              <w:rPr>
                <w:color w:val="000000"/>
              </w:rPr>
            </w:pPr>
          </w:p>
          <w:p w:rsidR="0048283B" w:rsidP="00B72876" w:rsidRDefault="0048283B" w14:paraId="441077F4" w14:textId="77777777">
            <w:pPr>
              <w:rPr>
                <w:color w:val="000000"/>
              </w:rPr>
            </w:pPr>
          </w:p>
          <w:p w:rsidR="0048283B" w:rsidP="00B72876" w:rsidRDefault="0048283B" w14:paraId="33ED6D7A" w14:textId="77777777">
            <w:pPr>
              <w:rPr>
                <w:color w:val="000000"/>
              </w:rPr>
            </w:pPr>
          </w:p>
          <w:p w:rsidR="0048283B" w:rsidP="00B72876" w:rsidRDefault="0048283B" w14:paraId="74F8F515" w14:textId="77777777">
            <w:pPr>
              <w:rPr>
                <w:color w:val="000000"/>
              </w:rPr>
            </w:pPr>
          </w:p>
          <w:p w:rsidR="0048283B" w:rsidP="00B72876" w:rsidRDefault="0048283B" w14:paraId="442F5325" w14:textId="77777777">
            <w:pPr>
              <w:rPr>
                <w:color w:val="000000"/>
              </w:rPr>
            </w:pPr>
          </w:p>
          <w:p w:rsidR="0048283B" w:rsidP="00B72876" w:rsidRDefault="0048283B" w14:paraId="11396315" w14:textId="77777777">
            <w:pPr>
              <w:rPr>
                <w:color w:val="000000"/>
              </w:rPr>
            </w:pPr>
          </w:p>
          <w:p w:rsidR="0048283B" w:rsidP="00B72876" w:rsidRDefault="0048283B" w14:paraId="0D19F75F" w14:textId="77777777">
            <w:pPr>
              <w:rPr>
                <w:color w:val="000000"/>
              </w:rPr>
            </w:pPr>
          </w:p>
          <w:p w:rsidR="0048283B" w:rsidP="00B72876" w:rsidRDefault="0048283B" w14:paraId="2F02F6CD" w14:textId="77777777">
            <w:pPr>
              <w:rPr>
                <w:color w:val="000000"/>
              </w:rPr>
            </w:pPr>
          </w:p>
          <w:p w:rsidR="0048283B" w:rsidP="00B72876" w:rsidRDefault="0048283B" w14:paraId="142B2301" w14:textId="77777777">
            <w:pPr>
              <w:rPr>
                <w:color w:val="000000"/>
              </w:rPr>
            </w:pPr>
          </w:p>
          <w:p w:rsidR="0048283B" w:rsidP="00B72876" w:rsidRDefault="0048283B" w14:paraId="25D41679" w14:textId="77777777">
            <w:pPr>
              <w:rPr>
                <w:color w:val="000000"/>
              </w:rPr>
            </w:pPr>
          </w:p>
          <w:p w:rsidR="0048283B" w:rsidP="00B72876" w:rsidRDefault="0048283B" w14:paraId="3E808F28" w14:textId="77777777">
            <w:pPr>
              <w:rPr>
                <w:color w:val="000000"/>
              </w:rPr>
            </w:pPr>
          </w:p>
          <w:p w:rsidR="0048283B" w:rsidP="00B72876" w:rsidRDefault="0048283B" w14:paraId="68114981" w14:textId="77777777">
            <w:pPr>
              <w:rPr>
                <w:color w:val="000000"/>
              </w:rPr>
            </w:pPr>
          </w:p>
          <w:p w:rsidR="0048283B" w:rsidP="00B72876" w:rsidRDefault="0048283B" w14:paraId="15268F3F" w14:textId="77777777">
            <w:pPr>
              <w:rPr>
                <w:color w:val="000000"/>
              </w:rPr>
            </w:pPr>
          </w:p>
          <w:p w:rsidRPr="0048283B" w:rsidR="0048283B" w:rsidP="0048283B" w:rsidRDefault="0048283B" w14:paraId="0CE68954" w14:textId="77777777">
            <w:pPr>
              <w:numPr>
                <w:ilvl w:val="0"/>
                <w:numId w:val="15"/>
              </w:numPr>
              <w:contextualSpacing/>
              <w:rPr>
                <w:rFonts w:eastAsia="Calibri"/>
              </w:rPr>
            </w:pPr>
            <w:r w:rsidRPr="0048283B">
              <w:rPr>
                <w:rFonts w:eastAsia="Calibri"/>
                <w:i/>
              </w:rPr>
              <w:t>UCAN recognizes that the funds in the Digital Divide Account are fairly limited and minimal, hence, the acceptance that any pilot program approaches cannot simply accommodate all, UCAN does wish to point out that urban areas – particularly in SDG&amp;E’s service areas – also face the same, significant broadband obstacles of access and affordability. In fact, recent review of this same issue, easily document that urban areas – across the State – suffer from these same concerns as rural areas.</w:t>
            </w:r>
            <w:r w:rsidRPr="0048283B">
              <w:rPr>
                <w:rFonts w:eastAsia="Calibri"/>
              </w:rPr>
              <w:t xml:space="preserve">  </w:t>
            </w:r>
            <w:r w:rsidRPr="0048283B">
              <w:rPr>
                <w:rFonts w:eastAsia="Calibri"/>
                <w:b/>
              </w:rPr>
              <w:t>COMMENTS ON ASSIGNED COMMISSIONER’S AMENDED SCOPING MEMO AND RULING, at p. 4.</w:t>
            </w:r>
          </w:p>
          <w:p w:rsidRPr="0048283B" w:rsidR="0048283B" w:rsidP="0048283B" w:rsidRDefault="0048283B" w14:paraId="032F19EF" w14:textId="77777777">
            <w:pPr>
              <w:numPr>
                <w:ilvl w:val="0"/>
                <w:numId w:val="15"/>
              </w:numPr>
              <w:contextualSpacing/>
              <w:rPr>
                <w:rFonts w:eastAsia="Calibri"/>
              </w:rPr>
            </w:pPr>
            <w:r w:rsidRPr="0048283B">
              <w:rPr>
                <w:rFonts w:eastAsia="Calibri"/>
                <w:i/>
              </w:rPr>
              <w:t xml:space="preserve">Most parties question the rationale for Staff’s proposed exclusion of urban schools from the proposed Digital Divide Account Pilot Program. The comments on this point are persuasive and consistent with </w:t>
            </w:r>
            <w:r w:rsidRPr="0048283B">
              <w:rPr>
                <w:rFonts w:eastAsia="Calibri"/>
                <w:i/>
              </w:rPr>
              <w:lastRenderedPageBreak/>
              <w:t>UCAN’s original position on this point. UCAN reiterates its recommendation that the Pilot Program be modified to include at least one urban school. The digital divide affects not only rural areas but also urban areas, where the presence and quality of broadband services can vary enormously from zip code to zip code, from community to community. The purpose of the Pilot Program is, in part, to gather lessons learned – the lessons to be learned in an urban environment may well differ in some ways from the lessons learned in rural areas</w:t>
            </w:r>
            <w:r w:rsidRPr="0048283B">
              <w:rPr>
                <w:rFonts w:eastAsia="Calibri"/>
              </w:rPr>
              <w:t xml:space="preserve">. </w:t>
            </w:r>
            <w:r w:rsidRPr="0048283B">
              <w:rPr>
                <w:rFonts w:eastAsia="Calibri"/>
                <w:b/>
              </w:rPr>
              <w:t>PHASE I SUPPLEMENTAL REPLY COMMENTS, at p. 6.</w:t>
            </w:r>
          </w:p>
          <w:p w:rsidRPr="0048283B" w:rsidR="0048283B" w:rsidP="0048283B" w:rsidRDefault="0048283B" w14:paraId="4102A510" w14:textId="77777777">
            <w:pPr>
              <w:numPr>
                <w:ilvl w:val="0"/>
                <w:numId w:val="15"/>
              </w:numPr>
              <w:contextualSpacing/>
              <w:rPr>
                <w:rFonts w:eastAsia="Calibri"/>
                <w:b/>
              </w:rPr>
            </w:pPr>
            <w:r w:rsidRPr="0048283B">
              <w:rPr>
                <w:rFonts w:eastAsia="Calibri"/>
                <w:i/>
              </w:rPr>
              <w:t>Again, UCAN argues that urban schools also should benefit from the Digital Divide Account grant program, because students in urban areas are affected in pockets by the same broadband access problems as students in rural areas. Like other parties, UCAN opines that excluding urban schools would not comply with the requirement in statute to disburse the funds widely. Consequently, UCAN supports the PD’s modification to the proposal to include urban schools</w:t>
            </w:r>
            <w:r w:rsidRPr="0048283B">
              <w:rPr>
                <w:rFonts w:eastAsia="Calibri"/>
                <w:b/>
              </w:rPr>
              <w:t>. OPENING COMMENTS ON PROPOSED DECISION, at p. 3.</w:t>
            </w:r>
          </w:p>
          <w:p w:rsidR="0048283B" w:rsidP="00B72876" w:rsidRDefault="0048283B" w14:paraId="6EEC2426" w14:textId="77777777">
            <w:pPr>
              <w:rPr>
                <w:color w:val="000000"/>
              </w:rPr>
            </w:pPr>
          </w:p>
          <w:p w:rsidR="0048283B" w:rsidP="00B72876" w:rsidRDefault="0048283B" w14:paraId="00403810" w14:textId="77777777">
            <w:pPr>
              <w:rPr>
                <w:color w:val="000000"/>
              </w:rPr>
            </w:pPr>
          </w:p>
          <w:p w:rsidR="0048283B" w:rsidP="00B72876" w:rsidRDefault="0048283B" w14:paraId="108F7B40" w14:textId="77777777">
            <w:pPr>
              <w:rPr>
                <w:color w:val="000000"/>
              </w:rPr>
            </w:pPr>
          </w:p>
          <w:p w:rsidR="0048283B" w:rsidP="00B72876" w:rsidRDefault="0048283B" w14:paraId="7538604A" w14:textId="77777777">
            <w:pPr>
              <w:rPr>
                <w:color w:val="000000"/>
              </w:rPr>
            </w:pPr>
          </w:p>
          <w:p w:rsidR="0048283B" w:rsidP="00B72876" w:rsidRDefault="0048283B" w14:paraId="4EA2D5A2" w14:textId="77777777">
            <w:pPr>
              <w:rPr>
                <w:color w:val="000000"/>
              </w:rPr>
            </w:pPr>
          </w:p>
          <w:p w:rsidR="0048283B" w:rsidP="00B72876" w:rsidRDefault="0048283B" w14:paraId="5DE52DC9" w14:textId="77777777">
            <w:pPr>
              <w:rPr>
                <w:color w:val="000000"/>
              </w:rPr>
            </w:pPr>
          </w:p>
          <w:p w:rsidR="0048283B" w:rsidP="00B72876" w:rsidRDefault="0048283B" w14:paraId="5B49F97E" w14:textId="77777777">
            <w:pPr>
              <w:rPr>
                <w:color w:val="000000"/>
              </w:rPr>
            </w:pPr>
          </w:p>
          <w:p w:rsidR="0048283B" w:rsidP="00B72876" w:rsidRDefault="0048283B" w14:paraId="410B3285" w14:textId="77777777">
            <w:pPr>
              <w:rPr>
                <w:color w:val="000000"/>
              </w:rPr>
            </w:pPr>
          </w:p>
          <w:p w:rsidR="0048283B" w:rsidP="00B72876" w:rsidRDefault="0048283B" w14:paraId="77401B9F" w14:textId="77777777">
            <w:pPr>
              <w:rPr>
                <w:color w:val="000000"/>
              </w:rPr>
            </w:pPr>
          </w:p>
          <w:p w:rsidR="0048283B" w:rsidP="00B72876" w:rsidRDefault="0048283B" w14:paraId="0A22C44E" w14:textId="77777777">
            <w:pPr>
              <w:rPr>
                <w:color w:val="000000"/>
              </w:rPr>
            </w:pPr>
          </w:p>
          <w:p w:rsidR="0048283B" w:rsidP="00B72876" w:rsidRDefault="0048283B" w14:paraId="6DC557B7" w14:textId="77777777">
            <w:pPr>
              <w:rPr>
                <w:color w:val="000000"/>
              </w:rPr>
            </w:pPr>
          </w:p>
          <w:p w:rsidR="0048283B" w:rsidP="00B72876" w:rsidRDefault="0048283B" w14:paraId="4086B34A" w14:textId="77777777">
            <w:pPr>
              <w:rPr>
                <w:color w:val="000000"/>
              </w:rPr>
            </w:pPr>
          </w:p>
          <w:p w:rsidR="0048283B" w:rsidP="00B72876" w:rsidRDefault="0048283B" w14:paraId="2ABA567E" w14:textId="77777777">
            <w:pPr>
              <w:rPr>
                <w:color w:val="000000"/>
              </w:rPr>
            </w:pPr>
          </w:p>
          <w:p w:rsidR="0048283B" w:rsidP="00B72876" w:rsidRDefault="0048283B" w14:paraId="6EA6E257" w14:textId="77777777">
            <w:pPr>
              <w:rPr>
                <w:color w:val="000000"/>
              </w:rPr>
            </w:pPr>
          </w:p>
          <w:p w:rsidR="0048283B" w:rsidP="00B72876" w:rsidRDefault="0048283B" w14:paraId="032C414B" w14:textId="77777777">
            <w:pPr>
              <w:rPr>
                <w:color w:val="000000"/>
              </w:rPr>
            </w:pPr>
          </w:p>
          <w:p w:rsidR="0048283B" w:rsidP="00B72876" w:rsidRDefault="0048283B" w14:paraId="2B44CC37" w14:textId="77777777">
            <w:pPr>
              <w:rPr>
                <w:color w:val="000000"/>
              </w:rPr>
            </w:pPr>
          </w:p>
          <w:p w:rsidR="0048283B" w:rsidP="00B72876" w:rsidRDefault="0048283B" w14:paraId="0A78559F" w14:textId="77777777">
            <w:pPr>
              <w:rPr>
                <w:color w:val="000000"/>
              </w:rPr>
            </w:pPr>
          </w:p>
          <w:p w:rsidR="0048283B" w:rsidP="00B72876" w:rsidRDefault="0048283B" w14:paraId="5CCC0767" w14:textId="77777777">
            <w:pPr>
              <w:rPr>
                <w:color w:val="000000"/>
              </w:rPr>
            </w:pPr>
          </w:p>
          <w:p w:rsidR="0048283B" w:rsidP="00B72876" w:rsidRDefault="0048283B" w14:paraId="5D33BDC9" w14:textId="77777777">
            <w:pPr>
              <w:rPr>
                <w:color w:val="000000"/>
              </w:rPr>
            </w:pPr>
          </w:p>
          <w:p w:rsidR="0048283B" w:rsidP="00B72876" w:rsidRDefault="0048283B" w14:paraId="4034EA67" w14:textId="77777777">
            <w:pPr>
              <w:rPr>
                <w:color w:val="000000"/>
              </w:rPr>
            </w:pPr>
          </w:p>
          <w:p w:rsidR="0048283B" w:rsidP="00B72876" w:rsidRDefault="0048283B" w14:paraId="3508911A" w14:textId="77777777">
            <w:pPr>
              <w:rPr>
                <w:color w:val="000000"/>
              </w:rPr>
            </w:pPr>
          </w:p>
          <w:p w:rsidR="0048283B" w:rsidP="00B72876" w:rsidRDefault="0048283B" w14:paraId="10205749" w14:textId="77777777">
            <w:pPr>
              <w:rPr>
                <w:color w:val="000000"/>
              </w:rPr>
            </w:pPr>
          </w:p>
          <w:p w:rsidR="0048283B" w:rsidP="00B72876" w:rsidRDefault="0048283B" w14:paraId="669D99B0" w14:textId="77777777">
            <w:pPr>
              <w:rPr>
                <w:color w:val="000000"/>
              </w:rPr>
            </w:pPr>
          </w:p>
          <w:p w:rsidR="0048283B" w:rsidP="00B72876" w:rsidRDefault="0048283B" w14:paraId="601C1CBC" w14:textId="77777777">
            <w:pPr>
              <w:rPr>
                <w:color w:val="000000"/>
              </w:rPr>
            </w:pPr>
          </w:p>
          <w:p w:rsidR="0048283B" w:rsidP="00B72876" w:rsidRDefault="0048283B" w14:paraId="2EB18B50" w14:textId="77777777">
            <w:pPr>
              <w:rPr>
                <w:color w:val="000000"/>
              </w:rPr>
            </w:pPr>
          </w:p>
          <w:p w:rsidR="0048283B" w:rsidP="00B72876" w:rsidRDefault="0048283B" w14:paraId="14579818" w14:textId="77777777">
            <w:pPr>
              <w:rPr>
                <w:color w:val="000000"/>
              </w:rPr>
            </w:pPr>
          </w:p>
          <w:p w:rsidR="0048283B" w:rsidP="00B72876" w:rsidRDefault="0048283B" w14:paraId="68883559" w14:textId="77777777">
            <w:pPr>
              <w:rPr>
                <w:color w:val="000000"/>
              </w:rPr>
            </w:pPr>
          </w:p>
          <w:p w:rsidR="0048283B" w:rsidP="00B72876" w:rsidRDefault="0048283B" w14:paraId="094FB708" w14:textId="77777777">
            <w:pPr>
              <w:rPr>
                <w:color w:val="000000"/>
              </w:rPr>
            </w:pPr>
          </w:p>
          <w:p w:rsidR="0048283B" w:rsidP="00B72876" w:rsidRDefault="0048283B" w14:paraId="32C6F539" w14:textId="77777777">
            <w:pPr>
              <w:rPr>
                <w:color w:val="000000"/>
              </w:rPr>
            </w:pPr>
          </w:p>
          <w:p w:rsidR="0048283B" w:rsidP="00B72876" w:rsidRDefault="0048283B" w14:paraId="27C8A0B6" w14:textId="77777777">
            <w:pPr>
              <w:rPr>
                <w:color w:val="000000"/>
              </w:rPr>
            </w:pPr>
          </w:p>
          <w:p w:rsidR="0048283B" w:rsidP="00B72876" w:rsidRDefault="0048283B" w14:paraId="2375602F" w14:textId="77777777">
            <w:pPr>
              <w:rPr>
                <w:color w:val="000000"/>
              </w:rPr>
            </w:pPr>
          </w:p>
          <w:p w:rsidR="0048283B" w:rsidP="00B72876" w:rsidRDefault="0048283B" w14:paraId="01FFB111" w14:textId="77777777">
            <w:pPr>
              <w:rPr>
                <w:color w:val="000000"/>
              </w:rPr>
            </w:pPr>
          </w:p>
          <w:p w:rsidR="0048283B" w:rsidP="00B72876" w:rsidRDefault="0048283B" w14:paraId="18E8FAD0" w14:textId="77777777">
            <w:pPr>
              <w:rPr>
                <w:color w:val="000000"/>
              </w:rPr>
            </w:pPr>
          </w:p>
          <w:p w:rsidR="0048283B" w:rsidP="00B72876" w:rsidRDefault="0048283B" w14:paraId="125A4106" w14:textId="77777777">
            <w:pPr>
              <w:rPr>
                <w:color w:val="000000"/>
              </w:rPr>
            </w:pPr>
          </w:p>
          <w:p w:rsidR="0048283B" w:rsidP="00B72876" w:rsidRDefault="0048283B" w14:paraId="7F0DEC89" w14:textId="77777777">
            <w:pPr>
              <w:rPr>
                <w:color w:val="000000"/>
              </w:rPr>
            </w:pPr>
          </w:p>
          <w:p w:rsidR="0048283B" w:rsidP="00B72876" w:rsidRDefault="0048283B" w14:paraId="0B0DB661" w14:textId="77777777">
            <w:pPr>
              <w:rPr>
                <w:color w:val="000000"/>
              </w:rPr>
            </w:pPr>
          </w:p>
          <w:p w:rsidR="0048283B" w:rsidP="00B72876" w:rsidRDefault="0048283B" w14:paraId="19166DA0" w14:textId="77777777">
            <w:pPr>
              <w:rPr>
                <w:color w:val="000000"/>
              </w:rPr>
            </w:pPr>
          </w:p>
          <w:p w:rsidR="0048283B" w:rsidP="00B72876" w:rsidRDefault="0048283B" w14:paraId="7EFC9F4F" w14:textId="3CE38F5A">
            <w:pPr>
              <w:rPr>
                <w:color w:val="000000"/>
              </w:rPr>
            </w:pPr>
          </w:p>
          <w:p w:rsidR="008161B1" w:rsidP="00B72876" w:rsidRDefault="008161B1" w14:paraId="00FF34DC" w14:textId="32DBA7F7">
            <w:pPr>
              <w:rPr>
                <w:color w:val="000000"/>
              </w:rPr>
            </w:pPr>
          </w:p>
          <w:p w:rsidR="008161B1" w:rsidP="00B72876" w:rsidRDefault="008161B1" w14:paraId="2FC78D24" w14:textId="77777777">
            <w:pPr>
              <w:rPr>
                <w:color w:val="000000"/>
              </w:rPr>
            </w:pPr>
          </w:p>
          <w:p w:rsidR="0048283B" w:rsidP="00B72876" w:rsidRDefault="0048283B" w14:paraId="67030D7C" w14:textId="77777777">
            <w:pPr>
              <w:rPr>
                <w:color w:val="000000"/>
              </w:rPr>
            </w:pPr>
          </w:p>
          <w:p w:rsidRPr="0048283B" w:rsidR="0048283B" w:rsidP="0048283B" w:rsidRDefault="0048283B" w14:paraId="1D285142" w14:textId="77777777">
            <w:pPr>
              <w:numPr>
                <w:ilvl w:val="0"/>
                <w:numId w:val="15"/>
              </w:numPr>
              <w:rPr>
                <w:rFonts w:eastAsia="Calibri"/>
                <w:b/>
              </w:rPr>
            </w:pPr>
            <w:r w:rsidRPr="00905AB6">
              <w:rPr>
                <w:rFonts w:eastAsia="Calibri"/>
                <w:i/>
              </w:rPr>
              <w:t xml:space="preserve">UCAN welcomes the PD statement that this proceeding is continuing to investigate ways to leverage existing IOU fiber, as well as future fiber builds, and wildfire hardening work, to assist in serving unserved and underserved communities . . . and UCAN wishes to recognize that the PD, in fact, affirmatively rejects the notion that leveraging IOU fiber to serve unserved communities somehow violates </w:t>
            </w:r>
            <w:r w:rsidRPr="00905AB6">
              <w:rPr>
                <w:rFonts w:eastAsia="Calibri"/>
                <w:i/>
              </w:rPr>
              <w:lastRenderedPageBreak/>
              <w:t>statute or is anticompetitive. Moreover, along these lines, UCAN supports the PD’s vision that this proceeding should continue to explore options that include local and tribal</w:t>
            </w:r>
            <w:r w:rsidRPr="00DC5D11">
              <w:rPr>
                <w:rFonts w:eastAsia="Calibri"/>
                <w:i/>
              </w:rPr>
              <w:t xml:space="preserve"> </w:t>
            </w:r>
            <w:r w:rsidRPr="00905AB6">
              <w:rPr>
                <w:rFonts w:eastAsia="Calibri"/>
                <w:i/>
              </w:rPr>
              <w:t>governments.</w:t>
            </w:r>
            <w:r w:rsidRPr="0048283B">
              <w:rPr>
                <w:rFonts w:eastAsia="Calibri"/>
              </w:rPr>
              <w:t xml:space="preserve">  </w:t>
            </w:r>
            <w:r w:rsidRPr="0048283B">
              <w:rPr>
                <w:rFonts w:eastAsia="Calibri"/>
                <w:b/>
              </w:rPr>
              <w:t>OPENING COMMENTS ON PROPOSED DECISION, at p. 2.</w:t>
            </w:r>
          </w:p>
          <w:p w:rsidRPr="0048283B" w:rsidR="0048283B" w:rsidP="0048283B" w:rsidRDefault="0048283B" w14:paraId="2EC20A99" w14:textId="77777777">
            <w:pPr>
              <w:numPr>
                <w:ilvl w:val="0"/>
                <w:numId w:val="15"/>
              </w:numPr>
              <w:rPr>
                <w:rFonts w:eastAsia="Calibri"/>
                <w:b/>
              </w:rPr>
            </w:pPr>
            <w:r w:rsidRPr="00905AB6">
              <w:rPr>
                <w:rFonts w:eastAsia="Calibri"/>
                <w:i/>
              </w:rPr>
              <w:t>Keeping the Commission informed about ILECs’ post-disaster construction plans, as would occur if Staff’s proposal were adopted, does not necessarily infringe on ILECs’ construction decisions, and, for this reason, UCAN regards ILECs’ concerns as overly skittish about regulatory oversight. It is not surprising that telecommunications and cable companies do not want to be held accountable to the Commission regarding their post-disaster construction plans.</w:t>
            </w:r>
            <w:r w:rsidRPr="00905AB6">
              <w:rPr>
                <w:rFonts w:eastAsia="Calibri"/>
              </w:rPr>
              <w:t xml:space="preserve"> </w:t>
            </w:r>
            <w:r w:rsidRPr="00905AB6">
              <w:rPr>
                <w:rFonts w:eastAsia="Calibri"/>
                <w:i/>
              </w:rPr>
              <w:t>Although UCAN does not address the legal arguments that they make, UCAN supports fully, as a policy matter, the Commission’s</w:t>
            </w:r>
            <w:r w:rsidRPr="00905AB6">
              <w:rPr>
                <w:rFonts w:eastAsia="Calibri"/>
                <w:b/>
                <w:i/>
              </w:rPr>
              <w:t xml:space="preserve"> </w:t>
            </w:r>
            <w:r w:rsidRPr="00905AB6">
              <w:rPr>
                <w:rFonts w:eastAsia="Calibri"/>
                <w:i/>
              </w:rPr>
              <w:t>oversight of broadband providers, and the reliability of the networks of cable and telecommunications carriers. If not the Commission, then what entity will hold communications providers accountable to consumers and more generally to the state of California regarding their post-disaster construction plans?</w:t>
            </w:r>
            <w:r w:rsidRPr="0048283B">
              <w:rPr>
                <w:rFonts w:eastAsia="Calibri"/>
                <w:b/>
              </w:rPr>
              <w:t xml:space="preserve">  PHASE I SUPPLEMENTAL REPLY COMMENTS, at p. 3.</w:t>
            </w:r>
          </w:p>
          <w:p w:rsidRPr="0048283B" w:rsidR="0048283B" w:rsidP="0048283B" w:rsidRDefault="0048283B" w14:paraId="651D5D35" w14:textId="77777777">
            <w:pPr>
              <w:numPr>
                <w:ilvl w:val="0"/>
                <w:numId w:val="15"/>
              </w:numPr>
              <w:rPr>
                <w:rFonts w:eastAsia="Calibri"/>
                <w:b/>
              </w:rPr>
            </w:pPr>
            <w:r w:rsidRPr="0048283B">
              <w:rPr>
                <w:rFonts w:eastAsia="Calibri"/>
                <w:i/>
              </w:rPr>
              <w:t>CCTA observes “[</w:t>
            </w:r>
            <w:proofErr w:type="spellStart"/>
            <w:r w:rsidRPr="0048283B">
              <w:rPr>
                <w:rFonts w:eastAsia="Calibri"/>
                <w:i/>
              </w:rPr>
              <w:t>i</w:t>
            </w:r>
            <w:proofErr w:type="spellEnd"/>
            <w:r w:rsidRPr="0048283B">
              <w:rPr>
                <w:rFonts w:eastAsia="Calibri"/>
                <w:i/>
              </w:rPr>
              <w:t xml:space="preserve">]t is not necessary, appropriate, or lawful for the CPUC to assert ‘comprehensive jurisdiction’ over </w:t>
            </w:r>
            <w:r w:rsidRPr="0048283B">
              <w:rPr>
                <w:rFonts w:eastAsia="Calibri"/>
                <w:i/>
              </w:rPr>
              <w:lastRenderedPageBreak/>
              <w:t>‘advanced communications services’ to undertake these steps that will most effectively and expeditiously advance California broadband goals.” AT&amp;T also provides a similar refrain in its comments. UCAN urges the Commission to reject these narrow views of the Commission’s authority over broadband.</w:t>
            </w:r>
            <w:r w:rsidRPr="0048283B">
              <w:rPr>
                <w:rFonts w:eastAsia="Calibri"/>
                <w:b/>
              </w:rPr>
              <w:t xml:space="preserve"> REPLY COMMENTS TO ORDER INSTITUTING RULEMAKING, at p. 3.</w:t>
            </w:r>
          </w:p>
          <w:p w:rsidR="0048283B" w:rsidP="0048283B" w:rsidRDefault="0048283B" w14:paraId="328D9AFD" w14:textId="0BBA38BE">
            <w:pPr>
              <w:rPr>
                <w:rFonts w:eastAsia="Calibri"/>
                <w:b/>
              </w:rPr>
            </w:pPr>
          </w:p>
          <w:p w:rsidRPr="0048283B" w:rsidR="008161B1" w:rsidP="0048283B" w:rsidRDefault="008161B1" w14:paraId="021F75AB" w14:textId="77777777">
            <w:pPr>
              <w:rPr>
                <w:rFonts w:eastAsia="Calibri"/>
                <w:b/>
              </w:rPr>
            </w:pPr>
          </w:p>
          <w:p w:rsidRPr="0048283B" w:rsidR="0048283B" w:rsidP="0048283B" w:rsidRDefault="0048283B" w14:paraId="7D7FA27D" w14:textId="77777777">
            <w:pPr>
              <w:numPr>
                <w:ilvl w:val="0"/>
                <w:numId w:val="15"/>
              </w:numPr>
              <w:contextualSpacing/>
              <w:rPr>
                <w:rFonts w:eastAsia="Calibri"/>
                <w:b/>
                <w:i/>
              </w:rPr>
            </w:pPr>
            <w:r w:rsidRPr="0048283B">
              <w:rPr>
                <w:rFonts w:eastAsia="Calibri"/>
                <w:i/>
              </w:rPr>
              <w:t xml:space="preserve">UCAN finds reasonable the Assigned Commissioner’s proposal that the Commission </w:t>
            </w:r>
            <w:proofErr w:type="gramStart"/>
            <w:r w:rsidRPr="0048283B">
              <w:rPr>
                <w:rFonts w:eastAsia="Calibri"/>
                <w:i/>
              </w:rPr>
              <w:t>require</w:t>
            </w:r>
            <w:proofErr w:type="gramEnd"/>
            <w:r w:rsidRPr="0048283B">
              <w:rPr>
                <w:rFonts w:eastAsia="Calibri"/>
                <w:i/>
              </w:rPr>
              <w:t xml:space="preserve"> the IOUs and the communications provider to each file an advice letter detailing the impact of the disaster on their facilities, and to include service restoration plans, no later than 15 days after the disaster. UCAN also supports the proposed requirement that IOUs and communications providers meet and confer prior to filing their advice letter.  </w:t>
            </w:r>
            <w:r w:rsidRPr="0048283B">
              <w:rPr>
                <w:rFonts w:eastAsia="Calibri"/>
                <w:b/>
              </w:rPr>
              <w:t>PHASE I SUPPLEMENTAL REPLY COMMENTS, at p. 3.</w:t>
            </w:r>
          </w:p>
          <w:p w:rsidRPr="0048283B" w:rsidR="0048283B" w:rsidP="0048283B" w:rsidRDefault="0048283B" w14:paraId="248999A9" w14:textId="77777777">
            <w:pPr>
              <w:spacing w:after="160" w:line="259" w:lineRule="auto"/>
              <w:contextualSpacing/>
              <w:rPr>
                <w:rFonts w:eastAsia="Calibri"/>
                <w:i/>
              </w:rPr>
            </w:pPr>
          </w:p>
          <w:p w:rsidRPr="0048283B" w:rsidR="0048283B" w:rsidP="0048283B" w:rsidRDefault="0048283B" w14:paraId="4DD8B2CC" w14:textId="77777777">
            <w:pPr>
              <w:numPr>
                <w:ilvl w:val="0"/>
                <w:numId w:val="15"/>
              </w:numPr>
              <w:spacing w:after="160" w:line="259" w:lineRule="auto"/>
              <w:contextualSpacing/>
              <w:rPr>
                <w:rFonts w:eastAsia="Calibri"/>
                <w:b/>
              </w:rPr>
            </w:pPr>
            <w:r w:rsidRPr="00905AB6">
              <w:rPr>
                <w:rFonts w:eastAsia="Calibri"/>
                <w:i/>
              </w:rPr>
              <w:t xml:space="preserve">UCAN is disappointed with the PD observation that “we cannot increase the cap on administrative expenses and still </w:t>
            </w:r>
            <w:proofErr w:type="gramStart"/>
            <w:r w:rsidRPr="00905AB6">
              <w:rPr>
                <w:rFonts w:eastAsia="Calibri"/>
                <w:i/>
              </w:rPr>
              <w:t>be in compliance with</w:t>
            </w:r>
            <w:proofErr w:type="gramEnd"/>
            <w:r w:rsidRPr="00905AB6">
              <w:rPr>
                <w:rFonts w:eastAsia="Calibri"/>
                <w:i/>
              </w:rPr>
              <w:t xml:space="preserve"> Pub. Util. Code Section 280.5(b) . . . The Decision, itself, acknowledges the challenges of CBOs working with a low administrative expense allocation</w:t>
            </w:r>
            <w:r w:rsidRPr="00905AB6">
              <w:rPr>
                <w:rFonts w:eastAsia="Calibri"/>
              </w:rPr>
              <w:t>.</w:t>
            </w:r>
            <w:r w:rsidRPr="0048283B">
              <w:rPr>
                <w:rFonts w:eastAsia="Calibri"/>
              </w:rPr>
              <w:t xml:space="preserve">  </w:t>
            </w:r>
            <w:r w:rsidRPr="0048283B">
              <w:rPr>
                <w:rFonts w:eastAsia="Calibri"/>
                <w:b/>
              </w:rPr>
              <w:t xml:space="preserve">OPENING </w:t>
            </w:r>
            <w:r w:rsidRPr="0048283B">
              <w:rPr>
                <w:rFonts w:eastAsia="Calibri"/>
                <w:b/>
              </w:rPr>
              <w:lastRenderedPageBreak/>
              <w:t>COMMENTS ON PROPOSED DECISION, at p. 4.</w:t>
            </w:r>
          </w:p>
          <w:p w:rsidRPr="0048283B" w:rsidR="0048283B" w:rsidP="0048283B" w:rsidRDefault="0048283B" w14:paraId="0D50241D" w14:textId="77777777">
            <w:pPr>
              <w:numPr>
                <w:ilvl w:val="0"/>
                <w:numId w:val="15"/>
              </w:numPr>
              <w:spacing w:after="160" w:line="259" w:lineRule="auto"/>
              <w:contextualSpacing/>
              <w:rPr>
                <w:rFonts w:eastAsia="Calibri"/>
                <w:b/>
              </w:rPr>
            </w:pPr>
            <w:r w:rsidRPr="0048283B">
              <w:rPr>
                <w:rFonts w:eastAsia="Calibri"/>
                <w:i/>
              </w:rPr>
              <w:t>Also, as UCAN explains in its initial comments, it is critically important that affected communities be informed about and have a meaningful opportunity to comment on IOUs’ and communications providers’ post-disaster construction plans.</w:t>
            </w:r>
            <w:r w:rsidRPr="0048283B">
              <w:rPr>
                <w:rFonts w:eastAsia="Calibri"/>
                <w:b/>
              </w:rPr>
              <w:t xml:space="preserve">  PHASE I SUPPLEMENTAL REPLY COMMENTS, at p. 4.</w:t>
            </w:r>
          </w:p>
          <w:p w:rsidRPr="0048283B" w:rsidR="0048283B" w:rsidP="0048283B" w:rsidRDefault="0048283B" w14:paraId="56862481" w14:textId="77777777">
            <w:pPr>
              <w:numPr>
                <w:ilvl w:val="0"/>
                <w:numId w:val="15"/>
              </w:numPr>
              <w:spacing w:after="160" w:line="259" w:lineRule="auto"/>
              <w:contextualSpacing/>
              <w:rPr>
                <w:rFonts w:eastAsia="Calibri"/>
                <w:b/>
              </w:rPr>
            </w:pPr>
            <w:r w:rsidRPr="0048283B">
              <w:rPr>
                <w:rFonts w:eastAsia="Calibri"/>
                <w:i/>
              </w:rPr>
              <w:t>Along this line, shining light on information, data, costs, challenges and opportunities to deploy broadband infrastructure, while not formally adopted in the Decision, like other parties, UCAN supported the proposal that, if a post-disaster utility infrastructure rebuild involves undergrounding and the range of costs or the cost sharing arrangement differs from this Commission’s Rule 20 formulas, the IOU must explain the reason for the difference.</w:t>
            </w:r>
            <w:r w:rsidRPr="0048283B">
              <w:rPr>
                <w:rFonts w:eastAsia="Calibri"/>
              </w:rPr>
              <w:t xml:space="preserve"> </w:t>
            </w:r>
            <w:r w:rsidRPr="0048283B">
              <w:rPr>
                <w:rFonts w:eastAsia="Calibri"/>
                <w:b/>
              </w:rPr>
              <w:t>OPENING COMMENTS ON PROPOSED DECISION, at p. 3.</w:t>
            </w:r>
          </w:p>
          <w:p w:rsidRPr="0048283B" w:rsidR="0048283B" w:rsidP="0048283B" w:rsidRDefault="0048283B" w14:paraId="73335D00" w14:textId="77777777">
            <w:pPr>
              <w:numPr>
                <w:ilvl w:val="0"/>
                <w:numId w:val="15"/>
              </w:numPr>
              <w:contextualSpacing/>
              <w:rPr>
                <w:rFonts w:eastAsia="Calibri"/>
                <w:b/>
              </w:rPr>
            </w:pPr>
            <w:r w:rsidRPr="00905AB6">
              <w:rPr>
                <w:rFonts w:eastAsia="Calibri"/>
                <w:i/>
              </w:rPr>
              <w:t xml:space="preserve">Again, while acknowledging the unresolved regulatory field in front of the Commission, UCAN disagrees with the Decision’s </w:t>
            </w:r>
            <w:proofErr w:type="gramStart"/>
            <w:r w:rsidRPr="00905AB6">
              <w:rPr>
                <w:rFonts w:eastAsia="Calibri"/>
                <w:i/>
              </w:rPr>
              <w:t>declination</w:t>
            </w:r>
            <w:proofErr w:type="gramEnd"/>
            <w:r w:rsidRPr="00905AB6">
              <w:rPr>
                <w:rFonts w:eastAsia="Calibri"/>
                <w:i/>
              </w:rPr>
              <w:t xml:space="preserve"> to require IOUs to install fiber. But, in a positive spirit, UCAN observes and endorses the language here that commits this proceeding, and other proceedings, to continue nonetheless to find ways to encourage IOUs to install fiber or conduit voluntarily.</w:t>
            </w:r>
            <w:r w:rsidRPr="0048283B">
              <w:rPr>
                <w:rFonts w:eastAsia="Calibri"/>
                <w:b/>
              </w:rPr>
              <w:t xml:space="preserve"> OPENING </w:t>
            </w:r>
            <w:r w:rsidRPr="0048283B">
              <w:rPr>
                <w:rFonts w:eastAsia="Calibri"/>
                <w:b/>
              </w:rPr>
              <w:lastRenderedPageBreak/>
              <w:t>COMMENTS ON PROPOSED DECISION, at p. 2.</w:t>
            </w:r>
          </w:p>
          <w:p w:rsidRPr="00B72876" w:rsidR="0048283B" w:rsidP="00B72876" w:rsidRDefault="0048283B" w14:paraId="2A92A629" w14:textId="7B292FC0">
            <w:pPr>
              <w:rPr>
                <w:color w:val="000000"/>
              </w:rPr>
            </w:pPr>
          </w:p>
        </w:tc>
        <w:tc>
          <w:tcPr>
            <w:tcW w:w="2003" w:type="dxa"/>
            <w:shd w:val="clear" w:color="auto" w:fill="auto"/>
          </w:tcPr>
          <w:p w:rsidR="00B72876" w:rsidP="00B72876" w:rsidRDefault="00B72876" w14:paraId="49E746CA" w14:textId="77777777">
            <w:pPr>
              <w:rPr>
                <w:color w:val="000000"/>
              </w:rPr>
            </w:pPr>
          </w:p>
          <w:p w:rsidR="0007379E" w:rsidP="00B72876" w:rsidRDefault="0007379E" w14:paraId="5213A3BE" w14:textId="77777777">
            <w:pPr>
              <w:rPr>
                <w:color w:val="000000"/>
              </w:rPr>
            </w:pPr>
          </w:p>
          <w:p w:rsidR="0007379E" w:rsidP="00B72876" w:rsidRDefault="0007379E" w14:paraId="0EB0FD7A" w14:textId="77777777">
            <w:pPr>
              <w:rPr>
                <w:color w:val="000000"/>
              </w:rPr>
            </w:pPr>
          </w:p>
          <w:p w:rsidR="0007379E" w:rsidP="00B72876" w:rsidRDefault="0007379E" w14:paraId="04B288ED" w14:textId="77777777">
            <w:pPr>
              <w:rPr>
                <w:color w:val="000000"/>
              </w:rPr>
            </w:pPr>
          </w:p>
          <w:p w:rsidR="0007379E" w:rsidP="00B72876" w:rsidRDefault="0007379E" w14:paraId="62AFBAFA" w14:textId="77777777">
            <w:pPr>
              <w:rPr>
                <w:color w:val="000000"/>
              </w:rPr>
            </w:pPr>
          </w:p>
          <w:p w:rsidR="0007379E" w:rsidP="00B72876" w:rsidRDefault="0007379E" w14:paraId="249238F1" w14:textId="77777777">
            <w:pPr>
              <w:rPr>
                <w:color w:val="000000"/>
              </w:rPr>
            </w:pPr>
          </w:p>
          <w:p w:rsidR="0007379E" w:rsidP="00B72876" w:rsidRDefault="0007379E" w14:paraId="539F0BA9" w14:textId="77777777">
            <w:pPr>
              <w:rPr>
                <w:color w:val="000000"/>
              </w:rPr>
            </w:pPr>
          </w:p>
          <w:p w:rsidR="0007379E" w:rsidP="00B72876" w:rsidRDefault="0007379E" w14:paraId="2BE17651" w14:textId="77777777">
            <w:pPr>
              <w:rPr>
                <w:color w:val="000000"/>
              </w:rPr>
            </w:pPr>
          </w:p>
          <w:p w:rsidR="0007379E" w:rsidP="00B72876" w:rsidRDefault="0007379E" w14:paraId="45489307" w14:textId="77777777">
            <w:pPr>
              <w:rPr>
                <w:color w:val="000000"/>
              </w:rPr>
            </w:pPr>
          </w:p>
          <w:p w:rsidR="0007379E" w:rsidP="00B72876" w:rsidRDefault="0007379E" w14:paraId="1D301C80" w14:textId="77777777">
            <w:pPr>
              <w:rPr>
                <w:color w:val="000000"/>
              </w:rPr>
            </w:pPr>
          </w:p>
          <w:p w:rsidR="0007379E" w:rsidP="00B72876" w:rsidRDefault="0007379E" w14:paraId="3888AD9B" w14:textId="77777777">
            <w:pPr>
              <w:rPr>
                <w:color w:val="000000"/>
              </w:rPr>
            </w:pPr>
          </w:p>
          <w:p w:rsidR="0007379E" w:rsidP="00B72876" w:rsidRDefault="0007379E" w14:paraId="12D372A3" w14:textId="77777777">
            <w:pPr>
              <w:rPr>
                <w:color w:val="000000"/>
              </w:rPr>
            </w:pPr>
          </w:p>
          <w:p w:rsidR="0007379E" w:rsidP="00B72876" w:rsidRDefault="0007379E" w14:paraId="32EE08CB" w14:textId="77777777">
            <w:pPr>
              <w:rPr>
                <w:color w:val="000000"/>
              </w:rPr>
            </w:pPr>
          </w:p>
          <w:p w:rsidR="0007379E" w:rsidP="00B72876" w:rsidRDefault="0007379E" w14:paraId="6DCFC405" w14:textId="77777777">
            <w:pPr>
              <w:rPr>
                <w:color w:val="000000"/>
              </w:rPr>
            </w:pPr>
          </w:p>
          <w:p w:rsidR="0007379E" w:rsidP="00B72876" w:rsidRDefault="0007379E" w14:paraId="3B2A23D1" w14:textId="77777777">
            <w:pPr>
              <w:rPr>
                <w:color w:val="000000"/>
              </w:rPr>
            </w:pPr>
          </w:p>
          <w:p w:rsidR="0007379E" w:rsidP="00B72876" w:rsidRDefault="0007379E" w14:paraId="3A3E8008" w14:textId="77777777">
            <w:pPr>
              <w:rPr>
                <w:color w:val="000000"/>
              </w:rPr>
            </w:pPr>
          </w:p>
          <w:p w:rsidR="0007379E" w:rsidP="00B72876" w:rsidRDefault="0007379E" w14:paraId="0C19C0C0" w14:textId="77777777">
            <w:pPr>
              <w:rPr>
                <w:color w:val="000000"/>
              </w:rPr>
            </w:pPr>
          </w:p>
          <w:p w:rsidR="0007379E" w:rsidP="00B72876" w:rsidRDefault="0007379E" w14:paraId="40F140D3" w14:textId="77777777">
            <w:pPr>
              <w:rPr>
                <w:color w:val="000000"/>
              </w:rPr>
            </w:pPr>
          </w:p>
          <w:p w:rsidR="0007379E" w:rsidP="00B72876" w:rsidRDefault="0007379E" w14:paraId="64169BAB" w14:textId="77777777">
            <w:pPr>
              <w:rPr>
                <w:color w:val="000000"/>
              </w:rPr>
            </w:pPr>
          </w:p>
          <w:p w:rsidR="0007379E" w:rsidP="00B72876" w:rsidRDefault="0007379E" w14:paraId="2A652ECD" w14:textId="77777777">
            <w:pPr>
              <w:rPr>
                <w:color w:val="000000"/>
              </w:rPr>
            </w:pPr>
          </w:p>
          <w:p w:rsidR="0007379E" w:rsidP="00050453" w:rsidRDefault="0007379E" w14:paraId="40A47E77" w14:textId="542730A0">
            <w:pPr>
              <w:jc w:val="center"/>
              <w:rPr>
                <w:color w:val="000000"/>
              </w:rPr>
            </w:pPr>
            <w:r>
              <w:rPr>
                <w:color w:val="000000"/>
              </w:rPr>
              <w:t>Verified</w:t>
            </w:r>
            <w:r w:rsidR="00BA7366">
              <w:rPr>
                <w:color w:val="000000"/>
              </w:rPr>
              <w:t xml:space="preserve">, in part. </w:t>
            </w:r>
            <w:r w:rsidRPr="00050453" w:rsidR="00BA7366">
              <w:rPr>
                <w:i/>
                <w:iCs/>
                <w:color w:val="000000"/>
              </w:rPr>
              <w:t xml:space="preserve">See </w:t>
            </w:r>
            <w:r w:rsidR="00BA7366">
              <w:rPr>
                <w:color w:val="000000"/>
              </w:rPr>
              <w:t>Commission’s Discussion in Part III (D).</w:t>
            </w:r>
            <w:r w:rsidR="005D6F59">
              <w:rPr>
                <w:color w:val="000000"/>
              </w:rPr>
              <w:t xml:space="preserve"> [1]</w:t>
            </w:r>
          </w:p>
          <w:p w:rsidR="0007379E" w:rsidP="00B72876" w:rsidRDefault="0007379E" w14:paraId="30CBF912" w14:textId="77777777">
            <w:pPr>
              <w:rPr>
                <w:color w:val="000000"/>
              </w:rPr>
            </w:pPr>
          </w:p>
          <w:p w:rsidR="0007379E" w:rsidP="00B72876" w:rsidRDefault="0007379E" w14:paraId="3D76E5C2" w14:textId="77777777">
            <w:pPr>
              <w:rPr>
                <w:color w:val="000000"/>
              </w:rPr>
            </w:pPr>
          </w:p>
          <w:p w:rsidR="0007379E" w:rsidP="00B72876" w:rsidRDefault="0007379E" w14:paraId="34A9405B" w14:textId="77777777">
            <w:pPr>
              <w:rPr>
                <w:color w:val="000000"/>
              </w:rPr>
            </w:pPr>
          </w:p>
          <w:p w:rsidR="0007379E" w:rsidP="00B72876" w:rsidRDefault="0007379E" w14:paraId="59C40248" w14:textId="77777777">
            <w:pPr>
              <w:rPr>
                <w:color w:val="000000"/>
              </w:rPr>
            </w:pPr>
          </w:p>
          <w:p w:rsidR="0007379E" w:rsidP="00B72876" w:rsidRDefault="0007379E" w14:paraId="52549102" w14:textId="77777777">
            <w:pPr>
              <w:rPr>
                <w:color w:val="000000"/>
              </w:rPr>
            </w:pPr>
          </w:p>
          <w:p w:rsidR="0007379E" w:rsidP="00B72876" w:rsidRDefault="0007379E" w14:paraId="31BB719E" w14:textId="77777777">
            <w:pPr>
              <w:rPr>
                <w:color w:val="000000"/>
              </w:rPr>
            </w:pPr>
          </w:p>
          <w:p w:rsidR="0007379E" w:rsidP="00B72876" w:rsidRDefault="0007379E" w14:paraId="37F0C85A" w14:textId="77777777">
            <w:pPr>
              <w:rPr>
                <w:color w:val="000000"/>
              </w:rPr>
            </w:pPr>
          </w:p>
          <w:p w:rsidR="0007379E" w:rsidP="00B72876" w:rsidRDefault="0007379E" w14:paraId="50B3FD80" w14:textId="77777777">
            <w:pPr>
              <w:rPr>
                <w:color w:val="000000"/>
              </w:rPr>
            </w:pPr>
          </w:p>
          <w:p w:rsidR="0007379E" w:rsidP="00B72876" w:rsidRDefault="0007379E" w14:paraId="65E3F9F9" w14:textId="77777777">
            <w:pPr>
              <w:rPr>
                <w:color w:val="000000"/>
              </w:rPr>
            </w:pPr>
          </w:p>
          <w:p w:rsidR="0007379E" w:rsidP="00B72876" w:rsidRDefault="0007379E" w14:paraId="2B1C5D28" w14:textId="77777777">
            <w:pPr>
              <w:rPr>
                <w:color w:val="000000"/>
              </w:rPr>
            </w:pPr>
          </w:p>
          <w:p w:rsidR="0007379E" w:rsidP="00B72876" w:rsidRDefault="0007379E" w14:paraId="03F1E042" w14:textId="77777777">
            <w:pPr>
              <w:rPr>
                <w:color w:val="000000"/>
              </w:rPr>
            </w:pPr>
          </w:p>
          <w:p w:rsidR="0007379E" w:rsidP="00B72876" w:rsidRDefault="0007379E" w14:paraId="44C8EE75" w14:textId="77777777">
            <w:pPr>
              <w:rPr>
                <w:color w:val="000000"/>
              </w:rPr>
            </w:pPr>
          </w:p>
          <w:p w:rsidR="0007379E" w:rsidP="00B72876" w:rsidRDefault="0007379E" w14:paraId="5A3306FE" w14:textId="77777777">
            <w:pPr>
              <w:rPr>
                <w:color w:val="000000"/>
              </w:rPr>
            </w:pPr>
          </w:p>
          <w:p w:rsidR="0007379E" w:rsidP="00B72876" w:rsidRDefault="0007379E" w14:paraId="431E591C" w14:textId="77777777">
            <w:pPr>
              <w:rPr>
                <w:color w:val="000000"/>
              </w:rPr>
            </w:pPr>
          </w:p>
          <w:p w:rsidR="0007379E" w:rsidP="00B72876" w:rsidRDefault="0007379E" w14:paraId="1431D1DE" w14:textId="77777777">
            <w:pPr>
              <w:rPr>
                <w:color w:val="000000"/>
              </w:rPr>
            </w:pPr>
          </w:p>
          <w:p w:rsidR="0007379E" w:rsidP="00B72876" w:rsidRDefault="0007379E" w14:paraId="6AD15466" w14:textId="77777777">
            <w:pPr>
              <w:rPr>
                <w:color w:val="000000"/>
              </w:rPr>
            </w:pPr>
          </w:p>
          <w:p w:rsidR="0007379E" w:rsidP="00B72876" w:rsidRDefault="0007379E" w14:paraId="22D622D5" w14:textId="77777777">
            <w:pPr>
              <w:rPr>
                <w:color w:val="000000"/>
              </w:rPr>
            </w:pPr>
          </w:p>
          <w:p w:rsidR="0007379E" w:rsidP="00B72876" w:rsidRDefault="0007379E" w14:paraId="2E2F4C67" w14:textId="77777777">
            <w:pPr>
              <w:rPr>
                <w:color w:val="000000"/>
              </w:rPr>
            </w:pPr>
          </w:p>
          <w:p w:rsidR="0007379E" w:rsidP="00B72876" w:rsidRDefault="0007379E" w14:paraId="24E9B5D6" w14:textId="77777777">
            <w:pPr>
              <w:rPr>
                <w:color w:val="000000"/>
              </w:rPr>
            </w:pPr>
          </w:p>
          <w:p w:rsidR="0007379E" w:rsidP="00B72876" w:rsidRDefault="0007379E" w14:paraId="3DB55CE0" w14:textId="77777777">
            <w:pPr>
              <w:rPr>
                <w:color w:val="000000"/>
              </w:rPr>
            </w:pPr>
          </w:p>
          <w:p w:rsidR="0007379E" w:rsidP="00B72876" w:rsidRDefault="0007379E" w14:paraId="65876977" w14:textId="77777777">
            <w:pPr>
              <w:rPr>
                <w:color w:val="000000"/>
              </w:rPr>
            </w:pPr>
          </w:p>
          <w:p w:rsidR="0007379E" w:rsidP="00B72876" w:rsidRDefault="0007379E" w14:paraId="29A399C6" w14:textId="77777777">
            <w:pPr>
              <w:rPr>
                <w:color w:val="000000"/>
              </w:rPr>
            </w:pPr>
          </w:p>
          <w:p w:rsidR="0007379E" w:rsidP="00B72876" w:rsidRDefault="0007379E" w14:paraId="0A9ED57A" w14:textId="77777777">
            <w:pPr>
              <w:rPr>
                <w:color w:val="000000"/>
              </w:rPr>
            </w:pPr>
          </w:p>
          <w:p w:rsidR="0007379E" w:rsidP="00B72876" w:rsidRDefault="0007379E" w14:paraId="69EA3D5E" w14:textId="77777777">
            <w:pPr>
              <w:rPr>
                <w:color w:val="000000"/>
              </w:rPr>
            </w:pPr>
          </w:p>
          <w:p w:rsidR="0007379E" w:rsidP="00B72876" w:rsidRDefault="0007379E" w14:paraId="71D92C1B" w14:textId="77777777">
            <w:pPr>
              <w:rPr>
                <w:color w:val="000000"/>
              </w:rPr>
            </w:pPr>
          </w:p>
          <w:p w:rsidR="0007379E" w:rsidP="00B72876" w:rsidRDefault="0007379E" w14:paraId="26EE7F8A" w14:textId="77777777">
            <w:pPr>
              <w:rPr>
                <w:color w:val="000000"/>
              </w:rPr>
            </w:pPr>
          </w:p>
          <w:p w:rsidR="0007379E" w:rsidP="00B72876" w:rsidRDefault="0007379E" w14:paraId="1D6F1FA1" w14:textId="77777777">
            <w:pPr>
              <w:rPr>
                <w:color w:val="000000"/>
              </w:rPr>
            </w:pPr>
          </w:p>
          <w:p w:rsidR="0007379E" w:rsidP="00B72876" w:rsidRDefault="0007379E" w14:paraId="0888052C" w14:textId="77777777">
            <w:pPr>
              <w:rPr>
                <w:color w:val="000000"/>
              </w:rPr>
            </w:pPr>
          </w:p>
          <w:p w:rsidR="0007379E" w:rsidP="00B72876" w:rsidRDefault="0007379E" w14:paraId="12E48781" w14:textId="77777777">
            <w:pPr>
              <w:rPr>
                <w:color w:val="000000"/>
              </w:rPr>
            </w:pPr>
          </w:p>
          <w:p w:rsidR="0007379E" w:rsidP="00B72876" w:rsidRDefault="0007379E" w14:paraId="0BF0C431" w14:textId="77777777">
            <w:pPr>
              <w:rPr>
                <w:color w:val="000000"/>
              </w:rPr>
            </w:pPr>
          </w:p>
          <w:p w:rsidR="0007379E" w:rsidP="00B72876" w:rsidRDefault="0007379E" w14:paraId="7C94A60C" w14:textId="77777777">
            <w:pPr>
              <w:rPr>
                <w:color w:val="000000"/>
              </w:rPr>
            </w:pPr>
          </w:p>
          <w:p w:rsidR="0007379E" w:rsidP="00B72876" w:rsidRDefault="0007379E" w14:paraId="5F7CAB6C" w14:textId="77777777">
            <w:pPr>
              <w:rPr>
                <w:color w:val="000000"/>
              </w:rPr>
            </w:pPr>
          </w:p>
          <w:p w:rsidR="0007379E" w:rsidP="00B72876" w:rsidRDefault="0007379E" w14:paraId="1D25CE90" w14:textId="77777777">
            <w:pPr>
              <w:rPr>
                <w:color w:val="000000"/>
              </w:rPr>
            </w:pPr>
          </w:p>
          <w:p w:rsidR="0007379E" w:rsidP="00B72876" w:rsidRDefault="0007379E" w14:paraId="7868EBD2" w14:textId="77777777">
            <w:pPr>
              <w:rPr>
                <w:color w:val="000000"/>
              </w:rPr>
            </w:pPr>
          </w:p>
          <w:p w:rsidR="0007379E" w:rsidP="00B72876" w:rsidRDefault="0007379E" w14:paraId="06DF1596" w14:textId="77777777">
            <w:pPr>
              <w:rPr>
                <w:color w:val="000000"/>
              </w:rPr>
            </w:pPr>
          </w:p>
          <w:p w:rsidR="0007379E" w:rsidP="00B72876" w:rsidRDefault="0007379E" w14:paraId="2BBBAE4C" w14:textId="77777777">
            <w:pPr>
              <w:rPr>
                <w:color w:val="000000"/>
              </w:rPr>
            </w:pPr>
          </w:p>
          <w:p w:rsidR="0007379E" w:rsidP="00B72876" w:rsidRDefault="0007379E" w14:paraId="2F83631E" w14:textId="77777777">
            <w:pPr>
              <w:rPr>
                <w:color w:val="000000"/>
              </w:rPr>
            </w:pPr>
          </w:p>
          <w:p w:rsidR="0007379E" w:rsidP="00B72876" w:rsidRDefault="0007379E" w14:paraId="79A0E951" w14:textId="77777777">
            <w:pPr>
              <w:rPr>
                <w:color w:val="000000"/>
              </w:rPr>
            </w:pPr>
          </w:p>
          <w:p w:rsidR="0007379E" w:rsidP="00B72876" w:rsidRDefault="0007379E" w14:paraId="3A437576" w14:textId="77777777">
            <w:pPr>
              <w:rPr>
                <w:color w:val="000000"/>
              </w:rPr>
            </w:pPr>
          </w:p>
          <w:p w:rsidR="0007379E" w:rsidP="00B72876" w:rsidRDefault="0007379E" w14:paraId="5E2C8600" w14:textId="77777777">
            <w:pPr>
              <w:rPr>
                <w:color w:val="000000"/>
              </w:rPr>
            </w:pPr>
          </w:p>
          <w:p w:rsidR="0007379E" w:rsidP="00B72876" w:rsidRDefault="0007379E" w14:paraId="634B50E2" w14:textId="77777777">
            <w:pPr>
              <w:rPr>
                <w:color w:val="000000"/>
              </w:rPr>
            </w:pPr>
          </w:p>
          <w:p w:rsidR="0007379E" w:rsidP="00B72876" w:rsidRDefault="0007379E" w14:paraId="03EFCDF3" w14:textId="77777777">
            <w:pPr>
              <w:rPr>
                <w:color w:val="000000"/>
              </w:rPr>
            </w:pPr>
          </w:p>
          <w:p w:rsidR="0007379E" w:rsidP="00B72876" w:rsidRDefault="0007379E" w14:paraId="106BCEE5" w14:textId="77777777">
            <w:pPr>
              <w:rPr>
                <w:color w:val="000000"/>
              </w:rPr>
            </w:pPr>
          </w:p>
          <w:p w:rsidR="0007379E" w:rsidP="00B72876" w:rsidRDefault="0007379E" w14:paraId="494DA340" w14:textId="77777777">
            <w:pPr>
              <w:rPr>
                <w:color w:val="000000"/>
              </w:rPr>
            </w:pPr>
          </w:p>
          <w:p w:rsidR="0007379E" w:rsidP="00B72876" w:rsidRDefault="0007379E" w14:paraId="11A30335" w14:textId="77777777">
            <w:pPr>
              <w:rPr>
                <w:color w:val="000000"/>
              </w:rPr>
            </w:pPr>
          </w:p>
          <w:p w:rsidR="0007379E" w:rsidP="00B72876" w:rsidRDefault="0007379E" w14:paraId="0F439940" w14:textId="77777777">
            <w:pPr>
              <w:rPr>
                <w:color w:val="000000"/>
              </w:rPr>
            </w:pPr>
          </w:p>
          <w:p w:rsidR="0007379E" w:rsidP="00B72876" w:rsidRDefault="0007379E" w14:paraId="1A11F77F" w14:textId="77777777">
            <w:pPr>
              <w:rPr>
                <w:color w:val="000000"/>
              </w:rPr>
            </w:pPr>
          </w:p>
          <w:p w:rsidR="0007379E" w:rsidP="00B72876" w:rsidRDefault="0007379E" w14:paraId="13989A4F" w14:textId="77777777">
            <w:pPr>
              <w:rPr>
                <w:color w:val="000000"/>
              </w:rPr>
            </w:pPr>
          </w:p>
          <w:p w:rsidR="0007379E" w:rsidP="00B72876" w:rsidRDefault="0007379E" w14:paraId="784849D0" w14:textId="77777777">
            <w:pPr>
              <w:rPr>
                <w:color w:val="000000"/>
              </w:rPr>
            </w:pPr>
          </w:p>
          <w:p w:rsidR="0007379E" w:rsidP="00B72876" w:rsidRDefault="0007379E" w14:paraId="2FCBCED3" w14:textId="77777777">
            <w:pPr>
              <w:rPr>
                <w:color w:val="000000"/>
              </w:rPr>
            </w:pPr>
          </w:p>
          <w:p w:rsidR="0007379E" w:rsidP="00B72876" w:rsidRDefault="0007379E" w14:paraId="34A5D711" w14:textId="77777777">
            <w:pPr>
              <w:rPr>
                <w:color w:val="000000"/>
              </w:rPr>
            </w:pPr>
          </w:p>
          <w:p w:rsidR="0007379E" w:rsidP="00B72876" w:rsidRDefault="0007379E" w14:paraId="25D6722C" w14:textId="77777777">
            <w:pPr>
              <w:rPr>
                <w:color w:val="000000"/>
              </w:rPr>
            </w:pPr>
          </w:p>
          <w:p w:rsidR="0007379E" w:rsidP="00B72876" w:rsidRDefault="0007379E" w14:paraId="51FAA45A" w14:textId="77777777">
            <w:pPr>
              <w:rPr>
                <w:color w:val="000000"/>
              </w:rPr>
            </w:pPr>
          </w:p>
          <w:p w:rsidR="0007379E" w:rsidP="00B72876" w:rsidRDefault="0007379E" w14:paraId="3551B2CC" w14:textId="77777777">
            <w:pPr>
              <w:rPr>
                <w:color w:val="000000"/>
              </w:rPr>
            </w:pPr>
          </w:p>
          <w:p w:rsidR="0007379E" w:rsidP="00B72876" w:rsidRDefault="0007379E" w14:paraId="5B3196B2" w14:textId="77777777">
            <w:pPr>
              <w:rPr>
                <w:color w:val="000000"/>
              </w:rPr>
            </w:pPr>
          </w:p>
          <w:p w:rsidR="0007379E" w:rsidP="00B72876" w:rsidRDefault="0007379E" w14:paraId="47198494" w14:textId="77777777">
            <w:pPr>
              <w:rPr>
                <w:color w:val="000000"/>
              </w:rPr>
            </w:pPr>
          </w:p>
          <w:p w:rsidR="0007379E" w:rsidP="00B72876" w:rsidRDefault="0007379E" w14:paraId="1DD87C94" w14:textId="77777777">
            <w:pPr>
              <w:rPr>
                <w:color w:val="000000"/>
              </w:rPr>
            </w:pPr>
          </w:p>
          <w:p w:rsidR="0007379E" w:rsidP="00B72876" w:rsidRDefault="0007379E" w14:paraId="447AA98D" w14:textId="77777777">
            <w:pPr>
              <w:rPr>
                <w:color w:val="000000"/>
              </w:rPr>
            </w:pPr>
          </w:p>
          <w:p w:rsidR="0007379E" w:rsidP="00B72876" w:rsidRDefault="0007379E" w14:paraId="04873537" w14:textId="77777777">
            <w:pPr>
              <w:rPr>
                <w:color w:val="000000"/>
              </w:rPr>
            </w:pPr>
          </w:p>
          <w:p w:rsidR="0007379E" w:rsidP="00B72876" w:rsidRDefault="0007379E" w14:paraId="42993248" w14:textId="77777777">
            <w:pPr>
              <w:rPr>
                <w:color w:val="000000"/>
              </w:rPr>
            </w:pPr>
          </w:p>
          <w:p w:rsidR="0007379E" w:rsidP="00B72876" w:rsidRDefault="0007379E" w14:paraId="010AB674" w14:textId="77777777">
            <w:pPr>
              <w:rPr>
                <w:color w:val="000000"/>
              </w:rPr>
            </w:pPr>
          </w:p>
          <w:p w:rsidR="0007379E" w:rsidP="00B72876" w:rsidRDefault="0007379E" w14:paraId="78AF624A" w14:textId="77777777">
            <w:pPr>
              <w:rPr>
                <w:color w:val="000000"/>
              </w:rPr>
            </w:pPr>
          </w:p>
          <w:p w:rsidR="0007379E" w:rsidP="00B72876" w:rsidRDefault="0007379E" w14:paraId="2C9D5971" w14:textId="77777777">
            <w:pPr>
              <w:rPr>
                <w:color w:val="000000"/>
              </w:rPr>
            </w:pPr>
          </w:p>
          <w:p w:rsidR="0007379E" w:rsidP="00B72876" w:rsidRDefault="0007379E" w14:paraId="07E6B8AE" w14:textId="77777777">
            <w:pPr>
              <w:rPr>
                <w:color w:val="000000"/>
              </w:rPr>
            </w:pPr>
          </w:p>
          <w:p w:rsidR="0007379E" w:rsidP="00B72876" w:rsidRDefault="0007379E" w14:paraId="4A9E71E2" w14:textId="77777777">
            <w:pPr>
              <w:rPr>
                <w:color w:val="000000"/>
              </w:rPr>
            </w:pPr>
          </w:p>
          <w:p w:rsidR="0007379E" w:rsidP="00B72876" w:rsidRDefault="0007379E" w14:paraId="071B2C64" w14:textId="77777777">
            <w:pPr>
              <w:rPr>
                <w:color w:val="000000"/>
              </w:rPr>
            </w:pPr>
          </w:p>
          <w:p w:rsidR="0007379E" w:rsidP="00B72876" w:rsidRDefault="0007379E" w14:paraId="6ED77734" w14:textId="77777777">
            <w:pPr>
              <w:rPr>
                <w:color w:val="000000"/>
              </w:rPr>
            </w:pPr>
          </w:p>
          <w:p w:rsidR="0007379E" w:rsidP="00B72876" w:rsidRDefault="0007379E" w14:paraId="53941843" w14:textId="77777777">
            <w:pPr>
              <w:rPr>
                <w:color w:val="000000"/>
              </w:rPr>
            </w:pPr>
          </w:p>
          <w:p w:rsidR="0007379E" w:rsidP="00B72876" w:rsidRDefault="0007379E" w14:paraId="6FCED355" w14:textId="77777777">
            <w:pPr>
              <w:rPr>
                <w:color w:val="000000"/>
              </w:rPr>
            </w:pPr>
          </w:p>
          <w:p w:rsidR="0007379E" w:rsidP="00B72876" w:rsidRDefault="0007379E" w14:paraId="46C08745" w14:textId="77777777">
            <w:pPr>
              <w:rPr>
                <w:color w:val="000000"/>
              </w:rPr>
            </w:pPr>
          </w:p>
          <w:p w:rsidR="0007379E" w:rsidP="00B72876" w:rsidRDefault="0007379E" w14:paraId="3B8935E6" w14:textId="77777777">
            <w:pPr>
              <w:rPr>
                <w:color w:val="000000"/>
              </w:rPr>
            </w:pPr>
          </w:p>
          <w:p w:rsidR="0007379E" w:rsidP="00B72876" w:rsidRDefault="0007379E" w14:paraId="3701A2E4" w14:textId="77777777">
            <w:pPr>
              <w:rPr>
                <w:color w:val="000000"/>
              </w:rPr>
            </w:pPr>
          </w:p>
          <w:p w:rsidR="0007379E" w:rsidP="00B72876" w:rsidRDefault="0007379E" w14:paraId="68385F2F" w14:textId="77777777">
            <w:pPr>
              <w:rPr>
                <w:color w:val="000000"/>
              </w:rPr>
            </w:pPr>
          </w:p>
          <w:p w:rsidR="0007379E" w:rsidP="00B72876" w:rsidRDefault="0007379E" w14:paraId="01CF4EC9" w14:textId="77777777">
            <w:pPr>
              <w:rPr>
                <w:color w:val="000000"/>
              </w:rPr>
            </w:pPr>
          </w:p>
          <w:p w:rsidR="0007379E" w:rsidP="00B72876" w:rsidRDefault="0007379E" w14:paraId="3C0E1F08" w14:textId="77777777">
            <w:pPr>
              <w:rPr>
                <w:color w:val="000000"/>
              </w:rPr>
            </w:pPr>
          </w:p>
          <w:p w:rsidR="0007379E" w:rsidP="00B72876" w:rsidRDefault="0007379E" w14:paraId="4121FC1B" w14:textId="77777777">
            <w:pPr>
              <w:rPr>
                <w:color w:val="000000"/>
              </w:rPr>
            </w:pPr>
          </w:p>
          <w:p w:rsidR="0007379E" w:rsidP="00B72876" w:rsidRDefault="0007379E" w14:paraId="00920F6E" w14:textId="77777777">
            <w:pPr>
              <w:rPr>
                <w:color w:val="000000"/>
              </w:rPr>
            </w:pPr>
          </w:p>
          <w:p w:rsidR="0007379E" w:rsidP="00B72876" w:rsidRDefault="0007379E" w14:paraId="12C432F4" w14:textId="77777777">
            <w:pPr>
              <w:rPr>
                <w:color w:val="000000"/>
              </w:rPr>
            </w:pPr>
          </w:p>
          <w:p w:rsidR="0007379E" w:rsidP="00B72876" w:rsidRDefault="0007379E" w14:paraId="5A6CE7E4" w14:textId="77777777">
            <w:pPr>
              <w:rPr>
                <w:color w:val="000000"/>
              </w:rPr>
            </w:pPr>
          </w:p>
          <w:p w:rsidR="0007379E" w:rsidP="00B72876" w:rsidRDefault="0007379E" w14:paraId="128C711A" w14:textId="77777777">
            <w:pPr>
              <w:rPr>
                <w:color w:val="000000"/>
              </w:rPr>
            </w:pPr>
          </w:p>
          <w:p w:rsidR="0007379E" w:rsidP="00B72876" w:rsidRDefault="0007379E" w14:paraId="04C882D8" w14:textId="77777777">
            <w:pPr>
              <w:rPr>
                <w:color w:val="000000"/>
              </w:rPr>
            </w:pPr>
          </w:p>
          <w:p w:rsidR="0007379E" w:rsidP="00B72876" w:rsidRDefault="0007379E" w14:paraId="5E7BF621" w14:textId="77777777">
            <w:pPr>
              <w:rPr>
                <w:color w:val="000000"/>
              </w:rPr>
            </w:pPr>
          </w:p>
          <w:p w:rsidR="0007379E" w:rsidP="00B72876" w:rsidRDefault="0007379E" w14:paraId="6358D020" w14:textId="77777777">
            <w:pPr>
              <w:rPr>
                <w:color w:val="000000"/>
              </w:rPr>
            </w:pPr>
          </w:p>
          <w:p w:rsidR="0007379E" w:rsidP="00B72876" w:rsidRDefault="0007379E" w14:paraId="7CFE71DB" w14:textId="77777777">
            <w:pPr>
              <w:rPr>
                <w:color w:val="000000"/>
              </w:rPr>
            </w:pPr>
          </w:p>
          <w:p w:rsidR="0007379E" w:rsidP="00B72876" w:rsidRDefault="0007379E" w14:paraId="76AC058C" w14:textId="77777777">
            <w:pPr>
              <w:rPr>
                <w:color w:val="000000"/>
              </w:rPr>
            </w:pPr>
          </w:p>
          <w:p w:rsidR="0007379E" w:rsidP="00B72876" w:rsidRDefault="0007379E" w14:paraId="6A6C6E31" w14:textId="77777777">
            <w:pPr>
              <w:rPr>
                <w:color w:val="000000"/>
              </w:rPr>
            </w:pPr>
          </w:p>
          <w:p w:rsidR="0007379E" w:rsidP="00B72876" w:rsidRDefault="0007379E" w14:paraId="58FC5D0D" w14:textId="77777777">
            <w:pPr>
              <w:rPr>
                <w:color w:val="000000"/>
              </w:rPr>
            </w:pPr>
          </w:p>
          <w:p w:rsidR="0007379E" w:rsidP="00B72876" w:rsidRDefault="0007379E" w14:paraId="2F426834" w14:textId="77777777">
            <w:pPr>
              <w:rPr>
                <w:color w:val="000000"/>
              </w:rPr>
            </w:pPr>
          </w:p>
          <w:p w:rsidR="0007379E" w:rsidP="00B72876" w:rsidRDefault="0007379E" w14:paraId="37D4150A" w14:textId="77777777">
            <w:pPr>
              <w:rPr>
                <w:color w:val="000000"/>
              </w:rPr>
            </w:pPr>
          </w:p>
          <w:p w:rsidR="0007379E" w:rsidP="00B72876" w:rsidRDefault="0007379E" w14:paraId="6B87E1A7" w14:textId="77777777">
            <w:pPr>
              <w:rPr>
                <w:color w:val="000000"/>
              </w:rPr>
            </w:pPr>
          </w:p>
          <w:p w:rsidR="0007379E" w:rsidP="00B72876" w:rsidRDefault="0007379E" w14:paraId="4323FBE5" w14:textId="77777777">
            <w:pPr>
              <w:rPr>
                <w:color w:val="000000"/>
              </w:rPr>
            </w:pPr>
          </w:p>
          <w:p w:rsidR="0007379E" w:rsidP="00B72876" w:rsidRDefault="0007379E" w14:paraId="72D8727A" w14:textId="77777777">
            <w:pPr>
              <w:rPr>
                <w:color w:val="000000"/>
              </w:rPr>
            </w:pPr>
          </w:p>
          <w:p w:rsidR="0007379E" w:rsidP="00B72876" w:rsidRDefault="0007379E" w14:paraId="447A9A28" w14:textId="77777777">
            <w:pPr>
              <w:rPr>
                <w:color w:val="000000"/>
              </w:rPr>
            </w:pPr>
          </w:p>
          <w:p w:rsidR="0007379E" w:rsidP="00B72876" w:rsidRDefault="0007379E" w14:paraId="07EF6E32" w14:textId="77777777">
            <w:pPr>
              <w:rPr>
                <w:color w:val="000000"/>
              </w:rPr>
            </w:pPr>
          </w:p>
          <w:p w:rsidR="0007379E" w:rsidP="00B72876" w:rsidRDefault="0007379E" w14:paraId="20330B4C" w14:textId="77777777">
            <w:pPr>
              <w:rPr>
                <w:color w:val="000000"/>
              </w:rPr>
            </w:pPr>
          </w:p>
          <w:p w:rsidR="0007379E" w:rsidP="00B72876" w:rsidRDefault="0007379E" w14:paraId="6B0E5439" w14:textId="77777777">
            <w:pPr>
              <w:rPr>
                <w:color w:val="000000"/>
              </w:rPr>
            </w:pPr>
          </w:p>
          <w:p w:rsidR="0007379E" w:rsidP="00B72876" w:rsidRDefault="0007379E" w14:paraId="04B083BE" w14:textId="77777777">
            <w:pPr>
              <w:rPr>
                <w:color w:val="000000"/>
              </w:rPr>
            </w:pPr>
          </w:p>
          <w:p w:rsidR="0007379E" w:rsidP="00B72876" w:rsidRDefault="0007379E" w14:paraId="0BB216F9" w14:textId="77777777">
            <w:pPr>
              <w:rPr>
                <w:color w:val="000000"/>
              </w:rPr>
            </w:pPr>
          </w:p>
          <w:p w:rsidR="0007379E" w:rsidP="00B72876" w:rsidRDefault="0007379E" w14:paraId="48CBF4E3" w14:textId="77777777">
            <w:pPr>
              <w:rPr>
                <w:color w:val="000000"/>
              </w:rPr>
            </w:pPr>
          </w:p>
          <w:p w:rsidR="0007379E" w:rsidP="00B72876" w:rsidRDefault="0007379E" w14:paraId="26ECE32F" w14:textId="77777777">
            <w:pPr>
              <w:rPr>
                <w:color w:val="000000"/>
              </w:rPr>
            </w:pPr>
          </w:p>
          <w:p w:rsidR="0007379E" w:rsidP="00B72876" w:rsidRDefault="0007379E" w14:paraId="356DDF39" w14:textId="77777777">
            <w:pPr>
              <w:rPr>
                <w:color w:val="000000"/>
              </w:rPr>
            </w:pPr>
          </w:p>
          <w:p w:rsidR="0007379E" w:rsidP="00B72876" w:rsidRDefault="0007379E" w14:paraId="6E570872" w14:textId="77777777">
            <w:pPr>
              <w:rPr>
                <w:color w:val="000000"/>
              </w:rPr>
            </w:pPr>
          </w:p>
          <w:p w:rsidR="0007379E" w:rsidP="00B72876" w:rsidRDefault="0007379E" w14:paraId="7924A491" w14:textId="77777777">
            <w:pPr>
              <w:rPr>
                <w:color w:val="000000"/>
              </w:rPr>
            </w:pPr>
          </w:p>
          <w:p w:rsidR="0007379E" w:rsidP="00B72876" w:rsidRDefault="0007379E" w14:paraId="0EA04535" w14:textId="77777777">
            <w:pPr>
              <w:rPr>
                <w:color w:val="000000"/>
              </w:rPr>
            </w:pPr>
          </w:p>
          <w:p w:rsidR="0007379E" w:rsidP="00B72876" w:rsidRDefault="0007379E" w14:paraId="5176C2BF" w14:textId="77777777">
            <w:pPr>
              <w:rPr>
                <w:color w:val="000000"/>
              </w:rPr>
            </w:pPr>
          </w:p>
          <w:p w:rsidR="0007379E" w:rsidP="00B72876" w:rsidRDefault="0007379E" w14:paraId="0782BDF9" w14:textId="77777777">
            <w:pPr>
              <w:rPr>
                <w:color w:val="000000"/>
              </w:rPr>
            </w:pPr>
          </w:p>
          <w:p w:rsidR="0007379E" w:rsidP="00B72876" w:rsidRDefault="001C45B1" w14:paraId="0657F611" w14:textId="143FDAA3">
            <w:pPr>
              <w:rPr>
                <w:color w:val="000000"/>
              </w:rPr>
            </w:pPr>
            <w:r>
              <w:rPr>
                <w:color w:val="000000"/>
              </w:rPr>
              <w:t>This</w:t>
            </w:r>
            <w:r w:rsidR="00A91D78">
              <w:rPr>
                <w:color w:val="000000"/>
              </w:rPr>
              <w:t xml:space="preserve"> </w:t>
            </w:r>
            <w:r w:rsidR="008071B9">
              <w:rPr>
                <w:color w:val="000000"/>
              </w:rPr>
              <w:t>did not</w:t>
            </w:r>
            <w:r>
              <w:rPr>
                <w:color w:val="000000"/>
              </w:rPr>
              <w:t xml:space="preserve"> </w:t>
            </w:r>
            <w:r w:rsidR="00474DB7">
              <w:rPr>
                <w:color w:val="000000"/>
              </w:rPr>
              <w:t>substant</w:t>
            </w:r>
            <w:r w:rsidR="008071B9">
              <w:rPr>
                <w:color w:val="000000"/>
              </w:rPr>
              <w:t xml:space="preserve">ially </w:t>
            </w:r>
            <w:r w:rsidR="00474DB7">
              <w:rPr>
                <w:color w:val="000000"/>
              </w:rPr>
              <w:t>contribut</w:t>
            </w:r>
            <w:r w:rsidR="008071B9">
              <w:rPr>
                <w:color w:val="000000"/>
              </w:rPr>
              <w:t>e to the</w:t>
            </w:r>
            <w:r w:rsidR="00A91D78">
              <w:rPr>
                <w:color w:val="000000"/>
              </w:rPr>
              <w:t xml:space="preserve"> decision</w:t>
            </w:r>
            <w:r w:rsidR="005045C2">
              <w:rPr>
                <w:color w:val="000000"/>
              </w:rPr>
              <w:t xml:space="preserve"> as it repeats what was already stated in the PD</w:t>
            </w:r>
            <w:r w:rsidR="00474DB7">
              <w:rPr>
                <w:color w:val="000000"/>
              </w:rPr>
              <w:t xml:space="preserve">. </w:t>
            </w:r>
          </w:p>
          <w:p w:rsidR="0007379E" w:rsidP="00B72876" w:rsidRDefault="0007379E" w14:paraId="15E31EA2" w14:textId="77777777">
            <w:pPr>
              <w:rPr>
                <w:color w:val="000000"/>
              </w:rPr>
            </w:pPr>
          </w:p>
          <w:p w:rsidR="0007379E" w:rsidP="00B72876" w:rsidRDefault="0007379E" w14:paraId="00FCF4FF" w14:textId="77777777">
            <w:pPr>
              <w:rPr>
                <w:color w:val="000000"/>
              </w:rPr>
            </w:pPr>
          </w:p>
          <w:p w:rsidR="0007379E" w:rsidP="00B72876" w:rsidRDefault="0007379E" w14:paraId="71BA4042" w14:textId="77777777">
            <w:pPr>
              <w:rPr>
                <w:color w:val="000000"/>
              </w:rPr>
            </w:pPr>
          </w:p>
          <w:p w:rsidR="0007379E" w:rsidP="00B72876" w:rsidRDefault="0007379E" w14:paraId="113B552E" w14:textId="77777777">
            <w:pPr>
              <w:rPr>
                <w:color w:val="000000"/>
              </w:rPr>
            </w:pPr>
          </w:p>
          <w:p w:rsidR="0007379E" w:rsidP="00B72876" w:rsidRDefault="0007379E" w14:paraId="0C336315" w14:textId="77777777">
            <w:pPr>
              <w:rPr>
                <w:color w:val="000000"/>
              </w:rPr>
            </w:pPr>
          </w:p>
          <w:p w:rsidR="0007379E" w:rsidP="00B72876" w:rsidRDefault="0007379E" w14:paraId="2D69E9F1" w14:textId="77777777">
            <w:pPr>
              <w:rPr>
                <w:color w:val="000000"/>
              </w:rPr>
            </w:pPr>
          </w:p>
          <w:p w:rsidR="0007379E" w:rsidP="00B72876" w:rsidRDefault="0007379E" w14:paraId="3C2D634E" w14:textId="77777777">
            <w:pPr>
              <w:rPr>
                <w:color w:val="000000"/>
              </w:rPr>
            </w:pPr>
          </w:p>
          <w:p w:rsidR="0007379E" w:rsidP="00B72876" w:rsidRDefault="0007379E" w14:paraId="2686D3A4" w14:textId="77777777">
            <w:pPr>
              <w:rPr>
                <w:color w:val="000000"/>
              </w:rPr>
            </w:pPr>
          </w:p>
          <w:p w:rsidR="0007379E" w:rsidP="00B72876" w:rsidRDefault="0007379E" w14:paraId="539C8669" w14:textId="77777777">
            <w:pPr>
              <w:rPr>
                <w:color w:val="000000"/>
              </w:rPr>
            </w:pPr>
          </w:p>
          <w:p w:rsidR="0007379E" w:rsidP="00B72876" w:rsidRDefault="0007379E" w14:paraId="54DC37C0" w14:textId="77777777">
            <w:pPr>
              <w:rPr>
                <w:color w:val="000000"/>
              </w:rPr>
            </w:pPr>
          </w:p>
          <w:p w:rsidR="0007379E" w:rsidP="00B72876" w:rsidRDefault="0007379E" w14:paraId="7F780103" w14:textId="77777777">
            <w:pPr>
              <w:rPr>
                <w:color w:val="000000"/>
              </w:rPr>
            </w:pPr>
          </w:p>
          <w:p w:rsidR="0007379E" w:rsidP="00B72876" w:rsidRDefault="0007379E" w14:paraId="5CB320DA" w14:textId="77777777">
            <w:pPr>
              <w:rPr>
                <w:color w:val="000000"/>
              </w:rPr>
            </w:pPr>
          </w:p>
          <w:p w:rsidR="0007379E" w:rsidP="00B72876" w:rsidRDefault="0007379E" w14:paraId="03F7C66D" w14:textId="77777777">
            <w:pPr>
              <w:rPr>
                <w:color w:val="000000"/>
              </w:rPr>
            </w:pPr>
          </w:p>
          <w:p w:rsidR="0007379E" w:rsidP="00B72876" w:rsidRDefault="0007379E" w14:paraId="4C008C68" w14:textId="77777777">
            <w:pPr>
              <w:rPr>
                <w:color w:val="000000"/>
              </w:rPr>
            </w:pPr>
          </w:p>
          <w:p w:rsidR="0007379E" w:rsidP="00B72876" w:rsidRDefault="0007379E" w14:paraId="1F3535AF" w14:textId="77777777">
            <w:pPr>
              <w:rPr>
                <w:color w:val="000000"/>
              </w:rPr>
            </w:pPr>
          </w:p>
          <w:p w:rsidR="0007379E" w:rsidP="00B72876" w:rsidRDefault="0007379E" w14:paraId="014E7753" w14:textId="77777777">
            <w:pPr>
              <w:rPr>
                <w:color w:val="000000"/>
              </w:rPr>
            </w:pPr>
          </w:p>
          <w:p w:rsidR="0007379E" w:rsidP="00B72876" w:rsidRDefault="0007379E" w14:paraId="63EA66C3" w14:textId="77777777">
            <w:pPr>
              <w:rPr>
                <w:color w:val="000000"/>
              </w:rPr>
            </w:pPr>
          </w:p>
          <w:p w:rsidR="0007379E" w:rsidP="00B72876" w:rsidRDefault="0007379E" w14:paraId="22377743" w14:textId="77777777">
            <w:pPr>
              <w:rPr>
                <w:color w:val="000000"/>
              </w:rPr>
            </w:pPr>
          </w:p>
          <w:p w:rsidR="0007379E" w:rsidP="00B72876" w:rsidRDefault="0007379E" w14:paraId="4FFF806A" w14:textId="77777777">
            <w:pPr>
              <w:rPr>
                <w:color w:val="000000"/>
              </w:rPr>
            </w:pPr>
          </w:p>
          <w:p w:rsidR="0007379E" w:rsidP="00B72876" w:rsidRDefault="0007379E" w14:paraId="514B5B96" w14:textId="77777777">
            <w:pPr>
              <w:rPr>
                <w:color w:val="000000"/>
              </w:rPr>
            </w:pPr>
          </w:p>
          <w:p w:rsidR="0007379E" w:rsidP="00B72876" w:rsidRDefault="0007379E" w14:paraId="19AD5192" w14:textId="77777777">
            <w:pPr>
              <w:rPr>
                <w:color w:val="000000"/>
              </w:rPr>
            </w:pPr>
          </w:p>
          <w:p w:rsidR="0007379E" w:rsidP="00B72876" w:rsidRDefault="0007379E" w14:paraId="562FA965" w14:textId="77777777">
            <w:pPr>
              <w:rPr>
                <w:color w:val="000000"/>
              </w:rPr>
            </w:pPr>
          </w:p>
          <w:p w:rsidR="0007379E" w:rsidP="00B72876" w:rsidRDefault="0007379E" w14:paraId="714CBD24" w14:textId="77777777">
            <w:pPr>
              <w:rPr>
                <w:color w:val="000000"/>
              </w:rPr>
            </w:pPr>
          </w:p>
          <w:p w:rsidR="0007379E" w:rsidP="00B72876" w:rsidRDefault="0007379E" w14:paraId="6A3AF366" w14:textId="77777777">
            <w:pPr>
              <w:rPr>
                <w:color w:val="000000"/>
              </w:rPr>
            </w:pPr>
          </w:p>
          <w:p w:rsidR="0007379E" w:rsidP="00B72876" w:rsidRDefault="0007379E" w14:paraId="521C17ED" w14:textId="77777777">
            <w:pPr>
              <w:rPr>
                <w:color w:val="000000"/>
              </w:rPr>
            </w:pPr>
          </w:p>
          <w:p w:rsidR="0007379E" w:rsidP="00B72876" w:rsidRDefault="0007379E" w14:paraId="4D921E87" w14:textId="77777777">
            <w:pPr>
              <w:rPr>
                <w:color w:val="000000"/>
              </w:rPr>
            </w:pPr>
          </w:p>
          <w:p w:rsidR="0007379E" w:rsidP="00B72876" w:rsidRDefault="0007379E" w14:paraId="237977CA" w14:textId="77777777">
            <w:pPr>
              <w:rPr>
                <w:color w:val="000000"/>
              </w:rPr>
            </w:pPr>
          </w:p>
          <w:p w:rsidR="0007379E" w:rsidP="00B72876" w:rsidRDefault="0007379E" w14:paraId="40E142CB" w14:textId="77777777">
            <w:pPr>
              <w:rPr>
                <w:color w:val="000000"/>
              </w:rPr>
            </w:pPr>
          </w:p>
          <w:p w:rsidR="0007379E" w:rsidP="00B72876" w:rsidRDefault="0007379E" w14:paraId="4EE93C91" w14:textId="77777777">
            <w:pPr>
              <w:rPr>
                <w:color w:val="000000"/>
              </w:rPr>
            </w:pPr>
          </w:p>
          <w:p w:rsidR="0007379E" w:rsidP="00B72876" w:rsidRDefault="0007379E" w14:paraId="796B8CBB" w14:textId="77777777">
            <w:pPr>
              <w:rPr>
                <w:color w:val="000000"/>
              </w:rPr>
            </w:pPr>
          </w:p>
          <w:p w:rsidR="0007379E" w:rsidP="00B72876" w:rsidRDefault="0007379E" w14:paraId="72B9D60D" w14:textId="77777777">
            <w:pPr>
              <w:rPr>
                <w:color w:val="000000"/>
              </w:rPr>
            </w:pPr>
          </w:p>
          <w:p w:rsidR="0007379E" w:rsidP="00B72876" w:rsidRDefault="0007379E" w14:paraId="1988193A" w14:textId="77777777">
            <w:pPr>
              <w:rPr>
                <w:color w:val="000000"/>
              </w:rPr>
            </w:pPr>
          </w:p>
          <w:p w:rsidR="0007379E" w:rsidP="00B72876" w:rsidRDefault="0007379E" w14:paraId="4DF1076F" w14:textId="77777777">
            <w:pPr>
              <w:rPr>
                <w:color w:val="000000"/>
              </w:rPr>
            </w:pPr>
          </w:p>
          <w:p w:rsidR="0007379E" w:rsidP="00B72876" w:rsidRDefault="0007379E" w14:paraId="22FBEC07" w14:textId="77777777">
            <w:pPr>
              <w:rPr>
                <w:color w:val="000000"/>
              </w:rPr>
            </w:pPr>
          </w:p>
          <w:p w:rsidR="0007379E" w:rsidP="00B72876" w:rsidRDefault="0007379E" w14:paraId="0948965A" w14:textId="77777777">
            <w:pPr>
              <w:rPr>
                <w:color w:val="000000"/>
              </w:rPr>
            </w:pPr>
          </w:p>
          <w:p w:rsidR="0007379E" w:rsidP="00B72876" w:rsidRDefault="0007379E" w14:paraId="7BDAC42E" w14:textId="77777777">
            <w:pPr>
              <w:rPr>
                <w:color w:val="000000"/>
              </w:rPr>
            </w:pPr>
          </w:p>
          <w:p w:rsidR="0007379E" w:rsidP="00B72876" w:rsidRDefault="0007379E" w14:paraId="3DFBE109" w14:textId="77777777">
            <w:pPr>
              <w:rPr>
                <w:color w:val="000000"/>
              </w:rPr>
            </w:pPr>
          </w:p>
          <w:p w:rsidR="0007379E" w:rsidP="00B72876" w:rsidRDefault="0007379E" w14:paraId="750395FA" w14:textId="77777777">
            <w:pPr>
              <w:rPr>
                <w:color w:val="000000"/>
              </w:rPr>
            </w:pPr>
          </w:p>
          <w:p w:rsidR="0007379E" w:rsidP="00B72876" w:rsidRDefault="0007379E" w14:paraId="4D693F2D" w14:textId="77777777">
            <w:pPr>
              <w:rPr>
                <w:color w:val="000000"/>
              </w:rPr>
            </w:pPr>
          </w:p>
          <w:p w:rsidR="0007379E" w:rsidP="00B72876" w:rsidRDefault="0007379E" w14:paraId="2A0ADD12" w14:textId="77777777">
            <w:pPr>
              <w:rPr>
                <w:color w:val="000000"/>
              </w:rPr>
            </w:pPr>
          </w:p>
          <w:p w:rsidR="0007379E" w:rsidP="00B72876" w:rsidRDefault="0007379E" w14:paraId="3FF5450E" w14:textId="77777777">
            <w:pPr>
              <w:rPr>
                <w:color w:val="000000"/>
              </w:rPr>
            </w:pPr>
          </w:p>
          <w:p w:rsidR="0007379E" w:rsidP="00B72876" w:rsidRDefault="0007379E" w14:paraId="696DB217" w14:textId="77777777">
            <w:pPr>
              <w:rPr>
                <w:color w:val="000000"/>
              </w:rPr>
            </w:pPr>
          </w:p>
          <w:p w:rsidR="0007379E" w:rsidP="00B72876" w:rsidRDefault="0007379E" w14:paraId="36510F1E" w14:textId="77777777">
            <w:pPr>
              <w:rPr>
                <w:color w:val="000000"/>
              </w:rPr>
            </w:pPr>
          </w:p>
          <w:p w:rsidR="0007379E" w:rsidP="00B72876" w:rsidRDefault="0007379E" w14:paraId="48831F2B" w14:textId="77777777">
            <w:pPr>
              <w:rPr>
                <w:color w:val="000000"/>
              </w:rPr>
            </w:pPr>
          </w:p>
          <w:p w:rsidR="0007379E" w:rsidP="00B72876" w:rsidRDefault="0007379E" w14:paraId="633EBD87" w14:textId="77777777">
            <w:pPr>
              <w:rPr>
                <w:color w:val="000000"/>
              </w:rPr>
            </w:pPr>
          </w:p>
          <w:p w:rsidR="0007379E" w:rsidP="00B72876" w:rsidRDefault="0007379E" w14:paraId="7E15DE7D" w14:textId="77777777">
            <w:pPr>
              <w:rPr>
                <w:color w:val="000000"/>
              </w:rPr>
            </w:pPr>
          </w:p>
          <w:p w:rsidR="0007379E" w:rsidP="00B72876" w:rsidRDefault="0007379E" w14:paraId="5AF75298" w14:textId="77777777">
            <w:pPr>
              <w:rPr>
                <w:color w:val="000000"/>
              </w:rPr>
            </w:pPr>
          </w:p>
          <w:p w:rsidR="0007379E" w:rsidP="00B72876" w:rsidRDefault="0007379E" w14:paraId="17DCF587" w14:textId="77777777">
            <w:pPr>
              <w:rPr>
                <w:color w:val="000000"/>
              </w:rPr>
            </w:pPr>
          </w:p>
          <w:p w:rsidR="0007379E" w:rsidP="00B72876" w:rsidRDefault="0007379E" w14:paraId="073BF5B3" w14:textId="77777777">
            <w:pPr>
              <w:rPr>
                <w:color w:val="000000"/>
              </w:rPr>
            </w:pPr>
          </w:p>
          <w:p w:rsidR="0007379E" w:rsidP="00B72876" w:rsidRDefault="0007379E" w14:paraId="5A634D0A" w14:textId="77777777">
            <w:pPr>
              <w:rPr>
                <w:color w:val="000000"/>
              </w:rPr>
            </w:pPr>
          </w:p>
          <w:p w:rsidR="0007379E" w:rsidP="00B72876" w:rsidRDefault="0007379E" w14:paraId="30E9DFF0" w14:textId="77777777">
            <w:pPr>
              <w:rPr>
                <w:color w:val="000000"/>
              </w:rPr>
            </w:pPr>
          </w:p>
          <w:p w:rsidR="0007379E" w:rsidP="00B72876" w:rsidRDefault="0007379E" w14:paraId="0AFC9632" w14:textId="77777777">
            <w:pPr>
              <w:rPr>
                <w:color w:val="000000"/>
              </w:rPr>
            </w:pPr>
          </w:p>
          <w:p w:rsidR="0007379E" w:rsidP="00B72876" w:rsidRDefault="0007379E" w14:paraId="3B45F208" w14:textId="77777777">
            <w:pPr>
              <w:rPr>
                <w:color w:val="000000"/>
              </w:rPr>
            </w:pPr>
          </w:p>
          <w:p w:rsidR="0007379E" w:rsidP="00B72876" w:rsidRDefault="0007379E" w14:paraId="155B0715" w14:textId="77777777">
            <w:pPr>
              <w:rPr>
                <w:color w:val="000000"/>
              </w:rPr>
            </w:pPr>
          </w:p>
          <w:p w:rsidR="0007379E" w:rsidP="00B72876" w:rsidRDefault="0007379E" w14:paraId="7E471379" w14:textId="77777777">
            <w:pPr>
              <w:rPr>
                <w:color w:val="000000"/>
              </w:rPr>
            </w:pPr>
          </w:p>
          <w:p w:rsidR="0007379E" w:rsidP="00B72876" w:rsidRDefault="0007379E" w14:paraId="0694B2CD" w14:textId="77777777">
            <w:pPr>
              <w:rPr>
                <w:color w:val="000000"/>
              </w:rPr>
            </w:pPr>
          </w:p>
          <w:p w:rsidR="0007379E" w:rsidP="00B72876" w:rsidRDefault="0007379E" w14:paraId="5EE051EB" w14:textId="77777777">
            <w:pPr>
              <w:rPr>
                <w:color w:val="000000"/>
              </w:rPr>
            </w:pPr>
          </w:p>
          <w:p w:rsidR="0007379E" w:rsidP="00B72876" w:rsidRDefault="0007379E" w14:paraId="2C02957B" w14:textId="77777777">
            <w:pPr>
              <w:rPr>
                <w:color w:val="000000"/>
              </w:rPr>
            </w:pPr>
          </w:p>
          <w:p w:rsidR="0007379E" w:rsidP="00B72876" w:rsidRDefault="0007379E" w14:paraId="26255C1F" w14:textId="77777777">
            <w:pPr>
              <w:rPr>
                <w:color w:val="000000"/>
              </w:rPr>
            </w:pPr>
          </w:p>
          <w:p w:rsidR="0007379E" w:rsidP="00B72876" w:rsidRDefault="0007379E" w14:paraId="6CE96856" w14:textId="77777777">
            <w:pPr>
              <w:rPr>
                <w:color w:val="000000"/>
              </w:rPr>
            </w:pPr>
          </w:p>
          <w:p w:rsidR="0007379E" w:rsidP="00B72876" w:rsidRDefault="0007379E" w14:paraId="34961060" w14:textId="77777777">
            <w:pPr>
              <w:rPr>
                <w:color w:val="000000"/>
              </w:rPr>
            </w:pPr>
          </w:p>
          <w:p w:rsidR="0007379E" w:rsidP="00B72876" w:rsidRDefault="0007379E" w14:paraId="61B5DA72" w14:textId="77777777">
            <w:pPr>
              <w:rPr>
                <w:color w:val="000000"/>
              </w:rPr>
            </w:pPr>
          </w:p>
          <w:p w:rsidR="0007379E" w:rsidP="00B72876" w:rsidRDefault="0007379E" w14:paraId="1F1EBA13" w14:textId="77777777">
            <w:pPr>
              <w:rPr>
                <w:color w:val="000000"/>
              </w:rPr>
            </w:pPr>
          </w:p>
          <w:p w:rsidR="0007379E" w:rsidP="00B72876" w:rsidRDefault="0007379E" w14:paraId="32CDDD6F" w14:textId="77777777">
            <w:pPr>
              <w:rPr>
                <w:color w:val="000000"/>
              </w:rPr>
            </w:pPr>
          </w:p>
          <w:p w:rsidR="0007379E" w:rsidP="00B72876" w:rsidRDefault="0007379E" w14:paraId="0E142BA5" w14:textId="77777777">
            <w:pPr>
              <w:rPr>
                <w:color w:val="000000"/>
              </w:rPr>
            </w:pPr>
          </w:p>
          <w:p w:rsidR="0007379E" w:rsidP="00B72876" w:rsidRDefault="0007379E" w14:paraId="1DE66A22" w14:textId="77777777">
            <w:pPr>
              <w:rPr>
                <w:color w:val="000000"/>
              </w:rPr>
            </w:pPr>
          </w:p>
          <w:p w:rsidR="0007379E" w:rsidP="00B72876" w:rsidRDefault="0007379E" w14:paraId="2ED410D4" w14:textId="77777777">
            <w:pPr>
              <w:rPr>
                <w:color w:val="000000"/>
              </w:rPr>
            </w:pPr>
          </w:p>
          <w:p w:rsidR="0007379E" w:rsidP="00B72876" w:rsidRDefault="0007379E" w14:paraId="7DCA252C" w14:textId="77777777">
            <w:pPr>
              <w:rPr>
                <w:color w:val="000000"/>
              </w:rPr>
            </w:pPr>
          </w:p>
          <w:p w:rsidR="0007379E" w:rsidP="00B72876" w:rsidRDefault="0007379E" w14:paraId="3EDDA428" w14:textId="77777777">
            <w:pPr>
              <w:rPr>
                <w:color w:val="000000"/>
              </w:rPr>
            </w:pPr>
          </w:p>
          <w:p w:rsidR="0007379E" w:rsidP="00B72876" w:rsidRDefault="0007379E" w14:paraId="3BE745DD" w14:textId="77777777">
            <w:pPr>
              <w:rPr>
                <w:color w:val="000000"/>
              </w:rPr>
            </w:pPr>
          </w:p>
          <w:p w:rsidR="0007379E" w:rsidP="00B72876" w:rsidRDefault="0007379E" w14:paraId="2C58E22B" w14:textId="77777777">
            <w:pPr>
              <w:rPr>
                <w:color w:val="000000"/>
              </w:rPr>
            </w:pPr>
          </w:p>
          <w:p w:rsidR="0007379E" w:rsidP="00B72876" w:rsidRDefault="0007379E" w14:paraId="446ABAF3" w14:textId="77777777">
            <w:pPr>
              <w:rPr>
                <w:color w:val="000000"/>
              </w:rPr>
            </w:pPr>
          </w:p>
          <w:p w:rsidR="0007379E" w:rsidP="00B72876" w:rsidRDefault="0007379E" w14:paraId="372ED366" w14:textId="77777777">
            <w:pPr>
              <w:rPr>
                <w:color w:val="000000"/>
              </w:rPr>
            </w:pPr>
          </w:p>
          <w:p w:rsidR="0007379E" w:rsidP="00B72876" w:rsidRDefault="0007379E" w14:paraId="410E69C2" w14:textId="77777777">
            <w:pPr>
              <w:rPr>
                <w:color w:val="000000"/>
              </w:rPr>
            </w:pPr>
          </w:p>
          <w:p w:rsidR="0007379E" w:rsidP="00B72876" w:rsidRDefault="0007379E" w14:paraId="52152CFD" w14:textId="77777777">
            <w:pPr>
              <w:rPr>
                <w:color w:val="000000"/>
              </w:rPr>
            </w:pPr>
          </w:p>
          <w:p w:rsidR="0007379E" w:rsidP="00B72876" w:rsidRDefault="0007379E" w14:paraId="53630AAA" w14:textId="77777777">
            <w:pPr>
              <w:rPr>
                <w:color w:val="000000"/>
              </w:rPr>
            </w:pPr>
          </w:p>
          <w:p w:rsidR="0007379E" w:rsidP="00B72876" w:rsidRDefault="0007379E" w14:paraId="3ED5675C" w14:textId="77777777">
            <w:pPr>
              <w:rPr>
                <w:color w:val="000000"/>
              </w:rPr>
            </w:pPr>
          </w:p>
          <w:p w:rsidR="0007379E" w:rsidP="00B72876" w:rsidRDefault="0007379E" w14:paraId="431D2CB5" w14:textId="77777777">
            <w:pPr>
              <w:rPr>
                <w:color w:val="000000"/>
              </w:rPr>
            </w:pPr>
          </w:p>
          <w:p w:rsidR="0007379E" w:rsidP="00B72876" w:rsidRDefault="0007379E" w14:paraId="63A558B3" w14:textId="77777777">
            <w:pPr>
              <w:rPr>
                <w:color w:val="000000"/>
              </w:rPr>
            </w:pPr>
          </w:p>
          <w:p w:rsidR="0007379E" w:rsidP="00B72876" w:rsidRDefault="0007379E" w14:paraId="6EAD7AC2" w14:textId="77777777">
            <w:pPr>
              <w:rPr>
                <w:color w:val="000000"/>
              </w:rPr>
            </w:pPr>
          </w:p>
          <w:p w:rsidR="0007379E" w:rsidP="00B72876" w:rsidRDefault="0007379E" w14:paraId="0950EFC0" w14:textId="77777777">
            <w:pPr>
              <w:rPr>
                <w:color w:val="000000"/>
              </w:rPr>
            </w:pPr>
          </w:p>
          <w:p w:rsidR="0007379E" w:rsidP="00B72876" w:rsidRDefault="0007379E" w14:paraId="0157D30D" w14:textId="77777777">
            <w:pPr>
              <w:rPr>
                <w:color w:val="000000"/>
              </w:rPr>
            </w:pPr>
          </w:p>
          <w:p w:rsidR="0007379E" w:rsidP="00B72876" w:rsidRDefault="0007379E" w14:paraId="6F798E21" w14:textId="77777777">
            <w:pPr>
              <w:rPr>
                <w:color w:val="000000"/>
              </w:rPr>
            </w:pPr>
          </w:p>
          <w:p w:rsidR="0007379E" w:rsidP="00B72876" w:rsidRDefault="0007379E" w14:paraId="1E36ED1A" w14:textId="77777777">
            <w:pPr>
              <w:rPr>
                <w:color w:val="000000"/>
              </w:rPr>
            </w:pPr>
          </w:p>
          <w:p w:rsidR="0007379E" w:rsidP="00B72876" w:rsidRDefault="0007379E" w14:paraId="2284AD71" w14:textId="77777777">
            <w:pPr>
              <w:rPr>
                <w:color w:val="000000"/>
              </w:rPr>
            </w:pPr>
          </w:p>
          <w:p w:rsidR="0007379E" w:rsidP="00B72876" w:rsidRDefault="0007379E" w14:paraId="661377B7" w14:textId="77777777">
            <w:pPr>
              <w:rPr>
                <w:color w:val="000000"/>
              </w:rPr>
            </w:pPr>
          </w:p>
          <w:p w:rsidR="0007379E" w:rsidP="00B72876" w:rsidRDefault="0007379E" w14:paraId="44892730" w14:textId="77777777">
            <w:pPr>
              <w:rPr>
                <w:color w:val="000000"/>
              </w:rPr>
            </w:pPr>
          </w:p>
          <w:p w:rsidR="0007379E" w:rsidP="00B72876" w:rsidRDefault="0007379E" w14:paraId="25D91714" w14:textId="77777777">
            <w:pPr>
              <w:rPr>
                <w:color w:val="000000"/>
              </w:rPr>
            </w:pPr>
          </w:p>
          <w:p w:rsidR="0007379E" w:rsidP="00B72876" w:rsidRDefault="0007379E" w14:paraId="77E6DAC5" w14:textId="77777777">
            <w:pPr>
              <w:rPr>
                <w:color w:val="000000"/>
              </w:rPr>
            </w:pPr>
          </w:p>
          <w:p w:rsidR="0007379E" w:rsidP="00B72876" w:rsidRDefault="0007379E" w14:paraId="20BA2414" w14:textId="77777777">
            <w:pPr>
              <w:rPr>
                <w:color w:val="000000"/>
              </w:rPr>
            </w:pPr>
          </w:p>
          <w:p w:rsidR="0007379E" w:rsidP="00B72876" w:rsidRDefault="0007379E" w14:paraId="709C3CE5" w14:textId="77777777">
            <w:pPr>
              <w:rPr>
                <w:color w:val="000000"/>
              </w:rPr>
            </w:pPr>
          </w:p>
          <w:p w:rsidR="0007379E" w:rsidP="00B72876" w:rsidRDefault="00695BA0" w14:paraId="4F8A30DF" w14:textId="2E85D34A">
            <w:pPr>
              <w:rPr>
                <w:color w:val="000000"/>
              </w:rPr>
            </w:pPr>
            <w:r>
              <w:rPr>
                <w:color w:val="000000"/>
              </w:rPr>
              <w:t xml:space="preserve">This did not </w:t>
            </w:r>
            <w:r w:rsidR="005E343E">
              <w:rPr>
                <w:color w:val="000000"/>
              </w:rPr>
              <w:t xml:space="preserve">inform </w:t>
            </w:r>
            <w:r>
              <w:rPr>
                <w:color w:val="000000"/>
              </w:rPr>
              <w:t>the decision.</w:t>
            </w:r>
          </w:p>
          <w:p w:rsidR="0007379E" w:rsidP="00B72876" w:rsidRDefault="0007379E" w14:paraId="1EBEC45E" w14:textId="77777777">
            <w:pPr>
              <w:rPr>
                <w:color w:val="000000"/>
              </w:rPr>
            </w:pPr>
          </w:p>
          <w:p w:rsidR="0007379E" w:rsidP="00B72876" w:rsidRDefault="0007379E" w14:paraId="51312C5C" w14:textId="77777777">
            <w:pPr>
              <w:rPr>
                <w:color w:val="000000"/>
              </w:rPr>
            </w:pPr>
          </w:p>
          <w:p w:rsidR="0007379E" w:rsidP="00B72876" w:rsidRDefault="0007379E" w14:paraId="15B039C4" w14:textId="77777777">
            <w:pPr>
              <w:rPr>
                <w:color w:val="000000"/>
              </w:rPr>
            </w:pPr>
          </w:p>
          <w:p w:rsidR="0007379E" w:rsidP="00B72876" w:rsidRDefault="0007379E" w14:paraId="507762D9" w14:textId="77777777">
            <w:pPr>
              <w:rPr>
                <w:color w:val="000000"/>
              </w:rPr>
            </w:pPr>
          </w:p>
          <w:p w:rsidR="0007379E" w:rsidP="00B72876" w:rsidRDefault="0007379E" w14:paraId="16322C69" w14:textId="77777777">
            <w:pPr>
              <w:rPr>
                <w:color w:val="000000"/>
              </w:rPr>
            </w:pPr>
          </w:p>
          <w:p w:rsidR="0007379E" w:rsidP="00B72876" w:rsidRDefault="0007379E" w14:paraId="0BCE364D" w14:textId="77777777">
            <w:pPr>
              <w:rPr>
                <w:color w:val="000000"/>
              </w:rPr>
            </w:pPr>
          </w:p>
          <w:p w:rsidR="0007379E" w:rsidP="00B72876" w:rsidRDefault="0007379E" w14:paraId="724113AC" w14:textId="77777777">
            <w:pPr>
              <w:rPr>
                <w:color w:val="000000"/>
              </w:rPr>
            </w:pPr>
          </w:p>
          <w:p w:rsidR="0007379E" w:rsidP="00B72876" w:rsidRDefault="0007379E" w14:paraId="37E19721" w14:textId="77777777">
            <w:pPr>
              <w:rPr>
                <w:color w:val="000000"/>
              </w:rPr>
            </w:pPr>
          </w:p>
          <w:p w:rsidR="0007379E" w:rsidP="00B72876" w:rsidRDefault="0007379E" w14:paraId="22EEE0F8" w14:textId="77777777">
            <w:pPr>
              <w:rPr>
                <w:color w:val="000000"/>
              </w:rPr>
            </w:pPr>
          </w:p>
          <w:p w:rsidR="0007379E" w:rsidP="00B72876" w:rsidRDefault="0007379E" w14:paraId="2FBBC81F" w14:textId="77777777">
            <w:pPr>
              <w:rPr>
                <w:color w:val="000000"/>
              </w:rPr>
            </w:pPr>
          </w:p>
          <w:p w:rsidR="0007379E" w:rsidP="00B72876" w:rsidRDefault="0007379E" w14:paraId="21F4B50B" w14:textId="77777777">
            <w:pPr>
              <w:rPr>
                <w:color w:val="000000"/>
              </w:rPr>
            </w:pPr>
          </w:p>
          <w:p w:rsidR="0007379E" w:rsidP="00B72876" w:rsidRDefault="0007379E" w14:paraId="25412F67" w14:textId="77777777">
            <w:pPr>
              <w:rPr>
                <w:color w:val="000000"/>
              </w:rPr>
            </w:pPr>
          </w:p>
          <w:p w:rsidR="0007379E" w:rsidP="00B72876" w:rsidRDefault="0007379E" w14:paraId="2B92257A" w14:textId="77777777">
            <w:pPr>
              <w:rPr>
                <w:color w:val="000000"/>
              </w:rPr>
            </w:pPr>
          </w:p>
          <w:p w:rsidR="0007379E" w:rsidP="00B72876" w:rsidRDefault="0007379E" w14:paraId="43BEC8D1" w14:textId="77777777">
            <w:pPr>
              <w:rPr>
                <w:color w:val="000000"/>
              </w:rPr>
            </w:pPr>
          </w:p>
          <w:p w:rsidR="0007379E" w:rsidP="00B72876" w:rsidRDefault="0007379E" w14:paraId="2BF20DE4" w14:textId="77777777">
            <w:pPr>
              <w:rPr>
                <w:color w:val="000000"/>
              </w:rPr>
            </w:pPr>
          </w:p>
          <w:p w:rsidR="0007379E" w:rsidP="00B72876" w:rsidRDefault="0007379E" w14:paraId="3D8FE80B" w14:textId="77777777">
            <w:pPr>
              <w:rPr>
                <w:color w:val="000000"/>
              </w:rPr>
            </w:pPr>
          </w:p>
          <w:p w:rsidR="0007379E" w:rsidP="00B72876" w:rsidRDefault="0007379E" w14:paraId="1ACFA69F" w14:textId="77777777">
            <w:pPr>
              <w:rPr>
                <w:color w:val="000000"/>
              </w:rPr>
            </w:pPr>
          </w:p>
          <w:p w:rsidR="0007379E" w:rsidP="00B72876" w:rsidRDefault="0007379E" w14:paraId="04350E02" w14:textId="77777777">
            <w:pPr>
              <w:rPr>
                <w:color w:val="000000"/>
              </w:rPr>
            </w:pPr>
          </w:p>
          <w:p w:rsidR="0007379E" w:rsidP="00B72876" w:rsidRDefault="0007379E" w14:paraId="0FCD76EB" w14:textId="77777777">
            <w:pPr>
              <w:rPr>
                <w:color w:val="000000"/>
              </w:rPr>
            </w:pPr>
          </w:p>
          <w:p w:rsidR="0007379E" w:rsidP="00B72876" w:rsidRDefault="0007379E" w14:paraId="4CC916C3" w14:textId="77777777">
            <w:pPr>
              <w:rPr>
                <w:color w:val="000000"/>
              </w:rPr>
            </w:pPr>
          </w:p>
          <w:p w:rsidR="0007379E" w:rsidP="00B72876" w:rsidRDefault="0007379E" w14:paraId="15644E0A" w14:textId="77777777">
            <w:pPr>
              <w:rPr>
                <w:color w:val="000000"/>
              </w:rPr>
            </w:pPr>
          </w:p>
          <w:p w:rsidR="0007379E" w:rsidP="00B72876" w:rsidRDefault="0007379E" w14:paraId="69AFE725" w14:textId="77777777">
            <w:pPr>
              <w:rPr>
                <w:color w:val="000000"/>
              </w:rPr>
            </w:pPr>
          </w:p>
          <w:p w:rsidR="0007379E" w:rsidP="00B72876" w:rsidRDefault="0007379E" w14:paraId="18EB951B" w14:textId="77777777">
            <w:pPr>
              <w:rPr>
                <w:color w:val="000000"/>
              </w:rPr>
            </w:pPr>
          </w:p>
          <w:p w:rsidR="0007379E" w:rsidP="00B72876" w:rsidRDefault="0007379E" w14:paraId="44571B1D" w14:textId="77777777">
            <w:pPr>
              <w:rPr>
                <w:color w:val="000000"/>
              </w:rPr>
            </w:pPr>
          </w:p>
          <w:p w:rsidR="0007379E" w:rsidP="00B72876" w:rsidRDefault="0007379E" w14:paraId="34474114" w14:textId="77777777">
            <w:pPr>
              <w:rPr>
                <w:color w:val="000000"/>
              </w:rPr>
            </w:pPr>
          </w:p>
          <w:p w:rsidR="0007379E" w:rsidP="00B72876" w:rsidRDefault="0007379E" w14:paraId="694A7EA0" w14:textId="77777777">
            <w:pPr>
              <w:rPr>
                <w:color w:val="000000"/>
              </w:rPr>
            </w:pPr>
          </w:p>
          <w:p w:rsidRPr="00B72876" w:rsidR="0007379E" w:rsidP="00B72876" w:rsidRDefault="0007379E" w14:paraId="56FD3368" w14:textId="0EFF1BA0">
            <w:pPr>
              <w:rPr>
                <w:color w:val="000000"/>
              </w:rPr>
            </w:pPr>
          </w:p>
        </w:tc>
      </w:tr>
      <w:tr w:rsidRPr="00B72876" w:rsidR="00FE4987" w:rsidTr="00794A54" w14:paraId="36FF786B" w14:textId="77777777">
        <w:tc>
          <w:tcPr>
            <w:tcW w:w="3505" w:type="dxa"/>
            <w:shd w:val="clear" w:color="auto" w:fill="FFFFFF" w:themeFill="background1"/>
          </w:tcPr>
          <w:p w:rsidRPr="00565C82" w:rsidR="00FE4987" w:rsidP="00FE4987" w:rsidRDefault="00FE4987" w14:paraId="3CB948CC" w14:textId="77777777">
            <w:pPr>
              <w:pStyle w:val="ListParagraph"/>
              <w:numPr>
                <w:ilvl w:val="0"/>
                <w:numId w:val="18"/>
              </w:numPr>
              <w:spacing w:after="160" w:line="259" w:lineRule="auto"/>
              <w:ind w:left="330"/>
              <w:contextualSpacing/>
              <w:rPr>
                <w:rFonts w:ascii="Times New Roman" w:hAnsi="Times New Roman"/>
                <w:b/>
                <w:sz w:val="24"/>
                <w:szCs w:val="24"/>
              </w:rPr>
            </w:pPr>
            <w:r w:rsidRPr="00565C82">
              <w:rPr>
                <w:rFonts w:ascii="Times New Roman" w:hAnsi="Times New Roman"/>
                <w:b/>
                <w:sz w:val="24"/>
                <w:szCs w:val="24"/>
              </w:rPr>
              <w:lastRenderedPageBreak/>
              <w:t>UCAN CONTRIBUTED TO D.22-04-055 ADOPTING FEDERAL FUNDING ACCOUNT RULES.</w:t>
            </w:r>
          </w:p>
          <w:p w:rsidRPr="00565C82" w:rsidR="00FE4987" w:rsidP="00FE4987" w:rsidRDefault="00FE4987" w14:paraId="2B2A98BF" w14:textId="77777777">
            <w:pPr>
              <w:rPr>
                <w:rFonts w:eastAsia="Calibri"/>
              </w:rPr>
            </w:pPr>
            <w:r w:rsidRPr="00565C82">
              <w:rPr>
                <w:rFonts w:eastAsia="Calibri"/>
              </w:rPr>
              <w:t xml:space="preserve">The Phase II Decision (and including Appendix A, the Federal Funding Account Grant Program Rules) encompassed the development of rules governing the FFA, including whether the Commission should adopt the Staff Proposal for funding guidelines or refine it, as well as other topics: project eligibility, affordability, criteria for evaluating applications, allocating FFA funding between rural and urban counties, and reimbursing grantees.  </w:t>
            </w:r>
            <w:r w:rsidRPr="00565C82">
              <w:rPr>
                <w:rFonts w:eastAsia="Calibri"/>
                <w:b/>
              </w:rPr>
              <w:t xml:space="preserve">D.22-04-055, </w:t>
            </w:r>
            <w:proofErr w:type="gramStart"/>
            <w:r w:rsidRPr="00565C82">
              <w:rPr>
                <w:rFonts w:eastAsia="Calibri"/>
                <w:b/>
              </w:rPr>
              <w:t>at p.</w:t>
            </w:r>
            <w:proofErr w:type="gramEnd"/>
            <w:r w:rsidRPr="00565C82">
              <w:rPr>
                <w:rFonts w:eastAsia="Calibri"/>
                <w:b/>
              </w:rPr>
              <w:t xml:space="preserve"> 2.</w:t>
            </w:r>
          </w:p>
          <w:p w:rsidRPr="00565C82" w:rsidR="00FE4987" w:rsidP="00FE4987" w:rsidRDefault="00FE4987" w14:paraId="1C329AAD" w14:textId="77777777">
            <w:pPr>
              <w:rPr>
                <w:rFonts w:eastAsia="Calibri"/>
              </w:rPr>
            </w:pPr>
          </w:p>
          <w:p w:rsidRPr="00565C82" w:rsidR="00FE4987" w:rsidP="00FE4987" w:rsidRDefault="00FE4987" w14:paraId="5C6496AB" w14:textId="77777777">
            <w:pPr>
              <w:numPr>
                <w:ilvl w:val="0"/>
                <w:numId w:val="26"/>
              </w:numPr>
              <w:spacing w:after="160" w:line="259" w:lineRule="auto"/>
              <w:contextualSpacing/>
              <w:rPr>
                <w:rFonts w:eastAsia="Calibri"/>
                <w:u w:val="single"/>
              </w:rPr>
            </w:pPr>
            <w:r w:rsidRPr="00565C82">
              <w:rPr>
                <w:rFonts w:eastAsia="Calibri"/>
                <w:u w:val="single"/>
              </w:rPr>
              <w:lastRenderedPageBreak/>
              <w:t>UCAN highlighted and suggested that urban areas also are underserved and faced barriers to adoption and deployment.</w:t>
            </w:r>
          </w:p>
          <w:p w:rsidRPr="00565C82" w:rsidR="00FE4987" w:rsidP="00FE4987" w:rsidRDefault="00FE4987" w14:paraId="19F50453" w14:textId="77777777">
            <w:pPr>
              <w:spacing w:after="160" w:line="259" w:lineRule="auto"/>
              <w:rPr>
                <w:rFonts w:eastAsia="Calibri"/>
              </w:rPr>
            </w:pPr>
          </w:p>
          <w:p w:rsidRPr="00565C82" w:rsidR="00FE4987" w:rsidP="00FE4987" w:rsidRDefault="00FE4987" w14:paraId="67B3B4B3" w14:textId="77777777">
            <w:pPr>
              <w:spacing w:after="160" w:line="259" w:lineRule="auto"/>
              <w:rPr>
                <w:rFonts w:eastAsia="Calibri"/>
              </w:rPr>
            </w:pPr>
          </w:p>
          <w:p w:rsidRPr="00565C82" w:rsidR="00FE4987" w:rsidP="00FE4987" w:rsidRDefault="00FE4987" w14:paraId="74281AFB" w14:textId="77777777">
            <w:pPr>
              <w:spacing w:after="160" w:line="259" w:lineRule="auto"/>
              <w:rPr>
                <w:rFonts w:eastAsia="Calibri"/>
              </w:rPr>
            </w:pPr>
          </w:p>
          <w:p w:rsidRPr="00565C82" w:rsidR="00FE4987" w:rsidP="00FE4987" w:rsidRDefault="00FE4987" w14:paraId="419FF4DD" w14:textId="77777777">
            <w:pPr>
              <w:spacing w:after="160" w:line="259" w:lineRule="auto"/>
              <w:rPr>
                <w:rFonts w:eastAsia="Calibri"/>
              </w:rPr>
            </w:pPr>
          </w:p>
          <w:p w:rsidRPr="00565C82" w:rsidR="00FE4987" w:rsidP="00FE4987" w:rsidRDefault="00FE4987" w14:paraId="3081887F" w14:textId="77777777">
            <w:pPr>
              <w:spacing w:after="160" w:line="259" w:lineRule="auto"/>
              <w:rPr>
                <w:rFonts w:eastAsia="Calibri"/>
              </w:rPr>
            </w:pPr>
          </w:p>
          <w:p w:rsidRPr="00565C82" w:rsidR="00FE4987" w:rsidP="00FE4987" w:rsidRDefault="00FE4987" w14:paraId="745E2B2D" w14:textId="77777777">
            <w:pPr>
              <w:spacing w:after="160" w:line="259" w:lineRule="auto"/>
              <w:rPr>
                <w:rFonts w:eastAsia="Calibri"/>
              </w:rPr>
            </w:pPr>
          </w:p>
          <w:p w:rsidRPr="00565C82" w:rsidR="00FE4987" w:rsidP="00FE4987" w:rsidRDefault="00FE4987" w14:paraId="5BAB62A5" w14:textId="77777777">
            <w:pPr>
              <w:spacing w:after="160" w:line="259" w:lineRule="auto"/>
              <w:rPr>
                <w:rFonts w:eastAsia="Calibri"/>
              </w:rPr>
            </w:pPr>
          </w:p>
          <w:p w:rsidRPr="00565C82" w:rsidR="00FE4987" w:rsidP="00FE4987" w:rsidRDefault="00FE4987" w14:paraId="58F4332D" w14:textId="77777777">
            <w:pPr>
              <w:spacing w:after="160" w:line="259" w:lineRule="auto"/>
              <w:rPr>
                <w:rFonts w:eastAsia="Calibri"/>
              </w:rPr>
            </w:pPr>
          </w:p>
          <w:p w:rsidRPr="00565C82" w:rsidR="00FE4987" w:rsidP="00FE4987" w:rsidRDefault="00FE4987" w14:paraId="2B5C1A05" w14:textId="77777777">
            <w:pPr>
              <w:spacing w:after="160" w:line="259" w:lineRule="auto"/>
              <w:rPr>
                <w:rFonts w:eastAsia="Calibri"/>
              </w:rPr>
            </w:pPr>
          </w:p>
          <w:p w:rsidRPr="00565C82" w:rsidR="00FE4987" w:rsidP="00FE4987" w:rsidRDefault="00FE4987" w14:paraId="075EEF09" w14:textId="77777777">
            <w:pPr>
              <w:spacing w:after="160" w:line="259" w:lineRule="auto"/>
              <w:rPr>
                <w:rFonts w:eastAsia="Calibri"/>
              </w:rPr>
            </w:pPr>
          </w:p>
          <w:p w:rsidRPr="00565C82" w:rsidR="00FE4987" w:rsidP="00FE4987" w:rsidRDefault="00FE4987" w14:paraId="6004EF1B" w14:textId="77777777">
            <w:pPr>
              <w:spacing w:after="160" w:line="259" w:lineRule="auto"/>
              <w:rPr>
                <w:rFonts w:eastAsia="Calibri"/>
              </w:rPr>
            </w:pPr>
          </w:p>
          <w:p w:rsidRPr="00565C82" w:rsidR="00FE4987" w:rsidP="00FE4987" w:rsidRDefault="00FE4987" w14:paraId="3855B98C" w14:textId="77777777">
            <w:pPr>
              <w:spacing w:after="160" w:line="259" w:lineRule="auto"/>
              <w:rPr>
                <w:rFonts w:eastAsia="Calibri"/>
              </w:rPr>
            </w:pPr>
          </w:p>
          <w:p w:rsidRPr="00565C82" w:rsidR="00FE4987" w:rsidP="00FE4987" w:rsidRDefault="00FE4987" w14:paraId="4BBC086D" w14:textId="77777777">
            <w:pPr>
              <w:spacing w:after="160" w:line="259" w:lineRule="auto"/>
              <w:rPr>
                <w:rFonts w:eastAsia="Calibri"/>
              </w:rPr>
            </w:pPr>
          </w:p>
          <w:p w:rsidRPr="00565C82" w:rsidR="00FE4987" w:rsidP="00FE4987" w:rsidRDefault="00FE4987" w14:paraId="079C0BE7" w14:textId="77777777">
            <w:pPr>
              <w:spacing w:after="160" w:line="259" w:lineRule="auto"/>
              <w:rPr>
                <w:rFonts w:eastAsia="Calibri"/>
              </w:rPr>
            </w:pPr>
          </w:p>
          <w:p w:rsidRPr="00565C82" w:rsidR="00FE4987" w:rsidP="00FE4987" w:rsidRDefault="00FE4987" w14:paraId="08814947" w14:textId="77777777">
            <w:pPr>
              <w:spacing w:after="160" w:line="259" w:lineRule="auto"/>
              <w:rPr>
                <w:rFonts w:eastAsia="Calibri"/>
              </w:rPr>
            </w:pPr>
          </w:p>
          <w:p w:rsidRPr="00565C82" w:rsidR="00FE4987" w:rsidP="00FE4987" w:rsidRDefault="00FE4987" w14:paraId="62E4F0A6" w14:textId="77777777">
            <w:pPr>
              <w:spacing w:after="160" w:line="259" w:lineRule="auto"/>
              <w:rPr>
                <w:rFonts w:eastAsia="Calibri"/>
              </w:rPr>
            </w:pPr>
          </w:p>
          <w:p w:rsidRPr="00565C82" w:rsidR="00FE4987" w:rsidP="00FE4987" w:rsidRDefault="00FE4987" w14:paraId="03F0F191" w14:textId="77777777">
            <w:pPr>
              <w:spacing w:after="160" w:line="259" w:lineRule="auto"/>
              <w:rPr>
                <w:rFonts w:eastAsia="Calibri"/>
              </w:rPr>
            </w:pPr>
          </w:p>
          <w:p w:rsidRPr="00565C82" w:rsidR="00FE4987" w:rsidP="00FE4987" w:rsidRDefault="00FE4987" w14:paraId="4D6FF24F" w14:textId="77777777">
            <w:pPr>
              <w:spacing w:after="160" w:line="259" w:lineRule="auto"/>
              <w:rPr>
                <w:rFonts w:eastAsia="Calibri"/>
              </w:rPr>
            </w:pPr>
          </w:p>
          <w:p w:rsidRPr="00565C82" w:rsidR="00FE4987" w:rsidP="00FE4987" w:rsidRDefault="00FE4987" w14:paraId="5AAFA819" w14:textId="77777777">
            <w:pPr>
              <w:spacing w:after="160" w:line="259" w:lineRule="auto"/>
              <w:rPr>
                <w:rFonts w:eastAsia="Calibri"/>
              </w:rPr>
            </w:pPr>
          </w:p>
          <w:p w:rsidRPr="00565C82" w:rsidR="00FE4987" w:rsidP="00FE4987" w:rsidRDefault="00FE4987" w14:paraId="1FD0BA66" w14:textId="77777777">
            <w:pPr>
              <w:spacing w:after="160" w:line="259" w:lineRule="auto"/>
              <w:rPr>
                <w:rFonts w:eastAsia="Calibri"/>
              </w:rPr>
            </w:pPr>
          </w:p>
          <w:p w:rsidRPr="00565C82" w:rsidR="00FE4987" w:rsidP="00FE4987" w:rsidRDefault="00FE4987" w14:paraId="258BA370" w14:textId="77777777">
            <w:pPr>
              <w:spacing w:after="160" w:line="259" w:lineRule="auto"/>
              <w:rPr>
                <w:rFonts w:eastAsia="Calibri"/>
              </w:rPr>
            </w:pPr>
          </w:p>
          <w:p w:rsidRPr="00565C82" w:rsidR="00FE4987" w:rsidP="00FE4987" w:rsidRDefault="00FE4987" w14:paraId="7909C4FE" w14:textId="77777777">
            <w:pPr>
              <w:spacing w:after="160" w:line="259" w:lineRule="auto"/>
              <w:rPr>
                <w:rFonts w:eastAsia="Calibri"/>
              </w:rPr>
            </w:pPr>
          </w:p>
          <w:p w:rsidRPr="00565C82" w:rsidR="00FE4987" w:rsidP="00FE4987" w:rsidRDefault="00FE4987" w14:paraId="06D74527" w14:textId="77777777">
            <w:pPr>
              <w:spacing w:after="160" w:line="259" w:lineRule="auto"/>
              <w:rPr>
                <w:rFonts w:eastAsia="Calibri"/>
              </w:rPr>
            </w:pPr>
          </w:p>
          <w:p w:rsidRPr="00565C82" w:rsidR="00FE4987" w:rsidP="00FE4987" w:rsidRDefault="00FE4987" w14:paraId="0B84ACD5" w14:textId="77777777">
            <w:pPr>
              <w:spacing w:after="160" w:line="259" w:lineRule="auto"/>
              <w:rPr>
                <w:rFonts w:eastAsia="Calibri"/>
              </w:rPr>
            </w:pPr>
          </w:p>
          <w:p w:rsidRPr="00565C82" w:rsidR="00FE4987" w:rsidP="00FE4987" w:rsidRDefault="00FE4987" w14:paraId="7BE71BAD" w14:textId="77777777">
            <w:pPr>
              <w:spacing w:after="160" w:line="259" w:lineRule="auto"/>
              <w:rPr>
                <w:rFonts w:eastAsia="Calibri"/>
              </w:rPr>
            </w:pPr>
          </w:p>
          <w:p w:rsidRPr="00565C82" w:rsidR="00FE4987" w:rsidP="00FE4987" w:rsidRDefault="00FE4987" w14:paraId="6C1DB3CE" w14:textId="77777777">
            <w:pPr>
              <w:spacing w:after="160" w:line="259" w:lineRule="auto"/>
              <w:rPr>
                <w:rFonts w:eastAsia="Calibri"/>
              </w:rPr>
            </w:pPr>
          </w:p>
          <w:p w:rsidRPr="00565C82" w:rsidR="00FE4987" w:rsidP="00FE4987" w:rsidRDefault="00FE4987" w14:paraId="4A87DEB2" w14:textId="77777777">
            <w:pPr>
              <w:rPr>
                <w:rFonts w:eastAsia="Calibri"/>
              </w:rPr>
            </w:pPr>
          </w:p>
          <w:p w:rsidRPr="00565C82" w:rsidR="00FE4987" w:rsidP="00FE4987" w:rsidRDefault="00FE4987" w14:paraId="56CF00E7" w14:textId="2BCA2E83">
            <w:pPr>
              <w:rPr>
                <w:rFonts w:eastAsia="Calibri"/>
              </w:rPr>
            </w:pPr>
          </w:p>
          <w:p w:rsidRPr="00565C82" w:rsidR="000C5DFE" w:rsidP="00FE4987" w:rsidRDefault="000C5DFE" w14:paraId="06672AC4" w14:textId="77777777">
            <w:pPr>
              <w:rPr>
                <w:rFonts w:eastAsia="Calibri"/>
              </w:rPr>
            </w:pPr>
          </w:p>
          <w:p w:rsidRPr="00565C82" w:rsidR="00FE4987" w:rsidP="00FE4987" w:rsidRDefault="00FE4987" w14:paraId="5E627ECC" w14:textId="77777777">
            <w:pPr>
              <w:rPr>
                <w:rFonts w:eastAsia="Calibri"/>
              </w:rPr>
            </w:pPr>
            <w:r w:rsidRPr="00565C82">
              <w:rPr>
                <w:rFonts w:eastAsia="Calibri"/>
              </w:rPr>
              <w:t>The Decision acknowledged that communities throughout California “face a multitude of barriers for the deployment of resilient and accessible broadband networks.” The CPUC also observes that in urban areas, high-speed internet access varies by neighborhood, and that rural areas often lack the infrastructure needed for “sufficient wireline and wireless broadband Internet access service.”</w:t>
            </w:r>
          </w:p>
          <w:p w:rsidRPr="00565C82" w:rsidR="00FE4987" w:rsidP="00FE4987" w:rsidRDefault="00FE4987" w14:paraId="03A752FF" w14:textId="77777777">
            <w:pPr>
              <w:numPr>
                <w:ilvl w:val="0"/>
                <w:numId w:val="28"/>
              </w:numPr>
              <w:contextualSpacing/>
              <w:rPr>
                <w:rFonts w:eastAsia="Calibri"/>
                <w:i/>
              </w:rPr>
            </w:pPr>
            <w:r w:rsidRPr="00565C82">
              <w:rPr>
                <w:rFonts w:eastAsia="Calibri"/>
                <w:i/>
              </w:rPr>
              <w:t xml:space="preserve">Communities across California face a multitude of barriers for the deployment of resilient and accessible broadband networks. Broadband Internet access and service in urban communities varies by neighborhood. Rural areas of the state often lack the infrastructure for sufficient wireline and wireless broadband Internet access service.  </w:t>
            </w:r>
            <w:r w:rsidRPr="00565C82">
              <w:rPr>
                <w:rFonts w:eastAsia="Calibri"/>
                <w:b/>
              </w:rPr>
              <w:t>D.22-04-055, at p. 6.</w:t>
            </w:r>
          </w:p>
          <w:p w:rsidRPr="00565C82" w:rsidR="00FE4987" w:rsidP="00FE4987" w:rsidRDefault="00FE4987" w14:paraId="4527AFEB" w14:textId="77777777">
            <w:pPr>
              <w:numPr>
                <w:ilvl w:val="0"/>
                <w:numId w:val="28"/>
              </w:numPr>
              <w:contextualSpacing/>
              <w:rPr>
                <w:rFonts w:eastAsia="Calibri"/>
                <w:i/>
              </w:rPr>
            </w:pPr>
            <w:r w:rsidRPr="00565C82">
              <w:rPr>
                <w:rFonts w:eastAsia="Calibri"/>
                <w:i/>
              </w:rPr>
              <w:t xml:space="preserve">The Commission adopts the Staff Proposal with clarifications of how priority areas are defined and identified.  “Priority Area” means an area with a high density of unserved locations, analyzed on a county basis, that makes a substantial contribution to </w:t>
            </w:r>
            <w:r w:rsidRPr="00565C82">
              <w:rPr>
                <w:rFonts w:eastAsia="Calibri"/>
                <w:i/>
              </w:rPr>
              <w:lastRenderedPageBreak/>
              <w:t xml:space="preserve">meeting the state’s broadband deployment objectives, as identified by CD Staff.  </w:t>
            </w:r>
            <w:r w:rsidRPr="00565C82">
              <w:rPr>
                <w:rFonts w:eastAsia="Calibri"/>
                <w:b/>
              </w:rPr>
              <w:t>D.22-04-055, at p. 25.</w:t>
            </w:r>
          </w:p>
          <w:p w:rsidRPr="00565C82" w:rsidR="00FE4987" w:rsidP="00FE4987" w:rsidRDefault="00FE4987" w14:paraId="1E949574" w14:textId="77777777">
            <w:pPr>
              <w:rPr>
                <w:rFonts w:eastAsia="Calibri"/>
              </w:rPr>
            </w:pPr>
          </w:p>
          <w:p w:rsidRPr="00565C82" w:rsidR="00FE4987" w:rsidP="00FE4987" w:rsidRDefault="00FE4987" w14:paraId="453636C4" w14:textId="77777777">
            <w:pPr>
              <w:numPr>
                <w:ilvl w:val="0"/>
                <w:numId w:val="26"/>
              </w:numPr>
              <w:contextualSpacing/>
              <w:rPr>
                <w:rFonts w:eastAsia="Calibri"/>
                <w:u w:val="single"/>
              </w:rPr>
            </w:pPr>
            <w:r w:rsidRPr="00565C82">
              <w:rPr>
                <w:rFonts w:eastAsia="Calibri"/>
                <w:u w:val="single"/>
              </w:rPr>
              <w:t>UCAN contributed to the section of the Decision further determining the classification of State counties to apportionment funds.</w:t>
            </w:r>
          </w:p>
          <w:p w:rsidRPr="00565C82" w:rsidR="00FE4987" w:rsidP="00FE4987" w:rsidRDefault="00FE4987" w14:paraId="4BDFDCD0" w14:textId="77777777">
            <w:pPr>
              <w:rPr>
                <w:rFonts w:eastAsia="Calibri"/>
                <w:b/>
              </w:rPr>
            </w:pPr>
          </w:p>
          <w:p w:rsidRPr="00565C82" w:rsidR="00FE4987" w:rsidP="00FE4987" w:rsidRDefault="00FE4987" w14:paraId="6626E8B5" w14:textId="77777777">
            <w:pPr>
              <w:rPr>
                <w:rFonts w:eastAsia="Calibri"/>
                <w:b/>
              </w:rPr>
            </w:pPr>
          </w:p>
          <w:p w:rsidRPr="00565C82" w:rsidR="00FE4987" w:rsidP="00FE4987" w:rsidRDefault="00FE4987" w14:paraId="7DBA5D17" w14:textId="77777777">
            <w:pPr>
              <w:rPr>
                <w:rFonts w:eastAsia="Calibri"/>
                <w:b/>
              </w:rPr>
            </w:pPr>
          </w:p>
          <w:p w:rsidRPr="00565C82" w:rsidR="00FE4987" w:rsidP="00FE4987" w:rsidRDefault="00FE4987" w14:paraId="7192266D" w14:textId="77777777">
            <w:pPr>
              <w:spacing w:after="160" w:line="259" w:lineRule="auto"/>
              <w:rPr>
                <w:rFonts w:eastAsia="Calibri"/>
                <w:b/>
              </w:rPr>
            </w:pPr>
          </w:p>
          <w:p w:rsidRPr="00565C82" w:rsidR="00FE4987" w:rsidP="00FE4987" w:rsidRDefault="00FE4987" w14:paraId="0ED9132B" w14:textId="77777777">
            <w:pPr>
              <w:spacing w:after="160" w:line="259" w:lineRule="auto"/>
              <w:rPr>
                <w:rFonts w:eastAsia="Calibri"/>
                <w:b/>
              </w:rPr>
            </w:pPr>
          </w:p>
          <w:p w:rsidRPr="00565C82" w:rsidR="00FE4987" w:rsidP="00FE4987" w:rsidRDefault="00FE4987" w14:paraId="38C11DEE" w14:textId="77777777">
            <w:pPr>
              <w:spacing w:after="160" w:line="259" w:lineRule="auto"/>
              <w:rPr>
                <w:rFonts w:eastAsia="Calibri"/>
                <w:b/>
              </w:rPr>
            </w:pPr>
          </w:p>
          <w:p w:rsidRPr="00565C82" w:rsidR="00FE4987" w:rsidP="00FE4987" w:rsidRDefault="00FE4987" w14:paraId="63A60DF9" w14:textId="77777777">
            <w:pPr>
              <w:spacing w:after="160" w:line="259" w:lineRule="auto"/>
              <w:rPr>
                <w:rFonts w:eastAsia="Calibri"/>
                <w:b/>
              </w:rPr>
            </w:pPr>
          </w:p>
          <w:p w:rsidRPr="00565C82" w:rsidR="00FE4987" w:rsidP="00FE4987" w:rsidRDefault="00FE4987" w14:paraId="7472F37A" w14:textId="77777777">
            <w:pPr>
              <w:spacing w:after="160" w:line="259" w:lineRule="auto"/>
              <w:rPr>
                <w:rFonts w:eastAsia="Calibri"/>
                <w:b/>
              </w:rPr>
            </w:pPr>
          </w:p>
          <w:p w:rsidRPr="00565C82" w:rsidR="00FE4987" w:rsidP="00FE4987" w:rsidRDefault="00FE4987" w14:paraId="78F39058" w14:textId="77777777">
            <w:pPr>
              <w:rPr>
                <w:rFonts w:eastAsia="Calibri"/>
              </w:rPr>
            </w:pPr>
          </w:p>
          <w:p w:rsidRPr="00565C82" w:rsidR="00FE4987" w:rsidP="00FE4987" w:rsidRDefault="00FE4987" w14:paraId="32F57814" w14:textId="77777777">
            <w:pPr>
              <w:spacing w:after="160" w:line="259" w:lineRule="auto"/>
              <w:rPr>
                <w:rFonts w:eastAsia="Calibri"/>
              </w:rPr>
            </w:pPr>
          </w:p>
          <w:p w:rsidRPr="00565C82" w:rsidR="00FE4987" w:rsidP="00FE4987" w:rsidRDefault="00FE4987" w14:paraId="0E0C77B4" w14:textId="77777777">
            <w:pPr>
              <w:spacing w:after="160" w:line="259" w:lineRule="auto"/>
              <w:rPr>
                <w:rFonts w:eastAsia="Calibri"/>
              </w:rPr>
            </w:pPr>
          </w:p>
          <w:p w:rsidRPr="00565C82" w:rsidR="00FE4987" w:rsidP="00FE4987" w:rsidRDefault="00FE4987" w14:paraId="0F58DF1A" w14:textId="77777777">
            <w:pPr>
              <w:spacing w:after="160" w:line="259" w:lineRule="auto"/>
              <w:rPr>
                <w:rFonts w:eastAsia="Calibri"/>
              </w:rPr>
            </w:pPr>
          </w:p>
          <w:p w:rsidRPr="00565C82" w:rsidR="00FE4987" w:rsidP="00FE4987" w:rsidRDefault="00FE4987" w14:paraId="5F73B073" w14:textId="77777777">
            <w:pPr>
              <w:spacing w:after="160" w:line="259" w:lineRule="auto"/>
              <w:rPr>
                <w:rFonts w:eastAsia="Calibri"/>
              </w:rPr>
            </w:pPr>
          </w:p>
          <w:p w:rsidRPr="00565C82" w:rsidR="00FE4987" w:rsidP="00FE4987" w:rsidRDefault="00FE4987" w14:paraId="74451AF8" w14:textId="77777777">
            <w:pPr>
              <w:spacing w:after="160" w:line="259" w:lineRule="auto"/>
              <w:rPr>
                <w:rFonts w:eastAsia="Calibri"/>
              </w:rPr>
            </w:pPr>
          </w:p>
          <w:p w:rsidRPr="00565C82" w:rsidR="00FE4987" w:rsidP="00FE4987" w:rsidRDefault="00FE4987" w14:paraId="1A288B37" w14:textId="77777777">
            <w:pPr>
              <w:spacing w:after="160" w:line="259" w:lineRule="auto"/>
              <w:rPr>
                <w:rFonts w:eastAsia="Calibri"/>
              </w:rPr>
            </w:pPr>
          </w:p>
          <w:p w:rsidRPr="00565C82" w:rsidR="00FE4987" w:rsidP="00FE4987" w:rsidRDefault="00FE4987" w14:paraId="20717ED8" w14:textId="77777777">
            <w:pPr>
              <w:spacing w:after="160" w:line="259" w:lineRule="auto"/>
              <w:rPr>
                <w:rFonts w:eastAsia="Calibri"/>
              </w:rPr>
            </w:pPr>
          </w:p>
          <w:p w:rsidRPr="00565C82" w:rsidR="00FE4987" w:rsidP="00FE4987" w:rsidRDefault="00FE4987" w14:paraId="3D1BF158" w14:textId="77777777">
            <w:pPr>
              <w:spacing w:after="160" w:line="259" w:lineRule="auto"/>
              <w:rPr>
                <w:rFonts w:eastAsia="Calibri"/>
              </w:rPr>
            </w:pPr>
          </w:p>
          <w:p w:rsidRPr="00565C82" w:rsidR="00FE4987" w:rsidP="00FE4987" w:rsidRDefault="00FE4987" w14:paraId="7406A4BE" w14:textId="77777777">
            <w:pPr>
              <w:spacing w:after="160" w:line="259" w:lineRule="auto"/>
              <w:rPr>
                <w:rFonts w:eastAsia="Calibri"/>
              </w:rPr>
            </w:pPr>
          </w:p>
          <w:p w:rsidRPr="00565C82" w:rsidR="00FE4987" w:rsidP="00FE4987" w:rsidRDefault="00FE4987" w14:paraId="3DEAFCD1" w14:textId="77777777">
            <w:pPr>
              <w:rPr>
                <w:rFonts w:eastAsia="Calibri"/>
              </w:rPr>
            </w:pPr>
          </w:p>
          <w:p w:rsidRPr="00565C82" w:rsidR="00FE4987" w:rsidP="00FE4987" w:rsidRDefault="00FE4987" w14:paraId="7AF1B810" w14:textId="27C7E5AB">
            <w:pPr>
              <w:rPr>
                <w:rFonts w:eastAsia="Calibri"/>
              </w:rPr>
            </w:pPr>
          </w:p>
          <w:p w:rsidRPr="00565C82" w:rsidR="00BA6783" w:rsidP="00FE4987" w:rsidRDefault="00BA6783" w14:paraId="3AC28E30" w14:textId="77777777">
            <w:pPr>
              <w:rPr>
                <w:rFonts w:eastAsia="Calibri"/>
              </w:rPr>
            </w:pPr>
          </w:p>
          <w:p w:rsidRPr="00565C82" w:rsidR="00FE4987" w:rsidP="00FE4987" w:rsidRDefault="00FE4987" w14:paraId="4839F2FB" w14:textId="77777777">
            <w:pPr>
              <w:rPr>
                <w:rFonts w:eastAsia="Calibri"/>
                <w:b/>
              </w:rPr>
            </w:pPr>
          </w:p>
          <w:p w:rsidRPr="00565C82" w:rsidR="00FE4987" w:rsidP="00FE4987" w:rsidRDefault="00FE4987" w14:paraId="722B631E" w14:textId="77777777">
            <w:pPr>
              <w:rPr>
                <w:rFonts w:eastAsia="Calibri"/>
              </w:rPr>
            </w:pPr>
            <w:r w:rsidRPr="00565C82">
              <w:rPr>
                <w:rFonts w:eastAsia="Calibri"/>
              </w:rPr>
              <w:t xml:space="preserve">Consistent with UCAN’s recommendations, an important </w:t>
            </w:r>
            <w:r w:rsidRPr="00565C82">
              <w:rPr>
                <w:rFonts w:eastAsia="Calibri"/>
              </w:rPr>
              <w:lastRenderedPageBreak/>
              <w:t>part of this decision defines “rural” and “urban” for the purpose of apportioning the $2 billion in available monies between rural and urban counties.  The CPUC adopted “The TURN proposal” which UCAN heartily endorsed.</w:t>
            </w:r>
          </w:p>
          <w:p w:rsidRPr="00565C82" w:rsidR="00FE4987" w:rsidP="00FE4987" w:rsidRDefault="00FE4987" w14:paraId="0586713C" w14:textId="77777777">
            <w:pPr>
              <w:numPr>
                <w:ilvl w:val="0"/>
                <w:numId w:val="27"/>
              </w:numPr>
              <w:contextualSpacing/>
              <w:rPr>
                <w:rFonts w:eastAsia="Calibri"/>
                <w:i/>
              </w:rPr>
            </w:pPr>
            <w:r w:rsidRPr="00565C82">
              <w:rPr>
                <w:rFonts w:eastAsia="Calibri"/>
                <w:i/>
              </w:rPr>
              <w:t xml:space="preserve">We adopt TURN’s proposal, as it is the most rigorous, and </w:t>
            </w:r>
            <w:proofErr w:type="gramStart"/>
            <w:r w:rsidRPr="00565C82">
              <w:rPr>
                <w:rFonts w:eastAsia="Calibri"/>
                <w:i/>
              </w:rPr>
              <w:t>attempts</w:t>
            </w:r>
            <w:proofErr w:type="gramEnd"/>
            <w:r w:rsidRPr="00565C82">
              <w:rPr>
                <w:rFonts w:eastAsia="Calibri"/>
                <w:i/>
              </w:rPr>
              <w:t xml:space="preserve"> to arrive at a consensus by relying on seven different approaches, instead of one. The TURN proposal appropriately balances the two most significant competing realities of broadband Internet infrastructure:  rural areas typically have higher constructions costs -- due to more rugged terrain, poles with greater failure rates, and lower population density -- while urban areas have the highest number of unserved households.  </w:t>
            </w:r>
            <w:r w:rsidRPr="00565C82">
              <w:rPr>
                <w:rFonts w:eastAsia="Calibri"/>
                <w:b/>
              </w:rPr>
              <w:t>D.22-04-055, at p. 32.</w:t>
            </w:r>
          </w:p>
          <w:p w:rsidRPr="00565C82" w:rsidR="00FE4987" w:rsidP="00FE4987" w:rsidRDefault="00FE4987" w14:paraId="11B2BDAD" w14:textId="77777777">
            <w:pPr>
              <w:pStyle w:val="ListParagraph"/>
              <w:numPr>
                <w:ilvl w:val="0"/>
                <w:numId w:val="27"/>
              </w:numPr>
              <w:rPr>
                <w:rFonts w:ascii="Times New Roman" w:hAnsi="Times New Roman"/>
                <w:sz w:val="24"/>
                <w:szCs w:val="24"/>
              </w:rPr>
            </w:pPr>
            <w:r w:rsidRPr="00565C82">
              <w:rPr>
                <w:rFonts w:ascii="Times New Roman" w:hAnsi="Times New Roman"/>
                <w:i/>
                <w:sz w:val="24"/>
                <w:szCs w:val="24"/>
              </w:rPr>
              <w:t xml:space="preserve">UCAN support TURN’s proposal. </w:t>
            </w:r>
            <w:r w:rsidRPr="00565C82">
              <w:rPr>
                <w:rFonts w:ascii="Times New Roman" w:hAnsi="Times New Roman"/>
                <w:b/>
                <w:sz w:val="24"/>
                <w:szCs w:val="24"/>
              </w:rPr>
              <w:t>D.22-04-055, at p. 32.</w:t>
            </w:r>
          </w:p>
          <w:p w:rsidRPr="00565C82" w:rsidR="00FE4987" w:rsidP="00FE4987" w:rsidRDefault="00FE4987" w14:paraId="11235624" w14:textId="33F37B03">
            <w:pPr>
              <w:rPr>
                <w:rFonts w:eastAsia="Calibri"/>
              </w:rPr>
            </w:pPr>
          </w:p>
          <w:p w:rsidRPr="00565C82" w:rsidR="00BA6783" w:rsidP="00FE4987" w:rsidRDefault="00BA6783" w14:paraId="1EC2F7F6" w14:textId="77777777">
            <w:pPr>
              <w:rPr>
                <w:rFonts w:eastAsia="Calibri"/>
              </w:rPr>
            </w:pPr>
          </w:p>
          <w:p w:rsidRPr="00565C82" w:rsidR="00FE4987" w:rsidP="00FE4987" w:rsidRDefault="00FE4987" w14:paraId="13AC50B6" w14:textId="77777777">
            <w:pPr>
              <w:numPr>
                <w:ilvl w:val="0"/>
                <w:numId w:val="26"/>
              </w:numPr>
              <w:spacing w:after="160" w:line="259" w:lineRule="auto"/>
              <w:contextualSpacing/>
              <w:rPr>
                <w:rFonts w:eastAsia="Calibri"/>
                <w:u w:val="single"/>
              </w:rPr>
            </w:pPr>
            <w:r w:rsidRPr="00565C82">
              <w:rPr>
                <w:rFonts w:eastAsia="Calibri"/>
                <w:u w:val="single"/>
              </w:rPr>
              <w:t xml:space="preserve">UCAN contributed to the Decision’s emphasis on data collection, digital equity publication and the importance of data collection to inform deployment decisions and efforts to advance digital equity in ESJ communities. UCAN’s </w:t>
            </w:r>
            <w:r w:rsidRPr="00565C82">
              <w:rPr>
                <w:rFonts w:eastAsia="Calibri"/>
                <w:u w:val="single"/>
              </w:rPr>
              <w:lastRenderedPageBreak/>
              <w:t>comments and suggestions helped frame and determine the Decision’s findings of Prioritization/Funding Criteria and Commission Evaluation of Applications.</w:t>
            </w:r>
          </w:p>
          <w:p w:rsidRPr="00565C82" w:rsidR="00FE4987" w:rsidP="00FE4987" w:rsidRDefault="00FE4987" w14:paraId="54A12158" w14:textId="77777777">
            <w:pPr>
              <w:ind w:left="720"/>
              <w:contextualSpacing/>
              <w:rPr>
                <w:rFonts w:eastAsia="Calibri"/>
                <w:u w:val="single"/>
              </w:rPr>
            </w:pPr>
            <w:r w:rsidRPr="00565C82">
              <w:rPr>
                <w:rFonts w:eastAsia="Calibri"/>
                <w:u w:val="single"/>
              </w:rPr>
              <w:t xml:space="preserve"> </w:t>
            </w:r>
          </w:p>
          <w:p w:rsidRPr="00565C82" w:rsidR="00FE4987" w:rsidP="00FE4987" w:rsidRDefault="00FE4987" w14:paraId="448914E5" w14:textId="77777777">
            <w:pPr>
              <w:ind w:left="720"/>
              <w:contextualSpacing/>
              <w:rPr>
                <w:rFonts w:eastAsia="Calibri"/>
                <w:b/>
              </w:rPr>
            </w:pPr>
          </w:p>
          <w:p w:rsidRPr="00565C82" w:rsidR="00FE4987" w:rsidP="00FE4987" w:rsidRDefault="00FE4987" w14:paraId="59F36C8E" w14:textId="77777777">
            <w:pPr>
              <w:ind w:left="720"/>
              <w:contextualSpacing/>
              <w:rPr>
                <w:rFonts w:eastAsia="Calibri"/>
                <w:b/>
              </w:rPr>
            </w:pPr>
          </w:p>
          <w:p w:rsidRPr="00565C82" w:rsidR="00FE4987" w:rsidP="00FE4987" w:rsidRDefault="00FE4987" w14:paraId="6A987BD8" w14:textId="77777777">
            <w:pPr>
              <w:ind w:left="720"/>
              <w:contextualSpacing/>
              <w:rPr>
                <w:rFonts w:eastAsia="Calibri"/>
                <w:b/>
              </w:rPr>
            </w:pPr>
          </w:p>
          <w:p w:rsidRPr="00565C82" w:rsidR="00FE4987" w:rsidP="00FE4987" w:rsidRDefault="00FE4987" w14:paraId="76D3FBC3" w14:textId="77777777">
            <w:pPr>
              <w:ind w:left="720"/>
              <w:contextualSpacing/>
              <w:rPr>
                <w:rFonts w:eastAsia="Calibri"/>
                <w:b/>
              </w:rPr>
            </w:pPr>
          </w:p>
          <w:p w:rsidRPr="00565C82" w:rsidR="00FE4987" w:rsidP="00FE4987" w:rsidRDefault="00FE4987" w14:paraId="3D6E5011" w14:textId="77777777">
            <w:pPr>
              <w:ind w:left="720"/>
              <w:contextualSpacing/>
              <w:rPr>
                <w:rFonts w:eastAsia="Calibri"/>
                <w:b/>
              </w:rPr>
            </w:pPr>
          </w:p>
          <w:p w:rsidRPr="00565C82" w:rsidR="00FE4987" w:rsidP="00FE4987" w:rsidRDefault="00FE4987" w14:paraId="4C026920" w14:textId="77777777">
            <w:pPr>
              <w:ind w:left="720"/>
              <w:contextualSpacing/>
              <w:rPr>
                <w:rFonts w:eastAsia="Calibri"/>
                <w:b/>
              </w:rPr>
            </w:pPr>
          </w:p>
          <w:p w:rsidRPr="00565C82" w:rsidR="00FE4987" w:rsidP="00FE4987" w:rsidRDefault="00FE4987" w14:paraId="1387DF5F" w14:textId="77777777">
            <w:pPr>
              <w:ind w:left="720"/>
              <w:contextualSpacing/>
              <w:rPr>
                <w:rFonts w:eastAsia="Calibri"/>
                <w:b/>
              </w:rPr>
            </w:pPr>
          </w:p>
          <w:p w:rsidRPr="00565C82" w:rsidR="00FE4987" w:rsidP="00FE4987" w:rsidRDefault="00FE4987" w14:paraId="5E9104D2" w14:textId="77777777">
            <w:pPr>
              <w:ind w:left="720"/>
              <w:contextualSpacing/>
              <w:rPr>
                <w:rFonts w:eastAsia="Calibri"/>
                <w:b/>
              </w:rPr>
            </w:pPr>
          </w:p>
          <w:p w:rsidRPr="00565C82" w:rsidR="00FE4987" w:rsidP="00FE4987" w:rsidRDefault="00FE4987" w14:paraId="7C72C6CD" w14:textId="77777777">
            <w:pPr>
              <w:ind w:left="720"/>
              <w:contextualSpacing/>
              <w:rPr>
                <w:rFonts w:eastAsia="Calibri"/>
                <w:b/>
              </w:rPr>
            </w:pPr>
          </w:p>
          <w:p w:rsidRPr="00565C82" w:rsidR="00FE4987" w:rsidP="00FE4987" w:rsidRDefault="00FE4987" w14:paraId="5A41907F" w14:textId="77777777">
            <w:pPr>
              <w:ind w:left="720"/>
              <w:contextualSpacing/>
              <w:rPr>
                <w:rFonts w:eastAsia="Calibri"/>
                <w:b/>
              </w:rPr>
            </w:pPr>
          </w:p>
          <w:p w:rsidRPr="00565C82" w:rsidR="00FE4987" w:rsidP="00FE4987" w:rsidRDefault="00FE4987" w14:paraId="205132E1" w14:textId="77777777">
            <w:pPr>
              <w:ind w:left="720"/>
              <w:contextualSpacing/>
              <w:rPr>
                <w:rFonts w:eastAsia="Calibri"/>
                <w:b/>
              </w:rPr>
            </w:pPr>
          </w:p>
          <w:p w:rsidRPr="00565C82" w:rsidR="00FE4987" w:rsidP="00FE4987" w:rsidRDefault="00FE4987" w14:paraId="661993F0" w14:textId="77777777">
            <w:pPr>
              <w:ind w:left="720"/>
              <w:contextualSpacing/>
              <w:rPr>
                <w:rFonts w:eastAsia="Calibri"/>
                <w:b/>
              </w:rPr>
            </w:pPr>
          </w:p>
          <w:p w:rsidRPr="00565C82" w:rsidR="00FE4987" w:rsidP="00FE4987" w:rsidRDefault="00FE4987" w14:paraId="7E4D52D9" w14:textId="77777777">
            <w:pPr>
              <w:ind w:left="720"/>
              <w:contextualSpacing/>
              <w:rPr>
                <w:rFonts w:eastAsia="Calibri"/>
                <w:b/>
              </w:rPr>
            </w:pPr>
          </w:p>
          <w:p w:rsidRPr="00565C82" w:rsidR="00FE4987" w:rsidP="00FE4987" w:rsidRDefault="00FE4987" w14:paraId="777047EA" w14:textId="77777777">
            <w:pPr>
              <w:ind w:left="720"/>
              <w:contextualSpacing/>
              <w:rPr>
                <w:rFonts w:eastAsia="Calibri"/>
                <w:b/>
              </w:rPr>
            </w:pPr>
          </w:p>
          <w:p w:rsidRPr="00565C82" w:rsidR="00FE4987" w:rsidP="00FE4987" w:rsidRDefault="00FE4987" w14:paraId="2983CA3B" w14:textId="77777777">
            <w:pPr>
              <w:ind w:left="720"/>
              <w:contextualSpacing/>
              <w:rPr>
                <w:rFonts w:eastAsia="Calibri"/>
                <w:b/>
              </w:rPr>
            </w:pPr>
          </w:p>
          <w:p w:rsidRPr="00565C82" w:rsidR="00FE4987" w:rsidP="00FE4987" w:rsidRDefault="00FE4987" w14:paraId="3FF1F467" w14:textId="77777777">
            <w:pPr>
              <w:ind w:left="720"/>
              <w:contextualSpacing/>
              <w:rPr>
                <w:rFonts w:eastAsia="Calibri"/>
                <w:b/>
              </w:rPr>
            </w:pPr>
          </w:p>
          <w:p w:rsidRPr="00565C82" w:rsidR="00FE4987" w:rsidP="00FE4987" w:rsidRDefault="00FE4987" w14:paraId="4039EB62" w14:textId="77777777">
            <w:pPr>
              <w:ind w:left="720"/>
              <w:contextualSpacing/>
              <w:rPr>
                <w:rFonts w:eastAsia="Calibri"/>
                <w:b/>
              </w:rPr>
            </w:pPr>
          </w:p>
          <w:p w:rsidRPr="00565C82" w:rsidR="00FE4987" w:rsidP="00FE4987" w:rsidRDefault="00FE4987" w14:paraId="0907F1E3" w14:textId="77777777">
            <w:pPr>
              <w:ind w:left="720"/>
              <w:contextualSpacing/>
              <w:rPr>
                <w:rFonts w:eastAsia="Calibri"/>
                <w:b/>
              </w:rPr>
            </w:pPr>
          </w:p>
          <w:p w:rsidRPr="00565C82" w:rsidR="00FE4987" w:rsidP="00FE4987" w:rsidRDefault="00FE4987" w14:paraId="10D7386E" w14:textId="77777777">
            <w:pPr>
              <w:ind w:left="720"/>
              <w:contextualSpacing/>
              <w:rPr>
                <w:rFonts w:eastAsia="Calibri"/>
                <w:b/>
              </w:rPr>
            </w:pPr>
          </w:p>
          <w:p w:rsidRPr="00565C82" w:rsidR="00FE4987" w:rsidP="00FE4987" w:rsidRDefault="00FE4987" w14:paraId="2B9C98D2" w14:textId="77777777">
            <w:pPr>
              <w:ind w:left="720"/>
              <w:contextualSpacing/>
              <w:rPr>
                <w:rFonts w:eastAsia="Calibri"/>
                <w:b/>
              </w:rPr>
            </w:pPr>
          </w:p>
          <w:p w:rsidRPr="00565C82" w:rsidR="00FE4987" w:rsidP="00FE4987" w:rsidRDefault="00FE4987" w14:paraId="319F875B" w14:textId="77777777">
            <w:pPr>
              <w:ind w:left="720"/>
              <w:contextualSpacing/>
              <w:rPr>
                <w:rFonts w:eastAsia="Calibri"/>
                <w:b/>
              </w:rPr>
            </w:pPr>
          </w:p>
          <w:p w:rsidRPr="00565C82" w:rsidR="00FE4987" w:rsidP="00FE4987" w:rsidRDefault="00FE4987" w14:paraId="50188A72" w14:textId="77777777">
            <w:pPr>
              <w:ind w:left="720"/>
              <w:contextualSpacing/>
              <w:rPr>
                <w:rFonts w:eastAsia="Calibri"/>
                <w:b/>
              </w:rPr>
            </w:pPr>
          </w:p>
          <w:p w:rsidRPr="00565C82" w:rsidR="00FE4987" w:rsidP="00FE4987" w:rsidRDefault="00FE4987" w14:paraId="58840FD4" w14:textId="77777777">
            <w:pPr>
              <w:ind w:left="720"/>
              <w:contextualSpacing/>
              <w:rPr>
                <w:rFonts w:eastAsia="Calibri"/>
                <w:b/>
              </w:rPr>
            </w:pPr>
          </w:p>
          <w:p w:rsidRPr="00565C82" w:rsidR="00FE4987" w:rsidP="00FE4987" w:rsidRDefault="00FE4987" w14:paraId="5D601EBE" w14:textId="77777777">
            <w:pPr>
              <w:ind w:left="720"/>
              <w:contextualSpacing/>
              <w:rPr>
                <w:rFonts w:eastAsia="Calibri"/>
                <w:b/>
              </w:rPr>
            </w:pPr>
          </w:p>
          <w:p w:rsidRPr="00565C82" w:rsidR="00FE4987" w:rsidP="00FE4987" w:rsidRDefault="00FE4987" w14:paraId="4B8839FC" w14:textId="77777777">
            <w:pPr>
              <w:ind w:left="720"/>
              <w:contextualSpacing/>
              <w:rPr>
                <w:rFonts w:eastAsia="Calibri"/>
                <w:b/>
              </w:rPr>
            </w:pPr>
          </w:p>
          <w:p w:rsidRPr="00565C82" w:rsidR="00FE4987" w:rsidP="00FE4987" w:rsidRDefault="00FE4987" w14:paraId="44256604" w14:textId="77777777">
            <w:pPr>
              <w:ind w:left="720"/>
              <w:contextualSpacing/>
              <w:rPr>
                <w:rFonts w:eastAsia="Calibri"/>
                <w:b/>
              </w:rPr>
            </w:pPr>
          </w:p>
          <w:p w:rsidRPr="00565C82" w:rsidR="00FE4987" w:rsidP="00FE4987" w:rsidRDefault="00FE4987" w14:paraId="69C78FC0" w14:textId="77777777">
            <w:pPr>
              <w:ind w:left="720"/>
              <w:contextualSpacing/>
              <w:rPr>
                <w:rFonts w:eastAsia="Calibri"/>
                <w:b/>
              </w:rPr>
            </w:pPr>
          </w:p>
          <w:p w:rsidRPr="00565C82" w:rsidR="00FE4987" w:rsidP="00FE4987" w:rsidRDefault="00FE4987" w14:paraId="27E2B2F6" w14:textId="77777777">
            <w:pPr>
              <w:ind w:left="720"/>
              <w:contextualSpacing/>
              <w:rPr>
                <w:rFonts w:eastAsia="Calibri"/>
                <w:b/>
              </w:rPr>
            </w:pPr>
          </w:p>
          <w:p w:rsidRPr="00565C82" w:rsidR="00FE4987" w:rsidP="00FE4987" w:rsidRDefault="00FE4987" w14:paraId="3EF844A9" w14:textId="77777777">
            <w:pPr>
              <w:ind w:left="720"/>
              <w:contextualSpacing/>
              <w:rPr>
                <w:rFonts w:eastAsia="Calibri"/>
                <w:b/>
              </w:rPr>
            </w:pPr>
          </w:p>
          <w:p w:rsidRPr="00565C82" w:rsidR="00FE4987" w:rsidP="00FE4987" w:rsidRDefault="00FE4987" w14:paraId="556ED133" w14:textId="77777777">
            <w:pPr>
              <w:ind w:left="720"/>
              <w:contextualSpacing/>
              <w:rPr>
                <w:rFonts w:eastAsia="Calibri"/>
                <w:b/>
              </w:rPr>
            </w:pPr>
          </w:p>
          <w:p w:rsidRPr="00565C82" w:rsidR="00FE4987" w:rsidP="00FE4987" w:rsidRDefault="00FE4987" w14:paraId="175C6826" w14:textId="77777777">
            <w:pPr>
              <w:ind w:left="720"/>
              <w:contextualSpacing/>
              <w:rPr>
                <w:rFonts w:eastAsia="Calibri"/>
                <w:b/>
              </w:rPr>
            </w:pPr>
          </w:p>
          <w:p w:rsidRPr="00565C82" w:rsidR="00FE4987" w:rsidP="00FE4987" w:rsidRDefault="00FE4987" w14:paraId="4F142C61" w14:textId="77777777">
            <w:pPr>
              <w:ind w:left="720"/>
              <w:contextualSpacing/>
              <w:rPr>
                <w:rFonts w:eastAsia="Calibri"/>
                <w:b/>
              </w:rPr>
            </w:pPr>
          </w:p>
          <w:p w:rsidRPr="00565C82" w:rsidR="00FE4987" w:rsidP="00FE4987" w:rsidRDefault="00FE4987" w14:paraId="53F77661" w14:textId="77777777">
            <w:pPr>
              <w:ind w:left="720"/>
              <w:contextualSpacing/>
              <w:rPr>
                <w:rFonts w:eastAsia="Calibri"/>
                <w:b/>
              </w:rPr>
            </w:pPr>
          </w:p>
          <w:p w:rsidRPr="00565C82" w:rsidR="00FE4987" w:rsidP="00FE4987" w:rsidRDefault="00FE4987" w14:paraId="57854BB7" w14:textId="77777777">
            <w:pPr>
              <w:ind w:left="720"/>
              <w:contextualSpacing/>
              <w:rPr>
                <w:rFonts w:eastAsia="Calibri"/>
                <w:b/>
              </w:rPr>
            </w:pPr>
          </w:p>
          <w:p w:rsidRPr="00565C82" w:rsidR="00FE4987" w:rsidP="00FE4987" w:rsidRDefault="00FE4987" w14:paraId="2FB69B93" w14:textId="77777777">
            <w:pPr>
              <w:ind w:left="720"/>
              <w:contextualSpacing/>
              <w:rPr>
                <w:rFonts w:eastAsia="Calibri"/>
                <w:b/>
              </w:rPr>
            </w:pPr>
          </w:p>
          <w:p w:rsidRPr="00565C82" w:rsidR="00FE4987" w:rsidP="00FE4987" w:rsidRDefault="00FE4987" w14:paraId="0B7B260E" w14:textId="77777777">
            <w:pPr>
              <w:ind w:left="720"/>
              <w:contextualSpacing/>
              <w:rPr>
                <w:rFonts w:eastAsia="Calibri"/>
                <w:b/>
              </w:rPr>
            </w:pPr>
          </w:p>
          <w:p w:rsidRPr="00565C82" w:rsidR="00FE4987" w:rsidP="00FE4987" w:rsidRDefault="00FE4987" w14:paraId="0E6F9DC9" w14:textId="77777777">
            <w:pPr>
              <w:ind w:left="720"/>
              <w:contextualSpacing/>
              <w:rPr>
                <w:rFonts w:eastAsia="Calibri"/>
                <w:b/>
              </w:rPr>
            </w:pPr>
          </w:p>
          <w:p w:rsidRPr="00565C82" w:rsidR="00FE4987" w:rsidP="00FE4987" w:rsidRDefault="00FE4987" w14:paraId="6B04F26C" w14:textId="77777777">
            <w:pPr>
              <w:ind w:left="720"/>
              <w:contextualSpacing/>
              <w:rPr>
                <w:rFonts w:eastAsia="Calibri"/>
                <w:b/>
              </w:rPr>
            </w:pPr>
          </w:p>
          <w:p w:rsidRPr="00565C82" w:rsidR="00FE4987" w:rsidP="00FE4987" w:rsidRDefault="00FE4987" w14:paraId="37D5013C" w14:textId="77777777">
            <w:pPr>
              <w:ind w:left="720"/>
              <w:contextualSpacing/>
              <w:rPr>
                <w:rFonts w:eastAsia="Calibri"/>
                <w:b/>
              </w:rPr>
            </w:pPr>
          </w:p>
          <w:p w:rsidRPr="00565C82" w:rsidR="00FE4987" w:rsidP="00FE4987" w:rsidRDefault="00FE4987" w14:paraId="019D3923" w14:textId="77777777">
            <w:pPr>
              <w:ind w:left="720"/>
              <w:contextualSpacing/>
              <w:rPr>
                <w:rFonts w:eastAsia="Calibri"/>
                <w:b/>
              </w:rPr>
            </w:pPr>
          </w:p>
          <w:p w:rsidRPr="00565C82" w:rsidR="00FE4987" w:rsidP="00FE4987" w:rsidRDefault="00FE4987" w14:paraId="07A59B22" w14:textId="77777777">
            <w:pPr>
              <w:ind w:left="720"/>
              <w:contextualSpacing/>
              <w:rPr>
                <w:rFonts w:eastAsia="Calibri"/>
                <w:b/>
              </w:rPr>
            </w:pPr>
          </w:p>
          <w:p w:rsidRPr="00565C82" w:rsidR="00FE4987" w:rsidP="00FE4987" w:rsidRDefault="00FE4987" w14:paraId="773D094B" w14:textId="77777777">
            <w:pPr>
              <w:ind w:left="720"/>
              <w:contextualSpacing/>
              <w:rPr>
                <w:rFonts w:eastAsia="Calibri"/>
                <w:b/>
              </w:rPr>
            </w:pPr>
          </w:p>
          <w:p w:rsidRPr="00565C82" w:rsidR="00FE4987" w:rsidP="00FE4987" w:rsidRDefault="00FE4987" w14:paraId="7B9A7273" w14:textId="77777777">
            <w:pPr>
              <w:ind w:left="720"/>
              <w:contextualSpacing/>
              <w:rPr>
                <w:rFonts w:eastAsia="Calibri"/>
                <w:b/>
              </w:rPr>
            </w:pPr>
          </w:p>
          <w:p w:rsidRPr="00565C82" w:rsidR="00FE4987" w:rsidP="00FE4987" w:rsidRDefault="00FE4987" w14:paraId="6F259318" w14:textId="77777777">
            <w:pPr>
              <w:ind w:left="720"/>
              <w:contextualSpacing/>
              <w:rPr>
                <w:rFonts w:eastAsia="Calibri"/>
                <w:b/>
              </w:rPr>
            </w:pPr>
          </w:p>
          <w:p w:rsidRPr="00565C82" w:rsidR="00FE4987" w:rsidP="00FE4987" w:rsidRDefault="00FE4987" w14:paraId="0F890086" w14:textId="77777777">
            <w:pPr>
              <w:ind w:left="720"/>
              <w:contextualSpacing/>
              <w:rPr>
                <w:rFonts w:eastAsia="Calibri"/>
                <w:b/>
              </w:rPr>
            </w:pPr>
          </w:p>
          <w:p w:rsidRPr="00565C82" w:rsidR="00FE4987" w:rsidP="00FE4987" w:rsidRDefault="00FE4987" w14:paraId="15E5D173" w14:textId="77777777">
            <w:pPr>
              <w:ind w:left="720"/>
              <w:contextualSpacing/>
              <w:rPr>
                <w:rFonts w:eastAsia="Calibri"/>
                <w:b/>
              </w:rPr>
            </w:pPr>
          </w:p>
          <w:p w:rsidRPr="00565C82" w:rsidR="00FE4987" w:rsidP="00FE4987" w:rsidRDefault="00FE4987" w14:paraId="2CA0E82B" w14:textId="77777777">
            <w:pPr>
              <w:ind w:left="720"/>
              <w:contextualSpacing/>
              <w:rPr>
                <w:rFonts w:eastAsia="Calibri"/>
                <w:b/>
              </w:rPr>
            </w:pPr>
          </w:p>
          <w:p w:rsidRPr="00565C82" w:rsidR="00FE4987" w:rsidP="00FE4987" w:rsidRDefault="00FE4987" w14:paraId="33F786B9" w14:textId="77777777">
            <w:pPr>
              <w:ind w:left="720"/>
              <w:contextualSpacing/>
              <w:rPr>
                <w:rFonts w:eastAsia="Calibri"/>
                <w:b/>
              </w:rPr>
            </w:pPr>
          </w:p>
          <w:p w:rsidRPr="00565C82" w:rsidR="00FE4987" w:rsidP="00FE4987" w:rsidRDefault="00FE4987" w14:paraId="39F83D86" w14:textId="77777777">
            <w:pPr>
              <w:ind w:left="720"/>
              <w:contextualSpacing/>
              <w:rPr>
                <w:rFonts w:eastAsia="Calibri"/>
                <w:b/>
              </w:rPr>
            </w:pPr>
          </w:p>
          <w:p w:rsidRPr="00565C82" w:rsidR="00FE4987" w:rsidP="00FE4987" w:rsidRDefault="00FE4987" w14:paraId="035D211D" w14:textId="77777777">
            <w:pPr>
              <w:ind w:left="720"/>
              <w:contextualSpacing/>
              <w:rPr>
                <w:rFonts w:eastAsia="Calibri"/>
                <w:b/>
              </w:rPr>
            </w:pPr>
          </w:p>
          <w:p w:rsidRPr="00565C82" w:rsidR="00FE4987" w:rsidP="00FE4987" w:rsidRDefault="00FE4987" w14:paraId="26CC0A70" w14:textId="77777777">
            <w:pPr>
              <w:ind w:left="720"/>
              <w:contextualSpacing/>
              <w:rPr>
                <w:rFonts w:eastAsia="Calibri"/>
                <w:b/>
              </w:rPr>
            </w:pPr>
          </w:p>
          <w:p w:rsidRPr="00565C82" w:rsidR="00FE4987" w:rsidP="00FE4987" w:rsidRDefault="00FE4987" w14:paraId="7CB9274D" w14:textId="77777777">
            <w:pPr>
              <w:ind w:left="720"/>
              <w:contextualSpacing/>
              <w:rPr>
                <w:rFonts w:eastAsia="Calibri"/>
                <w:b/>
              </w:rPr>
            </w:pPr>
          </w:p>
          <w:p w:rsidRPr="00565C82" w:rsidR="00FE4987" w:rsidP="00FE4987" w:rsidRDefault="00FE4987" w14:paraId="6625B326" w14:textId="77777777">
            <w:pPr>
              <w:ind w:left="720"/>
              <w:contextualSpacing/>
              <w:rPr>
                <w:rFonts w:eastAsia="Calibri"/>
                <w:b/>
              </w:rPr>
            </w:pPr>
          </w:p>
          <w:p w:rsidRPr="00565C82" w:rsidR="00FE4987" w:rsidP="00FE4987" w:rsidRDefault="00FE4987" w14:paraId="4F56B483" w14:textId="77777777">
            <w:pPr>
              <w:ind w:left="720"/>
              <w:contextualSpacing/>
              <w:rPr>
                <w:rFonts w:eastAsia="Calibri"/>
                <w:b/>
              </w:rPr>
            </w:pPr>
          </w:p>
          <w:p w:rsidRPr="00565C82" w:rsidR="00FE4987" w:rsidP="00FE4987" w:rsidRDefault="00FE4987" w14:paraId="4C57DB28" w14:textId="77777777">
            <w:pPr>
              <w:ind w:left="720"/>
              <w:contextualSpacing/>
              <w:rPr>
                <w:rFonts w:eastAsia="Calibri"/>
                <w:b/>
              </w:rPr>
            </w:pPr>
          </w:p>
          <w:p w:rsidRPr="00565C82" w:rsidR="00FE4987" w:rsidP="00FE4987" w:rsidRDefault="00FE4987" w14:paraId="617F7801" w14:textId="77777777">
            <w:pPr>
              <w:ind w:left="720"/>
              <w:contextualSpacing/>
              <w:rPr>
                <w:rFonts w:eastAsia="Calibri"/>
                <w:b/>
              </w:rPr>
            </w:pPr>
          </w:p>
          <w:p w:rsidRPr="00565C82" w:rsidR="00FE4987" w:rsidP="00FE4987" w:rsidRDefault="00FE4987" w14:paraId="722B9C78" w14:textId="77777777">
            <w:pPr>
              <w:ind w:left="720"/>
              <w:contextualSpacing/>
              <w:rPr>
                <w:rFonts w:eastAsia="Calibri"/>
                <w:b/>
              </w:rPr>
            </w:pPr>
          </w:p>
          <w:p w:rsidRPr="00565C82" w:rsidR="00FE4987" w:rsidP="00FE4987" w:rsidRDefault="00FE4987" w14:paraId="0E1EAD32" w14:textId="77777777">
            <w:pPr>
              <w:ind w:left="720"/>
              <w:contextualSpacing/>
              <w:rPr>
                <w:rFonts w:eastAsia="Calibri"/>
                <w:b/>
              </w:rPr>
            </w:pPr>
          </w:p>
          <w:p w:rsidRPr="00565C82" w:rsidR="00FE4987" w:rsidP="00FE4987" w:rsidRDefault="00FE4987" w14:paraId="49E7058B" w14:textId="77777777">
            <w:pPr>
              <w:ind w:left="720"/>
              <w:contextualSpacing/>
              <w:rPr>
                <w:rFonts w:eastAsia="Calibri"/>
                <w:b/>
              </w:rPr>
            </w:pPr>
          </w:p>
          <w:p w:rsidRPr="00565C82" w:rsidR="00FE4987" w:rsidP="00FE4987" w:rsidRDefault="00FE4987" w14:paraId="3ECC900B" w14:textId="77777777">
            <w:pPr>
              <w:ind w:left="720"/>
              <w:contextualSpacing/>
              <w:rPr>
                <w:rFonts w:eastAsia="Calibri"/>
                <w:b/>
              </w:rPr>
            </w:pPr>
          </w:p>
          <w:p w:rsidRPr="00565C82" w:rsidR="00FE4987" w:rsidP="00FE4987" w:rsidRDefault="00FE4987" w14:paraId="48BEDB13" w14:textId="77777777">
            <w:pPr>
              <w:ind w:left="720"/>
              <w:contextualSpacing/>
              <w:rPr>
                <w:rFonts w:eastAsia="Calibri"/>
                <w:b/>
              </w:rPr>
            </w:pPr>
          </w:p>
          <w:p w:rsidRPr="00565C82" w:rsidR="00FE4987" w:rsidP="00FE4987" w:rsidRDefault="00FE4987" w14:paraId="5CE74304" w14:textId="77777777">
            <w:pPr>
              <w:ind w:left="720"/>
              <w:contextualSpacing/>
              <w:rPr>
                <w:rFonts w:eastAsia="Calibri"/>
                <w:b/>
              </w:rPr>
            </w:pPr>
          </w:p>
          <w:p w:rsidRPr="00565C82" w:rsidR="00FE4987" w:rsidP="00FE4987" w:rsidRDefault="00FE4987" w14:paraId="2F02C580" w14:textId="77777777">
            <w:pPr>
              <w:ind w:left="720"/>
              <w:contextualSpacing/>
              <w:rPr>
                <w:rFonts w:eastAsia="Calibri"/>
                <w:b/>
              </w:rPr>
            </w:pPr>
          </w:p>
          <w:p w:rsidRPr="00565C82" w:rsidR="00FE4987" w:rsidP="00FE4987" w:rsidRDefault="00FE4987" w14:paraId="185F7933" w14:textId="77777777">
            <w:pPr>
              <w:ind w:left="720"/>
              <w:contextualSpacing/>
              <w:rPr>
                <w:rFonts w:eastAsia="Calibri"/>
                <w:b/>
              </w:rPr>
            </w:pPr>
          </w:p>
          <w:p w:rsidRPr="00565C82" w:rsidR="00FE4987" w:rsidP="00FE4987" w:rsidRDefault="00FE4987" w14:paraId="21B947C3" w14:textId="77777777">
            <w:pPr>
              <w:ind w:left="720"/>
              <w:contextualSpacing/>
              <w:rPr>
                <w:rFonts w:eastAsia="Calibri"/>
                <w:b/>
              </w:rPr>
            </w:pPr>
          </w:p>
          <w:p w:rsidRPr="00565C82" w:rsidR="00FE4987" w:rsidP="00FE4987" w:rsidRDefault="00FE4987" w14:paraId="5C02BA16" w14:textId="77777777">
            <w:pPr>
              <w:ind w:left="720"/>
              <w:contextualSpacing/>
              <w:rPr>
                <w:rFonts w:eastAsia="Calibri"/>
                <w:b/>
              </w:rPr>
            </w:pPr>
          </w:p>
          <w:p w:rsidRPr="00565C82" w:rsidR="00FE4987" w:rsidP="00FE4987" w:rsidRDefault="00FE4987" w14:paraId="6FA9CB4F" w14:textId="77777777">
            <w:pPr>
              <w:ind w:left="720"/>
              <w:contextualSpacing/>
              <w:rPr>
                <w:rFonts w:eastAsia="Calibri"/>
                <w:b/>
              </w:rPr>
            </w:pPr>
          </w:p>
          <w:p w:rsidRPr="00565C82" w:rsidR="00FE4987" w:rsidP="00FE4987" w:rsidRDefault="00FE4987" w14:paraId="5FE9966D" w14:textId="77777777">
            <w:pPr>
              <w:ind w:left="720"/>
              <w:contextualSpacing/>
              <w:rPr>
                <w:rFonts w:eastAsia="Calibri"/>
                <w:b/>
              </w:rPr>
            </w:pPr>
          </w:p>
          <w:p w:rsidRPr="00565C82" w:rsidR="00FE4987" w:rsidP="00FE4987" w:rsidRDefault="00FE4987" w14:paraId="1F3CAFD6" w14:textId="77777777">
            <w:pPr>
              <w:ind w:left="720"/>
              <w:contextualSpacing/>
              <w:rPr>
                <w:rFonts w:eastAsia="Calibri"/>
                <w:b/>
              </w:rPr>
            </w:pPr>
          </w:p>
          <w:p w:rsidRPr="00565C82" w:rsidR="00FE4987" w:rsidP="00FE4987" w:rsidRDefault="00FE4987" w14:paraId="76326F38" w14:textId="77777777">
            <w:pPr>
              <w:ind w:left="720"/>
              <w:contextualSpacing/>
              <w:rPr>
                <w:rFonts w:eastAsia="Calibri"/>
                <w:b/>
              </w:rPr>
            </w:pPr>
          </w:p>
          <w:p w:rsidRPr="00565C82" w:rsidR="00FE4987" w:rsidP="00FE4987" w:rsidRDefault="00FE4987" w14:paraId="07E1A651" w14:textId="77777777">
            <w:pPr>
              <w:ind w:left="720"/>
              <w:contextualSpacing/>
              <w:rPr>
                <w:rFonts w:eastAsia="Calibri"/>
                <w:b/>
              </w:rPr>
            </w:pPr>
          </w:p>
          <w:p w:rsidRPr="00565C82" w:rsidR="00FE4987" w:rsidP="00FE4987" w:rsidRDefault="00FE4987" w14:paraId="76B62559" w14:textId="77777777">
            <w:pPr>
              <w:ind w:left="720"/>
              <w:contextualSpacing/>
              <w:rPr>
                <w:rFonts w:eastAsia="Calibri"/>
                <w:b/>
              </w:rPr>
            </w:pPr>
          </w:p>
          <w:p w:rsidRPr="00565C82" w:rsidR="00FE4987" w:rsidP="00FE4987" w:rsidRDefault="00FE4987" w14:paraId="44C3C2D0" w14:textId="77777777">
            <w:pPr>
              <w:ind w:left="720"/>
              <w:contextualSpacing/>
              <w:rPr>
                <w:rFonts w:eastAsia="Calibri"/>
                <w:b/>
              </w:rPr>
            </w:pPr>
          </w:p>
          <w:p w:rsidRPr="00565C82" w:rsidR="00FE4987" w:rsidP="00FE4987" w:rsidRDefault="00FE4987" w14:paraId="25158C97" w14:textId="77777777">
            <w:pPr>
              <w:ind w:left="720"/>
              <w:contextualSpacing/>
              <w:rPr>
                <w:rFonts w:eastAsia="Calibri"/>
                <w:b/>
              </w:rPr>
            </w:pPr>
          </w:p>
          <w:p w:rsidRPr="00565C82" w:rsidR="00FE4987" w:rsidP="00FE4987" w:rsidRDefault="00FE4987" w14:paraId="46BF4D54" w14:textId="77777777">
            <w:pPr>
              <w:ind w:left="720"/>
              <w:contextualSpacing/>
              <w:rPr>
                <w:rFonts w:eastAsia="Calibri"/>
                <w:b/>
              </w:rPr>
            </w:pPr>
          </w:p>
          <w:p w:rsidRPr="00565C82" w:rsidR="00FE4987" w:rsidP="00FE4987" w:rsidRDefault="00FE4987" w14:paraId="34066C81" w14:textId="77777777">
            <w:pPr>
              <w:ind w:left="720"/>
              <w:contextualSpacing/>
              <w:rPr>
                <w:rFonts w:eastAsia="Calibri"/>
                <w:b/>
              </w:rPr>
            </w:pPr>
          </w:p>
          <w:p w:rsidRPr="00565C82" w:rsidR="00FE4987" w:rsidP="00FE4987" w:rsidRDefault="00FE4987" w14:paraId="757D544C" w14:textId="77777777">
            <w:pPr>
              <w:ind w:left="720"/>
              <w:contextualSpacing/>
              <w:rPr>
                <w:rFonts w:eastAsia="Calibri"/>
                <w:b/>
              </w:rPr>
            </w:pPr>
          </w:p>
          <w:p w:rsidRPr="00565C82" w:rsidR="00FE4987" w:rsidP="00FE4987" w:rsidRDefault="00FE4987" w14:paraId="6417D3BB" w14:textId="77777777">
            <w:pPr>
              <w:ind w:left="720"/>
              <w:contextualSpacing/>
              <w:rPr>
                <w:rFonts w:eastAsia="Calibri"/>
                <w:b/>
              </w:rPr>
            </w:pPr>
          </w:p>
          <w:p w:rsidRPr="00565C82" w:rsidR="00FE4987" w:rsidP="00FE4987" w:rsidRDefault="00FE4987" w14:paraId="01228AF9" w14:textId="77777777">
            <w:pPr>
              <w:ind w:left="720"/>
              <w:contextualSpacing/>
              <w:rPr>
                <w:rFonts w:eastAsia="Calibri"/>
                <w:b/>
              </w:rPr>
            </w:pPr>
          </w:p>
          <w:p w:rsidRPr="00565C82" w:rsidR="00FE4987" w:rsidP="00FE4987" w:rsidRDefault="00FE4987" w14:paraId="253A245C" w14:textId="77777777">
            <w:pPr>
              <w:ind w:left="720"/>
              <w:contextualSpacing/>
              <w:rPr>
                <w:rFonts w:eastAsia="Calibri"/>
                <w:b/>
              </w:rPr>
            </w:pPr>
          </w:p>
          <w:p w:rsidRPr="00565C82" w:rsidR="00FE4987" w:rsidP="00FE4987" w:rsidRDefault="00FE4987" w14:paraId="4291B637" w14:textId="77777777">
            <w:pPr>
              <w:ind w:left="720"/>
              <w:contextualSpacing/>
              <w:rPr>
                <w:rFonts w:eastAsia="Calibri"/>
                <w:b/>
              </w:rPr>
            </w:pPr>
          </w:p>
          <w:p w:rsidRPr="00565C82" w:rsidR="00FE4987" w:rsidP="00FE4987" w:rsidRDefault="00FE4987" w14:paraId="6B082452" w14:textId="3D8BE0F8">
            <w:pPr>
              <w:ind w:left="720"/>
              <w:contextualSpacing/>
              <w:rPr>
                <w:rFonts w:eastAsia="Calibri"/>
                <w:b/>
              </w:rPr>
            </w:pPr>
          </w:p>
          <w:p w:rsidRPr="00565C82" w:rsidR="00BA6783" w:rsidP="00FE4987" w:rsidRDefault="00BA6783" w14:paraId="3A4256AC" w14:textId="6B3D538F">
            <w:pPr>
              <w:ind w:left="720"/>
              <w:contextualSpacing/>
              <w:rPr>
                <w:rFonts w:eastAsia="Calibri"/>
                <w:b/>
              </w:rPr>
            </w:pPr>
          </w:p>
          <w:p w:rsidRPr="00565C82" w:rsidR="00BA6783" w:rsidP="00FE4987" w:rsidRDefault="00BA6783" w14:paraId="2ABB82CC" w14:textId="2915D8B6">
            <w:pPr>
              <w:ind w:left="720"/>
              <w:contextualSpacing/>
              <w:rPr>
                <w:rFonts w:eastAsia="Calibri"/>
                <w:b/>
              </w:rPr>
            </w:pPr>
          </w:p>
          <w:p w:rsidRPr="00565C82" w:rsidR="00BA6783" w:rsidP="00FE4987" w:rsidRDefault="00BA6783" w14:paraId="46277EB5" w14:textId="77777777">
            <w:pPr>
              <w:ind w:left="720"/>
              <w:contextualSpacing/>
              <w:rPr>
                <w:rFonts w:eastAsia="Calibri"/>
                <w:b/>
              </w:rPr>
            </w:pPr>
          </w:p>
          <w:p w:rsidRPr="00565C82" w:rsidR="00FE4987" w:rsidP="00FE4987" w:rsidRDefault="00FE4987" w14:paraId="3266591F" w14:textId="77777777">
            <w:pPr>
              <w:ind w:left="720"/>
              <w:contextualSpacing/>
              <w:rPr>
                <w:rFonts w:eastAsia="Calibri"/>
                <w:b/>
              </w:rPr>
            </w:pPr>
          </w:p>
          <w:p w:rsidRPr="00565C82" w:rsidR="00FE4987" w:rsidP="00FE4987" w:rsidRDefault="00FE4987" w14:paraId="1B75D381" w14:textId="77777777">
            <w:pPr>
              <w:ind w:left="720"/>
              <w:contextualSpacing/>
              <w:rPr>
                <w:rFonts w:eastAsia="Calibri"/>
                <w:b/>
              </w:rPr>
            </w:pPr>
          </w:p>
          <w:p w:rsidRPr="00565C82" w:rsidR="000C5DFE" w:rsidP="00FE4987" w:rsidRDefault="000C5DFE" w14:paraId="464C0BA9" w14:textId="77777777">
            <w:pPr>
              <w:rPr>
                <w:rFonts w:eastAsia="Calibri"/>
                <w:b/>
              </w:rPr>
            </w:pPr>
          </w:p>
          <w:p w:rsidRPr="00565C82" w:rsidR="00FE4987" w:rsidP="00FE4987" w:rsidRDefault="00FE4987" w14:paraId="55913227" w14:textId="77777777">
            <w:pPr>
              <w:rPr>
                <w:rFonts w:eastAsia="Calibri"/>
              </w:rPr>
            </w:pPr>
            <w:r w:rsidRPr="00565C82">
              <w:rPr>
                <w:rFonts w:eastAsia="Calibri"/>
              </w:rPr>
              <w:t xml:space="preserve">This Decision is consistent with UCAN’s support for non-commercial operation of broadband networks as well as for affordable high-speed internet access.  CPUC Staff </w:t>
            </w:r>
            <w:proofErr w:type="gramStart"/>
            <w:r w:rsidRPr="00565C82">
              <w:rPr>
                <w:rFonts w:eastAsia="Calibri"/>
              </w:rPr>
              <w:t>is</w:t>
            </w:r>
            <w:proofErr w:type="gramEnd"/>
            <w:r w:rsidRPr="00565C82">
              <w:rPr>
                <w:rFonts w:eastAsia="Calibri"/>
              </w:rPr>
              <w:t xml:space="preserve"> required to publish those areas that it considers to be priority areas (which will be a subset of the eligible unserved areas) on the CPUC website.  Although the Decision does not cite UCAN, the Decision prioritizes applications that advance the goals of affordability and digital equity – two goals that UCAN has consistently emphasized in its many various comments throughout this proceeding.  </w:t>
            </w:r>
          </w:p>
          <w:p w:rsidRPr="00565C82" w:rsidR="00FE4987" w:rsidP="00FE4987" w:rsidRDefault="00FE4987" w14:paraId="3E3DEA65" w14:textId="77777777">
            <w:pPr>
              <w:numPr>
                <w:ilvl w:val="0"/>
                <w:numId w:val="29"/>
              </w:numPr>
              <w:contextualSpacing/>
              <w:rPr>
                <w:rFonts w:eastAsia="Calibri"/>
              </w:rPr>
            </w:pPr>
            <w:r w:rsidRPr="00565C82">
              <w:rPr>
                <w:rFonts w:eastAsia="Calibri"/>
                <w:i/>
              </w:rPr>
              <w:t xml:space="preserve">Staff will publish priority areas that are coordinated with the Commission’s obligation to assist in preparing definitive plans for deploying necessary infrastructure in each county, including potential coordination across contiguous counties. . . . In addition, Communications Division will publish demographic and digital equity information and analysis about the priority areas such as the number of low-income households within each priority area, median household income, disadvantaged community </w:t>
            </w:r>
            <w:r w:rsidRPr="00565C82">
              <w:rPr>
                <w:rFonts w:eastAsia="Calibri"/>
                <w:i/>
              </w:rPr>
              <w:lastRenderedPageBreak/>
              <w:t>status, and other measures of broadband need and digital equity.</w:t>
            </w:r>
            <w:r w:rsidRPr="00565C82">
              <w:rPr>
                <w:rFonts w:eastAsia="Calibri"/>
              </w:rPr>
              <w:t xml:space="preserve">  </w:t>
            </w:r>
            <w:r w:rsidRPr="00565C82">
              <w:rPr>
                <w:rFonts w:eastAsia="Calibri"/>
                <w:b/>
              </w:rPr>
              <w:t>D.22-04-055, at Appendix A, at A-5, A-6.</w:t>
            </w:r>
          </w:p>
          <w:p w:rsidRPr="00565C82" w:rsidR="00FE4987" w:rsidP="00FE4987" w:rsidRDefault="00FE4987" w14:paraId="6855F191" w14:textId="77777777">
            <w:pPr>
              <w:pStyle w:val="ListParagraph"/>
              <w:numPr>
                <w:ilvl w:val="0"/>
                <w:numId w:val="29"/>
              </w:numPr>
              <w:contextualSpacing/>
              <w:rPr>
                <w:rFonts w:ascii="Times New Roman" w:hAnsi="Times New Roman"/>
                <w:b/>
                <w:bCs/>
                <w:sz w:val="24"/>
                <w:szCs w:val="24"/>
              </w:rPr>
            </w:pPr>
            <w:r w:rsidRPr="00565C82">
              <w:rPr>
                <w:rFonts w:ascii="Times New Roman" w:hAnsi="Times New Roman"/>
                <w:bCs/>
                <w:i/>
                <w:sz w:val="24"/>
                <w:szCs w:val="24"/>
              </w:rPr>
              <w:t xml:space="preserve">The Commission’s Decision enhanced the Treasury’s Final Rule, which addresses many aspects of affordability. And, the Decision, at Appendix A (the Final rules) required publication of equity information and also will consider, when scoring Projects, the demographic information of the disadvantaged communities served. The Decision: (1) encouraged municipal participation </w:t>
            </w:r>
            <w:proofErr w:type="gramStart"/>
            <w:r w:rsidRPr="00565C82">
              <w:rPr>
                <w:rFonts w:ascii="Times New Roman" w:hAnsi="Times New Roman"/>
                <w:bCs/>
                <w:i/>
                <w:sz w:val="24"/>
                <w:szCs w:val="24"/>
              </w:rPr>
              <w:t>increased</w:t>
            </w:r>
            <w:proofErr w:type="gramEnd"/>
            <w:r w:rsidRPr="00565C82">
              <w:rPr>
                <w:rFonts w:ascii="Times New Roman" w:hAnsi="Times New Roman"/>
                <w:bCs/>
                <w:i/>
                <w:sz w:val="24"/>
                <w:szCs w:val="24"/>
              </w:rPr>
              <w:t xml:space="preserve"> (relative to Staff’s proposal) </w:t>
            </w:r>
            <w:r w:rsidRPr="00565C82">
              <w:rPr>
                <w:rFonts w:ascii="Times New Roman" w:hAnsi="Times New Roman"/>
                <w:i/>
                <w:sz w:val="24"/>
                <w:szCs w:val="24"/>
              </w:rPr>
              <w:t xml:space="preserve">the </w:t>
            </w:r>
            <w:proofErr w:type="gramStart"/>
            <w:r w:rsidRPr="00565C82">
              <w:rPr>
                <w:rFonts w:ascii="Times New Roman" w:hAnsi="Times New Roman"/>
                <w:i/>
                <w:sz w:val="24"/>
                <w:szCs w:val="24"/>
              </w:rPr>
              <w:t>amount</w:t>
            </w:r>
            <w:proofErr w:type="gramEnd"/>
            <w:r w:rsidRPr="00565C82">
              <w:rPr>
                <w:rFonts w:ascii="Times New Roman" w:hAnsi="Times New Roman"/>
                <w:i/>
                <w:sz w:val="24"/>
                <w:szCs w:val="24"/>
              </w:rPr>
              <w:t xml:space="preserve"> of points available for broadband networks operated by municipalities, Tribes, non-profits and cooperatives (and reduced the amount for priority projects identified by the Commission’s Communications Division) by 10 points; and (2) added two incentives for applicants to offer longer-term pricing commitments and affordable plans</w:t>
            </w:r>
            <w:r w:rsidRPr="00565C82">
              <w:rPr>
                <w:rFonts w:ascii="Times New Roman" w:hAnsi="Times New Roman"/>
                <w:sz w:val="24"/>
                <w:szCs w:val="24"/>
              </w:rPr>
              <w:t>.</w:t>
            </w:r>
            <w:r w:rsidRPr="00565C82">
              <w:rPr>
                <w:rFonts w:ascii="Times New Roman" w:hAnsi="Times New Roman"/>
                <w:bCs/>
                <w:sz w:val="24"/>
                <w:szCs w:val="24"/>
              </w:rPr>
              <w:t xml:space="preserve"> </w:t>
            </w:r>
            <w:r w:rsidRPr="00565C82">
              <w:rPr>
                <w:rFonts w:ascii="Times New Roman" w:hAnsi="Times New Roman"/>
                <w:b/>
                <w:bCs/>
                <w:sz w:val="24"/>
                <w:szCs w:val="24"/>
              </w:rPr>
              <w:t>D.22-04-055, at pp. 39-40.</w:t>
            </w:r>
          </w:p>
          <w:p w:rsidRPr="00565C82" w:rsidR="00FE4987" w:rsidP="00FE4987" w:rsidRDefault="00FE4987" w14:paraId="44212F74" w14:textId="77777777">
            <w:pPr>
              <w:ind w:left="720"/>
              <w:contextualSpacing/>
              <w:rPr>
                <w:rFonts w:eastAsia="Calibri"/>
                <w:b/>
              </w:rPr>
            </w:pPr>
          </w:p>
          <w:p w:rsidRPr="00565C82" w:rsidR="00FE4987" w:rsidP="00FE4987" w:rsidRDefault="00FE4987" w14:paraId="48263E92" w14:textId="77777777">
            <w:pPr>
              <w:numPr>
                <w:ilvl w:val="0"/>
                <w:numId w:val="26"/>
              </w:numPr>
              <w:ind w:left="330"/>
              <w:contextualSpacing/>
              <w:rPr>
                <w:rFonts w:eastAsia="Calibri"/>
                <w:b/>
                <w:u w:val="single"/>
              </w:rPr>
            </w:pPr>
            <w:r w:rsidRPr="00565C82">
              <w:rPr>
                <w:rFonts w:eastAsia="Calibri"/>
                <w:u w:val="single"/>
              </w:rPr>
              <w:t xml:space="preserve">UCAN’s recommendations, in terms of applicants participating in the ACP (or successor program), </w:t>
            </w:r>
            <w:r w:rsidRPr="00565C82">
              <w:rPr>
                <w:rFonts w:eastAsia="Calibri"/>
                <w:u w:val="single"/>
              </w:rPr>
              <w:lastRenderedPageBreak/>
              <w:t xml:space="preserve">participating in the federal Lifeline program or the California </w:t>
            </w:r>
            <w:proofErr w:type="spellStart"/>
            <w:r w:rsidRPr="00565C82">
              <w:rPr>
                <w:rFonts w:eastAsia="Calibri"/>
                <w:u w:val="single"/>
              </w:rPr>
              <w:t>LifeLine</w:t>
            </w:r>
            <w:proofErr w:type="spellEnd"/>
            <w:r w:rsidRPr="00565C82">
              <w:rPr>
                <w:rFonts w:eastAsia="Calibri"/>
                <w:u w:val="single"/>
              </w:rPr>
              <w:t xml:space="preserve"> program to be awarded 10 points, and other specific plan participation requirements, are embedded in the Decision.</w:t>
            </w:r>
          </w:p>
          <w:p w:rsidRPr="00565C82" w:rsidR="00FE4987" w:rsidP="00FE4987" w:rsidRDefault="00FE4987" w14:paraId="7E3B412D" w14:textId="77777777">
            <w:pPr>
              <w:ind w:left="330"/>
              <w:rPr>
                <w:rFonts w:eastAsia="Calibri"/>
                <w:b/>
              </w:rPr>
            </w:pPr>
          </w:p>
          <w:p w:rsidRPr="00565C82" w:rsidR="00FE4987" w:rsidP="00FE4987" w:rsidRDefault="00FE4987" w14:paraId="424048E5" w14:textId="77777777">
            <w:pPr>
              <w:ind w:left="720"/>
              <w:contextualSpacing/>
              <w:rPr>
                <w:rFonts w:eastAsia="Calibri"/>
                <w:b/>
              </w:rPr>
            </w:pPr>
          </w:p>
          <w:p w:rsidRPr="00565C82" w:rsidR="00FE4987" w:rsidP="00FE4987" w:rsidRDefault="00FE4987" w14:paraId="3739423F" w14:textId="77777777">
            <w:pPr>
              <w:ind w:left="720"/>
              <w:contextualSpacing/>
              <w:rPr>
                <w:rFonts w:eastAsia="Calibri"/>
                <w:b/>
              </w:rPr>
            </w:pPr>
          </w:p>
          <w:p w:rsidRPr="00565C82" w:rsidR="00FE4987" w:rsidP="00FE4987" w:rsidRDefault="00FE4987" w14:paraId="2AAF488C" w14:textId="77777777">
            <w:pPr>
              <w:contextualSpacing/>
              <w:rPr>
                <w:rFonts w:eastAsia="Calibri"/>
              </w:rPr>
            </w:pPr>
          </w:p>
          <w:p w:rsidRPr="00565C82" w:rsidR="00FE4987" w:rsidP="00FE4987" w:rsidRDefault="00FE4987" w14:paraId="217EFEA6" w14:textId="77777777">
            <w:pPr>
              <w:contextualSpacing/>
              <w:rPr>
                <w:rFonts w:eastAsia="Calibri"/>
              </w:rPr>
            </w:pPr>
          </w:p>
          <w:p w:rsidRPr="00565C82" w:rsidR="00FE4987" w:rsidP="00FE4987" w:rsidRDefault="00FE4987" w14:paraId="1FFBED57" w14:textId="77777777">
            <w:pPr>
              <w:contextualSpacing/>
              <w:rPr>
                <w:rFonts w:eastAsia="Calibri"/>
              </w:rPr>
            </w:pPr>
          </w:p>
          <w:p w:rsidRPr="00565C82" w:rsidR="00FE4987" w:rsidP="00FE4987" w:rsidRDefault="00FE4987" w14:paraId="1ECCDD94" w14:textId="77777777">
            <w:pPr>
              <w:contextualSpacing/>
              <w:rPr>
                <w:rFonts w:eastAsia="Calibri"/>
              </w:rPr>
            </w:pPr>
          </w:p>
          <w:p w:rsidRPr="00565C82" w:rsidR="00FE4987" w:rsidP="00FE4987" w:rsidRDefault="00FE4987" w14:paraId="345D285F" w14:textId="77777777">
            <w:pPr>
              <w:contextualSpacing/>
              <w:rPr>
                <w:rFonts w:eastAsia="Calibri"/>
              </w:rPr>
            </w:pPr>
          </w:p>
          <w:p w:rsidRPr="00565C82" w:rsidR="00FE4987" w:rsidP="00FE4987" w:rsidRDefault="00FE4987" w14:paraId="74E2816D" w14:textId="77777777">
            <w:pPr>
              <w:contextualSpacing/>
              <w:rPr>
                <w:rFonts w:eastAsia="Calibri"/>
              </w:rPr>
            </w:pPr>
          </w:p>
          <w:p w:rsidRPr="00565C82" w:rsidR="00FE4987" w:rsidP="00FE4987" w:rsidRDefault="00FE4987" w14:paraId="308C264A" w14:textId="77777777">
            <w:pPr>
              <w:contextualSpacing/>
              <w:rPr>
                <w:rFonts w:eastAsia="Calibri"/>
              </w:rPr>
            </w:pPr>
          </w:p>
          <w:p w:rsidRPr="00565C82" w:rsidR="00FE4987" w:rsidP="00FE4987" w:rsidRDefault="00FE4987" w14:paraId="0BA5A9BF" w14:textId="77777777">
            <w:pPr>
              <w:contextualSpacing/>
              <w:rPr>
                <w:rFonts w:eastAsia="Calibri"/>
              </w:rPr>
            </w:pPr>
          </w:p>
          <w:p w:rsidRPr="00565C82" w:rsidR="00FE4987" w:rsidP="00FE4987" w:rsidRDefault="00FE4987" w14:paraId="6D6DB516" w14:textId="77777777">
            <w:pPr>
              <w:contextualSpacing/>
              <w:rPr>
                <w:rFonts w:eastAsia="Calibri"/>
              </w:rPr>
            </w:pPr>
          </w:p>
          <w:p w:rsidRPr="00565C82" w:rsidR="00FE4987" w:rsidP="00FE4987" w:rsidRDefault="00FE4987" w14:paraId="24C90FBE" w14:textId="77777777">
            <w:pPr>
              <w:contextualSpacing/>
              <w:rPr>
                <w:rFonts w:eastAsia="Calibri"/>
              </w:rPr>
            </w:pPr>
          </w:p>
          <w:p w:rsidRPr="00565C82" w:rsidR="00FE4987" w:rsidP="00FE4987" w:rsidRDefault="00FE4987" w14:paraId="506DC483" w14:textId="77777777">
            <w:pPr>
              <w:contextualSpacing/>
              <w:rPr>
                <w:rFonts w:eastAsia="Calibri"/>
              </w:rPr>
            </w:pPr>
          </w:p>
          <w:p w:rsidRPr="00565C82" w:rsidR="00FE4987" w:rsidP="00FE4987" w:rsidRDefault="00FE4987" w14:paraId="1E18C34A" w14:textId="77777777">
            <w:pPr>
              <w:contextualSpacing/>
              <w:rPr>
                <w:rFonts w:eastAsia="Calibri"/>
              </w:rPr>
            </w:pPr>
          </w:p>
          <w:p w:rsidRPr="00565C82" w:rsidR="00FE4987" w:rsidP="00FE4987" w:rsidRDefault="00FE4987" w14:paraId="37089E5D" w14:textId="77777777">
            <w:pPr>
              <w:contextualSpacing/>
              <w:rPr>
                <w:rFonts w:eastAsia="Calibri"/>
              </w:rPr>
            </w:pPr>
          </w:p>
          <w:p w:rsidRPr="00565C82" w:rsidR="00FE4987" w:rsidP="00FE4987" w:rsidRDefault="00FE4987" w14:paraId="60B01D44" w14:textId="77777777">
            <w:pPr>
              <w:contextualSpacing/>
              <w:rPr>
                <w:rFonts w:eastAsia="Calibri"/>
              </w:rPr>
            </w:pPr>
          </w:p>
          <w:p w:rsidRPr="00565C82" w:rsidR="00FE4987" w:rsidP="00FE4987" w:rsidRDefault="00FE4987" w14:paraId="5F5F9E7B" w14:textId="77777777">
            <w:pPr>
              <w:contextualSpacing/>
              <w:rPr>
                <w:rFonts w:eastAsia="Calibri"/>
              </w:rPr>
            </w:pPr>
          </w:p>
          <w:p w:rsidRPr="00565C82" w:rsidR="00FE4987" w:rsidP="00FE4987" w:rsidRDefault="00FE4987" w14:paraId="724FBA49" w14:textId="77777777">
            <w:pPr>
              <w:contextualSpacing/>
              <w:rPr>
                <w:rFonts w:eastAsia="Calibri"/>
              </w:rPr>
            </w:pPr>
          </w:p>
          <w:p w:rsidRPr="00565C82" w:rsidR="00FE4987" w:rsidP="00FE4987" w:rsidRDefault="00FE4987" w14:paraId="77AA680B" w14:textId="77777777">
            <w:pPr>
              <w:contextualSpacing/>
              <w:rPr>
                <w:rFonts w:eastAsia="Calibri"/>
              </w:rPr>
            </w:pPr>
          </w:p>
          <w:p w:rsidRPr="00565C82" w:rsidR="00FE4987" w:rsidP="00FE4987" w:rsidRDefault="00FE4987" w14:paraId="5F6672FE" w14:textId="77777777">
            <w:pPr>
              <w:contextualSpacing/>
              <w:rPr>
                <w:rFonts w:eastAsia="Calibri"/>
              </w:rPr>
            </w:pPr>
          </w:p>
          <w:p w:rsidRPr="00565C82" w:rsidR="00FE4987" w:rsidP="00FE4987" w:rsidRDefault="00FE4987" w14:paraId="785663FF" w14:textId="77777777">
            <w:pPr>
              <w:contextualSpacing/>
              <w:rPr>
                <w:rFonts w:eastAsia="Calibri"/>
              </w:rPr>
            </w:pPr>
          </w:p>
          <w:p w:rsidRPr="00565C82" w:rsidR="00FE4987" w:rsidP="00FE4987" w:rsidRDefault="00FE4987" w14:paraId="254712CB" w14:textId="77777777">
            <w:pPr>
              <w:contextualSpacing/>
              <w:rPr>
                <w:rFonts w:eastAsia="Calibri"/>
              </w:rPr>
            </w:pPr>
          </w:p>
          <w:p w:rsidRPr="00565C82" w:rsidR="00FE4987" w:rsidP="00FE4987" w:rsidRDefault="00FE4987" w14:paraId="32A8B19D" w14:textId="77777777">
            <w:pPr>
              <w:contextualSpacing/>
              <w:rPr>
                <w:rFonts w:eastAsia="Calibri"/>
              </w:rPr>
            </w:pPr>
          </w:p>
          <w:p w:rsidRPr="00565C82" w:rsidR="00FE4987" w:rsidP="00FE4987" w:rsidRDefault="00FE4987" w14:paraId="0CB2B2E6" w14:textId="77777777">
            <w:pPr>
              <w:contextualSpacing/>
              <w:rPr>
                <w:rFonts w:eastAsia="Calibri"/>
              </w:rPr>
            </w:pPr>
          </w:p>
          <w:p w:rsidRPr="00565C82" w:rsidR="00FE4987" w:rsidP="00FE4987" w:rsidRDefault="00FE4987" w14:paraId="3E85D362" w14:textId="77777777">
            <w:pPr>
              <w:contextualSpacing/>
              <w:rPr>
                <w:rFonts w:eastAsia="Calibri"/>
              </w:rPr>
            </w:pPr>
          </w:p>
          <w:p w:rsidRPr="00565C82" w:rsidR="00FE4987" w:rsidP="00FE4987" w:rsidRDefault="00FE4987" w14:paraId="4A41C04C" w14:textId="720E90EA">
            <w:pPr>
              <w:rPr>
                <w:rFonts w:eastAsia="Calibri"/>
              </w:rPr>
            </w:pPr>
          </w:p>
          <w:p w:rsidRPr="00565C82" w:rsidR="00026267" w:rsidP="00FE4987" w:rsidRDefault="00026267" w14:paraId="33DA5838" w14:textId="73397506">
            <w:pPr>
              <w:rPr>
                <w:rFonts w:eastAsia="Calibri"/>
              </w:rPr>
            </w:pPr>
          </w:p>
          <w:p w:rsidRPr="00565C82" w:rsidR="00026267" w:rsidP="00FE4987" w:rsidRDefault="00026267" w14:paraId="7E4B5A91" w14:textId="77777777">
            <w:pPr>
              <w:rPr>
                <w:rFonts w:eastAsia="Calibri"/>
              </w:rPr>
            </w:pPr>
          </w:p>
          <w:p w:rsidRPr="00565C82" w:rsidR="000C5DFE" w:rsidP="00FE4987" w:rsidRDefault="000C5DFE" w14:paraId="2FFF6E3E" w14:textId="77777777">
            <w:pPr>
              <w:rPr>
                <w:rFonts w:eastAsia="Calibri"/>
                <w:b/>
              </w:rPr>
            </w:pPr>
          </w:p>
          <w:p w:rsidRPr="00565C82" w:rsidR="00FE4987" w:rsidP="00FE4987" w:rsidRDefault="00FE4987" w14:paraId="577AF01C" w14:textId="77777777">
            <w:pPr>
              <w:rPr>
                <w:rFonts w:eastAsia="Calibri"/>
              </w:rPr>
            </w:pPr>
            <w:r w:rsidRPr="00565C82">
              <w:rPr>
                <w:rFonts w:eastAsia="Calibri"/>
              </w:rPr>
              <w:t xml:space="preserve">Although the Decision does not cite UCAN, these decisions are consistent with UCAN’s advocacy.  </w:t>
            </w:r>
          </w:p>
          <w:p w:rsidRPr="00565C82" w:rsidR="00FE4987" w:rsidP="00FE4987" w:rsidRDefault="00FE4987" w14:paraId="225A4D79" w14:textId="77777777">
            <w:pPr>
              <w:numPr>
                <w:ilvl w:val="0"/>
                <w:numId w:val="30"/>
              </w:numPr>
              <w:rPr>
                <w:rFonts w:eastAsia="Calibri"/>
                <w:bCs/>
                <w:i/>
              </w:rPr>
            </w:pPr>
            <w:r w:rsidRPr="00565C82">
              <w:rPr>
                <w:rFonts w:eastAsia="Calibri"/>
                <w:i/>
              </w:rPr>
              <w:t xml:space="preserve">Among other things, the Commission decided to award applicants 20 additional points for offering a generally </w:t>
            </w:r>
            <w:r w:rsidRPr="00565C82">
              <w:rPr>
                <w:rFonts w:eastAsia="Calibri"/>
                <w:i/>
              </w:rPr>
              <w:lastRenderedPageBreak/>
              <w:t xml:space="preserve">available low-cost broadband plan for the life of the infrastructure that includes certain minimum standards. </w:t>
            </w:r>
            <w:r w:rsidRPr="00565C82">
              <w:rPr>
                <w:rFonts w:eastAsia="Calibri"/>
                <w:b/>
                <w:bCs/>
              </w:rPr>
              <w:t>D.22-04-055, at pp. 63-64.</w:t>
            </w:r>
          </w:p>
          <w:p w:rsidRPr="00565C82" w:rsidR="00FE4987" w:rsidP="00026267" w:rsidRDefault="00FE4987" w14:paraId="77A8C970" w14:textId="665C71CF">
            <w:pPr>
              <w:pStyle w:val="ListParagraph"/>
              <w:numPr>
                <w:ilvl w:val="0"/>
                <w:numId w:val="30"/>
              </w:numPr>
              <w:rPr>
                <w:rFonts w:ascii="Times New Roman" w:hAnsi="Times New Roman"/>
                <w:color w:val="000000"/>
                <w:sz w:val="24"/>
                <w:szCs w:val="24"/>
              </w:rPr>
            </w:pPr>
            <w:r w:rsidRPr="00565C82">
              <w:rPr>
                <w:rFonts w:ascii="Times New Roman" w:hAnsi="Times New Roman"/>
                <w:i/>
                <w:sz w:val="24"/>
                <w:szCs w:val="24"/>
              </w:rPr>
              <w:t>[F]</w:t>
            </w:r>
            <w:proofErr w:type="spellStart"/>
            <w:r w:rsidRPr="00565C82">
              <w:rPr>
                <w:rFonts w:ascii="Times New Roman" w:hAnsi="Times New Roman"/>
                <w:i/>
                <w:sz w:val="24"/>
                <w:szCs w:val="24"/>
              </w:rPr>
              <w:t>inds</w:t>
            </w:r>
            <w:proofErr w:type="spellEnd"/>
            <w:r w:rsidRPr="00565C82">
              <w:rPr>
                <w:rFonts w:ascii="Times New Roman" w:hAnsi="Times New Roman"/>
                <w:i/>
                <w:sz w:val="24"/>
                <w:szCs w:val="24"/>
              </w:rPr>
              <w:t xml:space="preserve"> that “a project cannot be considered a necessary investment in broadband infrastructure if it is not affordable to the population the project would serve,” and requires: 1) grantees to participate, for the life of the infrastructure, in the Federal Communications Commission’s (FCC) Affordable Connectivity Program (ACP), or otherwise provide access to a broad-based affordability program to low-income consumers in the proposed service area of the broadband infrastructure that provides benefits to households commensurate with those provided under the ACP;   2) that services include at least one low-cost option offered without data usage caps, and at speeds that are sufficient for a household with multiple users to simultaneously telework and engage in remote learning;  and 3) that recipients report speed, pricing, and any data allowance information as </w:t>
            </w:r>
            <w:r w:rsidRPr="00565C82">
              <w:rPr>
                <w:rFonts w:ascii="Times New Roman" w:hAnsi="Times New Roman"/>
                <w:i/>
                <w:sz w:val="24"/>
                <w:szCs w:val="24"/>
              </w:rPr>
              <w:lastRenderedPageBreak/>
              <w:t>part of mandatory reporting to Treasury.</w:t>
            </w:r>
            <w:r w:rsidRPr="00565C82">
              <w:rPr>
                <w:rFonts w:ascii="Times New Roman" w:hAnsi="Times New Roman"/>
                <w:sz w:val="24"/>
                <w:szCs w:val="24"/>
              </w:rPr>
              <w:t xml:space="preserve">  </w:t>
            </w:r>
            <w:r w:rsidRPr="00565C82">
              <w:rPr>
                <w:rFonts w:ascii="Times New Roman" w:hAnsi="Times New Roman"/>
                <w:b/>
                <w:bCs/>
                <w:sz w:val="24"/>
                <w:szCs w:val="24"/>
              </w:rPr>
              <w:t xml:space="preserve">D.22-04-055, at pp. </w:t>
            </w:r>
            <w:r w:rsidR="00565C82">
              <w:rPr>
                <w:rFonts w:ascii="Times New Roman" w:hAnsi="Times New Roman"/>
                <w:b/>
                <w:bCs/>
                <w:sz w:val="24"/>
                <w:szCs w:val="24"/>
              </w:rPr>
              <w:br/>
            </w:r>
            <w:r w:rsidRPr="00565C82">
              <w:rPr>
                <w:rFonts w:ascii="Times New Roman" w:hAnsi="Times New Roman"/>
                <w:b/>
                <w:bCs/>
                <w:sz w:val="24"/>
                <w:szCs w:val="24"/>
              </w:rPr>
              <w:t>63-64.</w:t>
            </w:r>
          </w:p>
        </w:tc>
        <w:tc>
          <w:tcPr>
            <w:tcW w:w="4230" w:type="dxa"/>
            <w:shd w:val="clear" w:color="auto" w:fill="FFFFFF" w:themeFill="background1"/>
          </w:tcPr>
          <w:p w:rsidRPr="00565C82" w:rsidR="00FE4987" w:rsidP="00FE4987" w:rsidRDefault="00FE4987" w14:paraId="4A5DDEEA" w14:textId="77777777">
            <w:pPr>
              <w:spacing w:after="160" w:line="259" w:lineRule="auto"/>
              <w:rPr>
                <w:rFonts w:eastAsia="Calibri"/>
              </w:rPr>
            </w:pPr>
          </w:p>
          <w:p w:rsidRPr="00565C82" w:rsidR="00FE4987" w:rsidP="00FE4987" w:rsidRDefault="00FE4987" w14:paraId="0E3D96C5" w14:textId="77777777">
            <w:pPr>
              <w:rPr>
                <w:rFonts w:eastAsia="Calibri"/>
              </w:rPr>
            </w:pPr>
          </w:p>
          <w:p w:rsidRPr="00565C82" w:rsidR="00FE4987" w:rsidP="00FE4987" w:rsidRDefault="00FE4987" w14:paraId="6BCDBC49" w14:textId="77777777">
            <w:pPr>
              <w:rPr>
                <w:rFonts w:eastAsia="Calibri"/>
              </w:rPr>
            </w:pPr>
          </w:p>
          <w:p w:rsidRPr="00565C82" w:rsidR="00FE4987" w:rsidP="00FE4987" w:rsidRDefault="00FE4987" w14:paraId="4EBD299D" w14:textId="77777777">
            <w:pPr>
              <w:rPr>
                <w:rFonts w:eastAsia="Calibri"/>
              </w:rPr>
            </w:pPr>
          </w:p>
          <w:p w:rsidRPr="00565C82" w:rsidR="00FE4987" w:rsidP="00FE4987" w:rsidRDefault="00FE4987" w14:paraId="49F257DB" w14:textId="77777777">
            <w:pPr>
              <w:rPr>
                <w:rFonts w:eastAsia="Calibri"/>
              </w:rPr>
            </w:pPr>
          </w:p>
          <w:p w:rsidRPr="00565C82" w:rsidR="00FE4987" w:rsidP="00FE4987" w:rsidRDefault="00FE4987" w14:paraId="71215502" w14:textId="77777777">
            <w:pPr>
              <w:rPr>
                <w:rFonts w:eastAsia="Calibri"/>
              </w:rPr>
            </w:pPr>
          </w:p>
          <w:p w:rsidRPr="00565C82" w:rsidR="00FE4987" w:rsidP="00FE4987" w:rsidRDefault="00FE4987" w14:paraId="26C70F83" w14:textId="77777777">
            <w:pPr>
              <w:rPr>
                <w:rFonts w:eastAsia="Calibri"/>
              </w:rPr>
            </w:pPr>
          </w:p>
          <w:p w:rsidRPr="00565C82" w:rsidR="00FE4987" w:rsidP="00FE4987" w:rsidRDefault="00FE4987" w14:paraId="3DAAC9B7" w14:textId="77777777">
            <w:pPr>
              <w:rPr>
                <w:rFonts w:eastAsia="Calibri"/>
              </w:rPr>
            </w:pPr>
          </w:p>
          <w:p w:rsidRPr="00565C82" w:rsidR="00FE4987" w:rsidP="00FE4987" w:rsidRDefault="00FE4987" w14:paraId="5C094300" w14:textId="77777777">
            <w:pPr>
              <w:rPr>
                <w:rFonts w:eastAsia="Calibri"/>
              </w:rPr>
            </w:pPr>
          </w:p>
          <w:p w:rsidRPr="00565C82" w:rsidR="00FE4987" w:rsidP="00FE4987" w:rsidRDefault="00FE4987" w14:paraId="6A5C48D0" w14:textId="77777777">
            <w:pPr>
              <w:rPr>
                <w:rFonts w:eastAsia="Calibri"/>
              </w:rPr>
            </w:pPr>
          </w:p>
          <w:p w:rsidRPr="00565C82" w:rsidR="00FE4987" w:rsidP="00FE4987" w:rsidRDefault="00FE4987" w14:paraId="71625064" w14:textId="77777777">
            <w:pPr>
              <w:rPr>
                <w:rFonts w:eastAsia="Calibri"/>
              </w:rPr>
            </w:pPr>
          </w:p>
          <w:p w:rsidRPr="00565C82" w:rsidR="00FE4987" w:rsidP="00FE4987" w:rsidRDefault="00FE4987" w14:paraId="63B2FDB1" w14:textId="77777777">
            <w:pPr>
              <w:rPr>
                <w:rFonts w:eastAsia="Calibri"/>
              </w:rPr>
            </w:pPr>
          </w:p>
          <w:p w:rsidRPr="00565C82" w:rsidR="00FE4987" w:rsidP="00FE4987" w:rsidRDefault="00FE4987" w14:paraId="64BB68C2" w14:textId="77777777">
            <w:pPr>
              <w:rPr>
                <w:rFonts w:eastAsia="Calibri"/>
              </w:rPr>
            </w:pPr>
          </w:p>
          <w:p w:rsidRPr="00565C82" w:rsidR="00FE4987" w:rsidP="00FE4987" w:rsidRDefault="00FE4987" w14:paraId="04AEC52E" w14:textId="77777777">
            <w:pPr>
              <w:rPr>
                <w:rFonts w:eastAsia="Calibri"/>
              </w:rPr>
            </w:pPr>
          </w:p>
          <w:p w:rsidRPr="00565C82" w:rsidR="00FE4987" w:rsidP="00FE4987" w:rsidRDefault="00FE4987" w14:paraId="3FCF1C00" w14:textId="77777777">
            <w:pPr>
              <w:rPr>
                <w:rFonts w:eastAsia="Calibri"/>
              </w:rPr>
            </w:pPr>
          </w:p>
          <w:p w:rsidRPr="00565C82" w:rsidR="00FE4987" w:rsidP="00FE4987" w:rsidRDefault="00FE4987" w14:paraId="0771FEE0" w14:textId="77777777">
            <w:pPr>
              <w:rPr>
                <w:rFonts w:eastAsia="Calibri"/>
              </w:rPr>
            </w:pPr>
          </w:p>
          <w:p w:rsidRPr="00565C82" w:rsidR="00FE4987" w:rsidP="00FE4987" w:rsidRDefault="00FE4987" w14:paraId="3B4B86CE" w14:textId="77777777">
            <w:pPr>
              <w:rPr>
                <w:rFonts w:eastAsia="Calibri"/>
              </w:rPr>
            </w:pPr>
          </w:p>
          <w:p w:rsidRPr="00565C82" w:rsidR="00FE4987" w:rsidP="00FE4987" w:rsidRDefault="00FE4987" w14:paraId="5B7F65D9" w14:textId="77777777">
            <w:pPr>
              <w:rPr>
                <w:rFonts w:eastAsia="Calibri"/>
              </w:rPr>
            </w:pPr>
          </w:p>
          <w:p w:rsidRPr="00565C82" w:rsidR="00FE4987" w:rsidP="00FE4987" w:rsidRDefault="00FE4987" w14:paraId="41732DF1" w14:textId="77777777">
            <w:pPr>
              <w:rPr>
                <w:rFonts w:eastAsia="Calibri"/>
              </w:rPr>
            </w:pPr>
          </w:p>
          <w:p w:rsidRPr="00565C82" w:rsidR="000C5DFE" w:rsidP="00FE4987" w:rsidRDefault="000C5DFE" w14:paraId="54E8A022" w14:textId="7B542286">
            <w:pPr>
              <w:rPr>
                <w:rFonts w:eastAsia="Calibri"/>
              </w:rPr>
            </w:pPr>
          </w:p>
          <w:p w:rsidRPr="00565C82" w:rsidR="000C5DFE" w:rsidP="00FE4987" w:rsidRDefault="000C5DFE" w14:paraId="65BD5747" w14:textId="77777777">
            <w:pPr>
              <w:rPr>
                <w:rFonts w:eastAsia="Calibri"/>
              </w:rPr>
            </w:pPr>
          </w:p>
          <w:p w:rsidRPr="00565C82" w:rsidR="00FE4987" w:rsidP="00FE4987" w:rsidRDefault="00FE4987" w14:paraId="4030F2C0" w14:textId="77777777">
            <w:pPr>
              <w:numPr>
                <w:ilvl w:val="0"/>
                <w:numId w:val="27"/>
              </w:numPr>
              <w:contextualSpacing/>
              <w:rPr>
                <w:rFonts w:eastAsia="Calibri"/>
              </w:rPr>
            </w:pPr>
            <w:r w:rsidRPr="00565C82">
              <w:rPr>
                <w:rFonts w:eastAsia="Calibri"/>
                <w:i/>
              </w:rPr>
              <w:lastRenderedPageBreak/>
              <w:t xml:space="preserve">The PD finding does not, however, adequately reflect these recommendations nor those of UCAN that the guidelines </w:t>
            </w:r>
            <w:proofErr w:type="gramStart"/>
            <w:r w:rsidRPr="00565C82">
              <w:rPr>
                <w:rFonts w:eastAsia="Calibri"/>
                <w:i/>
              </w:rPr>
              <w:t>take into account</w:t>
            </w:r>
            <w:proofErr w:type="gramEnd"/>
            <w:r w:rsidRPr="00565C82">
              <w:rPr>
                <w:rFonts w:eastAsia="Calibri"/>
                <w:i/>
              </w:rPr>
              <w:t xml:space="preserve"> and prioritize historically unserved or underserved communities. UCAN considers this an important criterion that should be incorporated explicitly in funding guidelines.</w:t>
            </w:r>
            <w:r w:rsidRPr="00565C82">
              <w:rPr>
                <w:rFonts w:eastAsia="Calibri"/>
              </w:rPr>
              <w:t xml:space="preserve"> </w:t>
            </w:r>
            <w:r w:rsidRPr="00565C82">
              <w:rPr>
                <w:rFonts w:eastAsia="Calibri"/>
                <w:b/>
              </w:rPr>
              <w:t>OPENING COMMENTS ON PROPOSED DECISION, at p. 3</w:t>
            </w:r>
            <w:r w:rsidRPr="00565C82">
              <w:rPr>
                <w:rFonts w:eastAsia="Calibri"/>
              </w:rPr>
              <w:t>.</w:t>
            </w:r>
          </w:p>
          <w:p w:rsidRPr="00565C82" w:rsidR="00FE4987" w:rsidP="00FE4987" w:rsidRDefault="00FE4987" w14:paraId="30DD7BF4" w14:textId="77777777">
            <w:pPr>
              <w:numPr>
                <w:ilvl w:val="0"/>
                <w:numId w:val="27"/>
              </w:numPr>
              <w:contextualSpacing/>
              <w:rPr>
                <w:rFonts w:eastAsia="Calibri"/>
              </w:rPr>
            </w:pPr>
            <w:r w:rsidRPr="00565C82">
              <w:rPr>
                <w:rFonts w:eastAsia="Calibri"/>
                <w:i/>
              </w:rPr>
              <w:t xml:space="preserve">Given its earlier comments, UCAN is concerned that the PD does not address its concern regarding the PD’s estimate of unserved households. . . . UCAN reiterates a concern that the PD does not address, but that UCAN raised in initial and </w:t>
            </w:r>
            <w:proofErr w:type="gramStart"/>
            <w:r w:rsidRPr="00565C82">
              <w:rPr>
                <w:rFonts w:eastAsia="Calibri"/>
                <w:i/>
              </w:rPr>
              <w:t>reply</w:t>
            </w:r>
            <w:proofErr w:type="gramEnd"/>
            <w:r w:rsidRPr="00565C82">
              <w:rPr>
                <w:rFonts w:eastAsia="Calibri"/>
                <w:i/>
              </w:rPr>
              <w:t xml:space="preserve"> comments regarding the apportionment of federal funds among counties. Specifically, it is extremely probable that the estimate of unserved households in California . . . greatly underestimates the actual number of unserved California households.</w:t>
            </w:r>
            <w:r w:rsidRPr="00565C82">
              <w:rPr>
                <w:rFonts w:eastAsia="Calibri"/>
              </w:rPr>
              <w:t xml:space="preserve">  </w:t>
            </w:r>
            <w:r w:rsidRPr="00565C82">
              <w:rPr>
                <w:rFonts w:eastAsia="Calibri"/>
                <w:b/>
              </w:rPr>
              <w:t>OPENING COMMENTS ON PROPOSED DECISION, at pp. 4-5</w:t>
            </w:r>
            <w:r w:rsidRPr="00565C82">
              <w:rPr>
                <w:rFonts w:eastAsia="Calibri"/>
              </w:rPr>
              <w:t>.</w:t>
            </w:r>
          </w:p>
          <w:p w:rsidRPr="00565C82" w:rsidR="00FE4987" w:rsidP="00FE4987" w:rsidRDefault="00FE4987" w14:paraId="3BE90F11" w14:textId="77777777">
            <w:pPr>
              <w:numPr>
                <w:ilvl w:val="0"/>
                <w:numId w:val="27"/>
              </w:numPr>
              <w:contextualSpacing/>
              <w:rPr>
                <w:rFonts w:eastAsia="Calibri"/>
                <w:b/>
              </w:rPr>
            </w:pPr>
            <w:r w:rsidRPr="00565C82">
              <w:rPr>
                <w:rFonts w:eastAsia="Calibri"/>
                <w:i/>
              </w:rPr>
              <w:t xml:space="preserve">UCAN urges the Commission to keep the overall broadband deployment picture in mind. Specifically, UCAN reiterates points we made in an earlier phase of this proceeding that although San Diego is considered an urban county, there are parts of the county that are clearly not “urban” but instead are unserved, remote, and sparsely populated, including, among other areas, Tribal lands, and </w:t>
            </w:r>
            <w:r w:rsidRPr="00565C82">
              <w:rPr>
                <w:rFonts w:eastAsia="Calibri"/>
                <w:i/>
              </w:rPr>
              <w:lastRenderedPageBreak/>
              <w:t>areas lacking English proficiency. Also, as UCAN has previously demonstrated, even in urban areas, there are unserved neighborhoods.</w:t>
            </w:r>
            <w:r w:rsidRPr="00565C82">
              <w:rPr>
                <w:rFonts w:eastAsia="Calibri"/>
              </w:rPr>
              <w:t xml:space="preserve"> </w:t>
            </w:r>
            <w:r w:rsidRPr="00565C82">
              <w:rPr>
                <w:rFonts w:eastAsia="Calibri"/>
                <w:b/>
              </w:rPr>
              <w:t>COMMENTS OF THE UTILITY CONSUMERS’ ACTION NETWORK (UCAN) ON THE NOVEMBER 10, 2021 ADMINISTRATIVE LAW JUDGE’S EMAIL RULING REQUESTING COMMENTS ON THE PROPOSAL FOR THE APPORTIONMENT OF THE FEDERAL FUNDING ACCOUNT GRANT PROGRAM, at p. 4.</w:t>
            </w:r>
          </w:p>
          <w:p w:rsidRPr="00565C82" w:rsidR="00FE4987" w:rsidP="00FE4987" w:rsidRDefault="00FE4987" w14:paraId="76F3C754" w14:textId="77777777">
            <w:pPr>
              <w:rPr>
                <w:rFonts w:eastAsia="Calibri"/>
              </w:rPr>
            </w:pPr>
          </w:p>
          <w:p w:rsidRPr="00565C82" w:rsidR="00FE4987" w:rsidP="00FE4987" w:rsidRDefault="00FE4987" w14:paraId="0132DEA6" w14:textId="77777777">
            <w:pPr>
              <w:rPr>
                <w:color w:val="000000"/>
              </w:rPr>
            </w:pPr>
          </w:p>
          <w:p w:rsidRPr="00565C82" w:rsidR="00FE4987" w:rsidP="00FE4987" w:rsidRDefault="00FE4987" w14:paraId="179446F8" w14:textId="77777777">
            <w:pPr>
              <w:rPr>
                <w:color w:val="000000"/>
              </w:rPr>
            </w:pPr>
          </w:p>
          <w:p w:rsidRPr="00565C82" w:rsidR="00FE4987" w:rsidP="00FE4987" w:rsidRDefault="00FE4987" w14:paraId="2E736892" w14:textId="77777777">
            <w:pPr>
              <w:rPr>
                <w:color w:val="000000"/>
              </w:rPr>
            </w:pPr>
          </w:p>
          <w:p w:rsidRPr="00565C82" w:rsidR="00FE4987" w:rsidP="00FE4987" w:rsidRDefault="00FE4987" w14:paraId="1C7F6B2A" w14:textId="77777777">
            <w:pPr>
              <w:rPr>
                <w:color w:val="000000"/>
              </w:rPr>
            </w:pPr>
          </w:p>
          <w:p w:rsidRPr="00565C82" w:rsidR="00FE4987" w:rsidP="00FE4987" w:rsidRDefault="00FE4987" w14:paraId="5F3EFC57" w14:textId="77777777">
            <w:pPr>
              <w:rPr>
                <w:color w:val="000000"/>
              </w:rPr>
            </w:pPr>
          </w:p>
          <w:p w:rsidRPr="00565C82" w:rsidR="00FE4987" w:rsidP="00FE4987" w:rsidRDefault="00FE4987" w14:paraId="0E638224" w14:textId="77777777">
            <w:pPr>
              <w:rPr>
                <w:color w:val="000000"/>
              </w:rPr>
            </w:pPr>
          </w:p>
          <w:p w:rsidRPr="00565C82" w:rsidR="00FE4987" w:rsidP="00FE4987" w:rsidRDefault="00FE4987" w14:paraId="1A8469DC" w14:textId="77777777">
            <w:pPr>
              <w:rPr>
                <w:color w:val="000000"/>
              </w:rPr>
            </w:pPr>
          </w:p>
          <w:p w:rsidRPr="00565C82" w:rsidR="00FE4987" w:rsidP="00FE4987" w:rsidRDefault="00FE4987" w14:paraId="64DDDB09" w14:textId="77777777">
            <w:pPr>
              <w:rPr>
                <w:color w:val="000000"/>
              </w:rPr>
            </w:pPr>
          </w:p>
          <w:p w:rsidRPr="00565C82" w:rsidR="00FE4987" w:rsidP="00FE4987" w:rsidRDefault="00FE4987" w14:paraId="2E28D85D" w14:textId="77777777">
            <w:pPr>
              <w:rPr>
                <w:color w:val="000000"/>
              </w:rPr>
            </w:pPr>
          </w:p>
          <w:p w:rsidRPr="00565C82" w:rsidR="00FE4987" w:rsidP="00FE4987" w:rsidRDefault="00FE4987" w14:paraId="7001376E" w14:textId="77777777">
            <w:pPr>
              <w:rPr>
                <w:color w:val="000000"/>
              </w:rPr>
            </w:pPr>
          </w:p>
          <w:p w:rsidRPr="00565C82" w:rsidR="00FE4987" w:rsidP="00FE4987" w:rsidRDefault="00FE4987" w14:paraId="79B87A62" w14:textId="77777777">
            <w:pPr>
              <w:rPr>
                <w:color w:val="000000"/>
              </w:rPr>
            </w:pPr>
          </w:p>
          <w:p w:rsidRPr="00565C82" w:rsidR="00FE4987" w:rsidP="00FE4987" w:rsidRDefault="00FE4987" w14:paraId="353BF285" w14:textId="77777777">
            <w:pPr>
              <w:rPr>
                <w:color w:val="000000"/>
              </w:rPr>
            </w:pPr>
          </w:p>
          <w:p w:rsidRPr="00565C82" w:rsidR="00FE4987" w:rsidP="00FE4987" w:rsidRDefault="00FE4987" w14:paraId="57D3A7F7" w14:textId="77777777">
            <w:pPr>
              <w:rPr>
                <w:color w:val="000000"/>
              </w:rPr>
            </w:pPr>
          </w:p>
          <w:p w:rsidRPr="00565C82" w:rsidR="00FE4987" w:rsidP="00FE4987" w:rsidRDefault="00FE4987" w14:paraId="6DDF8BCA" w14:textId="77777777">
            <w:pPr>
              <w:rPr>
                <w:color w:val="000000"/>
              </w:rPr>
            </w:pPr>
          </w:p>
          <w:p w:rsidRPr="00565C82" w:rsidR="00FE4987" w:rsidP="00FE4987" w:rsidRDefault="00FE4987" w14:paraId="3402B527" w14:textId="77777777">
            <w:pPr>
              <w:rPr>
                <w:color w:val="000000"/>
              </w:rPr>
            </w:pPr>
          </w:p>
          <w:p w:rsidRPr="00565C82" w:rsidR="00FE4987" w:rsidP="00FE4987" w:rsidRDefault="00FE4987" w14:paraId="66EC5AE1" w14:textId="77777777">
            <w:pPr>
              <w:rPr>
                <w:color w:val="000000"/>
              </w:rPr>
            </w:pPr>
          </w:p>
          <w:p w:rsidRPr="00565C82" w:rsidR="00FE4987" w:rsidP="00FE4987" w:rsidRDefault="00FE4987" w14:paraId="14674F0B" w14:textId="77777777">
            <w:pPr>
              <w:rPr>
                <w:color w:val="000000"/>
              </w:rPr>
            </w:pPr>
          </w:p>
          <w:p w:rsidRPr="00565C82" w:rsidR="00FE4987" w:rsidP="00FE4987" w:rsidRDefault="00FE4987" w14:paraId="5A5022A6" w14:textId="77777777">
            <w:pPr>
              <w:rPr>
                <w:color w:val="000000"/>
              </w:rPr>
            </w:pPr>
          </w:p>
          <w:p w:rsidRPr="00565C82" w:rsidR="00FE4987" w:rsidP="00FE4987" w:rsidRDefault="00FE4987" w14:paraId="4F4E2959" w14:textId="77777777">
            <w:pPr>
              <w:rPr>
                <w:color w:val="000000"/>
              </w:rPr>
            </w:pPr>
          </w:p>
          <w:p w:rsidRPr="00565C82" w:rsidR="00FE4987" w:rsidP="00FE4987" w:rsidRDefault="00FE4987" w14:paraId="04951C85" w14:textId="77777777">
            <w:pPr>
              <w:rPr>
                <w:color w:val="000000"/>
              </w:rPr>
            </w:pPr>
          </w:p>
          <w:p w:rsidRPr="00565C82" w:rsidR="00FE4987" w:rsidP="00FE4987" w:rsidRDefault="00FE4987" w14:paraId="6773BDFB" w14:textId="77777777">
            <w:pPr>
              <w:rPr>
                <w:color w:val="000000"/>
              </w:rPr>
            </w:pPr>
          </w:p>
          <w:p w:rsidRPr="00565C82" w:rsidR="00FE4987" w:rsidP="00FE4987" w:rsidRDefault="00FE4987" w14:paraId="5E4C31B4" w14:textId="77777777">
            <w:pPr>
              <w:rPr>
                <w:color w:val="000000"/>
              </w:rPr>
            </w:pPr>
          </w:p>
          <w:p w:rsidRPr="00565C82" w:rsidR="00FE4987" w:rsidP="00FE4987" w:rsidRDefault="00FE4987" w14:paraId="2C1BB955" w14:textId="77777777">
            <w:pPr>
              <w:rPr>
                <w:color w:val="000000"/>
              </w:rPr>
            </w:pPr>
          </w:p>
          <w:p w:rsidRPr="00565C82" w:rsidR="00FE4987" w:rsidP="00FE4987" w:rsidRDefault="00FE4987" w14:paraId="3EA1BDC8" w14:textId="77777777">
            <w:pPr>
              <w:rPr>
                <w:color w:val="000000"/>
              </w:rPr>
            </w:pPr>
          </w:p>
          <w:p w:rsidRPr="00565C82" w:rsidR="00FE4987" w:rsidP="00FE4987" w:rsidRDefault="00FE4987" w14:paraId="5DFA7B92" w14:textId="77777777">
            <w:pPr>
              <w:rPr>
                <w:color w:val="000000"/>
              </w:rPr>
            </w:pPr>
          </w:p>
          <w:p w:rsidRPr="00565C82" w:rsidR="00FE4987" w:rsidP="00FE4987" w:rsidRDefault="00FE4987" w14:paraId="6D6368AD" w14:textId="77777777">
            <w:pPr>
              <w:rPr>
                <w:color w:val="000000"/>
              </w:rPr>
            </w:pPr>
          </w:p>
          <w:p w:rsidRPr="00565C82" w:rsidR="00FE4987" w:rsidP="00FE4987" w:rsidRDefault="00FE4987" w14:paraId="19B3B07B" w14:textId="77777777">
            <w:pPr>
              <w:rPr>
                <w:color w:val="000000"/>
              </w:rPr>
            </w:pPr>
          </w:p>
          <w:p w:rsidRPr="00565C82" w:rsidR="00FE4987" w:rsidP="00FE4987" w:rsidRDefault="00FE4987" w14:paraId="1D862D70" w14:textId="77777777">
            <w:pPr>
              <w:rPr>
                <w:color w:val="000000"/>
              </w:rPr>
            </w:pPr>
          </w:p>
          <w:p w:rsidRPr="00565C82" w:rsidR="00FE4987" w:rsidP="00FE4987" w:rsidRDefault="00FE4987" w14:paraId="3F89D17E" w14:textId="77777777">
            <w:pPr>
              <w:rPr>
                <w:color w:val="000000"/>
              </w:rPr>
            </w:pPr>
          </w:p>
          <w:p w:rsidRPr="00565C82" w:rsidR="00FE4987" w:rsidP="00FE4987" w:rsidRDefault="00FE4987" w14:paraId="2536A445" w14:textId="77777777">
            <w:pPr>
              <w:rPr>
                <w:color w:val="000000"/>
              </w:rPr>
            </w:pPr>
          </w:p>
          <w:p w:rsidRPr="00565C82" w:rsidR="00FE4987" w:rsidP="00FE4987" w:rsidRDefault="00FE4987" w14:paraId="3C48A835" w14:textId="77777777">
            <w:pPr>
              <w:rPr>
                <w:color w:val="000000"/>
              </w:rPr>
            </w:pPr>
          </w:p>
          <w:p w:rsidRPr="00565C82" w:rsidR="00FE4987" w:rsidP="00FE4987" w:rsidRDefault="00FE4987" w14:paraId="4A69DB7C" w14:textId="77777777">
            <w:pPr>
              <w:rPr>
                <w:color w:val="000000"/>
              </w:rPr>
            </w:pPr>
          </w:p>
          <w:p w:rsidRPr="00565C82" w:rsidR="00FE4987" w:rsidP="00FE4987" w:rsidRDefault="00FE4987" w14:paraId="5A1602E8" w14:textId="77777777">
            <w:pPr>
              <w:rPr>
                <w:color w:val="000000"/>
              </w:rPr>
            </w:pPr>
          </w:p>
          <w:p w:rsidRPr="00565C82" w:rsidR="00FE4987" w:rsidP="00FE4987" w:rsidRDefault="00FE4987" w14:paraId="197A5679" w14:textId="77777777">
            <w:pPr>
              <w:rPr>
                <w:color w:val="000000"/>
              </w:rPr>
            </w:pPr>
          </w:p>
          <w:p w:rsidRPr="00565C82" w:rsidR="00FE4987" w:rsidP="00FE4987" w:rsidRDefault="00FE4987" w14:paraId="055431C8" w14:textId="77777777">
            <w:pPr>
              <w:rPr>
                <w:color w:val="000000"/>
              </w:rPr>
            </w:pPr>
          </w:p>
          <w:p w:rsidRPr="00565C82" w:rsidR="00FE4987" w:rsidP="00FE4987" w:rsidRDefault="00FE4987" w14:paraId="0A06869F" w14:textId="77777777">
            <w:pPr>
              <w:rPr>
                <w:color w:val="000000"/>
              </w:rPr>
            </w:pPr>
          </w:p>
          <w:p w:rsidRPr="00565C82" w:rsidR="00FE4987" w:rsidP="00FE4987" w:rsidRDefault="00FE4987" w14:paraId="376747BF" w14:textId="77777777">
            <w:pPr>
              <w:rPr>
                <w:color w:val="000000"/>
              </w:rPr>
            </w:pPr>
          </w:p>
          <w:p w:rsidRPr="00565C82" w:rsidR="00FE4987" w:rsidP="00FE4987" w:rsidRDefault="00FE4987" w14:paraId="103836E4" w14:textId="77777777">
            <w:pPr>
              <w:rPr>
                <w:color w:val="000000"/>
              </w:rPr>
            </w:pPr>
          </w:p>
          <w:p w:rsidRPr="00565C82" w:rsidR="00FE4987" w:rsidP="00FE4987" w:rsidRDefault="00FE4987" w14:paraId="579E8DC3" w14:textId="77777777">
            <w:pPr>
              <w:rPr>
                <w:color w:val="000000"/>
              </w:rPr>
            </w:pPr>
          </w:p>
          <w:p w:rsidRPr="00565C82" w:rsidR="00FE4987" w:rsidP="00FE4987" w:rsidRDefault="00FE4987" w14:paraId="78B14FDF" w14:textId="77777777">
            <w:pPr>
              <w:rPr>
                <w:color w:val="000000"/>
              </w:rPr>
            </w:pPr>
          </w:p>
          <w:p w:rsidRPr="00565C82" w:rsidR="00FE4987" w:rsidP="00FE4987" w:rsidRDefault="00FE4987" w14:paraId="45521CA4" w14:textId="77777777">
            <w:pPr>
              <w:rPr>
                <w:color w:val="000000"/>
              </w:rPr>
            </w:pPr>
          </w:p>
          <w:p w:rsidRPr="00565C82" w:rsidR="00FE4987" w:rsidP="00FE4987" w:rsidRDefault="00FE4987" w14:paraId="7A219884" w14:textId="44E62CC3">
            <w:pPr>
              <w:rPr>
                <w:color w:val="000000"/>
              </w:rPr>
            </w:pPr>
          </w:p>
          <w:p w:rsidRPr="00565C82" w:rsidR="008161B1" w:rsidP="00FE4987" w:rsidRDefault="008161B1" w14:paraId="4D5006E3" w14:textId="77777777">
            <w:pPr>
              <w:rPr>
                <w:color w:val="000000"/>
              </w:rPr>
            </w:pPr>
          </w:p>
          <w:p w:rsidRPr="00565C82" w:rsidR="00FE4987" w:rsidP="00FE4987" w:rsidRDefault="00FE4987" w14:paraId="5262375A" w14:textId="77777777">
            <w:pPr>
              <w:rPr>
                <w:color w:val="000000"/>
              </w:rPr>
            </w:pPr>
          </w:p>
          <w:p w:rsidRPr="00565C82" w:rsidR="00FE4987" w:rsidP="00FE4987" w:rsidRDefault="00FE4987" w14:paraId="1CF2585B" w14:textId="77777777">
            <w:pPr>
              <w:rPr>
                <w:color w:val="000000"/>
              </w:rPr>
            </w:pPr>
          </w:p>
          <w:p w:rsidRPr="00565C82" w:rsidR="00FE4987" w:rsidP="00FE4987" w:rsidRDefault="00FE4987" w14:paraId="18345AAD" w14:textId="77777777">
            <w:pPr>
              <w:numPr>
                <w:ilvl w:val="0"/>
                <w:numId w:val="28"/>
              </w:numPr>
              <w:rPr>
                <w:rFonts w:eastAsia="Calibri"/>
                <w:b/>
              </w:rPr>
            </w:pPr>
            <w:r w:rsidRPr="00565C82">
              <w:rPr>
                <w:rFonts w:eastAsia="Calibri"/>
                <w:i/>
              </w:rPr>
              <w:t>Resolving the thorny issue of classifying counties as either rural or urban should be informed by the principle of fairness and guided by the goal of deploying broadband infrastructure where it is most needed. . . . Accordingly, UCAN recommends that the Commission adopt the balanced approach summarized in Table 15 and Appendix D of TURN’s comments, which is informed by multiple sources and factors, and TURN’s well-considered analysis.</w:t>
            </w:r>
            <w:r w:rsidRPr="00565C82">
              <w:rPr>
                <w:rFonts w:eastAsia="Calibri"/>
              </w:rPr>
              <w:t xml:space="preserve">  </w:t>
            </w:r>
            <w:r w:rsidRPr="00565C82">
              <w:rPr>
                <w:rFonts w:eastAsia="Calibri"/>
                <w:b/>
              </w:rPr>
              <w:t>REPLY COMMENTS ON THE APPORTIONMENT OF THE FEDERAL FUNDING ACCOUNT GRANT PROGRAM, at pp. 1, 5.</w:t>
            </w:r>
          </w:p>
          <w:p w:rsidRPr="00565C82" w:rsidR="00FE4987" w:rsidP="00FE4987" w:rsidRDefault="00FE4987" w14:paraId="2B875A7E" w14:textId="77777777">
            <w:pPr>
              <w:numPr>
                <w:ilvl w:val="0"/>
                <w:numId w:val="28"/>
              </w:numPr>
              <w:rPr>
                <w:rFonts w:eastAsia="Calibri"/>
              </w:rPr>
            </w:pPr>
            <w:r w:rsidRPr="00565C82">
              <w:rPr>
                <w:rFonts w:eastAsia="Calibri"/>
                <w:i/>
              </w:rPr>
              <w:t xml:space="preserve">UCAN concurred that the hybrid proposal described by TURN would be the </w:t>
            </w:r>
            <w:proofErr w:type="gramStart"/>
            <w:r w:rsidRPr="00565C82">
              <w:rPr>
                <w:rFonts w:eastAsia="Calibri"/>
                <w:i/>
              </w:rPr>
              <w:t>most sound</w:t>
            </w:r>
            <w:proofErr w:type="gramEnd"/>
            <w:r w:rsidRPr="00565C82">
              <w:rPr>
                <w:rFonts w:eastAsia="Calibri"/>
                <w:i/>
              </w:rPr>
              <w:t xml:space="preserve"> approach to classifying California’s urban and rural counties.  Accordingly, UCAN welcomes the PD’s analysis and conclusion on this important </w:t>
            </w:r>
            <w:r w:rsidRPr="00565C82">
              <w:rPr>
                <w:rFonts w:eastAsia="Calibri"/>
                <w:i/>
              </w:rPr>
              <w:lastRenderedPageBreak/>
              <w:t xml:space="preserve">issue. The PD carefully balances the merits and drawbacks of various options for </w:t>
            </w:r>
            <w:proofErr w:type="gramStart"/>
            <w:r w:rsidRPr="00565C82">
              <w:rPr>
                <w:rFonts w:eastAsia="Calibri"/>
                <w:i/>
              </w:rPr>
              <w:t>apportioning</w:t>
            </w:r>
            <w:proofErr w:type="gramEnd"/>
            <w:r w:rsidRPr="00565C82">
              <w:rPr>
                <w:rFonts w:eastAsia="Calibri"/>
                <w:i/>
              </w:rPr>
              <w:t xml:space="preserve"> federal monies among the state’s 58 counties and adopts TURN’s hybrid proposal.  UCAN concurs fully with the PD’s explanation that TURN’s proposal “is the most </w:t>
            </w:r>
            <w:proofErr w:type="gramStart"/>
            <w:r w:rsidRPr="00565C82">
              <w:rPr>
                <w:rFonts w:eastAsia="Calibri"/>
                <w:i/>
              </w:rPr>
              <w:t>rigorous, and</w:t>
            </w:r>
            <w:proofErr w:type="gramEnd"/>
            <w:r w:rsidRPr="00565C82">
              <w:rPr>
                <w:rFonts w:eastAsia="Calibri"/>
              </w:rPr>
              <w:t xml:space="preserve"> </w:t>
            </w:r>
            <w:r w:rsidRPr="00565C82">
              <w:rPr>
                <w:rFonts w:eastAsia="Calibri"/>
                <w:i/>
              </w:rPr>
              <w:t xml:space="preserve">attempts to arrive at a consensus by relying on seven different approaches, instead of one.  </w:t>
            </w:r>
            <w:r w:rsidRPr="00565C82">
              <w:rPr>
                <w:rFonts w:eastAsia="Calibri"/>
                <w:b/>
              </w:rPr>
              <w:t>OPENING COMMENTS ON PROPOSED DECISION, at pp. 4-5</w:t>
            </w:r>
            <w:r w:rsidRPr="00565C82">
              <w:rPr>
                <w:rFonts w:eastAsia="Calibri"/>
              </w:rPr>
              <w:t>.</w:t>
            </w:r>
          </w:p>
          <w:p w:rsidRPr="00565C82" w:rsidR="00FE4987" w:rsidP="00FE4987" w:rsidRDefault="00FE4987" w14:paraId="02A75DBB" w14:textId="77777777">
            <w:pPr>
              <w:rPr>
                <w:rFonts w:eastAsia="Calibri"/>
              </w:rPr>
            </w:pPr>
          </w:p>
          <w:p w:rsidRPr="00565C82" w:rsidR="00FE4987" w:rsidP="00FE4987" w:rsidRDefault="00FE4987" w14:paraId="69C38D1F" w14:textId="77777777">
            <w:pPr>
              <w:rPr>
                <w:color w:val="000000"/>
              </w:rPr>
            </w:pPr>
          </w:p>
          <w:p w:rsidRPr="00565C82" w:rsidR="00FE4987" w:rsidP="00FE4987" w:rsidRDefault="00FE4987" w14:paraId="0E09D554" w14:textId="77777777">
            <w:pPr>
              <w:rPr>
                <w:color w:val="000000"/>
              </w:rPr>
            </w:pPr>
          </w:p>
          <w:p w:rsidRPr="00565C82" w:rsidR="00FE4987" w:rsidP="00FE4987" w:rsidRDefault="00FE4987" w14:paraId="2A49B3AF" w14:textId="77777777">
            <w:pPr>
              <w:rPr>
                <w:color w:val="000000"/>
              </w:rPr>
            </w:pPr>
          </w:p>
          <w:p w:rsidRPr="00565C82" w:rsidR="00FE4987" w:rsidP="00FE4987" w:rsidRDefault="00FE4987" w14:paraId="687F14F1" w14:textId="77777777">
            <w:pPr>
              <w:rPr>
                <w:color w:val="000000"/>
              </w:rPr>
            </w:pPr>
          </w:p>
          <w:p w:rsidRPr="00565C82" w:rsidR="00FE4987" w:rsidP="00FE4987" w:rsidRDefault="00FE4987" w14:paraId="6E534F9E" w14:textId="77777777">
            <w:pPr>
              <w:rPr>
                <w:color w:val="000000"/>
              </w:rPr>
            </w:pPr>
          </w:p>
          <w:p w:rsidRPr="00565C82" w:rsidR="00FE4987" w:rsidP="00FE4987" w:rsidRDefault="00FE4987" w14:paraId="0D225A16" w14:textId="77777777">
            <w:pPr>
              <w:rPr>
                <w:color w:val="000000"/>
              </w:rPr>
            </w:pPr>
          </w:p>
          <w:p w:rsidRPr="00565C82" w:rsidR="00FE4987" w:rsidP="00FE4987" w:rsidRDefault="00FE4987" w14:paraId="79E6B0DE" w14:textId="77777777">
            <w:pPr>
              <w:rPr>
                <w:color w:val="000000"/>
              </w:rPr>
            </w:pPr>
          </w:p>
          <w:p w:rsidRPr="00565C82" w:rsidR="00FE4987" w:rsidP="00FE4987" w:rsidRDefault="00FE4987" w14:paraId="221C1B4D" w14:textId="77777777">
            <w:pPr>
              <w:rPr>
                <w:color w:val="000000"/>
              </w:rPr>
            </w:pPr>
          </w:p>
          <w:p w:rsidRPr="00565C82" w:rsidR="00FE4987" w:rsidP="00FE4987" w:rsidRDefault="00FE4987" w14:paraId="2B502D1E" w14:textId="77777777">
            <w:pPr>
              <w:rPr>
                <w:color w:val="000000"/>
              </w:rPr>
            </w:pPr>
          </w:p>
          <w:p w:rsidRPr="00565C82" w:rsidR="00FE4987" w:rsidP="00FE4987" w:rsidRDefault="00FE4987" w14:paraId="3DDFB110" w14:textId="77777777">
            <w:pPr>
              <w:rPr>
                <w:color w:val="000000"/>
              </w:rPr>
            </w:pPr>
          </w:p>
          <w:p w:rsidRPr="00565C82" w:rsidR="00FE4987" w:rsidP="00FE4987" w:rsidRDefault="00FE4987" w14:paraId="4998927F" w14:textId="77777777">
            <w:pPr>
              <w:rPr>
                <w:color w:val="000000"/>
              </w:rPr>
            </w:pPr>
          </w:p>
          <w:p w:rsidRPr="00565C82" w:rsidR="00FE4987" w:rsidP="00FE4987" w:rsidRDefault="00FE4987" w14:paraId="7D38EA40" w14:textId="77777777">
            <w:pPr>
              <w:rPr>
                <w:color w:val="000000"/>
              </w:rPr>
            </w:pPr>
          </w:p>
          <w:p w:rsidRPr="00565C82" w:rsidR="00FE4987" w:rsidP="00FE4987" w:rsidRDefault="00FE4987" w14:paraId="0B7F8A78" w14:textId="77777777">
            <w:pPr>
              <w:rPr>
                <w:color w:val="000000"/>
              </w:rPr>
            </w:pPr>
          </w:p>
          <w:p w:rsidRPr="00565C82" w:rsidR="00FE4987" w:rsidP="00FE4987" w:rsidRDefault="00FE4987" w14:paraId="36EFE2C1" w14:textId="77777777">
            <w:pPr>
              <w:rPr>
                <w:color w:val="000000"/>
              </w:rPr>
            </w:pPr>
          </w:p>
          <w:p w:rsidRPr="00565C82" w:rsidR="00FE4987" w:rsidP="00FE4987" w:rsidRDefault="00FE4987" w14:paraId="2BDAD2B1" w14:textId="77777777">
            <w:pPr>
              <w:rPr>
                <w:color w:val="000000"/>
              </w:rPr>
            </w:pPr>
          </w:p>
          <w:p w:rsidRPr="00565C82" w:rsidR="00FE4987" w:rsidP="00FE4987" w:rsidRDefault="00FE4987" w14:paraId="04D19C35" w14:textId="77777777">
            <w:pPr>
              <w:rPr>
                <w:color w:val="000000"/>
              </w:rPr>
            </w:pPr>
          </w:p>
          <w:p w:rsidRPr="00565C82" w:rsidR="00FE4987" w:rsidP="00FE4987" w:rsidRDefault="00FE4987" w14:paraId="786250CD" w14:textId="77777777">
            <w:pPr>
              <w:rPr>
                <w:color w:val="000000"/>
              </w:rPr>
            </w:pPr>
          </w:p>
          <w:p w:rsidRPr="00565C82" w:rsidR="00FE4987" w:rsidP="00FE4987" w:rsidRDefault="00FE4987" w14:paraId="6EC2C779" w14:textId="77777777">
            <w:pPr>
              <w:rPr>
                <w:color w:val="000000"/>
              </w:rPr>
            </w:pPr>
          </w:p>
          <w:p w:rsidRPr="00565C82" w:rsidR="00FE4987" w:rsidP="00FE4987" w:rsidRDefault="00FE4987" w14:paraId="416B68AA" w14:textId="77777777">
            <w:pPr>
              <w:rPr>
                <w:color w:val="000000"/>
              </w:rPr>
            </w:pPr>
          </w:p>
          <w:p w:rsidRPr="00565C82" w:rsidR="00FE4987" w:rsidP="00FE4987" w:rsidRDefault="00FE4987" w14:paraId="509B1766" w14:textId="77777777">
            <w:pPr>
              <w:rPr>
                <w:color w:val="000000"/>
              </w:rPr>
            </w:pPr>
          </w:p>
          <w:p w:rsidRPr="00565C82" w:rsidR="00FE4987" w:rsidP="00FE4987" w:rsidRDefault="00FE4987" w14:paraId="68DD957E" w14:textId="77777777">
            <w:pPr>
              <w:rPr>
                <w:color w:val="000000"/>
              </w:rPr>
            </w:pPr>
          </w:p>
          <w:p w:rsidRPr="00565C82" w:rsidR="00FE4987" w:rsidP="00FE4987" w:rsidRDefault="00FE4987" w14:paraId="17BD0321" w14:textId="77777777">
            <w:pPr>
              <w:rPr>
                <w:color w:val="000000"/>
              </w:rPr>
            </w:pPr>
          </w:p>
          <w:p w:rsidRPr="00565C82" w:rsidR="00FE4987" w:rsidP="00FE4987" w:rsidRDefault="00FE4987" w14:paraId="492DC23C" w14:textId="77777777">
            <w:pPr>
              <w:rPr>
                <w:color w:val="000000"/>
              </w:rPr>
            </w:pPr>
          </w:p>
          <w:p w:rsidRPr="00565C82" w:rsidR="00FE4987" w:rsidP="00FE4987" w:rsidRDefault="00FE4987" w14:paraId="7B8148F1" w14:textId="77777777">
            <w:pPr>
              <w:rPr>
                <w:color w:val="000000"/>
              </w:rPr>
            </w:pPr>
          </w:p>
          <w:p w:rsidRPr="00565C82" w:rsidR="00FE4987" w:rsidP="00FE4987" w:rsidRDefault="00FE4987" w14:paraId="29D83AE4" w14:textId="77777777">
            <w:pPr>
              <w:rPr>
                <w:color w:val="000000"/>
              </w:rPr>
            </w:pPr>
          </w:p>
          <w:p w:rsidRPr="00565C82" w:rsidR="00FE4987" w:rsidP="00FE4987" w:rsidRDefault="00FE4987" w14:paraId="675801AF" w14:textId="77777777">
            <w:pPr>
              <w:rPr>
                <w:color w:val="000000"/>
              </w:rPr>
            </w:pPr>
          </w:p>
          <w:p w:rsidRPr="00565C82" w:rsidR="00FE4987" w:rsidP="00FE4987" w:rsidRDefault="00FE4987" w14:paraId="36459401" w14:textId="77777777">
            <w:pPr>
              <w:rPr>
                <w:color w:val="000000"/>
              </w:rPr>
            </w:pPr>
          </w:p>
          <w:p w:rsidRPr="00565C82" w:rsidR="00FE4987" w:rsidP="00FE4987" w:rsidRDefault="00FE4987" w14:paraId="264BC6C0" w14:textId="77777777">
            <w:pPr>
              <w:rPr>
                <w:color w:val="000000"/>
              </w:rPr>
            </w:pPr>
          </w:p>
          <w:p w:rsidRPr="00565C82" w:rsidR="00FE4987" w:rsidP="00FE4987" w:rsidRDefault="00FE4987" w14:paraId="44148C2A" w14:textId="77777777">
            <w:pPr>
              <w:rPr>
                <w:color w:val="000000"/>
              </w:rPr>
            </w:pPr>
          </w:p>
          <w:p w:rsidRPr="00565C82" w:rsidR="00FE4987" w:rsidP="00FE4987" w:rsidRDefault="00FE4987" w14:paraId="63520DFC" w14:textId="77777777">
            <w:pPr>
              <w:rPr>
                <w:color w:val="000000"/>
              </w:rPr>
            </w:pPr>
          </w:p>
          <w:p w:rsidRPr="00565C82" w:rsidR="00FE4987" w:rsidP="00FE4987" w:rsidRDefault="00FE4987" w14:paraId="5DEF5782" w14:textId="77777777">
            <w:pPr>
              <w:rPr>
                <w:color w:val="000000"/>
              </w:rPr>
            </w:pPr>
          </w:p>
          <w:p w:rsidRPr="00565C82" w:rsidR="00FE4987" w:rsidP="00FE4987" w:rsidRDefault="00FE4987" w14:paraId="41FD03B2" w14:textId="77777777">
            <w:pPr>
              <w:rPr>
                <w:color w:val="000000"/>
              </w:rPr>
            </w:pPr>
          </w:p>
          <w:p w:rsidRPr="00565C82" w:rsidR="00FE4987" w:rsidP="00FE4987" w:rsidRDefault="00FE4987" w14:paraId="2283ABF7" w14:textId="77777777">
            <w:pPr>
              <w:rPr>
                <w:color w:val="000000"/>
              </w:rPr>
            </w:pPr>
          </w:p>
          <w:p w:rsidRPr="00565C82" w:rsidR="00FE4987" w:rsidP="00FE4987" w:rsidRDefault="00FE4987" w14:paraId="3068F694" w14:textId="77777777">
            <w:pPr>
              <w:rPr>
                <w:color w:val="000000"/>
              </w:rPr>
            </w:pPr>
          </w:p>
          <w:p w:rsidRPr="00565C82" w:rsidR="00FE4987" w:rsidP="00FE4987" w:rsidRDefault="00FE4987" w14:paraId="45C8490F" w14:textId="433335DE">
            <w:pPr>
              <w:rPr>
                <w:color w:val="000000"/>
              </w:rPr>
            </w:pPr>
          </w:p>
          <w:p w:rsidRPr="00565C82" w:rsidR="00BA6783" w:rsidP="00FE4987" w:rsidRDefault="00BA6783" w14:paraId="1EA6658F" w14:textId="445348C7">
            <w:pPr>
              <w:rPr>
                <w:color w:val="000000"/>
              </w:rPr>
            </w:pPr>
          </w:p>
          <w:p w:rsidRPr="00565C82" w:rsidR="00BA6783" w:rsidP="00FE4987" w:rsidRDefault="00BA6783" w14:paraId="4A1BD57B" w14:textId="77777777">
            <w:pPr>
              <w:rPr>
                <w:color w:val="000000"/>
              </w:rPr>
            </w:pPr>
          </w:p>
          <w:p w:rsidRPr="00565C82" w:rsidR="000C5DFE" w:rsidP="00FE4987" w:rsidRDefault="000C5DFE" w14:paraId="3CEFC1F9" w14:textId="77777777">
            <w:pPr>
              <w:rPr>
                <w:color w:val="000000"/>
              </w:rPr>
            </w:pPr>
          </w:p>
          <w:p w:rsidRPr="00565C82" w:rsidR="00FE4987" w:rsidP="00FE4987" w:rsidRDefault="00FE4987" w14:paraId="2FA78E41" w14:textId="77777777">
            <w:pPr>
              <w:numPr>
                <w:ilvl w:val="0"/>
                <w:numId w:val="32"/>
              </w:numPr>
              <w:contextualSpacing/>
              <w:rPr>
                <w:rFonts w:eastAsia="Calibri"/>
                <w:b/>
              </w:rPr>
            </w:pPr>
            <w:r w:rsidRPr="00565C82">
              <w:rPr>
                <w:rFonts w:eastAsia="Calibri"/>
                <w:i/>
              </w:rPr>
              <w:t xml:space="preserve">UCAN supports the Commission of prioritizing investment in high-poverty areas as well as in communities of color. UCAN is also hopeful that the principles and methodologies that the Commission adopts in this phase of this proceeding will provide a solid foundation for the disbursement of future monies that will become available to California as a result of the recently enacted IIJA.  </w:t>
            </w:r>
            <w:r w:rsidRPr="00565C82">
              <w:rPr>
                <w:rFonts w:eastAsia="Calibri"/>
                <w:b/>
              </w:rPr>
              <w:t>COMMENTS OF THE UTILITY CONSUMERS’ ACTION NETWORK (UCAN) ON THE NOVEMBER 10, 2021 ADMINISTRATIVE LAW JUDGE’S EMAIL RULING REQUESTING COMMENTS ON THE PROPOSAL FOR THE APPORTIONMENT OF THE FEDERAL FUNDING ACCOUNT GRANT PROGRAM, at p. 6.</w:t>
            </w:r>
          </w:p>
          <w:p w:rsidRPr="00565C82" w:rsidR="00FE4987" w:rsidP="00FE4987" w:rsidRDefault="00FE4987" w14:paraId="4A092A3B" w14:textId="77777777">
            <w:pPr>
              <w:numPr>
                <w:ilvl w:val="0"/>
                <w:numId w:val="32"/>
              </w:numPr>
              <w:contextualSpacing/>
              <w:rPr>
                <w:rFonts w:eastAsia="Calibri"/>
              </w:rPr>
            </w:pPr>
            <w:r w:rsidRPr="00565C82">
              <w:rPr>
                <w:rFonts w:eastAsia="Calibri"/>
                <w:i/>
              </w:rPr>
              <w:t>UCAN strongly concurs with those supporting the awarding of additional ‘points” to ESJ communities.</w:t>
            </w:r>
            <w:r w:rsidRPr="00565C82">
              <w:rPr>
                <w:rFonts w:eastAsia="Calibri"/>
                <w:i/>
                <w:color w:val="FF0000"/>
              </w:rPr>
              <w:t xml:space="preserve"> </w:t>
            </w:r>
            <w:r w:rsidRPr="00565C82">
              <w:rPr>
                <w:rFonts w:eastAsia="Calibri"/>
                <w:i/>
              </w:rPr>
              <w:t xml:space="preserve"> UCAN commends the Commission for its comprehensive efforts to address the digital divide and to adopt policies and programs that help California achieve digital </w:t>
            </w:r>
            <w:proofErr w:type="gramStart"/>
            <w:r w:rsidRPr="00565C82">
              <w:rPr>
                <w:rFonts w:eastAsia="Calibri"/>
                <w:i/>
              </w:rPr>
              <w:t>equity, and</w:t>
            </w:r>
            <w:proofErr w:type="gramEnd"/>
            <w:r w:rsidRPr="00565C82">
              <w:rPr>
                <w:rFonts w:eastAsia="Calibri"/>
                <w:i/>
              </w:rPr>
              <w:t xml:space="preserve"> urges the Commission to incorporate these same efforts in its allocation of public monies for </w:t>
            </w:r>
            <w:r w:rsidRPr="00565C82">
              <w:rPr>
                <w:rFonts w:eastAsia="Calibri"/>
                <w:i/>
              </w:rPr>
              <w:lastRenderedPageBreak/>
              <w:t>broadband deployment. Prioritizing ESJ communities that seek subsidized broadband deployment is an integral element of a coherent digital equity policy.</w:t>
            </w:r>
            <w:r w:rsidRPr="00565C82">
              <w:rPr>
                <w:rFonts w:eastAsia="Calibri"/>
              </w:rPr>
              <w:t xml:space="preserve">  </w:t>
            </w:r>
            <w:r w:rsidRPr="00565C82">
              <w:rPr>
                <w:rFonts w:eastAsia="Calibri"/>
                <w:b/>
              </w:rPr>
              <w:t>REPLY COMMENTS ON THE APPORTIONMENT OF THE FEDERAL FUNDING ACCOUNT GRANT PROGRAM, at pp. 7-8.</w:t>
            </w:r>
          </w:p>
          <w:p w:rsidRPr="00565C82" w:rsidR="00FE4987" w:rsidP="00FE4987" w:rsidRDefault="00FE4987" w14:paraId="5CA5F25F" w14:textId="77777777">
            <w:pPr>
              <w:numPr>
                <w:ilvl w:val="0"/>
                <w:numId w:val="32"/>
              </w:numPr>
              <w:contextualSpacing/>
              <w:rPr>
                <w:rFonts w:eastAsia="Calibri"/>
              </w:rPr>
            </w:pPr>
            <w:r w:rsidRPr="00565C82">
              <w:rPr>
                <w:rFonts w:eastAsia="Calibri"/>
                <w:i/>
              </w:rPr>
              <w:t xml:space="preserve">In conclusion, UCAN urges the Commission to not only look </w:t>
            </w:r>
            <w:proofErr w:type="gramStart"/>
            <w:r w:rsidRPr="00565C82">
              <w:rPr>
                <w:rFonts w:eastAsia="Calibri"/>
                <w:i/>
              </w:rPr>
              <w:t>as</w:t>
            </w:r>
            <w:proofErr w:type="gramEnd"/>
            <w:r w:rsidRPr="00565C82">
              <w:rPr>
                <w:rFonts w:eastAsia="Calibri"/>
                <w:i/>
              </w:rPr>
              <w:t xml:space="preserve"> the broadband ‘speedometer’  in a community in awarding public monies, but also to take into account other factors that bear on California’s progress in achieving digital equity.</w:t>
            </w:r>
            <w:r w:rsidRPr="00565C82">
              <w:rPr>
                <w:rFonts w:eastAsia="Calibri"/>
              </w:rPr>
              <w:t xml:space="preserve">  </w:t>
            </w:r>
            <w:r w:rsidRPr="00565C82">
              <w:rPr>
                <w:rFonts w:eastAsia="Calibri"/>
                <w:b/>
              </w:rPr>
              <w:t>REPLY COMMENTS ON THE APPORTIONMENT OF THE FEDERAL FUNDING ACCOUNT GRANT PROGRAM, at p. 9.</w:t>
            </w:r>
          </w:p>
          <w:p w:rsidRPr="00565C82" w:rsidR="00FE4987" w:rsidP="00FE4987" w:rsidRDefault="00FE4987" w14:paraId="655017A7" w14:textId="77777777">
            <w:pPr>
              <w:numPr>
                <w:ilvl w:val="0"/>
                <w:numId w:val="32"/>
              </w:numPr>
              <w:contextualSpacing/>
              <w:rPr>
                <w:rFonts w:eastAsia="Calibri"/>
              </w:rPr>
            </w:pPr>
            <w:r w:rsidRPr="00565C82">
              <w:rPr>
                <w:rFonts w:eastAsia="Calibri"/>
                <w:i/>
              </w:rPr>
              <w:t>UCAN supports recommendations that the Commission require grant recipients to submit data to facilitate monitoring about the program. UCAN concurs with this recommendation as well as other recommendations for data collection, analysis, and reporting.</w:t>
            </w:r>
            <w:r w:rsidRPr="00565C82">
              <w:rPr>
                <w:rFonts w:eastAsia="Calibri"/>
              </w:rPr>
              <w:t xml:space="preserve"> </w:t>
            </w:r>
            <w:r w:rsidRPr="00565C82">
              <w:rPr>
                <w:rFonts w:eastAsia="Calibri"/>
                <w:b/>
              </w:rPr>
              <w:t>REPLY COMMENTS ON THE APPORTIONMENT OF THE FEDERAL FUNDING ACCOUNT GRANT PROGRAM, at p. 9.</w:t>
            </w:r>
          </w:p>
          <w:p w:rsidRPr="00565C82" w:rsidR="00FE4987" w:rsidP="00FE4987" w:rsidRDefault="00FE4987" w14:paraId="4CA84625" w14:textId="77777777">
            <w:pPr>
              <w:numPr>
                <w:ilvl w:val="0"/>
                <w:numId w:val="32"/>
              </w:numPr>
              <w:contextualSpacing/>
              <w:rPr>
                <w:rFonts w:eastAsia="Calibri"/>
              </w:rPr>
            </w:pPr>
            <w:r w:rsidRPr="00565C82">
              <w:rPr>
                <w:rFonts w:eastAsia="Calibri"/>
                <w:i/>
              </w:rPr>
              <w:t xml:space="preserve">In other words, the Commission should rely not only on the availability of broadband, but moreover, on criteria that affect the adoption of broadband service, and focus subsidies on areas with particularly low levels of adoption.” Consistent with </w:t>
            </w:r>
            <w:r w:rsidRPr="00565C82">
              <w:rPr>
                <w:rFonts w:eastAsia="Calibri"/>
                <w:i/>
              </w:rPr>
              <w:lastRenderedPageBreak/>
              <w:t>Treasury guidelines, in identifying unserved areas, the first litmus test should be whether broadband service is available, and then consistent with achieving the goal of digital equity, the second criterion should be metrics that correspond with the probability of adoption.</w:t>
            </w:r>
            <w:r w:rsidRPr="00565C82">
              <w:rPr>
                <w:rFonts w:eastAsia="Calibri"/>
              </w:rPr>
              <w:t xml:space="preserve">  </w:t>
            </w:r>
            <w:r w:rsidRPr="00565C82">
              <w:rPr>
                <w:rFonts w:eastAsia="Calibri"/>
                <w:b/>
              </w:rPr>
              <w:t>REPLY COMMENTS ON THE APPORTIONMENT OF THE FEDERAL FUNDING ACCOUNT GRANT PROGRAM, at p. 10.</w:t>
            </w:r>
          </w:p>
          <w:p w:rsidRPr="00565C82" w:rsidR="00FE4987" w:rsidP="00FE4987" w:rsidRDefault="00FE4987" w14:paraId="6E97E988" w14:textId="77777777">
            <w:pPr>
              <w:numPr>
                <w:ilvl w:val="0"/>
                <w:numId w:val="33"/>
              </w:numPr>
              <w:rPr>
                <w:rFonts w:eastAsia="Calibri"/>
              </w:rPr>
            </w:pPr>
            <w:r w:rsidRPr="00565C82">
              <w:rPr>
                <w:rFonts w:eastAsia="Calibri"/>
                <w:i/>
              </w:rPr>
              <w:t xml:space="preserve">In UCAN’s view, not only will non-commercial providers be more likely to set (and commit in the long-term) to affordable rates than would commercial providers, but they also are more likely to coordinate broadband deployment with community-based organizations, which, in turn, will be more likely to lead to successful broadband programs. This on-the-ground collaboration can lead to more successful broadband adoption. With local involvement, the deployment of tangible, physical infrastructure can dovetail with the intangible, but equally important, “deployment” of digital literacy programs and outreach regarding the availability of affordable rates. </w:t>
            </w:r>
            <w:r w:rsidRPr="00565C82">
              <w:rPr>
                <w:rFonts w:eastAsia="Calibri"/>
                <w:b/>
              </w:rPr>
              <w:t>REPLY COMMENTS ON THE APPORTIONMENT OF THE FEDERAL FUNDING ACCOUNT GRANT PROGRAM, at</w:t>
            </w:r>
            <w:r w:rsidRPr="00565C82">
              <w:rPr>
                <w:rFonts w:eastAsia="Calibri"/>
              </w:rPr>
              <w:t xml:space="preserve"> </w:t>
            </w:r>
            <w:r w:rsidRPr="00565C82">
              <w:rPr>
                <w:rFonts w:eastAsia="Calibri"/>
                <w:b/>
              </w:rPr>
              <w:t>p. 5.</w:t>
            </w:r>
          </w:p>
          <w:p w:rsidRPr="00565C82" w:rsidR="00FE4987" w:rsidP="00FE4987" w:rsidRDefault="00FE4987" w14:paraId="54E6FC6B" w14:textId="77777777">
            <w:pPr>
              <w:rPr>
                <w:rFonts w:eastAsia="Calibri"/>
              </w:rPr>
            </w:pPr>
          </w:p>
          <w:p w:rsidRPr="00565C82" w:rsidR="00FE4987" w:rsidP="00FE4987" w:rsidRDefault="00FE4987" w14:paraId="3C6E7202" w14:textId="77777777">
            <w:pPr>
              <w:rPr>
                <w:rFonts w:eastAsia="Calibri"/>
              </w:rPr>
            </w:pPr>
          </w:p>
          <w:p w:rsidRPr="00565C82" w:rsidR="00FE4987" w:rsidP="00FE4987" w:rsidRDefault="00FE4987" w14:paraId="74188819" w14:textId="77777777">
            <w:pPr>
              <w:rPr>
                <w:color w:val="000000"/>
              </w:rPr>
            </w:pPr>
          </w:p>
          <w:p w:rsidRPr="00565C82" w:rsidR="00FE4987" w:rsidP="00FE4987" w:rsidRDefault="00FE4987" w14:paraId="6C2A0AF6" w14:textId="77777777">
            <w:pPr>
              <w:rPr>
                <w:color w:val="000000"/>
              </w:rPr>
            </w:pPr>
          </w:p>
          <w:p w:rsidRPr="00565C82" w:rsidR="00FE4987" w:rsidP="00FE4987" w:rsidRDefault="00FE4987" w14:paraId="23F35E27" w14:textId="77777777">
            <w:pPr>
              <w:rPr>
                <w:color w:val="000000"/>
              </w:rPr>
            </w:pPr>
          </w:p>
          <w:p w:rsidRPr="00565C82" w:rsidR="00FE4987" w:rsidP="00FE4987" w:rsidRDefault="00FE4987" w14:paraId="4A6FCF77" w14:textId="77777777">
            <w:pPr>
              <w:rPr>
                <w:color w:val="000000"/>
              </w:rPr>
            </w:pPr>
          </w:p>
          <w:p w:rsidRPr="00565C82" w:rsidR="00FE4987" w:rsidP="00FE4987" w:rsidRDefault="00FE4987" w14:paraId="3E76E524" w14:textId="77777777">
            <w:pPr>
              <w:rPr>
                <w:color w:val="000000"/>
              </w:rPr>
            </w:pPr>
          </w:p>
          <w:p w:rsidRPr="00565C82" w:rsidR="00FE4987" w:rsidP="00FE4987" w:rsidRDefault="00FE4987" w14:paraId="724178E8" w14:textId="77777777">
            <w:pPr>
              <w:rPr>
                <w:color w:val="000000"/>
              </w:rPr>
            </w:pPr>
          </w:p>
          <w:p w:rsidRPr="00565C82" w:rsidR="00FE4987" w:rsidP="00FE4987" w:rsidRDefault="00FE4987" w14:paraId="54C84C86" w14:textId="77777777">
            <w:pPr>
              <w:rPr>
                <w:color w:val="000000"/>
              </w:rPr>
            </w:pPr>
          </w:p>
          <w:p w:rsidRPr="00565C82" w:rsidR="00FE4987" w:rsidP="00FE4987" w:rsidRDefault="00FE4987" w14:paraId="232C8E6B" w14:textId="77777777">
            <w:pPr>
              <w:rPr>
                <w:color w:val="000000"/>
              </w:rPr>
            </w:pPr>
          </w:p>
          <w:p w:rsidRPr="00565C82" w:rsidR="00FE4987" w:rsidP="00FE4987" w:rsidRDefault="00FE4987" w14:paraId="7F605B42" w14:textId="77777777">
            <w:pPr>
              <w:rPr>
                <w:color w:val="000000"/>
              </w:rPr>
            </w:pPr>
          </w:p>
          <w:p w:rsidRPr="00565C82" w:rsidR="00FE4987" w:rsidP="00FE4987" w:rsidRDefault="00FE4987" w14:paraId="2E9A029E" w14:textId="77777777">
            <w:pPr>
              <w:rPr>
                <w:color w:val="000000"/>
              </w:rPr>
            </w:pPr>
          </w:p>
          <w:p w:rsidRPr="00565C82" w:rsidR="00FE4987" w:rsidP="00FE4987" w:rsidRDefault="00FE4987" w14:paraId="656322D1" w14:textId="77777777">
            <w:pPr>
              <w:rPr>
                <w:color w:val="000000"/>
              </w:rPr>
            </w:pPr>
          </w:p>
          <w:p w:rsidRPr="00565C82" w:rsidR="00FE4987" w:rsidP="00FE4987" w:rsidRDefault="00FE4987" w14:paraId="273B8757" w14:textId="77777777">
            <w:pPr>
              <w:rPr>
                <w:color w:val="000000"/>
              </w:rPr>
            </w:pPr>
          </w:p>
          <w:p w:rsidRPr="00565C82" w:rsidR="00FE4987" w:rsidP="00FE4987" w:rsidRDefault="00FE4987" w14:paraId="31C3DF29" w14:textId="77777777">
            <w:pPr>
              <w:rPr>
                <w:color w:val="000000"/>
              </w:rPr>
            </w:pPr>
          </w:p>
          <w:p w:rsidRPr="00565C82" w:rsidR="00FE4987" w:rsidP="00FE4987" w:rsidRDefault="00FE4987" w14:paraId="4254F778" w14:textId="77777777">
            <w:pPr>
              <w:rPr>
                <w:color w:val="000000"/>
              </w:rPr>
            </w:pPr>
          </w:p>
          <w:p w:rsidRPr="00565C82" w:rsidR="00FE4987" w:rsidP="00FE4987" w:rsidRDefault="00FE4987" w14:paraId="50A68CB0" w14:textId="77777777">
            <w:pPr>
              <w:rPr>
                <w:color w:val="000000"/>
              </w:rPr>
            </w:pPr>
          </w:p>
          <w:p w:rsidRPr="00565C82" w:rsidR="00FE4987" w:rsidP="00FE4987" w:rsidRDefault="00FE4987" w14:paraId="20700A77" w14:textId="77777777">
            <w:pPr>
              <w:rPr>
                <w:color w:val="000000"/>
              </w:rPr>
            </w:pPr>
          </w:p>
          <w:p w:rsidRPr="00565C82" w:rsidR="00FE4987" w:rsidP="00FE4987" w:rsidRDefault="00FE4987" w14:paraId="054E387F" w14:textId="77777777">
            <w:pPr>
              <w:rPr>
                <w:color w:val="000000"/>
              </w:rPr>
            </w:pPr>
          </w:p>
          <w:p w:rsidRPr="00565C82" w:rsidR="00FE4987" w:rsidP="00FE4987" w:rsidRDefault="00FE4987" w14:paraId="24DA1BA2" w14:textId="77777777">
            <w:pPr>
              <w:rPr>
                <w:color w:val="000000"/>
              </w:rPr>
            </w:pPr>
          </w:p>
          <w:p w:rsidRPr="00565C82" w:rsidR="00FE4987" w:rsidP="00FE4987" w:rsidRDefault="00FE4987" w14:paraId="5E62D1DE" w14:textId="77777777">
            <w:pPr>
              <w:rPr>
                <w:color w:val="000000"/>
              </w:rPr>
            </w:pPr>
          </w:p>
          <w:p w:rsidRPr="00565C82" w:rsidR="00FE4987" w:rsidP="00FE4987" w:rsidRDefault="00FE4987" w14:paraId="101A1E73" w14:textId="77777777">
            <w:pPr>
              <w:rPr>
                <w:color w:val="000000"/>
              </w:rPr>
            </w:pPr>
          </w:p>
          <w:p w:rsidRPr="00565C82" w:rsidR="00FE4987" w:rsidP="00FE4987" w:rsidRDefault="00FE4987" w14:paraId="550ECB5D" w14:textId="77777777">
            <w:pPr>
              <w:rPr>
                <w:color w:val="000000"/>
              </w:rPr>
            </w:pPr>
          </w:p>
          <w:p w:rsidRPr="00565C82" w:rsidR="00FE4987" w:rsidP="00FE4987" w:rsidRDefault="00FE4987" w14:paraId="339C815B" w14:textId="77777777">
            <w:pPr>
              <w:rPr>
                <w:color w:val="000000"/>
              </w:rPr>
            </w:pPr>
          </w:p>
          <w:p w:rsidRPr="00565C82" w:rsidR="00FE4987" w:rsidP="00FE4987" w:rsidRDefault="00FE4987" w14:paraId="161B6058" w14:textId="77777777">
            <w:pPr>
              <w:rPr>
                <w:color w:val="000000"/>
              </w:rPr>
            </w:pPr>
          </w:p>
          <w:p w:rsidRPr="00565C82" w:rsidR="00FE4987" w:rsidP="00FE4987" w:rsidRDefault="00FE4987" w14:paraId="334BD31B" w14:textId="77777777">
            <w:pPr>
              <w:rPr>
                <w:color w:val="000000"/>
              </w:rPr>
            </w:pPr>
          </w:p>
          <w:p w:rsidRPr="00565C82" w:rsidR="00FE4987" w:rsidP="00FE4987" w:rsidRDefault="00FE4987" w14:paraId="7EEE830E" w14:textId="77777777">
            <w:pPr>
              <w:rPr>
                <w:color w:val="000000"/>
              </w:rPr>
            </w:pPr>
          </w:p>
          <w:p w:rsidRPr="00565C82" w:rsidR="00FE4987" w:rsidP="00FE4987" w:rsidRDefault="00FE4987" w14:paraId="1F269E88" w14:textId="77777777">
            <w:pPr>
              <w:rPr>
                <w:color w:val="000000"/>
              </w:rPr>
            </w:pPr>
          </w:p>
          <w:p w:rsidRPr="00565C82" w:rsidR="00FE4987" w:rsidP="00FE4987" w:rsidRDefault="00FE4987" w14:paraId="279C975B" w14:textId="77777777">
            <w:pPr>
              <w:rPr>
                <w:color w:val="000000"/>
              </w:rPr>
            </w:pPr>
          </w:p>
          <w:p w:rsidRPr="00565C82" w:rsidR="00FE4987" w:rsidP="00FE4987" w:rsidRDefault="00FE4987" w14:paraId="3D6750A1" w14:textId="77777777">
            <w:pPr>
              <w:rPr>
                <w:color w:val="000000"/>
              </w:rPr>
            </w:pPr>
          </w:p>
          <w:p w:rsidRPr="00565C82" w:rsidR="00FE4987" w:rsidP="00FE4987" w:rsidRDefault="00FE4987" w14:paraId="3F8D10C6" w14:textId="77777777">
            <w:pPr>
              <w:rPr>
                <w:color w:val="000000"/>
              </w:rPr>
            </w:pPr>
          </w:p>
          <w:p w:rsidRPr="00565C82" w:rsidR="00FE4987" w:rsidP="00FE4987" w:rsidRDefault="00FE4987" w14:paraId="21C93F11" w14:textId="77777777">
            <w:pPr>
              <w:rPr>
                <w:color w:val="000000"/>
              </w:rPr>
            </w:pPr>
          </w:p>
          <w:p w:rsidRPr="00565C82" w:rsidR="00FE4987" w:rsidP="00FE4987" w:rsidRDefault="00FE4987" w14:paraId="40853F6D" w14:textId="77777777">
            <w:pPr>
              <w:rPr>
                <w:color w:val="000000"/>
              </w:rPr>
            </w:pPr>
          </w:p>
          <w:p w:rsidRPr="00565C82" w:rsidR="00FE4987" w:rsidP="00FE4987" w:rsidRDefault="00FE4987" w14:paraId="52DF00AE" w14:textId="77777777">
            <w:pPr>
              <w:rPr>
                <w:color w:val="000000"/>
              </w:rPr>
            </w:pPr>
          </w:p>
          <w:p w:rsidRPr="00565C82" w:rsidR="00FE4987" w:rsidP="00FE4987" w:rsidRDefault="00FE4987" w14:paraId="5029E302" w14:textId="77777777">
            <w:pPr>
              <w:rPr>
                <w:color w:val="000000"/>
              </w:rPr>
            </w:pPr>
          </w:p>
          <w:p w:rsidRPr="00565C82" w:rsidR="00FE4987" w:rsidP="00FE4987" w:rsidRDefault="00FE4987" w14:paraId="71F6AEB9" w14:textId="77777777">
            <w:pPr>
              <w:rPr>
                <w:color w:val="000000"/>
              </w:rPr>
            </w:pPr>
          </w:p>
          <w:p w:rsidRPr="00565C82" w:rsidR="00FE4987" w:rsidP="00FE4987" w:rsidRDefault="00FE4987" w14:paraId="1F99D7BC" w14:textId="77777777">
            <w:pPr>
              <w:rPr>
                <w:color w:val="000000"/>
              </w:rPr>
            </w:pPr>
          </w:p>
          <w:p w:rsidRPr="00565C82" w:rsidR="00FE4987" w:rsidP="00FE4987" w:rsidRDefault="00FE4987" w14:paraId="6BF609C2" w14:textId="77777777">
            <w:pPr>
              <w:rPr>
                <w:color w:val="000000"/>
              </w:rPr>
            </w:pPr>
          </w:p>
          <w:p w:rsidRPr="00565C82" w:rsidR="00FE4987" w:rsidP="00FE4987" w:rsidRDefault="00FE4987" w14:paraId="58E135BC" w14:textId="77777777">
            <w:pPr>
              <w:rPr>
                <w:color w:val="000000"/>
              </w:rPr>
            </w:pPr>
          </w:p>
          <w:p w:rsidRPr="00565C82" w:rsidR="00FE4987" w:rsidP="00FE4987" w:rsidRDefault="00FE4987" w14:paraId="52D75A9E" w14:textId="77777777">
            <w:pPr>
              <w:rPr>
                <w:color w:val="000000"/>
              </w:rPr>
            </w:pPr>
          </w:p>
          <w:p w:rsidRPr="00565C82" w:rsidR="00FE4987" w:rsidP="00FE4987" w:rsidRDefault="00FE4987" w14:paraId="2ABC39C3" w14:textId="77777777">
            <w:pPr>
              <w:rPr>
                <w:color w:val="000000"/>
              </w:rPr>
            </w:pPr>
          </w:p>
          <w:p w:rsidRPr="00565C82" w:rsidR="00FE4987" w:rsidP="00FE4987" w:rsidRDefault="00FE4987" w14:paraId="1200C9EE" w14:textId="77777777">
            <w:pPr>
              <w:rPr>
                <w:color w:val="000000"/>
              </w:rPr>
            </w:pPr>
          </w:p>
          <w:p w:rsidRPr="00565C82" w:rsidR="00FE4987" w:rsidP="00FE4987" w:rsidRDefault="00FE4987" w14:paraId="434F6C01" w14:textId="77777777">
            <w:pPr>
              <w:rPr>
                <w:color w:val="000000"/>
              </w:rPr>
            </w:pPr>
          </w:p>
          <w:p w:rsidRPr="00565C82" w:rsidR="00FE4987" w:rsidP="00FE4987" w:rsidRDefault="00FE4987" w14:paraId="58EF3336" w14:textId="77777777">
            <w:pPr>
              <w:rPr>
                <w:color w:val="000000"/>
              </w:rPr>
            </w:pPr>
          </w:p>
          <w:p w:rsidRPr="00565C82" w:rsidR="00FE4987" w:rsidP="00FE4987" w:rsidRDefault="00FE4987" w14:paraId="6B8C7814" w14:textId="77777777">
            <w:pPr>
              <w:rPr>
                <w:color w:val="000000"/>
              </w:rPr>
            </w:pPr>
          </w:p>
          <w:p w:rsidRPr="00565C82" w:rsidR="00FE4987" w:rsidP="00FE4987" w:rsidRDefault="00FE4987" w14:paraId="06E792D4" w14:textId="77777777">
            <w:pPr>
              <w:rPr>
                <w:color w:val="000000"/>
              </w:rPr>
            </w:pPr>
          </w:p>
          <w:p w:rsidRPr="00565C82" w:rsidR="00FE4987" w:rsidP="00FE4987" w:rsidRDefault="00FE4987" w14:paraId="7CF8705B" w14:textId="77777777">
            <w:pPr>
              <w:rPr>
                <w:color w:val="000000"/>
              </w:rPr>
            </w:pPr>
          </w:p>
          <w:p w:rsidRPr="00565C82" w:rsidR="00FE4987" w:rsidP="00FE4987" w:rsidRDefault="00FE4987" w14:paraId="61FB4CBE" w14:textId="77777777">
            <w:pPr>
              <w:rPr>
                <w:color w:val="000000"/>
              </w:rPr>
            </w:pPr>
          </w:p>
          <w:p w:rsidRPr="00565C82" w:rsidR="00FE4987" w:rsidP="00FE4987" w:rsidRDefault="00FE4987" w14:paraId="00BBEE44" w14:textId="77777777">
            <w:pPr>
              <w:rPr>
                <w:color w:val="000000"/>
              </w:rPr>
            </w:pPr>
          </w:p>
          <w:p w:rsidRPr="00565C82" w:rsidR="00FE4987" w:rsidP="00FE4987" w:rsidRDefault="00FE4987" w14:paraId="44B066FE" w14:textId="77777777">
            <w:pPr>
              <w:rPr>
                <w:color w:val="000000"/>
              </w:rPr>
            </w:pPr>
          </w:p>
          <w:p w:rsidRPr="00565C82" w:rsidR="00FE4987" w:rsidP="00FE4987" w:rsidRDefault="00FE4987" w14:paraId="3E6BF245" w14:textId="77777777">
            <w:pPr>
              <w:rPr>
                <w:color w:val="000000"/>
              </w:rPr>
            </w:pPr>
          </w:p>
          <w:p w:rsidRPr="00565C82" w:rsidR="00FE4987" w:rsidP="00FE4987" w:rsidRDefault="00FE4987" w14:paraId="4E3A17C2" w14:textId="77777777">
            <w:pPr>
              <w:rPr>
                <w:color w:val="000000"/>
              </w:rPr>
            </w:pPr>
          </w:p>
          <w:p w:rsidRPr="00565C82" w:rsidR="00FE4987" w:rsidP="00FE4987" w:rsidRDefault="00FE4987" w14:paraId="25AE4D63" w14:textId="77777777">
            <w:pPr>
              <w:rPr>
                <w:color w:val="000000"/>
              </w:rPr>
            </w:pPr>
          </w:p>
          <w:p w:rsidRPr="00565C82" w:rsidR="00FE4987" w:rsidP="00FE4987" w:rsidRDefault="00FE4987" w14:paraId="2ADB95A0" w14:textId="77777777">
            <w:pPr>
              <w:rPr>
                <w:color w:val="000000"/>
              </w:rPr>
            </w:pPr>
          </w:p>
          <w:p w:rsidRPr="00565C82" w:rsidR="00FE4987" w:rsidP="00FE4987" w:rsidRDefault="00FE4987" w14:paraId="4507D99D" w14:textId="77777777">
            <w:pPr>
              <w:rPr>
                <w:color w:val="000000"/>
              </w:rPr>
            </w:pPr>
          </w:p>
          <w:p w:rsidRPr="00565C82" w:rsidR="00FE4987" w:rsidP="00FE4987" w:rsidRDefault="00FE4987" w14:paraId="5934489B" w14:textId="77777777">
            <w:pPr>
              <w:rPr>
                <w:color w:val="000000"/>
              </w:rPr>
            </w:pPr>
          </w:p>
          <w:p w:rsidRPr="00565C82" w:rsidR="00FE4987" w:rsidP="00FE4987" w:rsidRDefault="00FE4987" w14:paraId="45D243B7" w14:textId="77777777">
            <w:pPr>
              <w:rPr>
                <w:color w:val="000000"/>
              </w:rPr>
            </w:pPr>
          </w:p>
          <w:p w:rsidRPr="00565C82" w:rsidR="00FE4987" w:rsidP="00FE4987" w:rsidRDefault="00FE4987" w14:paraId="2E7CA26A" w14:textId="77777777">
            <w:pPr>
              <w:rPr>
                <w:color w:val="000000"/>
              </w:rPr>
            </w:pPr>
          </w:p>
          <w:p w:rsidRPr="00565C82" w:rsidR="00FE4987" w:rsidP="00FE4987" w:rsidRDefault="00FE4987" w14:paraId="7E6F9BAA" w14:textId="77777777">
            <w:pPr>
              <w:rPr>
                <w:color w:val="000000"/>
              </w:rPr>
            </w:pPr>
          </w:p>
          <w:p w:rsidRPr="00565C82" w:rsidR="00FE4987" w:rsidP="00FE4987" w:rsidRDefault="00FE4987" w14:paraId="1AB3BCD3" w14:textId="77777777">
            <w:pPr>
              <w:rPr>
                <w:color w:val="000000"/>
              </w:rPr>
            </w:pPr>
          </w:p>
          <w:p w:rsidRPr="00565C82" w:rsidR="00FE4987" w:rsidP="00FE4987" w:rsidRDefault="00FE4987" w14:paraId="7C5FAC10" w14:textId="77777777">
            <w:pPr>
              <w:rPr>
                <w:color w:val="000000"/>
              </w:rPr>
            </w:pPr>
          </w:p>
          <w:p w:rsidRPr="00565C82" w:rsidR="00FE4987" w:rsidP="00FE4987" w:rsidRDefault="00FE4987" w14:paraId="7D58D19A" w14:textId="77777777">
            <w:pPr>
              <w:rPr>
                <w:color w:val="000000"/>
              </w:rPr>
            </w:pPr>
          </w:p>
          <w:p w:rsidRPr="00565C82" w:rsidR="00FE4987" w:rsidP="00FE4987" w:rsidRDefault="00FE4987" w14:paraId="536E0172" w14:textId="77777777">
            <w:pPr>
              <w:rPr>
                <w:color w:val="000000"/>
              </w:rPr>
            </w:pPr>
          </w:p>
          <w:p w:rsidRPr="00565C82" w:rsidR="00FE4987" w:rsidP="00FE4987" w:rsidRDefault="00FE4987" w14:paraId="3E3A6009" w14:textId="77777777">
            <w:pPr>
              <w:rPr>
                <w:color w:val="000000"/>
              </w:rPr>
            </w:pPr>
          </w:p>
          <w:p w:rsidRPr="00565C82" w:rsidR="00FE4987" w:rsidP="00FE4987" w:rsidRDefault="00FE4987" w14:paraId="60830924" w14:textId="77777777">
            <w:pPr>
              <w:rPr>
                <w:color w:val="000000"/>
              </w:rPr>
            </w:pPr>
          </w:p>
          <w:p w:rsidRPr="00565C82" w:rsidR="00FE4987" w:rsidP="00FE4987" w:rsidRDefault="00FE4987" w14:paraId="1E029C0C" w14:textId="77777777">
            <w:pPr>
              <w:rPr>
                <w:color w:val="000000"/>
              </w:rPr>
            </w:pPr>
          </w:p>
          <w:p w:rsidRPr="00565C82" w:rsidR="00FE4987" w:rsidP="00FE4987" w:rsidRDefault="00FE4987" w14:paraId="65293666" w14:textId="77777777">
            <w:pPr>
              <w:rPr>
                <w:color w:val="000000"/>
              </w:rPr>
            </w:pPr>
          </w:p>
          <w:p w:rsidRPr="00565C82" w:rsidR="00FE4987" w:rsidP="00FE4987" w:rsidRDefault="00FE4987" w14:paraId="7918D02D" w14:textId="77777777">
            <w:pPr>
              <w:rPr>
                <w:color w:val="000000"/>
              </w:rPr>
            </w:pPr>
          </w:p>
          <w:p w:rsidRPr="00565C82" w:rsidR="00FE4987" w:rsidP="00FE4987" w:rsidRDefault="00FE4987" w14:paraId="47F7487B" w14:textId="77777777">
            <w:pPr>
              <w:rPr>
                <w:color w:val="000000"/>
              </w:rPr>
            </w:pPr>
          </w:p>
          <w:p w:rsidRPr="00565C82" w:rsidR="00FE4987" w:rsidP="00FE4987" w:rsidRDefault="00FE4987" w14:paraId="74A47384" w14:textId="77777777">
            <w:pPr>
              <w:rPr>
                <w:color w:val="000000"/>
              </w:rPr>
            </w:pPr>
          </w:p>
          <w:p w:rsidRPr="00565C82" w:rsidR="00FE4987" w:rsidP="00FE4987" w:rsidRDefault="00FE4987" w14:paraId="63F0912D" w14:textId="77777777">
            <w:pPr>
              <w:rPr>
                <w:color w:val="000000"/>
              </w:rPr>
            </w:pPr>
          </w:p>
          <w:p w:rsidRPr="00565C82" w:rsidR="00FE4987" w:rsidP="00FE4987" w:rsidRDefault="00FE4987" w14:paraId="1EFE5FDD" w14:textId="77777777">
            <w:pPr>
              <w:rPr>
                <w:color w:val="000000"/>
              </w:rPr>
            </w:pPr>
          </w:p>
          <w:p w:rsidRPr="00565C82" w:rsidR="00FE4987" w:rsidP="00FE4987" w:rsidRDefault="00FE4987" w14:paraId="1FB06612" w14:textId="77777777">
            <w:pPr>
              <w:rPr>
                <w:color w:val="000000"/>
              </w:rPr>
            </w:pPr>
          </w:p>
          <w:p w:rsidRPr="00565C82" w:rsidR="00FE4987" w:rsidP="00FE4987" w:rsidRDefault="00FE4987" w14:paraId="4D4890A3" w14:textId="77777777">
            <w:pPr>
              <w:rPr>
                <w:color w:val="000000"/>
              </w:rPr>
            </w:pPr>
          </w:p>
          <w:p w:rsidRPr="00565C82" w:rsidR="00FE4987" w:rsidP="00FE4987" w:rsidRDefault="00FE4987" w14:paraId="73E19DB8" w14:textId="77777777">
            <w:pPr>
              <w:rPr>
                <w:color w:val="000000"/>
              </w:rPr>
            </w:pPr>
          </w:p>
          <w:p w:rsidRPr="00565C82" w:rsidR="00FE4987" w:rsidP="00FE4987" w:rsidRDefault="00FE4987" w14:paraId="316C9A40" w14:textId="77777777">
            <w:pPr>
              <w:rPr>
                <w:color w:val="000000"/>
              </w:rPr>
            </w:pPr>
          </w:p>
          <w:p w:rsidRPr="00565C82" w:rsidR="00FE4987" w:rsidP="00FE4987" w:rsidRDefault="00FE4987" w14:paraId="2E664D36" w14:textId="77777777">
            <w:pPr>
              <w:rPr>
                <w:color w:val="000000"/>
              </w:rPr>
            </w:pPr>
          </w:p>
          <w:p w:rsidRPr="00565C82" w:rsidR="00FE4987" w:rsidP="00FE4987" w:rsidRDefault="00FE4987" w14:paraId="25ACE0CB" w14:textId="77777777">
            <w:pPr>
              <w:rPr>
                <w:color w:val="000000"/>
              </w:rPr>
            </w:pPr>
          </w:p>
          <w:p w:rsidRPr="00565C82" w:rsidR="00FE4987" w:rsidP="00FE4987" w:rsidRDefault="00FE4987" w14:paraId="74388CDB" w14:textId="77777777">
            <w:pPr>
              <w:rPr>
                <w:color w:val="000000"/>
              </w:rPr>
            </w:pPr>
          </w:p>
          <w:p w:rsidRPr="00565C82" w:rsidR="00FE4987" w:rsidP="00FE4987" w:rsidRDefault="00FE4987" w14:paraId="3880A7D8" w14:textId="77777777">
            <w:pPr>
              <w:rPr>
                <w:color w:val="000000"/>
              </w:rPr>
            </w:pPr>
          </w:p>
          <w:p w:rsidRPr="00565C82" w:rsidR="00FE4987" w:rsidP="00FE4987" w:rsidRDefault="00FE4987" w14:paraId="3AB3CDBB" w14:textId="77777777">
            <w:pPr>
              <w:rPr>
                <w:color w:val="000000"/>
              </w:rPr>
            </w:pPr>
          </w:p>
          <w:p w:rsidRPr="00565C82" w:rsidR="00FE4987" w:rsidP="00FE4987" w:rsidRDefault="00FE4987" w14:paraId="4F9D3864" w14:textId="0E4F441E">
            <w:pPr>
              <w:rPr>
                <w:color w:val="000000"/>
              </w:rPr>
            </w:pPr>
          </w:p>
          <w:p w:rsidRPr="00565C82" w:rsidR="00BA6783" w:rsidP="00FE4987" w:rsidRDefault="00BA6783" w14:paraId="11F4EA6C" w14:textId="1121F931">
            <w:pPr>
              <w:rPr>
                <w:color w:val="000000"/>
              </w:rPr>
            </w:pPr>
          </w:p>
          <w:p w:rsidRPr="00565C82" w:rsidR="00BA6783" w:rsidP="00FE4987" w:rsidRDefault="00BA6783" w14:paraId="5F6192EF" w14:textId="255DD4D0">
            <w:pPr>
              <w:rPr>
                <w:color w:val="000000"/>
              </w:rPr>
            </w:pPr>
          </w:p>
          <w:p w:rsidRPr="00565C82" w:rsidR="00BA6783" w:rsidP="00FE4987" w:rsidRDefault="00BA6783" w14:paraId="1BB9FCBE" w14:textId="77777777">
            <w:pPr>
              <w:rPr>
                <w:color w:val="000000"/>
              </w:rPr>
            </w:pPr>
          </w:p>
          <w:p w:rsidRPr="00565C82" w:rsidR="00FE4987" w:rsidP="00FE4987" w:rsidRDefault="00FE4987" w14:paraId="5D8929BF" w14:textId="77777777">
            <w:pPr>
              <w:numPr>
                <w:ilvl w:val="0"/>
                <w:numId w:val="33"/>
              </w:numPr>
              <w:contextualSpacing/>
              <w:rPr>
                <w:rFonts w:eastAsia="Calibri"/>
              </w:rPr>
            </w:pPr>
            <w:r w:rsidRPr="00565C82">
              <w:rPr>
                <w:rFonts w:eastAsia="Calibri"/>
                <w:i/>
              </w:rPr>
              <w:t xml:space="preserve">UCAN supports a </w:t>
            </w:r>
            <w:r w:rsidRPr="00565C82">
              <w:rPr>
                <w:rFonts w:eastAsia="Calibri"/>
                <w:i/>
                <w:u w:val="single"/>
              </w:rPr>
              <w:t>requirement</w:t>
            </w:r>
            <w:r w:rsidRPr="00565C82">
              <w:rPr>
                <w:rFonts w:eastAsia="Calibri"/>
                <w:i/>
              </w:rPr>
              <w:t xml:space="preserve"> </w:t>
            </w:r>
            <w:proofErr w:type="gramStart"/>
            <w:r w:rsidRPr="00565C82">
              <w:rPr>
                <w:rFonts w:eastAsia="Calibri"/>
                <w:i/>
              </w:rPr>
              <w:t>that grant</w:t>
            </w:r>
            <w:proofErr w:type="gramEnd"/>
            <w:r w:rsidRPr="00565C82">
              <w:rPr>
                <w:rFonts w:eastAsia="Calibri"/>
                <w:i/>
              </w:rPr>
              <w:t xml:space="preserve"> recipients participate in the Emergency Broadband Benefit Program (and any successor program s</w:t>
            </w:r>
            <w:r w:rsidRPr="00565C82">
              <w:rPr>
                <w:rFonts w:eastAsia="Calibri"/>
                <w:i/>
                <w:u w:val="single"/>
              </w:rPr>
              <w:t>uch as the Affordable Connectivity Program,</w:t>
            </w:r>
            <w:r w:rsidRPr="00565C82">
              <w:rPr>
                <w:rFonts w:eastAsia="Calibri"/>
                <w:i/>
              </w:rPr>
              <w:t xml:space="preserve"> which is part of the Infrastructure Investment and Jobs Act). </w:t>
            </w:r>
            <w:r w:rsidRPr="00565C82">
              <w:rPr>
                <w:rFonts w:eastAsia="Calibri"/>
                <w:i/>
                <w:u w:val="single"/>
              </w:rPr>
              <w:t>The Commission could award additional points for applicants’ participation in the California and federal Lifeline programs</w:t>
            </w:r>
            <w:r w:rsidRPr="00565C82">
              <w:rPr>
                <w:rFonts w:eastAsia="Calibri"/>
                <w:i/>
              </w:rPr>
              <w:t>.</w:t>
            </w:r>
            <w:r w:rsidRPr="00565C82">
              <w:rPr>
                <w:rFonts w:eastAsia="Calibri"/>
              </w:rPr>
              <w:t xml:space="preserve">  (Emphasis added.)  </w:t>
            </w:r>
            <w:r w:rsidRPr="00565C82">
              <w:rPr>
                <w:rFonts w:eastAsia="Calibri"/>
                <w:b/>
              </w:rPr>
              <w:t xml:space="preserve">REPLY </w:t>
            </w:r>
            <w:r w:rsidRPr="00565C82">
              <w:rPr>
                <w:rFonts w:eastAsia="Calibri"/>
                <w:b/>
              </w:rPr>
              <w:lastRenderedPageBreak/>
              <w:t>COMMENTS ON THE APPORTIONMENT OF THE FEDERAL FUNDING ACCOUNT GRANT PROGRAM, at</w:t>
            </w:r>
            <w:r w:rsidRPr="00565C82">
              <w:rPr>
                <w:rFonts w:eastAsia="Calibri"/>
              </w:rPr>
              <w:t xml:space="preserve"> </w:t>
            </w:r>
            <w:r w:rsidRPr="00565C82">
              <w:rPr>
                <w:rFonts w:eastAsia="Calibri"/>
                <w:b/>
              </w:rPr>
              <w:t>p. 6.</w:t>
            </w:r>
          </w:p>
          <w:p w:rsidRPr="00565C82" w:rsidR="00FE4987" w:rsidP="00FE4987" w:rsidRDefault="00FE4987" w14:paraId="721360EC" w14:textId="77777777">
            <w:pPr>
              <w:numPr>
                <w:ilvl w:val="0"/>
                <w:numId w:val="34"/>
              </w:numPr>
              <w:autoSpaceDE w:val="0"/>
              <w:autoSpaceDN w:val="0"/>
              <w:adjustRightInd w:val="0"/>
              <w:contextualSpacing/>
              <w:rPr>
                <w:rFonts w:eastAsia="Calibri"/>
              </w:rPr>
            </w:pPr>
            <w:r w:rsidRPr="00565C82">
              <w:rPr>
                <w:rFonts w:eastAsia="Calibri"/>
                <w:i/>
              </w:rPr>
              <w:t xml:space="preserve">UCAN fully supports the groundswell of support, as espoused by numerous parties, for requirements that grant </w:t>
            </w:r>
            <w:proofErr w:type="gramStart"/>
            <w:r w:rsidRPr="00565C82">
              <w:rPr>
                <w:rFonts w:eastAsia="Calibri"/>
                <w:i/>
              </w:rPr>
              <w:t>recipients conduct</w:t>
            </w:r>
            <w:proofErr w:type="gramEnd"/>
            <w:r w:rsidRPr="00565C82">
              <w:rPr>
                <w:rFonts w:eastAsia="Calibri"/>
                <w:i/>
              </w:rPr>
              <w:t xml:space="preserve"> comprehensive outreach, marketing, and education in the served communities to ensure that consumers are aware of affordable and discounted broadband rates.</w:t>
            </w:r>
            <w:r w:rsidRPr="00565C82">
              <w:rPr>
                <w:rFonts w:eastAsia="Calibri"/>
              </w:rPr>
              <w:t xml:space="preserve"> </w:t>
            </w:r>
            <w:r w:rsidRPr="00565C82">
              <w:rPr>
                <w:rFonts w:eastAsia="Calibri"/>
                <w:b/>
              </w:rPr>
              <w:t>REPLY COMMENTS ON THE APPORTIONMENT OF THE FEDERAL FUNDING ACCOUNT GRANT PROGRAM, at</w:t>
            </w:r>
            <w:r w:rsidRPr="00565C82">
              <w:rPr>
                <w:rFonts w:eastAsia="Calibri"/>
              </w:rPr>
              <w:t xml:space="preserve"> </w:t>
            </w:r>
            <w:r w:rsidRPr="00565C82">
              <w:rPr>
                <w:rFonts w:eastAsia="Calibri"/>
                <w:b/>
              </w:rPr>
              <w:t>p. 7.</w:t>
            </w:r>
          </w:p>
          <w:p w:rsidRPr="00565C82" w:rsidR="00FE4987" w:rsidP="00FE4987" w:rsidRDefault="00FE4987" w14:paraId="6C7A2416" w14:textId="77777777">
            <w:pPr>
              <w:numPr>
                <w:ilvl w:val="0"/>
                <w:numId w:val="34"/>
              </w:numPr>
              <w:autoSpaceDE w:val="0"/>
              <w:autoSpaceDN w:val="0"/>
              <w:adjustRightInd w:val="0"/>
              <w:contextualSpacing/>
              <w:rPr>
                <w:rFonts w:eastAsia="Calibri"/>
              </w:rPr>
            </w:pPr>
            <w:r w:rsidRPr="00565C82">
              <w:rPr>
                <w:rFonts w:eastAsia="Calibri"/>
                <w:i/>
              </w:rPr>
              <w:t>Fiber infrastructure is not only reliable but also has a long useful life. The need for affordable service will not expire. Therefore, UCAN opposes the proposal of some for a two-year limit on the term for affordable and discounted rates.</w:t>
            </w:r>
            <w:r w:rsidRPr="00565C82">
              <w:rPr>
                <w:rFonts w:eastAsia="Calibri"/>
              </w:rPr>
              <w:t xml:space="preserve"> </w:t>
            </w:r>
            <w:r w:rsidRPr="00565C82">
              <w:rPr>
                <w:rFonts w:eastAsia="Calibri"/>
                <w:b/>
              </w:rPr>
              <w:t>REPLY COMMENTS ON THE APPORTIONMENT OF THE FEDERAL FUNDING ACCOUNT GRANT PROGRAM, at</w:t>
            </w:r>
            <w:r w:rsidRPr="00565C82">
              <w:rPr>
                <w:rFonts w:eastAsia="Calibri"/>
              </w:rPr>
              <w:t xml:space="preserve"> </w:t>
            </w:r>
            <w:r w:rsidRPr="00565C82">
              <w:rPr>
                <w:rFonts w:eastAsia="Calibri"/>
                <w:b/>
              </w:rPr>
              <w:t>p. 7.</w:t>
            </w:r>
          </w:p>
          <w:p w:rsidRPr="00565C82" w:rsidR="00FE4987" w:rsidP="00FE4987" w:rsidRDefault="00FE4987" w14:paraId="2144B6BD" w14:textId="77777777">
            <w:pPr>
              <w:rPr>
                <w:color w:val="000000"/>
              </w:rPr>
            </w:pPr>
          </w:p>
        </w:tc>
        <w:tc>
          <w:tcPr>
            <w:tcW w:w="2003" w:type="dxa"/>
            <w:shd w:val="clear" w:color="auto" w:fill="FFFFFF" w:themeFill="background1"/>
          </w:tcPr>
          <w:p w:rsidR="00FE4987" w:rsidP="00FE4987" w:rsidRDefault="00FE4987" w14:paraId="59B3040F" w14:textId="77777777">
            <w:pPr>
              <w:rPr>
                <w:color w:val="000000"/>
              </w:rPr>
            </w:pPr>
          </w:p>
          <w:p w:rsidR="0007379E" w:rsidP="00FE4987" w:rsidRDefault="0007379E" w14:paraId="59C4A6CE" w14:textId="77777777">
            <w:pPr>
              <w:rPr>
                <w:color w:val="000000"/>
              </w:rPr>
            </w:pPr>
          </w:p>
          <w:p w:rsidR="0007379E" w:rsidP="00FE4987" w:rsidRDefault="0007379E" w14:paraId="774C93F8" w14:textId="77777777">
            <w:pPr>
              <w:rPr>
                <w:color w:val="000000"/>
              </w:rPr>
            </w:pPr>
          </w:p>
          <w:p w:rsidR="0007379E" w:rsidP="00FE4987" w:rsidRDefault="00696C52" w14:paraId="7A0E6FC5" w14:textId="648B75A1">
            <w:pPr>
              <w:rPr>
                <w:color w:val="000000"/>
              </w:rPr>
            </w:pPr>
            <w:r>
              <w:rPr>
                <w:color w:val="000000"/>
              </w:rPr>
              <w:t xml:space="preserve">Except for a few instances, the Commission did not rely on UCAN’s presentations because of their unspecific nature or because they repeated other parties’ presentations or the Commission’s findings, without enriching them with distinctive substantive analysis. See the Commission’s </w:t>
            </w:r>
            <w:r>
              <w:rPr>
                <w:color w:val="000000"/>
              </w:rPr>
              <w:lastRenderedPageBreak/>
              <w:t>Discussion in Part III (D) [1]</w:t>
            </w:r>
          </w:p>
          <w:p w:rsidR="0007379E" w:rsidP="00FE4987" w:rsidRDefault="0007379E" w14:paraId="12248EC4" w14:textId="77777777">
            <w:pPr>
              <w:rPr>
                <w:color w:val="000000"/>
              </w:rPr>
            </w:pPr>
          </w:p>
          <w:p w:rsidR="0007379E" w:rsidP="00FE4987" w:rsidRDefault="0007379E" w14:paraId="67CC1765" w14:textId="77777777">
            <w:pPr>
              <w:rPr>
                <w:color w:val="000000"/>
              </w:rPr>
            </w:pPr>
          </w:p>
          <w:p w:rsidR="0007379E" w:rsidP="00FE4987" w:rsidRDefault="0007379E" w14:paraId="6262B784" w14:textId="77777777">
            <w:pPr>
              <w:rPr>
                <w:color w:val="000000"/>
              </w:rPr>
            </w:pPr>
          </w:p>
          <w:p w:rsidR="0007379E" w:rsidP="00FE4987" w:rsidRDefault="0007379E" w14:paraId="354D58B7" w14:textId="77777777">
            <w:pPr>
              <w:rPr>
                <w:color w:val="000000"/>
              </w:rPr>
            </w:pPr>
          </w:p>
          <w:p w:rsidR="0007379E" w:rsidP="00FE4987" w:rsidRDefault="0007379E" w14:paraId="3C714102" w14:textId="77777777">
            <w:pPr>
              <w:rPr>
                <w:color w:val="000000"/>
              </w:rPr>
            </w:pPr>
          </w:p>
          <w:p w:rsidR="0007379E" w:rsidP="00FE4987" w:rsidRDefault="0007379E" w14:paraId="056E1BAF" w14:textId="77777777">
            <w:pPr>
              <w:rPr>
                <w:color w:val="000000"/>
              </w:rPr>
            </w:pPr>
          </w:p>
          <w:p w:rsidR="0007379E" w:rsidP="00FE4987" w:rsidRDefault="0007379E" w14:paraId="03D732A6" w14:textId="77777777">
            <w:pPr>
              <w:rPr>
                <w:color w:val="000000"/>
              </w:rPr>
            </w:pPr>
          </w:p>
          <w:p w:rsidR="0007379E" w:rsidP="00FE4987" w:rsidRDefault="0007379E" w14:paraId="2E38156A" w14:textId="77777777">
            <w:pPr>
              <w:rPr>
                <w:color w:val="000000"/>
              </w:rPr>
            </w:pPr>
          </w:p>
          <w:p w:rsidR="0007379E" w:rsidP="00FE4987" w:rsidRDefault="0007379E" w14:paraId="7CE890A3" w14:textId="77777777">
            <w:pPr>
              <w:rPr>
                <w:color w:val="000000"/>
              </w:rPr>
            </w:pPr>
          </w:p>
          <w:p w:rsidR="0007379E" w:rsidP="00FE4987" w:rsidRDefault="0007379E" w14:paraId="3B852113" w14:textId="77777777">
            <w:pPr>
              <w:rPr>
                <w:color w:val="000000"/>
              </w:rPr>
            </w:pPr>
          </w:p>
          <w:p w:rsidR="0007379E" w:rsidP="00FE4987" w:rsidRDefault="0007379E" w14:paraId="60CEB6ED" w14:textId="77777777">
            <w:pPr>
              <w:rPr>
                <w:color w:val="000000"/>
              </w:rPr>
            </w:pPr>
          </w:p>
          <w:p w:rsidR="0007379E" w:rsidP="00FE4987" w:rsidRDefault="0007379E" w14:paraId="079EC6AA" w14:textId="77777777">
            <w:pPr>
              <w:rPr>
                <w:color w:val="000000"/>
              </w:rPr>
            </w:pPr>
          </w:p>
          <w:p w:rsidR="0007379E" w:rsidP="00FE4987" w:rsidRDefault="0007379E" w14:paraId="0D018298" w14:textId="77777777">
            <w:pPr>
              <w:rPr>
                <w:color w:val="000000"/>
              </w:rPr>
            </w:pPr>
          </w:p>
          <w:p w:rsidR="0007379E" w:rsidP="00FE4987" w:rsidRDefault="0007379E" w14:paraId="4D969F89" w14:textId="77777777">
            <w:pPr>
              <w:rPr>
                <w:color w:val="000000"/>
              </w:rPr>
            </w:pPr>
          </w:p>
          <w:p w:rsidR="0007379E" w:rsidP="00FE4987" w:rsidRDefault="0007379E" w14:paraId="50ACA00C" w14:textId="77777777">
            <w:pPr>
              <w:rPr>
                <w:color w:val="000000"/>
              </w:rPr>
            </w:pPr>
          </w:p>
          <w:p w:rsidR="0007379E" w:rsidP="00FE4987" w:rsidRDefault="0007379E" w14:paraId="5A0B3B25" w14:textId="77777777">
            <w:pPr>
              <w:rPr>
                <w:color w:val="000000"/>
              </w:rPr>
            </w:pPr>
          </w:p>
          <w:p w:rsidR="0007379E" w:rsidP="00FE4987" w:rsidRDefault="0007379E" w14:paraId="13445622" w14:textId="77777777">
            <w:pPr>
              <w:rPr>
                <w:color w:val="000000"/>
              </w:rPr>
            </w:pPr>
          </w:p>
          <w:p w:rsidR="0007379E" w:rsidP="00FE4987" w:rsidRDefault="0007379E" w14:paraId="04F12215" w14:textId="77777777">
            <w:pPr>
              <w:rPr>
                <w:color w:val="000000"/>
              </w:rPr>
            </w:pPr>
          </w:p>
          <w:p w:rsidR="0007379E" w:rsidP="00FE4987" w:rsidRDefault="0007379E" w14:paraId="0E5131AD" w14:textId="77777777">
            <w:pPr>
              <w:rPr>
                <w:color w:val="000000"/>
              </w:rPr>
            </w:pPr>
          </w:p>
          <w:p w:rsidR="0007379E" w:rsidP="00FE4987" w:rsidRDefault="0007379E" w14:paraId="717D5E71" w14:textId="77777777">
            <w:pPr>
              <w:rPr>
                <w:color w:val="000000"/>
              </w:rPr>
            </w:pPr>
          </w:p>
          <w:p w:rsidR="0007379E" w:rsidP="00FE4987" w:rsidRDefault="0007379E" w14:paraId="26D6D1DE" w14:textId="77777777">
            <w:pPr>
              <w:rPr>
                <w:color w:val="000000"/>
              </w:rPr>
            </w:pPr>
          </w:p>
          <w:p w:rsidR="0007379E" w:rsidP="00FE4987" w:rsidRDefault="0007379E" w14:paraId="3122F5A8" w14:textId="77777777">
            <w:pPr>
              <w:rPr>
                <w:color w:val="000000"/>
              </w:rPr>
            </w:pPr>
          </w:p>
          <w:p w:rsidR="0007379E" w:rsidP="00FE4987" w:rsidRDefault="0007379E" w14:paraId="16D3A065" w14:textId="77777777">
            <w:pPr>
              <w:rPr>
                <w:color w:val="000000"/>
              </w:rPr>
            </w:pPr>
          </w:p>
          <w:p w:rsidR="0007379E" w:rsidP="00FE4987" w:rsidRDefault="0007379E" w14:paraId="0CD85E12" w14:textId="77777777">
            <w:pPr>
              <w:rPr>
                <w:color w:val="000000"/>
              </w:rPr>
            </w:pPr>
          </w:p>
          <w:p w:rsidR="0007379E" w:rsidP="00FE4987" w:rsidRDefault="0007379E" w14:paraId="5E101F77" w14:textId="77777777">
            <w:pPr>
              <w:rPr>
                <w:color w:val="000000"/>
              </w:rPr>
            </w:pPr>
          </w:p>
          <w:p w:rsidR="0007379E" w:rsidP="00FE4987" w:rsidRDefault="0007379E" w14:paraId="698EA21C" w14:textId="77777777">
            <w:pPr>
              <w:rPr>
                <w:color w:val="000000"/>
              </w:rPr>
            </w:pPr>
          </w:p>
          <w:p w:rsidR="0007379E" w:rsidP="00FE4987" w:rsidRDefault="0007379E" w14:paraId="6AE32AA9" w14:textId="77777777">
            <w:pPr>
              <w:rPr>
                <w:color w:val="000000"/>
              </w:rPr>
            </w:pPr>
          </w:p>
          <w:p w:rsidR="0007379E" w:rsidP="00FE4987" w:rsidRDefault="0007379E" w14:paraId="0158A028" w14:textId="77777777">
            <w:pPr>
              <w:rPr>
                <w:color w:val="000000"/>
              </w:rPr>
            </w:pPr>
          </w:p>
          <w:p w:rsidR="0007379E" w:rsidP="00FE4987" w:rsidRDefault="0007379E" w14:paraId="14A300C6" w14:textId="77777777">
            <w:pPr>
              <w:rPr>
                <w:color w:val="000000"/>
              </w:rPr>
            </w:pPr>
          </w:p>
          <w:p w:rsidR="0007379E" w:rsidP="00FE4987" w:rsidRDefault="0007379E" w14:paraId="33E74F83" w14:textId="77777777">
            <w:pPr>
              <w:rPr>
                <w:color w:val="000000"/>
              </w:rPr>
            </w:pPr>
          </w:p>
          <w:p w:rsidR="0007379E" w:rsidP="00FE4987" w:rsidRDefault="0007379E" w14:paraId="05F745B8" w14:textId="77777777">
            <w:pPr>
              <w:rPr>
                <w:color w:val="000000"/>
              </w:rPr>
            </w:pPr>
          </w:p>
          <w:p w:rsidR="0007379E" w:rsidP="00FE4987" w:rsidRDefault="0007379E" w14:paraId="2AB91C06" w14:textId="77777777">
            <w:pPr>
              <w:rPr>
                <w:color w:val="000000"/>
              </w:rPr>
            </w:pPr>
          </w:p>
          <w:p w:rsidR="0007379E" w:rsidP="00FE4987" w:rsidRDefault="0007379E" w14:paraId="286CDBDE" w14:textId="77777777">
            <w:pPr>
              <w:rPr>
                <w:color w:val="000000"/>
              </w:rPr>
            </w:pPr>
          </w:p>
          <w:p w:rsidR="0007379E" w:rsidP="00FE4987" w:rsidRDefault="0007379E" w14:paraId="3AF00B52" w14:textId="77777777">
            <w:pPr>
              <w:rPr>
                <w:color w:val="000000"/>
              </w:rPr>
            </w:pPr>
          </w:p>
          <w:p w:rsidR="0007379E" w:rsidP="00FE4987" w:rsidRDefault="0007379E" w14:paraId="5FDCE582" w14:textId="77777777">
            <w:pPr>
              <w:rPr>
                <w:color w:val="000000"/>
              </w:rPr>
            </w:pPr>
          </w:p>
          <w:p w:rsidR="0007379E" w:rsidP="00FE4987" w:rsidRDefault="0007379E" w14:paraId="5A1AD3AC" w14:textId="77777777">
            <w:pPr>
              <w:rPr>
                <w:color w:val="000000"/>
              </w:rPr>
            </w:pPr>
          </w:p>
          <w:p w:rsidR="0007379E" w:rsidP="00FE4987" w:rsidRDefault="0007379E" w14:paraId="03CBF1B3" w14:textId="77777777">
            <w:pPr>
              <w:rPr>
                <w:color w:val="000000"/>
              </w:rPr>
            </w:pPr>
          </w:p>
          <w:p w:rsidR="0007379E" w:rsidP="00FE4987" w:rsidRDefault="0007379E" w14:paraId="3064996F" w14:textId="77777777">
            <w:pPr>
              <w:rPr>
                <w:color w:val="000000"/>
              </w:rPr>
            </w:pPr>
          </w:p>
          <w:p w:rsidR="0007379E" w:rsidP="00FE4987" w:rsidRDefault="0007379E" w14:paraId="59D5663D" w14:textId="77777777">
            <w:pPr>
              <w:rPr>
                <w:color w:val="000000"/>
              </w:rPr>
            </w:pPr>
          </w:p>
          <w:p w:rsidR="0007379E" w:rsidP="00FE4987" w:rsidRDefault="0007379E" w14:paraId="367AEF16" w14:textId="77777777">
            <w:pPr>
              <w:rPr>
                <w:color w:val="000000"/>
              </w:rPr>
            </w:pPr>
          </w:p>
          <w:p w:rsidR="0007379E" w:rsidP="00FE4987" w:rsidRDefault="0007379E" w14:paraId="4BACED57" w14:textId="77777777">
            <w:pPr>
              <w:rPr>
                <w:color w:val="000000"/>
              </w:rPr>
            </w:pPr>
          </w:p>
          <w:p w:rsidR="0007379E" w:rsidP="00FE4987" w:rsidRDefault="0007379E" w14:paraId="567DFAA6" w14:textId="77777777">
            <w:pPr>
              <w:rPr>
                <w:color w:val="000000"/>
              </w:rPr>
            </w:pPr>
          </w:p>
          <w:p w:rsidR="0007379E" w:rsidP="00FE4987" w:rsidRDefault="0007379E" w14:paraId="011D4F04" w14:textId="77777777">
            <w:pPr>
              <w:rPr>
                <w:color w:val="000000"/>
              </w:rPr>
            </w:pPr>
          </w:p>
          <w:p w:rsidR="0007379E" w:rsidP="00FE4987" w:rsidRDefault="0007379E" w14:paraId="712E78D2" w14:textId="77777777">
            <w:pPr>
              <w:rPr>
                <w:color w:val="000000"/>
              </w:rPr>
            </w:pPr>
          </w:p>
          <w:p w:rsidR="0007379E" w:rsidP="00FE4987" w:rsidRDefault="0007379E" w14:paraId="442671D2" w14:textId="77777777">
            <w:pPr>
              <w:rPr>
                <w:color w:val="000000"/>
              </w:rPr>
            </w:pPr>
          </w:p>
          <w:p w:rsidR="0007379E" w:rsidP="00FE4987" w:rsidRDefault="0007379E" w14:paraId="2DD34409" w14:textId="77777777">
            <w:pPr>
              <w:rPr>
                <w:color w:val="000000"/>
              </w:rPr>
            </w:pPr>
          </w:p>
          <w:p w:rsidR="0007379E" w:rsidP="00FE4987" w:rsidRDefault="0007379E" w14:paraId="6C285EC8" w14:textId="77777777">
            <w:pPr>
              <w:rPr>
                <w:color w:val="000000"/>
              </w:rPr>
            </w:pPr>
          </w:p>
          <w:p w:rsidR="0007379E" w:rsidP="00FE4987" w:rsidRDefault="0007379E" w14:paraId="6BEE867A" w14:textId="77777777">
            <w:pPr>
              <w:rPr>
                <w:color w:val="000000"/>
              </w:rPr>
            </w:pPr>
          </w:p>
          <w:p w:rsidR="0007379E" w:rsidP="00FE4987" w:rsidRDefault="0007379E" w14:paraId="0785156A" w14:textId="77777777">
            <w:pPr>
              <w:rPr>
                <w:color w:val="000000"/>
              </w:rPr>
            </w:pPr>
          </w:p>
          <w:p w:rsidR="0007379E" w:rsidP="00FE4987" w:rsidRDefault="0007379E" w14:paraId="2DD931CE" w14:textId="77777777">
            <w:pPr>
              <w:rPr>
                <w:color w:val="000000"/>
              </w:rPr>
            </w:pPr>
          </w:p>
          <w:p w:rsidR="0007379E" w:rsidP="00FE4987" w:rsidRDefault="0007379E" w14:paraId="0654DD46" w14:textId="77777777">
            <w:pPr>
              <w:rPr>
                <w:color w:val="000000"/>
              </w:rPr>
            </w:pPr>
          </w:p>
          <w:p w:rsidR="0007379E" w:rsidP="00FE4987" w:rsidRDefault="0007379E" w14:paraId="368DC76D" w14:textId="77777777">
            <w:pPr>
              <w:rPr>
                <w:color w:val="000000"/>
              </w:rPr>
            </w:pPr>
          </w:p>
          <w:p w:rsidR="0007379E" w:rsidP="00FE4987" w:rsidRDefault="0007379E" w14:paraId="4DB4D575" w14:textId="77777777">
            <w:pPr>
              <w:rPr>
                <w:color w:val="000000"/>
              </w:rPr>
            </w:pPr>
          </w:p>
          <w:p w:rsidR="0007379E" w:rsidP="00FE4987" w:rsidRDefault="0007379E" w14:paraId="4060DAB5" w14:textId="77777777">
            <w:pPr>
              <w:rPr>
                <w:color w:val="000000"/>
              </w:rPr>
            </w:pPr>
          </w:p>
          <w:p w:rsidR="0007379E" w:rsidP="00FE4987" w:rsidRDefault="0007379E" w14:paraId="239FDEDF" w14:textId="77777777">
            <w:pPr>
              <w:rPr>
                <w:color w:val="000000"/>
              </w:rPr>
            </w:pPr>
          </w:p>
          <w:p w:rsidR="0007379E" w:rsidP="00FE4987" w:rsidRDefault="0007379E" w14:paraId="655744B9" w14:textId="77777777">
            <w:pPr>
              <w:rPr>
                <w:color w:val="000000"/>
              </w:rPr>
            </w:pPr>
          </w:p>
          <w:p w:rsidR="0007379E" w:rsidP="00FE4987" w:rsidRDefault="0007379E" w14:paraId="44779466" w14:textId="77777777">
            <w:pPr>
              <w:rPr>
                <w:color w:val="000000"/>
              </w:rPr>
            </w:pPr>
          </w:p>
          <w:p w:rsidR="0007379E" w:rsidP="00FE4987" w:rsidRDefault="0007379E" w14:paraId="249F9F77" w14:textId="77777777">
            <w:pPr>
              <w:rPr>
                <w:color w:val="000000"/>
              </w:rPr>
            </w:pPr>
          </w:p>
          <w:p w:rsidR="0007379E" w:rsidP="00FE4987" w:rsidRDefault="0007379E" w14:paraId="21F99D73" w14:textId="77777777">
            <w:pPr>
              <w:rPr>
                <w:color w:val="000000"/>
              </w:rPr>
            </w:pPr>
          </w:p>
          <w:p w:rsidR="0007379E" w:rsidP="00FE4987" w:rsidRDefault="0007379E" w14:paraId="7F17D95D" w14:textId="77777777">
            <w:pPr>
              <w:rPr>
                <w:color w:val="000000"/>
              </w:rPr>
            </w:pPr>
          </w:p>
          <w:p w:rsidR="0007379E" w:rsidP="00FE4987" w:rsidRDefault="0007379E" w14:paraId="5E5B1C9E" w14:textId="77777777">
            <w:pPr>
              <w:rPr>
                <w:color w:val="000000"/>
              </w:rPr>
            </w:pPr>
          </w:p>
          <w:p w:rsidR="0007379E" w:rsidP="00FE4987" w:rsidRDefault="0007379E" w14:paraId="24379331" w14:textId="77777777">
            <w:pPr>
              <w:rPr>
                <w:color w:val="000000"/>
              </w:rPr>
            </w:pPr>
          </w:p>
          <w:p w:rsidR="0007379E" w:rsidP="00FE4987" w:rsidRDefault="0007379E" w14:paraId="11754516" w14:textId="77777777">
            <w:pPr>
              <w:rPr>
                <w:color w:val="000000"/>
              </w:rPr>
            </w:pPr>
          </w:p>
          <w:p w:rsidR="0007379E" w:rsidP="00FE4987" w:rsidRDefault="0007379E" w14:paraId="0D7F9563" w14:textId="77777777">
            <w:pPr>
              <w:rPr>
                <w:color w:val="000000"/>
              </w:rPr>
            </w:pPr>
          </w:p>
          <w:p w:rsidR="0007379E" w:rsidP="00FE4987" w:rsidRDefault="0007379E" w14:paraId="02450456" w14:textId="77777777">
            <w:pPr>
              <w:rPr>
                <w:color w:val="000000"/>
              </w:rPr>
            </w:pPr>
          </w:p>
          <w:p w:rsidR="0007379E" w:rsidP="00FE4987" w:rsidRDefault="0007379E" w14:paraId="692CCB77" w14:textId="77777777">
            <w:pPr>
              <w:rPr>
                <w:color w:val="000000"/>
              </w:rPr>
            </w:pPr>
          </w:p>
          <w:p w:rsidR="0007379E" w:rsidP="00FE4987" w:rsidRDefault="0007379E" w14:paraId="08151C66" w14:textId="77777777">
            <w:pPr>
              <w:rPr>
                <w:color w:val="000000"/>
              </w:rPr>
            </w:pPr>
          </w:p>
          <w:p w:rsidR="0007379E" w:rsidP="00FE4987" w:rsidRDefault="0007379E" w14:paraId="70EF58AD" w14:textId="77777777">
            <w:pPr>
              <w:rPr>
                <w:color w:val="000000"/>
              </w:rPr>
            </w:pPr>
          </w:p>
          <w:p w:rsidR="0007379E" w:rsidP="00FE4987" w:rsidRDefault="0007379E" w14:paraId="7173DEFF" w14:textId="77777777">
            <w:pPr>
              <w:rPr>
                <w:color w:val="000000"/>
              </w:rPr>
            </w:pPr>
          </w:p>
          <w:p w:rsidR="0007379E" w:rsidP="00FE4987" w:rsidRDefault="0007379E" w14:paraId="57FB723B" w14:textId="77777777">
            <w:pPr>
              <w:rPr>
                <w:color w:val="000000"/>
              </w:rPr>
            </w:pPr>
          </w:p>
          <w:p w:rsidR="0007379E" w:rsidP="00FE4987" w:rsidRDefault="0007379E" w14:paraId="70C3B35D" w14:textId="77777777">
            <w:pPr>
              <w:rPr>
                <w:color w:val="000000"/>
              </w:rPr>
            </w:pPr>
          </w:p>
          <w:p w:rsidR="0007379E" w:rsidP="00FE4987" w:rsidRDefault="0007379E" w14:paraId="31F83724" w14:textId="77777777">
            <w:pPr>
              <w:rPr>
                <w:color w:val="000000"/>
              </w:rPr>
            </w:pPr>
          </w:p>
          <w:p w:rsidR="0007379E" w:rsidP="00FE4987" w:rsidRDefault="0007379E" w14:paraId="5E4ADA7C" w14:textId="77777777">
            <w:pPr>
              <w:rPr>
                <w:color w:val="000000"/>
              </w:rPr>
            </w:pPr>
          </w:p>
          <w:p w:rsidR="0007379E" w:rsidP="00FE4987" w:rsidRDefault="0007379E" w14:paraId="3D7545DF" w14:textId="77777777">
            <w:pPr>
              <w:rPr>
                <w:color w:val="000000"/>
              </w:rPr>
            </w:pPr>
          </w:p>
          <w:p w:rsidR="0007379E" w:rsidP="00FE4987" w:rsidRDefault="0007379E" w14:paraId="5F9D7B3A" w14:textId="77777777">
            <w:pPr>
              <w:rPr>
                <w:color w:val="000000"/>
              </w:rPr>
            </w:pPr>
          </w:p>
          <w:p w:rsidR="0007379E" w:rsidP="00FE4987" w:rsidRDefault="0007379E" w14:paraId="40AB690A" w14:textId="77777777">
            <w:pPr>
              <w:rPr>
                <w:color w:val="000000"/>
              </w:rPr>
            </w:pPr>
          </w:p>
          <w:p w:rsidR="0007379E" w:rsidP="00FE4987" w:rsidRDefault="0007379E" w14:paraId="3B4C7221" w14:textId="77777777">
            <w:pPr>
              <w:rPr>
                <w:color w:val="000000"/>
              </w:rPr>
            </w:pPr>
          </w:p>
          <w:p w:rsidR="0007379E" w:rsidP="00FE4987" w:rsidRDefault="0007379E" w14:paraId="4B5240D4" w14:textId="77777777">
            <w:pPr>
              <w:rPr>
                <w:color w:val="000000"/>
              </w:rPr>
            </w:pPr>
          </w:p>
          <w:p w:rsidR="0007379E" w:rsidP="00FE4987" w:rsidRDefault="0007379E" w14:paraId="35DC528B" w14:textId="77777777">
            <w:pPr>
              <w:rPr>
                <w:color w:val="000000"/>
              </w:rPr>
            </w:pPr>
          </w:p>
          <w:p w:rsidR="0007379E" w:rsidP="00FE4987" w:rsidRDefault="0007379E" w14:paraId="15181F48" w14:textId="77777777">
            <w:pPr>
              <w:rPr>
                <w:color w:val="000000"/>
              </w:rPr>
            </w:pPr>
          </w:p>
          <w:p w:rsidR="0007379E" w:rsidP="00FE4987" w:rsidRDefault="0007379E" w14:paraId="579192B1" w14:textId="77777777">
            <w:pPr>
              <w:rPr>
                <w:color w:val="000000"/>
              </w:rPr>
            </w:pPr>
          </w:p>
          <w:p w:rsidR="0007379E" w:rsidP="00FE4987" w:rsidRDefault="0007379E" w14:paraId="78323DCE" w14:textId="77777777">
            <w:pPr>
              <w:rPr>
                <w:color w:val="000000"/>
              </w:rPr>
            </w:pPr>
          </w:p>
          <w:p w:rsidR="0007379E" w:rsidP="00FE4987" w:rsidRDefault="0007379E" w14:paraId="781A27CA" w14:textId="77777777">
            <w:pPr>
              <w:rPr>
                <w:color w:val="000000"/>
              </w:rPr>
            </w:pPr>
          </w:p>
          <w:p w:rsidR="0007379E" w:rsidP="00FE4987" w:rsidRDefault="0007379E" w14:paraId="45AB9B97" w14:textId="77777777">
            <w:pPr>
              <w:rPr>
                <w:color w:val="000000"/>
              </w:rPr>
            </w:pPr>
          </w:p>
          <w:p w:rsidR="0007379E" w:rsidP="00FE4987" w:rsidRDefault="0007379E" w14:paraId="62CFF2C4" w14:textId="77777777">
            <w:pPr>
              <w:rPr>
                <w:color w:val="000000"/>
              </w:rPr>
            </w:pPr>
          </w:p>
          <w:p w:rsidR="0007379E" w:rsidP="00FE4987" w:rsidRDefault="0007379E" w14:paraId="2132F0D9" w14:textId="77777777">
            <w:pPr>
              <w:rPr>
                <w:color w:val="000000"/>
              </w:rPr>
            </w:pPr>
          </w:p>
          <w:p w:rsidR="0007379E" w:rsidP="00FE4987" w:rsidRDefault="0007379E" w14:paraId="3A9F649F" w14:textId="77777777">
            <w:pPr>
              <w:rPr>
                <w:color w:val="000000"/>
              </w:rPr>
            </w:pPr>
          </w:p>
          <w:p w:rsidR="0007379E" w:rsidP="00FE4987" w:rsidRDefault="0007379E" w14:paraId="13AD6A01" w14:textId="77777777">
            <w:pPr>
              <w:rPr>
                <w:color w:val="000000"/>
              </w:rPr>
            </w:pPr>
          </w:p>
          <w:p w:rsidR="0007379E" w:rsidP="00FE4987" w:rsidRDefault="0007379E" w14:paraId="612958F8" w14:textId="77777777">
            <w:pPr>
              <w:rPr>
                <w:color w:val="000000"/>
              </w:rPr>
            </w:pPr>
          </w:p>
          <w:p w:rsidR="0007379E" w:rsidP="00FE4987" w:rsidRDefault="0007379E" w14:paraId="6C19A85F" w14:textId="77777777">
            <w:pPr>
              <w:rPr>
                <w:color w:val="000000"/>
              </w:rPr>
            </w:pPr>
          </w:p>
          <w:p w:rsidR="0007379E" w:rsidP="00FE4987" w:rsidRDefault="0007379E" w14:paraId="277B39BB" w14:textId="77777777">
            <w:pPr>
              <w:rPr>
                <w:color w:val="000000"/>
              </w:rPr>
            </w:pPr>
          </w:p>
          <w:p w:rsidR="0007379E" w:rsidP="00FE4987" w:rsidRDefault="0007379E" w14:paraId="5314332D" w14:textId="77777777">
            <w:pPr>
              <w:rPr>
                <w:color w:val="000000"/>
              </w:rPr>
            </w:pPr>
          </w:p>
          <w:p w:rsidR="0007379E" w:rsidP="00FE4987" w:rsidRDefault="0007379E" w14:paraId="0A5C7097" w14:textId="77777777">
            <w:pPr>
              <w:rPr>
                <w:color w:val="000000"/>
              </w:rPr>
            </w:pPr>
          </w:p>
          <w:p w:rsidR="0007379E" w:rsidP="00FE4987" w:rsidRDefault="0007379E" w14:paraId="24E1F71E" w14:textId="77777777">
            <w:pPr>
              <w:rPr>
                <w:color w:val="000000"/>
              </w:rPr>
            </w:pPr>
          </w:p>
          <w:p w:rsidR="0007379E" w:rsidP="00FE4987" w:rsidRDefault="0007379E" w14:paraId="0FF0E906" w14:textId="77777777">
            <w:pPr>
              <w:rPr>
                <w:color w:val="000000"/>
              </w:rPr>
            </w:pPr>
          </w:p>
          <w:p w:rsidR="0007379E" w:rsidP="00FE4987" w:rsidRDefault="0007379E" w14:paraId="2C48D593" w14:textId="77777777">
            <w:pPr>
              <w:rPr>
                <w:color w:val="000000"/>
              </w:rPr>
            </w:pPr>
          </w:p>
          <w:p w:rsidR="0007379E" w:rsidP="00FE4987" w:rsidRDefault="0007379E" w14:paraId="4168B845" w14:textId="77777777">
            <w:pPr>
              <w:rPr>
                <w:color w:val="000000"/>
              </w:rPr>
            </w:pPr>
          </w:p>
          <w:p w:rsidR="0007379E" w:rsidP="00FE4987" w:rsidRDefault="0007379E" w14:paraId="5653C362" w14:textId="77777777">
            <w:pPr>
              <w:rPr>
                <w:color w:val="000000"/>
              </w:rPr>
            </w:pPr>
          </w:p>
          <w:p w:rsidR="0007379E" w:rsidP="00FE4987" w:rsidRDefault="0007379E" w14:paraId="3A4E4634" w14:textId="77777777">
            <w:pPr>
              <w:rPr>
                <w:color w:val="000000"/>
              </w:rPr>
            </w:pPr>
          </w:p>
          <w:p w:rsidR="0007379E" w:rsidP="00FE4987" w:rsidRDefault="0007379E" w14:paraId="36C78860" w14:textId="77777777">
            <w:pPr>
              <w:rPr>
                <w:color w:val="000000"/>
              </w:rPr>
            </w:pPr>
          </w:p>
          <w:p w:rsidR="0007379E" w:rsidP="00FE4987" w:rsidRDefault="0007379E" w14:paraId="6C642391" w14:textId="77777777">
            <w:pPr>
              <w:rPr>
                <w:color w:val="000000"/>
              </w:rPr>
            </w:pPr>
          </w:p>
          <w:p w:rsidR="0007379E" w:rsidP="00FE4987" w:rsidRDefault="0007379E" w14:paraId="2F92A52F" w14:textId="77777777">
            <w:pPr>
              <w:rPr>
                <w:color w:val="000000"/>
              </w:rPr>
            </w:pPr>
          </w:p>
          <w:p w:rsidR="0007379E" w:rsidP="00FE4987" w:rsidRDefault="0007379E" w14:paraId="58DE9575" w14:textId="77777777">
            <w:pPr>
              <w:rPr>
                <w:color w:val="000000"/>
              </w:rPr>
            </w:pPr>
          </w:p>
          <w:p w:rsidR="0007379E" w:rsidP="00FE4987" w:rsidRDefault="0007379E" w14:paraId="134080D2" w14:textId="77777777">
            <w:pPr>
              <w:rPr>
                <w:color w:val="000000"/>
              </w:rPr>
            </w:pPr>
          </w:p>
          <w:p w:rsidR="0007379E" w:rsidP="00FE4987" w:rsidRDefault="0007379E" w14:paraId="5EE541D9" w14:textId="77777777">
            <w:pPr>
              <w:rPr>
                <w:color w:val="000000"/>
              </w:rPr>
            </w:pPr>
          </w:p>
          <w:p w:rsidR="0007379E" w:rsidP="00FE4987" w:rsidRDefault="0007379E" w14:paraId="7D6F6F28" w14:textId="77777777">
            <w:pPr>
              <w:rPr>
                <w:color w:val="000000"/>
              </w:rPr>
            </w:pPr>
          </w:p>
          <w:p w:rsidR="0007379E" w:rsidP="00FE4987" w:rsidRDefault="008F5B64" w14:paraId="0AFDD617" w14:textId="3CCB1A21">
            <w:pPr>
              <w:rPr>
                <w:color w:val="000000"/>
              </w:rPr>
            </w:pPr>
            <w:r>
              <w:rPr>
                <w:color w:val="000000"/>
              </w:rPr>
              <w:t>This did not substantially contribute to or inform the decision</w:t>
            </w:r>
            <w:r w:rsidR="00235F39">
              <w:rPr>
                <w:color w:val="000000"/>
              </w:rPr>
              <w:t>.</w:t>
            </w:r>
          </w:p>
          <w:p w:rsidR="0007379E" w:rsidP="00FE4987" w:rsidRDefault="0007379E" w14:paraId="0976E12C" w14:textId="77777777">
            <w:pPr>
              <w:rPr>
                <w:color w:val="000000"/>
              </w:rPr>
            </w:pPr>
          </w:p>
          <w:p w:rsidR="0007379E" w:rsidP="00FE4987" w:rsidRDefault="0007379E" w14:paraId="73039C8A" w14:textId="77777777">
            <w:pPr>
              <w:rPr>
                <w:color w:val="000000"/>
              </w:rPr>
            </w:pPr>
          </w:p>
          <w:p w:rsidR="0007379E" w:rsidP="00FE4987" w:rsidRDefault="0007379E" w14:paraId="6766F4FD" w14:textId="77777777">
            <w:pPr>
              <w:rPr>
                <w:color w:val="000000"/>
              </w:rPr>
            </w:pPr>
          </w:p>
          <w:p w:rsidR="0007379E" w:rsidP="00FE4987" w:rsidRDefault="0007379E" w14:paraId="562F3801" w14:textId="77777777">
            <w:pPr>
              <w:rPr>
                <w:color w:val="000000"/>
              </w:rPr>
            </w:pPr>
          </w:p>
          <w:p w:rsidR="0007379E" w:rsidP="00FE4987" w:rsidRDefault="0007379E" w14:paraId="21A95A0E" w14:textId="77777777">
            <w:pPr>
              <w:rPr>
                <w:color w:val="000000"/>
              </w:rPr>
            </w:pPr>
          </w:p>
          <w:p w:rsidR="0007379E" w:rsidP="00FE4987" w:rsidRDefault="0007379E" w14:paraId="703AB760" w14:textId="77777777">
            <w:pPr>
              <w:rPr>
                <w:color w:val="000000"/>
              </w:rPr>
            </w:pPr>
          </w:p>
          <w:p w:rsidR="0007379E" w:rsidP="00FE4987" w:rsidRDefault="0007379E" w14:paraId="0C72E6BB" w14:textId="77777777">
            <w:pPr>
              <w:rPr>
                <w:color w:val="000000"/>
              </w:rPr>
            </w:pPr>
          </w:p>
          <w:p w:rsidR="0007379E" w:rsidP="00FE4987" w:rsidRDefault="0007379E" w14:paraId="64AEF49C" w14:textId="77777777">
            <w:pPr>
              <w:rPr>
                <w:color w:val="000000"/>
              </w:rPr>
            </w:pPr>
          </w:p>
          <w:p w:rsidR="0007379E" w:rsidP="00FE4987" w:rsidRDefault="0007379E" w14:paraId="5C9C298A" w14:textId="77777777">
            <w:pPr>
              <w:rPr>
                <w:color w:val="000000"/>
              </w:rPr>
            </w:pPr>
          </w:p>
          <w:p w:rsidR="0007379E" w:rsidP="00FE4987" w:rsidRDefault="0007379E" w14:paraId="04FE1DA9" w14:textId="77777777">
            <w:pPr>
              <w:rPr>
                <w:color w:val="000000"/>
              </w:rPr>
            </w:pPr>
          </w:p>
          <w:p w:rsidR="0007379E" w:rsidP="00FE4987" w:rsidRDefault="0007379E" w14:paraId="0189E702" w14:textId="77777777">
            <w:pPr>
              <w:rPr>
                <w:color w:val="000000"/>
              </w:rPr>
            </w:pPr>
          </w:p>
          <w:p w:rsidR="0007379E" w:rsidP="00FE4987" w:rsidRDefault="0007379E" w14:paraId="358E856C" w14:textId="77777777">
            <w:pPr>
              <w:rPr>
                <w:color w:val="000000"/>
              </w:rPr>
            </w:pPr>
          </w:p>
          <w:p w:rsidR="0007379E" w:rsidP="00FE4987" w:rsidRDefault="0007379E" w14:paraId="436583F2" w14:textId="77777777">
            <w:pPr>
              <w:rPr>
                <w:color w:val="000000"/>
              </w:rPr>
            </w:pPr>
          </w:p>
          <w:p w:rsidR="0007379E" w:rsidP="00FE4987" w:rsidRDefault="0007379E" w14:paraId="52F665D4" w14:textId="77777777">
            <w:pPr>
              <w:rPr>
                <w:color w:val="000000"/>
              </w:rPr>
            </w:pPr>
          </w:p>
          <w:p w:rsidR="0007379E" w:rsidP="00FE4987" w:rsidRDefault="0007379E" w14:paraId="03275FD7" w14:textId="77777777">
            <w:pPr>
              <w:rPr>
                <w:color w:val="000000"/>
              </w:rPr>
            </w:pPr>
          </w:p>
          <w:p w:rsidR="0007379E" w:rsidP="00FE4987" w:rsidRDefault="0007379E" w14:paraId="1F6AF3E7" w14:textId="77777777">
            <w:pPr>
              <w:rPr>
                <w:color w:val="000000"/>
              </w:rPr>
            </w:pPr>
          </w:p>
          <w:p w:rsidR="0007379E" w:rsidP="00FE4987" w:rsidRDefault="0007379E" w14:paraId="4701CA8A" w14:textId="77777777">
            <w:pPr>
              <w:rPr>
                <w:color w:val="000000"/>
              </w:rPr>
            </w:pPr>
          </w:p>
          <w:p w:rsidR="0007379E" w:rsidP="00FE4987" w:rsidRDefault="0007379E" w14:paraId="5EAC22D1" w14:textId="77777777">
            <w:pPr>
              <w:rPr>
                <w:color w:val="000000"/>
              </w:rPr>
            </w:pPr>
          </w:p>
          <w:p w:rsidR="0007379E" w:rsidP="00FE4987" w:rsidRDefault="0007379E" w14:paraId="5298EDB3" w14:textId="77777777">
            <w:pPr>
              <w:rPr>
                <w:color w:val="000000"/>
              </w:rPr>
            </w:pPr>
          </w:p>
          <w:p w:rsidR="0007379E" w:rsidP="00FE4987" w:rsidRDefault="0007379E" w14:paraId="7C71DA2F" w14:textId="77777777">
            <w:pPr>
              <w:rPr>
                <w:color w:val="000000"/>
              </w:rPr>
            </w:pPr>
          </w:p>
          <w:p w:rsidR="0007379E" w:rsidP="00FE4987" w:rsidRDefault="0007379E" w14:paraId="3AF6E73E" w14:textId="77777777">
            <w:pPr>
              <w:rPr>
                <w:color w:val="000000"/>
              </w:rPr>
            </w:pPr>
          </w:p>
          <w:p w:rsidR="0007379E" w:rsidP="00FE4987" w:rsidRDefault="0007379E" w14:paraId="28A7D72D" w14:textId="77777777">
            <w:pPr>
              <w:rPr>
                <w:color w:val="000000"/>
              </w:rPr>
            </w:pPr>
          </w:p>
          <w:p w:rsidR="0007379E" w:rsidP="00FE4987" w:rsidRDefault="0007379E" w14:paraId="1266C594" w14:textId="77777777">
            <w:pPr>
              <w:rPr>
                <w:color w:val="000000"/>
              </w:rPr>
            </w:pPr>
          </w:p>
          <w:p w:rsidR="0007379E" w:rsidP="00FE4987" w:rsidRDefault="0007379E" w14:paraId="273C75D0" w14:textId="77777777">
            <w:pPr>
              <w:rPr>
                <w:color w:val="000000"/>
              </w:rPr>
            </w:pPr>
          </w:p>
          <w:p w:rsidR="0007379E" w:rsidP="00FE4987" w:rsidRDefault="0007379E" w14:paraId="3E40D422" w14:textId="77777777">
            <w:pPr>
              <w:rPr>
                <w:color w:val="000000"/>
              </w:rPr>
            </w:pPr>
          </w:p>
          <w:p w:rsidR="0007379E" w:rsidP="00FE4987" w:rsidRDefault="0007379E" w14:paraId="0DDB8728" w14:textId="77777777">
            <w:pPr>
              <w:rPr>
                <w:color w:val="000000"/>
              </w:rPr>
            </w:pPr>
          </w:p>
          <w:p w:rsidR="0007379E" w:rsidP="00FE4987" w:rsidRDefault="0007379E" w14:paraId="3036C3D3" w14:textId="77777777">
            <w:pPr>
              <w:rPr>
                <w:color w:val="000000"/>
              </w:rPr>
            </w:pPr>
          </w:p>
          <w:p w:rsidR="0007379E" w:rsidP="00FE4987" w:rsidRDefault="0007379E" w14:paraId="55FFB522" w14:textId="77777777">
            <w:pPr>
              <w:rPr>
                <w:color w:val="000000"/>
              </w:rPr>
            </w:pPr>
          </w:p>
          <w:p w:rsidR="0007379E" w:rsidP="00FE4987" w:rsidRDefault="0007379E" w14:paraId="1B4CE031" w14:textId="77777777">
            <w:pPr>
              <w:rPr>
                <w:color w:val="000000"/>
              </w:rPr>
            </w:pPr>
          </w:p>
          <w:p w:rsidR="0007379E" w:rsidP="00FE4987" w:rsidRDefault="0007379E" w14:paraId="16F95DC9" w14:textId="77777777">
            <w:pPr>
              <w:rPr>
                <w:color w:val="000000"/>
              </w:rPr>
            </w:pPr>
          </w:p>
          <w:p w:rsidR="0007379E" w:rsidP="00FE4987" w:rsidRDefault="0007379E" w14:paraId="5E0A8940" w14:textId="77777777">
            <w:pPr>
              <w:rPr>
                <w:color w:val="000000"/>
              </w:rPr>
            </w:pPr>
          </w:p>
          <w:p w:rsidR="0007379E" w:rsidP="00FE4987" w:rsidRDefault="0007379E" w14:paraId="1307B3CE" w14:textId="77777777">
            <w:pPr>
              <w:rPr>
                <w:color w:val="000000"/>
              </w:rPr>
            </w:pPr>
          </w:p>
          <w:p w:rsidR="0007379E" w:rsidP="00FE4987" w:rsidRDefault="0007379E" w14:paraId="5D5BFD3A" w14:textId="77777777">
            <w:pPr>
              <w:rPr>
                <w:color w:val="000000"/>
              </w:rPr>
            </w:pPr>
          </w:p>
          <w:p w:rsidR="0007379E" w:rsidP="00FE4987" w:rsidRDefault="0007379E" w14:paraId="59558108" w14:textId="77777777">
            <w:pPr>
              <w:rPr>
                <w:color w:val="000000"/>
              </w:rPr>
            </w:pPr>
          </w:p>
          <w:p w:rsidR="0007379E" w:rsidP="00FE4987" w:rsidRDefault="0007379E" w14:paraId="094F55FE" w14:textId="77777777">
            <w:pPr>
              <w:rPr>
                <w:color w:val="000000"/>
              </w:rPr>
            </w:pPr>
          </w:p>
          <w:p w:rsidR="0007379E" w:rsidP="00FE4987" w:rsidRDefault="0007379E" w14:paraId="329274C0" w14:textId="77777777">
            <w:pPr>
              <w:rPr>
                <w:color w:val="000000"/>
              </w:rPr>
            </w:pPr>
          </w:p>
          <w:p w:rsidR="0007379E" w:rsidP="00FE4987" w:rsidRDefault="0007379E" w14:paraId="18C3DE21" w14:textId="77777777">
            <w:pPr>
              <w:rPr>
                <w:color w:val="000000"/>
              </w:rPr>
            </w:pPr>
          </w:p>
          <w:p w:rsidR="0007379E" w:rsidP="00FE4987" w:rsidRDefault="0007379E" w14:paraId="6720C513" w14:textId="77777777">
            <w:pPr>
              <w:rPr>
                <w:color w:val="000000"/>
              </w:rPr>
            </w:pPr>
          </w:p>
          <w:p w:rsidR="0007379E" w:rsidP="00FE4987" w:rsidRDefault="0007379E" w14:paraId="10393133" w14:textId="77777777">
            <w:pPr>
              <w:rPr>
                <w:color w:val="000000"/>
              </w:rPr>
            </w:pPr>
          </w:p>
          <w:p w:rsidR="0007379E" w:rsidP="00FE4987" w:rsidRDefault="0007379E" w14:paraId="3FEFFD0E" w14:textId="77777777">
            <w:pPr>
              <w:rPr>
                <w:color w:val="000000"/>
              </w:rPr>
            </w:pPr>
          </w:p>
          <w:p w:rsidR="0007379E" w:rsidP="00FE4987" w:rsidRDefault="0007379E" w14:paraId="537F92D5" w14:textId="6A82F256">
            <w:pPr>
              <w:rPr>
                <w:color w:val="000000"/>
              </w:rPr>
            </w:pPr>
          </w:p>
          <w:p w:rsidR="0007379E" w:rsidP="00FE4987" w:rsidRDefault="0007379E" w14:paraId="7F5C1E23" w14:textId="77777777">
            <w:pPr>
              <w:rPr>
                <w:color w:val="000000"/>
              </w:rPr>
            </w:pPr>
          </w:p>
          <w:p w:rsidR="0007379E" w:rsidP="00FE4987" w:rsidRDefault="0007379E" w14:paraId="1603170A" w14:textId="77777777">
            <w:pPr>
              <w:rPr>
                <w:color w:val="000000"/>
              </w:rPr>
            </w:pPr>
          </w:p>
          <w:p w:rsidR="0007379E" w:rsidP="00FE4987" w:rsidRDefault="0007379E" w14:paraId="43C09F04" w14:textId="77777777">
            <w:pPr>
              <w:rPr>
                <w:color w:val="000000"/>
              </w:rPr>
            </w:pPr>
          </w:p>
          <w:p w:rsidR="0007379E" w:rsidP="00FE4987" w:rsidRDefault="0007379E" w14:paraId="1F3F92E5" w14:textId="77777777">
            <w:pPr>
              <w:rPr>
                <w:color w:val="000000"/>
              </w:rPr>
            </w:pPr>
          </w:p>
          <w:p w:rsidR="0007379E" w:rsidP="00FE4987" w:rsidRDefault="0007379E" w14:paraId="7AE390BE" w14:textId="77777777">
            <w:pPr>
              <w:rPr>
                <w:color w:val="000000"/>
              </w:rPr>
            </w:pPr>
          </w:p>
          <w:p w:rsidR="0007379E" w:rsidP="00FE4987" w:rsidRDefault="0007379E" w14:paraId="0FDD63F6" w14:textId="77777777">
            <w:pPr>
              <w:rPr>
                <w:color w:val="000000"/>
              </w:rPr>
            </w:pPr>
          </w:p>
          <w:p w:rsidR="0007379E" w:rsidP="00FE4987" w:rsidRDefault="0007379E" w14:paraId="63DF9DA5" w14:textId="77777777">
            <w:pPr>
              <w:rPr>
                <w:color w:val="000000"/>
              </w:rPr>
            </w:pPr>
          </w:p>
          <w:p w:rsidR="0007379E" w:rsidP="00FE4987" w:rsidRDefault="0007379E" w14:paraId="2001E3A8" w14:textId="77777777">
            <w:pPr>
              <w:rPr>
                <w:color w:val="000000"/>
              </w:rPr>
            </w:pPr>
          </w:p>
          <w:p w:rsidR="0007379E" w:rsidP="00FE4987" w:rsidRDefault="0007379E" w14:paraId="2DA58C68" w14:textId="77777777">
            <w:pPr>
              <w:rPr>
                <w:color w:val="000000"/>
              </w:rPr>
            </w:pPr>
          </w:p>
          <w:p w:rsidR="0007379E" w:rsidP="00FE4987" w:rsidRDefault="0007379E" w14:paraId="1346A5D1" w14:textId="77777777">
            <w:pPr>
              <w:rPr>
                <w:color w:val="000000"/>
              </w:rPr>
            </w:pPr>
          </w:p>
          <w:p w:rsidR="0007379E" w:rsidP="00FE4987" w:rsidRDefault="0007379E" w14:paraId="5EAF1DB9" w14:textId="77777777">
            <w:pPr>
              <w:rPr>
                <w:color w:val="000000"/>
              </w:rPr>
            </w:pPr>
          </w:p>
          <w:p w:rsidR="0007379E" w:rsidP="00FE4987" w:rsidRDefault="0007379E" w14:paraId="6F2EED83" w14:textId="77777777">
            <w:pPr>
              <w:rPr>
                <w:color w:val="000000"/>
              </w:rPr>
            </w:pPr>
          </w:p>
          <w:p w:rsidR="0007379E" w:rsidP="00FE4987" w:rsidRDefault="0007379E" w14:paraId="4E5E539E" w14:textId="77777777">
            <w:pPr>
              <w:rPr>
                <w:color w:val="000000"/>
              </w:rPr>
            </w:pPr>
          </w:p>
          <w:p w:rsidR="0007379E" w:rsidP="00FE4987" w:rsidRDefault="0007379E" w14:paraId="3F70EFD4" w14:textId="77777777">
            <w:pPr>
              <w:rPr>
                <w:color w:val="000000"/>
              </w:rPr>
            </w:pPr>
          </w:p>
          <w:p w:rsidR="0007379E" w:rsidP="00FE4987" w:rsidRDefault="0007379E" w14:paraId="1E913867" w14:textId="77777777">
            <w:pPr>
              <w:rPr>
                <w:color w:val="000000"/>
              </w:rPr>
            </w:pPr>
          </w:p>
          <w:p w:rsidR="0007379E" w:rsidP="00FE4987" w:rsidRDefault="0007379E" w14:paraId="46FEB346" w14:textId="77777777">
            <w:pPr>
              <w:rPr>
                <w:color w:val="000000"/>
              </w:rPr>
            </w:pPr>
          </w:p>
          <w:p w:rsidR="0007379E" w:rsidP="00FE4987" w:rsidRDefault="0007379E" w14:paraId="673E79C1" w14:textId="77777777">
            <w:pPr>
              <w:rPr>
                <w:color w:val="000000"/>
              </w:rPr>
            </w:pPr>
          </w:p>
          <w:p w:rsidR="0007379E" w:rsidP="00FE4987" w:rsidRDefault="0007379E" w14:paraId="03D281B0" w14:textId="77777777">
            <w:pPr>
              <w:rPr>
                <w:color w:val="000000"/>
              </w:rPr>
            </w:pPr>
          </w:p>
          <w:p w:rsidR="0007379E" w:rsidP="00FE4987" w:rsidRDefault="0007379E" w14:paraId="43F78B9A" w14:textId="77777777">
            <w:pPr>
              <w:rPr>
                <w:color w:val="000000"/>
              </w:rPr>
            </w:pPr>
          </w:p>
          <w:p w:rsidR="0007379E" w:rsidP="00FE4987" w:rsidRDefault="0007379E" w14:paraId="2C0D0F3E" w14:textId="77777777">
            <w:pPr>
              <w:rPr>
                <w:color w:val="000000"/>
              </w:rPr>
            </w:pPr>
          </w:p>
          <w:p w:rsidR="0007379E" w:rsidP="00FE4987" w:rsidRDefault="0007379E" w14:paraId="0FEA1A5C" w14:textId="77777777">
            <w:pPr>
              <w:rPr>
                <w:color w:val="000000"/>
              </w:rPr>
            </w:pPr>
          </w:p>
          <w:p w:rsidR="0007379E" w:rsidP="00FE4987" w:rsidRDefault="0007379E" w14:paraId="0475E3D8" w14:textId="77777777">
            <w:pPr>
              <w:rPr>
                <w:color w:val="000000"/>
              </w:rPr>
            </w:pPr>
          </w:p>
          <w:p w:rsidR="0007379E" w:rsidP="00FE4987" w:rsidRDefault="0007379E" w14:paraId="13B4E123" w14:textId="77777777">
            <w:pPr>
              <w:rPr>
                <w:color w:val="000000"/>
              </w:rPr>
            </w:pPr>
          </w:p>
          <w:p w:rsidR="0007379E" w:rsidP="00FE4987" w:rsidRDefault="0007379E" w14:paraId="3D3B634D" w14:textId="77777777">
            <w:pPr>
              <w:rPr>
                <w:color w:val="000000"/>
              </w:rPr>
            </w:pPr>
          </w:p>
          <w:p w:rsidR="0007379E" w:rsidP="00FE4987" w:rsidRDefault="0007379E" w14:paraId="73D686A3" w14:textId="77777777">
            <w:pPr>
              <w:rPr>
                <w:color w:val="000000"/>
              </w:rPr>
            </w:pPr>
          </w:p>
          <w:p w:rsidR="0007379E" w:rsidP="00FE4987" w:rsidRDefault="0007379E" w14:paraId="63209F2C" w14:textId="77777777">
            <w:pPr>
              <w:rPr>
                <w:color w:val="000000"/>
              </w:rPr>
            </w:pPr>
          </w:p>
          <w:p w:rsidR="0007379E" w:rsidP="00FE4987" w:rsidRDefault="0007379E" w14:paraId="444B60D4" w14:textId="77777777">
            <w:pPr>
              <w:rPr>
                <w:color w:val="000000"/>
              </w:rPr>
            </w:pPr>
          </w:p>
          <w:p w:rsidR="0007379E" w:rsidP="00FE4987" w:rsidRDefault="0007379E" w14:paraId="47FA9FD2" w14:textId="77777777">
            <w:pPr>
              <w:rPr>
                <w:color w:val="000000"/>
              </w:rPr>
            </w:pPr>
          </w:p>
          <w:p w:rsidR="0007379E" w:rsidP="00FE4987" w:rsidRDefault="0007379E" w14:paraId="630A4265" w14:textId="77777777">
            <w:pPr>
              <w:rPr>
                <w:color w:val="000000"/>
              </w:rPr>
            </w:pPr>
          </w:p>
          <w:p w:rsidR="0007379E" w:rsidP="00FE4987" w:rsidRDefault="0007379E" w14:paraId="31643B18" w14:textId="77777777">
            <w:pPr>
              <w:rPr>
                <w:color w:val="000000"/>
              </w:rPr>
            </w:pPr>
          </w:p>
          <w:p w:rsidR="0007379E" w:rsidP="00FE4987" w:rsidRDefault="0007379E" w14:paraId="2BB68EBA" w14:textId="77777777">
            <w:pPr>
              <w:rPr>
                <w:color w:val="000000"/>
              </w:rPr>
            </w:pPr>
          </w:p>
          <w:p w:rsidR="0007379E" w:rsidP="00FE4987" w:rsidRDefault="0007379E" w14:paraId="339B68BD" w14:textId="77777777">
            <w:pPr>
              <w:rPr>
                <w:color w:val="000000"/>
              </w:rPr>
            </w:pPr>
          </w:p>
          <w:p w:rsidR="0007379E" w:rsidP="00FE4987" w:rsidRDefault="0007379E" w14:paraId="6BC9026F" w14:textId="77777777">
            <w:pPr>
              <w:rPr>
                <w:color w:val="000000"/>
              </w:rPr>
            </w:pPr>
          </w:p>
          <w:p w:rsidR="0007379E" w:rsidP="00FE4987" w:rsidRDefault="0007379E" w14:paraId="5B35B2BA" w14:textId="77777777">
            <w:pPr>
              <w:rPr>
                <w:color w:val="000000"/>
              </w:rPr>
            </w:pPr>
          </w:p>
          <w:p w:rsidR="0007379E" w:rsidP="00FE4987" w:rsidRDefault="0007379E" w14:paraId="0D3D3BA0" w14:textId="77777777">
            <w:pPr>
              <w:rPr>
                <w:color w:val="000000"/>
              </w:rPr>
            </w:pPr>
          </w:p>
          <w:p w:rsidR="0007379E" w:rsidP="00FE4987" w:rsidRDefault="0007379E" w14:paraId="20AC0556" w14:textId="77777777">
            <w:pPr>
              <w:rPr>
                <w:color w:val="000000"/>
              </w:rPr>
            </w:pPr>
          </w:p>
          <w:p w:rsidR="0007379E" w:rsidP="00FE4987" w:rsidRDefault="0007379E" w14:paraId="24BD49E2" w14:textId="77777777">
            <w:pPr>
              <w:rPr>
                <w:color w:val="000000"/>
              </w:rPr>
            </w:pPr>
          </w:p>
          <w:p w:rsidR="0007379E" w:rsidP="00FE4987" w:rsidRDefault="0007379E" w14:paraId="7903A9FE" w14:textId="77777777">
            <w:pPr>
              <w:rPr>
                <w:color w:val="000000"/>
              </w:rPr>
            </w:pPr>
          </w:p>
          <w:p w:rsidR="0007379E" w:rsidP="00FE4987" w:rsidRDefault="0007379E" w14:paraId="1E7CCFAB" w14:textId="77777777">
            <w:pPr>
              <w:rPr>
                <w:color w:val="000000"/>
              </w:rPr>
            </w:pPr>
          </w:p>
          <w:p w:rsidR="0007379E" w:rsidP="00FE4987" w:rsidRDefault="0007379E" w14:paraId="3204C149" w14:textId="77777777">
            <w:pPr>
              <w:rPr>
                <w:color w:val="000000"/>
              </w:rPr>
            </w:pPr>
          </w:p>
          <w:p w:rsidR="0007379E" w:rsidP="00FE4987" w:rsidRDefault="0007379E" w14:paraId="4E9BE73D" w14:textId="77777777">
            <w:pPr>
              <w:rPr>
                <w:color w:val="000000"/>
              </w:rPr>
            </w:pPr>
          </w:p>
          <w:p w:rsidR="0007379E" w:rsidP="00FE4987" w:rsidRDefault="0007379E" w14:paraId="235E7AAB" w14:textId="77777777">
            <w:pPr>
              <w:rPr>
                <w:color w:val="000000"/>
              </w:rPr>
            </w:pPr>
          </w:p>
          <w:p w:rsidR="0007379E" w:rsidP="00FE4987" w:rsidRDefault="0007379E" w14:paraId="2489D7A9" w14:textId="77777777">
            <w:pPr>
              <w:rPr>
                <w:color w:val="000000"/>
              </w:rPr>
            </w:pPr>
          </w:p>
          <w:p w:rsidR="0007379E" w:rsidP="00FE4987" w:rsidRDefault="0007379E" w14:paraId="75D250A4" w14:textId="77777777">
            <w:pPr>
              <w:rPr>
                <w:color w:val="000000"/>
              </w:rPr>
            </w:pPr>
          </w:p>
          <w:p w:rsidR="0007379E" w:rsidP="00FE4987" w:rsidRDefault="0007379E" w14:paraId="410D5CE8" w14:textId="77777777">
            <w:pPr>
              <w:rPr>
                <w:color w:val="000000"/>
              </w:rPr>
            </w:pPr>
          </w:p>
          <w:p w:rsidR="0007379E" w:rsidP="00FE4987" w:rsidRDefault="0007379E" w14:paraId="21D37215" w14:textId="77777777">
            <w:pPr>
              <w:rPr>
                <w:color w:val="000000"/>
              </w:rPr>
            </w:pPr>
          </w:p>
          <w:p w:rsidR="0007379E" w:rsidP="00FE4987" w:rsidRDefault="0007379E" w14:paraId="3CD1AE43" w14:textId="77777777">
            <w:pPr>
              <w:rPr>
                <w:color w:val="000000"/>
              </w:rPr>
            </w:pPr>
          </w:p>
          <w:p w:rsidR="0007379E" w:rsidP="00FE4987" w:rsidRDefault="0007379E" w14:paraId="57412F3E" w14:textId="77777777">
            <w:pPr>
              <w:rPr>
                <w:color w:val="000000"/>
              </w:rPr>
            </w:pPr>
          </w:p>
          <w:p w:rsidR="0007379E" w:rsidP="00FE4987" w:rsidRDefault="0007379E" w14:paraId="106B5E02" w14:textId="77777777">
            <w:pPr>
              <w:rPr>
                <w:color w:val="000000"/>
              </w:rPr>
            </w:pPr>
          </w:p>
          <w:p w:rsidR="0007379E" w:rsidP="00FE4987" w:rsidRDefault="0007379E" w14:paraId="18469C62" w14:textId="77777777">
            <w:pPr>
              <w:rPr>
                <w:color w:val="000000"/>
              </w:rPr>
            </w:pPr>
          </w:p>
          <w:p w:rsidR="0007379E" w:rsidP="00FE4987" w:rsidRDefault="0007379E" w14:paraId="3976BC26" w14:textId="77777777">
            <w:pPr>
              <w:rPr>
                <w:color w:val="000000"/>
              </w:rPr>
            </w:pPr>
          </w:p>
          <w:p w:rsidR="0007379E" w:rsidP="00FE4987" w:rsidRDefault="0007379E" w14:paraId="1C4DCAE0" w14:textId="77777777">
            <w:pPr>
              <w:rPr>
                <w:color w:val="000000"/>
              </w:rPr>
            </w:pPr>
          </w:p>
          <w:p w:rsidR="0007379E" w:rsidP="00FE4987" w:rsidRDefault="0007379E" w14:paraId="0D3C0E3C" w14:textId="77777777">
            <w:pPr>
              <w:rPr>
                <w:color w:val="000000"/>
              </w:rPr>
            </w:pPr>
          </w:p>
          <w:p w:rsidR="0007379E" w:rsidP="00FE4987" w:rsidRDefault="0007379E" w14:paraId="134E7D78" w14:textId="77777777">
            <w:pPr>
              <w:rPr>
                <w:color w:val="000000"/>
              </w:rPr>
            </w:pPr>
          </w:p>
          <w:p w:rsidR="0007379E" w:rsidP="00FE4987" w:rsidRDefault="0007379E" w14:paraId="7F886399" w14:textId="77777777">
            <w:pPr>
              <w:rPr>
                <w:color w:val="000000"/>
              </w:rPr>
            </w:pPr>
          </w:p>
          <w:p w:rsidR="0007379E" w:rsidP="00FE4987" w:rsidRDefault="0007379E" w14:paraId="0E0E7691" w14:textId="77777777">
            <w:pPr>
              <w:rPr>
                <w:color w:val="000000"/>
              </w:rPr>
            </w:pPr>
          </w:p>
          <w:p w:rsidR="0007379E" w:rsidP="00FE4987" w:rsidRDefault="0007379E" w14:paraId="2F987B3E" w14:textId="77777777">
            <w:pPr>
              <w:rPr>
                <w:color w:val="000000"/>
              </w:rPr>
            </w:pPr>
          </w:p>
          <w:p w:rsidR="0007379E" w:rsidP="00FE4987" w:rsidRDefault="0007379E" w14:paraId="72E03604" w14:textId="77777777">
            <w:pPr>
              <w:rPr>
                <w:color w:val="000000"/>
              </w:rPr>
            </w:pPr>
          </w:p>
          <w:p w:rsidR="0007379E" w:rsidP="00FE4987" w:rsidRDefault="0007379E" w14:paraId="09417007" w14:textId="77777777">
            <w:pPr>
              <w:rPr>
                <w:color w:val="000000"/>
              </w:rPr>
            </w:pPr>
          </w:p>
          <w:p w:rsidR="0007379E" w:rsidP="00FE4987" w:rsidRDefault="0007379E" w14:paraId="6C7A0200" w14:textId="77777777">
            <w:pPr>
              <w:rPr>
                <w:color w:val="000000"/>
              </w:rPr>
            </w:pPr>
          </w:p>
          <w:p w:rsidR="001B35FF" w:rsidP="00FE4987" w:rsidRDefault="001B35FF" w14:paraId="3D036F43" w14:textId="77777777">
            <w:pPr>
              <w:rPr>
                <w:color w:val="000000"/>
              </w:rPr>
            </w:pPr>
          </w:p>
          <w:p w:rsidR="001B35FF" w:rsidP="00FE4987" w:rsidRDefault="001B35FF" w14:paraId="25776049" w14:textId="77777777">
            <w:pPr>
              <w:rPr>
                <w:color w:val="000000"/>
              </w:rPr>
            </w:pPr>
          </w:p>
          <w:p w:rsidR="001B35FF" w:rsidP="00FE4987" w:rsidRDefault="001B35FF" w14:paraId="6B3EF023" w14:textId="77777777">
            <w:pPr>
              <w:rPr>
                <w:color w:val="000000"/>
              </w:rPr>
            </w:pPr>
          </w:p>
          <w:p w:rsidR="001B35FF" w:rsidP="00FE4987" w:rsidRDefault="001B35FF" w14:paraId="67FFD7CA" w14:textId="77777777">
            <w:pPr>
              <w:rPr>
                <w:color w:val="000000"/>
              </w:rPr>
            </w:pPr>
          </w:p>
          <w:p w:rsidR="001B35FF" w:rsidP="00FE4987" w:rsidRDefault="001B35FF" w14:paraId="71C30633" w14:textId="77777777">
            <w:pPr>
              <w:rPr>
                <w:color w:val="000000"/>
              </w:rPr>
            </w:pPr>
          </w:p>
          <w:p w:rsidR="001B35FF" w:rsidP="00FE4987" w:rsidRDefault="001B35FF" w14:paraId="1DF177E9" w14:textId="77777777">
            <w:pPr>
              <w:rPr>
                <w:color w:val="000000"/>
              </w:rPr>
            </w:pPr>
          </w:p>
          <w:p w:rsidR="001B35FF" w:rsidP="00FE4987" w:rsidRDefault="001B35FF" w14:paraId="05F99DB6" w14:textId="77777777">
            <w:pPr>
              <w:rPr>
                <w:color w:val="000000"/>
              </w:rPr>
            </w:pPr>
          </w:p>
          <w:p w:rsidR="001B35FF" w:rsidP="00FE4987" w:rsidRDefault="001B35FF" w14:paraId="43E8FD25" w14:textId="77777777">
            <w:pPr>
              <w:rPr>
                <w:color w:val="000000"/>
              </w:rPr>
            </w:pPr>
          </w:p>
          <w:p w:rsidR="001B35FF" w:rsidP="00FE4987" w:rsidRDefault="001B35FF" w14:paraId="67DB75F4" w14:textId="77777777">
            <w:pPr>
              <w:rPr>
                <w:color w:val="000000"/>
              </w:rPr>
            </w:pPr>
          </w:p>
          <w:p w:rsidR="001B35FF" w:rsidP="00FE4987" w:rsidRDefault="001B35FF" w14:paraId="459EDAC4" w14:textId="77777777">
            <w:pPr>
              <w:rPr>
                <w:color w:val="000000"/>
              </w:rPr>
            </w:pPr>
          </w:p>
          <w:p w:rsidR="001B35FF" w:rsidP="00FE4987" w:rsidRDefault="001B35FF" w14:paraId="48890E27" w14:textId="77777777">
            <w:pPr>
              <w:rPr>
                <w:color w:val="000000"/>
              </w:rPr>
            </w:pPr>
          </w:p>
          <w:p w:rsidR="001B35FF" w:rsidP="00FE4987" w:rsidRDefault="001B35FF" w14:paraId="78516ECF" w14:textId="77777777">
            <w:pPr>
              <w:rPr>
                <w:color w:val="000000"/>
              </w:rPr>
            </w:pPr>
          </w:p>
          <w:p w:rsidR="001B35FF" w:rsidP="00FE4987" w:rsidRDefault="001B35FF" w14:paraId="2E3120CF" w14:textId="77777777">
            <w:pPr>
              <w:rPr>
                <w:color w:val="000000"/>
              </w:rPr>
            </w:pPr>
          </w:p>
          <w:p w:rsidR="001B35FF" w:rsidP="00FE4987" w:rsidRDefault="001B35FF" w14:paraId="6D289E1F" w14:textId="77777777">
            <w:pPr>
              <w:rPr>
                <w:color w:val="000000"/>
              </w:rPr>
            </w:pPr>
          </w:p>
          <w:p w:rsidR="001B35FF" w:rsidP="00FE4987" w:rsidRDefault="001B35FF" w14:paraId="05591239" w14:textId="77777777">
            <w:pPr>
              <w:rPr>
                <w:color w:val="000000"/>
              </w:rPr>
            </w:pPr>
          </w:p>
          <w:p w:rsidR="001B35FF" w:rsidP="00FE4987" w:rsidRDefault="001B35FF" w14:paraId="50EED0DB" w14:textId="77777777">
            <w:pPr>
              <w:rPr>
                <w:color w:val="000000"/>
              </w:rPr>
            </w:pPr>
          </w:p>
          <w:p w:rsidR="001B35FF" w:rsidP="00FE4987" w:rsidRDefault="001B35FF" w14:paraId="43E5236D" w14:textId="77777777">
            <w:pPr>
              <w:rPr>
                <w:color w:val="000000"/>
              </w:rPr>
            </w:pPr>
          </w:p>
          <w:p w:rsidR="001B35FF" w:rsidP="00FE4987" w:rsidRDefault="001B35FF" w14:paraId="51D33407" w14:textId="77777777">
            <w:pPr>
              <w:rPr>
                <w:color w:val="000000"/>
              </w:rPr>
            </w:pPr>
          </w:p>
          <w:p w:rsidR="001B35FF" w:rsidP="00FE4987" w:rsidRDefault="001B35FF" w14:paraId="2C567394" w14:textId="77777777">
            <w:pPr>
              <w:rPr>
                <w:color w:val="000000"/>
              </w:rPr>
            </w:pPr>
          </w:p>
          <w:p w:rsidR="001B35FF" w:rsidP="00FE4987" w:rsidRDefault="001B35FF" w14:paraId="260A798B" w14:textId="77777777">
            <w:pPr>
              <w:rPr>
                <w:color w:val="000000"/>
              </w:rPr>
            </w:pPr>
          </w:p>
          <w:p w:rsidR="001B35FF" w:rsidP="00FE4987" w:rsidRDefault="001B35FF" w14:paraId="542B140A" w14:textId="77777777">
            <w:pPr>
              <w:rPr>
                <w:color w:val="000000"/>
              </w:rPr>
            </w:pPr>
          </w:p>
          <w:p w:rsidR="001B35FF" w:rsidP="00FE4987" w:rsidRDefault="001B35FF" w14:paraId="130013FB" w14:textId="77777777">
            <w:pPr>
              <w:rPr>
                <w:color w:val="000000"/>
              </w:rPr>
            </w:pPr>
          </w:p>
          <w:p w:rsidR="001B35FF" w:rsidP="00FE4987" w:rsidRDefault="001B35FF" w14:paraId="2577CDEA" w14:textId="77777777">
            <w:pPr>
              <w:rPr>
                <w:color w:val="000000"/>
              </w:rPr>
            </w:pPr>
          </w:p>
          <w:p w:rsidR="001B35FF" w:rsidP="00FE4987" w:rsidRDefault="001B35FF" w14:paraId="0A842813" w14:textId="77777777">
            <w:pPr>
              <w:rPr>
                <w:color w:val="000000"/>
              </w:rPr>
            </w:pPr>
          </w:p>
          <w:p w:rsidR="001B35FF" w:rsidP="00FE4987" w:rsidRDefault="001B35FF" w14:paraId="1736C0AB" w14:textId="77777777">
            <w:pPr>
              <w:rPr>
                <w:color w:val="000000"/>
              </w:rPr>
            </w:pPr>
          </w:p>
          <w:p w:rsidR="001B35FF" w:rsidP="00FE4987" w:rsidRDefault="001B35FF" w14:paraId="340C532C" w14:textId="77777777">
            <w:pPr>
              <w:rPr>
                <w:color w:val="000000"/>
              </w:rPr>
            </w:pPr>
          </w:p>
          <w:p w:rsidR="001B35FF" w:rsidP="00FE4987" w:rsidRDefault="001B35FF" w14:paraId="5F9934CD" w14:textId="77777777">
            <w:pPr>
              <w:rPr>
                <w:color w:val="000000"/>
              </w:rPr>
            </w:pPr>
          </w:p>
          <w:p w:rsidR="001B35FF" w:rsidP="00FE4987" w:rsidRDefault="001B35FF" w14:paraId="65D727D8" w14:textId="77777777">
            <w:pPr>
              <w:rPr>
                <w:color w:val="000000"/>
              </w:rPr>
            </w:pPr>
          </w:p>
          <w:p w:rsidR="001B35FF" w:rsidP="00FE4987" w:rsidRDefault="001B35FF" w14:paraId="1E5BEFC3" w14:textId="77777777">
            <w:pPr>
              <w:rPr>
                <w:color w:val="000000"/>
              </w:rPr>
            </w:pPr>
          </w:p>
          <w:p w:rsidR="001B35FF" w:rsidP="00FE4987" w:rsidRDefault="00235F39" w14:paraId="0A1E9FB5" w14:textId="24E8284C">
            <w:pPr>
              <w:rPr>
                <w:color w:val="000000"/>
              </w:rPr>
            </w:pPr>
            <w:r>
              <w:rPr>
                <w:color w:val="000000"/>
              </w:rPr>
              <w:t>This did not substantially contribute to or inform the decision.</w:t>
            </w:r>
          </w:p>
          <w:p w:rsidR="001B35FF" w:rsidP="00FE4987" w:rsidRDefault="001B35FF" w14:paraId="7E8CB13A" w14:textId="77777777">
            <w:pPr>
              <w:rPr>
                <w:color w:val="000000"/>
              </w:rPr>
            </w:pPr>
          </w:p>
          <w:p w:rsidR="001B35FF" w:rsidP="00FE4987" w:rsidRDefault="001B35FF" w14:paraId="09F785F5" w14:textId="77777777">
            <w:pPr>
              <w:rPr>
                <w:color w:val="000000"/>
              </w:rPr>
            </w:pPr>
          </w:p>
          <w:p w:rsidR="001B35FF" w:rsidP="00FE4987" w:rsidRDefault="001B35FF" w14:paraId="422201F3" w14:textId="77777777">
            <w:pPr>
              <w:rPr>
                <w:color w:val="000000"/>
              </w:rPr>
            </w:pPr>
          </w:p>
          <w:p w:rsidR="001B35FF" w:rsidP="00FE4987" w:rsidRDefault="001B35FF" w14:paraId="0EC6FB04" w14:textId="77777777">
            <w:pPr>
              <w:rPr>
                <w:color w:val="000000"/>
              </w:rPr>
            </w:pPr>
          </w:p>
          <w:p w:rsidR="001B35FF" w:rsidP="00FE4987" w:rsidRDefault="001B35FF" w14:paraId="798926DF" w14:textId="77777777">
            <w:pPr>
              <w:rPr>
                <w:color w:val="000000"/>
              </w:rPr>
            </w:pPr>
          </w:p>
          <w:p w:rsidR="001B35FF" w:rsidP="00FE4987" w:rsidRDefault="001B35FF" w14:paraId="1972B181" w14:textId="77777777">
            <w:pPr>
              <w:rPr>
                <w:color w:val="000000"/>
              </w:rPr>
            </w:pPr>
          </w:p>
          <w:p w:rsidR="001B35FF" w:rsidP="00FE4987" w:rsidRDefault="001B35FF" w14:paraId="2650268C" w14:textId="77777777">
            <w:pPr>
              <w:rPr>
                <w:color w:val="000000"/>
              </w:rPr>
            </w:pPr>
          </w:p>
          <w:p w:rsidR="001B35FF" w:rsidP="00FE4987" w:rsidRDefault="001B35FF" w14:paraId="2CF08954" w14:textId="77777777">
            <w:pPr>
              <w:rPr>
                <w:color w:val="000000"/>
              </w:rPr>
            </w:pPr>
          </w:p>
          <w:p w:rsidR="001B35FF" w:rsidP="00FE4987" w:rsidRDefault="001B35FF" w14:paraId="225EDD31" w14:textId="77777777">
            <w:pPr>
              <w:rPr>
                <w:color w:val="000000"/>
              </w:rPr>
            </w:pPr>
          </w:p>
          <w:p w:rsidR="001B35FF" w:rsidP="00FE4987" w:rsidRDefault="001B35FF" w14:paraId="78756E44" w14:textId="77777777">
            <w:pPr>
              <w:rPr>
                <w:color w:val="000000"/>
              </w:rPr>
            </w:pPr>
          </w:p>
          <w:p w:rsidR="001B35FF" w:rsidP="00FE4987" w:rsidRDefault="00235F39" w14:paraId="34E860FD" w14:textId="422BB113">
            <w:pPr>
              <w:rPr>
                <w:color w:val="000000"/>
              </w:rPr>
            </w:pPr>
            <w:r>
              <w:rPr>
                <w:color w:val="000000"/>
              </w:rPr>
              <w:t>This did not substantially contribute to or inform the decision.</w:t>
            </w:r>
          </w:p>
          <w:p w:rsidR="001B35FF" w:rsidP="00FE4987" w:rsidRDefault="001B35FF" w14:paraId="46A643DC" w14:textId="77777777">
            <w:pPr>
              <w:rPr>
                <w:color w:val="000000"/>
              </w:rPr>
            </w:pPr>
          </w:p>
          <w:p w:rsidR="001B35FF" w:rsidP="00FE4987" w:rsidRDefault="001B35FF" w14:paraId="7B21A62A" w14:textId="77777777">
            <w:pPr>
              <w:rPr>
                <w:color w:val="000000"/>
              </w:rPr>
            </w:pPr>
          </w:p>
          <w:p w:rsidR="001B35FF" w:rsidP="00FE4987" w:rsidRDefault="001B35FF" w14:paraId="2F138068" w14:textId="77777777">
            <w:pPr>
              <w:rPr>
                <w:color w:val="000000"/>
              </w:rPr>
            </w:pPr>
          </w:p>
          <w:p w:rsidR="001B35FF" w:rsidP="00FE4987" w:rsidRDefault="001B35FF" w14:paraId="6B248138" w14:textId="77777777">
            <w:pPr>
              <w:rPr>
                <w:color w:val="000000"/>
              </w:rPr>
            </w:pPr>
          </w:p>
          <w:p w:rsidR="001B35FF" w:rsidP="00FE4987" w:rsidRDefault="001B35FF" w14:paraId="70B988C6" w14:textId="77777777">
            <w:pPr>
              <w:rPr>
                <w:color w:val="000000"/>
              </w:rPr>
            </w:pPr>
          </w:p>
          <w:p w:rsidR="001B35FF" w:rsidP="00FE4987" w:rsidRDefault="001B35FF" w14:paraId="3FE3C87B" w14:textId="77777777">
            <w:pPr>
              <w:rPr>
                <w:color w:val="000000"/>
              </w:rPr>
            </w:pPr>
          </w:p>
          <w:p w:rsidR="001B35FF" w:rsidP="00FE4987" w:rsidRDefault="001B35FF" w14:paraId="1D7D115F" w14:textId="77777777">
            <w:pPr>
              <w:rPr>
                <w:color w:val="000000"/>
              </w:rPr>
            </w:pPr>
          </w:p>
          <w:p w:rsidR="001B35FF" w:rsidP="00FE4987" w:rsidRDefault="001B35FF" w14:paraId="215845F9" w14:textId="77777777">
            <w:pPr>
              <w:rPr>
                <w:color w:val="000000"/>
              </w:rPr>
            </w:pPr>
          </w:p>
          <w:p w:rsidR="001B35FF" w:rsidP="00FE4987" w:rsidRDefault="001B35FF" w14:paraId="2ED675BE" w14:textId="77777777">
            <w:pPr>
              <w:rPr>
                <w:color w:val="000000"/>
              </w:rPr>
            </w:pPr>
          </w:p>
          <w:p w:rsidR="001B35FF" w:rsidP="00FE4987" w:rsidRDefault="001B35FF" w14:paraId="2196B5CB" w14:textId="77777777">
            <w:pPr>
              <w:rPr>
                <w:color w:val="000000"/>
              </w:rPr>
            </w:pPr>
          </w:p>
          <w:p w:rsidR="001B35FF" w:rsidP="00FE4987" w:rsidRDefault="001B35FF" w14:paraId="0F410712" w14:textId="77777777">
            <w:pPr>
              <w:rPr>
                <w:color w:val="000000"/>
              </w:rPr>
            </w:pPr>
          </w:p>
          <w:p w:rsidR="001B35FF" w:rsidP="00FE4987" w:rsidRDefault="001B35FF" w14:paraId="55498FAB" w14:textId="77777777">
            <w:pPr>
              <w:rPr>
                <w:color w:val="000000"/>
              </w:rPr>
            </w:pPr>
          </w:p>
          <w:p w:rsidR="001B35FF" w:rsidP="00FE4987" w:rsidRDefault="001B35FF" w14:paraId="75864625" w14:textId="3CA43BAE">
            <w:pPr>
              <w:rPr>
                <w:color w:val="000000"/>
              </w:rPr>
            </w:pPr>
          </w:p>
          <w:p w:rsidR="001B35FF" w:rsidP="00FE4987" w:rsidRDefault="001B35FF" w14:paraId="7A09656B" w14:textId="77777777">
            <w:pPr>
              <w:rPr>
                <w:color w:val="000000"/>
              </w:rPr>
            </w:pPr>
          </w:p>
          <w:p w:rsidR="001B35FF" w:rsidP="00FE4987" w:rsidRDefault="001B35FF" w14:paraId="28C9EC04" w14:textId="77777777">
            <w:pPr>
              <w:rPr>
                <w:color w:val="000000"/>
              </w:rPr>
            </w:pPr>
          </w:p>
          <w:p w:rsidR="001B35FF" w:rsidP="00FE4987" w:rsidRDefault="001B35FF" w14:paraId="1E0FAF3D" w14:textId="77777777">
            <w:pPr>
              <w:rPr>
                <w:color w:val="000000"/>
              </w:rPr>
            </w:pPr>
          </w:p>
          <w:p w:rsidR="001B35FF" w:rsidP="00FE4987" w:rsidRDefault="001B35FF" w14:paraId="461479DE" w14:textId="77777777">
            <w:pPr>
              <w:rPr>
                <w:color w:val="000000"/>
              </w:rPr>
            </w:pPr>
          </w:p>
          <w:p w:rsidR="001B35FF" w:rsidP="00FE4987" w:rsidRDefault="001B35FF" w14:paraId="0A1DDA70" w14:textId="77777777">
            <w:pPr>
              <w:rPr>
                <w:color w:val="000000"/>
              </w:rPr>
            </w:pPr>
          </w:p>
          <w:p w:rsidR="001B35FF" w:rsidP="00FE4987" w:rsidRDefault="001B35FF" w14:paraId="26117FD6" w14:textId="77777777">
            <w:pPr>
              <w:rPr>
                <w:color w:val="000000"/>
              </w:rPr>
            </w:pPr>
          </w:p>
          <w:p w:rsidR="001B35FF" w:rsidP="00FE4987" w:rsidRDefault="001B35FF" w14:paraId="3EA1409B" w14:textId="77777777">
            <w:pPr>
              <w:rPr>
                <w:color w:val="000000"/>
              </w:rPr>
            </w:pPr>
          </w:p>
          <w:p w:rsidR="001B35FF" w:rsidP="00FE4987" w:rsidRDefault="001B35FF" w14:paraId="4473F4E6" w14:textId="77777777">
            <w:pPr>
              <w:rPr>
                <w:color w:val="000000"/>
              </w:rPr>
            </w:pPr>
          </w:p>
          <w:p w:rsidR="001B35FF" w:rsidP="00FE4987" w:rsidRDefault="001B35FF" w14:paraId="5FCD4080" w14:textId="77777777">
            <w:pPr>
              <w:rPr>
                <w:color w:val="000000"/>
              </w:rPr>
            </w:pPr>
          </w:p>
          <w:p w:rsidR="001B35FF" w:rsidP="00FE4987" w:rsidRDefault="001B35FF" w14:paraId="367823C7" w14:textId="77777777">
            <w:pPr>
              <w:rPr>
                <w:color w:val="000000"/>
              </w:rPr>
            </w:pPr>
          </w:p>
          <w:p w:rsidR="001B35FF" w:rsidP="00FE4987" w:rsidRDefault="001B35FF" w14:paraId="133940F1" w14:textId="77777777">
            <w:pPr>
              <w:rPr>
                <w:color w:val="000000"/>
              </w:rPr>
            </w:pPr>
          </w:p>
          <w:p w:rsidR="001B35FF" w:rsidP="00FE4987" w:rsidRDefault="001B35FF" w14:paraId="47091203" w14:textId="77777777">
            <w:pPr>
              <w:rPr>
                <w:color w:val="000000"/>
              </w:rPr>
            </w:pPr>
          </w:p>
          <w:p w:rsidR="001B35FF" w:rsidP="00FE4987" w:rsidRDefault="001B35FF" w14:paraId="62E66A29" w14:textId="77777777">
            <w:pPr>
              <w:rPr>
                <w:color w:val="000000"/>
              </w:rPr>
            </w:pPr>
          </w:p>
          <w:p w:rsidR="001B35FF" w:rsidP="00FE4987" w:rsidRDefault="001B35FF" w14:paraId="29D6D543" w14:textId="77777777">
            <w:pPr>
              <w:rPr>
                <w:color w:val="000000"/>
              </w:rPr>
            </w:pPr>
          </w:p>
          <w:p w:rsidR="001B35FF" w:rsidP="00FE4987" w:rsidRDefault="001B35FF" w14:paraId="1A33F66D" w14:textId="77777777">
            <w:pPr>
              <w:rPr>
                <w:color w:val="000000"/>
              </w:rPr>
            </w:pPr>
          </w:p>
          <w:p w:rsidR="001B35FF" w:rsidP="00FE4987" w:rsidRDefault="001B35FF" w14:paraId="1ACB7D3B" w14:textId="77777777">
            <w:pPr>
              <w:rPr>
                <w:color w:val="000000"/>
              </w:rPr>
            </w:pPr>
          </w:p>
          <w:p w:rsidR="001B35FF" w:rsidP="00FE4987" w:rsidRDefault="001B35FF" w14:paraId="1B5AC2CD" w14:textId="77777777">
            <w:pPr>
              <w:rPr>
                <w:color w:val="000000"/>
              </w:rPr>
            </w:pPr>
          </w:p>
          <w:p w:rsidR="001B35FF" w:rsidP="00FE4987" w:rsidRDefault="001B35FF" w14:paraId="138045F0" w14:textId="77777777">
            <w:pPr>
              <w:rPr>
                <w:color w:val="000000"/>
              </w:rPr>
            </w:pPr>
          </w:p>
          <w:p w:rsidR="001B35FF" w:rsidP="00FE4987" w:rsidRDefault="001B35FF" w14:paraId="31FC077F" w14:textId="77777777">
            <w:pPr>
              <w:rPr>
                <w:color w:val="000000"/>
              </w:rPr>
            </w:pPr>
          </w:p>
          <w:p w:rsidR="001B35FF" w:rsidP="00FE4987" w:rsidRDefault="001B35FF" w14:paraId="6A9F4CF0" w14:textId="77777777">
            <w:pPr>
              <w:rPr>
                <w:color w:val="000000"/>
              </w:rPr>
            </w:pPr>
          </w:p>
          <w:p w:rsidR="001B35FF" w:rsidP="00FE4987" w:rsidRDefault="001B35FF" w14:paraId="1B640785" w14:textId="77777777">
            <w:pPr>
              <w:rPr>
                <w:color w:val="000000"/>
              </w:rPr>
            </w:pPr>
          </w:p>
          <w:p w:rsidR="001B35FF" w:rsidP="00FE4987" w:rsidRDefault="001B35FF" w14:paraId="53D4D41D" w14:textId="77777777">
            <w:pPr>
              <w:rPr>
                <w:color w:val="000000"/>
              </w:rPr>
            </w:pPr>
          </w:p>
          <w:p w:rsidR="001B35FF" w:rsidP="00FE4987" w:rsidRDefault="001B35FF" w14:paraId="67E290AD" w14:textId="77777777">
            <w:pPr>
              <w:rPr>
                <w:color w:val="000000"/>
              </w:rPr>
            </w:pPr>
          </w:p>
          <w:p w:rsidR="001B35FF" w:rsidP="00FE4987" w:rsidRDefault="001B35FF" w14:paraId="79476D30" w14:textId="77777777">
            <w:pPr>
              <w:rPr>
                <w:color w:val="000000"/>
              </w:rPr>
            </w:pPr>
          </w:p>
          <w:p w:rsidR="001B35FF" w:rsidP="00FE4987" w:rsidRDefault="001B35FF" w14:paraId="101DA18D" w14:textId="77777777">
            <w:pPr>
              <w:rPr>
                <w:color w:val="000000"/>
              </w:rPr>
            </w:pPr>
          </w:p>
          <w:p w:rsidR="001B35FF" w:rsidP="00FE4987" w:rsidRDefault="001B35FF" w14:paraId="6676B21E" w14:textId="77777777">
            <w:pPr>
              <w:rPr>
                <w:color w:val="000000"/>
              </w:rPr>
            </w:pPr>
          </w:p>
          <w:p w:rsidR="001B35FF" w:rsidP="00FE4987" w:rsidRDefault="001B35FF" w14:paraId="4164DB35" w14:textId="77777777">
            <w:pPr>
              <w:rPr>
                <w:color w:val="000000"/>
              </w:rPr>
            </w:pPr>
          </w:p>
          <w:p w:rsidR="001B35FF" w:rsidP="00FE4987" w:rsidRDefault="001B35FF" w14:paraId="5EAAE16E" w14:textId="77777777">
            <w:pPr>
              <w:rPr>
                <w:color w:val="000000"/>
              </w:rPr>
            </w:pPr>
          </w:p>
          <w:p w:rsidR="001B35FF" w:rsidP="00FE4987" w:rsidRDefault="001B35FF" w14:paraId="076C25F6" w14:textId="77777777">
            <w:pPr>
              <w:rPr>
                <w:color w:val="000000"/>
              </w:rPr>
            </w:pPr>
          </w:p>
          <w:p w:rsidR="001B35FF" w:rsidP="00FE4987" w:rsidRDefault="001B35FF" w14:paraId="1F01DF0C" w14:textId="77777777">
            <w:pPr>
              <w:rPr>
                <w:color w:val="000000"/>
              </w:rPr>
            </w:pPr>
          </w:p>
          <w:p w:rsidR="001B35FF" w:rsidP="00FE4987" w:rsidRDefault="001B35FF" w14:paraId="503B0D00" w14:textId="77777777">
            <w:pPr>
              <w:rPr>
                <w:color w:val="000000"/>
              </w:rPr>
            </w:pPr>
          </w:p>
          <w:p w:rsidR="001B35FF" w:rsidP="00FE4987" w:rsidRDefault="001B35FF" w14:paraId="268439DB" w14:textId="77777777">
            <w:pPr>
              <w:rPr>
                <w:color w:val="000000"/>
              </w:rPr>
            </w:pPr>
          </w:p>
          <w:p w:rsidR="001B35FF" w:rsidP="00FE4987" w:rsidRDefault="001B35FF" w14:paraId="52676FC8" w14:textId="77777777">
            <w:pPr>
              <w:rPr>
                <w:color w:val="000000"/>
              </w:rPr>
            </w:pPr>
          </w:p>
          <w:p w:rsidR="001B35FF" w:rsidP="00FE4987" w:rsidRDefault="001B35FF" w14:paraId="448C6D13" w14:textId="77777777">
            <w:pPr>
              <w:rPr>
                <w:color w:val="000000"/>
              </w:rPr>
            </w:pPr>
          </w:p>
          <w:p w:rsidR="001B35FF" w:rsidP="00FE4987" w:rsidRDefault="001B35FF" w14:paraId="01C6BFC0" w14:textId="77777777">
            <w:pPr>
              <w:rPr>
                <w:color w:val="000000"/>
              </w:rPr>
            </w:pPr>
          </w:p>
          <w:p w:rsidR="001B35FF" w:rsidP="00FE4987" w:rsidRDefault="001B35FF" w14:paraId="448153D8" w14:textId="77777777">
            <w:pPr>
              <w:rPr>
                <w:color w:val="000000"/>
              </w:rPr>
            </w:pPr>
          </w:p>
          <w:p w:rsidR="001B35FF" w:rsidP="00FE4987" w:rsidRDefault="001B35FF" w14:paraId="0CA232B5" w14:textId="77777777">
            <w:pPr>
              <w:rPr>
                <w:color w:val="000000"/>
              </w:rPr>
            </w:pPr>
          </w:p>
          <w:p w:rsidR="001B35FF" w:rsidP="00FE4987" w:rsidRDefault="001B35FF" w14:paraId="5B951976" w14:textId="77777777">
            <w:pPr>
              <w:rPr>
                <w:color w:val="000000"/>
              </w:rPr>
            </w:pPr>
          </w:p>
          <w:p w:rsidR="001B35FF" w:rsidP="00FE4987" w:rsidRDefault="001B35FF" w14:paraId="24982504" w14:textId="77777777">
            <w:pPr>
              <w:rPr>
                <w:color w:val="000000"/>
              </w:rPr>
            </w:pPr>
          </w:p>
          <w:p w:rsidR="001B35FF" w:rsidP="00FE4987" w:rsidRDefault="001B35FF" w14:paraId="40EEEBF7" w14:textId="77777777">
            <w:pPr>
              <w:rPr>
                <w:color w:val="000000"/>
              </w:rPr>
            </w:pPr>
          </w:p>
          <w:p w:rsidR="001B35FF" w:rsidP="00FE4987" w:rsidRDefault="001B35FF" w14:paraId="55576AFA" w14:textId="77777777">
            <w:pPr>
              <w:rPr>
                <w:color w:val="000000"/>
              </w:rPr>
            </w:pPr>
          </w:p>
          <w:p w:rsidR="001B35FF" w:rsidP="00FE4987" w:rsidRDefault="001B35FF" w14:paraId="1470D7BC" w14:textId="77777777">
            <w:pPr>
              <w:rPr>
                <w:color w:val="000000"/>
              </w:rPr>
            </w:pPr>
          </w:p>
          <w:p w:rsidR="001B35FF" w:rsidP="00FE4987" w:rsidRDefault="001B35FF" w14:paraId="5394DF63" w14:textId="77777777">
            <w:pPr>
              <w:rPr>
                <w:color w:val="000000"/>
              </w:rPr>
            </w:pPr>
          </w:p>
          <w:p w:rsidR="001B35FF" w:rsidP="00FE4987" w:rsidRDefault="001B35FF" w14:paraId="03EAD2B8" w14:textId="77777777">
            <w:pPr>
              <w:rPr>
                <w:color w:val="000000"/>
              </w:rPr>
            </w:pPr>
          </w:p>
          <w:p w:rsidR="001B35FF" w:rsidP="00FE4987" w:rsidRDefault="001B35FF" w14:paraId="0F4E4512" w14:textId="77777777">
            <w:pPr>
              <w:rPr>
                <w:color w:val="000000"/>
              </w:rPr>
            </w:pPr>
          </w:p>
          <w:p w:rsidR="001B35FF" w:rsidP="00FE4987" w:rsidRDefault="001B35FF" w14:paraId="040694F9" w14:textId="77777777">
            <w:pPr>
              <w:rPr>
                <w:color w:val="000000"/>
              </w:rPr>
            </w:pPr>
          </w:p>
          <w:p w:rsidR="001B35FF" w:rsidP="00FE4987" w:rsidRDefault="001B35FF" w14:paraId="36A39686" w14:textId="77777777">
            <w:pPr>
              <w:rPr>
                <w:color w:val="000000"/>
              </w:rPr>
            </w:pPr>
          </w:p>
          <w:p w:rsidR="001B35FF" w:rsidP="00FE4987" w:rsidRDefault="001B35FF" w14:paraId="01E0A584" w14:textId="77777777">
            <w:pPr>
              <w:rPr>
                <w:color w:val="000000"/>
              </w:rPr>
            </w:pPr>
          </w:p>
          <w:p w:rsidR="001B35FF" w:rsidP="00FE4987" w:rsidRDefault="001B35FF" w14:paraId="3C59E68D" w14:textId="77777777">
            <w:pPr>
              <w:rPr>
                <w:color w:val="000000"/>
              </w:rPr>
            </w:pPr>
          </w:p>
          <w:p w:rsidR="001B35FF" w:rsidP="00FE4987" w:rsidRDefault="001B35FF" w14:paraId="6E2572EE" w14:textId="77777777">
            <w:pPr>
              <w:rPr>
                <w:color w:val="000000"/>
              </w:rPr>
            </w:pPr>
          </w:p>
          <w:p w:rsidR="001B35FF" w:rsidP="00FE4987" w:rsidRDefault="001B35FF" w14:paraId="605D61AA" w14:textId="77777777">
            <w:pPr>
              <w:rPr>
                <w:color w:val="000000"/>
              </w:rPr>
            </w:pPr>
          </w:p>
          <w:p w:rsidR="001B35FF" w:rsidP="00FE4987" w:rsidRDefault="001B35FF" w14:paraId="331961B4" w14:textId="77777777">
            <w:pPr>
              <w:rPr>
                <w:color w:val="000000"/>
              </w:rPr>
            </w:pPr>
          </w:p>
          <w:p w:rsidR="001B35FF" w:rsidP="00FE4987" w:rsidRDefault="001B35FF" w14:paraId="34BB45AA" w14:textId="77777777">
            <w:pPr>
              <w:rPr>
                <w:color w:val="000000"/>
              </w:rPr>
            </w:pPr>
          </w:p>
          <w:p w:rsidR="001B35FF" w:rsidP="00FE4987" w:rsidRDefault="001B35FF" w14:paraId="6A9604D6" w14:textId="77777777">
            <w:pPr>
              <w:rPr>
                <w:color w:val="000000"/>
              </w:rPr>
            </w:pPr>
          </w:p>
          <w:p w:rsidR="001B35FF" w:rsidP="00FE4987" w:rsidRDefault="001B35FF" w14:paraId="761B510C" w14:textId="77777777">
            <w:pPr>
              <w:rPr>
                <w:color w:val="000000"/>
              </w:rPr>
            </w:pPr>
          </w:p>
          <w:p w:rsidR="001B35FF" w:rsidP="00FE4987" w:rsidRDefault="001B35FF" w14:paraId="37183E86" w14:textId="77777777">
            <w:pPr>
              <w:rPr>
                <w:color w:val="000000"/>
              </w:rPr>
            </w:pPr>
          </w:p>
          <w:p w:rsidR="001B35FF" w:rsidP="00FE4987" w:rsidRDefault="001B35FF" w14:paraId="44D0E87D" w14:textId="77777777">
            <w:pPr>
              <w:rPr>
                <w:color w:val="000000"/>
              </w:rPr>
            </w:pPr>
          </w:p>
          <w:p w:rsidR="001B35FF" w:rsidP="00FE4987" w:rsidRDefault="001B35FF" w14:paraId="6B43EED6" w14:textId="77777777">
            <w:pPr>
              <w:rPr>
                <w:color w:val="000000"/>
              </w:rPr>
            </w:pPr>
          </w:p>
          <w:p w:rsidR="001B35FF" w:rsidP="00FE4987" w:rsidRDefault="001B35FF" w14:paraId="288D1E73" w14:textId="77777777">
            <w:pPr>
              <w:rPr>
                <w:color w:val="000000"/>
              </w:rPr>
            </w:pPr>
          </w:p>
          <w:p w:rsidR="001B35FF" w:rsidP="00FE4987" w:rsidRDefault="001B35FF" w14:paraId="55EFF6BE" w14:textId="77777777">
            <w:pPr>
              <w:rPr>
                <w:color w:val="000000"/>
              </w:rPr>
            </w:pPr>
          </w:p>
          <w:p w:rsidR="001B35FF" w:rsidP="00FE4987" w:rsidRDefault="001B35FF" w14:paraId="758EE9FC" w14:textId="77777777">
            <w:pPr>
              <w:rPr>
                <w:color w:val="000000"/>
              </w:rPr>
            </w:pPr>
          </w:p>
          <w:p w:rsidR="001B35FF" w:rsidP="00FE4987" w:rsidRDefault="001B35FF" w14:paraId="0D7948B2" w14:textId="77777777">
            <w:pPr>
              <w:rPr>
                <w:color w:val="000000"/>
              </w:rPr>
            </w:pPr>
          </w:p>
          <w:p w:rsidR="001B35FF" w:rsidP="00FE4987" w:rsidRDefault="001B35FF" w14:paraId="1591B1BD" w14:textId="77777777">
            <w:pPr>
              <w:rPr>
                <w:color w:val="000000"/>
              </w:rPr>
            </w:pPr>
          </w:p>
          <w:p w:rsidR="001B35FF" w:rsidP="00FE4987" w:rsidRDefault="001B35FF" w14:paraId="5CEAC522" w14:textId="77777777">
            <w:pPr>
              <w:rPr>
                <w:color w:val="000000"/>
              </w:rPr>
            </w:pPr>
          </w:p>
          <w:p w:rsidR="001B35FF" w:rsidP="00FE4987" w:rsidRDefault="001B35FF" w14:paraId="0DD23A32" w14:textId="77777777">
            <w:pPr>
              <w:rPr>
                <w:color w:val="000000"/>
              </w:rPr>
            </w:pPr>
          </w:p>
          <w:p w:rsidR="001B35FF" w:rsidP="00FE4987" w:rsidRDefault="001B35FF" w14:paraId="39D9CA08" w14:textId="77777777">
            <w:pPr>
              <w:rPr>
                <w:color w:val="000000"/>
              </w:rPr>
            </w:pPr>
          </w:p>
          <w:p w:rsidR="001B35FF" w:rsidP="00FE4987" w:rsidRDefault="001B35FF" w14:paraId="05530799" w14:textId="77777777">
            <w:pPr>
              <w:rPr>
                <w:color w:val="000000"/>
              </w:rPr>
            </w:pPr>
          </w:p>
          <w:p w:rsidR="001B35FF" w:rsidP="00FE4987" w:rsidRDefault="001B35FF" w14:paraId="02195893" w14:textId="77777777">
            <w:pPr>
              <w:rPr>
                <w:color w:val="000000"/>
              </w:rPr>
            </w:pPr>
          </w:p>
          <w:p w:rsidR="001B35FF" w:rsidP="00FE4987" w:rsidRDefault="001B35FF" w14:paraId="1867B283" w14:textId="77777777">
            <w:pPr>
              <w:rPr>
                <w:color w:val="000000"/>
              </w:rPr>
            </w:pPr>
          </w:p>
          <w:p w:rsidR="001B35FF" w:rsidP="00FE4987" w:rsidRDefault="001B35FF" w14:paraId="7413208B" w14:textId="77777777">
            <w:pPr>
              <w:rPr>
                <w:color w:val="000000"/>
              </w:rPr>
            </w:pPr>
          </w:p>
          <w:p w:rsidR="001B35FF" w:rsidP="00FE4987" w:rsidRDefault="001B35FF" w14:paraId="207B526C" w14:textId="77777777">
            <w:pPr>
              <w:rPr>
                <w:color w:val="000000"/>
              </w:rPr>
            </w:pPr>
          </w:p>
          <w:p w:rsidR="001B35FF" w:rsidP="00FE4987" w:rsidRDefault="001B35FF" w14:paraId="67989AA0" w14:textId="77777777">
            <w:pPr>
              <w:rPr>
                <w:color w:val="000000"/>
              </w:rPr>
            </w:pPr>
          </w:p>
          <w:p w:rsidR="001B35FF" w:rsidP="00FE4987" w:rsidRDefault="001B35FF" w14:paraId="61405F2E" w14:textId="77777777">
            <w:pPr>
              <w:rPr>
                <w:color w:val="000000"/>
              </w:rPr>
            </w:pPr>
          </w:p>
          <w:p w:rsidR="001B35FF" w:rsidP="00FE4987" w:rsidRDefault="001B35FF" w14:paraId="0B69AA71" w14:textId="77777777">
            <w:pPr>
              <w:rPr>
                <w:color w:val="000000"/>
              </w:rPr>
            </w:pPr>
          </w:p>
          <w:p w:rsidR="001B35FF" w:rsidP="00FE4987" w:rsidRDefault="001B35FF" w14:paraId="11E1B373" w14:textId="77777777">
            <w:pPr>
              <w:rPr>
                <w:color w:val="000000"/>
              </w:rPr>
            </w:pPr>
          </w:p>
          <w:p w:rsidR="001B35FF" w:rsidP="00FE4987" w:rsidRDefault="001B35FF" w14:paraId="37CB2EDB" w14:textId="77777777">
            <w:pPr>
              <w:rPr>
                <w:color w:val="000000"/>
              </w:rPr>
            </w:pPr>
          </w:p>
          <w:p w:rsidR="001B35FF" w:rsidP="00FE4987" w:rsidRDefault="001B35FF" w14:paraId="5DB0BEAB" w14:textId="77777777">
            <w:pPr>
              <w:rPr>
                <w:color w:val="000000"/>
              </w:rPr>
            </w:pPr>
          </w:p>
          <w:p w:rsidR="001B35FF" w:rsidP="00FE4987" w:rsidRDefault="001B35FF" w14:paraId="3B185EB0" w14:textId="77777777">
            <w:pPr>
              <w:rPr>
                <w:color w:val="000000"/>
              </w:rPr>
            </w:pPr>
          </w:p>
          <w:p w:rsidR="001B35FF" w:rsidP="00FE4987" w:rsidRDefault="001B35FF" w14:paraId="7FAF58D2" w14:textId="77777777">
            <w:pPr>
              <w:rPr>
                <w:color w:val="000000"/>
              </w:rPr>
            </w:pPr>
          </w:p>
          <w:p w:rsidR="001B35FF" w:rsidP="00FE4987" w:rsidRDefault="001B35FF" w14:paraId="72B82C8D" w14:textId="77777777">
            <w:pPr>
              <w:rPr>
                <w:color w:val="000000"/>
              </w:rPr>
            </w:pPr>
          </w:p>
          <w:p w:rsidR="0007379E" w:rsidP="00FE4987" w:rsidRDefault="0007379E" w14:paraId="1300270E" w14:textId="77777777">
            <w:pPr>
              <w:rPr>
                <w:color w:val="000000"/>
              </w:rPr>
            </w:pPr>
          </w:p>
          <w:p w:rsidR="0007379E" w:rsidP="00FE4987" w:rsidRDefault="0007379E" w14:paraId="30601FE0" w14:textId="77777777">
            <w:pPr>
              <w:rPr>
                <w:color w:val="000000"/>
              </w:rPr>
            </w:pPr>
          </w:p>
          <w:p w:rsidR="001B35FF" w:rsidP="00FE4987" w:rsidRDefault="001B35FF" w14:paraId="41A6701C" w14:textId="77777777">
            <w:pPr>
              <w:rPr>
                <w:color w:val="000000"/>
              </w:rPr>
            </w:pPr>
          </w:p>
          <w:p w:rsidR="001B35FF" w:rsidP="00FE4987" w:rsidRDefault="001B35FF" w14:paraId="04A14825" w14:textId="77777777">
            <w:pPr>
              <w:rPr>
                <w:color w:val="000000"/>
              </w:rPr>
            </w:pPr>
          </w:p>
          <w:p w:rsidR="001B35FF" w:rsidP="00FE4987" w:rsidRDefault="001B35FF" w14:paraId="456467C9" w14:textId="77777777">
            <w:pPr>
              <w:rPr>
                <w:color w:val="000000"/>
              </w:rPr>
            </w:pPr>
          </w:p>
          <w:p w:rsidR="001B35FF" w:rsidP="00FE4987" w:rsidRDefault="001B35FF" w14:paraId="4DE752B3" w14:textId="77777777">
            <w:pPr>
              <w:rPr>
                <w:color w:val="000000"/>
              </w:rPr>
            </w:pPr>
          </w:p>
          <w:p w:rsidR="001B35FF" w:rsidP="00FE4987" w:rsidRDefault="001B35FF" w14:paraId="5C2604E1" w14:textId="77777777">
            <w:pPr>
              <w:rPr>
                <w:color w:val="000000"/>
              </w:rPr>
            </w:pPr>
          </w:p>
          <w:p w:rsidR="001B35FF" w:rsidP="00FE4987" w:rsidRDefault="001B35FF" w14:paraId="1FB7E9D3" w14:textId="77777777">
            <w:pPr>
              <w:rPr>
                <w:color w:val="000000"/>
              </w:rPr>
            </w:pPr>
          </w:p>
          <w:p w:rsidR="001B35FF" w:rsidP="00FE4987" w:rsidRDefault="001B35FF" w14:paraId="55639726" w14:textId="77777777">
            <w:pPr>
              <w:rPr>
                <w:color w:val="000000"/>
              </w:rPr>
            </w:pPr>
          </w:p>
          <w:p w:rsidR="001B35FF" w:rsidP="00FE4987" w:rsidRDefault="001B35FF" w14:paraId="7718B22D" w14:textId="77777777">
            <w:pPr>
              <w:rPr>
                <w:color w:val="000000"/>
              </w:rPr>
            </w:pPr>
          </w:p>
          <w:p w:rsidR="001B35FF" w:rsidP="00FE4987" w:rsidRDefault="001B35FF" w14:paraId="0BC3BA73" w14:textId="77777777">
            <w:pPr>
              <w:rPr>
                <w:color w:val="000000"/>
              </w:rPr>
            </w:pPr>
          </w:p>
          <w:p w:rsidR="001B35FF" w:rsidP="00FE4987" w:rsidRDefault="001B35FF" w14:paraId="0DAAB364" w14:textId="77777777">
            <w:pPr>
              <w:rPr>
                <w:color w:val="000000"/>
              </w:rPr>
            </w:pPr>
          </w:p>
          <w:p w:rsidR="001B35FF" w:rsidP="00FE4987" w:rsidRDefault="001B35FF" w14:paraId="5D13EDEB" w14:textId="77777777">
            <w:pPr>
              <w:rPr>
                <w:color w:val="000000"/>
              </w:rPr>
            </w:pPr>
          </w:p>
          <w:p w:rsidR="0007379E" w:rsidP="00FE4987" w:rsidRDefault="0007379E" w14:paraId="4EA07B0B" w14:textId="77777777">
            <w:pPr>
              <w:rPr>
                <w:color w:val="000000"/>
              </w:rPr>
            </w:pPr>
          </w:p>
          <w:p w:rsidR="0007379E" w:rsidP="00FE4987" w:rsidRDefault="0007379E" w14:paraId="6F9763FB" w14:textId="77777777">
            <w:pPr>
              <w:rPr>
                <w:color w:val="000000"/>
              </w:rPr>
            </w:pPr>
          </w:p>
          <w:p w:rsidRPr="00B72876" w:rsidR="0007379E" w:rsidP="00FE4987" w:rsidRDefault="0007379E" w14:paraId="64233D9C" w14:textId="08DB9280">
            <w:pPr>
              <w:rPr>
                <w:color w:val="000000"/>
              </w:rPr>
            </w:pPr>
          </w:p>
        </w:tc>
      </w:tr>
    </w:tbl>
    <w:p w:rsidRPr="00B72876" w:rsidR="00A92D0B" w:rsidP="005B5B44" w:rsidRDefault="00A92D0B" w14:paraId="0D4BCD3A" w14:textId="77777777">
      <w:pPr>
        <w:keepNext/>
        <w:numPr>
          <w:ilvl w:val="0"/>
          <w:numId w:val="8"/>
        </w:numPr>
        <w:spacing w:before="240" w:after="240"/>
        <w:rPr>
          <w:b/>
          <w:color w:val="000000"/>
        </w:rPr>
      </w:pPr>
      <w:r w:rsidRPr="00B72876">
        <w:rPr>
          <w:b/>
          <w:color w:val="000000"/>
        </w:rPr>
        <w:lastRenderedPageBreak/>
        <w:t xml:space="preserve">Duplication of Effort (§ 1801.3(f) </w:t>
      </w:r>
      <w:r w:rsidRPr="00B72876" w:rsidR="00F30DA8">
        <w:rPr>
          <w:b/>
          <w:color w:val="000000"/>
        </w:rPr>
        <w:t xml:space="preserve">and § </w:t>
      </w:r>
      <w:r w:rsidRPr="00B72876" w:rsidR="0022302F">
        <w:rPr>
          <w:b/>
          <w:color w:val="000000"/>
        </w:rPr>
        <w:t>1802.5)</w:t>
      </w:r>
      <w:r w:rsidRPr="00B72876"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6048"/>
        <w:gridCol w:w="1710"/>
        <w:gridCol w:w="1980"/>
      </w:tblGrid>
      <w:tr w:rsidRPr="00B72876" w:rsidR="00A92D0B" w:rsidTr="00073262" w14:paraId="76F3266C" w14:textId="77777777">
        <w:trPr>
          <w:tblHeader/>
        </w:trPr>
        <w:tc>
          <w:tcPr>
            <w:tcW w:w="6048" w:type="dxa"/>
            <w:shd w:val="clear" w:color="auto" w:fill="D9D9D9" w:themeFill="background1" w:themeFillShade="D9"/>
          </w:tcPr>
          <w:p w:rsidRPr="00B72876" w:rsidR="00A92D0B" w:rsidP="00073262" w:rsidRDefault="00A92D0B" w14:paraId="300CEDBC" w14:textId="77777777">
            <w:pPr>
              <w:keepNext/>
              <w:keepLines/>
              <w:rPr>
                <w:color w:val="000000"/>
              </w:rPr>
            </w:pPr>
          </w:p>
        </w:tc>
        <w:tc>
          <w:tcPr>
            <w:tcW w:w="1710" w:type="dxa"/>
            <w:tcBorders>
              <w:bottom w:val="single" w:color="auto" w:sz="4" w:space="0"/>
            </w:tcBorders>
            <w:shd w:val="clear" w:color="auto" w:fill="D9D9D9" w:themeFill="background1" w:themeFillShade="D9"/>
          </w:tcPr>
          <w:p w:rsidRPr="00B72876" w:rsidR="00A92D0B" w:rsidP="00073262" w:rsidRDefault="005A63D4" w14:paraId="7B091096" w14:textId="77777777">
            <w:pPr>
              <w:keepNext/>
              <w:keepLines/>
              <w:jc w:val="center"/>
              <w:rPr>
                <w:b/>
                <w:color w:val="000000"/>
              </w:rPr>
            </w:pPr>
            <w:r w:rsidRPr="00B72876">
              <w:rPr>
                <w:b/>
                <w:color w:val="000000"/>
              </w:rPr>
              <w:t>Interveno</w:t>
            </w:r>
            <w:r w:rsidRPr="00B72876" w:rsidR="00204E3A">
              <w:rPr>
                <w:b/>
                <w:color w:val="000000"/>
              </w:rPr>
              <w:t>r</w:t>
            </w:r>
            <w:r w:rsidRPr="00B72876">
              <w:rPr>
                <w:b/>
                <w:color w:val="000000"/>
              </w:rPr>
              <w:t xml:space="preserve">’s </w:t>
            </w:r>
            <w:r w:rsidRPr="00B72876" w:rsidR="00D075B1">
              <w:rPr>
                <w:b/>
                <w:color w:val="000000"/>
              </w:rPr>
              <w:t>Assertion</w:t>
            </w:r>
          </w:p>
        </w:tc>
        <w:tc>
          <w:tcPr>
            <w:tcW w:w="1980" w:type="dxa"/>
            <w:shd w:val="clear" w:color="auto" w:fill="D9D9D9" w:themeFill="background1" w:themeFillShade="D9"/>
          </w:tcPr>
          <w:p w:rsidRPr="00B72876" w:rsidR="00A92D0B" w:rsidP="00073262" w:rsidRDefault="00A92D0B" w14:paraId="25CE5081" w14:textId="77777777">
            <w:pPr>
              <w:keepNext/>
              <w:keepLines/>
              <w:jc w:val="center"/>
              <w:rPr>
                <w:b/>
                <w:color w:val="000000"/>
              </w:rPr>
            </w:pPr>
            <w:r w:rsidRPr="00B72876">
              <w:rPr>
                <w:b/>
                <w:color w:val="000000"/>
              </w:rPr>
              <w:t xml:space="preserve">CPUC </w:t>
            </w:r>
            <w:r w:rsidRPr="00B72876" w:rsidR="00D075B1">
              <w:rPr>
                <w:b/>
                <w:color w:val="000000"/>
              </w:rPr>
              <w:t>Discussion</w:t>
            </w:r>
          </w:p>
        </w:tc>
      </w:tr>
      <w:tr w:rsidRPr="00B72876" w:rsidR="00A92D0B" w:rsidTr="00794A54" w14:paraId="24A12BE1" w14:textId="77777777">
        <w:trPr>
          <w:tblHeader/>
        </w:trPr>
        <w:tc>
          <w:tcPr>
            <w:tcW w:w="6048" w:type="dxa"/>
            <w:shd w:val="clear" w:color="auto" w:fill="FFFFFF" w:themeFill="background1"/>
          </w:tcPr>
          <w:p w:rsidRPr="00B72876" w:rsidR="00A92D0B" w:rsidP="00073262" w:rsidRDefault="00A92D0B" w14:paraId="6915FAF6" w14:textId="77C791C5">
            <w:pPr>
              <w:keepLines/>
              <w:ind w:left="360" w:hanging="360"/>
              <w:rPr>
                <w:b/>
                <w:color w:val="000000"/>
              </w:rPr>
            </w:pPr>
            <w:r w:rsidRPr="00B72876">
              <w:rPr>
                <w:b/>
                <w:color w:val="000000"/>
              </w:rPr>
              <w:t>a.</w:t>
            </w:r>
            <w:r w:rsidRPr="00B72876">
              <w:rPr>
                <w:b/>
                <w:color w:val="000000"/>
              </w:rPr>
              <w:tab/>
            </w:r>
            <w:r w:rsidRPr="00B72876">
              <w:rPr>
                <w:b/>
              </w:rPr>
              <w:t xml:space="preserve">Was the </w:t>
            </w:r>
            <w:r w:rsidRPr="00B72876" w:rsidR="009E48E4">
              <w:rPr>
                <w:b/>
                <w:color w:val="000000"/>
              </w:rPr>
              <w:t>Public Advocate</w:t>
            </w:r>
            <w:r w:rsidRPr="00B72876" w:rsidR="00621A7C">
              <w:rPr>
                <w:b/>
                <w:color w:val="000000"/>
              </w:rPr>
              <w:t>’</w:t>
            </w:r>
            <w:r w:rsidRPr="00B72876" w:rsidR="009E48E4">
              <w:rPr>
                <w:b/>
                <w:color w:val="000000"/>
              </w:rPr>
              <w:t>s Office of the Public Utilities Commission</w:t>
            </w:r>
            <w:r w:rsidRPr="00B72876" w:rsidR="009E48E4">
              <w:rPr>
                <w:b/>
              </w:rPr>
              <w:t xml:space="preserve"> </w:t>
            </w:r>
            <w:r w:rsidRPr="00B72876">
              <w:rPr>
                <w:b/>
                <w:color w:val="000000"/>
              </w:rPr>
              <w:t>(</w:t>
            </w:r>
            <w:r w:rsidRPr="00B72876" w:rsidR="00B55D78">
              <w:rPr>
                <w:b/>
                <w:color w:val="000000"/>
              </w:rPr>
              <w:t>Cal Advocates</w:t>
            </w:r>
            <w:r w:rsidRPr="00B72876">
              <w:rPr>
                <w:b/>
              </w:rPr>
              <w:t>) a party to the proceeding</w:t>
            </w:r>
            <w:r w:rsidRPr="00B72876">
              <w:rPr>
                <w:b/>
                <w:color w:val="000000"/>
              </w:rPr>
              <w:t>?</w:t>
            </w:r>
          </w:p>
        </w:tc>
        <w:tc>
          <w:tcPr>
            <w:tcW w:w="1710" w:type="dxa"/>
            <w:shd w:val="clear" w:color="auto" w:fill="FFFFFF" w:themeFill="background1"/>
          </w:tcPr>
          <w:p w:rsidRPr="00B72876" w:rsidR="00A92D0B" w:rsidP="00565C82" w:rsidRDefault="000C5DFE" w14:paraId="0B49A7C8" w14:textId="4CAAB13A">
            <w:pPr>
              <w:keepNext/>
              <w:keepLines/>
              <w:jc w:val="center"/>
              <w:rPr>
                <w:color w:val="000000"/>
              </w:rPr>
            </w:pPr>
            <w:r>
              <w:rPr>
                <w:color w:val="000000"/>
              </w:rPr>
              <w:t>Yes</w:t>
            </w:r>
          </w:p>
        </w:tc>
        <w:tc>
          <w:tcPr>
            <w:tcW w:w="1980" w:type="dxa"/>
            <w:shd w:val="clear" w:color="auto" w:fill="FFFFFF" w:themeFill="background1"/>
          </w:tcPr>
          <w:p w:rsidRPr="00B72876" w:rsidR="00A92D0B" w:rsidP="00565C82" w:rsidRDefault="00704747" w14:paraId="23B6532A" w14:textId="2BCF19CB">
            <w:pPr>
              <w:keepNext/>
              <w:keepLines/>
              <w:jc w:val="center"/>
              <w:rPr>
                <w:color w:val="000000"/>
              </w:rPr>
            </w:pPr>
            <w:r>
              <w:rPr>
                <w:color w:val="000000"/>
              </w:rPr>
              <w:t>Verified</w:t>
            </w:r>
          </w:p>
        </w:tc>
      </w:tr>
      <w:tr w:rsidRPr="00B72876" w:rsidR="00A92D0B" w:rsidTr="00794A54" w14:paraId="3317BD71" w14:textId="77777777">
        <w:tc>
          <w:tcPr>
            <w:tcW w:w="6048" w:type="dxa"/>
            <w:shd w:val="clear" w:color="auto" w:fill="FFFFFF" w:themeFill="background1"/>
          </w:tcPr>
          <w:p w:rsidRPr="00B72876" w:rsidR="00A92D0B" w:rsidP="00073262" w:rsidRDefault="00A92D0B" w14:paraId="561D245D" w14:textId="77777777">
            <w:pPr>
              <w:tabs>
                <w:tab w:val="left" w:pos="360"/>
              </w:tabs>
              <w:ind w:left="360" w:hanging="360"/>
              <w:rPr>
                <w:b/>
                <w:color w:val="000000"/>
              </w:rPr>
            </w:pPr>
            <w:r w:rsidRPr="00B72876">
              <w:rPr>
                <w:b/>
                <w:color w:val="000000"/>
              </w:rPr>
              <w:t>b.</w:t>
            </w:r>
            <w:r w:rsidRPr="00B72876">
              <w:rPr>
                <w:b/>
                <w:color w:val="000000"/>
              </w:rPr>
              <w:tab/>
              <w:t xml:space="preserve">Were there other parties to the proceeding with positions similar to yours? </w:t>
            </w:r>
          </w:p>
        </w:tc>
        <w:tc>
          <w:tcPr>
            <w:tcW w:w="1710" w:type="dxa"/>
            <w:shd w:val="clear" w:color="auto" w:fill="FFFFFF" w:themeFill="background1"/>
          </w:tcPr>
          <w:p w:rsidRPr="00B72876" w:rsidR="00A92D0B" w:rsidP="00565C82" w:rsidRDefault="000C5DFE" w14:paraId="3708E485" w14:textId="12919B5C">
            <w:pPr>
              <w:jc w:val="center"/>
              <w:rPr>
                <w:color w:val="000000"/>
              </w:rPr>
            </w:pPr>
            <w:r>
              <w:rPr>
                <w:color w:val="000000"/>
              </w:rPr>
              <w:t>Yes</w:t>
            </w:r>
          </w:p>
        </w:tc>
        <w:tc>
          <w:tcPr>
            <w:tcW w:w="1980" w:type="dxa"/>
            <w:shd w:val="clear" w:color="auto" w:fill="FFFFFF" w:themeFill="background1"/>
          </w:tcPr>
          <w:p w:rsidRPr="00B72876" w:rsidR="00A92D0B" w:rsidP="00565C82" w:rsidRDefault="00704747" w14:paraId="6B3388E6" w14:textId="214C9A04">
            <w:pPr>
              <w:jc w:val="center"/>
              <w:rPr>
                <w:color w:val="000000"/>
              </w:rPr>
            </w:pPr>
            <w:r>
              <w:rPr>
                <w:color w:val="000000"/>
              </w:rPr>
              <w:t>Verified</w:t>
            </w:r>
          </w:p>
        </w:tc>
      </w:tr>
      <w:tr w:rsidRPr="00B72876" w:rsidR="00A92D0B" w:rsidTr="00794A54" w14:paraId="0A51B7D4" w14:textId="77777777">
        <w:trPr>
          <w:trHeight w:val="544"/>
        </w:trPr>
        <w:tc>
          <w:tcPr>
            <w:tcW w:w="7758" w:type="dxa"/>
            <w:gridSpan w:val="2"/>
            <w:shd w:val="clear" w:color="auto" w:fill="FFFFFF" w:themeFill="background1"/>
          </w:tcPr>
          <w:p w:rsidRPr="00B72876" w:rsidR="00A92D0B" w:rsidP="00234711" w:rsidRDefault="00A92D0B" w14:paraId="0919176B" w14:textId="30702B9B">
            <w:pPr>
              <w:ind w:left="360" w:hanging="360"/>
              <w:rPr>
                <w:color w:val="000000"/>
              </w:rPr>
            </w:pPr>
            <w:r w:rsidRPr="00B72876">
              <w:rPr>
                <w:b/>
                <w:color w:val="000000"/>
              </w:rPr>
              <w:t>c.</w:t>
            </w:r>
            <w:r w:rsidRPr="00B72876">
              <w:rPr>
                <w:b/>
                <w:color w:val="000000"/>
              </w:rPr>
              <w:tab/>
              <w:t>If so, provide name of other parties:</w:t>
            </w:r>
            <w:r w:rsidRPr="00B72876" w:rsidR="00E25078">
              <w:rPr>
                <w:color w:val="000000"/>
              </w:rPr>
              <w:t xml:space="preserve"> </w:t>
            </w:r>
            <w:r w:rsidR="000C5DFE">
              <w:rPr>
                <w:color w:val="000000"/>
              </w:rPr>
              <w:t>TURN</w:t>
            </w:r>
            <w:r w:rsidRPr="008F5B31" w:rsidR="000C5DFE">
              <w:rPr>
                <w:color w:val="000000"/>
              </w:rPr>
              <w:t>, PCF</w:t>
            </w:r>
            <w:r w:rsidR="000C5DFE">
              <w:rPr>
                <w:color w:val="000000"/>
              </w:rPr>
              <w:t xml:space="preserve">, </w:t>
            </w:r>
            <w:proofErr w:type="spellStart"/>
            <w:r w:rsidR="000C5DFE">
              <w:rPr>
                <w:color w:val="000000"/>
              </w:rPr>
              <w:t>CforAT</w:t>
            </w:r>
            <w:proofErr w:type="spellEnd"/>
            <w:r w:rsidR="000C5DFE">
              <w:rPr>
                <w:color w:val="000000"/>
              </w:rPr>
              <w:t xml:space="preserve">, </w:t>
            </w:r>
            <w:proofErr w:type="spellStart"/>
            <w:r w:rsidR="000C5DFE">
              <w:rPr>
                <w:color w:val="000000"/>
              </w:rPr>
              <w:t>CalPA</w:t>
            </w:r>
            <w:proofErr w:type="spellEnd"/>
            <w:r w:rsidR="00EB49E8">
              <w:rPr>
                <w:color w:val="000000"/>
              </w:rPr>
              <w:t>,</w:t>
            </w:r>
            <w:r w:rsidR="00234711">
              <w:rPr>
                <w:color w:val="000000"/>
              </w:rPr>
              <w:t xml:space="preserve"> </w:t>
            </w:r>
            <w:r w:rsidRPr="00234711" w:rsidR="00234711">
              <w:rPr>
                <w:color w:val="000000"/>
              </w:rPr>
              <w:t xml:space="preserve">AARP </w:t>
            </w:r>
            <w:r w:rsidR="00234711">
              <w:rPr>
                <w:color w:val="000000"/>
              </w:rPr>
              <w:t xml:space="preserve">California, </w:t>
            </w:r>
            <w:r w:rsidRPr="00234711" w:rsidR="00234711">
              <w:rPr>
                <w:color w:val="000000"/>
              </w:rPr>
              <w:t>National Diversity Coalition (NDC),</w:t>
            </w:r>
            <w:r w:rsidR="00234711">
              <w:rPr>
                <w:color w:val="000000"/>
              </w:rPr>
              <w:t xml:space="preserve"> </w:t>
            </w:r>
            <w:r w:rsidRPr="00234711" w:rsidR="00234711">
              <w:rPr>
                <w:color w:val="000000"/>
              </w:rPr>
              <w:t>The</w:t>
            </w:r>
            <w:r w:rsidR="00234711">
              <w:rPr>
                <w:color w:val="000000"/>
              </w:rPr>
              <w:t xml:space="preserve"> </w:t>
            </w:r>
            <w:r w:rsidRPr="00234711" w:rsidR="00234711">
              <w:rPr>
                <w:color w:val="000000"/>
              </w:rPr>
              <w:t>Greenlining Institute (GLI)</w:t>
            </w:r>
          </w:p>
        </w:tc>
        <w:tc>
          <w:tcPr>
            <w:tcW w:w="1980" w:type="dxa"/>
            <w:shd w:val="clear" w:color="auto" w:fill="FFFFFF" w:themeFill="background1"/>
          </w:tcPr>
          <w:p w:rsidRPr="00B72876" w:rsidR="00A92D0B" w:rsidP="00565C82" w:rsidRDefault="00710424" w14:paraId="22A40B49" w14:textId="12275684">
            <w:pPr>
              <w:jc w:val="center"/>
              <w:rPr>
                <w:color w:val="000000"/>
              </w:rPr>
            </w:pPr>
            <w:r>
              <w:rPr>
                <w:color w:val="000000"/>
              </w:rPr>
              <w:t>Verified</w:t>
            </w:r>
          </w:p>
        </w:tc>
      </w:tr>
      <w:tr w:rsidRPr="00B72876" w:rsidR="00A92D0B" w:rsidTr="00794A54" w14:paraId="744830F5" w14:textId="77777777">
        <w:tc>
          <w:tcPr>
            <w:tcW w:w="7758" w:type="dxa"/>
            <w:gridSpan w:val="2"/>
            <w:shd w:val="clear" w:color="auto" w:fill="FFFFFF" w:themeFill="background1"/>
          </w:tcPr>
          <w:p w:rsidRPr="00B72876" w:rsidR="00A92D0B" w:rsidP="000C5DFE" w:rsidRDefault="00A92D0B" w14:paraId="3228BB07" w14:textId="226C8B0D">
            <w:pPr>
              <w:tabs>
                <w:tab w:val="left" w:pos="360"/>
              </w:tabs>
              <w:ind w:left="360" w:hanging="360"/>
              <w:rPr>
                <w:color w:val="000000"/>
              </w:rPr>
            </w:pPr>
            <w:r w:rsidRPr="00B72876">
              <w:rPr>
                <w:b/>
                <w:color w:val="000000"/>
              </w:rPr>
              <w:t>d.</w:t>
            </w:r>
            <w:r w:rsidRPr="00B72876">
              <w:rPr>
                <w:b/>
                <w:color w:val="000000"/>
              </w:rPr>
              <w:tab/>
            </w:r>
            <w:r w:rsidRPr="00B72876" w:rsidR="00D075B1">
              <w:rPr>
                <w:b/>
                <w:color w:val="000000"/>
              </w:rPr>
              <w:t xml:space="preserve">Intervenor’s </w:t>
            </w:r>
            <w:r w:rsidRPr="00B72876" w:rsidR="00A319DE">
              <w:rPr>
                <w:b/>
                <w:color w:val="000000"/>
              </w:rPr>
              <w:t>c</w:t>
            </w:r>
            <w:r w:rsidRPr="00B72876" w:rsidR="00D075B1">
              <w:rPr>
                <w:b/>
                <w:color w:val="000000"/>
              </w:rPr>
              <w:t xml:space="preserve">laim of </w:t>
            </w:r>
            <w:r w:rsidRPr="00B72876" w:rsidR="00A319DE">
              <w:rPr>
                <w:b/>
                <w:color w:val="000000"/>
              </w:rPr>
              <w:t>n</w:t>
            </w:r>
            <w:r w:rsidRPr="00B72876" w:rsidR="00D075B1">
              <w:rPr>
                <w:b/>
                <w:color w:val="000000"/>
              </w:rPr>
              <w:t>on-</w:t>
            </w:r>
            <w:r w:rsidRPr="00B72876" w:rsidR="00A319DE">
              <w:rPr>
                <w:b/>
                <w:color w:val="000000"/>
              </w:rPr>
              <w:t>d</w:t>
            </w:r>
            <w:r w:rsidRPr="00B72876" w:rsidR="00D075B1">
              <w:rPr>
                <w:b/>
                <w:color w:val="000000"/>
              </w:rPr>
              <w:t>uplication:</w:t>
            </w:r>
            <w:r w:rsidRPr="00B72876" w:rsidR="00E25078">
              <w:rPr>
                <w:color w:val="000000"/>
              </w:rPr>
              <w:t xml:space="preserve"> </w:t>
            </w:r>
            <w:r w:rsidRPr="000C5DFE" w:rsidR="000C5DFE">
              <w:rPr>
                <w:color w:val="000000"/>
              </w:rPr>
              <w:t>Although most if not all parties raised, reviewed or presented on similar issues and topics, UCAN avoided duplication by more narrowly focusing on matters that emphasized balanced approaches to community engagement and reporting requirements and greater flexibility to urban-rural allocations, that recommended any policies adopted should examine deployment, and adoption, at both a municipal-wide and neighborhood-level, and that advocated for the importance of data collection and analysis to inform policies to achieve digital equity.</w:t>
            </w:r>
          </w:p>
        </w:tc>
        <w:tc>
          <w:tcPr>
            <w:tcW w:w="1980" w:type="dxa"/>
            <w:shd w:val="clear" w:color="auto" w:fill="FFFFFF" w:themeFill="background1"/>
          </w:tcPr>
          <w:p w:rsidRPr="00581FC3" w:rsidR="00A92D0B" w:rsidP="00581FC3" w:rsidRDefault="00BA7366" w14:paraId="5F9BBA55" w14:textId="32EBB441">
            <w:r w:rsidRPr="00581FC3">
              <w:t>As discussed in Part III (D)</w:t>
            </w:r>
            <w:r w:rsidR="005D6F59">
              <w:t xml:space="preserve"> [1]</w:t>
            </w:r>
            <w:r w:rsidRPr="00581FC3">
              <w:t>, UCAN duplicated and repeated other parties’ statements, without providing additional value</w:t>
            </w:r>
            <w:r>
              <w:t>.</w:t>
            </w:r>
            <w:r w:rsidRPr="00581FC3">
              <w:t xml:space="preserve"> </w:t>
            </w:r>
          </w:p>
        </w:tc>
      </w:tr>
    </w:tbl>
    <w:p w:rsidRPr="00B72876" w:rsidR="00B312DA" w:rsidP="005B5B44" w:rsidRDefault="00A92D0B" w14:paraId="175C3F89" w14:textId="4835545D">
      <w:pPr>
        <w:keepNext/>
        <w:tabs>
          <w:tab w:val="left" w:pos="1260"/>
        </w:tabs>
        <w:spacing w:before="480"/>
        <w:ind w:left="1267" w:hanging="1267"/>
        <w:jc w:val="center"/>
        <w:rPr>
          <w:b/>
          <w:color w:val="000000"/>
        </w:rPr>
      </w:pPr>
      <w:r w:rsidRPr="00B72876">
        <w:rPr>
          <w:b/>
          <w:color w:val="000000"/>
        </w:rPr>
        <w:t>PART III:</w:t>
      </w:r>
      <w:r w:rsidRPr="00B72876" w:rsidR="00D1778A">
        <w:rPr>
          <w:b/>
          <w:color w:val="000000"/>
        </w:rPr>
        <w:t xml:space="preserve">  </w:t>
      </w:r>
      <w:r w:rsidRPr="00B72876">
        <w:rPr>
          <w:b/>
          <w:color w:val="000000"/>
        </w:rPr>
        <w:t>REASONABLENESS OF REQUESTED COMPENSATION</w:t>
      </w:r>
    </w:p>
    <w:p w:rsidRPr="00B72876" w:rsidR="00A92D0B" w:rsidP="005B5B44" w:rsidRDefault="00A92D0B" w14:paraId="6F74DAE2" w14:textId="77777777">
      <w:pPr>
        <w:keepNext/>
        <w:numPr>
          <w:ilvl w:val="0"/>
          <w:numId w:val="9"/>
        </w:numPr>
        <w:spacing w:before="240" w:after="240"/>
        <w:rPr>
          <w:b/>
          <w:color w:val="000000"/>
        </w:rPr>
      </w:pPr>
      <w:r w:rsidRPr="00B72876">
        <w:rPr>
          <w:b/>
          <w:color w:val="000000"/>
        </w:rPr>
        <w:t xml:space="preserve">General Claim of Reasonableness </w:t>
      </w:r>
      <w:r w:rsidRPr="00B72876" w:rsidR="00F30DA8">
        <w:rPr>
          <w:b/>
          <w:color w:val="000000"/>
        </w:rPr>
        <w:t xml:space="preserve">(§ </w:t>
      </w:r>
      <w:r w:rsidRPr="00B72876">
        <w:rPr>
          <w:b/>
          <w:color w:val="000000"/>
        </w:rPr>
        <w:t xml:space="preserve">1801 </w:t>
      </w:r>
      <w:r w:rsidRPr="00B72876" w:rsidR="00F30DA8">
        <w:rPr>
          <w:b/>
          <w:color w:val="000000"/>
        </w:rPr>
        <w:t>and §</w:t>
      </w:r>
      <w:r w:rsidRPr="00B72876" w:rsidR="0022302F">
        <w:rPr>
          <w:b/>
          <w:color w:val="000000"/>
        </w:rPr>
        <w:t xml:space="preserve"> 1806)</w:t>
      </w:r>
      <w:r w:rsidRPr="00B72876"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488"/>
        <w:gridCol w:w="2250"/>
      </w:tblGrid>
      <w:tr w:rsidRPr="00B72876" w:rsidR="00FE3BAE" w:rsidTr="00EC6387" w14:paraId="4078AC87" w14:textId="77777777">
        <w:trPr>
          <w:tblHeader/>
        </w:trPr>
        <w:tc>
          <w:tcPr>
            <w:tcW w:w="7488" w:type="dxa"/>
            <w:tcBorders>
              <w:bottom w:val="single" w:color="auto" w:sz="4" w:space="0"/>
            </w:tcBorders>
            <w:shd w:val="clear" w:color="auto" w:fill="D9D9D9" w:themeFill="background1" w:themeFillShade="D9"/>
          </w:tcPr>
          <w:p w:rsidRPr="00B72876" w:rsidR="00FE3BAE" w:rsidP="00EC6387" w:rsidRDefault="00FE3BAE" w14:paraId="70FDF5DA" w14:textId="77777777">
            <w:pPr>
              <w:rPr>
                <w:b/>
                <w:color w:val="000000"/>
              </w:rPr>
            </w:pPr>
          </w:p>
        </w:tc>
        <w:tc>
          <w:tcPr>
            <w:tcW w:w="2250" w:type="dxa"/>
            <w:shd w:val="clear" w:color="auto" w:fill="D9D9D9" w:themeFill="background1" w:themeFillShade="D9"/>
          </w:tcPr>
          <w:p w:rsidRPr="00B72876" w:rsidR="00FE3BAE" w:rsidP="00EC6387" w:rsidRDefault="00FE3BAE" w14:paraId="59CD9FCF" w14:textId="77777777">
            <w:pPr>
              <w:rPr>
                <w:color w:val="000000"/>
              </w:rPr>
            </w:pPr>
            <w:r w:rsidRPr="00B72876">
              <w:rPr>
                <w:b/>
                <w:color w:val="000000"/>
              </w:rPr>
              <w:t>CPUC Discussion</w:t>
            </w:r>
          </w:p>
        </w:tc>
      </w:tr>
      <w:tr w:rsidRPr="00B72876" w:rsidR="00FE3BAE" w:rsidTr="00794A54" w14:paraId="5708510E" w14:textId="77777777">
        <w:tc>
          <w:tcPr>
            <w:tcW w:w="7488" w:type="dxa"/>
            <w:tcBorders>
              <w:bottom w:val="single" w:color="auto" w:sz="4" w:space="0"/>
            </w:tcBorders>
            <w:shd w:val="clear" w:color="auto" w:fill="FFFFFF" w:themeFill="background1"/>
          </w:tcPr>
          <w:p w:rsidRPr="00B72876" w:rsidR="00FE3BAE" w:rsidP="00EC6387" w:rsidRDefault="00FE3BAE" w14:paraId="2B1A1242" w14:textId="301EA38B">
            <w:pPr>
              <w:rPr>
                <w:color w:val="000000"/>
              </w:rPr>
            </w:pPr>
            <w:r w:rsidRPr="00B72876">
              <w:rPr>
                <w:b/>
                <w:color w:val="000000"/>
              </w:rPr>
              <w:t>a. Intervenor’s claim of cost reasonableness:</w:t>
            </w:r>
            <w:r w:rsidRPr="00B72876" w:rsidR="00E25078">
              <w:rPr>
                <w:color w:val="000000"/>
              </w:rPr>
              <w:t xml:space="preserve"> </w:t>
            </w:r>
            <w:r w:rsidRPr="000C5DFE" w:rsidR="000C5DFE">
              <w:rPr>
                <w:color w:val="000000"/>
              </w:rPr>
              <w:t xml:space="preserve">UCAN’s seeks an intervenor compensation award of </w:t>
            </w:r>
            <w:r w:rsidRPr="00B72876" w:rsidR="00365D26">
              <w:rPr>
                <w:b/>
                <w:color w:val="000000"/>
              </w:rPr>
              <w:t>$</w:t>
            </w:r>
            <w:r w:rsidR="00365D26">
              <w:rPr>
                <w:b/>
                <w:color w:val="000000"/>
              </w:rPr>
              <w:t>125,158.5</w:t>
            </w:r>
            <w:r w:rsidR="0041559F">
              <w:rPr>
                <w:b/>
                <w:color w:val="000000"/>
              </w:rPr>
              <w:t>6</w:t>
            </w:r>
            <w:r w:rsidR="00365D26">
              <w:rPr>
                <w:b/>
                <w:color w:val="000000"/>
              </w:rPr>
              <w:t xml:space="preserve"> </w:t>
            </w:r>
            <w:r w:rsidRPr="000C5DFE" w:rsidR="000C5DFE">
              <w:rPr>
                <w:color w:val="000000"/>
              </w:rPr>
              <w:t>as the reasonable cost of our participation in this proceeding. UCAN urges the Commission to find these costs reasonable in light of its substantial contribution to the record detailed in Part II (A) above as well as the</w:t>
            </w:r>
            <w:r w:rsidR="00CE31C7">
              <w:rPr>
                <w:color w:val="000000"/>
              </w:rPr>
              <w:t xml:space="preserve"> </w:t>
            </w:r>
            <w:r w:rsidRPr="000C5DFE" w:rsidR="000C5DFE">
              <w:rPr>
                <w:color w:val="000000"/>
              </w:rPr>
              <w:t xml:space="preserve">importance of the issues that UCAN addressed for the protection of ratepayers. UCAN’s participation helped inform the Commission on pertinent issues and topics arising in Phase I and II Decisions.  UCAN’s comments additionally supported and developed the records for this Decision. UCAN urges the Commission to </w:t>
            </w:r>
            <w:r w:rsidRPr="000C5DFE" w:rsidR="000C5DFE">
              <w:rPr>
                <w:color w:val="000000"/>
              </w:rPr>
              <w:lastRenderedPageBreak/>
              <w:t>find the costs of UCAN’s participation reasonable in light of all the related benefits to ratepayers.</w:t>
            </w:r>
          </w:p>
        </w:tc>
        <w:tc>
          <w:tcPr>
            <w:tcW w:w="2250" w:type="dxa"/>
            <w:shd w:val="clear" w:color="auto" w:fill="FFFFFF" w:themeFill="background1"/>
          </w:tcPr>
          <w:p w:rsidRPr="00B72876" w:rsidR="00FE3BAE" w:rsidP="00EC6387" w:rsidRDefault="00E2273D" w14:paraId="223B4665" w14:textId="7E0BA870">
            <w:pPr>
              <w:rPr>
                <w:color w:val="000000"/>
              </w:rPr>
            </w:pPr>
            <w:r>
              <w:rPr>
                <w:color w:val="000000"/>
              </w:rPr>
              <w:lastRenderedPageBreak/>
              <w:t xml:space="preserve">Noted. </w:t>
            </w:r>
            <w:r w:rsidRPr="00565C82" w:rsidR="00BA7366">
              <w:rPr>
                <w:i/>
                <w:iCs/>
                <w:color w:val="000000"/>
              </w:rPr>
              <w:t xml:space="preserve">See </w:t>
            </w:r>
            <w:r w:rsidR="00BA7366">
              <w:rPr>
                <w:color w:val="000000"/>
              </w:rPr>
              <w:t>Part III (D)</w:t>
            </w:r>
            <w:r w:rsidR="005D6F59">
              <w:rPr>
                <w:color w:val="000000"/>
              </w:rPr>
              <w:t xml:space="preserve"> [1]</w:t>
            </w:r>
            <w:r w:rsidR="00BA7366">
              <w:rPr>
                <w:color w:val="000000"/>
              </w:rPr>
              <w:t xml:space="preserve"> for the discussion of the claim’s reasonableness. </w:t>
            </w:r>
          </w:p>
        </w:tc>
      </w:tr>
      <w:tr w:rsidRPr="00B72876" w:rsidR="00FE3BAE" w:rsidTr="00794A54" w14:paraId="5548029C" w14:textId="77777777">
        <w:tc>
          <w:tcPr>
            <w:tcW w:w="7488" w:type="dxa"/>
            <w:shd w:val="clear" w:color="auto" w:fill="FFFFFF" w:themeFill="background1"/>
          </w:tcPr>
          <w:p w:rsidRPr="00B72876" w:rsidR="00691528" w:rsidP="00EC6387" w:rsidRDefault="00FE3BAE" w14:paraId="694F0B63" w14:textId="2FECE3D0">
            <w:pPr>
              <w:rPr>
                <w:color w:val="000000"/>
              </w:rPr>
            </w:pPr>
            <w:r w:rsidRPr="00B72876">
              <w:rPr>
                <w:b/>
                <w:color w:val="000000"/>
              </w:rPr>
              <w:t>b. Reasonableness of hours claimed:</w:t>
            </w:r>
            <w:r w:rsidRPr="00B72876" w:rsidR="00E25078">
              <w:rPr>
                <w:color w:val="000000"/>
              </w:rPr>
              <w:t xml:space="preserve"> </w:t>
            </w:r>
            <w:r w:rsidRPr="005E1918" w:rsidR="000C5DFE">
              <w:rPr>
                <w:color w:val="000000"/>
              </w:rPr>
              <w:t xml:space="preserve">In this proceeding, UCAN is claiming </w:t>
            </w:r>
            <w:r w:rsidR="00365D26">
              <w:rPr>
                <w:color w:val="000000"/>
              </w:rPr>
              <w:t>165.25</w:t>
            </w:r>
            <w:r w:rsidRPr="005E1918" w:rsidR="000C5DFE">
              <w:rPr>
                <w:color w:val="000000"/>
              </w:rPr>
              <w:t xml:space="preserve"> total hours of attorney time, </w:t>
            </w:r>
            <w:r w:rsidR="00365D26">
              <w:rPr>
                <w:color w:val="000000"/>
              </w:rPr>
              <w:t>170.75</w:t>
            </w:r>
            <w:r w:rsidR="000C5DFE">
              <w:rPr>
                <w:color w:val="000000"/>
              </w:rPr>
              <w:t xml:space="preserve"> hours of expert </w:t>
            </w:r>
            <w:r w:rsidRPr="005E1918" w:rsidR="000C5DFE">
              <w:rPr>
                <w:color w:val="000000"/>
              </w:rPr>
              <w:t xml:space="preserve">time, </w:t>
            </w:r>
            <w:r w:rsidR="000C5DFE">
              <w:rPr>
                <w:color w:val="000000"/>
              </w:rPr>
              <w:t xml:space="preserve">UCAN </w:t>
            </w:r>
            <w:r w:rsidRPr="005E1918" w:rsidR="000C5DFE">
              <w:rPr>
                <w:color w:val="000000"/>
              </w:rPr>
              <w:t xml:space="preserve">believes that </w:t>
            </w:r>
            <w:r w:rsidR="00365D26">
              <w:rPr>
                <w:color w:val="000000"/>
              </w:rPr>
              <w:t>366</w:t>
            </w:r>
            <w:r w:rsidRPr="005E1918" w:rsidR="000C5DFE">
              <w:rPr>
                <w:color w:val="000000"/>
              </w:rPr>
              <w:t xml:space="preserve"> hours of substantive work is reasonable due to the multitude of issues covered in </w:t>
            </w:r>
            <w:r w:rsidR="000C5DFE">
              <w:rPr>
                <w:color w:val="000000"/>
              </w:rPr>
              <w:t>the Phase I and II Decision</w:t>
            </w:r>
            <w:r w:rsidRPr="005E1918" w:rsidR="000C5DFE">
              <w:rPr>
                <w:color w:val="000000"/>
              </w:rPr>
              <w:t>s (see Part II (A) above).</w:t>
            </w:r>
            <w:r w:rsidR="000C5DFE">
              <w:rPr>
                <w:color w:val="000000"/>
              </w:rPr>
              <w:t xml:space="preserve">  UCAN participated in the numerous workshops and provided various comments that addressed and reviewed the diverse and specific issues and topics.</w:t>
            </w:r>
          </w:p>
        </w:tc>
        <w:tc>
          <w:tcPr>
            <w:tcW w:w="2250" w:type="dxa"/>
            <w:shd w:val="clear" w:color="auto" w:fill="FFFFFF" w:themeFill="background1"/>
          </w:tcPr>
          <w:p w:rsidRPr="00B72876" w:rsidR="00FE3BAE" w:rsidP="00EC6387" w:rsidRDefault="0040767C" w14:paraId="1874D625" w14:textId="22E04272">
            <w:pPr>
              <w:rPr>
                <w:color w:val="000000"/>
              </w:rPr>
            </w:pPr>
            <w:r>
              <w:rPr>
                <w:color w:val="000000"/>
              </w:rPr>
              <w:t>Noted</w:t>
            </w:r>
            <w:r w:rsidR="00E2273D">
              <w:rPr>
                <w:color w:val="000000"/>
              </w:rPr>
              <w:t xml:space="preserve">. </w:t>
            </w:r>
            <w:r w:rsidRPr="00565C82" w:rsidR="00E2273D">
              <w:rPr>
                <w:i/>
                <w:iCs/>
                <w:color w:val="000000"/>
              </w:rPr>
              <w:t xml:space="preserve">See </w:t>
            </w:r>
            <w:r w:rsidR="00E2273D">
              <w:rPr>
                <w:color w:val="000000"/>
              </w:rPr>
              <w:t>Part III (D) [1] for the discussion of the claim’s reasonableness.</w:t>
            </w:r>
          </w:p>
        </w:tc>
      </w:tr>
      <w:tr w:rsidRPr="00B72876" w:rsidR="00FE3BAE" w:rsidTr="00794A54" w14:paraId="3FD38B74" w14:textId="77777777">
        <w:tc>
          <w:tcPr>
            <w:tcW w:w="7488" w:type="dxa"/>
            <w:shd w:val="clear" w:color="auto" w:fill="FFFFFF" w:themeFill="background1"/>
          </w:tcPr>
          <w:p w:rsidRPr="00B72876" w:rsidR="00FE3BAE" w:rsidP="00EC6387" w:rsidRDefault="00FE3BAE" w14:paraId="46990B37" w14:textId="569E5E0F">
            <w:pPr>
              <w:rPr>
                <w:color w:val="000000"/>
              </w:rPr>
            </w:pPr>
            <w:r w:rsidRPr="00B72876">
              <w:rPr>
                <w:b/>
                <w:color w:val="000000"/>
              </w:rPr>
              <w:t>c. Allocation of hours by issue:</w:t>
            </w:r>
            <w:r w:rsidRPr="00B72876" w:rsidR="00E25078">
              <w:rPr>
                <w:color w:val="000000"/>
              </w:rPr>
              <w:t xml:space="preserve"> </w:t>
            </w:r>
          </w:p>
          <w:tbl>
            <w:tblPr>
              <w:tblW w:w="5282" w:type="dxa"/>
              <w:tblLayout w:type="fixed"/>
              <w:tblLook w:val="04A0" w:firstRow="1" w:lastRow="0" w:firstColumn="1" w:lastColumn="0" w:noHBand="0" w:noVBand="1"/>
            </w:tblPr>
            <w:tblGrid>
              <w:gridCol w:w="1281"/>
              <w:gridCol w:w="1281"/>
              <w:gridCol w:w="2720"/>
            </w:tblGrid>
            <w:tr w:rsidR="000C5DFE" w:rsidTr="00365D26" w14:paraId="5C7016F0" w14:textId="77777777">
              <w:trPr>
                <w:trHeight w:val="329"/>
              </w:trPr>
              <w:tc>
                <w:tcPr>
                  <w:tcW w:w="1281" w:type="dxa"/>
                  <w:tcBorders>
                    <w:bottom w:val="single" w:color="auto" w:sz="4" w:space="0"/>
                  </w:tcBorders>
                </w:tcPr>
                <w:p w:rsidR="000C5DFE" w:rsidP="000C5DFE" w:rsidRDefault="000C5DFE" w14:paraId="529CC151" w14:textId="77777777">
                  <w:pPr>
                    <w:jc w:val="center"/>
                    <w:rPr>
                      <w:color w:val="000000"/>
                    </w:rPr>
                  </w:pPr>
                  <w:r>
                    <w:rPr>
                      <w:color w:val="000000"/>
                    </w:rPr>
                    <w:t>Total Hours</w:t>
                  </w:r>
                </w:p>
              </w:tc>
              <w:tc>
                <w:tcPr>
                  <w:tcW w:w="1281" w:type="dxa"/>
                  <w:tcBorders>
                    <w:bottom w:val="single" w:color="auto" w:sz="4" w:space="0"/>
                  </w:tcBorders>
                  <w:shd w:val="clear" w:color="auto" w:fill="auto"/>
                  <w:vAlign w:val="center"/>
                  <w:hideMark/>
                </w:tcPr>
                <w:p w:rsidR="000C5DFE" w:rsidP="000C5DFE" w:rsidRDefault="000C5DFE" w14:paraId="62B11F49" w14:textId="77777777">
                  <w:pPr>
                    <w:jc w:val="center"/>
                    <w:rPr>
                      <w:color w:val="000000"/>
                    </w:rPr>
                  </w:pPr>
                  <w:r>
                    <w:rPr>
                      <w:color w:val="000000"/>
                    </w:rPr>
                    <w:t>% of Hours per Issue</w:t>
                  </w:r>
                </w:p>
              </w:tc>
              <w:tc>
                <w:tcPr>
                  <w:tcW w:w="2720" w:type="dxa"/>
                  <w:tcBorders>
                    <w:bottom w:val="single" w:color="auto" w:sz="4" w:space="0"/>
                  </w:tcBorders>
                  <w:shd w:val="clear" w:color="auto" w:fill="auto"/>
                  <w:vAlign w:val="center"/>
                  <w:hideMark/>
                </w:tcPr>
                <w:p w:rsidR="000C5DFE" w:rsidP="000C5DFE" w:rsidRDefault="000C5DFE" w14:paraId="400A0BB6" w14:textId="77777777">
                  <w:pPr>
                    <w:jc w:val="center"/>
                    <w:rPr>
                      <w:color w:val="000000"/>
                    </w:rPr>
                  </w:pPr>
                  <w:r>
                    <w:rPr>
                      <w:color w:val="000000"/>
                    </w:rPr>
                    <w:t>Issue</w:t>
                  </w:r>
                </w:p>
              </w:tc>
            </w:tr>
            <w:tr w:rsidR="000C5DFE" w:rsidTr="00365D26" w14:paraId="4038234F" w14:textId="77777777">
              <w:trPr>
                <w:trHeight w:val="329"/>
              </w:trPr>
              <w:tc>
                <w:tcPr>
                  <w:tcW w:w="1281" w:type="dxa"/>
                  <w:tcBorders>
                    <w:top w:val="single" w:color="auto" w:sz="4" w:space="0"/>
                    <w:bottom w:val="single" w:color="auto" w:sz="4" w:space="0"/>
                    <w:right w:val="single" w:color="auto" w:sz="4" w:space="0"/>
                  </w:tcBorders>
                  <w:shd w:val="clear" w:color="auto" w:fill="auto"/>
                  <w:vAlign w:val="center"/>
                  <w:hideMark/>
                </w:tcPr>
                <w:p w:rsidR="000C5DFE" w:rsidP="000C5DFE" w:rsidRDefault="000C5DFE" w14:paraId="532CDC83" w14:textId="77777777">
                  <w:pPr>
                    <w:jc w:val="center"/>
                    <w:rPr>
                      <w:color w:val="000000"/>
                    </w:rPr>
                  </w:pPr>
                  <w:r>
                    <w:rPr>
                      <w:color w:val="000000"/>
                    </w:rPr>
                    <w:t>8.45</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0C5DFE" w:rsidP="000C5DFE" w:rsidRDefault="000C5DFE" w14:paraId="7B1479EF" w14:textId="77777777">
                  <w:pPr>
                    <w:jc w:val="center"/>
                    <w:rPr>
                      <w:color w:val="000000"/>
                    </w:rPr>
                  </w:pPr>
                  <w:r>
                    <w:rPr>
                      <w:color w:val="000000"/>
                    </w:rPr>
                    <w:t>3%</w:t>
                  </w:r>
                </w:p>
              </w:tc>
              <w:tc>
                <w:tcPr>
                  <w:tcW w:w="2720" w:type="dxa"/>
                  <w:tcBorders>
                    <w:top w:val="single" w:color="auto" w:sz="4" w:space="0"/>
                    <w:left w:val="single" w:color="auto" w:sz="4" w:space="0"/>
                    <w:bottom w:val="single" w:color="auto" w:sz="4" w:space="0"/>
                  </w:tcBorders>
                  <w:shd w:val="clear" w:color="auto" w:fill="auto"/>
                  <w:vAlign w:val="center"/>
                  <w:hideMark/>
                </w:tcPr>
                <w:p w:rsidR="000C5DFE" w:rsidP="000C5DFE" w:rsidRDefault="000C5DFE" w14:paraId="5B96B8B0" w14:textId="77777777">
                  <w:pPr>
                    <w:rPr>
                      <w:color w:val="000000"/>
                    </w:rPr>
                  </w:pPr>
                  <w:r>
                    <w:rPr>
                      <w:color w:val="000000"/>
                    </w:rPr>
                    <w:t>1. General Prep (GP)</w:t>
                  </w:r>
                </w:p>
              </w:tc>
            </w:tr>
            <w:tr w:rsidR="000C5DFE" w:rsidTr="00365D26" w14:paraId="480DB658" w14:textId="77777777">
              <w:trPr>
                <w:trHeight w:val="329"/>
              </w:trPr>
              <w:tc>
                <w:tcPr>
                  <w:tcW w:w="1281" w:type="dxa"/>
                  <w:tcBorders>
                    <w:top w:val="single" w:color="auto" w:sz="4" w:space="0"/>
                    <w:bottom w:val="single" w:color="auto" w:sz="4" w:space="0"/>
                    <w:right w:val="single" w:color="auto" w:sz="4" w:space="0"/>
                  </w:tcBorders>
                  <w:shd w:val="clear" w:color="auto" w:fill="auto"/>
                  <w:vAlign w:val="center"/>
                  <w:hideMark/>
                </w:tcPr>
                <w:p w:rsidR="000C5DFE" w:rsidP="000C5DFE" w:rsidRDefault="000C5DFE" w14:paraId="44AF72B4" w14:textId="77777777">
                  <w:pPr>
                    <w:jc w:val="center"/>
                    <w:rPr>
                      <w:color w:val="000000"/>
                    </w:rPr>
                  </w:pPr>
                  <w:r>
                    <w:rPr>
                      <w:color w:val="000000"/>
                    </w:rPr>
                    <w:t>156</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0C5DFE" w:rsidP="000C5DFE" w:rsidRDefault="000C5DFE" w14:paraId="19D0378A" w14:textId="77777777">
                  <w:pPr>
                    <w:jc w:val="center"/>
                    <w:rPr>
                      <w:color w:val="000000"/>
                    </w:rPr>
                  </w:pPr>
                  <w:r>
                    <w:rPr>
                      <w:color w:val="000000"/>
                    </w:rPr>
                    <w:t>49%</w:t>
                  </w:r>
                </w:p>
              </w:tc>
              <w:tc>
                <w:tcPr>
                  <w:tcW w:w="2720" w:type="dxa"/>
                  <w:tcBorders>
                    <w:top w:val="single" w:color="auto" w:sz="4" w:space="0"/>
                    <w:left w:val="single" w:color="auto" w:sz="4" w:space="0"/>
                    <w:bottom w:val="single" w:color="auto" w:sz="4" w:space="0"/>
                  </w:tcBorders>
                  <w:shd w:val="clear" w:color="auto" w:fill="auto"/>
                  <w:vAlign w:val="center"/>
                  <w:hideMark/>
                </w:tcPr>
                <w:p w:rsidR="000C5DFE" w:rsidP="000C5DFE" w:rsidRDefault="000C5DFE" w14:paraId="63EF5BEF" w14:textId="77777777">
                  <w:pPr>
                    <w:rPr>
                      <w:color w:val="000000"/>
                    </w:rPr>
                  </w:pPr>
                  <w:r>
                    <w:rPr>
                      <w:color w:val="000000"/>
                    </w:rPr>
                    <w:t>2. Hearings, Workshops,</w:t>
                  </w:r>
                </w:p>
                <w:p w:rsidR="000C5DFE" w:rsidP="000C5DFE" w:rsidRDefault="000C5DFE" w14:paraId="70A6BF81" w14:textId="77777777">
                  <w:pPr>
                    <w:rPr>
                      <w:color w:val="000000"/>
                    </w:rPr>
                  </w:pPr>
                  <w:r>
                    <w:rPr>
                      <w:color w:val="000000"/>
                    </w:rPr>
                    <w:t xml:space="preserve"> and Conferences (HWC)</w:t>
                  </w:r>
                </w:p>
              </w:tc>
            </w:tr>
            <w:tr w:rsidR="000C5DFE" w:rsidTr="00365D26" w14:paraId="02C31218" w14:textId="77777777">
              <w:trPr>
                <w:trHeight w:val="345"/>
              </w:trPr>
              <w:tc>
                <w:tcPr>
                  <w:tcW w:w="1281" w:type="dxa"/>
                  <w:tcBorders>
                    <w:top w:val="single" w:color="auto" w:sz="4" w:space="0"/>
                    <w:bottom w:val="single" w:color="auto" w:sz="4" w:space="0"/>
                    <w:right w:val="single" w:color="auto" w:sz="4" w:space="0"/>
                  </w:tcBorders>
                  <w:shd w:val="clear" w:color="auto" w:fill="auto"/>
                  <w:vAlign w:val="center"/>
                  <w:hideMark/>
                </w:tcPr>
                <w:p w:rsidR="000C5DFE" w:rsidP="000C5DFE" w:rsidRDefault="000C5DFE" w14:paraId="511918D2" w14:textId="77777777">
                  <w:pPr>
                    <w:jc w:val="center"/>
                    <w:rPr>
                      <w:color w:val="000000"/>
                    </w:rPr>
                  </w:pPr>
                  <w:r>
                    <w:rPr>
                      <w:color w:val="000000"/>
                    </w:rPr>
                    <w:t>151.25</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0C5DFE" w:rsidP="000C5DFE" w:rsidRDefault="000C5DFE" w14:paraId="4ADA1BBC" w14:textId="77777777">
                  <w:pPr>
                    <w:jc w:val="center"/>
                    <w:rPr>
                      <w:color w:val="000000"/>
                    </w:rPr>
                  </w:pPr>
                  <w:r>
                    <w:rPr>
                      <w:color w:val="000000"/>
                    </w:rPr>
                    <w:t>48%</w:t>
                  </w:r>
                </w:p>
              </w:tc>
              <w:tc>
                <w:tcPr>
                  <w:tcW w:w="2720" w:type="dxa"/>
                  <w:tcBorders>
                    <w:top w:val="single" w:color="auto" w:sz="4" w:space="0"/>
                    <w:left w:val="single" w:color="auto" w:sz="4" w:space="0"/>
                    <w:bottom w:val="single" w:color="auto" w:sz="4" w:space="0"/>
                  </w:tcBorders>
                  <w:shd w:val="clear" w:color="auto" w:fill="auto"/>
                  <w:vAlign w:val="center"/>
                  <w:hideMark/>
                </w:tcPr>
                <w:p w:rsidR="000C5DFE" w:rsidP="000C5DFE" w:rsidRDefault="000C5DFE" w14:paraId="2C66E745" w14:textId="77777777">
                  <w:pPr>
                    <w:rPr>
                      <w:color w:val="000000"/>
                    </w:rPr>
                  </w:pPr>
                  <w:r>
                    <w:rPr>
                      <w:color w:val="000000"/>
                    </w:rPr>
                    <w:t>3. Filings (F)</w:t>
                  </w:r>
                </w:p>
              </w:tc>
            </w:tr>
            <w:tr w:rsidR="000C5DFE" w:rsidTr="00365D26" w14:paraId="31FCB210" w14:textId="77777777">
              <w:trPr>
                <w:trHeight w:val="329"/>
              </w:trPr>
              <w:tc>
                <w:tcPr>
                  <w:tcW w:w="1281" w:type="dxa"/>
                  <w:tcBorders>
                    <w:top w:val="single" w:color="auto" w:sz="4" w:space="0"/>
                  </w:tcBorders>
                  <w:shd w:val="clear" w:color="auto" w:fill="auto"/>
                  <w:vAlign w:val="center"/>
                  <w:hideMark/>
                </w:tcPr>
                <w:p w:rsidR="000C5DFE" w:rsidP="000C5DFE" w:rsidRDefault="000C5DFE" w14:paraId="1099D5E6" w14:textId="77777777">
                  <w:pPr>
                    <w:jc w:val="center"/>
                    <w:rPr>
                      <w:b/>
                      <w:bCs/>
                      <w:color w:val="000000"/>
                    </w:rPr>
                  </w:pPr>
                  <w:r>
                    <w:rPr>
                      <w:b/>
                      <w:bCs/>
                      <w:color w:val="000000"/>
                    </w:rPr>
                    <w:t>315.7</w:t>
                  </w:r>
                </w:p>
              </w:tc>
              <w:tc>
                <w:tcPr>
                  <w:tcW w:w="1281" w:type="dxa"/>
                  <w:tcBorders>
                    <w:top w:val="single" w:color="auto" w:sz="4" w:space="0"/>
                  </w:tcBorders>
                  <w:shd w:val="clear" w:color="auto" w:fill="auto"/>
                  <w:vAlign w:val="center"/>
                  <w:hideMark/>
                </w:tcPr>
                <w:p w:rsidR="000C5DFE" w:rsidP="000C5DFE" w:rsidRDefault="000C5DFE" w14:paraId="78AF8E5A" w14:textId="77777777">
                  <w:pPr>
                    <w:jc w:val="center"/>
                    <w:rPr>
                      <w:b/>
                      <w:bCs/>
                      <w:color w:val="000000"/>
                    </w:rPr>
                  </w:pPr>
                  <w:r>
                    <w:rPr>
                      <w:b/>
                      <w:bCs/>
                      <w:color w:val="000000"/>
                    </w:rPr>
                    <w:t>100%</w:t>
                  </w:r>
                </w:p>
              </w:tc>
              <w:tc>
                <w:tcPr>
                  <w:tcW w:w="2720" w:type="dxa"/>
                  <w:tcBorders>
                    <w:top w:val="single" w:color="auto" w:sz="4" w:space="0"/>
                  </w:tcBorders>
                  <w:shd w:val="clear" w:color="auto" w:fill="auto"/>
                  <w:vAlign w:val="center"/>
                  <w:hideMark/>
                </w:tcPr>
                <w:p w:rsidR="000C5DFE" w:rsidP="000C5DFE" w:rsidRDefault="000C5DFE" w14:paraId="01F51393" w14:textId="77777777">
                  <w:pPr>
                    <w:jc w:val="center"/>
                    <w:rPr>
                      <w:b/>
                      <w:bCs/>
                      <w:color w:val="000000"/>
                    </w:rPr>
                  </w:pPr>
                </w:p>
              </w:tc>
            </w:tr>
          </w:tbl>
          <w:p w:rsidRPr="00B72876" w:rsidR="00691528" w:rsidP="00EC6387" w:rsidRDefault="00691528" w14:paraId="3285939A" w14:textId="77777777">
            <w:pPr>
              <w:rPr>
                <w:color w:val="000000"/>
              </w:rPr>
            </w:pPr>
          </w:p>
        </w:tc>
        <w:tc>
          <w:tcPr>
            <w:tcW w:w="2250" w:type="dxa"/>
            <w:shd w:val="clear" w:color="auto" w:fill="FFFFFF" w:themeFill="background1"/>
          </w:tcPr>
          <w:p w:rsidRPr="00B72876" w:rsidR="00FE3BAE" w:rsidP="00EC6387" w:rsidRDefault="00BA7366" w14:paraId="497C4799" w14:textId="49CC5205">
            <w:pPr>
              <w:rPr>
                <w:color w:val="000000"/>
              </w:rPr>
            </w:pPr>
            <w:r>
              <w:rPr>
                <w:color w:val="000000"/>
              </w:rPr>
              <w:t xml:space="preserve">Allocation of hours by issue is not reasonable. </w:t>
            </w:r>
            <w:r w:rsidRPr="00565C82">
              <w:rPr>
                <w:i/>
                <w:iCs/>
                <w:color w:val="000000"/>
              </w:rPr>
              <w:t>See</w:t>
            </w:r>
            <w:r>
              <w:rPr>
                <w:color w:val="000000"/>
              </w:rPr>
              <w:t xml:space="preserve"> Part III (D)</w:t>
            </w:r>
            <w:r w:rsidR="005D6F59">
              <w:rPr>
                <w:color w:val="000000"/>
              </w:rPr>
              <w:t xml:space="preserve"> [1]</w:t>
            </w:r>
            <w:r>
              <w:rPr>
                <w:color w:val="000000"/>
              </w:rPr>
              <w:t xml:space="preserve"> for the discussion on this matter.</w:t>
            </w:r>
          </w:p>
        </w:tc>
      </w:tr>
    </w:tbl>
    <w:p w:rsidRPr="00B72876" w:rsidR="00A92D0B" w:rsidP="00293A56" w:rsidRDefault="00A92D0B" w14:paraId="710BC7D6" w14:textId="77777777">
      <w:pPr>
        <w:keepNext/>
        <w:numPr>
          <w:ilvl w:val="0"/>
          <w:numId w:val="9"/>
        </w:numPr>
        <w:spacing w:before="240" w:after="240"/>
        <w:rPr>
          <w:b/>
          <w:color w:val="000000"/>
        </w:rPr>
      </w:pPr>
      <w:r w:rsidRPr="00B72876">
        <w:rPr>
          <w:b/>
          <w:color w:val="000000"/>
        </w:rPr>
        <w:t>Specific Claim</w:t>
      </w:r>
      <w:r w:rsidRPr="00B72876" w:rsidR="00C02649">
        <w:rPr>
          <w:b/>
          <w:color w:val="000000"/>
        </w:rPr>
        <w:t>:</w:t>
      </w:r>
      <w:r w:rsidRPr="00B72876" w:rsidR="00D075B1">
        <w:rPr>
          <w:b/>
          <w:color w:val="000000"/>
        </w:rPr>
        <w:t>*</w:t>
      </w:r>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89"/>
        <w:gridCol w:w="821"/>
        <w:gridCol w:w="382"/>
        <w:gridCol w:w="502"/>
        <w:gridCol w:w="1031"/>
        <w:gridCol w:w="376"/>
        <w:gridCol w:w="1244"/>
        <w:gridCol w:w="1047"/>
        <w:gridCol w:w="286"/>
        <w:gridCol w:w="955"/>
        <w:gridCol w:w="1146"/>
        <w:gridCol w:w="1881"/>
      </w:tblGrid>
      <w:tr w:rsidRPr="00B72876" w:rsidR="00A92D0B" w:rsidTr="00EC6387" w14:paraId="780664A2" w14:textId="77777777">
        <w:trPr>
          <w:tblHeader/>
          <w:jc w:val="center"/>
        </w:trPr>
        <w:tc>
          <w:tcPr>
            <w:tcW w:w="7178" w:type="dxa"/>
            <w:gridSpan w:val="9"/>
            <w:tcBorders>
              <w:bottom w:val="single" w:color="auto" w:sz="4" w:space="0"/>
              <w:right w:val="single" w:color="auto" w:sz="24" w:space="0"/>
            </w:tcBorders>
            <w:shd w:val="clear" w:color="auto" w:fill="auto"/>
          </w:tcPr>
          <w:p w:rsidRPr="00B72876" w:rsidR="00A92D0B" w:rsidP="00293A56" w:rsidRDefault="00A92D0B" w14:paraId="6BFE54DA" w14:textId="77777777">
            <w:pPr>
              <w:keepNext/>
              <w:keepLines/>
              <w:spacing w:before="60" w:after="60"/>
              <w:jc w:val="center"/>
              <w:rPr>
                <w:b/>
                <w:smallCaps/>
                <w:color w:val="000000"/>
              </w:rPr>
            </w:pPr>
            <w:r w:rsidRPr="00B72876">
              <w:rPr>
                <w:b/>
                <w:smallCaps/>
                <w:color w:val="000000"/>
              </w:rPr>
              <w:t>Claimed</w:t>
            </w:r>
          </w:p>
        </w:tc>
        <w:tc>
          <w:tcPr>
            <w:tcW w:w="3982" w:type="dxa"/>
            <w:gridSpan w:val="3"/>
            <w:tcBorders>
              <w:left w:val="single" w:color="auto" w:sz="24" w:space="0"/>
              <w:bottom w:val="single" w:color="auto" w:sz="4" w:space="0"/>
            </w:tcBorders>
            <w:shd w:val="clear" w:color="auto" w:fill="auto"/>
          </w:tcPr>
          <w:p w:rsidRPr="00B72876" w:rsidR="00A92D0B" w:rsidP="00293A56" w:rsidRDefault="00A92D0B" w14:paraId="170A0FA1" w14:textId="77777777">
            <w:pPr>
              <w:keepNext/>
              <w:keepLines/>
              <w:spacing w:before="60" w:after="60"/>
              <w:jc w:val="center"/>
              <w:rPr>
                <w:b/>
                <w:smallCaps/>
                <w:color w:val="000000"/>
              </w:rPr>
            </w:pPr>
            <w:r w:rsidRPr="00B72876">
              <w:rPr>
                <w:b/>
                <w:smallCaps/>
                <w:color w:val="000000"/>
              </w:rPr>
              <w:t>CPUC Award</w:t>
            </w:r>
          </w:p>
        </w:tc>
      </w:tr>
      <w:tr w:rsidRPr="00B72876" w:rsidR="00A92D0B" w:rsidTr="00EC6387" w14:paraId="0F5B6CAA"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B72876" w:rsidR="00A92D0B" w:rsidP="00293A56" w:rsidRDefault="00A92D0B" w14:paraId="284F9031" w14:textId="77777777">
            <w:pPr>
              <w:keepNext/>
              <w:keepLines/>
              <w:spacing w:before="60" w:after="60"/>
              <w:jc w:val="center"/>
              <w:rPr>
                <w:b/>
              </w:rPr>
            </w:pPr>
            <w:r w:rsidRPr="00B72876">
              <w:rPr>
                <w:b/>
              </w:rPr>
              <w:t>ATTORNEY, EXPERT, AND ADVOCATE FEES</w:t>
            </w:r>
          </w:p>
        </w:tc>
      </w:tr>
      <w:tr w:rsidRPr="00B72876" w:rsidR="00A92D0B" w:rsidTr="00E44BF4" w14:paraId="5A70C962" w14:textId="77777777">
        <w:trPr>
          <w:jc w:val="center"/>
        </w:trPr>
        <w:tc>
          <w:tcPr>
            <w:tcW w:w="1489" w:type="dxa"/>
            <w:tcBorders>
              <w:top w:val="single" w:color="auto" w:sz="4" w:space="0"/>
              <w:bottom w:val="single" w:color="auto" w:sz="4" w:space="0"/>
            </w:tcBorders>
            <w:shd w:val="clear" w:color="auto" w:fill="auto"/>
            <w:vAlign w:val="bottom"/>
          </w:tcPr>
          <w:p w:rsidRPr="00B72876" w:rsidR="00A92D0B" w:rsidP="00293A56" w:rsidRDefault="00A92D0B" w14:paraId="41646676" w14:textId="77777777">
            <w:pPr>
              <w:keepNext/>
              <w:keepLines/>
              <w:spacing w:before="60" w:after="60"/>
              <w:jc w:val="center"/>
              <w:rPr>
                <w:b/>
                <w:color w:val="000000"/>
              </w:rPr>
            </w:pPr>
            <w:r w:rsidRPr="00B72876">
              <w:rPr>
                <w:b/>
                <w:color w:val="000000"/>
              </w:rPr>
              <w:t>Item</w:t>
            </w:r>
          </w:p>
        </w:tc>
        <w:tc>
          <w:tcPr>
            <w:tcW w:w="821" w:type="dxa"/>
            <w:tcBorders>
              <w:top w:val="single" w:color="auto" w:sz="4" w:space="0"/>
              <w:bottom w:val="single" w:color="auto" w:sz="4" w:space="0"/>
            </w:tcBorders>
            <w:shd w:val="clear" w:color="auto" w:fill="auto"/>
            <w:vAlign w:val="bottom"/>
          </w:tcPr>
          <w:p w:rsidRPr="00B72876" w:rsidR="00A92D0B" w:rsidP="00293A56" w:rsidRDefault="00A92D0B" w14:paraId="43BB9941" w14:textId="77777777">
            <w:pPr>
              <w:keepNext/>
              <w:keepLines/>
              <w:spacing w:before="60" w:after="60"/>
              <w:jc w:val="center"/>
              <w:rPr>
                <w:b/>
                <w:color w:val="000000"/>
              </w:rPr>
            </w:pPr>
            <w:r w:rsidRPr="00B72876">
              <w:rPr>
                <w:b/>
                <w:color w:val="000000"/>
              </w:rPr>
              <w:t>Year</w:t>
            </w:r>
          </w:p>
        </w:tc>
        <w:tc>
          <w:tcPr>
            <w:tcW w:w="884" w:type="dxa"/>
            <w:gridSpan w:val="2"/>
            <w:tcBorders>
              <w:top w:val="single" w:color="auto" w:sz="4" w:space="0"/>
              <w:bottom w:val="single" w:color="auto" w:sz="4" w:space="0"/>
            </w:tcBorders>
            <w:shd w:val="clear" w:color="auto" w:fill="auto"/>
            <w:vAlign w:val="bottom"/>
          </w:tcPr>
          <w:p w:rsidRPr="00B72876" w:rsidR="00A92D0B" w:rsidP="00293A56" w:rsidRDefault="00A92D0B" w14:paraId="0EF32B08" w14:textId="77777777">
            <w:pPr>
              <w:keepNext/>
              <w:keepLines/>
              <w:spacing w:before="60" w:after="60"/>
              <w:jc w:val="center"/>
              <w:rPr>
                <w:b/>
                <w:color w:val="000000"/>
              </w:rPr>
            </w:pPr>
            <w:r w:rsidRPr="00B72876">
              <w:rPr>
                <w:b/>
                <w:color w:val="000000"/>
              </w:rPr>
              <w:t>Hours</w:t>
            </w:r>
          </w:p>
        </w:tc>
        <w:tc>
          <w:tcPr>
            <w:tcW w:w="1031" w:type="dxa"/>
            <w:tcBorders>
              <w:top w:val="single" w:color="auto" w:sz="4" w:space="0"/>
              <w:bottom w:val="single" w:color="auto" w:sz="4" w:space="0"/>
            </w:tcBorders>
            <w:shd w:val="clear" w:color="auto" w:fill="auto"/>
            <w:vAlign w:val="bottom"/>
          </w:tcPr>
          <w:p w:rsidRPr="00B72876" w:rsidR="00A92D0B" w:rsidP="00293A56" w:rsidRDefault="00A92D0B" w14:paraId="21C69246" w14:textId="77777777">
            <w:pPr>
              <w:keepNext/>
              <w:keepLines/>
              <w:spacing w:before="60" w:after="60"/>
              <w:jc w:val="center"/>
              <w:rPr>
                <w:b/>
                <w:color w:val="000000"/>
              </w:rPr>
            </w:pPr>
            <w:r w:rsidRPr="00B72876">
              <w:rPr>
                <w:b/>
                <w:color w:val="000000"/>
              </w:rPr>
              <w:t>Rate</w:t>
            </w:r>
            <w:r w:rsidRPr="00B72876" w:rsidR="00E3786F">
              <w:rPr>
                <w:b/>
                <w:color w:val="000000"/>
              </w:rPr>
              <w:t xml:space="preserve"> $</w:t>
            </w:r>
          </w:p>
        </w:tc>
        <w:tc>
          <w:tcPr>
            <w:tcW w:w="1620" w:type="dxa"/>
            <w:gridSpan w:val="2"/>
            <w:tcBorders>
              <w:top w:val="single" w:color="auto" w:sz="4" w:space="0"/>
              <w:bottom w:val="single" w:color="auto" w:sz="4" w:space="0"/>
              <w:right w:val="single" w:color="auto" w:sz="4" w:space="0"/>
            </w:tcBorders>
            <w:shd w:val="clear" w:color="auto" w:fill="auto"/>
            <w:vAlign w:val="bottom"/>
          </w:tcPr>
          <w:p w:rsidRPr="00B72876" w:rsidR="00A92D0B" w:rsidP="00293A56" w:rsidRDefault="00A92D0B" w14:paraId="59E63C07" w14:textId="77777777">
            <w:pPr>
              <w:keepNext/>
              <w:keepLines/>
              <w:spacing w:before="60" w:after="60"/>
              <w:jc w:val="center"/>
              <w:rPr>
                <w:b/>
                <w:color w:val="000000"/>
              </w:rPr>
            </w:pPr>
            <w:r w:rsidRPr="00B72876">
              <w:rPr>
                <w:b/>
                <w:color w:val="000000"/>
              </w:rPr>
              <w:t>Basis for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B72876" w:rsidR="00A92D0B" w:rsidP="00293A56" w:rsidRDefault="00A92D0B" w14:paraId="7099C603" w14:textId="77777777">
            <w:pPr>
              <w:keepNext/>
              <w:keepLines/>
              <w:spacing w:before="60" w:after="60"/>
              <w:jc w:val="center"/>
              <w:rPr>
                <w:b/>
                <w:color w:val="000000"/>
              </w:rPr>
            </w:pPr>
            <w:r w:rsidRPr="00B72876">
              <w:rPr>
                <w:b/>
                <w:color w:val="000000"/>
              </w:rPr>
              <w:t>Total $</w:t>
            </w:r>
          </w:p>
        </w:tc>
        <w:tc>
          <w:tcPr>
            <w:tcW w:w="955" w:type="dxa"/>
            <w:tcBorders>
              <w:top w:val="single" w:color="auto" w:sz="4" w:space="0"/>
              <w:left w:val="single" w:color="auto" w:sz="4" w:space="0"/>
            </w:tcBorders>
            <w:shd w:val="clear" w:color="auto" w:fill="auto"/>
            <w:vAlign w:val="bottom"/>
          </w:tcPr>
          <w:p w:rsidRPr="00B72876" w:rsidR="00A92D0B" w:rsidP="00293A56" w:rsidRDefault="00A92D0B" w14:paraId="564E4964" w14:textId="77777777">
            <w:pPr>
              <w:keepNext/>
              <w:keepLines/>
              <w:spacing w:before="60" w:after="60"/>
              <w:jc w:val="center"/>
              <w:rPr>
                <w:b/>
                <w:color w:val="000000"/>
              </w:rPr>
            </w:pPr>
            <w:r w:rsidRPr="00B72876">
              <w:rPr>
                <w:b/>
                <w:color w:val="000000"/>
              </w:rPr>
              <w:t>Hours</w:t>
            </w:r>
          </w:p>
        </w:tc>
        <w:tc>
          <w:tcPr>
            <w:tcW w:w="1146" w:type="dxa"/>
            <w:tcBorders>
              <w:top w:val="single" w:color="auto" w:sz="4" w:space="0"/>
            </w:tcBorders>
            <w:shd w:val="clear" w:color="auto" w:fill="auto"/>
            <w:vAlign w:val="bottom"/>
          </w:tcPr>
          <w:p w:rsidRPr="00B72876" w:rsidR="00A92D0B" w:rsidP="00293A56" w:rsidRDefault="00A92D0B" w14:paraId="1462552D" w14:textId="77777777">
            <w:pPr>
              <w:keepNext/>
              <w:keepLines/>
              <w:spacing w:before="60" w:after="60"/>
              <w:jc w:val="center"/>
              <w:rPr>
                <w:b/>
                <w:color w:val="000000"/>
              </w:rPr>
            </w:pPr>
            <w:r w:rsidRPr="00B72876">
              <w:rPr>
                <w:b/>
                <w:color w:val="000000"/>
              </w:rPr>
              <w:t>Rate</w:t>
            </w:r>
            <w:r w:rsidRPr="00B72876" w:rsidR="00E3786F">
              <w:rPr>
                <w:b/>
                <w:color w:val="000000"/>
              </w:rPr>
              <w:t xml:space="preserve"> $</w:t>
            </w:r>
          </w:p>
        </w:tc>
        <w:tc>
          <w:tcPr>
            <w:tcW w:w="1881" w:type="dxa"/>
            <w:tcBorders>
              <w:top w:val="single" w:color="auto" w:sz="4" w:space="0"/>
            </w:tcBorders>
            <w:shd w:val="clear" w:color="auto" w:fill="auto"/>
            <w:vAlign w:val="bottom"/>
          </w:tcPr>
          <w:p w:rsidRPr="00B72876" w:rsidR="00A92D0B" w:rsidP="00293A56" w:rsidRDefault="00A92D0B" w14:paraId="1B6A5CA4" w14:textId="77777777">
            <w:pPr>
              <w:keepNext/>
              <w:keepLines/>
              <w:spacing w:before="60" w:after="60"/>
              <w:jc w:val="center"/>
              <w:rPr>
                <w:b/>
                <w:color w:val="000000"/>
              </w:rPr>
            </w:pPr>
            <w:r w:rsidRPr="00B72876">
              <w:rPr>
                <w:b/>
                <w:color w:val="000000"/>
              </w:rPr>
              <w:t>Total $</w:t>
            </w:r>
          </w:p>
        </w:tc>
      </w:tr>
      <w:tr w:rsidRPr="00B72876" w:rsidR="00A51797" w:rsidTr="00794A54" w14:paraId="62E8A168" w14:textId="77777777">
        <w:trPr>
          <w:jc w:val="center"/>
        </w:trPr>
        <w:tc>
          <w:tcPr>
            <w:tcW w:w="1489" w:type="dxa"/>
            <w:shd w:val="clear" w:color="auto" w:fill="FFFFFF" w:themeFill="background1"/>
          </w:tcPr>
          <w:p w:rsidRPr="00B72876" w:rsidR="00A51797" w:rsidP="00293A56" w:rsidRDefault="00A51797" w14:paraId="33EA8B38" w14:textId="5D450672">
            <w:pPr>
              <w:spacing w:before="60" w:after="60"/>
              <w:rPr>
                <w:color w:val="000000"/>
              </w:rPr>
            </w:pPr>
            <w:r w:rsidRPr="00B72876">
              <w:rPr>
                <w:color w:val="000000"/>
              </w:rPr>
              <w:t>Edward Lopez</w:t>
            </w:r>
          </w:p>
        </w:tc>
        <w:tc>
          <w:tcPr>
            <w:tcW w:w="821" w:type="dxa"/>
            <w:shd w:val="clear" w:color="auto" w:fill="FFFFFF" w:themeFill="background1"/>
            <w:vAlign w:val="center"/>
          </w:tcPr>
          <w:p w:rsidRPr="00B72876" w:rsidR="00A51797" w:rsidP="00293A56" w:rsidRDefault="00A51797" w14:paraId="47EBBC49" w14:textId="2DE74375">
            <w:pPr>
              <w:spacing w:before="60" w:after="60"/>
              <w:jc w:val="center"/>
              <w:rPr>
                <w:color w:val="000000"/>
              </w:rPr>
            </w:pPr>
            <w:r w:rsidRPr="00B72876">
              <w:rPr>
                <w:color w:val="000000"/>
              </w:rPr>
              <w:t>2020</w:t>
            </w:r>
          </w:p>
        </w:tc>
        <w:tc>
          <w:tcPr>
            <w:tcW w:w="884" w:type="dxa"/>
            <w:gridSpan w:val="2"/>
            <w:shd w:val="clear" w:color="auto" w:fill="FFFFFF" w:themeFill="background1"/>
            <w:vAlign w:val="center"/>
          </w:tcPr>
          <w:p w:rsidRPr="00A51797" w:rsidR="00A51797" w:rsidP="00293A56" w:rsidRDefault="00A51797" w14:paraId="39A3074C" w14:textId="14CECD7E">
            <w:pPr>
              <w:spacing w:before="60" w:after="60"/>
              <w:jc w:val="center"/>
              <w:rPr>
                <w:color w:val="000000"/>
              </w:rPr>
            </w:pPr>
            <w:r w:rsidRPr="003F5E0F">
              <w:t>36.75</w:t>
            </w:r>
          </w:p>
        </w:tc>
        <w:tc>
          <w:tcPr>
            <w:tcW w:w="1031" w:type="dxa"/>
            <w:shd w:val="clear" w:color="auto" w:fill="FFFFFF" w:themeFill="background1"/>
            <w:vAlign w:val="center"/>
          </w:tcPr>
          <w:p w:rsidRPr="00B72876" w:rsidR="00A51797" w:rsidP="00293A56" w:rsidRDefault="00A51797" w14:paraId="3E5BD317" w14:textId="7970CF55">
            <w:pPr>
              <w:spacing w:before="60" w:after="60"/>
              <w:jc w:val="center"/>
              <w:rPr>
                <w:color w:val="000000"/>
              </w:rPr>
            </w:pPr>
            <w:r w:rsidRPr="00B72876">
              <w:rPr>
                <w:color w:val="000000"/>
              </w:rPr>
              <w:t>$335</w:t>
            </w:r>
          </w:p>
        </w:tc>
        <w:tc>
          <w:tcPr>
            <w:tcW w:w="1620" w:type="dxa"/>
            <w:gridSpan w:val="2"/>
            <w:tcBorders>
              <w:right w:val="single" w:color="auto" w:sz="4" w:space="0"/>
            </w:tcBorders>
            <w:shd w:val="clear" w:color="auto" w:fill="FFFFFF" w:themeFill="background1"/>
            <w:vAlign w:val="center"/>
          </w:tcPr>
          <w:p w:rsidRPr="00B72876" w:rsidR="00A51797" w:rsidP="00293A56" w:rsidRDefault="00A51797" w14:paraId="63BDE315" w14:textId="1B3B2874">
            <w:pPr>
              <w:spacing w:before="60" w:after="60"/>
              <w:jc w:val="center"/>
              <w:rPr>
                <w:color w:val="000000"/>
              </w:rPr>
            </w:pPr>
            <w:r>
              <w:rPr>
                <w:color w:val="000000"/>
              </w:rPr>
              <w:t>D.21-08-016</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A51797" w:rsidP="00293A56" w:rsidRDefault="00A51797" w14:paraId="06BD92A5" w14:textId="4F1CF4F8">
            <w:pPr>
              <w:spacing w:before="60" w:after="60"/>
              <w:jc w:val="center"/>
              <w:rPr>
                <w:color w:val="000000"/>
              </w:rPr>
            </w:pPr>
            <w:r w:rsidRPr="0068112A">
              <w:t>$12,311.25</w:t>
            </w:r>
          </w:p>
        </w:tc>
        <w:tc>
          <w:tcPr>
            <w:tcW w:w="955" w:type="dxa"/>
            <w:tcBorders>
              <w:left w:val="single" w:color="auto" w:sz="4" w:space="0"/>
            </w:tcBorders>
            <w:shd w:val="clear" w:color="auto" w:fill="FFFFFF" w:themeFill="background1"/>
          </w:tcPr>
          <w:p w:rsidR="00A51797" w:rsidP="00293A56" w:rsidRDefault="00702DBA" w14:paraId="4E196C51" w14:textId="52152DCD">
            <w:pPr>
              <w:spacing w:before="60" w:after="60"/>
              <w:jc w:val="center"/>
              <w:rPr>
                <w:color w:val="000000"/>
              </w:rPr>
            </w:pPr>
            <w:r>
              <w:rPr>
                <w:color w:val="000000"/>
              </w:rPr>
              <w:t>1</w:t>
            </w:r>
            <w:r w:rsidR="00335C9D">
              <w:rPr>
                <w:color w:val="000000"/>
              </w:rPr>
              <w:t>2</w:t>
            </w:r>
            <w:r>
              <w:rPr>
                <w:color w:val="000000"/>
              </w:rPr>
              <w:t>.</w:t>
            </w:r>
            <w:r w:rsidR="00335C9D">
              <w:rPr>
                <w:color w:val="000000"/>
              </w:rPr>
              <w:t>87</w:t>
            </w:r>
          </w:p>
          <w:p w:rsidRPr="00B72876" w:rsidR="00B97D6D" w:rsidP="00293A56" w:rsidRDefault="00B97D6D" w14:paraId="31AF7AA4" w14:textId="431D25EF">
            <w:pPr>
              <w:spacing w:before="60" w:after="60"/>
              <w:jc w:val="center"/>
              <w:rPr>
                <w:color w:val="000000"/>
              </w:rPr>
            </w:pPr>
            <w:r>
              <w:rPr>
                <w:color w:val="000000"/>
              </w:rPr>
              <w:t>[1]</w:t>
            </w:r>
          </w:p>
        </w:tc>
        <w:tc>
          <w:tcPr>
            <w:tcW w:w="1146" w:type="dxa"/>
            <w:shd w:val="clear" w:color="auto" w:fill="FFFFFF" w:themeFill="background1"/>
          </w:tcPr>
          <w:p w:rsidR="00A51797" w:rsidP="00293A56" w:rsidRDefault="009E5A3B" w14:paraId="6B1AC8B8" w14:textId="77777777">
            <w:pPr>
              <w:spacing w:before="60" w:after="60"/>
              <w:rPr>
                <w:color w:val="000000"/>
              </w:rPr>
            </w:pPr>
            <w:r>
              <w:rPr>
                <w:color w:val="000000"/>
              </w:rPr>
              <w:t>$335.00</w:t>
            </w:r>
          </w:p>
          <w:p w:rsidRPr="00B72876" w:rsidR="005D6F59" w:rsidP="005D6F59" w:rsidRDefault="005D6F59" w14:paraId="3400AFFC" w14:textId="2134EB10">
            <w:pPr>
              <w:spacing w:before="60" w:after="60"/>
              <w:jc w:val="center"/>
              <w:rPr>
                <w:color w:val="000000"/>
              </w:rPr>
            </w:pPr>
          </w:p>
        </w:tc>
        <w:tc>
          <w:tcPr>
            <w:tcW w:w="1881" w:type="dxa"/>
            <w:shd w:val="clear" w:color="auto" w:fill="FFFFFF" w:themeFill="background1"/>
          </w:tcPr>
          <w:p w:rsidRPr="00B72876" w:rsidR="00A51797" w:rsidP="00565C82" w:rsidRDefault="00D20209" w14:paraId="196C1830" w14:textId="4D0762B9">
            <w:pPr>
              <w:spacing w:before="60" w:after="60"/>
              <w:jc w:val="center"/>
              <w:rPr>
                <w:color w:val="000000"/>
              </w:rPr>
            </w:pPr>
            <w:r>
              <w:rPr>
                <w:color w:val="000000"/>
              </w:rPr>
              <w:t>$</w:t>
            </w:r>
            <w:r w:rsidR="00335C9D">
              <w:rPr>
                <w:color w:val="000000"/>
              </w:rPr>
              <w:t>4</w:t>
            </w:r>
            <w:r>
              <w:rPr>
                <w:color w:val="000000"/>
              </w:rPr>
              <w:t>,</w:t>
            </w:r>
            <w:r w:rsidR="00335C9D">
              <w:rPr>
                <w:color w:val="000000"/>
              </w:rPr>
              <w:t>311</w:t>
            </w:r>
            <w:r w:rsidR="008937FA">
              <w:rPr>
                <w:color w:val="000000"/>
              </w:rPr>
              <w:t>.</w:t>
            </w:r>
            <w:r w:rsidR="00335C9D">
              <w:rPr>
                <w:color w:val="000000"/>
              </w:rPr>
              <w:t>45</w:t>
            </w:r>
          </w:p>
        </w:tc>
      </w:tr>
      <w:tr w:rsidRPr="00B72876" w:rsidR="00A51797" w:rsidTr="00794A54" w14:paraId="5BF6A154" w14:textId="77777777">
        <w:trPr>
          <w:jc w:val="center"/>
        </w:trPr>
        <w:tc>
          <w:tcPr>
            <w:tcW w:w="1489" w:type="dxa"/>
            <w:shd w:val="clear" w:color="auto" w:fill="FFFFFF" w:themeFill="background1"/>
          </w:tcPr>
          <w:p w:rsidRPr="00B72876" w:rsidR="00A51797" w:rsidP="00293A56" w:rsidRDefault="00A51797" w14:paraId="118506EC" w14:textId="4D809787">
            <w:pPr>
              <w:spacing w:before="60" w:after="60"/>
              <w:rPr>
                <w:color w:val="000000"/>
              </w:rPr>
            </w:pPr>
            <w:r w:rsidRPr="00B72876">
              <w:rPr>
                <w:color w:val="000000"/>
              </w:rPr>
              <w:t>Edward Lopez</w:t>
            </w:r>
          </w:p>
        </w:tc>
        <w:tc>
          <w:tcPr>
            <w:tcW w:w="821" w:type="dxa"/>
            <w:shd w:val="clear" w:color="auto" w:fill="FFFFFF" w:themeFill="background1"/>
            <w:vAlign w:val="center"/>
          </w:tcPr>
          <w:p w:rsidRPr="00B72876" w:rsidR="00A51797" w:rsidP="00293A56" w:rsidRDefault="00A51797" w14:paraId="3767540B" w14:textId="05CCDC77">
            <w:pPr>
              <w:spacing w:before="60" w:after="60"/>
              <w:jc w:val="center"/>
              <w:rPr>
                <w:color w:val="000000"/>
              </w:rPr>
            </w:pPr>
            <w:r w:rsidRPr="00B72876">
              <w:rPr>
                <w:color w:val="000000"/>
              </w:rPr>
              <w:t>2021</w:t>
            </w:r>
          </w:p>
        </w:tc>
        <w:tc>
          <w:tcPr>
            <w:tcW w:w="884" w:type="dxa"/>
            <w:gridSpan w:val="2"/>
            <w:shd w:val="clear" w:color="auto" w:fill="FFFFFF" w:themeFill="background1"/>
            <w:vAlign w:val="center"/>
          </w:tcPr>
          <w:p w:rsidRPr="00B72876" w:rsidR="00A51797" w:rsidP="00293A56" w:rsidRDefault="00A51797" w14:paraId="120FE857" w14:textId="5CAE1345">
            <w:pPr>
              <w:spacing w:before="60" w:after="60"/>
              <w:jc w:val="center"/>
              <w:rPr>
                <w:color w:val="000000"/>
              </w:rPr>
            </w:pPr>
            <w:r w:rsidRPr="003F5E0F">
              <w:t>99.5</w:t>
            </w:r>
          </w:p>
        </w:tc>
        <w:tc>
          <w:tcPr>
            <w:tcW w:w="1031" w:type="dxa"/>
            <w:shd w:val="clear" w:color="auto" w:fill="FFFFFF" w:themeFill="background1"/>
            <w:vAlign w:val="center"/>
          </w:tcPr>
          <w:p w:rsidRPr="00B72876" w:rsidR="00A51797" w:rsidP="00293A56" w:rsidRDefault="00A51797" w14:paraId="075109E1" w14:textId="5F1E1B7B">
            <w:pPr>
              <w:spacing w:before="60" w:after="60"/>
              <w:jc w:val="center"/>
              <w:rPr>
                <w:color w:val="000000"/>
              </w:rPr>
            </w:pPr>
            <w:r w:rsidRPr="00B72876">
              <w:rPr>
                <w:color w:val="000000"/>
              </w:rPr>
              <w:t>$442</w:t>
            </w:r>
          </w:p>
        </w:tc>
        <w:tc>
          <w:tcPr>
            <w:tcW w:w="1620" w:type="dxa"/>
            <w:gridSpan w:val="2"/>
            <w:tcBorders>
              <w:right w:val="single" w:color="auto" w:sz="4" w:space="0"/>
            </w:tcBorders>
            <w:shd w:val="clear" w:color="auto" w:fill="FFFFFF" w:themeFill="background1"/>
            <w:vAlign w:val="center"/>
          </w:tcPr>
          <w:p w:rsidRPr="00B72876" w:rsidR="00A51797" w:rsidP="00293A56" w:rsidRDefault="00A51797" w14:paraId="4AF4C006" w14:textId="1F3E385A">
            <w:pPr>
              <w:spacing w:before="60" w:after="60"/>
              <w:jc w:val="center"/>
              <w:rPr>
                <w:color w:val="000000"/>
              </w:rPr>
            </w:pPr>
            <w:r w:rsidRPr="00565C82">
              <w:rPr>
                <w:i/>
                <w:iCs/>
                <w:color w:val="000000"/>
              </w:rPr>
              <w:t>See</w:t>
            </w:r>
            <w:r>
              <w:rPr>
                <w:color w:val="000000"/>
              </w:rPr>
              <w:t xml:space="preserve"> </w:t>
            </w:r>
            <w:r w:rsidR="00565C82">
              <w:rPr>
                <w:color w:val="000000"/>
              </w:rPr>
              <w:br/>
            </w:r>
            <w:r>
              <w:rPr>
                <w:color w:val="000000"/>
              </w:rPr>
              <w:t>Comment 1</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A51797" w:rsidP="00293A56" w:rsidRDefault="00A51797" w14:paraId="2A77845E" w14:textId="56A7CB7E">
            <w:pPr>
              <w:spacing w:before="60" w:after="60"/>
              <w:jc w:val="center"/>
              <w:rPr>
                <w:color w:val="000000"/>
              </w:rPr>
            </w:pPr>
            <w:r w:rsidRPr="0068112A">
              <w:t>$43,979.00</w:t>
            </w:r>
          </w:p>
        </w:tc>
        <w:tc>
          <w:tcPr>
            <w:tcW w:w="955" w:type="dxa"/>
            <w:tcBorders>
              <w:left w:val="single" w:color="auto" w:sz="4" w:space="0"/>
            </w:tcBorders>
            <w:shd w:val="clear" w:color="auto" w:fill="FFFFFF" w:themeFill="background1"/>
          </w:tcPr>
          <w:p w:rsidR="00A51797" w:rsidP="00293A56" w:rsidRDefault="00702DBA" w14:paraId="4E257A03" w14:textId="6FD333C1">
            <w:pPr>
              <w:spacing w:before="60" w:after="60"/>
              <w:jc w:val="center"/>
              <w:rPr>
                <w:color w:val="000000"/>
              </w:rPr>
            </w:pPr>
            <w:r>
              <w:rPr>
                <w:color w:val="000000"/>
              </w:rPr>
              <w:t>2</w:t>
            </w:r>
            <w:r w:rsidR="0064314D">
              <w:rPr>
                <w:color w:val="000000"/>
              </w:rPr>
              <w:t>4</w:t>
            </w:r>
            <w:r>
              <w:rPr>
                <w:color w:val="000000"/>
              </w:rPr>
              <w:t>.</w:t>
            </w:r>
            <w:r w:rsidR="0064314D">
              <w:rPr>
                <w:color w:val="000000"/>
              </w:rPr>
              <w:t>74</w:t>
            </w:r>
          </w:p>
          <w:p w:rsidRPr="00B72876" w:rsidR="00B97D6D" w:rsidP="00293A56" w:rsidRDefault="00B97D6D" w14:paraId="461DC9FD" w14:textId="3471B807">
            <w:pPr>
              <w:spacing w:before="60" w:after="60"/>
              <w:jc w:val="center"/>
              <w:rPr>
                <w:color w:val="000000"/>
              </w:rPr>
            </w:pPr>
            <w:r>
              <w:rPr>
                <w:color w:val="000000"/>
              </w:rPr>
              <w:t>[1]</w:t>
            </w:r>
          </w:p>
        </w:tc>
        <w:tc>
          <w:tcPr>
            <w:tcW w:w="1146" w:type="dxa"/>
            <w:shd w:val="clear" w:color="auto" w:fill="FFFFFF" w:themeFill="background1"/>
          </w:tcPr>
          <w:p w:rsidR="00A51797" w:rsidP="00293A56" w:rsidRDefault="007D4102" w14:paraId="06E154ED" w14:textId="77777777">
            <w:pPr>
              <w:spacing w:before="60" w:after="60"/>
              <w:rPr>
                <w:color w:val="000000"/>
              </w:rPr>
            </w:pPr>
            <w:r>
              <w:rPr>
                <w:color w:val="000000"/>
              </w:rPr>
              <w:t>$440.00</w:t>
            </w:r>
          </w:p>
          <w:p w:rsidRPr="00B72876" w:rsidR="007D4102" w:rsidP="00293A56" w:rsidRDefault="007D4102" w14:paraId="7FDABF74" w14:textId="062A9165">
            <w:pPr>
              <w:spacing w:before="60" w:after="60"/>
              <w:jc w:val="center"/>
              <w:rPr>
                <w:color w:val="000000"/>
              </w:rPr>
            </w:pPr>
            <w:r>
              <w:rPr>
                <w:color w:val="000000"/>
              </w:rPr>
              <w:t>[</w:t>
            </w:r>
            <w:r w:rsidR="00905AB6">
              <w:rPr>
                <w:color w:val="000000"/>
              </w:rPr>
              <w:t>2</w:t>
            </w:r>
            <w:r>
              <w:rPr>
                <w:color w:val="000000"/>
              </w:rPr>
              <w:t>]</w:t>
            </w:r>
          </w:p>
        </w:tc>
        <w:tc>
          <w:tcPr>
            <w:tcW w:w="1881" w:type="dxa"/>
            <w:shd w:val="clear" w:color="auto" w:fill="FFFFFF" w:themeFill="background1"/>
          </w:tcPr>
          <w:p w:rsidRPr="00B72876" w:rsidR="00A51797" w:rsidP="00565C82" w:rsidRDefault="00D20209" w14:paraId="05EFCF76" w14:textId="75326612">
            <w:pPr>
              <w:spacing w:before="60" w:after="60"/>
              <w:jc w:val="center"/>
              <w:rPr>
                <w:color w:val="000000"/>
              </w:rPr>
            </w:pPr>
            <w:r>
              <w:rPr>
                <w:color w:val="000000"/>
              </w:rPr>
              <w:t>$10,</w:t>
            </w:r>
            <w:r w:rsidR="00335C9D">
              <w:rPr>
                <w:color w:val="000000"/>
              </w:rPr>
              <w:t>88</w:t>
            </w:r>
            <w:r w:rsidR="0064314D">
              <w:rPr>
                <w:color w:val="000000"/>
              </w:rPr>
              <w:t>5</w:t>
            </w:r>
            <w:r w:rsidR="008937FA">
              <w:rPr>
                <w:color w:val="000000"/>
              </w:rPr>
              <w:t>.</w:t>
            </w:r>
            <w:r w:rsidR="0064314D">
              <w:rPr>
                <w:color w:val="000000"/>
              </w:rPr>
              <w:t>6</w:t>
            </w:r>
            <w:r>
              <w:rPr>
                <w:color w:val="000000"/>
              </w:rPr>
              <w:t>0</w:t>
            </w:r>
          </w:p>
        </w:tc>
      </w:tr>
      <w:tr w:rsidRPr="00B72876" w:rsidR="00A51797" w:rsidTr="00794A54" w14:paraId="38E0B4EA" w14:textId="77777777">
        <w:trPr>
          <w:jc w:val="center"/>
        </w:trPr>
        <w:tc>
          <w:tcPr>
            <w:tcW w:w="1489" w:type="dxa"/>
            <w:shd w:val="clear" w:color="auto" w:fill="FFFFFF" w:themeFill="background1"/>
          </w:tcPr>
          <w:p w:rsidRPr="00B72876" w:rsidR="00A51797" w:rsidP="00293A56" w:rsidRDefault="00A51797" w14:paraId="1F980DF3" w14:textId="53E128A6">
            <w:pPr>
              <w:spacing w:before="60" w:after="60"/>
              <w:rPr>
                <w:color w:val="000000"/>
              </w:rPr>
            </w:pPr>
            <w:r w:rsidRPr="00B72876">
              <w:rPr>
                <w:color w:val="000000"/>
              </w:rPr>
              <w:t>Edward Lopez</w:t>
            </w:r>
          </w:p>
        </w:tc>
        <w:tc>
          <w:tcPr>
            <w:tcW w:w="821" w:type="dxa"/>
            <w:shd w:val="clear" w:color="auto" w:fill="FFFFFF" w:themeFill="background1"/>
            <w:vAlign w:val="center"/>
          </w:tcPr>
          <w:p w:rsidRPr="00B72876" w:rsidR="00A51797" w:rsidP="00293A56" w:rsidRDefault="00A51797" w14:paraId="275BF57A" w14:textId="0554F869">
            <w:pPr>
              <w:spacing w:before="60" w:after="60"/>
              <w:jc w:val="center"/>
              <w:rPr>
                <w:color w:val="000000"/>
              </w:rPr>
            </w:pPr>
            <w:r w:rsidRPr="00B72876">
              <w:rPr>
                <w:color w:val="000000"/>
              </w:rPr>
              <w:t>2022</w:t>
            </w:r>
          </w:p>
        </w:tc>
        <w:tc>
          <w:tcPr>
            <w:tcW w:w="884" w:type="dxa"/>
            <w:gridSpan w:val="2"/>
            <w:shd w:val="clear" w:color="auto" w:fill="FFFFFF" w:themeFill="background1"/>
            <w:vAlign w:val="center"/>
          </w:tcPr>
          <w:p w:rsidRPr="00B72876" w:rsidR="00A51797" w:rsidP="00293A56" w:rsidRDefault="00A51797" w14:paraId="0DE506C4" w14:textId="1D261642">
            <w:pPr>
              <w:spacing w:before="60" w:after="60"/>
              <w:jc w:val="center"/>
              <w:rPr>
                <w:color w:val="000000"/>
              </w:rPr>
            </w:pPr>
            <w:r w:rsidRPr="003F5E0F">
              <w:t>13.25</w:t>
            </w:r>
          </w:p>
        </w:tc>
        <w:tc>
          <w:tcPr>
            <w:tcW w:w="1031" w:type="dxa"/>
            <w:shd w:val="clear" w:color="auto" w:fill="FFFFFF" w:themeFill="background1"/>
            <w:vAlign w:val="center"/>
          </w:tcPr>
          <w:p w:rsidRPr="00B72876" w:rsidR="00A51797" w:rsidP="00293A56" w:rsidRDefault="00A51797" w14:paraId="26413E95" w14:textId="74FF48A2">
            <w:pPr>
              <w:spacing w:before="60" w:after="60"/>
              <w:jc w:val="center"/>
              <w:rPr>
                <w:color w:val="000000"/>
              </w:rPr>
            </w:pPr>
            <w:r w:rsidRPr="00B72876">
              <w:rPr>
                <w:color w:val="000000"/>
              </w:rPr>
              <w:t>$442</w:t>
            </w:r>
          </w:p>
        </w:tc>
        <w:tc>
          <w:tcPr>
            <w:tcW w:w="1620" w:type="dxa"/>
            <w:gridSpan w:val="2"/>
            <w:tcBorders>
              <w:right w:val="single" w:color="auto" w:sz="4" w:space="0"/>
            </w:tcBorders>
            <w:shd w:val="clear" w:color="auto" w:fill="FFFFFF" w:themeFill="background1"/>
            <w:vAlign w:val="center"/>
          </w:tcPr>
          <w:p w:rsidRPr="00B72876" w:rsidR="00A51797" w:rsidP="00293A56" w:rsidRDefault="00A51797" w14:paraId="300AA881" w14:textId="75999875">
            <w:pPr>
              <w:spacing w:before="60" w:after="60"/>
              <w:jc w:val="center"/>
              <w:rPr>
                <w:color w:val="000000"/>
              </w:rPr>
            </w:pPr>
            <w:r w:rsidRPr="00565C82">
              <w:rPr>
                <w:i/>
                <w:iCs/>
                <w:color w:val="000000"/>
              </w:rPr>
              <w:t>See</w:t>
            </w:r>
            <w:r w:rsidRPr="000E00E6">
              <w:rPr>
                <w:color w:val="000000"/>
              </w:rPr>
              <w:t xml:space="preserve"> </w:t>
            </w:r>
            <w:r w:rsidR="00565C82">
              <w:rPr>
                <w:color w:val="000000"/>
              </w:rPr>
              <w:br/>
            </w:r>
            <w:r w:rsidRPr="000E00E6">
              <w:rPr>
                <w:color w:val="000000"/>
              </w:rPr>
              <w:t xml:space="preserve">Comment </w:t>
            </w:r>
            <w:r w:rsidR="00565C82">
              <w:rPr>
                <w:color w:val="000000"/>
              </w:rPr>
              <w:br/>
            </w:r>
            <w:r w:rsidRPr="000E00E6">
              <w:rPr>
                <w:color w:val="000000"/>
              </w:rPr>
              <w:t>1</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A51797" w:rsidP="00293A56" w:rsidRDefault="00A51797" w14:paraId="23EF368E" w14:textId="0F4939D3">
            <w:pPr>
              <w:spacing w:before="60" w:after="60"/>
              <w:jc w:val="center"/>
              <w:rPr>
                <w:color w:val="000000"/>
              </w:rPr>
            </w:pPr>
            <w:r w:rsidRPr="0068112A">
              <w:t>$5,856.50</w:t>
            </w:r>
          </w:p>
        </w:tc>
        <w:tc>
          <w:tcPr>
            <w:tcW w:w="955" w:type="dxa"/>
            <w:tcBorders>
              <w:left w:val="single" w:color="auto" w:sz="4" w:space="0"/>
            </w:tcBorders>
            <w:shd w:val="clear" w:color="auto" w:fill="FFFFFF" w:themeFill="background1"/>
          </w:tcPr>
          <w:p w:rsidR="00A51797" w:rsidP="00293A56" w:rsidRDefault="00702DBA" w14:paraId="072C869D" w14:textId="69AF1394">
            <w:pPr>
              <w:spacing w:before="60" w:after="60"/>
              <w:jc w:val="center"/>
              <w:rPr>
                <w:color w:val="000000"/>
              </w:rPr>
            </w:pPr>
            <w:r>
              <w:rPr>
                <w:color w:val="000000"/>
              </w:rPr>
              <w:t>4.</w:t>
            </w:r>
            <w:r w:rsidR="00335C9D">
              <w:rPr>
                <w:color w:val="000000"/>
              </w:rPr>
              <w:t>56</w:t>
            </w:r>
          </w:p>
          <w:p w:rsidRPr="00B72876" w:rsidR="00B97D6D" w:rsidP="00293A56" w:rsidRDefault="00B97D6D" w14:paraId="2B0CA953" w14:textId="40BA75E8">
            <w:pPr>
              <w:spacing w:before="60" w:after="60"/>
              <w:jc w:val="center"/>
              <w:rPr>
                <w:color w:val="000000"/>
              </w:rPr>
            </w:pPr>
            <w:r>
              <w:rPr>
                <w:color w:val="000000"/>
              </w:rPr>
              <w:t>[1]</w:t>
            </w:r>
          </w:p>
        </w:tc>
        <w:tc>
          <w:tcPr>
            <w:tcW w:w="1146" w:type="dxa"/>
            <w:shd w:val="clear" w:color="auto" w:fill="FFFFFF" w:themeFill="background1"/>
          </w:tcPr>
          <w:p w:rsidR="00A51797" w:rsidP="00293A56" w:rsidRDefault="007D4102" w14:paraId="33776F4D" w14:textId="3B6C1103">
            <w:pPr>
              <w:spacing w:before="60" w:after="60"/>
              <w:rPr>
                <w:color w:val="000000"/>
              </w:rPr>
            </w:pPr>
            <w:r>
              <w:rPr>
                <w:color w:val="000000"/>
              </w:rPr>
              <w:t>$</w:t>
            </w:r>
            <w:r w:rsidR="00D20209">
              <w:rPr>
                <w:color w:val="000000"/>
              </w:rPr>
              <w:t>4</w:t>
            </w:r>
            <w:r w:rsidR="00A62637">
              <w:rPr>
                <w:color w:val="000000"/>
              </w:rPr>
              <w:t>55</w:t>
            </w:r>
            <w:r w:rsidR="00D20209">
              <w:rPr>
                <w:color w:val="000000"/>
              </w:rPr>
              <w:t>.00</w:t>
            </w:r>
          </w:p>
          <w:p w:rsidRPr="00B72876" w:rsidR="007D4102" w:rsidP="00293A56" w:rsidRDefault="007D4102" w14:paraId="1FC8906C" w14:textId="2A18753B">
            <w:pPr>
              <w:spacing w:before="60" w:after="60"/>
              <w:jc w:val="center"/>
              <w:rPr>
                <w:color w:val="000000"/>
              </w:rPr>
            </w:pPr>
            <w:r>
              <w:rPr>
                <w:color w:val="000000"/>
              </w:rPr>
              <w:t>[</w:t>
            </w:r>
            <w:r w:rsidR="00905AB6">
              <w:rPr>
                <w:color w:val="000000"/>
              </w:rPr>
              <w:t>3</w:t>
            </w:r>
            <w:r>
              <w:rPr>
                <w:color w:val="000000"/>
              </w:rPr>
              <w:t>]</w:t>
            </w:r>
          </w:p>
        </w:tc>
        <w:tc>
          <w:tcPr>
            <w:tcW w:w="1881" w:type="dxa"/>
            <w:shd w:val="clear" w:color="auto" w:fill="FFFFFF" w:themeFill="background1"/>
          </w:tcPr>
          <w:p w:rsidRPr="00B72876" w:rsidR="00A51797" w:rsidP="00565C82" w:rsidRDefault="00D20209" w14:paraId="6C594CB5" w14:textId="283AD81F">
            <w:pPr>
              <w:spacing w:before="60" w:after="60"/>
              <w:jc w:val="center"/>
              <w:rPr>
                <w:color w:val="000000"/>
              </w:rPr>
            </w:pPr>
            <w:r>
              <w:rPr>
                <w:color w:val="000000"/>
              </w:rPr>
              <w:t>$</w:t>
            </w:r>
            <w:r w:rsidR="00335C9D">
              <w:rPr>
                <w:color w:val="000000"/>
              </w:rPr>
              <w:t>2</w:t>
            </w:r>
            <w:r>
              <w:rPr>
                <w:color w:val="000000"/>
              </w:rPr>
              <w:t>,</w:t>
            </w:r>
            <w:r w:rsidR="00335C9D">
              <w:rPr>
                <w:color w:val="000000"/>
              </w:rPr>
              <w:t>074</w:t>
            </w:r>
            <w:r>
              <w:rPr>
                <w:color w:val="000000"/>
              </w:rPr>
              <w:t>.</w:t>
            </w:r>
            <w:r w:rsidR="00335C9D">
              <w:rPr>
                <w:color w:val="000000"/>
              </w:rPr>
              <w:t>80</w:t>
            </w:r>
          </w:p>
        </w:tc>
      </w:tr>
      <w:tr w:rsidRPr="00B72876" w:rsidR="00A51797" w:rsidTr="00794A54" w14:paraId="78FC5ECE" w14:textId="77777777">
        <w:trPr>
          <w:jc w:val="center"/>
        </w:trPr>
        <w:tc>
          <w:tcPr>
            <w:tcW w:w="1489" w:type="dxa"/>
            <w:shd w:val="clear" w:color="auto" w:fill="FFFFFF" w:themeFill="background1"/>
          </w:tcPr>
          <w:p w:rsidRPr="00B72876" w:rsidR="00A51797" w:rsidP="00293A56" w:rsidRDefault="00A51797" w14:paraId="1F8943E9" w14:textId="1CB4677A">
            <w:pPr>
              <w:spacing w:before="60" w:after="60"/>
              <w:rPr>
                <w:color w:val="000000"/>
              </w:rPr>
            </w:pPr>
            <w:r w:rsidRPr="00B72876">
              <w:rPr>
                <w:color w:val="000000"/>
              </w:rPr>
              <w:t>Susan Baldwin</w:t>
            </w:r>
          </w:p>
        </w:tc>
        <w:tc>
          <w:tcPr>
            <w:tcW w:w="821" w:type="dxa"/>
            <w:shd w:val="clear" w:color="auto" w:fill="FFFFFF" w:themeFill="background1"/>
            <w:vAlign w:val="center"/>
          </w:tcPr>
          <w:p w:rsidRPr="00B72876" w:rsidR="00A51797" w:rsidP="00293A56" w:rsidRDefault="00A51797" w14:paraId="6FFEFF62" w14:textId="5FABA4F8">
            <w:pPr>
              <w:spacing w:before="60" w:after="60"/>
              <w:jc w:val="center"/>
              <w:rPr>
                <w:color w:val="000000"/>
              </w:rPr>
            </w:pPr>
            <w:r>
              <w:rPr>
                <w:color w:val="000000"/>
              </w:rPr>
              <w:t>2020</w:t>
            </w:r>
          </w:p>
        </w:tc>
        <w:tc>
          <w:tcPr>
            <w:tcW w:w="884" w:type="dxa"/>
            <w:gridSpan w:val="2"/>
            <w:shd w:val="clear" w:color="auto" w:fill="FFFFFF" w:themeFill="background1"/>
            <w:vAlign w:val="center"/>
          </w:tcPr>
          <w:p w:rsidRPr="00B72876" w:rsidR="00A51797" w:rsidP="00293A56" w:rsidRDefault="00A51797" w14:paraId="24984638" w14:textId="5930B3CC">
            <w:pPr>
              <w:spacing w:before="60" w:after="60"/>
              <w:jc w:val="center"/>
              <w:rPr>
                <w:color w:val="000000"/>
              </w:rPr>
            </w:pPr>
            <w:r w:rsidRPr="003F5E0F">
              <w:t>15.25</w:t>
            </w:r>
          </w:p>
        </w:tc>
        <w:tc>
          <w:tcPr>
            <w:tcW w:w="1031" w:type="dxa"/>
            <w:shd w:val="clear" w:color="auto" w:fill="FFFFFF" w:themeFill="background1"/>
            <w:vAlign w:val="center"/>
          </w:tcPr>
          <w:p w:rsidRPr="00B72876" w:rsidR="00A51797" w:rsidP="00293A56" w:rsidRDefault="00A51797" w14:paraId="00CA9050" w14:textId="27AAC2CE">
            <w:pPr>
              <w:spacing w:before="60" w:after="60"/>
              <w:jc w:val="center"/>
              <w:rPr>
                <w:color w:val="000000"/>
              </w:rPr>
            </w:pPr>
            <w:r w:rsidRPr="004761CB">
              <w:rPr>
                <w:color w:val="000000"/>
              </w:rPr>
              <w:t>$215</w:t>
            </w:r>
          </w:p>
        </w:tc>
        <w:tc>
          <w:tcPr>
            <w:tcW w:w="1620" w:type="dxa"/>
            <w:gridSpan w:val="2"/>
            <w:tcBorders>
              <w:right w:val="single" w:color="auto" w:sz="4" w:space="0"/>
            </w:tcBorders>
            <w:shd w:val="clear" w:color="auto" w:fill="FFFFFF" w:themeFill="background1"/>
            <w:vAlign w:val="center"/>
          </w:tcPr>
          <w:p w:rsidRPr="00B72876" w:rsidR="00A51797" w:rsidP="00293A56" w:rsidRDefault="00A51797" w14:paraId="760F08DA" w14:textId="1605905E">
            <w:pPr>
              <w:spacing w:before="60" w:after="60"/>
              <w:jc w:val="center"/>
              <w:rPr>
                <w:color w:val="000000"/>
              </w:rPr>
            </w:pPr>
            <w:r w:rsidRPr="00565C82">
              <w:rPr>
                <w:i/>
                <w:iCs/>
                <w:color w:val="000000"/>
              </w:rPr>
              <w:t>See</w:t>
            </w:r>
            <w:r>
              <w:rPr>
                <w:color w:val="000000"/>
              </w:rPr>
              <w:t xml:space="preserve"> </w:t>
            </w:r>
            <w:r w:rsidR="00565C82">
              <w:rPr>
                <w:color w:val="000000"/>
              </w:rPr>
              <w:br/>
            </w:r>
            <w:r>
              <w:rPr>
                <w:color w:val="000000"/>
              </w:rPr>
              <w:t>Comment 2</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A51797" w:rsidP="00293A56" w:rsidRDefault="00A51797" w14:paraId="39D39174" w14:textId="271DB550">
            <w:pPr>
              <w:spacing w:before="60" w:after="60"/>
              <w:jc w:val="center"/>
              <w:rPr>
                <w:color w:val="000000"/>
              </w:rPr>
            </w:pPr>
            <w:r w:rsidRPr="0068112A">
              <w:t>$3,278.75</w:t>
            </w:r>
          </w:p>
        </w:tc>
        <w:tc>
          <w:tcPr>
            <w:tcW w:w="955" w:type="dxa"/>
            <w:tcBorders>
              <w:left w:val="single" w:color="auto" w:sz="4" w:space="0"/>
            </w:tcBorders>
            <w:shd w:val="clear" w:color="auto" w:fill="FFFFFF" w:themeFill="background1"/>
          </w:tcPr>
          <w:p w:rsidR="00B97D6D" w:rsidP="00293A56" w:rsidRDefault="00702DBA" w14:paraId="6773E76D" w14:textId="2982BFC5">
            <w:pPr>
              <w:spacing w:before="60" w:after="60"/>
              <w:jc w:val="center"/>
              <w:rPr>
                <w:color w:val="000000"/>
              </w:rPr>
            </w:pPr>
            <w:r>
              <w:rPr>
                <w:color w:val="000000"/>
              </w:rPr>
              <w:t>4.</w:t>
            </w:r>
            <w:r w:rsidR="00335C9D">
              <w:rPr>
                <w:color w:val="000000"/>
              </w:rPr>
              <w:t>3</w:t>
            </w:r>
            <w:r w:rsidR="0064314D">
              <w:rPr>
                <w:color w:val="000000"/>
              </w:rPr>
              <w:t>8</w:t>
            </w:r>
          </w:p>
          <w:p w:rsidRPr="00B72876" w:rsidR="00A51797" w:rsidP="00293A56" w:rsidRDefault="00B97D6D" w14:paraId="047FD0B5" w14:textId="27F02F33">
            <w:pPr>
              <w:spacing w:before="60" w:after="60"/>
              <w:jc w:val="center"/>
              <w:rPr>
                <w:color w:val="000000"/>
              </w:rPr>
            </w:pPr>
            <w:r>
              <w:rPr>
                <w:color w:val="000000"/>
              </w:rPr>
              <w:t>[1]</w:t>
            </w:r>
          </w:p>
        </w:tc>
        <w:tc>
          <w:tcPr>
            <w:tcW w:w="1146" w:type="dxa"/>
            <w:shd w:val="clear" w:color="auto" w:fill="FFFFFF" w:themeFill="background1"/>
          </w:tcPr>
          <w:p w:rsidR="00A51797" w:rsidP="00293A56" w:rsidRDefault="000B0746" w14:paraId="722703DD" w14:textId="77777777">
            <w:pPr>
              <w:spacing w:before="60" w:after="60"/>
              <w:rPr>
                <w:color w:val="000000"/>
              </w:rPr>
            </w:pPr>
            <w:r>
              <w:rPr>
                <w:color w:val="000000"/>
              </w:rPr>
              <w:t>$215.00</w:t>
            </w:r>
          </w:p>
          <w:p w:rsidRPr="00B72876" w:rsidR="000B0746" w:rsidP="00293A56" w:rsidRDefault="000B0746" w14:paraId="367660C2" w14:textId="0756325A">
            <w:pPr>
              <w:spacing w:before="60" w:after="60"/>
              <w:jc w:val="center"/>
              <w:rPr>
                <w:color w:val="000000"/>
              </w:rPr>
            </w:pPr>
            <w:r>
              <w:rPr>
                <w:color w:val="000000"/>
              </w:rPr>
              <w:t>[</w:t>
            </w:r>
            <w:r w:rsidR="00905AB6">
              <w:rPr>
                <w:color w:val="000000"/>
              </w:rPr>
              <w:t>4</w:t>
            </w:r>
            <w:r>
              <w:rPr>
                <w:color w:val="000000"/>
              </w:rPr>
              <w:t>]</w:t>
            </w:r>
          </w:p>
        </w:tc>
        <w:tc>
          <w:tcPr>
            <w:tcW w:w="1881" w:type="dxa"/>
            <w:shd w:val="clear" w:color="auto" w:fill="FFFFFF" w:themeFill="background1"/>
          </w:tcPr>
          <w:p w:rsidRPr="00B72876" w:rsidR="00A51797" w:rsidP="00565C82" w:rsidRDefault="00E44BF4" w14:paraId="766AC45F" w14:textId="5FFE8737">
            <w:pPr>
              <w:spacing w:before="60" w:after="60"/>
              <w:jc w:val="center"/>
              <w:rPr>
                <w:color w:val="000000"/>
              </w:rPr>
            </w:pPr>
            <w:r>
              <w:rPr>
                <w:color w:val="000000"/>
              </w:rPr>
              <w:t>$</w:t>
            </w:r>
            <w:r w:rsidR="00335C9D">
              <w:rPr>
                <w:color w:val="000000"/>
              </w:rPr>
              <w:t>9</w:t>
            </w:r>
            <w:r w:rsidR="0064314D">
              <w:rPr>
                <w:color w:val="000000"/>
              </w:rPr>
              <w:t>41</w:t>
            </w:r>
            <w:r w:rsidR="00D036F4">
              <w:rPr>
                <w:color w:val="000000"/>
              </w:rPr>
              <w:t>.</w:t>
            </w:r>
            <w:r w:rsidR="0064314D">
              <w:rPr>
                <w:color w:val="000000"/>
              </w:rPr>
              <w:t>70</w:t>
            </w:r>
          </w:p>
        </w:tc>
      </w:tr>
      <w:tr w:rsidRPr="00B72876" w:rsidR="00A51797" w:rsidTr="00794A54" w14:paraId="4E698889" w14:textId="77777777">
        <w:trPr>
          <w:jc w:val="center"/>
        </w:trPr>
        <w:tc>
          <w:tcPr>
            <w:tcW w:w="1489" w:type="dxa"/>
            <w:shd w:val="clear" w:color="auto" w:fill="FFFFFF" w:themeFill="background1"/>
          </w:tcPr>
          <w:p w:rsidRPr="00B72876" w:rsidR="00A51797" w:rsidP="00293A56" w:rsidRDefault="00A51797" w14:paraId="04CDED11" w14:textId="1171D4BD">
            <w:pPr>
              <w:spacing w:before="60" w:after="60"/>
              <w:rPr>
                <w:color w:val="000000"/>
              </w:rPr>
            </w:pPr>
            <w:r w:rsidRPr="00B72876">
              <w:rPr>
                <w:color w:val="000000"/>
              </w:rPr>
              <w:t>Susan Baldwin</w:t>
            </w:r>
          </w:p>
        </w:tc>
        <w:tc>
          <w:tcPr>
            <w:tcW w:w="821" w:type="dxa"/>
            <w:shd w:val="clear" w:color="auto" w:fill="FFFFFF" w:themeFill="background1"/>
            <w:vAlign w:val="center"/>
          </w:tcPr>
          <w:p w:rsidRPr="00B72876" w:rsidR="00A51797" w:rsidP="00293A56" w:rsidRDefault="00A51797" w14:paraId="6B0C4BC3" w14:textId="1609CC69">
            <w:pPr>
              <w:spacing w:before="60" w:after="60"/>
              <w:jc w:val="center"/>
              <w:rPr>
                <w:color w:val="000000"/>
              </w:rPr>
            </w:pPr>
            <w:r>
              <w:rPr>
                <w:color w:val="000000"/>
              </w:rPr>
              <w:t>2021</w:t>
            </w:r>
          </w:p>
        </w:tc>
        <w:tc>
          <w:tcPr>
            <w:tcW w:w="884" w:type="dxa"/>
            <w:gridSpan w:val="2"/>
            <w:shd w:val="clear" w:color="auto" w:fill="FFFFFF" w:themeFill="background1"/>
            <w:vAlign w:val="center"/>
          </w:tcPr>
          <w:p w:rsidRPr="00B72876" w:rsidR="00A51797" w:rsidP="00293A56" w:rsidRDefault="00A51797" w14:paraId="51C36695" w14:textId="3C6E8070">
            <w:pPr>
              <w:spacing w:before="60" w:after="60"/>
              <w:jc w:val="center"/>
              <w:rPr>
                <w:color w:val="000000"/>
              </w:rPr>
            </w:pPr>
            <w:r w:rsidRPr="003F5E0F">
              <w:t>136.5</w:t>
            </w:r>
          </w:p>
        </w:tc>
        <w:tc>
          <w:tcPr>
            <w:tcW w:w="1031" w:type="dxa"/>
            <w:shd w:val="clear" w:color="auto" w:fill="FFFFFF" w:themeFill="background1"/>
            <w:vAlign w:val="center"/>
          </w:tcPr>
          <w:p w:rsidRPr="00B72876" w:rsidR="00A51797" w:rsidP="00293A56" w:rsidRDefault="00A51797" w14:paraId="50434DF3" w14:textId="5D002ACE">
            <w:pPr>
              <w:spacing w:before="60" w:after="60"/>
              <w:jc w:val="center"/>
              <w:rPr>
                <w:color w:val="000000"/>
              </w:rPr>
            </w:pPr>
            <w:r>
              <w:rPr>
                <w:color w:val="000000"/>
              </w:rPr>
              <w:t>$</w:t>
            </w:r>
            <w:r w:rsidRPr="004761CB">
              <w:rPr>
                <w:color w:val="000000"/>
              </w:rPr>
              <w:t>370.45</w:t>
            </w:r>
          </w:p>
        </w:tc>
        <w:tc>
          <w:tcPr>
            <w:tcW w:w="1620" w:type="dxa"/>
            <w:gridSpan w:val="2"/>
            <w:tcBorders>
              <w:right w:val="single" w:color="auto" w:sz="4" w:space="0"/>
            </w:tcBorders>
            <w:shd w:val="clear" w:color="auto" w:fill="FFFFFF" w:themeFill="background1"/>
            <w:vAlign w:val="center"/>
          </w:tcPr>
          <w:p w:rsidRPr="00B72876" w:rsidR="00A51797" w:rsidP="00293A56" w:rsidRDefault="00A51797" w14:paraId="41124BBA" w14:textId="6E801653">
            <w:pPr>
              <w:spacing w:before="60" w:after="60"/>
              <w:jc w:val="center"/>
              <w:rPr>
                <w:color w:val="000000"/>
              </w:rPr>
            </w:pPr>
            <w:r w:rsidRPr="00565C82">
              <w:rPr>
                <w:i/>
                <w:iCs/>
                <w:color w:val="000000"/>
              </w:rPr>
              <w:t xml:space="preserve">See </w:t>
            </w:r>
            <w:r w:rsidR="00565C82">
              <w:rPr>
                <w:i/>
                <w:iCs/>
                <w:color w:val="000000"/>
              </w:rPr>
              <w:br/>
            </w:r>
            <w:r>
              <w:rPr>
                <w:color w:val="000000"/>
              </w:rPr>
              <w:t>Comment 3</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A51797" w:rsidP="00293A56" w:rsidRDefault="00A51797" w14:paraId="75F00059" w14:textId="528B8EFC">
            <w:pPr>
              <w:spacing w:before="60" w:after="60"/>
              <w:jc w:val="center"/>
              <w:rPr>
                <w:color w:val="000000"/>
              </w:rPr>
            </w:pPr>
            <w:r w:rsidRPr="0068112A">
              <w:t>$50,566.43</w:t>
            </w:r>
          </w:p>
        </w:tc>
        <w:tc>
          <w:tcPr>
            <w:tcW w:w="955" w:type="dxa"/>
            <w:tcBorders>
              <w:left w:val="single" w:color="auto" w:sz="4" w:space="0"/>
            </w:tcBorders>
            <w:shd w:val="clear" w:color="auto" w:fill="FFFFFF" w:themeFill="background1"/>
          </w:tcPr>
          <w:p w:rsidR="00A51797" w:rsidP="00293A56" w:rsidRDefault="00702DBA" w14:paraId="2692578A" w14:textId="16CDCC6D">
            <w:pPr>
              <w:spacing w:before="60" w:after="60"/>
              <w:jc w:val="center"/>
              <w:rPr>
                <w:color w:val="000000"/>
              </w:rPr>
            </w:pPr>
            <w:r>
              <w:rPr>
                <w:color w:val="000000"/>
              </w:rPr>
              <w:t>109.</w:t>
            </w:r>
            <w:r w:rsidR="0064314D">
              <w:rPr>
                <w:color w:val="000000"/>
              </w:rPr>
              <w:t>50</w:t>
            </w:r>
          </w:p>
          <w:p w:rsidRPr="00B72876" w:rsidR="00B97D6D" w:rsidP="00293A56" w:rsidRDefault="00B97D6D" w14:paraId="134A581C" w14:textId="3E83B881">
            <w:pPr>
              <w:spacing w:before="60" w:after="60"/>
              <w:jc w:val="center"/>
              <w:rPr>
                <w:color w:val="000000"/>
              </w:rPr>
            </w:pPr>
            <w:r>
              <w:rPr>
                <w:color w:val="000000"/>
              </w:rPr>
              <w:t>[1]</w:t>
            </w:r>
          </w:p>
        </w:tc>
        <w:tc>
          <w:tcPr>
            <w:tcW w:w="1146" w:type="dxa"/>
            <w:shd w:val="clear" w:color="auto" w:fill="FFFFFF" w:themeFill="background1"/>
          </w:tcPr>
          <w:p w:rsidR="00B14530" w:rsidP="00293A56" w:rsidRDefault="00B14530" w14:paraId="4951B4DE" w14:textId="77777777">
            <w:pPr>
              <w:spacing w:before="60" w:after="60"/>
              <w:rPr>
                <w:color w:val="000000"/>
              </w:rPr>
            </w:pPr>
            <w:r>
              <w:rPr>
                <w:color w:val="000000"/>
              </w:rPr>
              <w:t>$370.00</w:t>
            </w:r>
          </w:p>
          <w:p w:rsidRPr="00B72876" w:rsidR="00A51797" w:rsidP="00293A56" w:rsidRDefault="0096646D" w14:paraId="2622F4BA" w14:textId="10D658FA">
            <w:pPr>
              <w:spacing w:before="60" w:after="60"/>
              <w:jc w:val="center"/>
              <w:rPr>
                <w:color w:val="000000"/>
              </w:rPr>
            </w:pPr>
            <w:r>
              <w:rPr>
                <w:color w:val="000000"/>
              </w:rPr>
              <w:t>[</w:t>
            </w:r>
            <w:r w:rsidR="00905AB6">
              <w:rPr>
                <w:color w:val="000000"/>
              </w:rPr>
              <w:t>5</w:t>
            </w:r>
            <w:r>
              <w:rPr>
                <w:color w:val="000000"/>
              </w:rPr>
              <w:t>]</w:t>
            </w:r>
          </w:p>
        </w:tc>
        <w:tc>
          <w:tcPr>
            <w:tcW w:w="1881" w:type="dxa"/>
            <w:shd w:val="clear" w:color="auto" w:fill="FFFFFF" w:themeFill="background1"/>
          </w:tcPr>
          <w:p w:rsidRPr="00B72876" w:rsidR="00A51797" w:rsidP="00565C82" w:rsidRDefault="00E44BF4" w14:paraId="26135325" w14:textId="51A6FE9B">
            <w:pPr>
              <w:spacing w:before="60" w:after="60"/>
              <w:jc w:val="center"/>
              <w:rPr>
                <w:color w:val="000000"/>
              </w:rPr>
            </w:pPr>
            <w:r>
              <w:rPr>
                <w:color w:val="000000"/>
              </w:rPr>
              <w:t>$</w:t>
            </w:r>
            <w:r w:rsidR="00D036F4">
              <w:rPr>
                <w:color w:val="000000"/>
              </w:rPr>
              <w:t>40,</w:t>
            </w:r>
            <w:r w:rsidR="00335C9D">
              <w:rPr>
                <w:color w:val="000000"/>
              </w:rPr>
              <w:t>51</w:t>
            </w:r>
            <w:r w:rsidR="0064314D">
              <w:rPr>
                <w:color w:val="000000"/>
              </w:rPr>
              <w:t>5</w:t>
            </w:r>
            <w:r w:rsidR="00D036F4">
              <w:rPr>
                <w:color w:val="000000"/>
              </w:rPr>
              <w:t>.</w:t>
            </w:r>
            <w:r w:rsidR="0064314D">
              <w:rPr>
                <w:color w:val="000000"/>
              </w:rPr>
              <w:t>0</w:t>
            </w:r>
            <w:r w:rsidR="008937FA">
              <w:rPr>
                <w:color w:val="000000"/>
              </w:rPr>
              <w:t>0</w:t>
            </w:r>
          </w:p>
        </w:tc>
      </w:tr>
      <w:tr w:rsidRPr="00B72876" w:rsidR="00A51797" w:rsidTr="00794A54" w14:paraId="541B1A43" w14:textId="77777777">
        <w:trPr>
          <w:jc w:val="center"/>
        </w:trPr>
        <w:tc>
          <w:tcPr>
            <w:tcW w:w="1489" w:type="dxa"/>
            <w:shd w:val="clear" w:color="auto" w:fill="FFFFFF" w:themeFill="background1"/>
          </w:tcPr>
          <w:p w:rsidRPr="00B72876" w:rsidR="00A51797" w:rsidP="00293A56" w:rsidRDefault="00A51797" w14:paraId="41A7BE4B" w14:textId="2C0CFC2E">
            <w:pPr>
              <w:spacing w:before="60" w:after="60"/>
              <w:rPr>
                <w:color w:val="000000"/>
              </w:rPr>
            </w:pPr>
            <w:r w:rsidRPr="00B72876">
              <w:rPr>
                <w:color w:val="000000"/>
              </w:rPr>
              <w:t>Susan Baldwin</w:t>
            </w:r>
          </w:p>
        </w:tc>
        <w:tc>
          <w:tcPr>
            <w:tcW w:w="821" w:type="dxa"/>
            <w:shd w:val="clear" w:color="auto" w:fill="FFFFFF" w:themeFill="background1"/>
            <w:vAlign w:val="center"/>
          </w:tcPr>
          <w:p w:rsidRPr="00B72876" w:rsidR="00A51797" w:rsidP="00293A56" w:rsidRDefault="00A51797" w14:paraId="5B3C2ADF" w14:textId="6973447D">
            <w:pPr>
              <w:spacing w:before="60" w:after="60"/>
              <w:jc w:val="center"/>
              <w:rPr>
                <w:color w:val="000000"/>
              </w:rPr>
            </w:pPr>
            <w:r>
              <w:rPr>
                <w:color w:val="000000"/>
              </w:rPr>
              <w:t>2022</w:t>
            </w:r>
          </w:p>
        </w:tc>
        <w:tc>
          <w:tcPr>
            <w:tcW w:w="884" w:type="dxa"/>
            <w:gridSpan w:val="2"/>
            <w:shd w:val="clear" w:color="auto" w:fill="FFFFFF" w:themeFill="background1"/>
            <w:vAlign w:val="center"/>
          </w:tcPr>
          <w:p w:rsidRPr="00B72876" w:rsidR="00A51797" w:rsidP="00293A56" w:rsidRDefault="00A51797" w14:paraId="2E458EDF" w14:textId="76420EAB">
            <w:pPr>
              <w:spacing w:before="60" w:after="60"/>
              <w:jc w:val="center"/>
              <w:rPr>
                <w:color w:val="000000"/>
              </w:rPr>
            </w:pPr>
            <w:r w:rsidRPr="003F5E0F">
              <w:t>11.25</w:t>
            </w:r>
          </w:p>
        </w:tc>
        <w:tc>
          <w:tcPr>
            <w:tcW w:w="1031" w:type="dxa"/>
            <w:shd w:val="clear" w:color="auto" w:fill="FFFFFF" w:themeFill="background1"/>
            <w:vAlign w:val="center"/>
          </w:tcPr>
          <w:p w:rsidRPr="00B72876" w:rsidR="00A51797" w:rsidP="00293A56" w:rsidRDefault="00A51797" w14:paraId="3D86BD08" w14:textId="6A771619">
            <w:pPr>
              <w:spacing w:before="60" w:after="60"/>
              <w:jc w:val="center"/>
              <w:rPr>
                <w:color w:val="000000"/>
              </w:rPr>
            </w:pPr>
            <w:r w:rsidRPr="004761CB">
              <w:rPr>
                <w:color w:val="000000"/>
              </w:rPr>
              <w:t>$370.45</w:t>
            </w:r>
          </w:p>
        </w:tc>
        <w:tc>
          <w:tcPr>
            <w:tcW w:w="1620" w:type="dxa"/>
            <w:gridSpan w:val="2"/>
            <w:tcBorders>
              <w:right w:val="single" w:color="auto" w:sz="4" w:space="0"/>
            </w:tcBorders>
            <w:shd w:val="clear" w:color="auto" w:fill="FFFFFF" w:themeFill="background1"/>
            <w:vAlign w:val="center"/>
          </w:tcPr>
          <w:p w:rsidRPr="00B72876" w:rsidR="00A51797" w:rsidP="00293A56" w:rsidRDefault="00A51797" w14:paraId="750EA256" w14:textId="42E5667D">
            <w:pPr>
              <w:spacing w:before="60" w:after="60"/>
              <w:jc w:val="center"/>
              <w:rPr>
                <w:color w:val="000000"/>
              </w:rPr>
            </w:pPr>
            <w:r w:rsidRPr="00565C82">
              <w:rPr>
                <w:i/>
                <w:iCs/>
                <w:color w:val="000000"/>
              </w:rPr>
              <w:t xml:space="preserve">See </w:t>
            </w:r>
            <w:r w:rsidR="00565C82">
              <w:rPr>
                <w:i/>
                <w:iCs/>
                <w:color w:val="000000"/>
              </w:rPr>
              <w:br/>
            </w:r>
            <w:r w:rsidRPr="00747D3C">
              <w:rPr>
                <w:color w:val="000000"/>
              </w:rPr>
              <w:t>Comment 3</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A51797" w:rsidP="00293A56" w:rsidRDefault="00A51797" w14:paraId="4D76B38E" w14:textId="16E3C7DA">
            <w:pPr>
              <w:spacing w:before="60" w:after="60"/>
              <w:jc w:val="center"/>
              <w:rPr>
                <w:color w:val="000000"/>
              </w:rPr>
            </w:pPr>
            <w:r w:rsidRPr="0068112A">
              <w:t>$4,167.56</w:t>
            </w:r>
          </w:p>
        </w:tc>
        <w:tc>
          <w:tcPr>
            <w:tcW w:w="955" w:type="dxa"/>
            <w:tcBorders>
              <w:left w:val="single" w:color="auto" w:sz="4" w:space="0"/>
            </w:tcBorders>
            <w:shd w:val="clear" w:color="auto" w:fill="FFFFFF" w:themeFill="background1"/>
          </w:tcPr>
          <w:p w:rsidR="00A51797" w:rsidP="00293A56" w:rsidRDefault="00702DBA" w14:paraId="6B1780A7" w14:textId="77777777">
            <w:pPr>
              <w:spacing w:before="60" w:after="60"/>
              <w:jc w:val="center"/>
              <w:rPr>
                <w:color w:val="000000"/>
              </w:rPr>
            </w:pPr>
            <w:r>
              <w:rPr>
                <w:color w:val="000000"/>
              </w:rPr>
              <w:t>2.56</w:t>
            </w:r>
          </w:p>
          <w:p w:rsidRPr="00B72876" w:rsidR="00B97D6D" w:rsidP="00293A56" w:rsidRDefault="00B97D6D" w14:paraId="5DD3213B" w14:textId="0E71D28A">
            <w:pPr>
              <w:spacing w:before="60" w:after="60"/>
              <w:jc w:val="center"/>
              <w:rPr>
                <w:color w:val="000000"/>
              </w:rPr>
            </w:pPr>
            <w:r>
              <w:rPr>
                <w:color w:val="000000"/>
              </w:rPr>
              <w:lastRenderedPageBreak/>
              <w:t>[1]</w:t>
            </w:r>
          </w:p>
        </w:tc>
        <w:tc>
          <w:tcPr>
            <w:tcW w:w="1146" w:type="dxa"/>
            <w:shd w:val="clear" w:color="auto" w:fill="FFFFFF" w:themeFill="background1"/>
          </w:tcPr>
          <w:p w:rsidR="00B14530" w:rsidP="00293A56" w:rsidRDefault="00B14530" w14:paraId="1EBC13D3" w14:textId="34ACDF8F">
            <w:pPr>
              <w:spacing w:before="60" w:after="60"/>
              <w:rPr>
                <w:color w:val="000000"/>
              </w:rPr>
            </w:pPr>
            <w:r w:rsidRPr="0040767C">
              <w:rPr>
                <w:color w:val="000000"/>
              </w:rPr>
              <w:lastRenderedPageBreak/>
              <w:t>$3</w:t>
            </w:r>
            <w:r w:rsidR="0040767C">
              <w:rPr>
                <w:color w:val="000000"/>
              </w:rPr>
              <w:t>8</w:t>
            </w:r>
            <w:r w:rsidRPr="0040767C">
              <w:rPr>
                <w:color w:val="000000"/>
              </w:rPr>
              <w:t>0.00</w:t>
            </w:r>
          </w:p>
          <w:p w:rsidRPr="00B72876" w:rsidR="00A51797" w:rsidP="00293A56" w:rsidRDefault="0096646D" w14:paraId="07AEBBB0" w14:textId="0A201DBB">
            <w:pPr>
              <w:spacing w:before="60" w:after="60"/>
              <w:jc w:val="center"/>
              <w:rPr>
                <w:color w:val="000000"/>
              </w:rPr>
            </w:pPr>
            <w:r>
              <w:rPr>
                <w:color w:val="000000"/>
              </w:rPr>
              <w:lastRenderedPageBreak/>
              <w:t>[</w:t>
            </w:r>
            <w:r w:rsidR="00905AB6">
              <w:rPr>
                <w:color w:val="000000"/>
              </w:rPr>
              <w:t>6</w:t>
            </w:r>
            <w:r>
              <w:rPr>
                <w:color w:val="000000"/>
              </w:rPr>
              <w:t>]</w:t>
            </w:r>
          </w:p>
        </w:tc>
        <w:tc>
          <w:tcPr>
            <w:tcW w:w="1881" w:type="dxa"/>
            <w:shd w:val="clear" w:color="auto" w:fill="FFFFFF" w:themeFill="background1"/>
          </w:tcPr>
          <w:p w:rsidRPr="00B72876" w:rsidR="00A51797" w:rsidP="00565C82" w:rsidRDefault="00F41157" w14:paraId="55630DF4" w14:textId="76749159">
            <w:pPr>
              <w:spacing w:before="60" w:after="60"/>
              <w:jc w:val="center"/>
              <w:rPr>
                <w:color w:val="000000"/>
              </w:rPr>
            </w:pPr>
            <w:r>
              <w:rPr>
                <w:color w:val="000000"/>
              </w:rPr>
              <w:lastRenderedPageBreak/>
              <w:t>$</w:t>
            </w:r>
            <w:r w:rsidR="00D036F4">
              <w:rPr>
                <w:color w:val="000000"/>
              </w:rPr>
              <w:t>9</w:t>
            </w:r>
            <w:r w:rsidR="0040767C">
              <w:rPr>
                <w:color w:val="000000"/>
              </w:rPr>
              <w:t>72</w:t>
            </w:r>
            <w:r w:rsidR="00D036F4">
              <w:rPr>
                <w:color w:val="000000"/>
              </w:rPr>
              <w:t>.</w:t>
            </w:r>
            <w:r w:rsidR="0040767C">
              <w:rPr>
                <w:color w:val="000000"/>
              </w:rPr>
              <w:t>8</w:t>
            </w:r>
            <w:r w:rsidR="008937FA">
              <w:rPr>
                <w:color w:val="000000"/>
              </w:rPr>
              <w:t>0</w:t>
            </w:r>
          </w:p>
        </w:tc>
      </w:tr>
      <w:tr w:rsidRPr="00B72876" w:rsidR="00A51797" w:rsidTr="00794A54" w14:paraId="4D8D49A5" w14:textId="77777777">
        <w:trPr>
          <w:jc w:val="center"/>
        </w:trPr>
        <w:tc>
          <w:tcPr>
            <w:tcW w:w="1489" w:type="dxa"/>
            <w:shd w:val="clear" w:color="auto" w:fill="FFFFFF" w:themeFill="background1"/>
          </w:tcPr>
          <w:p w:rsidRPr="00B72876" w:rsidR="00A51797" w:rsidP="00293A56" w:rsidRDefault="00A51797" w14:paraId="09D27048" w14:textId="759F7BCD">
            <w:pPr>
              <w:spacing w:before="60" w:after="60"/>
              <w:rPr>
                <w:color w:val="000000"/>
              </w:rPr>
            </w:pPr>
            <w:r>
              <w:rPr>
                <w:color w:val="000000"/>
              </w:rPr>
              <w:t>Tim Howington</w:t>
            </w:r>
          </w:p>
        </w:tc>
        <w:tc>
          <w:tcPr>
            <w:tcW w:w="821" w:type="dxa"/>
            <w:shd w:val="clear" w:color="auto" w:fill="FFFFFF" w:themeFill="background1"/>
            <w:vAlign w:val="center"/>
          </w:tcPr>
          <w:p w:rsidRPr="00B72876" w:rsidR="00A51797" w:rsidP="00293A56" w:rsidRDefault="00A51797" w14:paraId="692A2FBA" w14:textId="23071B33">
            <w:pPr>
              <w:spacing w:before="60" w:after="60"/>
              <w:jc w:val="center"/>
              <w:rPr>
                <w:color w:val="000000"/>
              </w:rPr>
            </w:pPr>
            <w:r>
              <w:rPr>
                <w:color w:val="000000"/>
              </w:rPr>
              <w:t>2020</w:t>
            </w:r>
          </w:p>
        </w:tc>
        <w:tc>
          <w:tcPr>
            <w:tcW w:w="884" w:type="dxa"/>
            <w:gridSpan w:val="2"/>
            <w:shd w:val="clear" w:color="auto" w:fill="FFFFFF" w:themeFill="background1"/>
            <w:vAlign w:val="center"/>
          </w:tcPr>
          <w:p w:rsidRPr="00B72876" w:rsidR="00A51797" w:rsidP="00293A56" w:rsidRDefault="00A51797" w14:paraId="1275EDE8" w14:textId="5F39A8FC">
            <w:pPr>
              <w:spacing w:before="60" w:after="60"/>
              <w:jc w:val="center"/>
              <w:rPr>
                <w:color w:val="000000"/>
              </w:rPr>
            </w:pPr>
            <w:r w:rsidRPr="003F5E0F">
              <w:t>0.5</w:t>
            </w:r>
          </w:p>
        </w:tc>
        <w:tc>
          <w:tcPr>
            <w:tcW w:w="1031" w:type="dxa"/>
            <w:shd w:val="clear" w:color="auto" w:fill="FFFFFF" w:themeFill="background1"/>
            <w:vAlign w:val="center"/>
          </w:tcPr>
          <w:p w:rsidRPr="00B72876" w:rsidR="00A51797" w:rsidP="00293A56" w:rsidRDefault="00A51797" w14:paraId="51349002" w14:textId="7597A12F">
            <w:pPr>
              <w:spacing w:before="60" w:after="60"/>
              <w:jc w:val="center"/>
              <w:rPr>
                <w:color w:val="000000"/>
              </w:rPr>
            </w:pPr>
            <w:r w:rsidRPr="00184644">
              <w:rPr>
                <w:color w:val="000000"/>
              </w:rPr>
              <w:t>$200</w:t>
            </w:r>
          </w:p>
        </w:tc>
        <w:tc>
          <w:tcPr>
            <w:tcW w:w="1620" w:type="dxa"/>
            <w:gridSpan w:val="2"/>
            <w:tcBorders>
              <w:right w:val="single" w:color="auto" w:sz="4" w:space="0"/>
            </w:tcBorders>
            <w:shd w:val="clear" w:color="auto" w:fill="FFFFFF" w:themeFill="background1"/>
            <w:vAlign w:val="center"/>
          </w:tcPr>
          <w:p w:rsidRPr="00B72876" w:rsidR="00A51797" w:rsidP="00293A56" w:rsidRDefault="00A51797" w14:paraId="68857571" w14:textId="207AB28C">
            <w:pPr>
              <w:spacing w:before="60" w:after="60"/>
              <w:jc w:val="center"/>
              <w:rPr>
                <w:color w:val="000000"/>
              </w:rPr>
            </w:pPr>
            <w:r w:rsidRPr="00565C82">
              <w:rPr>
                <w:i/>
                <w:iCs/>
                <w:color w:val="000000"/>
              </w:rPr>
              <w:t>See</w:t>
            </w:r>
            <w:r>
              <w:rPr>
                <w:color w:val="000000"/>
              </w:rPr>
              <w:t xml:space="preserve"> </w:t>
            </w:r>
            <w:r w:rsidR="00565C82">
              <w:rPr>
                <w:color w:val="000000"/>
              </w:rPr>
              <w:br/>
            </w:r>
            <w:r>
              <w:rPr>
                <w:color w:val="000000"/>
              </w:rPr>
              <w:t>Comment 4</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A51797" w:rsidP="00293A56" w:rsidRDefault="00A51797" w14:paraId="62F74C49" w14:textId="4CE40438">
            <w:pPr>
              <w:spacing w:before="60" w:after="60"/>
              <w:jc w:val="center"/>
              <w:rPr>
                <w:color w:val="000000"/>
              </w:rPr>
            </w:pPr>
            <w:r w:rsidRPr="0068112A">
              <w:t>$100.00</w:t>
            </w:r>
          </w:p>
        </w:tc>
        <w:tc>
          <w:tcPr>
            <w:tcW w:w="955" w:type="dxa"/>
            <w:tcBorders>
              <w:left w:val="single" w:color="auto" w:sz="4" w:space="0"/>
            </w:tcBorders>
            <w:shd w:val="clear" w:color="auto" w:fill="FFFFFF" w:themeFill="background1"/>
          </w:tcPr>
          <w:p w:rsidR="00A51797" w:rsidP="00293A56" w:rsidRDefault="00702DBA" w14:paraId="12EE7879" w14:textId="77777777">
            <w:pPr>
              <w:spacing w:before="60" w:after="60"/>
              <w:jc w:val="center"/>
              <w:rPr>
                <w:color w:val="000000"/>
              </w:rPr>
            </w:pPr>
            <w:r>
              <w:rPr>
                <w:color w:val="000000"/>
              </w:rPr>
              <w:t>0.1</w:t>
            </w:r>
            <w:r w:rsidR="003846E6">
              <w:rPr>
                <w:color w:val="000000"/>
              </w:rPr>
              <w:t>2</w:t>
            </w:r>
          </w:p>
          <w:p w:rsidRPr="00B72876" w:rsidR="00B97D6D" w:rsidP="00293A56" w:rsidRDefault="00B97D6D" w14:paraId="44367D5D" w14:textId="5014CEDA">
            <w:pPr>
              <w:spacing w:before="60" w:after="60"/>
              <w:jc w:val="center"/>
              <w:rPr>
                <w:color w:val="000000"/>
              </w:rPr>
            </w:pPr>
            <w:r>
              <w:rPr>
                <w:color w:val="000000"/>
              </w:rPr>
              <w:t>[1]</w:t>
            </w:r>
          </w:p>
        </w:tc>
        <w:tc>
          <w:tcPr>
            <w:tcW w:w="1146" w:type="dxa"/>
            <w:shd w:val="clear" w:color="auto" w:fill="FFFFFF" w:themeFill="background1"/>
          </w:tcPr>
          <w:p w:rsidR="00A51797" w:rsidP="00293A56" w:rsidRDefault="0096646D" w14:paraId="727DE623" w14:textId="77777777">
            <w:pPr>
              <w:spacing w:before="60" w:after="60"/>
              <w:rPr>
                <w:color w:val="000000"/>
              </w:rPr>
            </w:pPr>
            <w:r>
              <w:rPr>
                <w:color w:val="000000"/>
              </w:rPr>
              <w:t>$200.00</w:t>
            </w:r>
          </w:p>
          <w:p w:rsidRPr="00B72876" w:rsidR="0096646D" w:rsidP="00293A56" w:rsidRDefault="0096646D" w14:paraId="79742163" w14:textId="0D21372C">
            <w:pPr>
              <w:spacing w:before="60" w:after="60"/>
              <w:jc w:val="center"/>
              <w:rPr>
                <w:color w:val="000000"/>
              </w:rPr>
            </w:pPr>
            <w:r>
              <w:rPr>
                <w:color w:val="000000"/>
              </w:rPr>
              <w:t>[</w:t>
            </w:r>
            <w:r w:rsidR="00164681">
              <w:rPr>
                <w:color w:val="000000"/>
              </w:rPr>
              <w:t>7]</w:t>
            </w:r>
          </w:p>
        </w:tc>
        <w:tc>
          <w:tcPr>
            <w:tcW w:w="1881" w:type="dxa"/>
            <w:shd w:val="clear" w:color="auto" w:fill="FFFFFF" w:themeFill="background1"/>
          </w:tcPr>
          <w:p w:rsidRPr="00B72876" w:rsidR="00A51797" w:rsidP="00565C82" w:rsidRDefault="00F41157" w14:paraId="7731D38A" w14:textId="0C066874">
            <w:pPr>
              <w:spacing w:before="60" w:after="60"/>
              <w:jc w:val="center"/>
              <w:rPr>
                <w:color w:val="000000"/>
              </w:rPr>
            </w:pPr>
            <w:r>
              <w:rPr>
                <w:color w:val="000000"/>
              </w:rPr>
              <w:t>$</w:t>
            </w:r>
            <w:r w:rsidR="00D036F4">
              <w:rPr>
                <w:color w:val="000000"/>
              </w:rPr>
              <w:t>2</w:t>
            </w:r>
            <w:r w:rsidR="006F3B68">
              <w:rPr>
                <w:color w:val="000000"/>
              </w:rPr>
              <w:t>4</w:t>
            </w:r>
            <w:r w:rsidR="00D036F4">
              <w:rPr>
                <w:color w:val="000000"/>
              </w:rPr>
              <w:t>.00</w:t>
            </w:r>
          </w:p>
        </w:tc>
      </w:tr>
      <w:tr w:rsidRPr="00B72876" w:rsidR="00A51797" w:rsidTr="00794A54" w14:paraId="5F56B91E" w14:textId="77777777">
        <w:trPr>
          <w:jc w:val="center"/>
        </w:trPr>
        <w:tc>
          <w:tcPr>
            <w:tcW w:w="1489" w:type="dxa"/>
            <w:shd w:val="clear" w:color="auto" w:fill="FFFFFF" w:themeFill="background1"/>
          </w:tcPr>
          <w:p w:rsidR="00A51797" w:rsidP="00293A56" w:rsidRDefault="00A51797" w14:paraId="70ABD136" w14:textId="15D3703A">
            <w:pPr>
              <w:spacing w:before="60" w:after="60"/>
              <w:rPr>
                <w:color w:val="000000"/>
              </w:rPr>
            </w:pPr>
            <w:r>
              <w:rPr>
                <w:color w:val="000000"/>
              </w:rPr>
              <w:t>Tim Howington</w:t>
            </w:r>
          </w:p>
        </w:tc>
        <w:tc>
          <w:tcPr>
            <w:tcW w:w="821" w:type="dxa"/>
            <w:shd w:val="clear" w:color="auto" w:fill="FFFFFF" w:themeFill="background1"/>
            <w:vAlign w:val="center"/>
          </w:tcPr>
          <w:p w:rsidR="00A51797" w:rsidP="00293A56" w:rsidRDefault="00A51797" w14:paraId="0A85F623" w14:textId="48EEB86B">
            <w:pPr>
              <w:spacing w:before="60" w:after="60"/>
              <w:jc w:val="center"/>
              <w:rPr>
                <w:color w:val="000000"/>
              </w:rPr>
            </w:pPr>
            <w:r>
              <w:rPr>
                <w:color w:val="000000"/>
              </w:rPr>
              <w:t>2021</w:t>
            </w:r>
          </w:p>
        </w:tc>
        <w:tc>
          <w:tcPr>
            <w:tcW w:w="884" w:type="dxa"/>
            <w:gridSpan w:val="2"/>
            <w:shd w:val="clear" w:color="auto" w:fill="FFFFFF" w:themeFill="background1"/>
            <w:vAlign w:val="center"/>
          </w:tcPr>
          <w:p w:rsidRPr="00B72876" w:rsidR="00A51797" w:rsidP="00293A56" w:rsidRDefault="00A51797" w14:paraId="50405762" w14:textId="4214B6EB">
            <w:pPr>
              <w:spacing w:before="60" w:after="60"/>
              <w:jc w:val="center"/>
              <w:rPr>
                <w:color w:val="000000"/>
              </w:rPr>
            </w:pPr>
            <w:r w:rsidRPr="003F5E0F">
              <w:t>4.25</w:t>
            </w:r>
          </w:p>
        </w:tc>
        <w:tc>
          <w:tcPr>
            <w:tcW w:w="1031" w:type="dxa"/>
            <w:shd w:val="clear" w:color="auto" w:fill="FFFFFF" w:themeFill="background1"/>
            <w:vAlign w:val="center"/>
          </w:tcPr>
          <w:p w:rsidRPr="00B72876" w:rsidR="00A51797" w:rsidP="00293A56" w:rsidRDefault="00A51797" w14:paraId="4F652D0F" w14:textId="550F7BB0">
            <w:pPr>
              <w:spacing w:before="60" w:after="60"/>
              <w:jc w:val="center"/>
              <w:rPr>
                <w:color w:val="000000"/>
              </w:rPr>
            </w:pPr>
            <w:r>
              <w:rPr>
                <w:color w:val="000000"/>
              </w:rPr>
              <w:t>$225</w:t>
            </w:r>
          </w:p>
        </w:tc>
        <w:tc>
          <w:tcPr>
            <w:tcW w:w="1620" w:type="dxa"/>
            <w:gridSpan w:val="2"/>
            <w:tcBorders>
              <w:right w:val="single" w:color="auto" w:sz="4" w:space="0"/>
            </w:tcBorders>
            <w:shd w:val="clear" w:color="auto" w:fill="FFFFFF" w:themeFill="background1"/>
            <w:vAlign w:val="center"/>
          </w:tcPr>
          <w:p w:rsidRPr="00B72876" w:rsidR="00A51797" w:rsidP="00293A56" w:rsidRDefault="00A51797" w14:paraId="777E65D9" w14:textId="1E206A05">
            <w:pPr>
              <w:spacing w:before="60" w:after="60"/>
              <w:jc w:val="center"/>
              <w:rPr>
                <w:color w:val="000000"/>
              </w:rPr>
            </w:pPr>
            <w:r w:rsidRPr="00565C82">
              <w:rPr>
                <w:i/>
                <w:iCs/>
                <w:color w:val="000000"/>
              </w:rPr>
              <w:t>See</w:t>
            </w:r>
            <w:r>
              <w:rPr>
                <w:color w:val="000000"/>
              </w:rPr>
              <w:t xml:space="preserve"> </w:t>
            </w:r>
            <w:r w:rsidR="00565C82">
              <w:rPr>
                <w:color w:val="000000"/>
              </w:rPr>
              <w:br/>
            </w:r>
            <w:r>
              <w:rPr>
                <w:color w:val="000000"/>
              </w:rPr>
              <w:t>Comment 5</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A51797" w:rsidP="00293A56" w:rsidRDefault="00A51797" w14:paraId="47162806" w14:textId="4990570A">
            <w:pPr>
              <w:spacing w:before="60" w:after="60"/>
              <w:jc w:val="center"/>
              <w:rPr>
                <w:color w:val="000000"/>
              </w:rPr>
            </w:pPr>
            <w:r w:rsidRPr="0068112A">
              <w:t>$956.25</w:t>
            </w:r>
          </w:p>
        </w:tc>
        <w:tc>
          <w:tcPr>
            <w:tcW w:w="955" w:type="dxa"/>
            <w:tcBorders>
              <w:left w:val="single" w:color="auto" w:sz="4" w:space="0"/>
            </w:tcBorders>
            <w:shd w:val="clear" w:color="auto" w:fill="FFFFFF" w:themeFill="background1"/>
          </w:tcPr>
          <w:p w:rsidR="00B97D6D" w:rsidP="00293A56" w:rsidRDefault="00702DBA" w14:paraId="64B090B7" w14:textId="77777777">
            <w:pPr>
              <w:spacing w:before="60" w:after="60"/>
              <w:jc w:val="center"/>
              <w:rPr>
                <w:color w:val="000000"/>
              </w:rPr>
            </w:pPr>
            <w:r>
              <w:rPr>
                <w:color w:val="000000"/>
              </w:rPr>
              <w:t>1.06</w:t>
            </w:r>
          </w:p>
          <w:p w:rsidRPr="00B72876" w:rsidR="00A51797" w:rsidP="00293A56" w:rsidRDefault="00B97D6D" w14:paraId="380A4120" w14:textId="11ED3358">
            <w:pPr>
              <w:spacing w:before="60" w:after="60"/>
              <w:jc w:val="center"/>
              <w:rPr>
                <w:color w:val="000000"/>
              </w:rPr>
            </w:pPr>
            <w:r>
              <w:rPr>
                <w:color w:val="000000"/>
              </w:rPr>
              <w:t>[1]</w:t>
            </w:r>
          </w:p>
        </w:tc>
        <w:tc>
          <w:tcPr>
            <w:tcW w:w="1146" w:type="dxa"/>
            <w:shd w:val="clear" w:color="auto" w:fill="FFFFFF" w:themeFill="background1"/>
          </w:tcPr>
          <w:p w:rsidR="00A51797" w:rsidP="00293A56" w:rsidRDefault="007B0911" w14:paraId="1A4FA238" w14:textId="77777777">
            <w:pPr>
              <w:spacing w:before="60" w:after="60"/>
              <w:rPr>
                <w:color w:val="000000"/>
              </w:rPr>
            </w:pPr>
            <w:r>
              <w:rPr>
                <w:color w:val="000000"/>
              </w:rPr>
              <w:t>$225.00</w:t>
            </w:r>
          </w:p>
          <w:p w:rsidRPr="00B72876" w:rsidR="007B0911" w:rsidP="00293A56" w:rsidRDefault="007B0911" w14:paraId="7C714562" w14:textId="4E4E5B37">
            <w:pPr>
              <w:spacing w:before="60" w:after="60"/>
              <w:jc w:val="center"/>
              <w:rPr>
                <w:color w:val="000000"/>
              </w:rPr>
            </w:pPr>
            <w:r>
              <w:rPr>
                <w:color w:val="000000"/>
              </w:rPr>
              <w:t>[</w:t>
            </w:r>
            <w:r w:rsidR="00164681">
              <w:rPr>
                <w:color w:val="000000"/>
              </w:rPr>
              <w:t>8</w:t>
            </w:r>
            <w:r>
              <w:rPr>
                <w:color w:val="000000"/>
              </w:rPr>
              <w:t>]</w:t>
            </w:r>
          </w:p>
        </w:tc>
        <w:tc>
          <w:tcPr>
            <w:tcW w:w="1881" w:type="dxa"/>
            <w:shd w:val="clear" w:color="auto" w:fill="FFFFFF" w:themeFill="background1"/>
          </w:tcPr>
          <w:p w:rsidRPr="00B72876" w:rsidR="00A51797" w:rsidP="00565C82" w:rsidRDefault="00F41157" w14:paraId="207FBBDC" w14:textId="20D3A114">
            <w:pPr>
              <w:spacing w:before="60" w:after="60"/>
              <w:jc w:val="center"/>
              <w:rPr>
                <w:color w:val="000000"/>
              </w:rPr>
            </w:pPr>
            <w:r>
              <w:rPr>
                <w:color w:val="000000"/>
              </w:rPr>
              <w:t>$</w:t>
            </w:r>
            <w:r w:rsidR="00D036F4">
              <w:rPr>
                <w:color w:val="000000"/>
              </w:rPr>
              <w:t>23</w:t>
            </w:r>
            <w:r w:rsidR="008937FA">
              <w:rPr>
                <w:color w:val="000000"/>
              </w:rPr>
              <w:t>8</w:t>
            </w:r>
            <w:r w:rsidR="00D036F4">
              <w:rPr>
                <w:color w:val="000000"/>
              </w:rPr>
              <w:t>.</w:t>
            </w:r>
            <w:r w:rsidR="008937FA">
              <w:rPr>
                <w:color w:val="000000"/>
              </w:rPr>
              <w:t>50</w:t>
            </w:r>
          </w:p>
        </w:tc>
      </w:tr>
      <w:tr w:rsidRPr="00B72876" w:rsidR="000C5DFE" w:rsidTr="00794A54" w14:paraId="1B237C11" w14:textId="77777777">
        <w:trPr>
          <w:jc w:val="center"/>
        </w:trPr>
        <w:tc>
          <w:tcPr>
            <w:tcW w:w="7178" w:type="dxa"/>
            <w:gridSpan w:val="9"/>
            <w:tcBorders>
              <w:bottom w:val="single" w:color="auto" w:sz="4" w:space="0"/>
              <w:right w:val="single" w:color="auto" w:sz="24" w:space="0"/>
            </w:tcBorders>
            <w:shd w:val="clear" w:color="auto" w:fill="FFFFFF" w:themeFill="background1"/>
            <w:vAlign w:val="bottom"/>
          </w:tcPr>
          <w:p w:rsidRPr="00B72876" w:rsidR="000C5DFE" w:rsidP="00293A56" w:rsidRDefault="000C5DFE" w14:paraId="2ECB6744" w14:textId="765A3B15">
            <w:pPr>
              <w:tabs>
                <w:tab w:val="left" w:pos="957"/>
              </w:tabs>
              <w:spacing w:before="60" w:after="60"/>
              <w:ind w:right="162"/>
              <w:jc w:val="right"/>
              <w:rPr>
                <w:b/>
                <w:i/>
                <w:color w:val="000000"/>
              </w:rPr>
            </w:pPr>
            <w:r w:rsidRPr="00B72876">
              <w:rPr>
                <w:b/>
                <w:i/>
                <w:color w:val="000000"/>
              </w:rPr>
              <w:t>Subtotal: $</w:t>
            </w:r>
            <w:r w:rsidR="00B01811">
              <w:rPr>
                <w:b/>
                <w:i/>
                <w:color w:val="000000"/>
              </w:rPr>
              <w:t>121,215.74</w:t>
            </w:r>
          </w:p>
        </w:tc>
        <w:tc>
          <w:tcPr>
            <w:tcW w:w="3982" w:type="dxa"/>
            <w:gridSpan w:val="3"/>
            <w:tcBorders>
              <w:left w:val="single" w:color="auto" w:sz="24" w:space="0"/>
              <w:bottom w:val="single" w:color="auto" w:sz="4" w:space="0"/>
            </w:tcBorders>
            <w:shd w:val="clear" w:color="auto" w:fill="FFFFFF" w:themeFill="background1"/>
            <w:vAlign w:val="bottom"/>
          </w:tcPr>
          <w:p w:rsidRPr="00411E3A" w:rsidR="00F41157" w:rsidP="00D036F4" w:rsidRDefault="000C5DFE" w14:paraId="4C4556E5" w14:textId="7C86261D">
            <w:pPr>
              <w:tabs>
                <w:tab w:val="left" w:pos="957"/>
              </w:tabs>
              <w:spacing w:before="60" w:after="60"/>
              <w:ind w:right="162"/>
              <w:jc w:val="right"/>
              <w:rPr>
                <w:b/>
                <w:color w:val="000000"/>
                <w:highlight w:val="yellow"/>
              </w:rPr>
            </w:pPr>
            <w:r w:rsidRPr="0040767C">
              <w:rPr>
                <w:b/>
                <w:i/>
                <w:color w:val="000000"/>
              </w:rPr>
              <w:t xml:space="preserve">Subtotal: </w:t>
            </w:r>
            <w:r w:rsidRPr="0040767C">
              <w:rPr>
                <w:b/>
                <w:i/>
                <w:iCs/>
                <w:color w:val="000000"/>
              </w:rPr>
              <w:t>$</w:t>
            </w:r>
            <w:r w:rsidRPr="0040767C" w:rsidR="00702DBA">
              <w:rPr>
                <w:b/>
                <w:i/>
                <w:iCs/>
                <w:color w:val="000000"/>
              </w:rPr>
              <w:t>5</w:t>
            </w:r>
            <w:r w:rsidR="006B6F0C">
              <w:rPr>
                <w:b/>
                <w:i/>
                <w:iCs/>
                <w:color w:val="000000"/>
              </w:rPr>
              <w:t>9</w:t>
            </w:r>
            <w:r w:rsidRPr="0040767C" w:rsidR="00702DBA">
              <w:rPr>
                <w:b/>
                <w:i/>
                <w:iCs/>
                <w:color w:val="000000"/>
              </w:rPr>
              <w:t>,</w:t>
            </w:r>
            <w:r w:rsidR="00FC13C4">
              <w:rPr>
                <w:b/>
                <w:i/>
                <w:iCs/>
                <w:color w:val="000000"/>
              </w:rPr>
              <w:t>9</w:t>
            </w:r>
            <w:r w:rsidR="006B6F0C">
              <w:rPr>
                <w:b/>
                <w:i/>
                <w:iCs/>
                <w:color w:val="000000"/>
              </w:rPr>
              <w:t>63</w:t>
            </w:r>
            <w:r w:rsidR="00FC13C4">
              <w:rPr>
                <w:b/>
                <w:i/>
                <w:iCs/>
                <w:color w:val="000000"/>
              </w:rPr>
              <w:t>.</w:t>
            </w:r>
            <w:r w:rsidR="006B6F0C">
              <w:rPr>
                <w:b/>
                <w:i/>
                <w:iCs/>
                <w:color w:val="000000"/>
              </w:rPr>
              <w:t>8</w:t>
            </w:r>
            <w:r w:rsidR="00FC13C4">
              <w:rPr>
                <w:b/>
                <w:i/>
                <w:iCs/>
                <w:color w:val="000000"/>
              </w:rPr>
              <w:t>5</w:t>
            </w:r>
          </w:p>
        </w:tc>
      </w:tr>
      <w:tr w:rsidRPr="00B72876" w:rsidR="000C5DFE" w:rsidTr="00794A54" w14:paraId="4F8FAF05"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FFFFFF" w:themeFill="background1"/>
          </w:tcPr>
          <w:p w:rsidRPr="00B72876" w:rsidR="000C5DFE" w:rsidP="00293A56" w:rsidRDefault="000C5DFE" w14:paraId="41FE304C" w14:textId="44556EED">
            <w:pPr>
              <w:keepNext/>
              <w:spacing w:before="60" w:after="60"/>
              <w:jc w:val="center"/>
              <w:rPr>
                <w:color w:val="000000"/>
              </w:rPr>
            </w:pPr>
            <w:r w:rsidRPr="00B72876">
              <w:rPr>
                <w:b/>
                <w:color w:val="000000"/>
              </w:rPr>
              <w:t>INTERVENOR COMPENSATION CLAIM PREPARATION</w:t>
            </w:r>
            <w:r w:rsidRPr="00B72876">
              <w:rPr>
                <w:b/>
                <w:smallCaps/>
                <w:color w:val="000000"/>
              </w:rPr>
              <w:t>**</w:t>
            </w:r>
          </w:p>
        </w:tc>
      </w:tr>
      <w:tr w:rsidRPr="00B72876" w:rsidR="000C5DFE" w:rsidTr="00794A54" w14:paraId="48B3E535" w14:textId="77777777">
        <w:trPr>
          <w:jc w:val="center"/>
        </w:trPr>
        <w:tc>
          <w:tcPr>
            <w:tcW w:w="1489" w:type="dxa"/>
            <w:tcBorders>
              <w:top w:val="single" w:color="auto" w:sz="4" w:space="0"/>
              <w:bottom w:val="single" w:color="auto" w:sz="4" w:space="0"/>
            </w:tcBorders>
            <w:shd w:val="clear" w:color="auto" w:fill="FFFFFF" w:themeFill="background1"/>
            <w:vAlign w:val="bottom"/>
          </w:tcPr>
          <w:p w:rsidRPr="00B72876" w:rsidR="000C5DFE" w:rsidP="00293A56" w:rsidRDefault="000C5DFE" w14:paraId="563A43BB" w14:textId="77777777">
            <w:pPr>
              <w:keepNext/>
              <w:spacing w:before="60" w:after="60"/>
              <w:jc w:val="center"/>
              <w:rPr>
                <w:b/>
                <w:color w:val="000000"/>
              </w:rPr>
            </w:pPr>
            <w:r w:rsidRPr="00B72876">
              <w:rPr>
                <w:b/>
                <w:color w:val="000000"/>
              </w:rPr>
              <w:t>Item</w:t>
            </w:r>
          </w:p>
        </w:tc>
        <w:tc>
          <w:tcPr>
            <w:tcW w:w="821" w:type="dxa"/>
            <w:tcBorders>
              <w:top w:val="single" w:color="auto" w:sz="4" w:space="0"/>
              <w:bottom w:val="single" w:color="auto" w:sz="4" w:space="0"/>
            </w:tcBorders>
            <w:shd w:val="clear" w:color="auto" w:fill="FFFFFF" w:themeFill="background1"/>
            <w:vAlign w:val="bottom"/>
          </w:tcPr>
          <w:p w:rsidRPr="00B72876" w:rsidR="000C5DFE" w:rsidP="00293A56" w:rsidRDefault="000C5DFE" w14:paraId="144552E0" w14:textId="77777777">
            <w:pPr>
              <w:keepNext/>
              <w:spacing w:before="60" w:after="60"/>
              <w:jc w:val="center"/>
              <w:rPr>
                <w:b/>
                <w:color w:val="000000"/>
              </w:rPr>
            </w:pPr>
            <w:r w:rsidRPr="00B72876">
              <w:rPr>
                <w:b/>
                <w:color w:val="000000"/>
              </w:rPr>
              <w:t>Year</w:t>
            </w:r>
          </w:p>
        </w:tc>
        <w:tc>
          <w:tcPr>
            <w:tcW w:w="884" w:type="dxa"/>
            <w:gridSpan w:val="2"/>
            <w:tcBorders>
              <w:top w:val="single" w:color="auto" w:sz="4" w:space="0"/>
              <w:bottom w:val="single" w:color="auto" w:sz="4" w:space="0"/>
            </w:tcBorders>
            <w:shd w:val="clear" w:color="auto" w:fill="FFFFFF" w:themeFill="background1"/>
            <w:vAlign w:val="bottom"/>
          </w:tcPr>
          <w:p w:rsidRPr="00B72876" w:rsidR="000C5DFE" w:rsidP="00293A56" w:rsidRDefault="000C5DFE" w14:paraId="42890B1B" w14:textId="77777777">
            <w:pPr>
              <w:keepNext/>
              <w:spacing w:before="60" w:after="60"/>
              <w:jc w:val="center"/>
              <w:rPr>
                <w:b/>
                <w:color w:val="000000"/>
              </w:rPr>
            </w:pPr>
            <w:r w:rsidRPr="00B72876">
              <w:rPr>
                <w:b/>
                <w:color w:val="000000"/>
              </w:rPr>
              <w:t>Hours</w:t>
            </w:r>
          </w:p>
        </w:tc>
        <w:tc>
          <w:tcPr>
            <w:tcW w:w="1031" w:type="dxa"/>
            <w:tcBorders>
              <w:top w:val="single" w:color="auto" w:sz="4" w:space="0"/>
              <w:bottom w:val="single" w:color="auto" w:sz="4" w:space="0"/>
            </w:tcBorders>
            <w:shd w:val="clear" w:color="auto" w:fill="FFFFFF" w:themeFill="background1"/>
            <w:vAlign w:val="bottom"/>
          </w:tcPr>
          <w:p w:rsidRPr="00B72876" w:rsidR="000C5DFE" w:rsidP="00293A56" w:rsidRDefault="000C5DFE" w14:paraId="1E7BD956" w14:textId="243077B9">
            <w:pPr>
              <w:keepNext/>
              <w:spacing w:before="60" w:after="60"/>
              <w:jc w:val="center"/>
              <w:rPr>
                <w:b/>
                <w:color w:val="000000"/>
              </w:rPr>
            </w:pPr>
            <w:r w:rsidRPr="00B72876">
              <w:rPr>
                <w:b/>
                <w:color w:val="000000"/>
              </w:rPr>
              <w:t>Rate $</w:t>
            </w:r>
          </w:p>
        </w:tc>
        <w:tc>
          <w:tcPr>
            <w:tcW w:w="1620" w:type="dxa"/>
            <w:gridSpan w:val="2"/>
            <w:tcBorders>
              <w:top w:val="single" w:color="auto" w:sz="4" w:space="0"/>
              <w:bottom w:val="single" w:color="auto" w:sz="4" w:space="0"/>
              <w:right w:val="single" w:color="auto" w:sz="4" w:space="0"/>
            </w:tcBorders>
            <w:shd w:val="clear" w:color="auto" w:fill="FFFFFF" w:themeFill="background1"/>
            <w:vAlign w:val="bottom"/>
          </w:tcPr>
          <w:p w:rsidRPr="00B72876" w:rsidR="000C5DFE" w:rsidP="00293A56" w:rsidRDefault="000C5DFE" w14:paraId="104D7982" w14:textId="77777777">
            <w:pPr>
              <w:keepNext/>
              <w:spacing w:before="60" w:after="60"/>
              <w:jc w:val="center"/>
              <w:rPr>
                <w:b/>
                <w:color w:val="000000"/>
              </w:rPr>
            </w:pPr>
            <w:r w:rsidRPr="00B72876">
              <w:rPr>
                <w:b/>
                <w:color w:val="000000"/>
              </w:rPr>
              <w:t>Basis for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bottom"/>
          </w:tcPr>
          <w:p w:rsidRPr="00B72876" w:rsidR="000C5DFE" w:rsidP="00293A56" w:rsidRDefault="000C5DFE" w14:paraId="073B2BB9" w14:textId="77777777">
            <w:pPr>
              <w:keepNext/>
              <w:spacing w:before="60" w:after="60"/>
              <w:jc w:val="center"/>
              <w:rPr>
                <w:b/>
                <w:color w:val="000000"/>
              </w:rPr>
            </w:pPr>
            <w:r w:rsidRPr="00B72876">
              <w:rPr>
                <w:b/>
                <w:color w:val="000000"/>
              </w:rPr>
              <w:t>Total $</w:t>
            </w:r>
          </w:p>
        </w:tc>
        <w:tc>
          <w:tcPr>
            <w:tcW w:w="955" w:type="dxa"/>
            <w:tcBorders>
              <w:top w:val="single" w:color="auto" w:sz="4" w:space="0"/>
              <w:left w:val="single" w:color="auto" w:sz="4" w:space="0"/>
            </w:tcBorders>
            <w:shd w:val="clear" w:color="auto" w:fill="FFFFFF" w:themeFill="background1"/>
            <w:vAlign w:val="bottom"/>
          </w:tcPr>
          <w:p w:rsidRPr="00B72876" w:rsidR="000C5DFE" w:rsidP="00293A56" w:rsidRDefault="000C5DFE" w14:paraId="0409143B" w14:textId="77777777">
            <w:pPr>
              <w:keepNext/>
              <w:spacing w:before="60" w:after="60"/>
              <w:jc w:val="center"/>
              <w:rPr>
                <w:b/>
                <w:color w:val="000000"/>
              </w:rPr>
            </w:pPr>
            <w:r w:rsidRPr="00B72876">
              <w:rPr>
                <w:b/>
                <w:color w:val="000000"/>
              </w:rPr>
              <w:t>Hours</w:t>
            </w:r>
          </w:p>
        </w:tc>
        <w:tc>
          <w:tcPr>
            <w:tcW w:w="1146" w:type="dxa"/>
            <w:tcBorders>
              <w:top w:val="single" w:color="auto" w:sz="4" w:space="0"/>
            </w:tcBorders>
            <w:shd w:val="clear" w:color="auto" w:fill="FFFFFF" w:themeFill="background1"/>
            <w:vAlign w:val="bottom"/>
          </w:tcPr>
          <w:p w:rsidRPr="00B72876" w:rsidR="000C5DFE" w:rsidP="00293A56" w:rsidRDefault="000C5DFE" w14:paraId="6B59BB80" w14:textId="2C791D8E">
            <w:pPr>
              <w:keepNext/>
              <w:spacing w:before="60" w:after="60"/>
              <w:jc w:val="center"/>
              <w:rPr>
                <w:b/>
                <w:color w:val="000000"/>
              </w:rPr>
            </w:pPr>
            <w:r w:rsidRPr="00B72876">
              <w:rPr>
                <w:b/>
                <w:color w:val="000000"/>
              </w:rPr>
              <w:t>Rate $</w:t>
            </w:r>
          </w:p>
        </w:tc>
        <w:tc>
          <w:tcPr>
            <w:tcW w:w="1881" w:type="dxa"/>
            <w:tcBorders>
              <w:top w:val="single" w:color="auto" w:sz="4" w:space="0"/>
            </w:tcBorders>
            <w:shd w:val="clear" w:color="auto" w:fill="FFFFFF" w:themeFill="background1"/>
            <w:vAlign w:val="bottom"/>
          </w:tcPr>
          <w:p w:rsidRPr="00B72876" w:rsidR="000C5DFE" w:rsidP="00293A56" w:rsidRDefault="000C5DFE" w14:paraId="6C7B13CF" w14:textId="77777777">
            <w:pPr>
              <w:keepNext/>
              <w:spacing w:before="60" w:after="60"/>
              <w:jc w:val="center"/>
              <w:rPr>
                <w:b/>
                <w:color w:val="000000"/>
              </w:rPr>
            </w:pPr>
            <w:r w:rsidRPr="00B72876">
              <w:rPr>
                <w:b/>
                <w:color w:val="000000"/>
              </w:rPr>
              <w:t>Total $</w:t>
            </w:r>
          </w:p>
        </w:tc>
      </w:tr>
      <w:tr w:rsidRPr="00B72876" w:rsidR="000C5DFE" w:rsidTr="00794A54" w14:paraId="25086E67" w14:textId="77777777">
        <w:trPr>
          <w:jc w:val="center"/>
        </w:trPr>
        <w:tc>
          <w:tcPr>
            <w:tcW w:w="1489" w:type="dxa"/>
            <w:shd w:val="clear" w:color="auto" w:fill="FFFFFF" w:themeFill="background1"/>
          </w:tcPr>
          <w:p w:rsidRPr="00B72876" w:rsidR="000C5DFE" w:rsidP="00293A56" w:rsidRDefault="000C5DFE" w14:paraId="386D0995" w14:textId="0C11B555">
            <w:pPr>
              <w:spacing w:before="60" w:after="60"/>
              <w:rPr>
                <w:color w:val="000000"/>
              </w:rPr>
            </w:pPr>
            <w:r w:rsidRPr="00B72876">
              <w:rPr>
                <w:color w:val="000000"/>
              </w:rPr>
              <w:t>Edward Lopez</w:t>
            </w:r>
          </w:p>
        </w:tc>
        <w:tc>
          <w:tcPr>
            <w:tcW w:w="821" w:type="dxa"/>
            <w:shd w:val="clear" w:color="auto" w:fill="FFFFFF" w:themeFill="background1"/>
            <w:vAlign w:val="center"/>
          </w:tcPr>
          <w:p w:rsidRPr="00B72876" w:rsidR="000C5DFE" w:rsidP="00293A56" w:rsidRDefault="000C5DFE" w14:paraId="4A155F1D" w14:textId="729C3BC9">
            <w:pPr>
              <w:spacing w:before="60" w:after="60"/>
              <w:jc w:val="center"/>
              <w:rPr>
                <w:color w:val="000000"/>
              </w:rPr>
            </w:pPr>
            <w:r w:rsidRPr="00B72876">
              <w:rPr>
                <w:color w:val="000000"/>
              </w:rPr>
              <w:t>2020</w:t>
            </w:r>
          </w:p>
        </w:tc>
        <w:tc>
          <w:tcPr>
            <w:tcW w:w="884" w:type="dxa"/>
            <w:gridSpan w:val="2"/>
            <w:shd w:val="clear" w:color="auto" w:fill="FFFFFF" w:themeFill="background1"/>
            <w:vAlign w:val="center"/>
          </w:tcPr>
          <w:p w:rsidRPr="00B72876" w:rsidR="000C5DFE" w:rsidP="00293A56" w:rsidRDefault="0041559F" w14:paraId="30EEA80A" w14:textId="612EAB1A">
            <w:pPr>
              <w:spacing w:before="60" w:after="60"/>
              <w:jc w:val="center"/>
              <w:rPr>
                <w:color w:val="000000"/>
              </w:rPr>
            </w:pPr>
            <w:r>
              <w:rPr>
                <w:color w:val="000000"/>
              </w:rPr>
              <w:t>1.75</w:t>
            </w:r>
          </w:p>
        </w:tc>
        <w:tc>
          <w:tcPr>
            <w:tcW w:w="1031" w:type="dxa"/>
            <w:shd w:val="clear" w:color="auto" w:fill="FFFFFF" w:themeFill="background1"/>
            <w:vAlign w:val="center"/>
          </w:tcPr>
          <w:p w:rsidRPr="00B72876" w:rsidR="000C5DFE" w:rsidP="00293A56" w:rsidRDefault="000C5DFE" w14:paraId="4EB14C91" w14:textId="08601492">
            <w:pPr>
              <w:spacing w:before="60" w:after="60"/>
              <w:jc w:val="center"/>
              <w:rPr>
                <w:color w:val="000000"/>
              </w:rPr>
            </w:pPr>
            <w:r w:rsidRPr="00B72876">
              <w:rPr>
                <w:color w:val="000000"/>
              </w:rPr>
              <w:t>$166</w:t>
            </w:r>
          </w:p>
        </w:tc>
        <w:tc>
          <w:tcPr>
            <w:tcW w:w="1620" w:type="dxa"/>
            <w:gridSpan w:val="2"/>
            <w:tcBorders>
              <w:right w:val="single" w:color="auto" w:sz="4" w:space="0"/>
            </w:tcBorders>
            <w:shd w:val="clear" w:color="auto" w:fill="FFFFFF" w:themeFill="background1"/>
            <w:vAlign w:val="center"/>
          </w:tcPr>
          <w:p w:rsidRPr="00B72876" w:rsidR="000C5DFE" w:rsidP="00293A56" w:rsidRDefault="00747D3C" w14:paraId="02D334B7" w14:textId="40D97E6F">
            <w:pPr>
              <w:spacing w:before="60" w:after="60"/>
              <w:jc w:val="center"/>
              <w:rPr>
                <w:color w:val="000000"/>
              </w:rPr>
            </w:pPr>
            <w:r>
              <w:rPr>
                <w:color w:val="000000"/>
              </w:rPr>
              <w:t xml:space="preserve">½ the rate </w:t>
            </w:r>
            <w:r w:rsidRPr="00B72876" w:rsidR="000C5DFE">
              <w:rPr>
                <w:color w:val="000000"/>
              </w:rPr>
              <w:t>D.</w:t>
            </w:r>
            <w:r>
              <w:rPr>
                <w:color w:val="000000"/>
              </w:rPr>
              <w:t>21-08-016</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0C5DFE" w:rsidP="00293A56" w:rsidRDefault="00B01811" w14:paraId="7B9A0261" w14:textId="5E98C84D">
            <w:pPr>
              <w:spacing w:before="60" w:after="60"/>
              <w:jc w:val="center"/>
              <w:rPr>
                <w:color w:val="000000"/>
              </w:rPr>
            </w:pPr>
            <w:r>
              <w:rPr>
                <w:color w:val="000000"/>
              </w:rPr>
              <w:t>$293.13</w:t>
            </w:r>
          </w:p>
        </w:tc>
        <w:tc>
          <w:tcPr>
            <w:tcW w:w="955" w:type="dxa"/>
            <w:tcBorders>
              <w:left w:val="single" w:color="auto" w:sz="4" w:space="0"/>
              <w:right w:val="single" w:color="auto" w:sz="4" w:space="0"/>
            </w:tcBorders>
            <w:shd w:val="clear" w:color="auto" w:fill="FFFFFF" w:themeFill="background1"/>
          </w:tcPr>
          <w:p w:rsidR="000C5DFE" w:rsidP="00293A56" w:rsidRDefault="00F41157" w14:paraId="370F3BB8" w14:textId="77777777">
            <w:pPr>
              <w:spacing w:before="60" w:after="60"/>
              <w:rPr>
                <w:color w:val="000000"/>
              </w:rPr>
            </w:pPr>
            <w:r>
              <w:rPr>
                <w:color w:val="000000"/>
              </w:rPr>
              <w:t>1.75</w:t>
            </w:r>
          </w:p>
          <w:p w:rsidRPr="00B72876" w:rsidR="00B97D6D" w:rsidP="00293A56" w:rsidRDefault="00B97D6D" w14:paraId="5E5A4264" w14:textId="1C739288">
            <w:pPr>
              <w:spacing w:before="60" w:after="60"/>
              <w:rPr>
                <w:color w:val="000000"/>
              </w:rPr>
            </w:pPr>
          </w:p>
        </w:tc>
        <w:tc>
          <w:tcPr>
            <w:tcW w:w="1146" w:type="dxa"/>
            <w:tcBorders>
              <w:left w:val="single" w:color="auto" w:sz="4" w:space="0"/>
            </w:tcBorders>
            <w:shd w:val="clear" w:color="auto" w:fill="FFFFFF" w:themeFill="background1"/>
          </w:tcPr>
          <w:p w:rsidR="000C5DFE" w:rsidP="00293A56" w:rsidRDefault="007F6E19" w14:paraId="2C7DD3B9" w14:textId="77777777">
            <w:pPr>
              <w:spacing w:before="60" w:after="60"/>
              <w:rPr>
                <w:color w:val="000000"/>
              </w:rPr>
            </w:pPr>
            <w:r>
              <w:rPr>
                <w:color w:val="000000"/>
              </w:rPr>
              <w:t>$167.50</w:t>
            </w:r>
          </w:p>
          <w:p w:rsidRPr="00B72876" w:rsidR="006D2DDC" w:rsidP="00293A56" w:rsidRDefault="006D2DDC" w14:paraId="47B1F089" w14:textId="2F0E2AB8">
            <w:pPr>
              <w:spacing w:before="60" w:after="60"/>
              <w:jc w:val="center"/>
              <w:rPr>
                <w:color w:val="000000"/>
              </w:rPr>
            </w:pPr>
            <w:r>
              <w:rPr>
                <w:color w:val="000000"/>
              </w:rPr>
              <w:t>[</w:t>
            </w:r>
            <w:r w:rsidR="00164681">
              <w:rPr>
                <w:color w:val="000000"/>
              </w:rPr>
              <w:t>9</w:t>
            </w:r>
            <w:r>
              <w:rPr>
                <w:color w:val="000000"/>
              </w:rPr>
              <w:t>]</w:t>
            </w:r>
          </w:p>
        </w:tc>
        <w:tc>
          <w:tcPr>
            <w:tcW w:w="1881" w:type="dxa"/>
            <w:shd w:val="clear" w:color="auto" w:fill="FFFFFF" w:themeFill="background1"/>
          </w:tcPr>
          <w:p w:rsidRPr="00B72876" w:rsidR="000C5DFE" w:rsidP="00293A56" w:rsidRDefault="00F41157" w14:paraId="10659B6D" w14:textId="277E0F6D">
            <w:pPr>
              <w:spacing w:before="60" w:after="60"/>
              <w:jc w:val="right"/>
              <w:rPr>
                <w:color w:val="000000"/>
              </w:rPr>
            </w:pPr>
            <w:r>
              <w:rPr>
                <w:color w:val="000000"/>
              </w:rPr>
              <w:t>$293.</w:t>
            </w:r>
            <w:r w:rsidR="00702DBA">
              <w:rPr>
                <w:color w:val="000000"/>
              </w:rPr>
              <w:t>13</w:t>
            </w:r>
          </w:p>
        </w:tc>
      </w:tr>
      <w:tr w:rsidRPr="00B72876" w:rsidR="000C5DFE" w:rsidTr="00794A54" w14:paraId="0A39BC50" w14:textId="77777777">
        <w:trPr>
          <w:jc w:val="center"/>
        </w:trPr>
        <w:tc>
          <w:tcPr>
            <w:tcW w:w="1489" w:type="dxa"/>
            <w:shd w:val="clear" w:color="auto" w:fill="FFFFFF" w:themeFill="background1"/>
          </w:tcPr>
          <w:p w:rsidRPr="00B72876" w:rsidR="000C5DFE" w:rsidP="00293A56" w:rsidRDefault="000C5DFE" w14:paraId="557AFB15" w14:textId="5674FAC0">
            <w:pPr>
              <w:spacing w:before="60" w:after="60"/>
              <w:rPr>
                <w:color w:val="000000"/>
              </w:rPr>
            </w:pPr>
            <w:r w:rsidRPr="00B72876">
              <w:rPr>
                <w:color w:val="000000"/>
              </w:rPr>
              <w:t>Edward Lopez</w:t>
            </w:r>
          </w:p>
        </w:tc>
        <w:tc>
          <w:tcPr>
            <w:tcW w:w="821" w:type="dxa"/>
            <w:shd w:val="clear" w:color="auto" w:fill="FFFFFF" w:themeFill="background1"/>
            <w:vAlign w:val="center"/>
          </w:tcPr>
          <w:p w:rsidRPr="00B72876" w:rsidR="000C5DFE" w:rsidP="00293A56" w:rsidRDefault="000C5DFE" w14:paraId="69FF2DDE" w14:textId="5EE73237">
            <w:pPr>
              <w:spacing w:before="60" w:after="60"/>
              <w:jc w:val="center"/>
              <w:rPr>
                <w:color w:val="000000"/>
              </w:rPr>
            </w:pPr>
            <w:r w:rsidRPr="00B72876">
              <w:rPr>
                <w:color w:val="000000"/>
              </w:rPr>
              <w:t>2022</w:t>
            </w:r>
          </w:p>
        </w:tc>
        <w:tc>
          <w:tcPr>
            <w:tcW w:w="884" w:type="dxa"/>
            <w:gridSpan w:val="2"/>
            <w:shd w:val="clear" w:color="auto" w:fill="FFFFFF" w:themeFill="background1"/>
            <w:vAlign w:val="center"/>
          </w:tcPr>
          <w:p w:rsidRPr="00B72876" w:rsidR="000C5DFE" w:rsidP="00293A56" w:rsidRDefault="0041559F" w14:paraId="7D8F844C" w14:textId="4347E9BE">
            <w:pPr>
              <w:spacing w:before="60" w:after="60"/>
              <w:jc w:val="center"/>
              <w:rPr>
                <w:color w:val="000000"/>
              </w:rPr>
            </w:pPr>
            <w:r>
              <w:rPr>
                <w:color w:val="000000"/>
              </w:rPr>
              <w:t>14</w:t>
            </w:r>
          </w:p>
        </w:tc>
        <w:tc>
          <w:tcPr>
            <w:tcW w:w="1031" w:type="dxa"/>
            <w:shd w:val="clear" w:color="auto" w:fill="FFFFFF" w:themeFill="background1"/>
            <w:vAlign w:val="center"/>
          </w:tcPr>
          <w:p w:rsidRPr="00B72876" w:rsidR="000C5DFE" w:rsidP="00293A56" w:rsidRDefault="000C5DFE" w14:paraId="05D351F9" w14:textId="52266B7B">
            <w:pPr>
              <w:spacing w:before="60" w:after="60"/>
              <w:jc w:val="center"/>
              <w:rPr>
                <w:color w:val="000000"/>
              </w:rPr>
            </w:pPr>
            <w:r w:rsidRPr="00B72876">
              <w:rPr>
                <w:color w:val="000000"/>
              </w:rPr>
              <w:t>$221</w:t>
            </w:r>
          </w:p>
        </w:tc>
        <w:tc>
          <w:tcPr>
            <w:tcW w:w="1620" w:type="dxa"/>
            <w:gridSpan w:val="2"/>
            <w:tcBorders>
              <w:right w:val="single" w:color="auto" w:sz="4" w:space="0"/>
            </w:tcBorders>
            <w:shd w:val="clear" w:color="auto" w:fill="FFFFFF" w:themeFill="background1"/>
            <w:vAlign w:val="center"/>
          </w:tcPr>
          <w:p w:rsidRPr="00B72876" w:rsidR="000C5DFE" w:rsidP="00293A56" w:rsidRDefault="000C5DFE" w14:paraId="16FC6266" w14:textId="09DF06FA">
            <w:pPr>
              <w:spacing w:before="60" w:after="60"/>
              <w:jc w:val="center"/>
              <w:rPr>
                <w:color w:val="000000"/>
              </w:rPr>
            </w:pPr>
            <w:r w:rsidRPr="00B72876">
              <w:rPr>
                <w:color w:val="000000"/>
              </w:rPr>
              <w:t>½ rate Requested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0C5DFE" w:rsidP="00293A56" w:rsidRDefault="00B01811" w14:paraId="6B57AB95" w14:textId="7A908DD9">
            <w:pPr>
              <w:spacing w:before="60" w:after="60"/>
              <w:jc w:val="center"/>
              <w:rPr>
                <w:color w:val="000000"/>
              </w:rPr>
            </w:pPr>
            <w:r>
              <w:rPr>
                <w:color w:val="000000"/>
              </w:rPr>
              <w:t>$3,094.00</w:t>
            </w:r>
          </w:p>
        </w:tc>
        <w:tc>
          <w:tcPr>
            <w:tcW w:w="955" w:type="dxa"/>
            <w:tcBorders>
              <w:left w:val="single" w:color="auto" w:sz="4" w:space="0"/>
              <w:right w:val="single" w:color="auto" w:sz="4" w:space="0"/>
            </w:tcBorders>
            <w:shd w:val="clear" w:color="auto" w:fill="FFFFFF" w:themeFill="background1"/>
          </w:tcPr>
          <w:p w:rsidR="000C5DFE" w:rsidP="00293A56" w:rsidRDefault="00702DBA" w14:paraId="3DD7F941" w14:textId="77777777">
            <w:pPr>
              <w:spacing w:before="60" w:after="60"/>
              <w:rPr>
                <w:color w:val="000000"/>
              </w:rPr>
            </w:pPr>
            <w:r>
              <w:rPr>
                <w:color w:val="000000"/>
              </w:rPr>
              <w:t>7.00</w:t>
            </w:r>
          </w:p>
          <w:p w:rsidRPr="00B72876" w:rsidR="00B97D6D" w:rsidP="00293A56" w:rsidRDefault="00B97D6D" w14:paraId="1D5E6CBD" w14:textId="4CD2C71C">
            <w:pPr>
              <w:spacing w:before="60" w:after="60"/>
              <w:rPr>
                <w:color w:val="000000"/>
              </w:rPr>
            </w:pPr>
            <w:r>
              <w:rPr>
                <w:color w:val="000000"/>
              </w:rPr>
              <w:t>[1]</w:t>
            </w:r>
          </w:p>
        </w:tc>
        <w:tc>
          <w:tcPr>
            <w:tcW w:w="1146" w:type="dxa"/>
            <w:tcBorders>
              <w:left w:val="single" w:color="auto" w:sz="4" w:space="0"/>
            </w:tcBorders>
            <w:shd w:val="clear" w:color="auto" w:fill="FFFFFF" w:themeFill="background1"/>
          </w:tcPr>
          <w:p w:rsidR="000C5DFE" w:rsidP="00293A56" w:rsidRDefault="00A71B0A" w14:paraId="2E014A13" w14:textId="5044D0A0">
            <w:pPr>
              <w:spacing w:before="60" w:after="60"/>
              <w:rPr>
                <w:color w:val="000000"/>
              </w:rPr>
            </w:pPr>
            <w:r>
              <w:rPr>
                <w:color w:val="000000"/>
              </w:rPr>
              <w:t>$</w:t>
            </w:r>
            <w:r w:rsidR="00D036F4">
              <w:rPr>
                <w:color w:val="000000"/>
              </w:rPr>
              <w:t>22</w:t>
            </w:r>
            <w:r w:rsidR="00A62637">
              <w:rPr>
                <w:color w:val="000000"/>
              </w:rPr>
              <w:t>7</w:t>
            </w:r>
            <w:r w:rsidR="00D036F4">
              <w:rPr>
                <w:color w:val="000000"/>
              </w:rPr>
              <w:t>.</w:t>
            </w:r>
            <w:r w:rsidR="00A62637">
              <w:rPr>
                <w:color w:val="000000"/>
              </w:rPr>
              <w:t>5</w:t>
            </w:r>
            <w:r w:rsidR="00D036F4">
              <w:rPr>
                <w:color w:val="000000"/>
              </w:rPr>
              <w:t>0</w:t>
            </w:r>
          </w:p>
          <w:p w:rsidRPr="00B72876" w:rsidR="00A71B0A" w:rsidP="00293A56" w:rsidRDefault="00A71B0A" w14:paraId="4A7E6102" w14:textId="4D89913C">
            <w:pPr>
              <w:spacing w:before="60" w:after="60"/>
              <w:jc w:val="center"/>
              <w:rPr>
                <w:color w:val="000000"/>
              </w:rPr>
            </w:pPr>
            <w:r>
              <w:rPr>
                <w:color w:val="000000"/>
              </w:rPr>
              <w:t>[</w:t>
            </w:r>
            <w:r w:rsidR="00164681">
              <w:rPr>
                <w:color w:val="000000"/>
              </w:rPr>
              <w:t>10</w:t>
            </w:r>
            <w:r>
              <w:rPr>
                <w:color w:val="000000"/>
              </w:rPr>
              <w:t>]</w:t>
            </w:r>
          </w:p>
        </w:tc>
        <w:tc>
          <w:tcPr>
            <w:tcW w:w="1881" w:type="dxa"/>
            <w:shd w:val="clear" w:color="auto" w:fill="FFFFFF" w:themeFill="background1"/>
          </w:tcPr>
          <w:p w:rsidRPr="00B72876" w:rsidR="000C5DFE" w:rsidP="00293A56" w:rsidRDefault="005939F1" w14:paraId="6D5C551A" w14:textId="71E932FF">
            <w:pPr>
              <w:spacing w:before="60" w:after="60"/>
              <w:jc w:val="right"/>
              <w:rPr>
                <w:color w:val="000000"/>
              </w:rPr>
            </w:pPr>
            <w:r>
              <w:rPr>
                <w:color w:val="000000"/>
              </w:rPr>
              <w:t>$</w:t>
            </w:r>
            <w:r w:rsidR="00D036F4">
              <w:rPr>
                <w:color w:val="000000"/>
              </w:rPr>
              <w:t>1,5</w:t>
            </w:r>
            <w:r w:rsidR="00A62637">
              <w:rPr>
                <w:color w:val="000000"/>
              </w:rPr>
              <w:t>92</w:t>
            </w:r>
            <w:r w:rsidR="00D036F4">
              <w:rPr>
                <w:color w:val="000000"/>
              </w:rPr>
              <w:t>.</w:t>
            </w:r>
            <w:r w:rsidR="00A62637">
              <w:rPr>
                <w:color w:val="000000"/>
              </w:rPr>
              <w:t>5</w:t>
            </w:r>
            <w:r w:rsidR="00D036F4">
              <w:rPr>
                <w:color w:val="000000"/>
              </w:rPr>
              <w:t>0</w:t>
            </w:r>
          </w:p>
        </w:tc>
      </w:tr>
      <w:tr w:rsidRPr="00B72876" w:rsidR="000C5DFE" w:rsidTr="00794A54" w14:paraId="7AB9EF54" w14:textId="77777777">
        <w:trPr>
          <w:jc w:val="center"/>
        </w:trPr>
        <w:tc>
          <w:tcPr>
            <w:tcW w:w="1489" w:type="dxa"/>
            <w:shd w:val="clear" w:color="auto" w:fill="FFFFFF" w:themeFill="background1"/>
          </w:tcPr>
          <w:p w:rsidRPr="00B72876" w:rsidR="000C5DFE" w:rsidP="00293A56" w:rsidRDefault="00747D3C" w14:paraId="4F803C09" w14:textId="6211D1E7">
            <w:pPr>
              <w:spacing w:before="60" w:after="60"/>
              <w:rPr>
                <w:color w:val="000000"/>
              </w:rPr>
            </w:pPr>
            <w:r>
              <w:rPr>
                <w:color w:val="000000"/>
              </w:rPr>
              <w:t>Susan Baldwin</w:t>
            </w:r>
          </w:p>
        </w:tc>
        <w:tc>
          <w:tcPr>
            <w:tcW w:w="821" w:type="dxa"/>
            <w:shd w:val="clear" w:color="auto" w:fill="FFFFFF" w:themeFill="background1"/>
            <w:vAlign w:val="center"/>
          </w:tcPr>
          <w:p w:rsidRPr="00B72876" w:rsidR="000C5DFE" w:rsidP="00293A56" w:rsidRDefault="000C5DFE" w14:paraId="058BFE37" w14:textId="473515B4">
            <w:pPr>
              <w:spacing w:before="60" w:after="60"/>
              <w:jc w:val="center"/>
              <w:rPr>
                <w:color w:val="000000"/>
              </w:rPr>
            </w:pPr>
            <w:r w:rsidRPr="00B72876">
              <w:rPr>
                <w:color w:val="000000"/>
              </w:rPr>
              <w:t>2022</w:t>
            </w:r>
          </w:p>
        </w:tc>
        <w:tc>
          <w:tcPr>
            <w:tcW w:w="884" w:type="dxa"/>
            <w:gridSpan w:val="2"/>
            <w:shd w:val="clear" w:color="auto" w:fill="FFFFFF" w:themeFill="background1"/>
            <w:vAlign w:val="center"/>
          </w:tcPr>
          <w:p w:rsidRPr="00B72876" w:rsidR="000C5DFE" w:rsidP="00293A56" w:rsidRDefault="0041559F" w14:paraId="66A42865" w14:textId="38DF0281">
            <w:pPr>
              <w:spacing w:before="60" w:after="60"/>
              <w:jc w:val="center"/>
              <w:rPr>
                <w:color w:val="000000"/>
              </w:rPr>
            </w:pPr>
            <w:r>
              <w:rPr>
                <w:color w:val="000000"/>
              </w:rPr>
              <w:t>3</w:t>
            </w:r>
          </w:p>
        </w:tc>
        <w:tc>
          <w:tcPr>
            <w:tcW w:w="1031" w:type="dxa"/>
            <w:shd w:val="clear" w:color="auto" w:fill="FFFFFF" w:themeFill="background1"/>
            <w:vAlign w:val="center"/>
          </w:tcPr>
          <w:p w:rsidRPr="00B72876" w:rsidR="000C5DFE" w:rsidP="00293A56" w:rsidRDefault="00747D3C" w14:paraId="42AE8F2C" w14:textId="101AD278">
            <w:pPr>
              <w:spacing w:before="60" w:after="60"/>
              <w:jc w:val="center"/>
              <w:rPr>
                <w:color w:val="000000"/>
              </w:rPr>
            </w:pPr>
            <w:r>
              <w:rPr>
                <w:color w:val="000000"/>
              </w:rPr>
              <w:t>185.23</w:t>
            </w:r>
          </w:p>
        </w:tc>
        <w:tc>
          <w:tcPr>
            <w:tcW w:w="1620" w:type="dxa"/>
            <w:gridSpan w:val="2"/>
            <w:tcBorders>
              <w:right w:val="single" w:color="auto" w:sz="4" w:space="0"/>
            </w:tcBorders>
            <w:shd w:val="clear" w:color="auto" w:fill="FFFFFF" w:themeFill="background1"/>
            <w:vAlign w:val="center"/>
          </w:tcPr>
          <w:p w:rsidRPr="00B72876" w:rsidR="000C5DFE" w:rsidP="00293A56" w:rsidRDefault="00747D3C" w14:paraId="3DB754B7" w14:textId="746C7D1F">
            <w:pPr>
              <w:spacing w:before="60" w:after="60"/>
              <w:jc w:val="center"/>
              <w:rPr>
                <w:color w:val="000000"/>
              </w:rPr>
            </w:pPr>
            <w:r w:rsidRPr="00747D3C">
              <w:rPr>
                <w:color w:val="000000"/>
              </w:rPr>
              <w:t>½ rate Requested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Pr="00B72876" w:rsidR="000C5DFE" w:rsidP="00293A56" w:rsidRDefault="00B01811" w14:paraId="3D39C021" w14:textId="4737B157">
            <w:pPr>
              <w:spacing w:before="60" w:after="60"/>
              <w:jc w:val="center"/>
              <w:rPr>
                <w:color w:val="000000"/>
              </w:rPr>
            </w:pPr>
            <w:r>
              <w:rPr>
                <w:color w:val="000000"/>
              </w:rPr>
              <w:t>$555.69</w:t>
            </w:r>
          </w:p>
        </w:tc>
        <w:tc>
          <w:tcPr>
            <w:tcW w:w="955" w:type="dxa"/>
            <w:tcBorders>
              <w:left w:val="single" w:color="auto" w:sz="4" w:space="0"/>
              <w:right w:val="single" w:color="auto" w:sz="4" w:space="0"/>
            </w:tcBorders>
            <w:shd w:val="clear" w:color="auto" w:fill="FFFFFF" w:themeFill="background1"/>
          </w:tcPr>
          <w:p w:rsidR="000C5DFE" w:rsidP="00293A56" w:rsidRDefault="00702DBA" w14:paraId="6DF655A0" w14:textId="77777777">
            <w:pPr>
              <w:spacing w:before="60" w:after="60"/>
              <w:rPr>
                <w:color w:val="000000"/>
              </w:rPr>
            </w:pPr>
            <w:r>
              <w:rPr>
                <w:color w:val="000000"/>
              </w:rPr>
              <w:t>1.50</w:t>
            </w:r>
          </w:p>
          <w:p w:rsidRPr="00B72876" w:rsidR="00B97D6D" w:rsidP="00293A56" w:rsidRDefault="00B97D6D" w14:paraId="6B8C8F0C" w14:textId="649D748F">
            <w:pPr>
              <w:spacing w:before="60" w:after="60"/>
              <w:rPr>
                <w:color w:val="000000"/>
              </w:rPr>
            </w:pPr>
            <w:r>
              <w:rPr>
                <w:color w:val="000000"/>
              </w:rPr>
              <w:t>[1]</w:t>
            </w:r>
          </w:p>
        </w:tc>
        <w:tc>
          <w:tcPr>
            <w:tcW w:w="1146" w:type="dxa"/>
            <w:tcBorders>
              <w:left w:val="single" w:color="auto" w:sz="4" w:space="0"/>
            </w:tcBorders>
            <w:shd w:val="clear" w:color="auto" w:fill="FFFFFF" w:themeFill="background1"/>
          </w:tcPr>
          <w:p w:rsidR="000C5DFE" w:rsidP="00293A56" w:rsidRDefault="00A71B0A" w14:paraId="75783A6A" w14:textId="77777777">
            <w:pPr>
              <w:spacing w:before="60" w:after="60"/>
              <w:rPr>
                <w:color w:val="000000"/>
              </w:rPr>
            </w:pPr>
            <w:r w:rsidRPr="0040767C">
              <w:rPr>
                <w:color w:val="000000"/>
              </w:rPr>
              <w:t>$190.00</w:t>
            </w:r>
          </w:p>
          <w:p w:rsidRPr="00B72876" w:rsidR="00A71B0A" w:rsidP="00293A56" w:rsidRDefault="006D2DDC" w14:paraId="0A58B021" w14:textId="31959413">
            <w:pPr>
              <w:spacing w:before="60" w:after="60"/>
              <w:jc w:val="center"/>
              <w:rPr>
                <w:color w:val="000000"/>
              </w:rPr>
            </w:pPr>
            <w:r>
              <w:rPr>
                <w:color w:val="000000"/>
              </w:rPr>
              <w:t>[1</w:t>
            </w:r>
            <w:r w:rsidR="00164681">
              <w:rPr>
                <w:color w:val="000000"/>
              </w:rPr>
              <w:t>1</w:t>
            </w:r>
            <w:r w:rsidR="00A71B0A">
              <w:rPr>
                <w:color w:val="000000"/>
              </w:rPr>
              <w:t>]</w:t>
            </w:r>
          </w:p>
        </w:tc>
        <w:tc>
          <w:tcPr>
            <w:tcW w:w="1881" w:type="dxa"/>
            <w:shd w:val="clear" w:color="auto" w:fill="FFFFFF" w:themeFill="background1"/>
          </w:tcPr>
          <w:p w:rsidRPr="00B72876" w:rsidR="000C5DFE" w:rsidP="00293A56" w:rsidRDefault="005939F1" w14:paraId="0769A3B4" w14:textId="3739D411">
            <w:pPr>
              <w:spacing w:before="60" w:after="60"/>
              <w:jc w:val="right"/>
              <w:rPr>
                <w:color w:val="000000"/>
              </w:rPr>
            </w:pPr>
            <w:r>
              <w:rPr>
                <w:color w:val="000000"/>
              </w:rPr>
              <w:t>$</w:t>
            </w:r>
            <w:r w:rsidR="00D036F4">
              <w:rPr>
                <w:color w:val="000000"/>
              </w:rPr>
              <w:t>2</w:t>
            </w:r>
            <w:r w:rsidR="008937FA">
              <w:rPr>
                <w:color w:val="000000"/>
              </w:rPr>
              <w:t>85.00</w:t>
            </w:r>
          </w:p>
        </w:tc>
      </w:tr>
      <w:tr w:rsidRPr="00B72876" w:rsidR="000C5DFE" w:rsidTr="00EC6387" w14:paraId="266CEDD5" w14:textId="77777777">
        <w:trPr>
          <w:jc w:val="center"/>
        </w:trPr>
        <w:tc>
          <w:tcPr>
            <w:tcW w:w="7178" w:type="dxa"/>
            <w:gridSpan w:val="9"/>
            <w:tcBorders>
              <w:bottom w:val="single" w:color="auto" w:sz="4" w:space="0"/>
              <w:right w:val="single" w:color="auto" w:sz="24" w:space="0"/>
            </w:tcBorders>
            <w:shd w:val="clear" w:color="auto" w:fill="auto"/>
            <w:vAlign w:val="bottom"/>
          </w:tcPr>
          <w:p w:rsidRPr="00B72876" w:rsidR="000C5DFE" w:rsidP="00293A56" w:rsidRDefault="000C5DFE" w14:paraId="4A1F5988" w14:textId="42000C89">
            <w:pPr>
              <w:tabs>
                <w:tab w:val="left" w:pos="957"/>
              </w:tabs>
              <w:spacing w:before="60" w:after="60"/>
              <w:ind w:right="162"/>
              <w:jc w:val="right"/>
              <w:rPr>
                <w:b/>
                <w:i/>
                <w:color w:val="000000"/>
              </w:rPr>
            </w:pPr>
            <w:r w:rsidRPr="00B72876">
              <w:rPr>
                <w:b/>
                <w:i/>
                <w:color w:val="000000"/>
              </w:rPr>
              <w:t>Subtotal: $</w:t>
            </w:r>
            <w:r w:rsidR="00B01811">
              <w:rPr>
                <w:b/>
                <w:i/>
                <w:color w:val="000000"/>
              </w:rPr>
              <w:t>3,942.82</w:t>
            </w:r>
          </w:p>
        </w:tc>
        <w:tc>
          <w:tcPr>
            <w:tcW w:w="3982" w:type="dxa"/>
            <w:gridSpan w:val="3"/>
            <w:tcBorders>
              <w:left w:val="single" w:color="auto" w:sz="24" w:space="0"/>
              <w:bottom w:val="single" w:color="auto" w:sz="4" w:space="0"/>
            </w:tcBorders>
            <w:shd w:val="clear" w:color="auto" w:fill="auto"/>
            <w:vAlign w:val="bottom"/>
          </w:tcPr>
          <w:p w:rsidRPr="00411E3A" w:rsidR="000C5DFE" w:rsidP="00293A56" w:rsidRDefault="000C5DFE" w14:paraId="2FBAA587" w14:textId="4883955B">
            <w:pPr>
              <w:tabs>
                <w:tab w:val="left" w:pos="957"/>
              </w:tabs>
              <w:spacing w:before="60" w:after="60"/>
              <w:ind w:right="162"/>
              <w:jc w:val="right"/>
              <w:rPr>
                <w:b/>
                <w:i/>
                <w:color w:val="000000"/>
                <w:highlight w:val="yellow"/>
              </w:rPr>
            </w:pPr>
            <w:r w:rsidRPr="0040767C">
              <w:rPr>
                <w:b/>
                <w:i/>
                <w:color w:val="000000"/>
              </w:rPr>
              <w:t>Subtotal: $</w:t>
            </w:r>
            <w:r w:rsidRPr="0040767C" w:rsidR="00702DBA">
              <w:rPr>
                <w:b/>
                <w:i/>
                <w:color w:val="000000"/>
              </w:rPr>
              <w:t>2,1</w:t>
            </w:r>
            <w:r w:rsidR="00FC13C4">
              <w:rPr>
                <w:b/>
                <w:i/>
                <w:color w:val="000000"/>
              </w:rPr>
              <w:t>70.63</w:t>
            </w:r>
          </w:p>
        </w:tc>
      </w:tr>
      <w:tr w:rsidRPr="00B72876" w:rsidR="000C5DFE" w:rsidTr="00EC6387" w14:paraId="06E7371A" w14:textId="77777777">
        <w:trPr>
          <w:jc w:val="center"/>
        </w:trPr>
        <w:tc>
          <w:tcPr>
            <w:tcW w:w="7178" w:type="dxa"/>
            <w:gridSpan w:val="9"/>
            <w:tcBorders>
              <w:top w:val="single" w:color="auto" w:sz="4" w:space="0"/>
              <w:bottom w:val="single" w:color="auto" w:sz="4" w:space="0"/>
              <w:right w:val="single" w:color="auto" w:sz="24" w:space="0"/>
            </w:tcBorders>
            <w:shd w:val="clear" w:color="auto" w:fill="E6E6E6"/>
            <w:vAlign w:val="bottom"/>
          </w:tcPr>
          <w:p w:rsidRPr="0041559F" w:rsidR="0041559F" w:rsidP="00293A56" w:rsidRDefault="000C5DFE" w14:paraId="11B3B704" w14:textId="22DA32ED">
            <w:pPr>
              <w:tabs>
                <w:tab w:val="left" w:pos="957"/>
              </w:tabs>
              <w:spacing w:before="60" w:after="60"/>
              <w:ind w:right="72"/>
              <w:jc w:val="right"/>
              <w:rPr>
                <w:b/>
                <w:i/>
                <w:color w:val="000000"/>
              </w:rPr>
            </w:pPr>
            <w:r w:rsidRPr="00B72876">
              <w:rPr>
                <w:b/>
                <w:i/>
                <w:color w:val="000000"/>
              </w:rPr>
              <w:t>TOTAL REQUEST: $</w:t>
            </w:r>
            <w:r w:rsidR="00B01811">
              <w:rPr>
                <w:b/>
                <w:i/>
                <w:color w:val="000000"/>
              </w:rPr>
              <w:t>125,158.5</w:t>
            </w:r>
            <w:r w:rsidR="0041559F">
              <w:rPr>
                <w:b/>
                <w:i/>
                <w:color w:val="000000"/>
              </w:rPr>
              <w:t>6</w:t>
            </w:r>
          </w:p>
        </w:tc>
        <w:tc>
          <w:tcPr>
            <w:tcW w:w="3982" w:type="dxa"/>
            <w:gridSpan w:val="3"/>
            <w:tcBorders>
              <w:left w:val="single" w:color="auto" w:sz="24" w:space="0"/>
            </w:tcBorders>
            <w:shd w:val="clear" w:color="auto" w:fill="E6E6E6"/>
            <w:vAlign w:val="bottom"/>
          </w:tcPr>
          <w:p w:rsidRPr="00411E3A" w:rsidR="000C5DFE" w:rsidP="00293A56" w:rsidRDefault="000C5DFE" w14:paraId="3680D139" w14:textId="45EC000D">
            <w:pPr>
              <w:tabs>
                <w:tab w:val="left" w:pos="957"/>
              </w:tabs>
              <w:spacing w:before="60" w:after="60"/>
              <w:ind w:right="72"/>
              <w:jc w:val="right"/>
              <w:rPr>
                <w:b/>
                <w:color w:val="000000"/>
                <w:highlight w:val="yellow"/>
              </w:rPr>
            </w:pPr>
            <w:r w:rsidRPr="0040767C">
              <w:rPr>
                <w:b/>
                <w:i/>
                <w:color w:val="000000"/>
              </w:rPr>
              <w:t>TOTAL AWARD: $</w:t>
            </w:r>
            <w:r w:rsidRPr="0040767C" w:rsidR="00702DBA">
              <w:rPr>
                <w:b/>
                <w:i/>
                <w:color w:val="000000"/>
              </w:rPr>
              <w:t>6</w:t>
            </w:r>
            <w:r w:rsidR="006B6F0C">
              <w:rPr>
                <w:b/>
                <w:i/>
                <w:color w:val="000000"/>
              </w:rPr>
              <w:t>2</w:t>
            </w:r>
            <w:r w:rsidRPr="0040767C" w:rsidR="00702DBA">
              <w:rPr>
                <w:b/>
                <w:i/>
                <w:color w:val="000000"/>
              </w:rPr>
              <w:t>,</w:t>
            </w:r>
            <w:r w:rsidR="006B6F0C">
              <w:rPr>
                <w:b/>
                <w:i/>
                <w:color w:val="000000"/>
              </w:rPr>
              <w:t>134</w:t>
            </w:r>
            <w:r w:rsidR="00FC13C4">
              <w:rPr>
                <w:b/>
                <w:i/>
                <w:color w:val="000000"/>
              </w:rPr>
              <w:t>.</w:t>
            </w:r>
            <w:r w:rsidR="006B6F0C">
              <w:rPr>
                <w:b/>
                <w:i/>
                <w:color w:val="000000"/>
              </w:rPr>
              <w:t>4</w:t>
            </w:r>
            <w:r w:rsidR="00FC13C4">
              <w:rPr>
                <w:b/>
                <w:i/>
                <w:color w:val="000000"/>
              </w:rPr>
              <w:t>8</w:t>
            </w:r>
          </w:p>
        </w:tc>
      </w:tr>
      <w:tr w:rsidRPr="00B72876" w:rsidR="000C5DFE" w:rsidTr="00EC6387" w14:paraId="6A909BC1" w14:textId="77777777">
        <w:trPr>
          <w:jc w:val="center"/>
        </w:trPr>
        <w:tc>
          <w:tcPr>
            <w:tcW w:w="11160" w:type="dxa"/>
            <w:gridSpan w:val="12"/>
            <w:tcBorders>
              <w:top w:val="single" w:color="auto" w:sz="4" w:space="0"/>
              <w:bottom w:val="single" w:color="auto" w:sz="4" w:space="0"/>
            </w:tcBorders>
            <w:shd w:val="clear" w:color="auto" w:fill="auto"/>
          </w:tcPr>
          <w:p w:rsidRPr="00B72876" w:rsidR="000C5DFE" w:rsidP="000C5DFE" w:rsidRDefault="000C5DFE" w14:paraId="6F39872E" w14:textId="77777777">
            <w:pPr>
              <w:spacing w:before="60" w:after="60"/>
              <w:rPr>
                <w:color w:val="000000"/>
              </w:rPr>
            </w:pPr>
            <w:r w:rsidRPr="00B72876">
              <w:rPr>
                <w:color w:val="000000"/>
              </w:rPr>
              <w:t xml:space="preserve">  *We remind all intervenors that Commission staff may audit </w:t>
            </w:r>
            <w:r w:rsidRPr="00B72876">
              <w:t>the records and books of the intervenors to the extent necessary to verify the basis for the award (§1804(d)).  I</w:t>
            </w:r>
            <w:r w:rsidRPr="00B72876">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B72876" w:rsidR="000C5DFE" w:rsidP="000C5DFE" w:rsidRDefault="000C5DFE" w14:paraId="0D03EC65" w14:textId="77777777">
            <w:pPr>
              <w:spacing w:before="60" w:after="60"/>
              <w:rPr>
                <w:color w:val="000000"/>
              </w:rPr>
            </w:pPr>
            <w:r w:rsidRPr="00B72876">
              <w:rPr>
                <w:color w:val="000000"/>
              </w:rPr>
              <w:t>**Travel and Reasonable Claim preparation time are typically compensated at ½ of preparer’s normal hourly rate</w:t>
            </w:r>
            <w:r w:rsidRPr="00B72876" w:rsidDel="00D075B1">
              <w:rPr>
                <w:color w:val="000000"/>
              </w:rPr>
              <w:t xml:space="preserve"> </w:t>
            </w:r>
          </w:p>
        </w:tc>
      </w:tr>
      <w:tr w:rsidRPr="00B72876" w:rsidR="000C5DFE" w:rsidTr="00EC6387" w14:paraId="458B01A4"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72876" w:rsidR="000C5DFE" w:rsidP="000C5DFE" w:rsidRDefault="000C5DFE" w14:paraId="48B43CBD" w14:textId="77777777">
            <w:pPr>
              <w:keepNext/>
              <w:spacing w:before="60" w:after="60"/>
              <w:jc w:val="center"/>
              <w:rPr>
                <w:b/>
                <w:smallCaps/>
                <w:color w:val="000000"/>
              </w:rPr>
            </w:pPr>
            <w:r w:rsidRPr="00B72876">
              <w:rPr>
                <w:b/>
                <w:smallCaps/>
                <w:color w:val="000000"/>
              </w:rPr>
              <w:t>ATTORNEY INFORMATION</w:t>
            </w:r>
          </w:p>
        </w:tc>
      </w:tr>
      <w:tr w:rsidRPr="00B72876" w:rsidR="000C5DFE" w:rsidTr="00EC6387" w14:paraId="790C92C0" w14:textId="77777777">
        <w:trPr>
          <w:trHeight w:val="173"/>
          <w:jc w:val="center"/>
        </w:trPr>
        <w:tc>
          <w:tcPr>
            <w:tcW w:w="2692" w:type="dxa"/>
            <w:gridSpan w:val="3"/>
            <w:tcBorders>
              <w:top w:val="single" w:color="auto" w:sz="4" w:space="0"/>
              <w:bottom w:val="single" w:color="auto" w:sz="4" w:space="0"/>
            </w:tcBorders>
            <w:shd w:val="clear" w:color="auto" w:fill="FFFFFF"/>
            <w:vAlign w:val="bottom"/>
          </w:tcPr>
          <w:p w:rsidRPr="00B72876" w:rsidR="000C5DFE" w:rsidP="000C5DFE" w:rsidRDefault="000C5DFE" w14:paraId="00CAC866" w14:textId="77777777">
            <w:pPr>
              <w:keepNext/>
              <w:keepLines/>
              <w:spacing w:before="60" w:after="60"/>
              <w:jc w:val="center"/>
              <w:rPr>
                <w:b/>
                <w:color w:val="000000"/>
              </w:rPr>
            </w:pPr>
            <w:r w:rsidRPr="00B72876">
              <w:rPr>
                <w:b/>
              </w:rPr>
              <w:t>Attorney</w:t>
            </w:r>
          </w:p>
        </w:tc>
        <w:tc>
          <w:tcPr>
            <w:tcW w:w="1909" w:type="dxa"/>
            <w:gridSpan w:val="3"/>
            <w:tcBorders>
              <w:top w:val="single" w:color="auto" w:sz="4" w:space="0"/>
              <w:bottom w:val="single" w:color="auto" w:sz="4" w:space="0"/>
            </w:tcBorders>
            <w:shd w:val="clear" w:color="auto" w:fill="FFFFFF"/>
            <w:vAlign w:val="bottom"/>
          </w:tcPr>
          <w:p w:rsidRPr="00B72876" w:rsidR="000C5DFE" w:rsidP="000C5DFE" w:rsidRDefault="000C5DFE" w14:paraId="7E76A008" w14:textId="77777777">
            <w:pPr>
              <w:keepNext/>
              <w:keepLines/>
              <w:spacing w:before="60" w:after="60"/>
              <w:jc w:val="center"/>
              <w:rPr>
                <w:b/>
                <w:color w:val="000000"/>
              </w:rPr>
            </w:pPr>
            <w:r w:rsidRPr="00B72876">
              <w:rPr>
                <w:b/>
              </w:rPr>
              <w:t>Date Admitted to CA BAR</w:t>
            </w:r>
            <w:r w:rsidRPr="00B72876">
              <w:rPr>
                <w:rStyle w:val="FootnoteReference"/>
                <w:b/>
              </w:rPr>
              <w:footnoteReference w:id="2"/>
            </w:r>
          </w:p>
        </w:tc>
        <w:tc>
          <w:tcPr>
            <w:tcW w:w="2291" w:type="dxa"/>
            <w:gridSpan w:val="2"/>
            <w:tcBorders>
              <w:top w:val="single" w:color="auto" w:sz="4" w:space="0"/>
              <w:bottom w:val="single" w:color="auto" w:sz="4" w:space="0"/>
            </w:tcBorders>
            <w:shd w:val="clear" w:color="auto" w:fill="FFFFFF"/>
            <w:vAlign w:val="bottom"/>
          </w:tcPr>
          <w:p w:rsidRPr="00B72876" w:rsidR="000C5DFE" w:rsidP="000C5DFE" w:rsidRDefault="000C5DFE" w14:paraId="27E64ED7" w14:textId="77777777">
            <w:pPr>
              <w:keepNext/>
              <w:keepLines/>
              <w:spacing w:before="60" w:after="60"/>
              <w:jc w:val="center"/>
              <w:rPr>
                <w:b/>
                <w:color w:val="000000"/>
              </w:rPr>
            </w:pPr>
            <w:r w:rsidRPr="00B72876">
              <w:rPr>
                <w:b/>
              </w:rPr>
              <w:t>Member Number</w:t>
            </w:r>
          </w:p>
        </w:tc>
        <w:tc>
          <w:tcPr>
            <w:tcW w:w="4268" w:type="dxa"/>
            <w:gridSpan w:val="4"/>
            <w:tcBorders>
              <w:top w:val="single" w:color="auto" w:sz="4" w:space="0"/>
              <w:bottom w:val="single" w:color="auto" w:sz="4" w:space="0"/>
            </w:tcBorders>
            <w:shd w:val="clear" w:color="auto" w:fill="FFFFFF"/>
            <w:vAlign w:val="bottom"/>
          </w:tcPr>
          <w:p w:rsidRPr="00B72876" w:rsidR="000C5DFE" w:rsidP="000C5DFE" w:rsidRDefault="000C5DFE" w14:paraId="496B5DC1" w14:textId="77777777">
            <w:pPr>
              <w:keepNext/>
              <w:keepLines/>
              <w:spacing w:before="60" w:after="60"/>
              <w:jc w:val="center"/>
              <w:rPr>
                <w:b/>
              </w:rPr>
            </w:pPr>
            <w:r w:rsidRPr="00B72876">
              <w:rPr>
                <w:b/>
              </w:rPr>
              <w:t>Actions Affecting Eligibility (Yes/No?)</w:t>
            </w:r>
          </w:p>
          <w:p w:rsidRPr="00B72876" w:rsidR="000C5DFE" w:rsidP="000C5DFE" w:rsidRDefault="000C5DFE" w14:paraId="36F8922D" w14:textId="77777777">
            <w:pPr>
              <w:keepNext/>
              <w:keepLines/>
              <w:spacing w:before="60" w:after="60"/>
              <w:jc w:val="center"/>
              <w:rPr>
                <w:b/>
                <w:color w:val="000000"/>
              </w:rPr>
            </w:pPr>
            <w:r w:rsidRPr="00B72876">
              <w:rPr>
                <w:b/>
              </w:rPr>
              <w:t>If “Yes”, attach explanation</w:t>
            </w:r>
          </w:p>
        </w:tc>
      </w:tr>
      <w:tr w:rsidRPr="00B72876" w:rsidR="000C5DFE" w:rsidTr="00794A54" w14:paraId="4DC5EE9B" w14:textId="77777777">
        <w:trPr>
          <w:trHeight w:val="172"/>
          <w:jc w:val="center"/>
        </w:trPr>
        <w:tc>
          <w:tcPr>
            <w:tcW w:w="2692" w:type="dxa"/>
            <w:gridSpan w:val="3"/>
            <w:tcBorders>
              <w:top w:val="single" w:color="auto" w:sz="4" w:space="0"/>
              <w:bottom w:val="single" w:color="auto" w:sz="4" w:space="0"/>
            </w:tcBorders>
            <w:shd w:val="clear" w:color="auto" w:fill="FFFFFF" w:themeFill="background1"/>
          </w:tcPr>
          <w:p w:rsidRPr="00B72876" w:rsidR="000C5DFE" w:rsidP="000C5DFE" w:rsidRDefault="000C5DFE" w14:paraId="7266B7BF" w14:textId="3198370A">
            <w:pPr>
              <w:keepLines/>
              <w:spacing w:before="60" w:after="60"/>
              <w:jc w:val="center"/>
              <w:rPr>
                <w:color w:val="000000"/>
              </w:rPr>
            </w:pPr>
            <w:r w:rsidRPr="00B72876">
              <w:rPr>
                <w:color w:val="000000"/>
              </w:rPr>
              <w:t>Edward Chris Lopez</w:t>
            </w:r>
          </w:p>
        </w:tc>
        <w:tc>
          <w:tcPr>
            <w:tcW w:w="1909" w:type="dxa"/>
            <w:gridSpan w:val="3"/>
            <w:tcBorders>
              <w:top w:val="single" w:color="auto" w:sz="4" w:space="0"/>
              <w:bottom w:val="single" w:color="auto" w:sz="4" w:space="0"/>
            </w:tcBorders>
            <w:shd w:val="clear" w:color="auto" w:fill="FFFFFF" w:themeFill="background1"/>
          </w:tcPr>
          <w:p w:rsidRPr="00B72876" w:rsidR="000C5DFE" w:rsidP="000C5DFE" w:rsidRDefault="000C5DFE" w14:paraId="37844D81" w14:textId="77777777">
            <w:pPr>
              <w:keepNext/>
              <w:keepLines/>
              <w:spacing w:before="60" w:after="60"/>
              <w:jc w:val="center"/>
              <w:rPr>
                <w:color w:val="000000"/>
              </w:rPr>
            </w:pPr>
            <w:r w:rsidRPr="00B72876">
              <w:rPr>
                <w:color w:val="000000"/>
              </w:rPr>
              <w:t>December 20,</w:t>
            </w:r>
          </w:p>
          <w:p w:rsidRPr="00B72876" w:rsidR="000C5DFE" w:rsidP="000C5DFE" w:rsidRDefault="000C5DFE" w14:paraId="69A41F15" w14:textId="699E23A7">
            <w:pPr>
              <w:keepLines/>
              <w:spacing w:before="60" w:after="60"/>
              <w:jc w:val="center"/>
              <w:rPr>
                <w:color w:val="000000"/>
              </w:rPr>
            </w:pPr>
            <w:r w:rsidRPr="00B72876">
              <w:rPr>
                <w:color w:val="000000"/>
              </w:rPr>
              <w:t>1991</w:t>
            </w:r>
          </w:p>
        </w:tc>
        <w:tc>
          <w:tcPr>
            <w:tcW w:w="2291" w:type="dxa"/>
            <w:gridSpan w:val="2"/>
            <w:tcBorders>
              <w:top w:val="single" w:color="auto" w:sz="4" w:space="0"/>
              <w:bottom w:val="single" w:color="auto" w:sz="4" w:space="0"/>
            </w:tcBorders>
            <w:shd w:val="clear" w:color="auto" w:fill="FFFFFF" w:themeFill="background1"/>
          </w:tcPr>
          <w:p w:rsidRPr="00B72876" w:rsidR="000C5DFE" w:rsidP="000C5DFE" w:rsidRDefault="000C5DFE" w14:paraId="58495CD7" w14:textId="72CABD0B">
            <w:pPr>
              <w:keepLines/>
              <w:spacing w:before="60" w:after="60"/>
              <w:jc w:val="center"/>
              <w:rPr>
                <w:color w:val="000000"/>
              </w:rPr>
            </w:pPr>
            <w:r w:rsidRPr="00B72876">
              <w:rPr>
                <w:color w:val="000000"/>
              </w:rPr>
              <w:t>157052</w:t>
            </w:r>
          </w:p>
        </w:tc>
        <w:tc>
          <w:tcPr>
            <w:tcW w:w="4268" w:type="dxa"/>
            <w:gridSpan w:val="4"/>
            <w:tcBorders>
              <w:top w:val="single" w:color="auto" w:sz="4" w:space="0"/>
              <w:bottom w:val="single" w:color="auto" w:sz="4" w:space="0"/>
            </w:tcBorders>
            <w:shd w:val="clear" w:color="auto" w:fill="FFFFFF" w:themeFill="background1"/>
          </w:tcPr>
          <w:p w:rsidRPr="00B72876" w:rsidR="000C5DFE" w:rsidP="000C5DFE" w:rsidRDefault="000C5DFE" w14:paraId="117B99BF" w14:textId="66C3471B">
            <w:pPr>
              <w:keepLines/>
              <w:spacing w:before="60" w:after="60"/>
              <w:jc w:val="center"/>
              <w:rPr>
                <w:color w:val="000000"/>
              </w:rPr>
            </w:pPr>
            <w:r w:rsidRPr="00B72876">
              <w:rPr>
                <w:color w:val="000000"/>
              </w:rPr>
              <w:t>No</w:t>
            </w:r>
          </w:p>
        </w:tc>
      </w:tr>
    </w:tbl>
    <w:p w:rsidRPr="00B72876" w:rsidR="0022302F" w:rsidP="005B5B44" w:rsidRDefault="00A92D0B" w14:paraId="67A6CABA" w14:textId="77777777">
      <w:pPr>
        <w:keepNext/>
        <w:numPr>
          <w:ilvl w:val="0"/>
          <w:numId w:val="9"/>
        </w:numPr>
        <w:spacing w:before="240"/>
        <w:rPr>
          <w:b/>
          <w:color w:val="000000"/>
        </w:rPr>
      </w:pPr>
      <w:r w:rsidRPr="00B72876">
        <w:rPr>
          <w:b/>
          <w:color w:val="000000"/>
        </w:rPr>
        <w:lastRenderedPageBreak/>
        <w:t>Attachments</w:t>
      </w:r>
      <w:r w:rsidRPr="00B72876">
        <w:rPr>
          <w:b/>
        </w:rPr>
        <w:t xml:space="preserve"> Documenting Specific Claim and Comments on Part III</w:t>
      </w:r>
      <w:r w:rsidRPr="00B72876" w:rsidR="00C02649">
        <w:rPr>
          <w:b/>
        </w:rPr>
        <w:t>:</w:t>
      </w:r>
    </w:p>
    <w:p w:rsidRPr="00B72876" w:rsidR="00A92D0B" w:rsidP="0022302F" w:rsidRDefault="00A92D0B" w14:paraId="04BC309E" w14:textId="3F3AC193">
      <w:pPr>
        <w:spacing w:after="240"/>
        <w:ind w:left="360"/>
        <w:rPr>
          <w:b/>
          <w:i/>
          <w:color w:val="000000"/>
          <w:u w:val="single"/>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565"/>
      </w:tblGrid>
      <w:tr w:rsidRPr="007B2BF1" w:rsidR="00A92D0B" w:rsidTr="001A3CF3" w14:paraId="0C2B760A" w14:textId="77777777">
        <w:trPr>
          <w:tblHeader/>
        </w:trPr>
        <w:tc>
          <w:tcPr>
            <w:tcW w:w="1795" w:type="dxa"/>
            <w:shd w:val="clear" w:color="auto" w:fill="D9D9D9" w:themeFill="background1" w:themeFillShade="D9"/>
            <w:vAlign w:val="bottom"/>
          </w:tcPr>
          <w:p w:rsidRPr="007B2BF1" w:rsidR="00A92D0B" w:rsidP="001A3CF3" w:rsidRDefault="00A92D0B" w14:paraId="42A1D838" w14:textId="77777777">
            <w:pPr>
              <w:tabs>
                <w:tab w:val="left" w:pos="1260"/>
              </w:tabs>
              <w:jc w:val="center"/>
              <w:rPr>
                <w:b/>
                <w:color w:val="000000"/>
              </w:rPr>
            </w:pPr>
            <w:r w:rsidRPr="007B2BF1">
              <w:rPr>
                <w:b/>
                <w:color w:val="000000"/>
              </w:rPr>
              <w:t>Attachment or Comment  #</w:t>
            </w:r>
          </w:p>
        </w:tc>
        <w:tc>
          <w:tcPr>
            <w:tcW w:w="7565" w:type="dxa"/>
            <w:tcBorders>
              <w:bottom w:val="single" w:color="auto" w:sz="4" w:space="0"/>
            </w:tcBorders>
            <w:shd w:val="clear" w:color="auto" w:fill="D9D9D9" w:themeFill="background1" w:themeFillShade="D9"/>
            <w:vAlign w:val="bottom"/>
          </w:tcPr>
          <w:p w:rsidRPr="007B2BF1" w:rsidR="00A92D0B" w:rsidP="001A3CF3" w:rsidRDefault="00A92D0B" w14:paraId="55F0A65F" w14:textId="77777777">
            <w:pPr>
              <w:tabs>
                <w:tab w:val="left" w:pos="1260"/>
              </w:tabs>
              <w:jc w:val="center"/>
              <w:rPr>
                <w:b/>
                <w:color w:val="000000"/>
              </w:rPr>
            </w:pPr>
            <w:r w:rsidRPr="007B2BF1">
              <w:rPr>
                <w:b/>
                <w:color w:val="000000"/>
              </w:rPr>
              <w:t>Description/Comment</w:t>
            </w:r>
          </w:p>
        </w:tc>
      </w:tr>
      <w:tr w:rsidRPr="007B2BF1" w:rsidR="00A92D0B" w:rsidTr="00794A54" w14:paraId="71F47148" w14:textId="77777777">
        <w:tc>
          <w:tcPr>
            <w:tcW w:w="1795" w:type="dxa"/>
            <w:tcBorders>
              <w:bottom w:val="single" w:color="auto" w:sz="4" w:space="0"/>
            </w:tcBorders>
            <w:shd w:val="clear" w:color="auto" w:fill="FFFFFF" w:themeFill="background1"/>
          </w:tcPr>
          <w:p w:rsidRPr="007B2BF1" w:rsidR="00A92D0B" w:rsidP="001A3CF3" w:rsidRDefault="00A92D0B" w14:paraId="7A5C03D8" w14:textId="7942045C">
            <w:pPr>
              <w:tabs>
                <w:tab w:val="left" w:pos="1260"/>
              </w:tabs>
              <w:rPr>
                <w:color w:val="000000"/>
              </w:rPr>
            </w:pPr>
          </w:p>
        </w:tc>
        <w:tc>
          <w:tcPr>
            <w:tcW w:w="7565" w:type="dxa"/>
            <w:tcBorders>
              <w:bottom w:val="single" w:color="auto" w:sz="4" w:space="0"/>
            </w:tcBorders>
            <w:shd w:val="clear" w:color="auto" w:fill="FFFFFF" w:themeFill="background1"/>
          </w:tcPr>
          <w:p w:rsidR="00A92D0B" w:rsidP="001A3CF3" w:rsidRDefault="00A92D0B" w14:paraId="5CAFA729" w14:textId="77777777">
            <w:pPr>
              <w:tabs>
                <w:tab w:val="left" w:pos="1260"/>
              </w:tabs>
              <w:rPr>
                <w:color w:val="000000"/>
              </w:rPr>
            </w:pPr>
            <w:r w:rsidRPr="007B2BF1">
              <w:rPr>
                <w:color w:val="000000"/>
              </w:rPr>
              <w:t>Certificate of Service</w:t>
            </w:r>
          </w:p>
          <w:p w:rsidR="007B2BF1" w:rsidP="001A3CF3" w:rsidRDefault="007B2BF1" w14:paraId="3566DB82" w14:textId="77777777">
            <w:pPr>
              <w:tabs>
                <w:tab w:val="left" w:pos="1260"/>
              </w:tabs>
              <w:rPr>
                <w:color w:val="000000"/>
              </w:rPr>
            </w:pPr>
            <w:r>
              <w:rPr>
                <w:color w:val="000000"/>
              </w:rPr>
              <w:t>Timesheet</w:t>
            </w:r>
          </w:p>
          <w:p w:rsidR="007B2BF1" w:rsidP="001A3CF3" w:rsidRDefault="007B2BF1" w14:paraId="4961D0F8" w14:textId="77777777">
            <w:pPr>
              <w:tabs>
                <w:tab w:val="left" w:pos="1260"/>
              </w:tabs>
              <w:rPr>
                <w:color w:val="000000"/>
              </w:rPr>
            </w:pPr>
            <w:r>
              <w:rPr>
                <w:color w:val="000000"/>
              </w:rPr>
              <w:t>CV Susan Baldwin</w:t>
            </w:r>
          </w:p>
          <w:p w:rsidRPr="007B2BF1" w:rsidR="007B2BF1" w:rsidP="001A3CF3" w:rsidRDefault="007B2BF1" w14:paraId="370C67BC" w14:textId="226A2CB7">
            <w:pPr>
              <w:tabs>
                <w:tab w:val="left" w:pos="1260"/>
              </w:tabs>
              <w:rPr>
                <w:color w:val="000000"/>
              </w:rPr>
            </w:pPr>
            <w:r>
              <w:rPr>
                <w:color w:val="000000"/>
              </w:rPr>
              <w:t>CV Tim Howington</w:t>
            </w:r>
          </w:p>
        </w:tc>
      </w:tr>
      <w:tr w:rsidRPr="007B2BF1" w:rsidR="007B2BF1" w:rsidTr="00794A54" w14:paraId="72C869B0" w14:textId="77777777">
        <w:tc>
          <w:tcPr>
            <w:tcW w:w="1795" w:type="dxa"/>
            <w:shd w:val="clear" w:color="auto" w:fill="FFFFFF" w:themeFill="background1"/>
          </w:tcPr>
          <w:p w:rsidRPr="007B2BF1" w:rsidR="007B2BF1" w:rsidP="007B2BF1" w:rsidRDefault="007B2BF1" w14:paraId="49AADD21" w14:textId="76D5AD71">
            <w:pPr>
              <w:tabs>
                <w:tab w:val="left" w:pos="1260"/>
              </w:tabs>
              <w:rPr>
                <w:color w:val="000000"/>
              </w:rPr>
            </w:pPr>
            <w:r w:rsidRPr="007B2BF1">
              <w:rPr>
                <w:color w:val="000000"/>
              </w:rPr>
              <w:t>Comment 1</w:t>
            </w:r>
          </w:p>
        </w:tc>
        <w:tc>
          <w:tcPr>
            <w:tcW w:w="7565" w:type="dxa"/>
            <w:shd w:val="clear" w:color="auto" w:fill="FFFFFF" w:themeFill="background1"/>
          </w:tcPr>
          <w:p w:rsidRPr="007B2BF1" w:rsidR="007B2BF1" w:rsidP="007B2BF1" w:rsidRDefault="007B2BF1" w14:paraId="0A3C8D8C" w14:textId="77777777">
            <w:pPr>
              <w:rPr>
                <w:rFonts w:eastAsia="Calibri"/>
              </w:rPr>
            </w:pPr>
            <w:r w:rsidRPr="007B2BF1">
              <w:rPr>
                <w:rFonts w:eastAsia="Calibri"/>
              </w:rPr>
              <w:t>UCAN requests a new rate for Mr. Edward Lopez based on Resolution ALJ-393 Adopting Intervenor Compensation Market Rate Study and Addressing Related Matters issued December 22, 2020. The Resolution directs intervenors to use the Hourly Rate Chart spreadsheet available on the Commissions ICOMP webpage to determine the appropriate hourly rate when completing claims for work performed on or after January 1, 2021. Consequently, Mr. Lopez needs to establish an appropriate rate for work performed after January 1, 2021.  According to the labor roles and rates established by this resolution and found in the hourly rate chart, Mr. Lopez’s responsibilities are consistent with the title of a Level V Executive Director with 15+ years’ experience, an education level of Juris Doctorate, and a member of the State Bar of California.</w:t>
            </w:r>
          </w:p>
          <w:p w:rsidRPr="007B2BF1" w:rsidR="007B2BF1" w:rsidP="007B2BF1" w:rsidRDefault="007B2BF1" w14:paraId="500EF4AC" w14:textId="77777777">
            <w:pPr>
              <w:rPr>
                <w:rFonts w:eastAsia="Calibri"/>
              </w:rPr>
            </w:pPr>
          </w:p>
          <w:p w:rsidRPr="007B2BF1" w:rsidR="007B2BF1" w:rsidP="007B2BF1" w:rsidRDefault="007B2BF1" w14:paraId="68CD48E4" w14:textId="00774A44">
            <w:pPr>
              <w:rPr>
                <w:rFonts w:eastAsia="Calibri"/>
              </w:rPr>
            </w:pPr>
            <w:r w:rsidRPr="007B2BF1">
              <w:rPr>
                <w:rFonts w:eastAsia="Calibri"/>
              </w:rPr>
              <w:t>Mr. Lopez has 15+ years as a non-pr</w:t>
            </w:r>
            <w:r w:rsidR="00CE31C7">
              <w:rPr>
                <w:rFonts w:eastAsia="Calibri"/>
              </w:rPr>
              <w:t>ofit executive. For the past four</w:t>
            </w:r>
            <w:r w:rsidRPr="007B2BF1">
              <w:rPr>
                <w:rFonts w:eastAsia="Calibri"/>
              </w:rPr>
              <w:t xml:space="preserve"> years he has served as the Executive Director at UCAN. As Executive Director, his responsibilities include providing overall direction and guidance to UCAN’s non-profit mission, implementing special events, community outreach initiatives and fundraising activities, acts as UCAN’s spokesperson and represents the organization before public agencies and the public, assesses UCAN’s needs and objectives, ensures program objectives are met, draft, monitors and executes the organization’s budget, and initiates changes to maintain members satisfaction and engagement. And as Executive Director, he is responsible for budget issues and monitoring and managing revenue and expenses regarding staff hours and payments to experts. With the hiring of two additional attorneys for UCAN, staff now composes a total of five employees of which 4 positions are allocated to support the CPUC work.</w:t>
            </w:r>
          </w:p>
          <w:p w:rsidRPr="007B2BF1" w:rsidR="007B2BF1" w:rsidP="007B2BF1" w:rsidRDefault="007B2BF1" w14:paraId="26724DF0" w14:textId="77777777">
            <w:pPr>
              <w:rPr>
                <w:rFonts w:eastAsia="Calibri"/>
              </w:rPr>
            </w:pPr>
          </w:p>
          <w:p w:rsidRPr="007B2BF1" w:rsidR="007B2BF1" w:rsidP="007B2BF1" w:rsidRDefault="007B2BF1" w14:paraId="0A24B460" w14:textId="77777777">
            <w:pPr>
              <w:rPr>
                <w:rFonts w:eastAsia="Calibri"/>
              </w:rPr>
            </w:pPr>
            <w:r w:rsidRPr="007B2BF1">
              <w:rPr>
                <w:rFonts w:eastAsia="Calibri"/>
              </w:rPr>
              <w:t>Additionally, Mr. Lopez graduated law school in 1991 and has 10+ years of</w:t>
            </w:r>
          </w:p>
          <w:p w:rsidRPr="007B2BF1" w:rsidR="007B2BF1" w:rsidP="007B2BF1" w:rsidRDefault="007B2BF1" w14:paraId="3D288597" w14:textId="77777777">
            <w:pPr>
              <w:rPr>
                <w:rFonts w:eastAsia="Calibri"/>
              </w:rPr>
            </w:pPr>
            <w:r w:rsidRPr="007B2BF1">
              <w:rPr>
                <w:rFonts w:eastAsia="Calibri"/>
              </w:rPr>
              <w:t xml:space="preserve">legal experience. Mr. Lopez practices before the Commission on various UCAN proceedings. His increased involvement in UCAN’s proceedings </w:t>
            </w:r>
            <w:proofErr w:type="gramStart"/>
            <w:r w:rsidRPr="007B2BF1">
              <w:rPr>
                <w:rFonts w:eastAsia="Calibri"/>
              </w:rPr>
              <w:t>including</w:t>
            </w:r>
            <w:proofErr w:type="gramEnd"/>
            <w:r w:rsidRPr="007B2BF1">
              <w:rPr>
                <w:rFonts w:eastAsia="Calibri"/>
              </w:rPr>
              <w:t xml:space="preserve"> filing protests, utilizing discovery, directing the work of expert consultants and witnesses, submitting testimony, cross examining witnesses in hearings, writing briefs and submitting comments on Commission issues and proposed decisions.</w:t>
            </w:r>
          </w:p>
          <w:p w:rsidRPr="007B2BF1" w:rsidR="007B2BF1" w:rsidP="007B2BF1" w:rsidRDefault="007B2BF1" w14:paraId="5699CCF8" w14:textId="77777777">
            <w:pPr>
              <w:rPr>
                <w:rFonts w:eastAsia="Calibri"/>
              </w:rPr>
            </w:pPr>
          </w:p>
          <w:p w:rsidRPr="007B2BF1" w:rsidR="007B2BF1" w:rsidP="007B2BF1" w:rsidRDefault="007B2BF1" w14:paraId="65591B23" w14:textId="77777777">
            <w:pPr>
              <w:rPr>
                <w:rFonts w:eastAsia="Calibri"/>
              </w:rPr>
            </w:pPr>
            <w:r w:rsidRPr="007B2BF1">
              <w:rPr>
                <w:rFonts w:eastAsia="Calibri"/>
              </w:rPr>
              <w:lastRenderedPageBreak/>
              <w:t xml:space="preserve">As Executive Director, he works with UCAN’s Legal Director in overseeing the overall legal work of the organization including providing strategic direction on which proceedings the organization should choose to best protect the interests of San Diego Gas and Electric ratepayers. Mr. Lopez meets weekly with legal staff to coordinate case assignments and discuss complex legal issues and actions before the Commission. </w:t>
            </w:r>
          </w:p>
          <w:p w:rsidRPr="007B2BF1" w:rsidR="007B2BF1" w:rsidP="007B2BF1" w:rsidRDefault="007B2BF1" w14:paraId="2672EDC6" w14:textId="77777777">
            <w:pPr>
              <w:rPr>
                <w:rFonts w:eastAsia="Calibri"/>
              </w:rPr>
            </w:pPr>
          </w:p>
          <w:p w:rsidRPr="007B2BF1" w:rsidR="007B2BF1" w:rsidP="007B2BF1" w:rsidRDefault="007B2BF1" w14:paraId="22189987" w14:textId="77777777">
            <w:pPr>
              <w:rPr>
                <w:rFonts w:eastAsia="Calibri"/>
              </w:rPr>
            </w:pPr>
            <w:r w:rsidRPr="007B2BF1">
              <w:rPr>
                <w:rFonts w:eastAsia="Calibri"/>
              </w:rPr>
              <w:t>Mr. Lopez’s last approved rate for 2020 was as an attorney at $335/hr. (D.21-08-016)</w:t>
            </w:r>
          </w:p>
          <w:p w:rsidRPr="007B2BF1" w:rsidR="007B2BF1" w:rsidP="007B2BF1" w:rsidRDefault="007B2BF1" w14:paraId="24C6864B" w14:textId="77777777">
            <w:pPr>
              <w:rPr>
                <w:rFonts w:eastAsia="Calibri"/>
              </w:rPr>
            </w:pPr>
          </w:p>
          <w:p w:rsidRPr="007B2BF1" w:rsidR="007B2BF1" w:rsidP="007B2BF1" w:rsidRDefault="007B2BF1" w14:paraId="6F1AB233" w14:textId="77777777">
            <w:pPr>
              <w:rPr>
                <w:rFonts w:eastAsia="Calibri"/>
              </w:rPr>
            </w:pPr>
            <w:r w:rsidRPr="007B2BF1">
              <w:rPr>
                <w:rFonts w:eastAsia="Calibri"/>
              </w:rPr>
              <w:t>Mr. Lopez’s non-profit background includes experience as an Executive</w:t>
            </w:r>
          </w:p>
          <w:p w:rsidRPr="007B2BF1" w:rsidR="007B2BF1" w:rsidP="007B2BF1" w:rsidRDefault="007B2BF1" w14:paraId="6E334F40" w14:textId="77777777">
            <w:pPr>
              <w:rPr>
                <w:rFonts w:eastAsia="Calibri"/>
              </w:rPr>
            </w:pPr>
            <w:r w:rsidRPr="007B2BF1">
              <w:rPr>
                <w:rFonts w:eastAsia="Calibri"/>
              </w:rPr>
              <w:t>Director of an educational foundation as well as the Executive Director for a</w:t>
            </w:r>
          </w:p>
          <w:p w:rsidRPr="007B2BF1" w:rsidR="007B2BF1" w:rsidP="007B2BF1" w:rsidRDefault="007B2BF1" w14:paraId="41744CDA" w14:textId="77777777">
            <w:pPr>
              <w:rPr>
                <w:rFonts w:eastAsia="Calibri"/>
              </w:rPr>
            </w:pPr>
            <w:r w:rsidRPr="007B2BF1">
              <w:rPr>
                <w:rFonts w:eastAsia="Calibri"/>
              </w:rPr>
              <w:t xml:space="preserve">community-based organization that provided financing for affordable housing as well as neighborhood economic development. For an environmental non-profit, he served as the principal author of a Master Plan for an Advanced Energy Community pursuant to a California Energy Commission grant. He has supervised </w:t>
            </w:r>
            <w:proofErr w:type="gramStart"/>
            <w:r w:rsidRPr="007B2BF1">
              <w:rPr>
                <w:rFonts w:eastAsia="Calibri"/>
              </w:rPr>
              <w:t>staff</w:t>
            </w:r>
            <w:proofErr w:type="gramEnd"/>
            <w:r w:rsidRPr="007B2BF1">
              <w:rPr>
                <w:rFonts w:eastAsia="Calibri"/>
              </w:rPr>
              <w:t xml:space="preserve"> between 3 to 7 employees.</w:t>
            </w:r>
          </w:p>
          <w:p w:rsidRPr="007B2BF1" w:rsidR="007B2BF1" w:rsidP="007B2BF1" w:rsidRDefault="007B2BF1" w14:paraId="25B511C0" w14:textId="77777777">
            <w:pPr>
              <w:rPr>
                <w:rFonts w:eastAsia="Calibri"/>
              </w:rPr>
            </w:pPr>
          </w:p>
          <w:p w:rsidRPr="007B2BF1" w:rsidR="007B2BF1" w:rsidP="007B2BF1" w:rsidRDefault="007B2BF1" w14:paraId="2E76C253" w14:textId="77777777">
            <w:pPr>
              <w:rPr>
                <w:rFonts w:eastAsia="Calibri"/>
              </w:rPr>
            </w:pPr>
            <w:r w:rsidRPr="007B2BF1">
              <w:rPr>
                <w:rFonts w:eastAsia="Calibri"/>
              </w:rPr>
              <w:t>As an attorney, Mr. Lopez provided counsel and services to public agencies and non-profit organizations. Additionally, he served in positions with SDG&amp;E and Cox Communications, as part of their local Government/Community Affairs departments.</w:t>
            </w:r>
          </w:p>
          <w:p w:rsidRPr="007B2BF1" w:rsidR="007B2BF1" w:rsidP="007B2BF1" w:rsidRDefault="007B2BF1" w14:paraId="1D09C03F" w14:textId="77777777">
            <w:pPr>
              <w:rPr>
                <w:rFonts w:eastAsia="Calibri"/>
              </w:rPr>
            </w:pPr>
          </w:p>
          <w:p w:rsidRPr="007B2BF1" w:rsidR="007B2BF1" w:rsidP="007B2BF1" w:rsidRDefault="007B2BF1" w14:paraId="3AF20C23" w14:textId="1A20FF6A">
            <w:pPr>
              <w:tabs>
                <w:tab w:val="left" w:pos="1260"/>
              </w:tabs>
              <w:rPr>
                <w:b/>
                <w:color w:val="000000"/>
              </w:rPr>
            </w:pPr>
            <w:r w:rsidRPr="007B2BF1">
              <w:rPr>
                <w:rFonts w:eastAsia="Calibri"/>
              </w:rPr>
              <w:t xml:space="preserve">Due to Mr. Lopez’s education, experience and current responsibilities, UCAN is requesting a rate of </w:t>
            </w:r>
            <w:r w:rsidRPr="007B2BF1">
              <w:rPr>
                <w:rFonts w:eastAsia="Calibri"/>
                <w:b/>
                <w:bCs/>
              </w:rPr>
              <w:t>$442</w:t>
            </w:r>
            <w:r w:rsidRPr="007B2BF1">
              <w:rPr>
                <w:rFonts w:eastAsia="Calibri"/>
              </w:rPr>
              <w:t xml:space="preserve"> which is the </w:t>
            </w:r>
            <w:proofErr w:type="gramStart"/>
            <w:r w:rsidRPr="007B2BF1">
              <w:rPr>
                <w:rFonts w:eastAsia="Calibri"/>
              </w:rPr>
              <w:t>high</w:t>
            </w:r>
            <w:proofErr w:type="gramEnd"/>
            <w:r w:rsidRPr="007B2BF1">
              <w:rPr>
                <w:rFonts w:eastAsia="Calibri"/>
              </w:rPr>
              <w:t xml:space="preserve"> level for an Executive Director Level V with 15+ years’ experience and an education level of Juris Doctorate.</w:t>
            </w:r>
          </w:p>
        </w:tc>
      </w:tr>
      <w:tr w:rsidRPr="007B2BF1" w:rsidR="007B2BF1" w:rsidTr="00794A54" w14:paraId="7E7AD81B" w14:textId="77777777">
        <w:tc>
          <w:tcPr>
            <w:tcW w:w="1795" w:type="dxa"/>
            <w:shd w:val="clear" w:color="auto" w:fill="FFFFFF" w:themeFill="background1"/>
          </w:tcPr>
          <w:p w:rsidRPr="007B2BF1" w:rsidR="007B2BF1" w:rsidP="007B2BF1" w:rsidRDefault="007B2BF1" w14:paraId="467E72C4" w14:textId="55F895E6">
            <w:pPr>
              <w:tabs>
                <w:tab w:val="left" w:pos="1260"/>
              </w:tabs>
              <w:rPr>
                <w:color w:val="000000"/>
              </w:rPr>
            </w:pPr>
            <w:r w:rsidRPr="007B2BF1">
              <w:rPr>
                <w:color w:val="000000"/>
              </w:rPr>
              <w:lastRenderedPageBreak/>
              <w:t>Comment 2</w:t>
            </w:r>
          </w:p>
        </w:tc>
        <w:tc>
          <w:tcPr>
            <w:tcW w:w="7565" w:type="dxa"/>
            <w:shd w:val="clear" w:color="auto" w:fill="FFFFFF" w:themeFill="background1"/>
          </w:tcPr>
          <w:p w:rsidRPr="007B2BF1" w:rsidR="007B2BF1" w:rsidP="007B2BF1" w:rsidRDefault="007B2BF1" w14:paraId="7C059D92" w14:textId="2FF64A35">
            <w:pPr>
              <w:rPr>
                <w:rFonts w:eastAsia="Calibri"/>
              </w:rPr>
            </w:pPr>
            <w:r w:rsidRPr="007B2BF1">
              <w:rPr>
                <w:color w:val="000000"/>
              </w:rPr>
              <w:t xml:space="preserve">UCAN requests a COLA increase for Ms. Susan Baldwin for her </w:t>
            </w:r>
            <w:r>
              <w:rPr>
                <w:color w:val="000000"/>
              </w:rPr>
              <w:t xml:space="preserve">work done in </w:t>
            </w:r>
            <w:r w:rsidRPr="007B2BF1">
              <w:rPr>
                <w:color w:val="000000"/>
              </w:rPr>
              <w:t xml:space="preserve">2020. Ms. Baldwin’s last approved rate was for 2016 as an expert at $195/hour in </w:t>
            </w:r>
            <w:r w:rsidRPr="001F19E7">
              <w:rPr>
                <w:color w:val="000000"/>
              </w:rPr>
              <w:t xml:space="preserve">the proceeding (D.17-04-009). </w:t>
            </w:r>
            <w:r w:rsidRPr="001F19E7" w:rsidR="007539A1">
              <w:rPr>
                <w:color w:val="000000"/>
              </w:rPr>
              <w:t>Ms. Baldwin has been actively involved in public policy for forty-four years, which</w:t>
            </w:r>
            <w:r w:rsidRPr="007B2BF1" w:rsidR="007539A1">
              <w:rPr>
                <w:color w:val="000000"/>
              </w:rPr>
              <w:t xml:space="preserve"> includes thirty-eight years in telecommunications policy and regulation, and thirteen years in energy policy and regulation. </w:t>
            </w:r>
            <w:r w:rsidR="007539A1">
              <w:rPr>
                <w:color w:val="000000"/>
              </w:rPr>
              <w:t xml:space="preserve">After calculating COLA increased for 2017-2020, </w:t>
            </w:r>
            <w:r w:rsidRPr="007B2BF1">
              <w:rPr>
                <w:color w:val="000000"/>
              </w:rPr>
              <w:t>UCAN is requesting Ms. Baldwin’s rate</w:t>
            </w:r>
            <w:r w:rsidR="007539A1">
              <w:rPr>
                <w:color w:val="000000"/>
              </w:rPr>
              <w:t xml:space="preserve"> to be increased to </w:t>
            </w:r>
            <w:r w:rsidRPr="007539A1" w:rsidR="007539A1">
              <w:rPr>
                <w:b/>
                <w:bCs/>
                <w:color w:val="000000"/>
              </w:rPr>
              <w:t>$</w:t>
            </w:r>
            <w:proofErr w:type="gramStart"/>
            <w:r w:rsidRPr="007539A1" w:rsidR="007539A1">
              <w:rPr>
                <w:b/>
                <w:bCs/>
                <w:color w:val="000000"/>
              </w:rPr>
              <w:t>215</w:t>
            </w:r>
            <w:proofErr w:type="gramEnd"/>
            <w:r w:rsidRPr="007B2BF1">
              <w:rPr>
                <w:color w:val="000000"/>
              </w:rPr>
              <w:t xml:space="preserve"> </w:t>
            </w:r>
            <w:r w:rsidR="007539A1">
              <w:rPr>
                <w:color w:val="000000"/>
              </w:rPr>
              <w:t xml:space="preserve">her work done in </w:t>
            </w:r>
            <w:r w:rsidRPr="007B2BF1">
              <w:rPr>
                <w:color w:val="000000"/>
              </w:rPr>
              <w:t>2020.</w:t>
            </w:r>
          </w:p>
        </w:tc>
      </w:tr>
      <w:tr w:rsidRPr="007B2BF1" w:rsidR="007B2BF1" w:rsidTr="00794A54" w14:paraId="73C5BD32" w14:textId="77777777">
        <w:tc>
          <w:tcPr>
            <w:tcW w:w="1795" w:type="dxa"/>
            <w:shd w:val="clear" w:color="auto" w:fill="FFFFFF" w:themeFill="background1"/>
          </w:tcPr>
          <w:p w:rsidRPr="007B2BF1" w:rsidR="007B2BF1" w:rsidP="007B2BF1" w:rsidRDefault="007B2BF1" w14:paraId="3B33A01D" w14:textId="66D13158">
            <w:pPr>
              <w:tabs>
                <w:tab w:val="left" w:pos="1260"/>
              </w:tabs>
              <w:rPr>
                <w:color w:val="000000"/>
              </w:rPr>
            </w:pPr>
            <w:r w:rsidRPr="007B2BF1">
              <w:rPr>
                <w:color w:val="000000"/>
              </w:rPr>
              <w:t>Comment 3</w:t>
            </w:r>
          </w:p>
        </w:tc>
        <w:tc>
          <w:tcPr>
            <w:tcW w:w="7565" w:type="dxa"/>
            <w:shd w:val="clear" w:color="auto" w:fill="FFFFFF" w:themeFill="background1"/>
          </w:tcPr>
          <w:p w:rsidRPr="007B2BF1" w:rsidR="007B2BF1" w:rsidP="007B2BF1" w:rsidRDefault="007B2BF1" w14:paraId="03F8122A" w14:textId="77777777">
            <w:pPr>
              <w:tabs>
                <w:tab w:val="left" w:pos="1260"/>
              </w:tabs>
              <w:rPr>
                <w:color w:val="000000"/>
              </w:rPr>
            </w:pPr>
            <w:r w:rsidRPr="007B2BF1">
              <w:rPr>
                <w:color w:val="000000"/>
              </w:rPr>
              <w:t xml:space="preserve">UCAN requests a new rate for Ms. Susan Baldwin based on Resolution ALJ-393 Adopting Intervenor Compensation Market Rate Study and Addressing Related Matters issued December 22, 2020 and the Hourly Rate Chart (Effective January 1, 2021.)   The Resolution directs intervenors to use the Hourly Rate Chart spreadsheet available on the Commissions ICOMP webpage to determine the appropriate hourly rate when completing claims for work performed on or after January 1, 2021. Consequently, Ms. </w:t>
            </w:r>
            <w:r w:rsidRPr="007B2BF1">
              <w:rPr>
                <w:color w:val="000000"/>
              </w:rPr>
              <w:lastRenderedPageBreak/>
              <w:t>Baldwin needs to establish an appropriate rate according to the labor roles and rates established by this resolution and found in the hourly rate chart.</w:t>
            </w:r>
          </w:p>
          <w:p w:rsidRPr="007B2BF1" w:rsidR="007B2BF1" w:rsidP="007B2BF1" w:rsidRDefault="007B2BF1" w14:paraId="5EDD976B" w14:textId="77777777">
            <w:pPr>
              <w:tabs>
                <w:tab w:val="left" w:pos="1260"/>
              </w:tabs>
              <w:rPr>
                <w:color w:val="000000"/>
              </w:rPr>
            </w:pPr>
          </w:p>
          <w:p w:rsidRPr="007B2BF1" w:rsidR="007B2BF1" w:rsidP="007B2BF1" w:rsidRDefault="007B2BF1" w14:paraId="7606CC9E" w14:textId="77777777">
            <w:pPr>
              <w:tabs>
                <w:tab w:val="left" w:pos="1260"/>
              </w:tabs>
              <w:rPr>
                <w:color w:val="000000"/>
              </w:rPr>
            </w:pPr>
            <w:r w:rsidRPr="007B2BF1">
              <w:rPr>
                <w:color w:val="000000"/>
              </w:rPr>
              <w:t xml:space="preserve">Susan M. Baldwin specializes in utility economics, regulation, and public policy, with a long-standing focus on telecommunications and with a more recent focus on consumer issues in electric and gas markets.  Ms. Baldwin has been actively involved in public policy for forty-four years, which includes thirty-eight years in telecommunications policy and regulation, and thirteen years in energy policy and regulation.  Since 2001, she has been </w:t>
            </w:r>
            <w:proofErr w:type="gramStart"/>
            <w:r w:rsidRPr="007B2BF1">
              <w:rPr>
                <w:color w:val="000000"/>
              </w:rPr>
              <w:t>consulting to</w:t>
            </w:r>
            <w:proofErr w:type="gramEnd"/>
            <w:r w:rsidRPr="007B2BF1">
              <w:rPr>
                <w:color w:val="000000"/>
              </w:rPr>
              <w:t xml:space="preserve"> public sector agencies, consumer advocates, and others as an independent consultant.  Ms. Baldwin received her Master of Economics from Boston University, her Master of Public Policy from Harvard University’s Kennedy School of Government, and her Bachelor of Arts degree in Mathematics and English from Wellesley College.  Ms. Baldwin has extensive experience both in government and in the private sector.  Ms. Baldwin has testified before 24 public utility commissions in more than 75 state proceedings.</w:t>
            </w:r>
          </w:p>
          <w:p w:rsidRPr="007B2BF1" w:rsidR="007B2BF1" w:rsidP="007B2BF1" w:rsidRDefault="007B2BF1" w14:paraId="7DE4C70D" w14:textId="77777777">
            <w:pPr>
              <w:tabs>
                <w:tab w:val="left" w:pos="1260"/>
              </w:tabs>
              <w:rPr>
                <w:color w:val="000000"/>
              </w:rPr>
            </w:pPr>
          </w:p>
          <w:p w:rsidRPr="007B2BF1" w:rsidR="007B2BF1" w:rsidP="007B2BF1" w:rsidRDefault="007B2BF1" w14:paraId="4CB52F17" w14:textId="77777777">
            <w:pPr>
              <w:tabs>
                <w:tab w:val="left" w:pos="1260"/>
              </w:tabs>
              <w:rPr>
                <w:color w:val="000000"/>
              </w:rPr>
            </w:pPr>
            <w:r w:rsidRPr="007B2BF1">
              <w:rPr>
                <w:color w:val="000000"/>
              </w:rPr>
              <w:t>Ms. Baldwin has also contributed to numerous comments and declarations submitted to the Federal Communications Commission in various proceedings on diverse issues including broadband policy (such as regarding data collection, mapping, deployment, universal service, affordability, consumer protection, and network management).  Also, in many state regulatory proceedings that have examined carriers’ proposals for spin-offs and for mergers, she has recommended conditions concerning broadband deployment, affordability, and adoption.</w:t>
            </w:r>
          </w:p>
          <w:p w:rsidRPr="007B2BF1" w:rsidR="007B2BF1" w:rsidP="007B2BF1" w:rsidRDefault="007B2BF1" w14:paraId="5DDC5873" w14:textId="77777777">
            <w:pPr>
              <w:tabs>
                <w:tab w:val="left" w:pos="1260"/>
              </w:tabs>
              <w:rPr>
                <w:color w:val="000000"/>
              </w:rPr>
            </w:pPr>
          </w:p>
          <w:p w:rsidRPr="007B2BF1" w:rsidR="007B2BF1" w:rsidP="007B2BF1" w:rsidRDefault="007B2BF1" w14:paraId="693A1E79" w14:textId="77777777">
            <w:pPr>
              <w:tabs>
                <w:tab w:val="left" w:pos="1260"/>
              </w:tabs>
              <w:rPr>
                <w:color w:val="000000"/>
              </w:rPr>
            </w:pPr>
            <w:r w:rsidRPr="007B2BF1">
              <w:rPr>
                <w:color w:val="000000"/>
              </w:rPr>
              <w:t>Ms. Baldwin worked with Economics and Technology, Inc. for twelve years (1984 to 1988 and 1992 to 2000), most recently as a Senior Vice President.  Ms. Baldwin served four years (1988-1992) as the Director of the Telecommunications Division for the Massachusetts Department of Public Utilities (now the Department of Telecommunications &amp; Cable), where she directed a staff of nine, and acted in a direct advisory capacity to the DPU Commissioners.</w:t>
            </w:r>
          </w:p>
          <w:p w:rsidRPr="007B2BF1" w:rsidR="007B2BF1" w:rsidP="007B2BF1" w:rsidRDefault="007B2BF1" w14:paraId="75AFFAF8" w14:textId="77777777">
            <w:pPr>
              <w:tabs>
                <w:tab w:val="left" w:pos="1260"/>
              </w:tabs>
              <w:rPr>
                <w:color w:val="000000"/>
              </w:rPr>
            </w:pPr>
          </w:p>
          <w:p w:rsidRPr="007B2BF1" w:rsidR="007B2BF1" w:rsidP="007B2BF1" w:rsidRDefault="007B2BF1" w14:paraId="4692409E" w14:textId="7B3BF553">
            <w:pPr>
              <w:rPr>
                <w:color w:val="000000"/>
              </w:rPr>
            </w:pPr>
            <w:r w:rsidRPr="007B2BF1">
              <w:rPr>
                <w:color w:val="000000"/>
              </w:rPr>
              <w:t xml:space="preserve">Due to Ms. Baldwin’s education, experience and current responsibilities, UCAN is requesting a rate of </w:t>
            </w:r>
            <w:r w:rsidRPr="007B2BF1">
              <w:rPr>
                <w:b/>
                <w:bCs/>
                <w:color w:val="000000"/>
              </w:rPr>
              <w:t>$370.45</w:t>
            </w:r>
            <w:r w:rsidRPr="007B2BF1">
              <w:rPr>
                <w:color w:val="000000"/>
              </w:rPr>
              <w:t xml:space="preserve"> which is the highest for an Expert Economist Level V with 15+ years of experience and an education of </w:t>
            </w:r>
            <w:proofErr w:type="spellStart"/>
            <w:proofErr w:type="gramStart"/>
            <w:r w:rsidRPr="007B2BF1">
              <w:rPr>
                <w:color w:val="000000"/>
              </w:rPr>
              <w:t>Masters</w:t>
            </w:r>
            <w:proofErr w:type="spellEnd"/>
            <w:proofErr w:type="gramEnd"/>
            <w:r w:rsidRPr="007B2BF1">
              <w:rPr>
                <w:color w:val="000000"/>
              </w:rPr>
              <w:t xml:space="preserve"> degree.</w:t>
            </w:r>
          </w:p>
        </w:tc>
      </w:tr>
      <w:tr w:rsidRPr="007B2BF1" w:rsidR="007B2BF1" w:rsidTr="00794A54" w14:paraId="0C3C0802" w14:textId="77777777">
        <w:tc>
          <w:tcPr>
            <w:tcW w:w="1795" w:type="dxa"/>
            <w:shd w:val="clear" w:color="auto" w:fill="FFFFFF" w:themeFill="background1"/>
          </w:tcPr>
          <w:p w:rsidRPr="007B2BF1" w:rsidR="007B2BF1" w:rsidP="007B2BF1" w:rsidRDefault="007B2BF1" w14:paraId="47EF19E1" w14:textId="78D509D5">
            <w:pPr>
              <w:tabs>
                <w:tab w:val="left" w:pos="1260"/>
              </w:tabs>
              <w:rPr>
                <w:color w:val="000000"/>
              </w:rPr>
            </w:pPr>
            <w:r w:rsidRPr="007B2BF1">
              <w:rPr>
                <w:color w:val="000000"/>
              </w:rPr>
              <w:lastRenderedPageBreak/>
              <w:t>Comment 4</w:t>
            </w:r>
          </w:p>
        </w:tc>
        <w:tc>
          <w:tcPr>
            <w:tcW w:w="7565" w:type="dxa"/>
            <w:shd w:val="clear" w:color="auto" w:fill="FFFFFF" w:themeFill="background1"/>
          </w:tcPr>
          <w:p w:rsidRPr="007B2BF1" w:rsidR="007B2BF1" w:rsidP="007B2BF1" w:rsidRDefault="007B2BF1" w14:paraId="3AC0A9BA" w14:textId="520EE97D">
            <w:pPr>
              <w:tabs>
                <w:tab w:val="left" w:pos="1260"/>
              </w:tabs>
              <w:rPr>
                <w:color w:val="000000"/>
              </w:rPr>
            </w:pPr>
            <w:r w:rsidRPr="007B2BF1">
              <w:rPr>
                <w:color w:val="000000"/>
              </w:rPr>
              <w:t>UCAN requests a rate to be established for Mr. Timothy E. Howington for work done in 2020. Mr. Howington has over twenty years of experience in a variety of disciplines, including economic development, utility regulation, and geospatial modelling. Mr. Howington earned an M.S. in Geo-</w:t>
            </w:r>
            <w:r w:rsidRPr="007B2BF1">
              <w:rPr>
                <w:color w:val="000000"/>
              </w:rPr>
              <w:lastRenderedPageBreak/>
              <w:t>Information Science from Salem State University, an M.A. in Economics from Boston University, and a B.A. in Near Eastern Languages and Civilizations from the University of Chicago. Mr. Howington has contributed to multiple telecommunication and energy regulatory proceedings since 2003. In ALJ Resolution 387 a rate for an expert with 13+ years ranges from $190-$465. With Mr. Howin</w:t>
            </w:r>
            <w:r w:rsidR="00CD4E87">
              <w:rPr>
                <w:color w:val="000000"/>
              </w:rPr>
              <w:t>g</w:t>
            </w:r>
            <w:r w:rsidRPr="007B2BF1">
              <w:rPr>
                <w:color w:val="000000"/>
              </w:rPr>
              <w:t>ton’s experience, UCAN request</w:t>
            </w:r>
            <w:r w:rsidR="007539A1">
              <w:rPr>
                <w:color w:val="000000"/>
              </w:rPr>
              <w:t>s</w:t>
            </w:r>
            <w:r w:rsidRPr="007B2BF1">
              <w:rPr>
                <w:color w:val="000000"/>
              </w:rPr>
              <w:t xml:space="preserve"> a rate of </w:t>
            </w:r>
            <w:r w:rsidRPr="007B2BF1">
              <w:rPr>
                <w:b/>
                <w:bCs/>
                <w:color w:val="000000"/>
              </w:rPr>
              <w:t>$200.</w:t>
            </w:r>
          </w:p>
        </w:tc>
      </w:tr>
      <w:tr w:rsidRPr="007B2BF1" w:rsidR="007B2BF1" w:rsidTr="00794A54" w14:paraId="78D3E6F7" w14:textId="77777777">
        <w:tc>
          <w:tcPr>
            <w:tcW w:w="1795" w:type="dxa"/>
            <w:shd w:val="clear" w:color="auto" w:fill="FFFFFF" w:themeFill="background1"/>
          </w:tcPr>
          <w:p w:rsidRPr="007B2BF1" w:rsidR="007B2BF1" w:rsidP="007B2BF1" w:rsidRDefault="007B2BF1" w14:paraId="2D852F2D" w14:textId="59309E80">
            <w:pPr>
              <w:tabs>
                <w:tab w:val="left" w:pos="1260"/>
              </w:tabs>
              <w:rPr>
                <w:color w:val="000000"/>
              </w:rPr>
            </w:pPr>
            <w:r w:rsidRPr="007B2BF1">
              <w:rPr>
                <w:color w:val="000000"/>
              </w:rPr>
              <w:lastRenderedPageBreak/>
              <w:t>Comment 5</w:t>
            </w:r>
          </w:p>
        </w:tc>
        <w:tc>
          <w:tcPr>
            <w:tcW w:w="7565" w:type="dxa"/>
            <w:shd w:val="clear" w:color="auto" w:fill="FFFFFF" w:themeFill="background1"/>
          </w:tcPr>
          <w:p w:rsidRPr="007B2BF1" w:rsidR="007B2BF1" w:rsidP="007B2BF1" w:rsidRDefault="007B2BF1" w14:paraId="745082B8" w14:textId="77777777">
            <w:pPr>
              <w:tabs>
                <w:tab w:val="left" w:pos="1260"/>
              </w:tabs>
              <w:rPr>
                <w:color w:val="000000"/>
              </w:rPr>
            </w:pPr>
            <w:r w:rsidRPr="007B2BF1">
              <w:rPr>
                <w:color w:val="000000"/>
              </w:rPr>
              <w:t>UCAN requests a new rate for Mr. Timothy E. Howington based on Resolution ALJ-393 Adopting Intervenor Compensation Market Rate Study and Addressing Related Matters issued December 22, 2020 and the Hourly Rate Chart (Effective January 1, 2021.)   The Resolution directs intervenors to use the Hourly Rate Chart spreadsheet available on the Commissions ICOMP webpage to determine the appropriate hourly rate when completing claims for work performed on or after January 1, 2021. Consequently, Mr. Howington needs to establish an appropriate rate according to the labor roles and rates established by this resolution and found in the hourly rate chart.</w:t>
            </w:r>
          </w:p>
          <w:p w:rsidRPr="007B2BF1" w:rsidR="007B2BF1" w:rsidP="007B2BF1" w:rsidRDefault="007B2BF1" w14:paraId="4FB3C9C0" w14:textId="77777777">
            <w:pPr>
              <w:tabs>
                <w:tab w:val="left" w:pos="1260"/>
              </w:tabs>
              <w:rPr>
                <w:color w:val="000000"/>
              </w:rPr>
            </w:pPr>
            <w:r w:rsidRPr="007B2BF1">
              <w:rPr>
                <w:color w:val="000000"/>
              </w:rPr>
              <w:t> </w:t>
            </w:r>
          </w:p>
          <w:p w:rsidRPr="007B2BF1" w:rsidR="007B2BF1" w:rsidP="007B2BF1" w:rsidRDefault="007B2BF1" w14:paraId="3F4F9CCC" w14:textId="77777777">
            <w:pPr>
              <w:tabs>
                <w:tab w:val="left" w:pos="1260"/>
              </w:tabs>
              <w:rPr>
                <w:color w:val="000000"/>
              </w:rPr>
            </w:pPr>
            <w:r w:rsidRPr="007B2BF1">
              <w:rPr>
                <w:color w:val="000000"/>
              </w:rPr>
              <w:t>Timothy E. Howington has over twenty years of experience in a variety of disciplines, including economic development, utility regulation, and geospatial modelling.</w:t>
            </w:r>
          </w:p>
          <w:p w:rsidRPr="007B2BF1" w:rsidR="007B2BF1" w:rsidP="007B2BF1" w:rsidRDefault="007B2BF1" w14:paraId="6C3F13FA" w14:textId="77777777">
            <w:pPr>
              <w:tabs>
                <w:tab w:val="left" w:pos="1260"/>
              </w:tabs>
              <w:rPr>
                <w:color w:val="000000"/>
              </w:rPr>
            </w:pPr>
            <w:r w:rsidRPr="007B2BF1">
              <w:rPr>
                <w:color w:val="000000"/>
              </w:rPr>
              <w:t> </w:t>
            </w:r>
          </w:p>
          <w:p w:rsidRPr="007B2BF1" w:rsidR="007B2BF1" w:rsidP="007B2BF1" w:rsidRDefault="007B2BF1" w14:paraId="4AEE3DCE" w14:textId="77777777">
            <w:pPr>
              <w:tabs>
                <w:tab w:val="left" w:pos="1260"/>
              </w:tabs>
              <w:rPr>
                <w:color w:val="000000"/>
              </w:rPr>
            </w:pPr>
            <w:r w:rsidRPr="007B2BF1">
              <w:rPr>
                <w:color w:val="000000"/>
              </w:rPr>
              <w:t>Since 2003, Mr. Howington has contributed to numerous telecommunications and energy regulatory proceedings at the state and federal level addressing topics of concern to utility consumers, including market concentration and industry consolidation, broadband markets, differentials in product availability and service quality, and pricing.</w:t>
            </w:r>
          </w:p>
          <w:p w:rsidRPr="007B2BF1" w:rsidR="007B2BF1" w:rsidP="007B2BF1" w:rsidRDefault="007B2BF1" w14:paraId="30C5D58A" w14:textId="77777777">
            <w:pPr>
              <w:tabs>
                <w:tab w:val="left" w:pos="1260"/>
              </w:tabs>
              <w:rPr>
                <w:color w:val="000000"/>
              </w:rPr>
            </w:pPr>
            <w:r w:rsidRPr="007B2BF1">
              <w:rPr>
                <w:color w:val="000000"/>
              </w:rPr>
              <w:t> </w:t>
            </w:r>
          </w:p>
          <w:p w:rsidRPr="007B2BF1" w:rsidR="007B2BF1" w:rsidP="007B2BF1" w:rsidRDefault="007B2BF1" w14:paraId="309DD079" w14:textId="77777777">
            <w:pPr>
              <w:tabs>
                <w:tab w:val="left" w:pos="1260"/>
              </w:tabs>
              <w:rPr>
                <w:color w:val="000000"/>
              </w:rPr>
            </w:pPr>
            <w:r w:rsidRPr="007B2BF1">
              <w:rPr>
                <w:color w:val="000000"/>
              </w:rPr>
              <w:t>Mr. Howington earned an M.S. in Geo-Information Science from Salem State University, an M.A. in Economics from Boston University, and a B.A. in Near Eastern Languages and Civilizations from the University of Chicago.</w:t>
            </w:r>
          </w:p>
          <w:p w:rsidRPr="007B2BF1" w:rsidR="007B2BF1" w:rsidP="007B2BF1" w:rsidRDefault="007B2BF1" w14:paraId="3153746B" w14:textId="77777777">
            <w:pPr>
              <w:tabs>
                <w:tab w:val="left" w:pos="1260"/>
              </w:tabs>
              <w:rPr>
                <w:color w:val="000000"/>
              </w:rPr>
            </w:pPr>
            <w:r w:rsidRPr="007B2BF1">
              <w:rPr>
                <w:color w:val="000000"/>
              </w:rPr>
              <w:t> </w:t>
            </w:r>
          </w:p>
          <w:p w:rsidRPr="007B2BF1" w:rsidR="007B2BF1" w:rsidP="007B2BF1" w:rsidRDefault="007B2BF1" w14:paraId="696F95D4" w14:textId="69A60B21">
            <w:pPr>
              <w:tabs>
                <w:tab w:val="left" w:pos="1260"/>
              </w:tabs>
              <w:rPr>
                <w:color w:val="000000"/>
              </w:rPr>
            </w:pPr>
            <w:r w:rsidRPr="007B2BF1">
              <w:rPr>
                <w:color w:val="000000"/>
              </w:rPr>
              <w:t xml:space="preserve">Mr. Howington’s responsibilities and contributions are consistent with those for an Expert Economist Level V with 15+ years of experience and an education of </w:t>
            </w:r>
            <w:proofErr w:type="spellStart"/>
            <w:proofErr w:type="gramStart"/>
            <w:r w:rsidRPr="007B2BF1">
              <w:rPr>
                <w:color w:val="000000"/>
              </w:rPr>
              <w:t>Masters</w:t>
            </w:r>
            <w:proofErr w:type="spellEnd"/>
            <w:proofErr w:type="gramEnd"/>
            <w:r w:rsidRPr="007B2BF1">
              <w:rPr>
                <w:color w:val="000000"/>
              </w:rPr>
              <w:t xml:space="preserve"> degree.  UCAN is requesting a rate of </w:t>
            </w:r>
            <w:r w:rsidRPr="007B2BF1">
              <w:rPr>
                <w:b/>
                <w:bCs/>
                <w:color w:val="000000"/>
              </w:rPr>
              <w:t>$225</w:t>
            </w:r>
            <w:r w:rsidRPr="007B2BF1">
              <w:rPr>
                <w:color w:val="000000"/>
              </w:rPr>
              <w:t>.</w:t>
            </w:r>
          </w:p>
        </w:tc>
      </w:tr>
    </w:tbl>
    <w:p w:rsidRPr="00B72876" w:rsidR="00F04A40" w:rsidP="00F04A40" w:rsidRDefault="00F04A40" w14:paraId="4CE74C26" w14:textId="77777777">
      <w:pPr>
        <w:keepNext/>
        <w:numPr>
          <w:ilvl w:val="0"/>
          <w:numId w:val="9"/>
        </w:numPr>
        <w:spacing w:before="240" w:after="240"/>
        <w:rPr>
          <w:b/>
          <w:color w:val="000000"/>
        </w:rPr>
      </w:pPr>
      <w:r w:rsidRPr="00B72876">
        <w:rPr>
          <w:b/>
          <w:color w:val="000000"/>
        </w:rPr>
        <w:t>CPUC Comments, Disallowances, and Adjustments</w:t>
      </w:r>
    </w:p>
    <w:p w:rsidR="00BE7C48" w:rsidP="00BE7C48" w:rsidRDefault="00BE7C48" w14:paraId="7E1A3BFE" w14:textId="19B7892F">
      <w:pPr>
        <w:rPr>
          <w:b/>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895"/>
        <w:gridCol w:w="8455"/>
      </w:tblGrid>
      <w:tr w:rsidRPr="00B2050B" w:rsidR="0074509F" w:rsidTr="005D3A14" w14:paraId="6DB06B5C" w14:textId="77777777">
        <w:trPr>
          <w:cantSplit/>
        </w:trPr>
        <w:tc>
          <w:tcPr>
            <w:tcW w:w="895" w:type="dxa"/>
            <w:shd w:val="clear" w:color="auto" w:fill="EEECE1" w:themeFill="background2"/>
          </w:tcPr>
          <w:p w:rsidR="0074509F" w:rsidP="00786B2B" w:rsidRDefault="0074509F" w14:paraId="3B0EFA49" w14:textId="726D1335">
            <w:pPr>
              <w:autoSpaceDE w:val="0"/>
              <w:autoSpaceDN w:val="0"/>
              <w:adjustRightInd w:val="0"/>
              <w:spacing w:after="240"/>
              <w:rPr>
                <w:rFonts w:ascii="TimesNewRomanPSMT" w:hAnsi="TimesNewRomanPSMT" w:cs="TimesNewRomanPSMT" w:eastAsiaTheme="minorHAnsi"/>
                <w:b/>
                <w:bCs/>
                <w14:ligatures w14:val="standardContextual"/>
              </w:rPr>
            </w:pPr>
            <w:r>
              <w:rPr>
                <w:rFonts w:ascii="TimesNewRomanPSMT" w:hAnsi="TimesNewRomanPSMT" w:cs="TimesNewRomanPSMT" w:eastAsiaTheme="minorHAnsi"/>
                <w:b/>
                <w:bCs/>
                <w14:ligatures w14:val="standardContextual"/>
              </w:rPr>
              <w:t>Item</w:t>
            </w:r>
          </w:p>
        </w:tc>
        <w:tc>
          <w:tcPr>
            <w:tcW w:w="8455" w:type="dxa"/>
            <w:shd w:val="clear" w:color="auto" w:fill="EEECE1" w:themeFill="background2"/>
          </w:tcPr>
          <w:p w:rsidR="0074509F" w:rsidP="005D3A14" w:rsidRDefault="005D3A14" w14:paraId="48A499E3" w14:textId="69D0140E">
            <w:pPr>
              <w:autoSpaceDE w:val="0"/>
              <w:autoSpaceDN w:val="0"/>
              <w:adjustRightInd w:val="0"/>
              <w:spacing w:after="240"/>
              <w:jc w:val="center"/>
              <w:rPr>
                <w:rFonts w:ascii="TimesNewRomanPSMT" w:hAnsi="TimesNewRomanPSMT" w:cs="TimesNewRomanPSMT" w:eastAsiaTheme="minorHAnsi"/>
                <w:b/>
                <w:bCs/>
                <w14:ligatures w14:val="standardContextual"/>
              </w:rPr>
            </w:pPr>
            <w:r>
              <w:rPr>
                <w:rFonts w:ascii="TimesNewRomanPSMT" w:hAnsi="TimesNewRomanPSMT" w:cs="TimesNewRomanPSMT" w:eastAsiaTheme="minorHAnsi"/>
                <w:b/>
                <w:bCs/>
                <w14:ligatures w14:val="standardContextual"/>
              </w:rPr>
              <w:t>Reason</w:t>
            </w:r>
          </w:p>
        </w:tc>
      </w:tr>
      <w:tr w:rsidRPr="00B2050B" w:rsidR="00DC5D11" w:rsidTr="00DC5D11" w14:paraId="7BE73DE0" w14:textId="77777777">
        <w:trPr>
          <w:cantSplit/>
        </w:trPr>
        <w:tc>
          <w:tcPr>
            <w:tcW w:w="895" w:type="dxa"/>
          </w:tcPr>
          <w:p w:rsidRPr="006E6416" w:rsidR="0074509F" w:rsidP="00786B2B" w:rsidRDefault="0074509F" w14:paraId="0F796FD3" w14:textId="3D296229">
            <w:pPr>
              <w:autoSpaceDE w:val="0"/>
              <w:autoSpaceDN w:val="0"/>
              <w:adjustRightInd w:val="0"/>
              <w:spacing w:after="240"/>
              <w:rPr>
                <w:rFonts w:ascii="TimesNewRomanPSMT" w:hAnsi="TimesNewRomanPSMT" w:cs="TimesNewRomanPSMT" w:eastAsiaTheme="minorHAnsi"/>
                <w14:ligatures w14:val="standardContextual"/>
              </w:rPr>
            </w:pPr>
            <w:r w:rsidRPr="006E6416">
              <w:rPr>
                <w:rFonts w:ascii="TimesNewRomanPSMT" w:hAnsi="TimesNewRomanPSMT" w:cs="TimesNewRomanPSMT" w:eastAsiaTheme="minorHAnsi"/>
                <w14:ligatures w14:val="standardContextual"/>
              </w:rPr>
              <w:lastRenderedPageBreak/>
              <w:t>[1]</w:t>
            </w:r>
          </w:p>
        </w:tc>
        <w:tc>
          <w:tcPr>
            <w:tcW w:w="8455" w:type="dxa"/>
            <w:shd w:val="clear" w:color="auto" w:fill="auto"/>
          </w:tcPr>
          <w:p w:rsidRPr="00B2050B" w:rsidR="0074509F" w:rsidP="00786B2B" w:rsidRDefault="0074509F" w14:paraId="4737ADC3" w14:textId="6E5A0B89">
            <w:pPr>
              <w:autoSpaceDE w:val="0"/>
              <w:autoSpaceDN w:val="0"/>
              <w:adjustRightInd w:val="0"/>
              <w:spacing w:after="240"/>
              <w:rPr>
                <w:rFonts w:ascii="TimesNewRomanPSMT" w:hAnsi="TimesNewRomanPSMT" w:cs="TimesNewRomanPSMT" w:eastAsiaTheme="minorHAnsi"/>
                <w:b/>
                <w:bCs/>
                <w14:ligatures w14:val="standardContextual"/>
              </w:rPr>
            </w:pPr>
            <w:r>
              <w:rPr>
                <w:rFonts w:ascii="TimesNewRomanPSMT" w:hAnsi="TimesNewRomanPSMT" w:cs="TimesNewRomanPSMT" w:eastAsiaTheme="minorHAnsi"/>
                <w:b/>
                <w:bCs/>
                <w14:ligatures w14:val="standardContextual"/>
              </w:rPr>
              <w:t xml:space="preserve">Analysis of </w:t>
            </w:r>
            <w:r w:rsidRPr="00B2050B">
              <w:rPr>
                <w:rFonts w:ascii="TimesNewRomanPSMT" w:hAnsi="TimesNewRomanPSMT" w:cs="TimesNewRomanPSMT" w:eastAsiaTheme="minorHAnsi"/>
                <w:b/>
                <w:bCs/>
                <w14:ligatures w14:val="standardContextual"/>
              </w:rPr>
              <w:t xml:space="preserve">UCAN’s claim of substantial Contributions </w:t>
            </w:r>
          </w:p>
          <w:p w:rsidR="0074509F" w:rsidP="00786B2B" w:rsidRDefault="0074509F" w14:paraId="3E11E65C" w14:textId="77777777">
            <w:pPr>
              <w:tabs>
                <w:tab w:val="left" w:pos="1440"/>
              </w:tabs>
              <w:spacing w:after="240"/>
              <w:rPr>
                <w:color w:val="000000"/>
              </w:rPr>
            </w:pPr>
            <w:r>
              <w:rPr>
                <w:color w:val="000000"/>
              </w:rPr>
              <w:t>Section 1802(j) defines substantial contribution, as follows:</w:t>
            </w:r>
          </w:p>
          <w:p w:rsidR="0074509F" w:rsidP="00786B2B" w:rsidRDefault="0074509F" w14:paraId="4FBF2D10" w14:textId="77777777">
            <w:pPr>
              <w:tabs>
                <w:tab w:val="left" w:pos="1440"/>
              </w:tabs>
              <w:spacing w:after="240"/>
              <w:ind w:left="720"/>
              <w:rPr>
                <w:color w:val="000000"/>
              </w:rPr>
            </w:pPr>
            <w:r>
              <w:rPr>
                <w:color w:val="000000"/>
              </w:rPr>
              <w:t>“Substantial contribution” means that, in the judgment of the commission, the customer’s presentation has substantially assisted the commission in the making of its order or decision because the order or decision has adopted in whole or in part one or more factual contention, legal contention, or specific policy or procedural recommendations presented by the customer.</w:t>
            </w:r>
          </w:p>
          <w:p w:rsidR="0074509F" w:rsidP="00786B2B" w:rsidRDefault="0074509F" w14:paraId="7430B040" w14:textId="77777777">
            <w:pPr>
              <w:tabs>
                <w:tab w:val="left" w:pos="1440"/>
              </w:tabs>
              <w:spacing w:after="240"/>
              <w:rPr>
                <w:color w:val="000000"/>
              </w:rPr>
            </w:pPr>
            <w:r>
              <w:rPr>
                <w:color w:val="000000"/>
              </w:rPr>
              <w:t xml:space="preserve">Pursuant to § 1804(c), an intervenor must describe its substantial contribution to the decision. More specifically, </w:t>
            </w:r>
          </w:p>
          <w:p w:rsidR="0074509F" w:rsidP="00786B2B" w:rsidRDefault="0074509F" w14:paraId="0AE6879B" w14:textId="77777777">
            <w:pPr>
              <w:tabs>
                <w:tab w:val="left" w:pos="1440"/>
              </w:tabs>
              <w:spacing w:after="240"/>
              <w:ind w:left="720"/>
              <w:rPr>
                <w:color w:val="000000"/>
              </w:rPr>
            </w:pPr>
            <w:r>
              <w:rPr>
                <w:color w:val="000000"/>
              </w:rPr>
              <w:t>The request for compensation shall identify each issue resolved by the Commission for which the intervenor claims compensation, and shall specify the pages, findings, conclusions and/or ordering paragraphs in the Commission decision which resolve the issue. (Rule 17.4(a) of the Commission Rules of Practice and Procedure.)</w:t>
            </w:r>
          </w:p>
          <w:p w:rsidR="0074509F" w:rsidP="00786B2B" w:rsidRDefault="0074509F" w14:paraId="48ECFEA1" w14:textId="6F0E59F1">
            <w:pPr>
              <w:tabs>
                <w:tab w:val="left" w:pos="1440"/>
              </w:tabs>
              <w:spacing w:after="240"/>
              <w:rPr>
                <w:color w:val="000000"/>
              </w:rPr>
            </w:pPr>
            <w:r w:rsidRPr="00B2050B">
              <w:rPr>
                <w:color w:val="000000"/>
              </w:rPr>
              <w:t xml:space="preserve">Analysis of UCAN’s claim </w:t>
            </w:r>
            <w:r>
              <w:rPr>
                <w:color w:val="000000"/>
              </w:rPr>
              <w:t xml:space="preserve">of substantial contribution </w:t>
            </w:r>
            <w:r w:rsidRPr="00B2050B">
              <w:rPr>
                <w:color w:val="000000"/>
              </w:rPr>
              <w:t>presents challenges</w:t>
            </w:r>
            <w:r>
              <w:rPr>
                <w:color w:val="000000"/>
              </w:rPr>
              <w:t>. According to UCAN, it</w:t>
            </w:r>
            <w:r w:rsidRPr="00B2050B">
              <w:rPr>
                <w:color w:val="000000"/>
              </w:rPr>
              <w:t xml:space="preserve"> contributed by actively intervening; informing, enriching, and developing the record; addressing “various and multiple issues and topics;” and providing relevant, “various and consistent” comments.</w:t>
            </w:r>
            <w:r>
              <w:rPr>
                <w:color w:val="000000"/>
              </w:rPr>
              <w:t xml:space="preserve"> </w:t>
            </w:r>
            <w:r w:rsidRPr="00B2050B">
              <w:rPr>
                <w:color w:val="000000"/>
              </w:rPr>
              <w:t xml:space="preserve">UCAN states </w:t>
            </w:r>
            <w:r>
              <w:rPr>
                <w:color w:val="000000"/>
              </w:rPr>
              <w:t xml:space="preserve">that by addressing critical issues it </w:t>
            </w:r>
            <w:r w:rsidRPr="00B2050B">
              <w:rPr>
                <w:color w:val="000000"/>
              </w:rPr>
              <w:t>“aided and supported the development of a more complete record for the Decision.”</w:t>
            </w:r>
            <w:r>
              <w:rPr>
                <w:color w:val="000000"/>
              </w:rPr>
              <w:t xml:space="preserve"> All these are general statements</w:t>
            </w:r>
            <w:r w:rsidR="002A65E7">
              <w:rPr>
                <w:color w:val="000000"/>
              </w:rPr>
              <w:t xml:space="preserve"> that do not help identify a</w:t>
            </w:r>
            <w:r>
              <w:rPr>
                <w:color w:val="000000"/>
              </w:rPr>
              <w:t xml:space="preserve"> substantial contribution</w:t>
            </w:r>
            <w:r w:rsidR="002A65E7">
              <w:rPr>
                <w:color w:val="000000"/>
              </w:rPr>
              <w:t xml:space="preserve"> made by the intervenor</w:t>
            </w:r>
            <w:r>
              <w:rPr>
                <w:color w:val="000000"/>
              </w:rPr>
              <w:t xml:space="preserve">. </w:t>
            </w:r>
          </w:p>
          <w:p w:rsidR="0074509F" w:rsidP="00786B2B" w:rsidRDefault="0074509F" w14:paraId="46F13E9B" w14:textId="1C96AA9E">
            <w:pPr>
              <w:tabs>
                <w:tab w:val="left" w:pos="1440"/>
              </w:tabs>
              <w:spacing w:after="240"/>
              <w:rPr>
                <w:color w:val="000000"/>
              </w:rPr>
            </w:pPr>
            <w:r>
              <w:rPr>
                <w:color w:val="000000"/>
              </w:rPr>
              <w:t xml:space="preserve">UCAN fails to support </w:t>
            </w:r>
            <w:r w:rsidR="002A65E7">
              <w:rPr>
                <w:color w:val="000000"/>
              </w:rPr>
              <w:t>its pleadings</w:t>
            </w:r>
            <w:r>
              <w:rPr>
                <w:color w:val="000000"/>
              </w:rPr>
              <w:t xml:space="preserve"> with specific references to the record. For example, the claim makes no specific </w:t>
            </w:r>
            <w:proofErr w:type="gramStart"/>
            <w:r>
              <w:rPr>
                <w:color w:val="000000"/>
              </w:rPr>
              <w:t>reference</w:t>
            </w:r>
            <w:proofErr w:type="gramEnd"/>
            <w:r>
              <w:rPr>
                <w:color w:val="000000"/>
              </w:rPr>
              <w:t xml:space="preserve"> </w:t>
            </w:r>
            <w:r w:rsidR="002A65E7">
              <w:rPr>
                <w:color w:val="000000"/>
              </w:rPr>
              <w:t>how UCAN made a substantial contribution in its</w:t>
            </w:r>
            <w:r>
              <w:rPr>
                <w:color w:val="000000"/>
              </w:rPr>
              <w:t xml:space="preserve"> opening brief of 02/01/21 and reply brief of 02/16/21, while requesting more than 40 hours preparing them. Similarly, the claim makes no specific references</w:t>
            </w:r>
            <w:r w:rsidR="002A65E7">
              <w:rPr>
                <w:color w:val="000000"/>
              </w:rPr>
              <w:t xml:space="preserve"> how UCAN made a substantial contribution </w:t>
            </w:r>
            <w:proofErr w:type="gramStart"/>
            <w:r w:rsidR="002A65E7">
              <w:rPr>
                <w:color w:val="000000"/>
              </w:rPr>
              <w:t>in</w:t>
            </w:r>
            <w:proofErr w:type="gramEnd"/>
            <w:r w:rsidR="002A65E7">
              <w:rPr>
                <w:color w:val="000000"/>
              </w:rPr>
              <w:t xml:space="preserve"> its </w:t>
            </w:r>
            <w:r>
              <w:rPr>
                <w:color w:val="000000"/>
              </w:rPr>
              <w:t xml:space="preserve">comments filed on July 1, 2021, regarding Phase II-B, and July 26, 2021 reply comments, while claiming more than 60 hours preparing them. There are other examples of the same nature.  </w:t>
            </w:r>
          </w:p>
          <w:p w:rsidR="0074509F" w:rsidP="00786B2B" w:rsidRDefault="0074509F" w14:paraId="2FFB8B2A" w14:textId="77777777">
            <w:pPr>
              <w:tabs>
                <w:tab w:val="left" w:pos="1440"/>
              </w:tabs>
              <w:spacing w:after="240"/>
              <w:rPr>
                <w:rFonts w:ascii="TimesNewRomanPSMT" w:hAnsi="TimesNewRomanPSMT" w:cs="TimesNewRomanPSMT" w:eastAsiaTheme="minorHAnsi"/>
                <w14:ligatures w14:val="standardContextual"/>
              </w:rPr>
            </w:pPr>
            <w:r>
              <w:rPr>
                <w:color w:val="000000"/>
              </w:rPr>
              <w:t>UCAN lists the “critical issues,” as follows:</w:t>
            </w:r>
            <w:r>
              <w:rPr>
                <w:rFonts w:ascii="TimesNewRomanPSMT" w:hAnsi="TimesNewRomanPSMT" w:cs="TimesNewRomanPSMT" w:eastAsiaTheme="minorHAnsi"/>
                <w14:ligatures w14:val="standardContextual"/>
              </w:rPr>
              <w:t xml:space="preserve"> infrastructure availability, post-disaster construction requirements, digital redlining/equity, community/tribal engagement, digital divide account, post-disaster requirements, staff proposal, digital redlining/data analysis, validity of studies, urban vs. rural, middle mile, FFA Rules. However, a</w:t>
            </w:r>
            <w:r>
              <w:rPr>
                <w:color w:val="000000"/>
              </w:rPr>
              <w:t xml:space="preserve">ddressing issues constitutes substantial contribution only if the intervenor’s presentations contributed on these issues to the decision-making. Similarly, a summary of the intervenor’s views in the final decision, alone, does not demonstrate that the intervenor contributed so that the Commission relied on the intervenor’s presentations. </w:t>
            </w:r>
          </w:p>
          <w:p w:rsidR="0074509F" w:rsidP="00786B2B" w:rsidRDefault="0074509F" w14:paraId="60168F57" w14:textId="65175241">
            <w:pPr>
              <w:tabs>
                <w:tab w:val="left" w:pos="1440"/>
              </w:tabs>
              <w:spacing w:after="240"/>
              <w:rPr>
                <w:color w:val="000000"/>
              </w:rPr>
            </w:pPr>
            <w:r>
              <w:rPr>
                <w:color w:val="000000"/>
              </w:rPr>
              <w:lastRenderedPageBreak/>
              <w:t>A review of the record reveals</w:t>
            </w:r>
            <w:r w:rsidRPr="00B2050B">
              <w:rPr>
                <w:color w:val="000000"/>
              </w:rPr>
              <w:t xml:space="preserve"> that</w:t>
            </w:r>
            <w:r>
              <w:rPr>
                <w:color w:val="000000"/>
              </w:rPr>
              <w:t xml:space="preserve"> m</w:t>
            </w:r>
            <w:r w:rsidRPr="00B2050B">
              <w:rPr>
                <w:color w:val="000000"/>
              </w:rPr>
              <w:t xml:space="preserve">ost of </w:t>
            </w:r>
            <w:r>
              <w:rPr>
                <w:color w:val="000000"/>
              </w:rPr>
              <w:t>UCAN’s</w:t>
            </w:r>
            <w:r w:rsidRPr="00B2050B">
              <w:rPr>
                <w:color w:val="000000"/>
              </w:rPr>
              <w:t xml:space="preserve"> pleadings </w:t>
            </w:r>
            <w:r>
              <w:rPr>
                <w:color w:val="000000"/>
              </w:rPr>
              <w:t>on the proceeding’s issues</w:t>
            </w:r>
            <w:r w:rsidR="002A65E7">
              <w:rPr>
                <w:color w:val="000000"/>
              </w:rPr>
              <w:t xml:space="preserve"> were largely rhetorical and did not rise to the level required to make a substantial contribution, except for in the instances that we discuss below.</w:t>
            </w:r>
          </w:p>
          <w:p w:rsidRPr="00B2050B" w:rsidR="0074509F" w:rsidP="00786B2B" w:rsidRDefault="0074509F" w14:paraId="5C85E893" w14:textId="77777777">
            <w:pPr>
              <w:autoSpaceDE w:val="0"/>
              <w:autoSpaceDN w:val="0"/>
              <w:adjustRightInd w:val="0"/>
              <w:spacing w:after="240"/>
              <w:rPr>
                <w:rFonts w:ascii="TimesNewRomanPSMT" w:hAnsi="TimesNewRomanPSMT" w:cs="TimesNewRomanPSMT" w:eastAsiaTheme="minorHAnsi"/>
                <w14:ligatures w14:val="standardContextual"/>
              </w:rPr>
            </w:pPr>
            <w:r w:rsidRPr="00B2050B">
              <w:rPr>
                <w:rFonts w:ascii="TimesNewRomanPSMT" w:hAnsi="TimesNewRomanPSMT" w:cs="TimesNewRomanPSMT" w:eastAsiaTheme="minorHAnsi"/>
                <w:b/>
                <w:bCs/>
                <w14:ligatures w14:val="standardContextual"/>
              </w:rPr>
              <w:t>Substantial Contribution Findings Based on the Proceeding’s Record</w:t>
            </w:r>
            <w:r w:rsidRPr="00B2050B">
              <w:rPr>
                <w:rFonts w:ascii="TimesNewRomanPSMT" w:hAnsi="TimesNewRomanPSMT" w:cs="TimesNewRomanPSMT" w:eastAsiaTheme="minorHAnsi"/>
                <w14:ligatures w14:val="standardContextual"/>
              </w:rPr>
              <w:t>.</w:t>
            </w:r>
          </w:p>
          <w:p w:rsidRPr="00281C31" w:rsidR="0074509F" w:rsidP="00786B2B" w:rsidRDefault="0074509F" w14:paraId="183845CB" w14:textId="77777777">
            <w:pPr>
              <w:autoSpaceDE w:val="0"/>
              <w:autoSpaceDN w:val="0"/>
              <w:adjustRightInd w:val="0"/>
              <w:spacing w:after="240"/>
              <w:rPr>
                <w:rFonts w:ascii="TimesNewRomanPSMT" w:hAnsi="TimesNewRomanPSMT" w:cs="TimesNewRomanPSMT" w:eastAsiaTheme="minorHAnsi"/>
                <w14:ligatures w14:val="standardContextual"/>
              </w:rPr>
            </w:pPr>
            <w:r w:rsidRPr="00281C31">
              <w:rPr>
                <w:rFonts w:ascii="TimesNewRomanPSMT" w:hAnsi="TimesNewRomanPSMT" w:cs="TimesNewRomanPSMT" w:eastAsiaTheme="minorHAnsi"/>
                <w:u w:val="single"/>
                <w14:ligatures w14:val="standardContextual"/>
              </w:rPr>
              <w:t>1.</w:t>
            </w:r>
            <w:r>
              <w:rPr>
                <w:rFonts w:ascii="TimesNewRomanPSMT" w:hAnsi="TimesNewRomanPSMT" w:cs="TimesNewRomanPSMT" w:eastAsiaTheme="minorHAnsi"/>
                <w:u w:val="single"/>
                <w14:ligatures w14:val="standardContextual"/>
              </w:rPr>
              <w:t xml:space="preserve"> </w:t>
            </w:r>
            <w:r w:rsidRPr="00281C31">
              <w:rPr>
                <w:rFonts w:ascii="TimesNewRomanPSMT" w:hAnsi="TimesNewRomanPSMT" w:cs="TimesNewRomanPSMT" w:eastAsiaTheme="minorHAnsi"/>
                <w:u w:val="single"/>
                <w14:ligatures w14:val="standardContextual"/>
              </w:rPr>
              <w:t>Urban School’s Needs</w:t>
            </w:r>
            <w:r w:rsidRPr="00281C31">
              <w:rPr>
                <w:rFonts w:ascii="TimesNewRomanPSMT" w:hAnsi="TimesNewRomanPSMT" w:cs="TimesNewRomanPSMT" w:eastAsiaTheme="minorHAnsi"/>
                <w14:ligatures w14:val="standardContextual"/>
              </w:rPr>
              <w:t>. D</w:t>
            </w:r>
            <w:r>
              <w:rPr>
                <w:rFonts w:ascii="TimesNewRomanPSMT" w:hAnsi="TimesNewRomanPSMT" w:cs="TimesNewRomanPSMT" w:eastAsiaTheme="minorHAnsi"/>
                <w14:ligatures w14:val="standardContextual"/>
              </w:rPr>
              <w:t>.</w:t>
            </w:r>
            <w:r w:rsidRPr="00281C31">
              <w:rPr>
                <w:rFonts w:ascii="TimesNewRomanPSMT" w:hAnsi="TimesNewRomanPSMT" w:cs="TimesNewRomanPSMT" w:eastAsiaTheme="minorHAnsi"/>
                <w14:ligatures w14:val="standardContextual"/>
              </w:rPr>
              <w:t>21</w:t>
            </w:r>
            <w:r>
              <w:rPr>
                <w:rFonts w:ascii="TimesNewRomanPSMT" w:hAnsi="TimesNewRomanPSMT" w:cs="TimesNewRomanPSMT" w:eastAsiaTheme="minorHAnsi"/>
                <w14:ligatures w14:val="standardContextual"/>
              </w:rPr>
              <w:t xml:space="preserve">-10-020 </w:t>
            </w:r>
            <w:r w:rsidRPr="00281C31">
              <w:rPr>
                <w:rFonts w:ascii="TimesNewRomanPSMT" w:hAnsi="TimesNewRomanPSMT" w:cs="TimesNewRomanPSMT" w:eastAsiaTheme="minorHAnsi"/>
                <w14:ligatures w14:val="standardContextual"/>
              </w:rPr>
              <w:t xml:space="preserve">mentions UCAN, along with other commenters, on the issue of urban schools’ inclusion in the </w:t>
            </w:r>
            <w:r w:rsidRPr="00B2050B">
              <w:t>Digital Divide Account grant program.</w:t>
            </w:r>
            <w:r w:rsidRPr="00281C31">
              <w:rPr>
                <w:rFonts w:ascii="TimesNewRomanPSMT" w:hAnsi="TimesNewRomanPSMT" w:cs="TimesNewRomanPSMT" w:eastAsiaTheme="minorHAnsi"/>
                <w14:ligatures w14:val="standardContextual"/>
              </w:rPr>
              <w:t xml:space="preserve"> W</w:t>
            </w:r>
            <w:r>
              <w:t xml:space="preserve">e find that </w:t>
            </w:r>
            <w:r w:rsidRPr="00281C31">
              <w:rPr>
                <w:rFonts w:ascii="TimesNewRomanPSMT" w:hAnsi="TimesNewRomanPSMT" w:cs="TimesNewRomanPSMT" w:eastAsiaTheme="minorHAnsi"/>
                <w14:ligatures w14:val="standardContextual"/>
              </w:rPr>
              <w:t xml:space="preserve">UCAN provided unique research related to the San Diego communities, in support of its </w:t>
            </w:r>
            <w:r>
              <w:rPr>
                <w:rFonts w:ascii="TimesNewRomanPSMT" w:hAnsi="TimesNewRomanPSMT" w:cs="TimesNewRomanPSMT" w:eastAsiaTheme="minorHAnsi"/>
                <w14:ligatures w14:val="standardContextual"/>
              </w:rPr>
              <w:t>position</w:t>
            </w:r>
            <w:r w:rsidRPr="00281C31">
              <w:rPr>
                <w:rFonts w:ascii="TimesNewRomanPSMT" w:hAnsi="TimesNewRomanPSMT" w:cs="TimesNewRomanPSMT" w:eastAsiaTheme="minorHAnsi"/>
                <w14:ligatures w14:val="standardContextual"/>
              </w:rPr>
              <w:t xml:space="preserve">. Based on our review of the record, we find that UCAN’s </w:t>
            </w:r>
            <w:r>
              <w:rPr>
                <w:rFonts w:ascii="TimesNewRomanPSMT" w:hAnsi="TimesNewRomanPSMT" w:cs="TimesNewRomanPSMT" w:eastAsiaTheme="minorHAnsi"/>
                <w14:ligatures w14:val="standardContextual"/>
              </w:rPr>
              <w:t>advocacy</w:t>
            </w:r>
            <w:r w:rsidRPr="00281C31">
              <w:rPr>
                <w:rFonts w:ascii="TimesNewRomanPSMT" w:hAnsi="TimesNewRomanPSMT" w:cs="TimesNewRomanPSMT" w:eastAsiaTheme="minorHAnsi"/>
                <w14:ligatures w14:val="standardContextual"/>
              </w:rPr>
              <w:t xml:space="preserve"> on behalf of the urban schools’ </w:t>
            </w:r>
            <w:r>
              <w:rPr>
                <w:rFonts w:ascii="TimesNewRomanPSMT" w:hAnsi="TimesNewRomanPSMT" w:cs="TimesNewRomanPSMT" w:eastAsiaTheme="minorHAnsi"/>
                <w14:ligatures w14:val="standardContextual"/>
              </w:rPr>
              <w:t xml:space="preserve">needs </w:t>
            </w:r>
            <w:r w:rsidRPr="00281C31">
              <w:rPr>
                <w:rFonts w:ascii="TimesNewRomanPSMT" w:hAnsi="TimesNewRomanPSMT" w:cs="TimesNewRomanPSMT" w:eastAsiaTheme="minorHAnsi"/>
                <w14:ligatures w14:val="standardContextual"/>
              </w:rPr>
              <w:t>contributed to the Commission’s deliberations.</w:t>
            </w:r>
            <w:r w:rsidRPr="00B2050B">
              <w:t xml:space="preserve"> </w:t>
            </w:r>
          </w:p>
          <w:p w:rsidRPr="00B2050B" w:rsidR="0074509F" w:rsidP="00786B2B" w:rsidRDefault="0074509F" w14:paraId="41DA2FEC" w14:textId="77777777">
            <w:pPr>
              <w:tabs>
                <w:tab w:val="left" w:pos="1440"/>
              </w:tabs>
              <w:spacing w:after="240"/>
            </w:pPr>
            <w:r>
              <w:rPr>
                <w:u w:val="single"/>
              </w:rPr>
              <w:t xml:space="preserve">2. Increase of </w:t>
            </w:r>
            <w:r w:rsidRPr="00445A86">
              <w:rPr>
                <w:u w:val="single"/>
              </w:rPr>
              <w:t>Administrative Expenses</w:t>
            </w:r>
            <w:r>
              <w:rPr>
                <w:u w:val="single"/>
              </w:rPr>
              <w:t xml:space="preserve"> Cap</w:t>
            </w:r>
            <w:r>
              <w:t xml:space="preserve">. </w:t>
            </w:r>
            <w:r w:rsidRPr="00B2050B">
              <w:t>D</w:t>
            </w:r>
            <w:r>
              <w:t>.</w:t>
            </w:r>
            <w:r w:rsidRPr="00B2050B">
              <w:t>21</w:t>
            </w:r>
            <w:r>
              <w:t xml:space="preserve">-10-020 </w:t>
            </w:r>
            <w:r w:rsidRPr="00B2050B">
              <w:t xml:space="preserve">mentions UCAN </w:t>
            </w:r>
            <w:r>
              <w:t xml:space="preserve">with </w:t>
            </w:r>
            <w:r w:rsidRPr="00B2050B">
              <w:t>other parties support</w:t>
            </w:r>
            <w:r>
              <w:t>ing an</w:t>
            </w:r>
            <w:r w:rsidRPr="00B2050B">
              <w:t xml:space="preserve"> increas</w:t>
            </w:r>
            <w:r>
              <w:t>e by 8-15%</w:t>
            </w:r>
            <w:r w:rsidRPr="00B2050B">
              <w:t xml:space="preserve"> </w:t>
            </w:r>
            <w:r>
              <w:t xml:space="preserve">of the </w:t>
            </w:r>
            <w:r w:rsidRPr="00B2050B">
              <w:t>administrative expenses</w:t>
            </w:r>
            <w:r>
              <w:t xml:space="preserve"> cap.</w:t>
            </w:r>
            <w:r w:rsidRPr="00B2050B">
              <w:t xml:space="preserve"> T</w:t>
            </w:r>
            <w:r>
              <w:t>o the extent that t</w:t>
            </w:r>
            <w:r w:rsidRPr="00B2050B">
              <w:t>he decision adopted a 10% cap</w:t>
            </w:r>
            <w:r>
              <w:t xml:space="preserve"> which corresponded to </w:t>
            </w:r>
            <w:r w:rsidRPr="00B2050B">
              <w:t>UCAN’s</w:t>
            </w:r>
            <w:r>
              <w:t xml:space="preserve"> specific</w:t>
            </w:r>
            <w:r w:rsidRPr="00B2050B">
              <w:t xml:space="preserve"> recommendation</w:t>
            </w:r>
            <w:r>
              <w:t xml:space="preserve">, we find that UCAN contributed to this matter. </w:t>
            </w:r>
          </w:p>
          <w:p w:rsidRPr="00B2050B" w:rsidR="0074509F" w:rsidP="00786B2B" w:rsidRDefault="0074509F" w14:paraId="6A6D4CE5" w14:textId="77777777">
            <w:pPr>
              <w:tabs>
                <w:tab w:val="left" w:pos="1440"/>
              </w:tabs>
              <w:spacing w:after="240"/>
            </w:pPr>
            <w:r>
              <w:rPr>
                <w:u w:val="single"/>
              </w:rPr>
              <w:t xml:space="preserve">3. </w:t>
            </w:r>
            <w:r w:rsidRPr="00281C31">
              <w:rPr>
                <w:u w:val="single"/>
              </w:rPr>
              <w:t>Bringing Local Data to the Commission’s Attention</w:t>
            </w:r>
            <w:r>
              <w:t xml:space="preserve">. We further find that UCAN </w:t>
            </w:r>
            <w:r w:rsidRPr="00B2050B">
              <w:t>deserves a credit for bringing to the Commission</w:t>
            </w:r>
            <w:r>
              <w:t>’s attention</w:t>
            </w:r>
            <w:r w:rsidRPr="00B2050B">
              <w:t xml:space="preserve"> certain </w:t>
            </w:r>
            <w:r>
              <w:t>socio-economic</w:t>
            </w:r>
            <w:r w:rsidRPr="00B2050B">
              <w:t xml:space="preserve"> data and local concerns specific to San Diego’s communities. To the extent that they were relevant to the issues of the proceeding, UCAN’s data and analysis of the local facts enriched our deliberations leading to D.21</w:t>
            </w:r>
            <w:r>
              <w:t>-10-020</w:t>
            </w:r>
            <w:r w:rsidRPr="00B2050B">
              <w:t xml:space="preserve">.  </w:t>
            </w:r>
          </w:p>
          <w:p w:rsidR="0074509F" w:rsidP="00786B2B" w:rsidRDefault="0074509F" w14:paraId="7E2BD710" w14:textId="77777777">
            <w:pPr>
              <w:tabs>
                <w:tab w:val="left" w:pos="1440"/>
              </w:tabs>
              <w:spacing w:after="240"/>
            </w:pPr>
            <w:r>
              <w:rPr>
                <w:u w:val="single"/>
              </w:rPr>
              <w:t xml:space="preserve">4. </w:t>
            </w:r>
            <w:r w:rsidRPr="00281C31">
              <w:rPr>
                <w:u w:val="single"/>
              </w:rPr>
              <w:t>Supporting TURN’s Recommendation for Urban and Rural Designations</w:t>
            </w:r>
            <w:r>
              <w:t xml:space="preserve">. </w:t>
            </w:r>
            <w:r w:rsidRPr="00B2050B">
              <w:t>D</w:t>
            </w:r>
            <w:r>
              <w:t>.</w:t>
            </w:r>
            <w:r w:rsidRPr="00B2050B">
              <w:t>22</w:t>
            </w:r>
            <w:r>
              <w:t>-04-055</w:t>
            </w:r>
            <w:r w:rsidRPr="00B2050B">
              <w:t xml:space="preserve"> mention</w:t>
            </w:r>
            <w:r>
              <w:t>ed</w:t>
            </w:r>
            <w:r w:rsidRPr="00B2050B">
              <w:t xml:space="preserve"> UCAN</w:t>
            </w:r>
            <w:r>
              <w:t xml:space="preserve"> at p. 29 among the parties who </w:t>
            </w:r>
            <w:r w:rsidRPr="00B2050B">
              <w:t>support</w:t>
            </w:r>
            <w:r>
              <w:t>ed</w:t>
            </w:r>
            <w:r w:rsidRPr="00B2050B">
              <w:t xml:space="preserve"> using the federal Office of Management and Budget’s method to define rural and urban designation</w:t>
            </w:r>
            <w:r>
              <w:t>, and</w:t>
            </w:r>
            <w:r w:rsidRPr="00B2050B">
              <w:t xml:space="preserve"> as a supporter of TURN’s urban and rural designations, which was adopted in the decision. We find that this analysis contributed. </w:t>
            </w:r>
          </w:p>
          <w:p w:rsidRPr="00B2050B" w:rsidR="0074509F" w:rsidP="00786B2B" w:rsidRDefault="0074509F" w14:paraId="72E673E6" w14:textId="77777777">
            <w:pPr>
              <w:autoSpaceDE w:val="0"/>
              <w:autoSpaceDN w:val="0"/>
              <w:adjustRightInd w:val="0"/>
              <w:spacing w:after="240"/>
            </w:pPr>
            <w:r>
              <w:rPr>
                <w:rFonts w:ascii="TimesNewRomanPSMT" w:hAnsi="TimesNewRomanPSMT" w:cs="TimesNewRomanPSMT" w:eastAsiaTheme="minorHAnsi"/>
                <w14:ligatures w14:val="standardContextual"/>
              </w:rPr>
              <w:t xml:space="preserve">The rest of UCAN’s claimed contribution on the </w:t>
            </w:r>
            <w:proofErr w:type="gramStart"/>
            <w:r>
              <w:rPr>
                <w:rFonts w:ascii="TimesNewRomanPSMT" w:hAnsi="TimesNewRomanPSMT" w:cs="TimesNewRomanPSMT" w:eastAsiaTheme="minorHAnsi"/>
                <w14:ligatures w14:val="standardContextual"/>
              </w:rPr>
              <w:t>proceeding’s</w:t>
            </w:r>
            <w:proofErr w:type="gramEnd"/>
            <w:r>
              <w:rPr>
                <w:rFonts w:ascii="TimesNewRomanPSMT" w:hAnsi="TimesNewRomanPSMT" w:cs="TimesNewRomanPSMT" w:eastAsiaTheme="minorHAnsi"/>
                <w14:ligatures w14:val="standardContextual"/>
              </w:rPr>
              <w:t xml:space="preserve"> </w:t>
            </w:r>
            <w:r>
              <w:t xml:space="preserve">issues is not supported by the record. </w:t>
            </w:r>
          </w:p>
          <w:p w:rsidRPr="00B2050B" w:rsidR="0074509F" w:rsidP="00786B2B" w:rsidRDefault="0074509F" w14:paraId="0DF93EC3" w14:textId="77777777">
            <w:pPr>
              <w:tabs>
                <w:tab w:val="left" w:pos="1440"/>
              </w:tabs>
              <w:spacing w:after="240"/>
              <w:rPr>
                <w:b/>
                <w:bCs/>
                <w:color w:val="000000"/>
              </w:rPr>
            </w:pPr>
            <w:r w:rsidRPr="00B2050B">
              <w:rPr>
                <w:b/>
                <w:bCs/>
                <w:color w:val="000000"/>
              </w:rPr>
              <w:t>Analysis of UCAN’s Allocation of Hours by Issue</w:t>
            </w:r>
          </w:p>
          <w:p w:rsidRPr="00B2050B" w:rsidR="0074509F" w:rsidP="00786B2B" w:rsidRDefault="0074509F" w14:paraId="2DE96A3A" w14:textId="77777777">
            <w:pPr>
              <w:tabs>
                <w:tab w:val="left" w:pos="1440"/>
              </w:tabs>
              <w:spacing w:after="240"/>
              <w:rPr>
                <w:color w:val="000000"/>
              </w:rPr>
            </w:pPr>
            <w:r w:rsidRPr="00B2050B">
              <w:rPr>
                <w:color w:val="000000"/>
              </w:rPr>
              <w:t>Another challenge in assessing UCAN’s claim is that UCAN was not able to correctly or clearly allocate hours to the proceeding’s substantive issues</w:t>
            </w:r>
            <w:r>
              <w:rPr>
                <w:color w:val="000000"/>
              </w:rPr>
              <w:t>, as §1804(c) and Rule 17.4(a) require</w:t>
            </w:r>
            <w:r w:rsidRPr="00B2050B">
              <w:rPr>
                <w:color w:val="000000"/>
              </w:rPr>
              <w:t xml:space="preserve">. The original claim allocates hours by the procedural steps – hearings, workshops, and conferences (HWC) (49%); filings (F) (48); and “general preparation” (activities that were neither HWC nor F) (3%), rather than substantive issues. </w:t>
            </w:r>
          </w:p>
          <w:p w:rsidR="0074509F" w:rsidP="00786B2B" w:rsidRDefault="0074509F" w14:paraId="6E9CED10" w14:textId="77777777">
            <w:pPr>
              <w:tabs>
                <w:tab w:val="left" w:pos="1440"/>
              </w:tabs>
              <w:spacing w:after="240"/>
              <w:rPr>
                <w:color w:val="000000"/>
              </w:rPr>
            </w:pPr>
            <w:r w:rsidRPr="00B2050B">
              <w:rPr>
                <w:color w:val="000000"/>
              </w:rPr>
              <w:t xml:space="preserve">UCAN’s supplement to the claim, </w:t>
            </w:r>
            <w:r>
              <w:rPr>
                <w:color w:val="000000"/>
              </w:rPr>
              <w:t xml:space="preserve">purported </w:t>
            </w:r>
            <w:r w:rsidRPr="00B2050B">
              <w:rPr>
                <w:color w:val="000000"/>
              </w:rPr>
              <w:t xml:space="preserve">to allocate hours by the </w:t>
            </w:r>
            <w:r>
              <w:rPr>
                <w:color w:val="000000"/>
              </w:rPr>
              <w:t xml:space="preserve">proceeding’s </w:t>
            </w:r>
            <w:r w:rsidRPr="00B2050B">
              <w:rPr>
                <w:color w:val="000000"/>
              </w:rPr>
              <w:t xml:space="preserve">substantive issues, again failed this task. </w:t>
            </w:r>
            <w:r>
              <w:rPr>
                <w:color w:val="000000"/>
              </w:rPr>
              <w:t xml:space="preserve">Instead of allocating hours </w:t>
            </w:r>
            <w:proofErr w:type="gramStart"/>
            <w:r>
              <w:rPr>
                <w:color w:val="000000"/>
              </w:rPr>
              <w:t>to the proceeding’s</w:t>
            </w:r>
            <w:proofErr w:type="gramEnd"/>
            <w:r>
              <w:rPr>
                <w:color w:val="000000"/>
              </w:rPr>
              <w:t xml:space="preserve"> issues, UCAN</w:t>
            </w:r>
            <w:r w:rsidRPr="00B2050B">
              <w:rPr>
                <w:color w:val="000000"/>
              </w:rPr>
              <w:t xml:space="preserve"> allocates the hours by</w:t>
            </w:r>
            <w:r>
              <w:rPr>
                <w:color w:val="000000"/>
              </w:rPr>
              <w:t xml:space="preserve"> each of the </w:t>
            </w:r>
            <w:r w:rsidRPr="00B2050B">
              <w:rPr>
                <w:color w:val="000000"/>
              </w:rPr>
              <w:t>Commission-issued document</w:t>
            </w:r>
            <w:r>
              <w:rPr>
                <w:color w:val="000000"/>
              </w:rPr>
              <w:t xml:space="preserve">s (Order Instituting Rulemaking, Scoping Memo and Ruling, Amended Scoping Memo and Ruling, Proposed Decision, etc.) and by </w:t>
            </w:r>
            <w:r w:rsidRPr="00B2050B">
              <w:rPr>
                <w:color w:val="000000"/>
              </w:rPr>
              <w:t>issue</w:t>
            </w:r>
            <w:r>
              <w:rPr>
                <w:color w:val="000000"/>
              </w:rPr>
              <w:t xml:space="preserve"> in each document </w:t>
            </w:r>
            <w:r>
              <w:rPr>
                <w:color w:val="000000"/>
              </w:rPr>
              <w:lastRenderedPageBreak/>
              <w:t xml:space="preserve">to which </w:t>
            </w:r>
            <w:r w:rsidRPr="00B2050B">
              <w:rPr>
                <w:color w:val="000000"/>
              </w:rPr>
              <w:t>UCAN filed comments</w:t>
            </w:r>
            <w:r>
              <w:rPr>
                <w:color w:val="000000"/>
              </w:rPr>
              <w:t xml:space="preserve">. UCAN also includes the issue of Phase II-B, and allocates hours to this issue, as well. UCAN then includes issues in various rulings to which UCAN commented. In all, UCAN names sixteen such issues. The issues so formulated either overlap or are identical or unclear. </w:t>
            </w:r>
            <w:r w:rsidRPr="00B2050B">
              <w:rPr>
                <w:color w:val="000000"/>
              </w:rPr>
              <w:t>This prevents any meaningful analysis of the reasonableness of the costs</w:t>
            </w:r>
            <w:r>
              <w:rPr>
                <w:color w:val="000000"/>
              </w:rPr>
              <w:t xml:space="preserve"> of the intervenor’s claimed contributions. Therefore, we resolve to base our cost reasonableness assessment on UCAN’s actual contributions. </w:t>
            </w:r>
          </w:p>
          <w:p w:rsidR="0074509F" w:rsidP="00786B2B" w:rsidRDefault="0074509F" w14:paraId="153F6F48" w14:textId="77777777">
            <w:pPr>
              <w:tabs>
                <w:tab w:val="left" w:pos="1440"/>
              </w:tabs>
              <w:spacing w:after="240"/>
              <w:rPr>
                <w:color w:val="000000"/>
              </w:rPr>
            </w:pPr>
            <w:r w:rsidRPr="00B47580">
              <w:rPr>
                <w:b/>
                <w:bCs/>
                <w:color w:val="000000"/>
              </w:rPr>
              <w:t>Reasonableness Analysis</w:t>
            </w:r>
            <w:r>
              <w:rPr>
                <w:color w:val="000000"/>
              </w:rPr>
              <w:t>.</w:t>
            </w:r>
          </w:p>
          <w:p w:rsidRPr="003F3467" w:rsidR="0074509F" w:rsidP="00786B2B" w:rsidRDefault="0074509F" w14:paraId="3D9CE95C" w14:textId="77777777">
            <w:pPr>
              <w:tabs>
                <w:tab w:val="left" w:pos="1440"/>
              </w:tabs>
              <w:spacing w:after="240"/>
              <w:rPr>
                <w:b/>
                <w:bCs/>
                <w:color w:val="000000"/>
              </w:rPr>
            </w:pPr>
            <w:r w:rsidRPr="003F3467">
              <w:rPr>
                <w:b/>
                <w:bCs/>
                <w:color w:val="000000"/>
                <w:u w:val="single"/>
              </w:rPr>
              <w:t>Disallowances Based on the Lack of Substantial Contribution</w:t>
            </w:r>
            <w:r w:rsidRPr="003F3467">
              <w:rPr>
                <w:b/>
                <w:bCs/>
                <w:color w:val="000000"/>
              </w:rPr>
              <w:t>.</w:t>
            </w:r>
          </w:p>
          <w:p w:rsidR="0074509F" w:rsidP="00786B2B" w:rsidRDefault="0074509F" w14:paraId="47B13DD9" w14:textId="77777777">
            <w:pPr>
              <w:tabs>
                <w:tab w:val="left" w:pos="1440"/>
              </w:tabs>
              <w:spacing w:after="240"/>
              <w:rPr>
                <w:color w:val="000000"/>
              </w:rPr>
            </w:pPr>
            <w:r>
              <w:rPr>
                <w:color w:val="000000"/>
              </w:rPr>
              <w:t xml:space="preserve">UCAN claims that spending 366 hours was reasonable due to the multitude of issues, and because it participated in numerous workshops and provided various comments. We correct these statements: the total of the substantive work adds up to 317.25 hours; there were no workshops; and the claim’s reasonableness is assessed in connection with the substantial contributions and the costs required to make these contributions. </w:t>
            </w:r>
          </w:p>
          <w:p w:rsidR="0074509F" w:rsidP="00786B2B" w:rsidRDefault="0074509F" w14:paraId="759E75FC" w14:textId="77777777">
            <w:pPr>
              <w:tabs>
                <w:tab w:val="left" w:pos="1440"/>
              </w:tabs>
              <w:spacing w:after="240"/>
              <w:rPr>
                <w:color w:val="000000"/>
              </w:rPr>
            </w:pPr>
            <w:r>
              <w:rPr>
                <w:color w:val="000000"/>
              </w:rPr>
              <w:t xml:space="preserve">According to §1802(j), substantial contribution is determined based on whether the final decision </w:t>
            </w:r>
            <w:proofErr w:type="gramStart"/>
            <w:r>
              <w:rPr>
                <w:color w:val="000000"/>
              </w:rPr>
              <w:t>adopted</w:t>
            </w:r>
            <w:proofErr w:type="gramEnd"/>
            <w:r>
              <w:rPr>
                <w:color w:val="000000"/>
              </w:rPr>
              <w:t xml:space="preserve"> in whole or in part one or more factual contentions, legal contentions, or specific policy or procedural recommendations presented by the customer. Pursuant to § 1802(j), compensation is limited to reasonable costs incurred in preparing or presenting the contention or recommendation that contributed to the decision. Our assessment of reasonableness is based on this law.</w:t>
            </w:r>
          </w:p>
          <w:p w:rsidR="0074509F" w:rsidP="00786B2B" w:rsidRDefault="0074509F" w14:paraId="5B2141AD" w14:textId="76891C75">
            <w:pPr>
              <w:tabs>
                <w:tab w:val="left" w:pos="1440"/>
              </w:tabs>
              <w:spacing w:after="240"/>
            </w:pPr>
            <w:r>
              <w:rPr>
                <w:color w:val="000000"/>
              </w:rPr>
              <w:t xml:space="preserve">As we have discussed, UCAN contributed to the urban school’s participation in the pilot programs; an increase of the administrative expense cap to 10%; bringing local data to the Commission’s attention; and supporting TURN’s recommendation regarding the </w:t>
            </w:r>
            <w:r w:rsidRPr="00B2050B">
              <w:t xml:space="preserve">method </w:t>
            </w:r>
            <w:r>
              <w:t>of</w:t>
            </w:r>
            <w:r w:rsidRPr="00B2050B">
              <w:t xml:space="preserve"> defin</w:t>
            </w:r>
            <w:r>
              <w:t>ing</w:t>
            </w:r>
            <w:r w:rsidRPr="00B2050B">
              <w:t xml:space="preserve"> rural and urban designation</w:t>
            </w:r>
            <w:r>
              <w:t xml:space="preserve">. We note that UCAN’s comments relevant to these issues are relatively short (for example, </w:t>
            </w:r>
            <w:r w:rsidRPr="00D65DCB">
              <w:t xml:space="preserve">UCAN’s </w:t>
            </w:r>
            <w:r>
              <w:t>discussion</w:t>
            </w:r>
            <w:r w:rsidRPr="00D65DCB">
              <w:t xml:space="preserve"> of TURN’s recommendation occupies, approximately, two pages of the comments of 12/10/21 </w:t>
            </w:r>
            <w:r>
              <w:t xml:space="preserve">(see </w:t>
            </w:r>
            <w:r w:rsidRPr="00D65DCB">
              <w:t>pp. 4-6</w:t>
            </w:r>
            <w:r>
              <w:t>); San Diego communities’ data analysis takes, approximately, a page of the 09/03/21 comments at p. 4, while t</w:t>
            </w:r>
            <w:r>
              <w:rPr>
                <w:rFonts w:ascii="TimesNewRomanPSMT" w:hAnsi="TimesNewRomanPSMT" w:cs="TimesNewRomanPSMT" w:eastAsiaTheme="minorHAnsi"/>
                <w14:ligatures w14:val="standardContextual"/>
              </w:rPr>
              <w:t xml:space="preserve">he rest of the comments </w:t>
            </w:r>
            <w:r w:rsidR="001341D8">
              <w:rPr>
                <w:rFonts w:ascii="TimesNewRomanPSMT" w:hAnsi="TimesNewRomanPSMT" w:cs="TimesNewRomanPSMT" w:eastAsiaTheme="minorHAnsi"/>
                <w14:ligatures w14:val="standardContextual"/>
              </w:rPr>
              <w:t xml:space="preserve">are </w:t>
            </w:r>
            <w:r>
              <w:rPr>
                <w:rFonts w:ascii="TimesNewRomanPSMT" w:hAnsi="TimesNewRomanPSMT" w:cs="TimesNewRomanPSMT" w:eastAsiaTheme="minorHAnsi"/>
                <w14:ligatures w14:val="standardContextual"/>
              </w:rPr>
              <w:t>overly general and includes statements duplicat</w:t>
            </w:r>
            <w:r w:rsidR="001341D8">
              <w:rPr>
                <w:rFonts w:ascii="TimesNewRomanPSMT" w:hAnsi="TimesNewRomanPSMT" w:cs="TimesNewRomanPSMT" w:eastAsiaTheme="minorHAnsi"/>
                <w14:ligatures w14:val="standardContextual"/>
              </w:rPr>
              <w:t>ive of</w:t>
            </w:r>
            <w:r>
              <w:rPr>
                <w:rFonts w:ascii="TimesNewRomanPSMT" w:hAnsi="TimesNewRomanPSMT" w:cs="TimesNewRomanPSMT" w:eastAsiaTheme="minorHAnsi"/>
                <w14:ligatures w14:val="standardContextual"/>
              </w:rPr>
              <w:t xml:space="preserve"> the Commission’s rulings, other parties’ findings, and UCAN’s statements)</w:t>
            </w:r>
            <w:r w:rsidR="002C46FE">
              <w:rPr>
                <w:rFonts w:ascii="TimesNewRomanPSMT" w:hAnsi="TimesNewRomanPSMT" w:cs="TimesNewRomanPSMT" w:eastAsiaTheme="minorHAnsi"/>
                <w14:ligatures w14:val="standardContextual"/>
              </w:rPr>
              <w:t>.</w:t>
            </w:r>
          </w:p>
          <w:p w:rsidR="0074509F" w:rsidP="00786B2B" w:rsidRDefault="0074509F" w14:paraId="25E170E0" w14:textId="77777777">
            <w:pPr>
              <w:tabs>
                <w:tab w:val="left" w:pos="1440"/>
              </w:tabs>
              <w:spacing w:after="240"/>
            </w:pPr>
            <w:r>
              <w:t xml:space="preserve">UCAN did not contribute to the rest of the issues mentioned in the claim; however, the claim includes hours of participation </w:t>
            </w:r>
            <w:proofErr w:type="gramStart"/>
            <w:r>
              <w:t>on</w:t>
            </w:r>
            <w:proofErr w:type="gramEnd"/>
            <w:r>
              <w:t xml:space="preserve"> all of them. Based on the value of UCAN’s contribution, we allow a portion of the hours reasonably required to make UCAN’s contribution. UCAN spent the following hours preparing the pleadings: </w:t>
            </w:r>
          </w:p>
          <w:p w:rsidR="0074509F" w:rsidP="00786B2B" w:rsidRDefault="0074509F" w14:paraId="54B411D9" w14:textId="39FDC06E">
            <w:pPr>
              <w:tabs>
                <w:tab w:val="left" w:pos="1440"/>
              </w:tabs>
              <w:spacing w:after="240"/>
            </w:pPr>
            <w:r w:rsidRPr="00E1738A">
              <w:rPr>
                <w:u w:val="single"/>
              </w:rPr>
              <w:t>2020</w:t>
            </w:r>
            <w:r>
              <w:t>. Edward Lopez spent approximately 18.25 hours preparing UCAN’s pleadings, Susan Baldw</w:t>
            </w:r>
            <w:r w:rsidR="00ED7FF9">
              <w:t>i</w:t>
            </w:r>
            <w:r>
              <w:t xml:space="preserve">n – 9.50 hours, and Tim Howington spent 0.50 hours. </w:t>
            </w:r>
          </w:p>
          <w:p w:rsidR="0074509F" w:rsidP="00786B2B" w:rsidRDefault="0074509F" w14:paraId="1B1D8ED2" w14:textId="56CBFD86">
            <w:pPr>
              <w:tabs>
                <w:tab w:val="left" w:pos="1440"/>
              </w:tabs>
              <w:spacing w:after="240"/>
              <w:rPr>
                <w:color w:val="000000"/>
              </w:rPr>
            </w:pPr>
            <w:r w:rsidRPr="00E1738A">
              <w:rPr>
                <w:color w:val="000000"/>
                <w:u w:val="single"/>
              </w:rPr>
              <w:lastRenderedPageBreak/>
              <w:t>2021</w:t>
            </w:r>
            <w:r>
              <w:rPr>
                <w:color w:val="000000"/>
              </w:rPr>
              <w:t xml:space="preserve">. Edward Lopez spent </w:t>
            </w:r>
            <w:r>
              <w:t xml:space="preserve">approximately </w:t>
            </w:r>
            <w:r>
              <w:rPr>
                <w:color w:val="000000"/>
              </w:rPr>
              <w:t>77.00 hours preparing UCAN’s pleadings, Susan Baldw</w:t>
            </w:r>
            <w:r w:rsidR="00ED7FF9">
              <w:rPr>
                <w:color w:val="000000"/>
              </w:rPr>
              <w:t>i</w:t>
            </w:r>
            <w:r>
              <w:rPr>
                <w:color w:val="000000"/>
              </w:rPr>
              <w:t xml:space="preserve">n – 31.50 hour, and Tim Howington – 4.25 hours. </w:t>
            </w:r>
          </w:p>
          <w:p w:rsidR="0074509F" w:rsidP="00786B2B" w:rsidRDefault="0074509F" w14:paraId="57FCD1B9" w14:textId="6AC9D50B">
            <w:pPr>
              <w:tabs>
                <w:tab w:val="left" w:pos="1440"/>
              </w:tabs>
              <w:spacing w:after="240"/>
            </w:pPr>
            <w:r w:rsidRPr="00CE09D8">
              <w:rPr>
                <w:color w:val="000000"/>
                <w:u w:val="single"/>
              </w:rPr>
              <w:t>2022</w:t>
            </w:r>
            <w:r>
              <w:rPr>
                <w:color w:val="000000"/>
              </w:rPr>
              <w:t xml:space="preserve">. Edward Lopez spent </w:t>
            </w:r>
            <w:r>
              <w:t xml:space="preserve">approximately </w:t>
            </w:r>
            <w:r>
              <w:rPr>
                <w:color w:val="000000"/>
              </w:rPr>
              <w:t>8.75 hours preparing UCAN’s pleadings, and Susan Baldw</w:t>
            </w:r>
            <w:r w:rsidR="00ED7FF9">
              <w:rPr>
                <w:color w:val="000000"/>
              </w:rPr>
              <w:t>i</w:t>
            </w:r>
            <w:r>
              <w:rPr>
                <w:color w:val="000000"/>
              </w:rPr>
              <w:t xml:space="preserve">n – 11.25 hours. </w:t>
            </w:r>
          </w:p>
          <w:p w:rsidR="0074509F" w:rsidP="00786B2B" w:rsidRDefault="0074509F" w14:paraId="19069255" w14:textId="77777777">
            <w:pPr>
              <w:tabs>
                <w:tab w:val="left" w:pos="1440"/>
              </w:tabs>
              <w:spacing w:after="240"/>
            </w:pPr>
            <w:r>
              <w:t xml:space="preserve">Because UCAN’s effort is not commensurate with the contribution, we disallow </w:t>
            </w:r>
            <w:r w:rsidRPr="00905AB6">
              <w:t>75%</w:t>
            </w:r>
            <w:r>
              <w:t xml:space="preserve"> of the above hours. We note that the Commission has made significant reductions to the costs where no substantial contribution was found.</w:t>
            </w:r>
            <w:r>
              <w:rPr>
                <w:rStyle w:val="FootnoteReference"/>
              </w:rPr>
              <w:footnoteReference w:id="3"/>
            </w:r>
          </w:p>
          <w:p w:rsidRPr="005C17DA" w:rsidR="0074509F" w:rsidP="00786B2B" w:rsidRDefault="0074509F" w14:paraId="2C287E7A" w14:textId="77777777">
            <w:pPr>
              <w:tabs>
                <w:tab w:val="left" w:pos="1440"/>
              </w:tabs>
              <w:spacing w:after="240"/>
              <w:rPr>
                <w:b/>
                <w:bCs/>
                <w:color w:val="000000"/>
              </w:rPr>
            </w:pPr>
            <w:r w:rsidRPr="005C17DA">
              <w:rPr>
                <w:b/>
                <w:bCs/>
                <w:color w:val="000000"/>
              </w:rPr>
              <w:t>Non-Compensable Costs</w:t>
            </w:r>
            <w:r>
              <w:rPr>
                <w:b/>
                <w:bCs/>
                <w:color w:val="000000"/>
              </w:rPr>
              <w:t xml:space="preserve"> (administrative costs; unproductive and excessive efforts)</w:t>
            </w:r>
            <w:r>
              <w:rPr>
                <w:rStyle w:val="FootnoteReference"/>
                <w:b/>
                <w:bCs/>
                <w:color w:val="000000"/>
              </w:rPr>
              <w:footnoteReference w:id="4"/>
            </w:r>
          </w:p>
          <w:p w:rsidR="0074509F" w:rsidP="00786B2B" w:rsidRDefault="0074509F" w14:paraId="2888DF9F" w14:textId="77777777">
            <w:pPr>
              <w:tabs>
                <w:tab w:val="left" w:pos="1440"/>
              </w:tabs>
              <w:spacing w:after="240"/>
              <w:rPr>
                <w:color w:val="000000"/>
              </w:rPr>
            </w:pPr>
            <w:r w:rsidRPr="007B4B2E">
              <w:rPr>
                <w:color w:val="000000"/>
                <w:u w:val="single"/>
              </w:rPr>
              <w:t>Non-compensable administrative tasks</w:t>
            </w:r>
            <w:r>
              <w:rPr>
                <w:color w:val="000000"/>
              </w:rPr>
              <w:t xml:space="preserve">: Edward Lopez (2020) – 0.75 hour spent on the letter of engagement with expert (10/14 and 10/20) are in the administrative costs category that are embedded in the professional hourly rates, and therefore non-compensable. </w:t>
            </w:r>
          </w:p>
          <w:p w:rsidR="0074509F" w:rsidP="00786B2B" w:rsidRDefault="0074509F" w14:paraId="25F78D50" w14:textId="2C0A5DC7">
            <w:pPr>
              <w:tabs>
                <w:tab w:val="left" w:pos="1440"/>
              </w:tabs>
              <w:spacing w:after="240"/>
              <w:rPr>
                <w:color w:val="000000"/>
              </w:rPr>
            </w:pPr>
            <w:r w:rsidRPr="007B4B2E">
              <w:rPr>
                <w:color w:val="000000"/>
                <w:u w:val="single"/>
              </w:rPr>
              <w:t xml:space="preserve">Excessive communications </w:t>
            </w:r>
            <w:r>
              <w:rPr>
                <w:color w:val="000000"/>
                <w:u w:val="single"/>
              </w:rPr>
              <w:t>between</w:t>
            </w:r>
            <w:r w:rsidRPr="007B4B2E">
              <w:rPr>
                <w:color w:val="000000"/>
                <w:u w:val="single"/>
              </w:rPr>
              <w:t xml:space="preserve"> UCAN’s representatives</w:t>
            </w:r>
            <w:r>
              <w:rPr>
                <w:color w:val="000000"/>
              </w:rPr>
              <w:t xml:space="preserve">. We allow compensation for initial communications with the expert. However, spending hours coordinating is excessive and inefficient, and </w:t>
            </w:r>
            <w:r w:rsidR="008D487F">
              <w:rPr>
                <w:color w:val="000000"/>
              </w:rPr>
              <w:t>is</w:t>
            </w:r>
            <w:r>
              <w:rPr>
                <w:color w:val="000000"/>
              </w:rPr>
              <w:t xml:space="preserve"> disallowed, as follows:</w:t>
            </w:r>
            <w:r>
              <w:rPr>
                <w:rStyle w:val="FootnoteReference"/>
                <w:color w:val="000000"/>
              </w:rPr>
              <w:footnoteReference w:id="5"/>
            </w:r>
            <w:r>
              <w:rPr>
                <w:color w:val="000000"/>
              </w:rPr>
              <w:t xml:space="preserve"> </w:t>
            </w:r>
          </w:p>
          <w:p w:rsidR="0074509F" w:rsidP="00786B2B" w:rsidRDefault="0074509F" w14:paraId="24F4F288" w14:textId="74627FB8">
            <w:pPr>
              <w:tabs>
                <w:tab w:val="left" w:pos="1440"/>
              </w:tabs>
              <w:spacing w:after="240"/>
              <w:rPr>
                <w:color w:val="000000"/>
              </w:rPr>
            </w:pPr>
            <w:r>
              <w:rPr>
                <w:color w:val="000000"/>
              </w:rPr>
              <w:t>Edward Lopez (2020) – 2.50 hours (time records entries of 10/21, 10/28; 11/05; and 11/25</w:t>
            </w:r>
            <w:r w:rsidR="0023103D">
              <w:rPr>
                <w:color w:val="000000"/>
              </w:rPr>
              <w:t>),</w:t>
            </w:r>
            <w:r>
              <w:rPr>
                <w:color w:val="000000"/>
              </w:rPr>
              <w:t xml:space="preserve"> (included in this entry is also a review of the Prehearing Conference (PHC) transcript, which is an inefficient use of time for someone who participated in the event). </w:t>
            </w:r>
          </w:p>
          <w:p w:rsidR="0074509F" w:rsidP="00786B2B" w:rsidRDefault="0074509F" w14:paraId="64091549" w14:textId="77777777">
            <w:pPr>
              <w:tabs>
                <w:tab w:val="left" w:pos="1440"/>
              </w:tabs>
              <w:spacing w:after="240"/>
              <w:rPr>
                <w:color w:val="000000"/>
              </w:rPr>
            </w:pPr>
            <w:r>
              <w:rPr>
                <w:color w:val="000000"/>
              </w:rPr>
              <w:t>Edward Lopez (2021) – 12.51 hours (time records entries of 1/13, 1/14; 1/20; 2/12; 4/26; 5/28; 6/14; 6/23; 7/13; 7/23; 8/20; 9/2; 9/3; 9/27; 10/26; and 11/23).</w:t>
            </w:r>
          </w:p>
          <w:p w:rsidR="0074509F" w:rsidP="00786B2B" w:rsidRDefault="0074509F" w14:paraId="4B826F1B" w14:textId="77777777">
            <w:pPr>
              <w:tabs>
                <w:tab w:val="left" w:pos="1440"/>
              </w:tabs>
              <w:spacing w:after="240"/>
              <w:rPr>
                <w:color w:val="000000"/>
              </w:rPr>
            </w:pPr>
            <w:r>
              <w:rPr>
                <w:color w:val="000000"/>
              </w:rPr>
              <w:t>Eward Lopez (2022) – 1.0 hour (time record of 3/8).</w:t>
            </w:r>
          </w:p>
          <w:p w:rsidR="0074509F" w:rsidP="00581FC3" w:rsidRDefault="0074509F" w14:paraId="2554DE8A" w14:textId="60934EFB">
            <w:pPr>
              <w:tabs>
                <w:tab w:val="left" w:pos="1440"/>
              </w:tabs>
              <w:spacing w:after="240"/>
              <w:rPr>
                <w:color w:val="000000"/>
              </w:rPr>
            </w:pPr>
            <w:r>
              <w:rPr>
                <w:color w:val="000000"/>
              </w:rPr>
              <w:t>Susan Baldw</w:t>
            </w:r>
            <w:r w:rsidR="00ED7FF9">
              <w:rPr>
                <w:color w:val="000000"/>
              </w:rPr>
              <w:t>i</w:t>
            </w:r>
            <w:r>
              <w:rPr>
                <w:color w:val="000000"/>
              </w:rPr>
              <w:t>n (2020) – 3.00 (time record of 11/10). (The time record reflects attending the PHC, in which Lopez participated, and discussing it with Lopez. The purpose of the PHC was to discuss the scope and schedule of the proceeding. Given UCAN’s participation in this proceeding, the presence of two representatives at the PHC, was unnecessary and unproductive.)</w:t>
            </w:r>
            <w:r w:rsidR="00565C82">
              <w:rPr>
                <w:color w:val="000000"/>
              </w:rPr>
              <w:t xml:space="preserve"> </w:t>
            </w:r>
            <w:r>
              <w:rPr>
                <w:color w:val="000000"/>
              </w:rPr>
              <w:t>Baldwin (2021) – 2.63 (time records of 1/14; 6/14; 7/13; and 11/25</w:t>
            </w:r>
            <w:r w:rsidR="00F43C8E">
              <w:rPr>
                <w:color w:val="000000"/>
              </w:rPr>
              <w:t>)</w:t>
            </w:r>
            <w:r>
              <w:rPr>
                <w:color w:val="000000"/>
              </w:rPr>
              <w:t>.</w:t>
            </w:r>
            <w:r w:rsidR="00565C82">
              <w:rPr>
                <w:color w:val="000000"/>
              </w:rPr>
              <w:t xml:space="preserve">  </w:t>
            </w:r>
            <w:r>
              <w:rPr>
                <w:color w:val="000000"/>
              </w:rPr>
              <w:t>Baldw</w:t>
            </w:r>
            <w:r w:rsidR="00ED7FF9">
              <w:rPr>
                <w:color w:val="000000"/>
              </w:rPr>
              <w:t>i</w:t>
            </w:r>
            <w:r>
              <w:rPr>
                <w:color w:val="000000"/>
              </w:rPr>
              <w:t>n (2022) – 0.25 (time record of 3/8).</w:t>
            </w:r>
          </w:p>
          <w:p w:rsidR="0074509F" w:rsidP="00581FC3" w:rsidRDefault="0074509F" w14:paraId="43EA0942" w14:textId="5B80175E">
            <w:pPr>
              <w:tabs>
                <w:tab w:val="left" w:pos="1440"/>
              </w:tabs>
              <w:spacing w:after="240"/>
              <w:rPr>
                <w:color w:val="000000"/>
              </w:rPr>
            </w:pPr>
            <w:r w:rsidRPr="00626D88">
              <w:rPr>
                <w:color w:val="000000"/>
                <w:u w:val="single"/>
              </w:rPr>
              <w:t xml:space="preserve">Activities that did not </w:t>
            </w:r>
            <w:proofErr w:type="gramStart"/>
            <w:r w:rsidRPr="00626D88">
              <w:rPr>
                <w:color w:val="000000"/>
                <w:u w:val="single"/>
              </w:rPr>
              <w:t>contribute and</w:t>
            </w:r>
            <w:proofErr w:type="gramEnd"/>
            <w:r w:rsidRPr="00626D88">
              <w:rPr>
                <w:color w:val="000000"/>
                <w:u w:val="single"/>
              </w:rPr>
              <w:t xml:space="preserve"> were unnecessarily time-consuming</w:t>
            </w:r>
            <w:r>
              <w:rPr>
                <w:color w:val="000000"/>
              </w:rPr>
              <w:t>.</w:t>
            </w:r>
          </w:p>
          <w:p w:rsidR="0074509F" w:rsidP="00581FC3" w:rsidRDefault="0074509F" w14:paraId="0471FA81" w14:textId="070810D5">
            <w:pPr>
              <w:tabs>
                <w:tab w:val="left" w:pos="1440"/>
              </w:tabs>
              <w:spacing w:after="240"/>
              <w:rPr>
                <w:color w:val="000000"/>
              </w:rPr>
            </w:pPr>
            <w:r>
              <w:rPr>
                <w:color w:val="000000"/>
              </w:rPr>
              <w:t xml:space="preserve">UCAN spent hours reviewing and reading parties’ reply comments (the final round of the comments), but this activity did not provide value to UCAN’s contributions. Therefore, we reduce, as unproductive, </w:t>
            </w:r>
            <w:r w:rsidR="007E1FE5">
              <w:rPr>
                <w:color w:val="000000"/>
              </w:rPr>
              <w:t xml:space="preserve">75% of the </w:t>
            </w:r>
            <w:r>
              <w:rPr>
                <w:color w:val="000000"/>
              </w:rPr>
              <w:t>hours spent reading parties’ reply comments, as follows:</w:t>
            </w:r>
          </w:p>
          <w:p w:rsidR="0074509F" w:rsidP="00581FC3" w:rsidRDefault="0074509F" w14:paraId="23A3CBF4" w14:textId="45056294">
            <w:pPr>
              <w:shd w:val="clear" w:color="auto" w:fill="FFFFFF" w:themeFill="background1"/>
              <w:tabs>
                <w:tab w:val="left" w:pos="1440"/>
              </w:tabs>
              <w:spacing w:after="240"/>
              <w:rPr>
                <w:color w:val="000000"/>
              </w:rPr>
            </w:pPr>
            <w:r>
              <w:rPr>
                <w:color w:val="000000"/>
              </w:rPr>
              <w:lastRenderedPageBreak/>
              <w:t>Edward Lopez (2020) – 9.25 hours (time records of 10/28, 10/29, 10/30, 11/02, 11/06 (this entry also includes a repeat reading of the OIR), 11/09, 05/18, and 05/19)</w:t>
            </w:r>
            <w:r w:rsidR="005C0A5F">
              <w:rPr>
                <w:color w:val="000000"/>
              </w:rPr>
              <w:t xml:space="preserve"> reduced to </w:t>
            </w:r>
            <w:r w:rsidR="00631263">
              <w:rPr>
                <w:color w:val="000000"/>
              </w:rPr>
              <w:t>6.</w:t>
            </w:r>
            <w:r w:rsidR="00335C9D">
              <w:rPr>
                <w:color w:val="000000"/>
              </w:rPr>
              <w:t>9</w:t>
            </w:r>
            <w:r w:rsidR="00631263">
              <w:rPr>
                <w:color w:val="000000"/>
              </w:rPr>
              <w:t>4</w:t>
            </w:r>
            <w:r>
              <w:rPr>
                <w:color w:val="000000"/>
              </w:rPr>
              <w:t xml:space="preserve">. </w:t>
            </w:r>
          </w:p>
          <w:p w:rsidR="0074509F" w:rsidP="00581FC3" w:rsidRDefault="0074509F" w14:paraId="5DD4261B" w14:textId="15BFAF2F">
            <w:pPr>
              <w:shd w:val="clear" w:color="auto" w:fill="FFFFFF" w:themeFill="background1"/>
              <w:tabs>
                <w:tab w:val="left" w:pos="1440"/>
              </w:tabs>
              <w:spacing w:after="240"/>
              <w:rPr>
                <w:color w:val="000000"/>
              </w:rPr>
            </w:pPr>
            <w:r>
              <w:rPr>
                <w:color w:val="000000"/>
              </w:rPr>
              <w:t>Edward Lopez (2021) – 6.0 hours (time records of 01/20, 03/05, and 07/27)</w:t>
            </w:r>
            <w:r w:rsidR="005C0A5F">
              <w:rPr>
                <w:color w:val="000000"/>
              </w:rPr>
              <w:t xml:space="preserve"> reduced to </w:t>
            </w:r>
            <w:r w:rsidR="00631263">
              <w:rPr>
                <w:color w:val="000000"/>
              </w:rPr>
              <w:t>4.5</w:t>
            </w:r>
            <w:r>
              <w:rPr>
                <w:color w:val="000000"/>
              </w:rPr>
              <w:t xml:space="preserve">. </w:t>
            </w:r>
          </w:p>
          <w:p w:rsidR="0074509F" w:rsidP="00581FC3" w:rsidRDefault="0074509F" w14:paraId="2EC6CB2D" w14:textId="5B1E5F85">
            <w:pPr>
              <w:shd w:val="clear" w:color="auto" w:fill="FFFFFF" w:themeFill="background1"/>
              <w:tabs>
                <w:tab w:val="left" w:pos="1440"/>
              </w:tabs>
              <w:spacing w:after="240"/>
              <w:rPr>
                <w:color w:val="000000"/>
              </w:rPr>
            </w:pPr>
            <w:r>
              <w:rPr>
                <w:color w:val="000000"/>
              </w:rPr>
              <w:t>Edward Lopez (2022) – 1.50 (time record of 03/28)</w:t>
            </w:r>
            <w:r w:rsidR="005C0A5F">
              <w:rPr>
                <w:color w:val="000000"/>
              </w:rPr>
              <w:t xml:space="preserve"> reduced to </w:t>
            </w:r>
            <w:r w:rsidR="00335C9D">
              <w:rPr>
                <w:color w:val="000000"/>
              </w:rPr>
              <w:t>1.13</w:t>
            </w:r>
            <w:r>
              <w:rPr>
                <w:color w:val="000000"/>
              </w:rPr>
              <w:t>.</w:t>
            </w:r>
          </w:p>
          <w:p w:rsidR="0074509F" w:rsidP="00581FC3" w:rsidRDefault="0074509F" w14:paraId="1B6D505F" w14:textId="0E49E261">
            <w:pPr>
              <w:shd w:val="clear" w:color="auto" w:fill="FFFFFF" w:themeFill="background1"/>
              <w:tabs>
                <w:tab w:val="left" w:pos="1440"/>
              </w:tabs>
              <w:spacing w:after="240"/>
              <w:rPr>
                <w:color w:val="000000"/>
              </w:rPr>
            </w:pPr>
            <w:r>
              <w:rPr>
                <w:color w:val="000000"/>
              </w:rPr>
              <w:t>Susan Baldw</w:t>
            </w:r>
            <w:r w:rsidR="00ED7FF9">
              <w:rPr>
                <w:color w:val="000000"/>
              </w:rPr>
              <w:t>i</w:t>
            </w:r>
            <w:r>
              <w:rPr>
                <w:color w:val="000000"/>
              </w:rPr>
              <w:t>n (2020) – 1.00 (time records of 10/30)</w:t>
            </w:r>
            <w:r w:rsidR="005C0A5F">
              <w:rPr>
                <w:color w:val="000000"/>
              </w:rPr>
              <w:t xml:space="preserve"> reduced to .</w:t>
            </w:r>
            <w:r w:rsidR="00335C9D">
              <w:rPr>
                <w:color w:val="000000"/>
              </w:rPr>
              <w:t>7</w:t>
            </w:r>
            <w:r w:rsidR="005C0A5F">
              <w:rPr>
                <w:color w:val="000000"/>
              </w:rPr>
              <w:t>5</w:t>
            </w:r>
          </w:p>
          <w:p w:rsidR="0074509F" w:rsidP="00581FC3" w:rsidRDefault="0074509F" w14:paraId="4BB109E1" w14:textId="437E6BFE">
            <w:pPr>
              <w:shd w:val="clear" w:color="auto" w:fill="FFFFFF" w:themeFill="background1"/>
              <w:tabs>
                <w:tab w:val="left" w:pos="1440"/>
              </w:tabs>
              <w:spacing w:after="240"/>
              <w:rPr>
                <w:color w:val="000000"/>
              </w:rPr>
            </w:pPr>
            <w:r>
              <w:rPr>
                <w:color w:val="000000"/>
              </w:rPr>
              <w:t>Susan Baldw</w:t>
            </w:r>
            <w:r w:rsidR="00ED7FF9">
              <w:rPr>
                <w:color w:val="000000"/>
              </w:rPr>
              <w:t>i</w:t>
            </w:r>
            <w:r>
              <w:rPr>
                <w:color w:val="000000"/>
              </w:rPr>
              <w:t>n (2021) – 1.00 (time record of 05/18)</w:t>
            </w:r>
            <w:r w:rsidR="005C0A5F">
              <w:rPr>
                <w:color w:val="000000"/>
              </w:rPr>
              <w:t xml:space="preserve"> reduced to .</w:t>
            </w:r>
            <w:r w:rsidR="00335C9D">
              <w:rPr>
                <w:color w:val="000000"/>
              </w:rPr>
              <w:t>7</w:t>
            </w:r>
            <w:r w:rsidR="005C0A5F">
              <w:rPr>
                <w:color w:val="000000"/>
              </w:rPr>
              <w:t>5</w:t>
            </w:r>
            <w:r>
              <w:rPr>
                <w:color w:val="000000"/>
              </w:rPr>
              <w:t>.</w:t>
            </w:r>
          </w:p>
          <w:p w:rsidRPr="004B2DBB" w:rsidR="0074509F" w:rsidP="00581FC3" w:rsidRDefault="0074509F" w14:paraId="61D4CD82" w14:textId="77777777">
            <w:pPr>
              <w:shd w:val="clear" w:color="auto" w:fill="FFFFFF" w:themeFill="background1"/>
              <w:tabs>
                <w:tab w:val="left" w:pos="1440"/>
              </w:tabs>
              <w:spacing w:after="240"/>
              <w:rPr>
                <w:color w:val="000000"/>
                <w:u w:val="single"/>
              </w:rPr>
            </w:pPr>
            <w:r w:rsidRPr="004B2DBB">
              <w:rPr>
                <w:color w:val="000000"/>
                <w:u w:val="single"/>
              </w:rPr>
              <w:t>Excessive Time Preparing the Claim</w:t>
            </w:r>
          </w:p>
          <w:p w:rsidR="0074509F" w:rsidP="00581FC3" w:rsidRDefault="0074509F" w14:paraId="3BDCED16" w14:textId="46F8220E">
            <w:pPr>
              <w:shd w:val="clear" w:color="auto" w:fill="FFFFFF" w:themeFill="background1"/>
              <w:tabs>
                <w:tab w:val="left" w:pos="1440"/>
              </w:tabs>
              <w:spacing w:after="240"/>
              <w:rPr>
                <w:color w:val="000000"/>
              </w:rPr>
            </w:pPr>
            <w:r>
              <w:rPr>
                <w:color w:val="000000"/>
              </w:rPr>
              <w:t xml:space="preserve">UCAN spent </w:t>
            </w:r>
            <w:r w:rsidR="00820A25">
              <w:rPr>
                <w:color w:val="000000"/>
              </w:rPr>
              <w:t>a</w:t>
            </w:r>
            <w:r>
              <w:rPr>
                <w:color w:val="000000"/>
              </w:rPr>
              <w:t xml:space="preserve"> total of 18.75 hours preparing the intervenor compensation claim. We have already mentioned </w:t>
            </w:r>
            <w:r w:rsidR="00820A25">
              <w:rPr>
                <w:color w:val="000000"/>
              </w:rPr>
              <w:t>excessive</w:t>
            </w:r>
            <w:r>
              <w:rPr>
                <w:color w:val="000000"/>
              </w:rPr>
              <w:t xml:space="preserve"> use of the general statements, a lack of supporting references to the Commission’s record, and an untenable allocation of hours by issue. </w:t>
            </w:r>
          </w:p>
          <w:p w:rsidR="0074509F" w:rsidP="00581FC3" w:rsidRDefault="0074509F" w14:paraId="25803E4F" w14:textId="6401D76C">
            <w:pPr>
              <w:shd w:val="clear" w:color="auto" w:fill="FFFFFF" w:themeFill="background1"/>
              <w:tabs>
                <w:tab w:val="left" w:pos="1440"/>
              </w:tabs>
              <w:spacing w:after="240"/>
              <w:rPr>
                <w:color w:val="000000"/>
              </w:rPr>
            </w:pPr>
            <w:r>
              <w:rPr>
                <w:color w:val="000000"/>
              </w:rPr>
              <w:t>Further, the time records inappropriately combine several tasks in a single entry.</w:t>
            </w:r>
            <w:r>
              <w:rPr>
                <w:rStyle w:val="FootnoteReference"/>
                <w:color w:val="000000"/>
              </w:rPr>
              <w:footnoteReference w:id="6"/>
            </w:r>
            <w:r>
              <w:rPr>
                <w:color w:val="000000"/>
              </w:rPr>
              <w:t xml:space="preserve"> The records are also often unclear as to the activities undertaken – apparently, UCAN was counting on the Commission to determine what exactly an individual UCAN’s representative was doing and on what issue.</w:t>
            </w:r>
            <w:r>
              <w:rPr>
                <w:rStyle w:val="FootnoteReference"/>
                <w:color w:val="000000"/>
              </w:rPr>
              <w:footnoteReference w:id="7"/>
            </w:r>
            <w:r>
              <w:rPr>
                <w:color w:val="000000"/>
              </w:rPr>
              <w:t xml:space="preserve"> Given the claim’s deficiencies, we reduce the claim preparation time by half, as follows: Lopez – 7.0 hours; Baldw</w:t>
            </w:r>
            <w:r w:rsidR="00ED7FF9">
              <w:rPr>
                <w:color w:val="000000"/>
              </w:rPr>
              <w:t>i</w:t>
            </w:r>
            <w:r>
              <w:rPr>
                <w:color w:val="000000"/>
              </w:rPr>
              <w:t xml:space="preserve">n – 1.5 hours. </w:t>
            </w:r>
          </w:p>
          <w:p w:rsidRPr="005C17DA" w:rsidR="0074509F" w:rsidP="00581FC3" w:rsidRDefault="0074509F" w14:paraId="43E323F5" w14:textId="37F681A1">
            <w:pPr>
              <w:shd w:val="clear" w:color="auto" w:fill="FFFFFF" w:themeFill="background1"/>
              <w:tabs>
                <w:tab w:val="left" w:pos="1440"/>
              </w:tabs>
              <w:spacing w:after="240"/>
              <w:rPr>
                <w:color w:val="000000"/>
              </w:rPr>
            </w:pPr>
          </w:p>
        </w:tc>
      </w:tr>
    </w:tbl>
    <w:p w:rsidR="00F04A40" w:rsidP="00F04A40" w:rsidRDefault="00F04A40" w14:paraId="36F9DD93" w14:textId="77777777"/>
    <w:p w:rsidRPr="00581FC3" w:rsidR="00F04A40" w:rsidP="00581FC3" w:rsidRDefault="00F04A40" w14:paraId="6A44640E" w14:textId="77777777"/>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523"/>
        <w:gridCol w:w="7837"/>
      </w:tblGrid>
      <w:tr w:rsidRPr="00B72876" w:rsidR="00A92D0B" w:rsidTr="00A71B0A" w14:paraId="52CD0603" w14:textId="10C08805">
        <w:trPr>
          <w:tblHeader/>
        </w:trPr>
        <w:tc>
          <w:tcPr>
            <w:tcW w:w="1523" w:type="dxa"/>
            <w:shd w:val="pct12" w:color="auto" w:fill="auto"/>
          </w:tcPr>
          <w:p w:rsidRPr="00B72876" w:rsidR="00A92D0B" w:rsidP="00EB64CF" w:rsidRDefault="00072C81" w14:paraId="3954EC4C" w14:textId="2C0F3435">
            <w:pPr>
              <w:tabs>
                <w:tab w:val="left" w:pos="1440"/>
              </w:tabs>
              <w:jc w:val="center"/>
              <w:rPr>
                <w:b/>
                <w:color w:val="000000"/>
              </w:rPr>
            </w:pPr>
            <w:r w:rsidRPr="00B72876">
              <w:rPr>
                <w:b/>
                <w:color w:val="000000"/>
              </w:rPr>
              <w:t>Item</w:t>
            </w:r>
          </w:p>
        </w:tc>
        <w:tc>
          <w:tcPr>
            <w:tcW w:w="7837" w:type="dxa"/>
            <w:shd w:val="pct12" w:color="auto" w:fill="auto"/>
          </w:tcPr>
          <w:p w:rsidRPr="00B72876" w:rsidR="00A92D0B" w:rsidP="00EB64CF" w:rsidRDefault="00A92D0B" w14:paraId="09F9E4D9" w14:textId="258F97D5">
            <w:pPr>
              <w:tabs>
                <w:tab w:val="left" w:pos="1440"/>
              </w:tabs>
              <w:jc w:val="center"/>
              <w:rPr>
                <w:b/>
                <w:color w:val="000000"/>
              </w:rPr>
            </w:pPr>
            <w:r w:rsidRPr="00B72876">
              <w:rPr>
                <w:b/>
                <w:color w:val="000000"/>
              </w:rPr>
              <w:t>Reason</w:t>
            </w:r>
          </w:p>
        </w:tc>
      </w:tr>
      <w:tr w:rsidRPr="00B72876" w:rsidR="00A92D0B" w:rsidTr="00A71B0A" w14:paraId="69DEE01C" w14:textId="0A676BD7">
        <w:tc>
          <w:tcPr>
            <w:tcW w:w="1523" w:type="dxa"/>
            <w:shd w:val="clear" w:color="auto" w:fill="auto"/>
          </w:tcPr>
          <w:p w:rsidRPr="00B72876" w:rsidR="00A92D0B" w:rsidP="007D4102" w:rsidRDefault="007D4102" w14:paraId="1E6C8F3D" w14:textId="6142F97C">
            <w:pPr>
              <w:tabs>
                <w:tab w:val="left" w:pos="1440"/>
              </w:tabs>
              <w:jc w:val="center"/>
              <w:rPr>
                <w:color w:val="000000"/>
              </w:rPr>
            </w:pPr>
            <w:r>
              <w:rPr>
                <w:color w:val="000000"/>
              </w:rPr>
              <w:t>[</w:t>
            </w:r>
            <w:r w:rsidR="00905AB6">
              <w:rPr>
                <w:color w:val="000000"/>
              </w:rPr>
              <w:t>2</w:t>
            </w:r>
            <w:r>
              <w:rPr>
                <w:color w:val="000000"/>
              </w:rPr>
              <w:t>]</w:t>
            </w:r>
          </w:p>
        </w:tc>
        <w:tc>
          <w:tcPr>
            <w:tcW w:w="7837" w:type="dxa"/>
            <w:shd w:val="clear" w:color="auto" w:fill="auto"/>
          </w:tcPr>
          <w:p w:rsidRPr="00B72876" w:rsidR="00A92D0B" w:rsidP="00EB64CF" w:rsidRDefault="007D4102" w14:paraId="45BFCB16" w14:textId="058769EC">
            <w:pPr>
              <w:tabs>
                <w:tab w:val="left" w:pos="1440"/>
              </w:tabs>
              <w:rPr>
                <w:color w:val="000000"/>
              </w:rPr>
            </w:pPr>
            <w:r>
              <w:rPr>
                <w:color w:val="000000"/>
              </w:rPr>
              <w:t xml:space="preserve">Per D.22-08-021, </w:t>
            </w:r>
            <w:r w:rsidR="00082C47">
              <w:rPr>
                <w:color w:val="000000"/>
              </w:rPr>
              <w:t xml:space="preserve">Mr. </w:t>
            </w:r>
            <w:r>
              <w:rPr>
                <w:color w:val="000000"/>
              </w:rPr>
              <w:t xml:space="preserve">Lopez’s established rate </w:t>
            </w:r>
            <w:r w:rsidR="000B0746">
              <w:rPr>
                <w:color w:val="000000"/>
              </w:rPr>
              <w:t>for</w:t>
            </w:r>
            <w:r>
              <w:rPr>
                <w:color w:val="000000"/>
              </w:rPr>
              <w:t xml:space="preserve"> 2021 is $440.</w:t>
            </w:r>
          </w:p>
        </w:tc>
      </w:tr>
      <w:tr w:rsidRPr="00B72876" w:rsidR="00A92D0B" w:rsidTr="00A71B0A" w14:paraId="52155EFC" w14:textId="73FE038D">
        <w:tc>
          <w:tcPr>
            <w:tcW w:w="1523" w:type="dxa"/>
            <w:shd w:val="clear" w:color="auto" w:fill="auto"/>
          </w:tcPr>
          <w:p w:rsidRPr="00B72876" w:rsidR="00A92D0B" w:rsidP="007D4102" w:rsidRDefault="007D4102" w14:paraId="26487933" w14:textId="6169EAA1">
            <w:pPr>
              <w:tabs>
                <w:tab w:val="left" w:pos="1440"/>
              </w:tabs>
              <w:jc w:val="center"/>
              <w:rPr>
                <w:color w:val="000000"/>
              </w:rPr>
            </w:pPr>
            <w:r>
              <w:rPr>
                <w:color w:val="000000"/>
              </w:rPr>
              <w:t>[</w:t>
            </w:r>
            <w:r w:rsidR="00905AB6">
              <w:rPr>
                <w:color w:val="000000"/>
              </w:rPr>
              <w:t>3</w:t>
            </w:r>
            <w:r>
              <w:rPr>
                <w:color w:val="000000"/>
              </w:rPr>
              <w:t>]</w:t>
            </w:r>
          </w:p>
        </w:tc>
        <w:tc>
          <w:tcPr>
            <w:tcW w:w="7837" w:type="dxa"/>
            <w:shd w:val="clear" w:color="auto" w:fill="auto"/>
          </w:tcPr>
          <w:p w:rsidRPr="00B72876" w:rsidR="00A92D0B" w:rsidP="00EB64CF" w:rsidRDefault="007D4102" w14:paraId="455E6A00" w14:textId="63EECE90">
            <w:pPr>
              <w:tabs>
                <w:tab w:val="left" w:pos="1440"/>
              </w:tabs>
              <w:rPr>
                <w:color w:val="000000"/>
              </w:rPr>
            </w:pPr>
            <w:r>
              <w:rPr>
                <w:color w:val="000000"/>
              </w:rPr>
              <w:t xml:space="preserve">Per D.23-05-022, </w:t>
            </w:r>
            <w:r w:rsidR="00082C47">
              <w:rPr>
                <w:color w:val="000000"/>
              </w:rPr>
              <w:t xml:space="preserve">Mr. </w:t>
            </w:r>
            <w:r>
              <w:rPr>
                <w:color w:val="000000"/>
              </w:rPr>
              <w:t xml:space="preserve">Lopez’s established rate </w:t>
            </w:r>
            <w:r w:rsidR="000B0746">
              <w:rPr>
                <w:color w:val="000000"/>
              </w:rPr>
              <w:t>for</w:t>
            </w:r>
            <w:r>
              <w:rPr>
                <w:color w:val="000000"/>
              </w:rPr>
              <w:t xml:space="preserve"> 2022 is $455</w:t>
            </w:r>
          </w:p>
        </w:tc>
      </w:tr>
      <w:tr w:rsidRPr="00B72876" w:rsidR="007D4102" w:rsidTr="00A71B0A" w14:paraId="32A3D1C7" w14:textId="32508BA8">
        <w:tc>
          <w:tcPr>
            <w:tcW w:w="1523" w:type="dxa"/>
            <w:shd w:val="clear" w:color="auto" w:fill="auto"/>
          </w:tcPr>
          <w:p w:rsidRPr="00B72876" w:rsidR="007D4102" w:rsidP="007D4102" w:rsidRDefault="000B0746" w14:paraId="3E80E417" w14:textId="375B0180">
            <w:pPr>
              <w:tabs>
                <w:tab w:val="left" w:pos="1440"/>
              </w:tabs>
              <w:jc w:val="center"/>
              <w:rPr>
                <w:color w:val="000000"/>
              </w:rPr>
            </w:pPr>
            <w:r>
              <w:rPr>
                <w:color w:val="000000"/>
              </w:rPr>
              <w:lastRenderedPageBreak/>
              <w:t>[</w:t>
            </w:r>
            <w:r w:rsidR="00905AB6">
              <w:rPr>
                <w:color w:val="000000"/>
              </w:rPr>
              <w:t>4</w:t>
            </w:r>
            <w:r>
              <w:rPr>
                <w:color w:val="000000"/>
              </w:rPr>
              <w:t>]</w:t>
            </w:r>
          </w:p>
        </w:tc>
        <w:tc>
          <w:tcPr>
            <w:tcW w:w="7837" w:type="dxa"/>
            <w:shd w:val="clear" w:color="auto" w:fill="auto"/>
          </w:tcPr>
          <w:p w:rsidR="00F115E9" w:rsidP="00EB64CF" w:rsidRDefault="00FB3CF5" w14:paraId="4FA67D03" w14:textId="77777777">
            <w:pPr>
              <w:tabs>
                <w:tab w:val="left" w:pos="1440"/>
              </w:tabs>
            </w:pPr>
            <w:r w:rsidRPr="00115BD7">
              <w:t xml:space="preserve">The Commission requested supplemental documentation to confirm the rate charged by Ms. Baldwin. </w:t>
            </w:r>
          </w:p>
          <w:p w:rsidR="00F115E9" w:rsidP="00EB64CF" w:rsidRDefault="00F115E9" w14:paraId="5DBA63FD" w14:textId="77777777">
            <w:pPr>
              <w:tabs>
                <w:tab w:val="left" w:pos="1440"/>
              </w:tabs>
            </w:pPr>
          </w:p>
          <w:p w:rsidR="00DA7AED" w:rsidP="00EB64CF" w:rsidRDefault="00F115E9" w14:paraId="78359D5D" w14:textId="383F49EE">
            <w:pPr>
              <w:tabs>
                <w:tab w:val="left" w:pos="1440"/>
              </w:tabs>
            </w:pPr>
            <w:r w:rsidRPr="00DA7AED">
              <w:t>Pursuant to Commission policy, the rate requested by an intervenor must not exceed the rate billed to that intervenor by any outside consultant it hires, even if the consultant’s billed rate is below the floor for a given experience level.</w:t>
            </w:r>
            <w:r w:rsidRPr="00DA7AED">
              <w:rPr>
                <w:vertAlign w:val="superscript"/>
              </w:rPr>
              <w:footnoteReference w:id="8"/>
            </w:r>
            <w:r w:rsidRPr="00DA7AED">
              <w:t xml:space="preserve">  </w:t>
            </w:r>
            <w:r w:rsidRPr="004F5787" w:rsidR="00592F7F">
              <w:rPr>
                <w:color w:val="000000"/>
              </w:rPr>
              <w:t xml:space="preserve">Per the </w:t>
            </w:r>
            <w:proofErr w:type="spellStart"/>
            <w:r w:rsidRPr="004F5787" w:rsidR="00592F7F">
              <w:rPr>
                <w:color w:val="000000"/>
              </w:rPr>
              <w:t>IComp</w:t>
            </w:r>
            <w:proofErr w:type="spellEnd"/>
            <w:r w:rsidRPr="004F5787" w:rsidR="00592F7F">
              <w:rPr>
                <w:color w:val="000000"/>
              </w:rPr>
              <w:t xml:space="preserve"> Program Guide at 24, the Commission may audit the records and books of the intervenors to the extent necessary to verify the basis for the award (§ 1804(d)).</w:t>
            </w:r>
            <w:r w:rsidR="00592F7F">
              <w:rPr>
                <w:color w:val="000000"/>
              </w:rPr>
              <w:t xml:space="preserve">  </w:t>
            </w:r>
            <w:r>
              <w:t xml:space="preserve">UCAN </w:t>
            </w:r>
            <w:r w:rsidRPr="00115BD7" w:rsidR="00FB3CF5">
              <w:t xml:space="preserve">has confirmed that Ms. Baldwin serves </w:t>
            </w:r>
            <w:r w:rsidR="00EA0FA8">
              <w:rPr>
                <w:color w:val="000000"/>
              </w:rPr>
              <w:t>as</w:t>
            </w:r>
            <w:r w:rsidRPr="005D2787" w:rsidR="00EA0FA8">
              <w:rPr>
                <w:color w:val="000000"/>
              </w:rPr>
              <w:t xml:space="preserve"> a consultant</w:t>
            </w:r>
            <w:r w:rsidRPr="00115BD7" w:rsidR="00EA0FA8">
              <w:t xml:space="preserve"> </w:t>
            </w:r>
            <w:r w:rsidR="00EA0FA8">
              <w:t xml:space="preserve">for </w:t>
            </w:r>
            <w:r w:rsidRPr="00115BD7" w:rsidR="00FB3CF5">
              <w:t xml:space="preserve">UCAN under contract on a contingency basis. </w:t>
            </w:r>
          </w:p>
          <w:p w:rsidR="00DA7AED" w:rsidP="00EB64CF" w:rsidRDefault="00DA7AED" w14:paraId="3D9B899D" w14:textId="77777777">
            <w:pPr>
              <w:tabs>
                <w:tab w:val="left" w:pos="1440"/>
              </w:tabs>
            </w:pPr>
          </w:p>
          <w:p w:rsidR="007D4102" w:rsidP="00EB64CF" w:rsidRDefault="00FB3CF5" w14:paraId="257387F1" w14:textId="77777777">
            <w:pPr>
              <w:tabs>
                <w:tab w:val="left" w:pos="1440"/>
              </w:tabs>
              <w:rPr>
                <w:color w:val="000000"/>
              </w:rPr>
            </w:pPr>
            <w:r w:rsidRPr="00115BD7">
              <w:t>We therefore adjust and utilize the reasonable rates by</w:t>
            </w:r>
            <w:r>
              <w:rPr>
                <w:color w:val="000000"/>
              </w:rPr>
              <w:t xml:space="preserve"> a</w:t>
            </w:r>
            <w:r w:rsidR="000B0746">
              <w:rPr>
                <w:color w:val="000000"/>
              </w:rPr>
              <w:t xml:space="preserve">dopting $215 rate for </w:t>
            </w:r>
            <w:r w:rsidR="00082C47">
              <w:rPr>
                <w:color w:val="000000"/>
              </w:rPr>
              <w:t xml:space="preserve">Ms. </w:t>
            </w:r>
            <w:r w:rsidR="000B0746">
              <w:rPr>
                <w:color w:val="000000"/>
              </w:rPr>
              <w:t>Baldwin for 2020</w:t>
            </w:r>
            <w:r w:rsidR="007220E4">
              <w:rPr>
                <w:color w:val="000000"/>
              </w:rPr>
              <w:t xml:space="preserve"> for work in this proceeding</w:t>
            </w:r>
            <w:r w:rsidR="000B0746">
              <w:rPr>
                <w:color w:val="000000"/>
              </w:rPr>
              <w:t xml:space="preserve">. New rate based on </w:t>
            </w:r>
            <w:r w:rsidR="00082C47">
              <w:rPr>
                <w:color w:val="000000"/>
              </w:rPr>
              <w:t xml:space="preserve">Ms. </w:t>
            </w:r>
            <w:r w:rsidR="000B0746">
              <w:rPr>
                <w:color w:val="000000"/>
              </w:rPr>
              <w:t>Baldwin’s 2016 rate adjusted to reflect Resolution ALJ-345 (2.14% COLA for 2017), Resolution ALJ-352 (2.30% COLA for 2018), Resolution ALJ-357 (2.35% COLA for 2018), Resolution ALJ-2.35% COLA for 2019), and Resolution ALJ-387 (2.55% COLA for 2020).</w:t>
            </w:r>
          </w:p>
          <w:p w:rsidR="009E1287" w:rsidP="00EB64CF" w:rsidRDefault="009E1287" w14:paraId="506255AC" w14:textId="77777777">
            <w:pPr>
              <w:tabs>
                <w:tab w:val="left" w:pos="1440"/>
              </w:tabs>
              <w:rPr>
                <w:color w:val="000000"/>
              </w:rPr>
            </w:pPr>
          </w:p>
          <w:p w:rsidR="009E1287" w:rsidP="00EB64CF" w:rsidRDefault="009E1287" w14:paraId="543008F9" w14:textId="77777777">
            <w:pPr>
              <w:tabs>
                <w:tab w:val="left" w:pos="1440"/>
              </w:tabs>
            </w:pPr>
            <w:r>
              <w:t>The award determined herein for the consultant’s contribution in this proceeding shall be paid in full to</w:t>
            </w:r>
            <w:r w:rsidRPr="00910CD9">
              <w:t xml:space="preserve"> </w:t>
            </w:r>
            <w:r>
              <w:t xml:space="preserve">the consultant, and no portion of this part of the award shall be kept by the intervenor. </w:t>
            </w:r>
          </w:p>
          <w:p w:rsidR="00C703EC" w:rsidP="00EB64CF" w:rsidRDefault="00C703EC" w14:paraId="2AA3D955" w14:textId="77777777">
            <w:pPr>
              <w:tabs>
                <w:tab w:val="left" w:pos="1440"/>
              </w:tabs>
            </w:pPr>
          </w:p>
          <w:p w:rsidRPr="00554CB4" w:rsidR="00C703EC" w:rsidP="00EB64CF" w:rsidRDefault="00C703EC" w14:paraId="71BB1F11" w14:textId="6F03F6F1">
            <w:pPr>
              <w:tabs>
                <w:tab w:val="left" w:pos="1440"/>
              </w:tabs>
            </w:pPr>
            <w:r w:rsidRPr="00554CB4">
              <w:t xml:space="preserve">We reiterate that it is the responsibility of the intervenor to be forthcoming about engaging consultants and </w:t>
            </w:r>
            <w:r w:rsidRPr="00554CB4">
              <w:rPr>
                <w:i/>
                <w:iCs/>
                <w:u w:val="single"/>
              </w:rPr>
              <w:t>the terms of the contract</w:t>
            </w:r>
            <w:r w:rsidRPr="00554CB4">
              <w:t xml:space="preserve">, to adhere to the Commission’s policy on compensation for consultant fees, and to provide the appropriate documentation with the </w:t>
            </w:r>
            <w:r w:rsidRPr="00554CB4">
              <w:rPr>
                <w:i/>
                <w:iCs/>
              </w:rPr>
              <w:t>initial</w:t>
            </w:r>
            <w:r w:rsidRPr="00554CB4">
              <w:t xml:space="preserve"> claim to ensure efficient </w:t>
            </w:r>
            <w:proofErr w:type="gramStart"/>
            <w:r w:rsidRPr="00554CB4">
              <w:t>processing, and</w:t>
            </w:r>
            <w:proofErr w:type="gramEnd"/>
            <w:r w:rsidRPr="00554CB4">
              <w:t xml:space="preserve"> thus avoid the need for the Commission to request supplemental documentation. In this instance, </w:t>
            </w:r>
            <w:r>
              <w:t>UCAN</w:t>
            </w:r>
            <w:r w:rsidRPr="00554CB4">
              <w:t xml:space="preserve"> did not provide all the documentation pertaining to the contract terms between </w:t>
            </w:r>
            <w:r>
              <w:t xml:space="preserve">UCAN </w:t>
            </w:r>
            <w:r w:rsidRPr="00554CB4">
              <w:t xml:space="preserve">and </w:t>
            </w:r>
            <w:r>
              <w:rPr>
                <w:color w:val="000000"/>
              </w:rPr>
              <w:t>Ms. Baldwin</w:t>
            </w:r>
            <w:r w:rsidRPr="00554CB4">
              <w:t xml:space="preserve"> in the initial </w:t>
            </w:r>
            <w:r w:rsidRPr="00554CB4" w:rsidR="00395BE6">
              <w:t>claim and</w:t>
            </w:r>
            <w:r w:rsidRPr="00554CB4">
              <w:t xml:space="preserve"> waited until the Commission requested supplemental documentation.</w:t>
            </w:r>
          </w:p>
        </w:tc>
      </w:tr>
      <w:tr w:rsidRPr="00B72876" w:rsidR="007D4102" w:rsidTr="00A71B0A" w14:paraId="33A8420D" w14:textId="5B7BFF21">
        <w:tc>
          <w:tcPr>
            <w:tcW w:w="1523" w:type="dxa"/>
            <w:shd w:val="clear" w:color="auto" w:fill="auto"/>
          </w:tcPr>
          <w:p w:rsidRPr="00B72876" w:rsidR="007D4102" w:rsidP="007D4102" w:rsidRDefault="0096646D" w14:paraId="1E2780E0" w14:textId="39554B44">
            <w:pPr>
              <w:tabs>
                <w:tab w:val="left" w:pos="1440"/>
              </w:tabs>
              <w:jc w:val="center"/>
              <w:rPr>
                <w:color w:val="000000"/>
              </w:rPr>
            </w:pPr>
            <w:r>
              <w:rPr>
                <w:color w:val="000000"/>
              </w:rPr>
              <w:t>[</w:t>
            </w:r>
            <w:r w:rsidR="00905AB6">
              <w:rPr>
                <w:color w:val="000000"/>
              </w:rPr>
              <w:t>5</w:t>
            </w:r>
            <w:r>
              <w:rPr>
                <w:color w:val="000000"/>
              </w:rPr>
              <w:t>]</w:t>
            </w:r>
          </w:p>
        </w:tc>
        <w:tc>
          <w:tcPr>
            <w:tcW w:w="7837" w:type="dxa"/>
            <w:shd w:val="clear" w:color="auto" w:fill="auto"/>
          </w:tcPr>
          <w:p w:rsidRPr="00FB3CF5" w:rsidR="007D4102" w:rsidP="00E1180A" w:rsidRDefault="00E206B2" w14:paraId="6C87DFF9" w14:textId="06256055">
            <w:pPr>
              <w:tabs>
                <w:tab w:val="left" w:pos="1440"/>
              </w:tabs>
              <w:rPr>
                <w:color w:val="000000"/>
              </w:rPr>
            </w:pPr>
            <w:r w:rsidRPr="00FB3CF5">
              <w:t>The Commission requested supplemental documentation to confirm the rate charged by</w:t>
            </w:r>
            <w:r w:rsidRPr="00FB3CF5" w:rsidR="00082C47">
              <w:t xml:space="preserve"> Ms.</w:t>
            </w:r>
            <w:r w:rsidRPr="00FB3CF5">
              <w:t xml:space="preserve"> Baldwin. The Commission has confirmed that</w:t>
            </w:r>
            <w:r w:rsidRPr="00FB3CF5" w:rsidR="00082C47">
              <w:t xml:space="preserve"> Ms.</w:t>
            </w:r>
            <w:r w:rsidRPr="00FB3CF5">
              <w:t xml:space="preserve"> Baldwin serves </w:t>
            </w:r>
            <w:r w:rsidR="00EA0FA8">
              <w:t xml:space="preserve">as a consultant for </w:t>
            </w:r>
            <w:r w:rsidRPr="00FB3CF5">
              <w:t>UCAN under contract on a contingency basis. We therefore adjust and utilize the reasonable rates established by Resolution ALJ-393</w:t>
            </w:r>
            <w:r w:rsidRPr="00FB3CF5" w:rsidR="00C227D0">
              <w:t xml:space="preserve"> </w:t>
            </w:r>
            <w:r w:rsidRPr="00FB3CF5" w:rsidR="002A00E9">
              <w:t xml:space="preserve">and </w:t>
            </w:r>
            <w:r w:rsidRPr="00FB3CF5" w:rsidR="00DA0D2E">
              <w:rPr>
                <w:color w:val="000000"/>
              </w:rPr>
              <w:t>adopt</w:t>
            </w:r>
            <w:r w:rsidRPr="00FB3CF5" w:rsidR="005E6BAF">
              <w:rPr>
                <w:color w:val="000000"/>
              </w:rPr>
              <w:t xml:space="preserve"> $370 rate for</w:t>
            </w:r>
            <w:r w:rsidRPr="00FB3CF5" w:rsidR="00082C47">
              <w:rPr>
                <w:color w:val="000000"/>
              </w:rPr>
              <w:t xml:space="preserve"> Ms.</w:t>
            </w:r>
            <w:r w:rsidRPr="00FB3CF5" w:rsidR="005E6BAF">
              <w:rPr>
                <w:color w:val="000000"/>
              </w:rPr>
              <w:t xml:space="preserve"> Baldwin for 2021</w:t>
            </w:r>
            <w:r w:rsidR="00C703EC">
              <w:rPr>
                <w:color w:val="000000"/>
              </w:rPr>
              <w:t>for work in this proceeding</w:t>
            </w:r>
            <w:r w:rsidRPr="00FB3CF5" w:rsidR="005E6BAF">
              <w:rPr>
                <w:color w:val="000000"/>
              </w:rPr>
              <w:t xml:space="preserve"> </w:t>
            </w:r>
            <w:r w:rsidRPr="00FB3CF5" w:rsidR="00213E85">
              <w:rPr>
                <w:color w:val="000000"/>
              </w:rPr>
              <w:t>in the high range for a level V Expert Economist with 15 plus years of experience.</w:t>
            </w:r>
            <w:r w:rsidRPr="00FB3CF5" w:rsidR="00082C47">
              <w:rPr>
                <w:color w:val="000000"/>
              </w:rPr>
              <w:t xml:space="preserve"> Ms.</w:t>
            </w:r>
            <w:r w:rsidRPr="00FB3CF5" w:rsidR="00213E85">
              <w:rPr>
                <w:color w:val="000000"/>
              </w:rPr>
              <w:t xml:space="preserve"> Baldwin specializes in utility economics, regulation, and public policy. She has been actively involved in public policy for forty-four years, which includes thirty-eight years in telecommunications policy and regulation, and thirteen years in energy policy and regulation. </w:t>
            </w:r>
            <w:r w:rsidRPr="00FB3CF5" w:rsidR="00082C47">
              <w:rPr>
                <w:color w:val="000000"/>
              </w:rPr>
              <w:t xml:space="preserve">Ms. </w:t>
            </w:r>
            <w:r w:rsidRPr="00FB3CF5" w:rsidR="00213E85">
              <w:rPr>
                <w:color w:val="000000"/>
              </w:rPr>
              <w:t xml:space="preserve">Baldwin </w:t>
            </w:r>
            <w:r w:rsidRPr="00FB3CF5" w:rsidR="00213E85">
              <w:rPr>
                <w:color w:val="000000"/>
              </w:rPr>
              <w:lastRenderedPageBreak/>
              <w:t xml:space="preserve">received her Master of Economics from Boston University, her Master of Public Policy from Harvard University’s Kennedy School of Government, and her Bachelor of Arts degree in Mathematics and English from Wellesley College.  </w:t>
            </w:r>
          </w:p>
        </w:tc>
      </w:tr>
      <w:tr w:rsidRPr="00B72876" w:rsidR="0096646D" w:rsidTr="00A71B0A" w14:paraId="3844AF07" w14:textId="75116B31">
        <w:tc>
          <w:tcPr>
            <w:tcW w:w="1523" w:type="dxa"/>
            <w:shd w:val="clear" w:color="auto" w:fill="auto"/>
          </w:tcPr>
          <w:p w:rsidRPr="00B72876" w:rsidR="0096646D" w:rsidP="007D4102" w:rsidRDefault="0096646D" w14:paraId="681C15BC" w14:textId="18353949">
            <w:pPr>
              <w:tabs>
                <w:tab w:val="left" w:pos="1440"/>
              </w:tabs>
              <w:jc w:val="center"/>
              <w:rPr>
                <w:color w:val="000000"/>
              </w:rPr>
            </w:pPr>
            <w:r>
              <w:rPr>
                <w:color w:val="000000"/>
              </w:rPr>
              <w:lastRenderedPageBreak/>
              <w:t>[</w:t>
            </w:r>
            <w:r w:rsidR="00905AB6">
              <w:rPr>
                <w:color w:val="000000"/>
              </w:rPr>
              <w:t>6</w:t>
            </w:r>
            <w:r>
              <w:rPr>
                <w:color w:val="000000"/>
              </w:rPr>
              <w:t>]</w:t>
            </w:r>
          </w:p>
        </w:tc>
        <w:tc>
          <w:tcPr>
            <w:tcW w:w="7837" w:type="dxa"/>
            <w:shd w:val="clear" w:color="auto" w:fill="auto"/>
          </w:tcPr>
          <w:p w:rsidRPr="00FB3CF5" w:rsidR="0096646D" w:rsidP="00E1180A" w:rsidRDefault="00E206B2" w14:paraId="187AC0D7" w14:textId="71DC83FD">
            <w:pPr>
              <w:tabs>
                <w:tab w:val="left" w:pos="1440"/>
              </w:tabs>
              <w:rPr>
                <w:color w:val="000000"/>
              </w:rPr>
            </w:pPr>
            <w:r w:rsidRPr="00FB3CF5">
              <w:t>The Commission requested supplemental documentation to confirm the rate charged by</w:t>
            </w:r>
            <w:r w:rsidRPr="00FB3CF5" w:rsidR="00082C47">
              <w:t xml:space="preserve"> Ms.</w:t>
            </w:r>
            <w:r w:rsidRPr="00FB3CF5">
              <w:t xml:space="preserve"> Baldwin. The Commission has confirmed that </w:t>
            </w:r>
            <w:r w:rsidRPr="00FB3CF5" w:rsidR="00082C47">
              <w:t>Ms. Baldwin</w:t>
            </w:r>
            <w:r w:rsidRPr="00FB3CF5">
              <w:t xml:space="preserve"> serves </w:t>
            </w:r>
            <w:r w:rsidR="00EA0FA8">
              <w:t xml:space="preserve">as a consultant for </w:t>
            </w:r>
            <w:r w:rsidRPr="00FB3CF5">
              <w:t>UCAN under contract on a contingency basis.</w:t>
            </w:r>
            <w:r w:rsidR="004B0E7E">
              <w:t xml:space="preserve"> </w:t>
            </w:r>
            <w:r w:rsidRPr="00FB3CF5">
              <w:t>We therefore adjust and utilize the reasonable rates established by Resolution ALJ-393</w:t>
            </w:r>
            <w:r w:rsidRPr="00FB3CF5" w:rsidR="002A00E9">
              <w:t xml:space="preserve"> and</w:t>
            </w:r>
            <w:r w:rsidRPr="00FB3CF5" w:rsidR="00E1180A">
              <w:t xml:space="preserve"> </w:t>
            </w:r>
            <w:r w:rsidRPr="00FB3CF5" w:rsidR="00E1180A">
              <w:rPr>
                <w:color w:val="000000"/>
              </w:rPr>
              <w:t>a</w:t>
            </w:r>
            <w:r w:rsidRPr="00FB3CF5" w:rsidR="00B14530">
              <w:rPr>
                <w:color w:val="000000"/>
              </w:rPr>
              <w:t>dopt $380 rate for</w:t>
            </w:r>
            <w:r w:rsidRPr="00FB3CF5" w:rsidR="00082C47">
              <w:rPr>
                <w:color w:val="000000"/>
              </w:rPr>
              <w:t xml:space="preserve"> Ms.</w:t>
            </w:r>
            <w:r w:rsidRPr="00FB3CF5" w:rsidR="00B14530">
              <w:rPr>
                <w:color w:val="000000"/>
              </w:rPr>
              <w:t xml:space="preserve"> Baldwin for 2022 based on </w:t>
            </w:r>
            <w:r w:rsidRPr="00FB3CF5" w:rsidR="00082C47">
              <w:rPr>
                <w:color w:val="000000"/>
              </w:rPr>
              <w:t xml:space="preserve">Ms. </w:t>
            </w:r>
            <w:r w:rsidRPr="00FB3CF5" w:rsidR="00B14530">
              <w:rPr>
                <w:color w:val="000000"/>
              </w:rPr>
              <w:t>Baldwin’s 2021 rate adjusted to reflect Resolution ALJ-393 2022 escalation rate of 3.35%.</w:t>
            </w:r>
          </w:p>
        </w:tc>
      </w:tr>
      <w:tr w:rsidRPr="00B72876" w:rsidR="0096646D" w:rsidTr="00A71B0A" w14:paraId="0E40FC26" w14:textId="53D394D0">
        <w:tc>
          <w:tcPr>
            <w:tcW w:w="1523" w:type="dxa"/>
            <w:shd w:val="clear" w:color="auto" w:fill="auto"/>
          </w:tcPr>
          <w:p w:rsidRPr="00B72876" w:rsidR="0096646D" w:rsidP="007D4102" w:rsidRDefault="0096646D" w14:paraId="461BFF37" w14:textId="4CE3673B">
            <w:pPr>
              <w:tabs>
                <w:tab w:val="left" w:pos="1440"/>
              </w:tabs>
              <w:jc w:val="center"/>
              <w:rPr>
                <w:color w:val="000000"/>
              </w:rPr>
            </w:pPr>
            <w:r>
              <w:rPr>
                <w:color w:val="000000"/>
              </w:rPr>
              <w:t>[</w:t>
            </w:r>
            <w:r w:rsidR="00905AB6">
              <w:rPr>
                <w:color w:val="000000"/>
              </w:rPr>
              <w:t>7</w:t>
            </w:r>
            <w:r>
              <w:rPr>
                <w:color w:val="000000"/>
              </w:rPr>
              <w:t>]</w:t>
            </w:r>
          </w:p>
        </w:tc>
        <w:tc>
          <w:tcPr>
            <w:tcW w:w="7837" w:type="dxa"/>
            <w:shd w:val="clear" w:color="auto" w:fill="auto"/>
          </w:tcPr>
          <w:p w:rsidR="00EA0FA8" w:rsidP="00425692" w:rsidRDefault="00FB3CF5" w14:paraId="034D764D" w14:textId="77777777">
            <w:pPr>
              <w:pStyle w:val="Default"/>
            </w:pPr>
            <w:r w:rsidRPr="00C227D0">
              <w:t xml:space="preserve">The Commission requested supplemental documentation to confirm the rate charged by Howington. The Commission has confirmed that Howington serves </w:t>
            </w:r>
            <w:r w:rsidR="00C703EC">
              <w:t xml:space="preserve">as a consultant </w:t>
            </w:r>
            <w:r w:rsidR="00EA0FA8">
              <w:t xml:space="preserve">for </w:t>
            </w:r>
            <w:r w:rsidRPr="00C227D0">
              <w:t>UCAN under contract on a contingency basis.</w:t>
            </w:r>
            <w:r>
              <w:t xml:space="preserve"> </w:t>
            </w:r>
          </w:p>
          <w:p w:rsidR="00EA0FA8" w:rsidP="00425692" w:rsidRDefault="00EA0FA8" w14:paraId="4BE5A3F4" w14:textId="77777777">
            <w:pPr>
              <w:pStyle w:val="Default"/>
            </w:pPr>
          </w:p>
          <w:p w:rsidR="0096646D" w:rsidP="00425692" w:rsidRDefault="00FB3CF5" w14:paraId="39E76EA9" w14:textId="77777777">
            <w:pPr>
              <w:pStyle w:val="Default"/>
            </w:pPr>
            <w:r w:rsidRPr="00C227D0">
              <w:t>We therefore adjust and utilize the reasonable rates</w:t>
            </w:r>
            <w:r w:rsidRPr="00FB3CF5" w:rsidR="004B0E7E">
              <w:t xml:space="preserve"> established by Resolution ALJ-393</w:t>
            </w:r>
            <w:r>
              <w:t xml:space="preserve"> </w:t>
            </w:r>
            <w:r w:rsidR="004B0E7E">
              <w:t>and</w:t>
            </w:r>
            <w:r>
              <w:t xml:space="preserve"> a</w:t>
            </w:r>
            <w:r w:rsidR="0096646D">
              <w:t>dopt $200 rate for</w:t>
            </w:r>
            <w:r w:rsidR="00082C47">
              <w:t xml:space="preserve"> Mr.</w:t>
            </w:r>
            <w:r w:rsidR="0096646D">
              <w:t xml:space="preserve"> Howington for 2020</w:t>
            </w:r>
            <w:r w:rsidR="00EA0FA8">
              <w:t xml:space="preserve"> for </w:t>
            </w:r>
            <w:r w:rsidR="00C32C3E">
              <w:t>work in this proceeding</w:t>
            </w:r>
            <w:r w:rsidR="0096646D">
              <w:t xml:space="preserve">. New rate based on Resolution ALJ-387 for 2020 for an expert with 13 plus years of experience. </w:t>
            </w:r>
            <w:r w:rsidRPr="007B2BF1" w:rsidR="0096646D">
              <w:t>Mr. Howington has over twenty years of experience</w:t>
            </w:r>
            <w:r w:rsidR="0096646D">
              <w:t xml:space="preserve"> in </w:t>
            </w:r>
            <w:r w:rsidRPr="007B2BF1" w:rsidR="0096646D">
              <w:t>economic development, utility regulation,</w:t>
            </w:r>
            <w:r w:rsidR="0096646D">
              <w:t xml:space="preserve"> etc. </w:t>
            </w:r>
            <w:r w:rsidRPr="007B2BF1" w:rsidR="0096646D">
              <w:t>Mr. Howington earned an M.S. in Geo-Information Science from Salem State University, an M.A. in Economics from Boston University, and a B.A. in Near Eastern Languages and Civilizations from the University of Chicago. Mr. Howington has contributed to multiple telecommunication and energy regulatory proceedings since 2003.</w:t>
            </w:r>
          </w:p>
          <w:p w:rsidR="00C32C3E" w:rsidP="00425692" w:rsidRDefault="00C32C3E" w14:paraId="1166DA40" w14:textId="77777777">
            <w:pPr>
              <w:pStyle w:val="Default"/>
            </w:pPr>
          </w:p>
          <w:p w:rsidR="00C32C3E" w:rsidP="00C32C3E" w:rsidRDefault="00C32C3E" w14:paraId="380685FC" w14:textId="77777777">
            <w:pPr>
              <w:tabs>
                <w:tab w:val="left" w:pos="1440"/>
              </w:tabs>
            </w:pPr>
            <w:r>
              <w:t>The award determined herein for the consultant’s contribution in this proceeding shall be paid in full to</w:t>
            </w:r>
            <w:r w:rsidRPr="00910CD9">
              <w:t xml:space="preserve"> </w:t>
            </w:r>
            <w:r>
              <w:t xml:space="preserve">the consultant, and no portion of this part of the award shall be kept by the intervenor. </w:t>
            </w:r>
          </w:p>
          <w:p w:rsidR="00C32C3E" w:rsidP="00C32C3E" w:rsidRDefault="00C32C3E" w14:paraId="6D4EDB0D" w14:textId="77777777">
            <w:pPr>
              <w:tabs>
                <w:tab w:val="left" w:pos="1440"/>
              </w:tabs>
            </w:pPr>
          </w:p>
          <w:p w:rsidRPr="00B72876" w:rsidR="00C32C3E" w:rsidP="00C32C3E" w:rsidRDefault="00C32C3E" w14:paraId="3B1ACD41" w14:textId="5B426ADD">
            <w:pPr>
              <w:pStyle w:val="Default"/>
            </w:pPr>
            <w:r w:rsidRPr="00554CB4">
              <w:t xml:space="preserve">We reiterate that it is the responsibility of the intervenor to be forthcoming about engaging consultants and </w:t>
            </w:r>
            <w:r w:rsidRPr="00554CB4">
              <w:rPr>
                <w:i/>
                <w:iCs/>
                <w:u w:val="single"/>
              </w:rPr>
              <w:t>the terms of the contract</w:t>
            </w:r>
            <w:r w:rsidRPr="00554CB4">
              <w:t xml:space="preserve">, to adhere to the Commission’s policy on compensation for consultant fees, and to provide the appropriate documentation with the </w:t>
            </w:r>
            <w:r w:rsidRPr="00554CB4">
              <w:rPr>
                <w:i/>
                <w:iCs/>
              </w:rPr>
              <w:t>initial</w:t>
            </w:r>
            <w:r w:rsidRPr="00554CB4">
              <w:t xml:space="preserve"> claim to ensure efficient </w:t>
            </w:r>
            <w:proofErr w:type="gramStart"/>
            <w:r w:rsidRPr="00554CB4">
              <w:t>processing, and</w:t>
            </w:r>
            <w:proofErr w:type="gramEnd"/>
            <w:r w:rsidRPr="00554CB4">
              <w:t xml:space="preserve"> thus avoid the need for the Commission to request supplemental documentation. In this instance, </w:t>
            </w:r>
            <w:r>
              <w:t>UCAN</w:t>
            </w:r>
            <w:r w:rsidRPr="00554CB4">
              <w:t xml:space="preserve"> did not provide all the documentation pertaining to the contract terms between </w:t>
            </w:r>
            <w:r>
              <w:t xml:space="preserve">UCAN </w:t>
            </w:r>
            <w:r w:rsidRPr="00554CB4">
              <w:t xml:space="preserve">and </w:t>
            </w:r>
            <w:r>
              <w:t xml:space="preserve">Mr. Howington </w:t>
            </w:r>
            <w:r w:rsidRPr="00554CB4">
              <w:t>in the initial claim and waited until the Commission requested supplemental documentation.</w:t>
            </w:r>
          </w:p>
        </w:tc>
      </w:tr>
      <w:tr w:rsidRPr="00B72876" w:rsidR="0096646D" w:rsidTr="00A71B0A" w14:paraId="0487988C" w14:textId="4761E80C">
        <w:tc>
          <w:tcPr>
            <w:tcW w:w="1523" w:type="dxa"/>
            <w:shd w:val="clear" w:color="auto" w:fill="auto"/>
          </w:tcPr>
          <w:p w:rsidRPr="00B72876" w:rsidR="0096646D" w:rsidP="007D4102" w:rsidRDefault="0092725B" w14:paraId="61C05E91" w14:textId="4AFC27BC">
            <w:pPr>
              <w:tabs>
                <w:tab w:val="left" w:pos="1440"/>
              </w:tabs>
              <w:jc w:val="center"/>
              <w:rPr>
                <w:color w:val="000000"/>
              </w:rPr>
            </w:pPr>
            <w:r>
              <w:rPr>
                <w:color w:val="000000"/>
              </w:rPr>
              <w:t>[</w:t>
            </w:r>
            <w:r w:rsidR="00905AB6">
              <w:rPr>
                <w:color w:val="000000"/>
              </w:rPr>
              <w:t>8</w:t>
            </w:r>
            <w:r>
              <w:rPr>
                <w:color w:val="000000"/>
              </w:rPr>
              <w:t>]</w:t>
            </w:r>
          </w:p>
        </w:tc>
        <w:tc>
          <w:tcPr>
            <w:tcW w:w="7837" w:type="dxa"/>
            <w:shd w:val="clear" w:color="auto" w:fill="auto"/>
          </w:tcPr>
          <w:p w:rsidRPr="00C227D0" w:rsidR="0096646D" w:rsidP="00E1180A" w:rsidRDefault="00E206B2" w14:paraId="2BF8D81D" w14:textId="6FA88FA7">
            <w:pPr>
              <w:tabs>
                <w:tab w:val="left" w:pos="1440"/>
              </w:tabs>
              <w:rPr>
                <w:color w:val="000000"/>
              </w:rPr>
            </w:pPr>
            <w:r w:rsidRPr="00C227D0">
              <w:t xml:space="preserve">The Commission requested supplemental documentation to confirm the rate charged by Howington. The Commission has confirmed that Howington serves </w:t>
            </w:r>
            <w:r w:rsidR="00C32C3E">
              <w:t xml:space="preserve">as a consultant for </w:t>
            </w:r>
            <w:r w:rsidRPr="00C227D0">
              <w:t>UCAN under contract on a contingency basis.</w:t>
            </w:r>
            <w:r w:rsidR="00C227D0">
              <w:t xml:space="preserve"> </w:t>
            </w:r>
            <w:r w:rsidRPr="00C227D0">
              <w:t>We therefore adjust and utilize the reasonable rates established by Resolution ALJ-393</w:t>
            </w:r>
            <w:r w:rsidRPr="00C227D0" w:rsidR="00C227D0">
              <w:t xml:space="preserve"> and</w:t>
            </w:r>
            <w:r w:rsidRPr="00C227D0" w:rsidR="00E1180A">
              <w:t xml:space="preserve"> </w:t>
            </w:r>
            <w:r w:rsidRPr="00C227D0" w:rsidR="00E1180A">
              <w:rPr>
                <w:color w:val="000000"/>
              </w:rPr>
              <w:lastRenderedPageBreak/>
              <w:t>a</w:t>
            </w:r>
            <w:r w:rsidRPr="00C227D0" w:rsidR="005552F2">
              <w:rPr>
                <w:color w:val="000000"/>
              </w:rPr>
              <w:t>dopt</w:t>
            </w:r>
            <w:r w:rsidR="00F24F41">
              <w:rPr>
                <w:color w:val="000000"/>
              </w:rPr>
              <w:t xml:space="preserve"> </w:t>
            </w:r>
            <w:r w:rsidRPr="00C227D0" w:rsidR="005552F2">
              <w:rPr>
                <w:color w:val="000000"/>
              </w:rPr>
              <w:t>$225 rate for Howington for 2021</w:t>
            </w:r>
            <w:r w:rsidRPr="00C227D0" w:rsidR="005E6BAF">
              <w:rPr>
                <w:color w:val="000000"/>
              </w:rPr>
              <w:t>between the low and median range for a level V Expert Economist with 15 plus years of experience.</w:t>
            </w:r>
          </w:p>
        </w:tc>
      </w:tr>
      <w:tr w:rsidRPr="00B72876" w:rsidR="00E44BF4" w:rsidTr="00A71B0A" w14:paraId="475B8ECB" w14:textId="45EA64C0">
        <w:tc>
          <w:tcPr>
            <w:tcW w:w="1523" w:type="dxa"/>
            <w:shd w:val="clear" w:color="auto" w:fill="auto"/>
          </w:tcPr>
          <w:p w:rsidR="00E44BF4" w:rsidP="00E44BF4" w:rsidRDefault="00E44BF4" w14:paraId="5909DFAC" w14:textId="468D4751">
            <w:pPr>
              <w:tabs>
                <w:tab w:val="left" w:pos="1440"/>
              </w:tabs>
              <w:jc w:val="center"/>
              <w:rPr>
                <w:color w:val="000000"/>
              </w:rPr>
            </w:pPr>
            <w:r>
              <w:rPr>
                <w:color w:val="000000"/>
              </w:rPr>
              <w:lastRenderedPageBreak/>
              <w:t>[</w:t>
            </w:r>
            <w:r w:rsidR="00905AB6">
              <w:rPr>
                <w:color w:val="000000"/>
              </w:rPr>
              <w:t>9</w:t>
            </w:r>
            <w:r>
              <w:rPr>
                <w:color w:val="000000"/>
              </w:rPr>
              <w:t>]</w:t>
            </w:r>
          </w:p>
        </w:tc>
        <w:tc>
          <w:tcPr>
            <w:tcW w:w="7837" w:type="dxa"/>
            <w:shd w:val="clear" w:color="auto" w:fill="auto"/>
          </w:tcPr>
          <w:p w:rsidR="00E44BF4" w:rsidP="00E44BF4" w:rsidRDefault="00E44BF4" w14:paraId="6AD6A3EC" w14:textId="41507020">
            <w:pPr>
              <w:tabs>
                <w:tab w:val="left" w:pos="1440"/>
              </w:tabs>
              <w:rPr>
                <w:color w:val="000000"/>
              </w:rPr>
            </w:pPr>
            <w:r>
              <w:rPr>
                <w:color w:val="000000"/>
              </w:rPr>
              <w:t>Adopted rate for Lopez in 2020 is $335. $167.50 will be used since claim preparation is compensated at ½ the preparers usual rate.</w:t>
            </w:r>
          </w:p>
        </w:tc>
      </w:tr>
      <w:tr w:rsidRPr="00B72876" w:rsidR="00E44BF4" w:rsidTr="00A71B0A" w14:paraId="2F87601B" w14:textId="3485103F">
        <w:tc>
          <w:tcPr>
            <w:tcW w:w="1523" w:type="dxa"/>
            <w:shd w:val="clear" w:color="auto" w:fill="auto"/>
          </w:tcPr>
          <w:p w:rsidR="00E44BF4" w:rsidP="00E44BF4" w:rsidRDefault="00E44BF4" w14:paraId="28F75D8E" w14:textId="34F5B71B">
            <w:pPr>
              <w:tabs>
                <w:tab w:val="left" w:pos="1440"/>
              </w:tabs>
              <w:jc w:val="center"/>
              <w:rPr>
                <w:color w:val="000000"/>
              </w:rPr>
            </w:pPr>
            <w:r>
              <w:rPr>
                <w:color w:val="000000"/>
              </w:rPr>
              <w:t>[</w:t>
            </w:r>
            <w:r w:rsidR="00905AB6">
              <w:rPr>
                <w:color w:val="000000"/>
              </w:rPr>
              <w:t>10</w:t>
            </w:r>
            <w:r>
              <w:rPr>
                <w:color w:val="000000"/>
              </w:rPr>
              <w:t>]</w:t>
            </w:r>
          </w:p>
        </w:tc>
        <w:tc>
          <w:tcPr>
            <w:tcW w:w="7837" w:type="dxa"/>
            <w:shd w:val="clear" w:color="auto" w:fill="auto"/>
          </w:tcPr>
          <w:p w:rsidR="00E44BF4" w:rsidP="00E44BF4" w:rsidRDefault="00E44BF4" w14:paraId="34CCCAA8" w14:textId="2D6FC92A">
            <w:pPr>
              <w:tabs>
                <w:tab w:val="left" w:pos="1440"/>
              </w:tabs>
              <w:rPr>
                <w:color w:val="000000"/>
              </w:rPr>
            </w:pPr>
            <w:r>
              <w:rPr>
                <w:color w:val="000000"/>
              </w:rPr>
              <w:t>Adopted rate for Lopez in 2022 is $455. $227.50 will be used since claim preparation is compensated at ½ the preparers usual rate.</w:t>
            </w:r>
          </w:p>
        </w:tc>
      </w:tr>
      <w:tr w:rsidRPr="00B72876" w:rsidR="00E44BF4" w:rsidTr="00A71B0A" w14:paraId="599BFF62" w14:textId="2BBC1F6E">
        <w:tc>
          <w:tcPr>
            <w:tcW w:w="1523" w:type="dxa"/>
            <w:shd w:val="clear" w:color="auto" w:fill="auto"/>
          </w:tcPr>
          <w:p w:rsidRPr="00B72876" w:rsidR="00E44BF4" w:rsidP="00E44BF4" w:rsidRDefault="00E44BF4" w14:paraId="151666D7" w14:textId="517E67FD">
            <w:pPr>
              <w:tabs>
                <w:tab w:val="left" w:pos="1440"/>
              </w:tabs>
              <w:jc w:val="center"/>
              <w:rPr>
                <w:color w:val="000000"/>
              </w:rPr>
            </w:pPr>
            <w:r>
              <w:rPr>
                <w:color w:val="000000"/>
              </w:rPr>
              <w:t>[</w:t>
            </w:r>
            <w:r w:rsidR="00905AB6">
              <w:rPr>
                <w:color w:val="000000"/>
              </w:rPr>
              <w:t>11</w:t>
            </w:r>
            <w:r>
              <w:rPr>
                <w:color w:val="000000"/>
              </w:rPr>
              <w:t>]</w:t>
            </w:r>
          </w:p>
        </w:tc>
        <w:tc>
          <w:tcPr>
            <w:tcW w:w="7837" w:type="dxa"/>
            <w:shd w:val="clear" w:color="auto" w:fill="auto"/>
          </w:tcPr>
          <w:p w:rsidRPr="00B72876" w:rsidR="00E44BF4" w:rsidP="00E44BF4" w:rsidRDefault="00E44BF4" w14:paraId="17740978" w14:textId="4DD97DCE">
            <w:pPr>
              <w:tabs>
                <w:tab w:val="left" w:pos="1440"/>
              </w:tabs>
              <w:rPr>
                <w:color w:val="000000"/>
              </w:rPr>
            </w:pPr>
            <w:r>
              <w:rPr>
                <w:color w:val="000000"/>
              </w:rPr>
              <w:t>Adopted rate for Baldwin in 2022 is $380. $190 will be used since claim preparation is compensated at ½ the preparers usual rate.</w:t>
            </w:r>
          </w:p>
        </w:tc>
      </w:tr>
    </w:tbl>
    <w:p w:rsidRPr="00B72876" w:rsidR="00A92D0B" w:rsidP="00575494" w:rsidRDefault="00A92D0B" w14:paraId="18E9D359" w14:textId="6CF07914">
      <w:pPr>
        <w:keepNext/>
        <w:tabs>
          <w:tab w:val="left" w:pos="1260"/>
        </w:tabs>
        <w:spacing w:before="480"/>
        <w:jc w:val="center"/>
        <w:rPr>
          <w:b/>
          <w:color w:val="000000"/>
        </w:rPr>
      </w:pPr>
      <w:r w:rsidRPr="00B72876">
        <w:rPr>
          <w:b/>
          <w:color w:val="000000"/>
        </w:rPr>
        <w:t>PART IV:</w:t>
      </w:r>
      <w:r w:rsidRPr="00B72876" w:rsidR="00D1778A">
        <w:rPr>
          <w:b/>
          <w:color w:val="000000"/>
        </w:rPr>
        <w:t xml:space="preserve">  </w:t>
      </w:r>
      <w:r w:rsidRPr="00B72876">
        <w:rPr>
          <w:b/>
          <w:color w:val="000000"/>
        </w:rPr>
        <w:t>OPPOSITIONS AND COMMENTS</w:t>
      </w:r>
    </w:p>
    <w:p w:rsidRPr="00B72876" w:rsidR="00D1778A" w:rsidP="00575494" w:rsidRDefault="00A92D0B" w14:paraId="4E460EA0" w14:textId="77777777">
      <w:pPr>
        <w:keepNext/>
        <w:tabs>
          <w:tab w:val="left" w:pos="1260"/>
        </w:tabs>
        <w:ind w:left="1267" w:hanging="1267"/>
        <w:jc w:val="center"/>
        <w:rPr>
          <w:b/>
          <w:color w:val="000000"/>
        </w:rPr>
      </w:pPr>
      <w:r w:rsidRPr="00B72876">
        <w:rPr>
          <w:b/>
          <w:color w:val="000000"/>
        </w:rPr>
        <w:t>Within 30 days after service of this Claim, Commission Staff</w:t>
      </w:r>
    </w:p>
    <w:p w:rsidRPr="00B72876" w:rsidR="00A92D0B" w:rsidP="00575494" w:rsidRDefault="00F20061" w14:paraId="5D5DC317" w14:textId="6B3AEA94">
      <w:pPr>
        <w:keepNext/>
        <w:tabs>
          <w:tab w:val="left" w:pos="1260"/>
        </w:tabs>
        <w:spacing w:after="240"/>
        <w:ind w:left="1267" w:hanging="1267"/>
        <w:jc w:val="center"/>
        <w:rPr>
          <w:b/>
          <w:color w:val="000000"/>
        </w:rPr>
      </w:pPr>
      <w:r w:rsidRPr="00B72876">
        <w:rPr>
          <w:b/>
          <w:color w:val="000000"/>
        </w:rPr>
        <w:t xml:space="preserve"> </w:t>
      </w:r>
      <w:r w:rsidRPr="00B72876" w:rsidR="00A92D0B">
        <w:rPr>
          <w:b/>
          <w:color w:val="000000"/>
        </w:rPr>
        <w:t>or any other party may file a response to the Claim (</w:t>
      </w:r>
      <w:r w:rsidRPr="00B72876" w:rsidR="00A92D0B">
        <w:rPr>
          <w:b/>
          <w:i/>
          <w:color w:val="000000"/>
        </w:rPr>
        <w:t>see</w:t>
      </w:r>
      <w:r w:rsidRPr="00B72876" w:rsidR="00A92D0B">
        <w:rPr>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B72876" w:rsidR="00A92D0B" w:rsidTr="005A3018" w14:paraId="46A51699" w14:textId="77777777">
        <w:tc>
          <w:tcPr>
            <w:tcW w:w="7336" w:type="dxa"/>
            <w:shd w:val="clear" w:color="auto" w:fill="auto"/>
          </w:tcPr>
          <w:p w:rsidRPr="00B72876" w:rsidR="00A92D0B" w:rsidP="005A3018" w:rsidRDefault="00A92D0B" w14:paraId="607B1FB9" w14:textId="639D7800">
            <w:pPr>
              <w:ind w:left="360" w:hanging="360"/>
              <w:rPr>
                <w:color w:val="000000"/>
              </w:rPr>
            </w:pPr>
            <w:r w:rsidRPr="00B72876">
              <w:rPr>
                <w:b/>
                <w:color w:val="000000"/>
              </w:rPr>
              <w:t>A.</w:t>
            </w:r>
            <w:r w:rsidRPr="00B72876" w:rsidR="005A3018">
              <w:rPr>
                <w:b/>
                <w:color w:val="000000"/>
              </w:rPr>
              <w:tab/>
            </w:r>
            <w:r w:rsidRPr="00B72876">
              <w:rPr>
                <w:b/>
                <w:color w:val="000000"/>
              </w:rPr>
              <w:t>Opposition:  Did any party oppose the Claim?</w:t>
            </w:r>
          </w:p>
        </w:tc>
        <w:tc>
          <w:tcPr>
            <w:tcW w:w="2024" w:type="dxa"/>
            <w:shd w:val="clear" w:color="auto" w:fill="auto"/>
          </w:tcPr>
          <w:p w:rsidRPr="00B72876" w:rsidR="00A92D0B" w:rsidP="00565C82" w:rsidRDefault="00F4294F" w14:paraId="6E7CD931" w14:textId="7E8572DE">
            <w:pPr>
              <w:jc w:val="center"/>
              <w:rPr>
                <w:color w:val="000000"/>
              </w:rPr>
            </w:pPr>
            <w:r>
              <w:rPr>
                <w:color w:val="000000"/>
              </w:rPr>
              <w:t>No</w:t>
            </w:r>
          </w:p>
        </w:tc>
      </w:tr>
    </w:tbl>
    <w:p w:rsidRPr="00B72876" w:rsidR="00A92D0B" w:rsidRDefault="00A92D0B" w14:paraId="23420BFC" w14:textId="77777777">
      <w:pPr>
        <w:tabs>
          <w:tab w:val="left" w:pos="1260"/>
        </w:tabs>
        <w:spacing w:before="60"/>
        <w:ind w:left="1267" w:hanging="1267"/>
        <w:jc w:val="center"/>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221"/>
        <w:gridCol w:w="6097"/>
        <w:gridCol w:w="2042"/>
      </w:tblGrid>
      <w:tr w:rsidRPr="00B72876" w:rsidR="00A92D0B" w:rsidTr="00E54071" w14:paraId="7A0D8740" w14:textId="77777777">
        <w:tc>
          <w:tcPr>
            <w:tcW w:w="7318" w:type="dxa"/>
            <w:gridSpan w:val="2"/>
            <w:shd w:val="clear" w:color="auto" w:fill="auto"/>
          </w:tcPr>
          <w:p w:rsidRPr="00B72876" w:rsidR="00A92D0B" w:rsidP="005A3018" w:rsidRDefault="00A92D0B" w14:paraId="37D28D8D" w14:textId="4DD2F575">
            <w:pPr>
              <w:ind w:left="360" w:hanging="360"/>
              <w:rPr>
                <w:color w:val="000000"/>
              </w:rPr>
            </w:pPr>
            <w:r w:rsidRPr="00B72876">
              <w:rPr>
                <w:b/>
                <w:color w:val="000000"/>
              </w:rPr>
              <w:t>B.</w:t>
            </w:r>
            <w:r w:rsidRPr="00B72876" w:rsidR="005A3018">
              <w:rPr>
                <w:b/>
                <w:color w:val="000000"/>
              </w:rPr>
              <w:tab/>
            </w:r>
            <w:r w:rsidRPr="00B72876">
              <w:rPr>
                <w:b/>
                <w:color w:val="000000"/>
              </w:rPr>
              <w:t>Comment Period:  Was the 30-day comment period waived (</w:t>
            </w:r>
            <w:r w:rsidRPr="00B72876">
              <w:rPr>
                <w:b/>
                <w:i/>
                <w:color w:val="000000"/>
              </w:rPr>
              <w:t>see</w:t>
            </w:r>
            <w:r w:rsidRPr="00B72876" w:rsidR="00A60203">
              <w:rPr>
                <w:b/>
                <w:color w:val="000000"/>
              </w:rPr>
              <w:t> </w:t>
            </w:r>
            <w:r w:rsidRPr="00B72876">
              <w:rPr>
                <w:b/>
                <w:color w:val="000000"/>
              </w:rPr>
              <w:t>Rule 14.6(</w:t>
            </w:r>
            <w:r w:rsidRPr="00B72876" w:rsidR="00963EEF">
              <w:rPr>
                <w:b/>
                <w:color w:val="000000"/>
              </w:rPr>
              <w:t>c</w:t>
            </w:r>
            <w:r w:rsidRPr="00B72876">
              <w:rPr>
                <w:b/>
                <w:color w:val="000000"/>
              </w:rPr>
              <w:t>)(6))?</w:t>
            </w:r>
          </w:p>
        </w:tc>
        <w:tc>
          <w:tcPr>
            <w:tcW w:w="2042" w:type="dxa"/>
            <w:shd w:val="clear" w:color="auto" w:fill="auto"/>
          </w:tcPr>
          <w:p w:rsidRPr="00B72876" w:rsidR="00A92D0B" w:rsidP="00565C82" w:rsidRDefault="00E11025" w14:paraId="238D2D3F" w14:textId="44A42EF3">
            <w:pPr>
              <w:keepNext/>
              <w:keepLines/>
              <w:spacing w:after="240"/>
              <w:jc w:val="center"/>
              <w:rPr>
                <w:color w:val="000000"/>
              </w:rPr>
            </w:pPr>
            <w:r>
              <w:rPr>
                <w:color w:val="000000"/>
              </w:rPr>
              <w:t>No</w:t>
            </w:r>
          </w:p>
        </w:tc>
      </w:tr>
      <w:tr w:rsidRPr="00B72876" w:rsidR="00A92D0B" w:rsidTr="00E54071" w14:paraId="5FB8DA0C" w14:textId="77777777">
        <w:tblPrEx>
          <w:tblCellMar>
            <w:top w:w="0" w:type="dxa"/>
            <w:bottom w:w="0" w:type="dxa"/>
          </w:tblCellMar>
        </w:tblPrEx>
        <w:tc>
          <w:tcPr>
            <w:tcW w:w="1221" w:type="dxa"/>
            <w:shd w:val="pct12" w:color="auto" w:fill="auto"/>
          </w:tcPr>
          <w:p w:rsidRPr="00B72876" w:rsidR="00A92D0B" w:rsidP="00DE3A5D" w:rsidRDefault="00A92D0B" w14:paraId="55AB3D9C" w14:textId="77777777">
            <w:pPr>
              <w:keepNext/>
              <w:keepLines/>
              <w:spacing w:before="120"/>
              <w:jc w:val="center"/>
              <w:rPr>
                <w:b/>
                <w:color w:val="000000"/>
              </w:rPr>
            </w:pPr>
            <w:r w:rsidRPr="00B72876">
              <w:rPr>
                <w:b/>
                <w:color w:val="000000"/>
              </w:rPr>
              <w:t>Party</w:t>
            </w:r>
          </w:p>
        </w:tc>
        <w:tc>
          <w:tcPr>
            <w:tcW w:w="6097" w:type="dxa"/>
            <w:shd w:val="pct12" w:color="auto" w:fill="auto"/>
          </w:tcPr>
          <w:p w:rsidRPr="00B72876" w:rsidR="00A92D0B" w:rsidP="00DE3A5D" w:rsidRDefault="00A92D0B" w14:paraId="25677100" w14:textId="77777777">
            <w:pPr>
              <w:keepNext/>
              <w:keepLines/>
              <w:spacing w:before="120"/>
              <w:jc w:val="center"/>
              <w:rPr>
                <w:color w:val="000000"/>
              </w:rPr>
            </w:pPr>
            <w:r w:rsidRPr="00B72876">
              <w:rPr>
                <w:b/>
                <w:color w:val="000000"/>
              </w:rPr>
              <w:t>Comment</w:t>
            </w:r>
          </w:p>
        </w:tc>
        <w:tc>
          <w:tcPr>
            <w:tcW w:w="2042" w:type="dxa"/>
            <w:shd w:val="pct12" w:color="auto" w:fill="auto"/>
          </w:tcPr>
          <w:p w:rsidRPr="00B72876" w:rsidR="00A92D0B" w:rsidP="00963EEF" w:rsidRDefault="00A92D0B" w14:paraId="0C66D2FD" w14:textId="77777777">
            <w:pPr>
              <w:keepNext/>
              <w:keepLines/>
              <w:spacing w:before="120"/>
              <w:jc w:val="center"/>
              <w:rPr>
                <w:color w:val="000000"/>
              </w:rPr>
            </w:pPr>
            <w:r w:rsidRPr="00B72876">
              <w:rPr>
                <w:b/>
                <w:color w:val="000000"/>
              </w:rPr>
              <w:t xml:space="preserve">CPUC </w:t>
            </w:r>
            <w:r w:rsidRPr="00B72876" w:rsidR="00963EEF">
              <w:rPr>
                <w:b/>
                <w:color w:val="000000"/>
              </w:rPr>
              <w:t>Discussion</w:t>
            </w:r>
          </w:p>
        </w:tc>
      </w:tr>
      <w:tr w:rsidRPr="00B72876" w:rsidR="00A92D0B" w:rsidTr="00E54071" w14:paraId="756C4BD6" w14:textId="77777777">
        <w:tblPrEx>
          <w:tblCellMar>
            <w:top w:w="0" w:type="dxa"/>
            <w:bottom w:w="0" w:type="dxa"/>
          </w:tblCellMar>
        </w:tblPrEx>
        <w:tc>
          <w:tcPr>
            <w:tcW w:w="1221" w:type="dxa"/>
            <w:shd w:val="clear" w:color="auto" w:fill="auto"/>
          </w:tcPr>
          <w:p w:rsidRPr="00B72876" w:rsidR="00A92D0B" w:rsidP="00DE3A5D" w:rsidRDefault="00A92D0B" w14:paraId="5191E9A8" w14:textId="77777777">
            <w:pPr>
              <w:keepNext/>
              <w:keepLines/>
              <w:spacing w:before="120"/>
              <w:rPr>
                <w:color w:val="000000"/>
              </w:rPr>
            </w:pPr>
          </w:p>
        </w:tc>
        <w:tc>
          <w:tcPr>
            <w:tcW w:w="6097" w:type="dxa"/>
            <w:shd w:val="clear" w:color="auto" w:fill="auto"/>
          </w:tcPr>
          <w:p w:rsidRPr="00B72876" w:rsidR="00A92D0B" w:rsidP="00DE3A5D" w:rsidRDefault="00ED7FF9" w14:paraId="65BDB010" w14:textId="61DF208D">
            <w:pPr>
              <w:keepNext/>
              <w:keepLines/>
              <w:spacing w:before="120"/>
              <w:rPr>
                <w:color w:val="000000"/>
              </w:rPr>
            </w:pPr>
            <w:r>
              <w:rPr>
                <w:color w:val="000000"/>
              </w:rPr>
              <w:t>No comments filed.</w:t>
            </w:r>
          </w:p>
        </w:tc>
        <w:tc>
          <w:tcPr>
            <w:tcW w:w="2042" w:type="dxa"/>
            <w:shd w:val="clear" w:color="auto" w:fill="auto"/>
          </w:tcPr>
          <w:p w:rsidRPr="00B72876" w:rsidR="00A92D0B" w:rsidP="00DE3A5D" w:rsidRDefault="00A92D0B" w14:paraId="39185471" w14:textId="77777777">
            <w:pPr>
              <w:keepNext/>
              <w:keepLines/>
              <w:spacing w:before="120"/>
              <w:rPr>
                <w:color w:val="000000"/>
              </w:rPr>
            </w:pPr>
          </w:p>
        </w:tc>
      </w:tr>
    </w:tbl>
    <w:p w:rsidRPr="00B72876" w:rsidR="00A92D0B" w:rsidP="00CE057B" w:rsidRDefault="00A92D0B" w14:paraId="186E115A" w14:textId="77777777">
      <w:pPr>
        <w:keepNext/>
        <w:spacing w:before="480" w:after="240"/>
        <w:jc w:val="center"/>
        <w:rPr>
          <w:b/>
          <w:color w:val="000000"/>
          <w:u w:val="single"/>
        </w:rPr>
      </w:pPr>
      <w:r w:rsidRPr="00B72876">
        <w:rPr>
          <w:b/>
          <w:color w:val="000000"/>
          <w:u w:val="single"/>
        </w:rPr>
        <w:t>FINDINGS OF FACT</w:t>
      </w:r>
    </w:p>
    <w:p w:rsidRPr="00F4294F" w:rsidR="00A92D0B" w:rsidP="00794A54" w:rsidRDefault="0033207D" w14:paraId="7772A9DC" w14:textId="74B9DD72">
      <w:pPr>
        <w:numPr>
          <w:ilvl w:val="0"/>
          <w:numId w:val="3"/>
        </w:numPr>
        <w:shd w:val="clear" w:color="auto" w:fill="FFFFFF" w:themeFill="background1"/>
        <w:tabs>
          <w:tab w:val="num" w:pos="540"/>
        </w:tabs>
        <w:ind w:left="540" w:hanging="540"/>
        <w:rPr>
          <w:bCs/>
        </w:rPr>
      </w:pPr>
      <w:r w:rsidRPr="00794A54">
        <w:rPr>
          <w:bCs/>
          <w:shd w:val="clear" w:color="auto" w:fill="FFFFFF" w:themeFill="background1"/>
        </w:rPr>
        <w:t>U</w:t>
      </w:r>
      <w:r w:rsidRPr="00794A54" w:rsidR="00F4294F">
        <w:rPr>
          <w:bCs/>
          <w:shd w:val="clear" w:color="auto" w:fill="FFFFFF" w:themeFill="background1"/>
        </w:rPr>
        <w:t>tility</w:t>
      </w:r>
      <w:r w:rsidRPr="00794A54">
        <w:rPr>
          <w:bCs/>
          <w:shd w:val="clear" w:color="auto" w:fill="FFFFFF" w:themeFill="background1"/>
        </w:rPr>
        <w:t xml:space="preserve"> C</w:t>
      </w:r>
      <w:r w:rsidRPr="00794A54" w:rsidR="00F4294F">
        <w:rPr>
          <w:bCs/>
          <w:shd w:val="clear" w:color="auto" w:fill="FFFFFF" w:themeFill="background1"/>
        </w:rPr>
        <w:t>onsumers</w:t>
      </w:r>
      <w:r w:rsidRPr="00794A54">
        <w:rPr>
          <w:bCs/>
          <w:shd w:val="clear" w:color="auto" w:fill="FFFFFF" w:themeFill="background1"/>
        </w:rPr>
        <w:t>’ A</w:t>
      </w:r>
      <w:r w:rsidRPr="00794A54" w:rsidR="00F4294F">
        <w:rPr>
          <w:bCs/>
          <w:shd w:val="clear" w:color="auto" w:fill="FFFFFF" w:themeFill="background1"/>
        </w:rPr>
        <w:t>ction</w:t>
      </w:r>
      <w:r w:rsidRPr="00794A54">
        <w:rPr>
          <w:bCs/>
          <w:shd w:val="clear" w:color="auto" w:fill="FFFFFF" w:themeFill="background1"/>
        </w:rPr>
        <w:t xml:space="preserve"> N</w:t>
      </w:r>
      <w:r w:rsidRPr="00794A54" w:rsidR="00F4294F">
        <w:rPr>
          <w:bCs/>
          <w:shd w:val="clear" w:color="auto" w:fill="FFFFFF" w:themeFill="background1"/>
        </w:rPr>
        <w:t>etwork</w:t>
      </w:r>
      <w:r w:rsidRPr="00B72876">
        <w:rPr>
          <w:bCs/>
        </w:rPr>
        <w:t xml:space="preserve"> </w:t>
      </w:r>
      <w:r w:rsidRPr="00B72876" w:rsidR="00A92D0B">
        <w:rPr>
          <w:bCs/>
        </w:rPr>
        <w:t>has made a substantia</w:t>
      </w:r>
      <w:r w:rsidRPr="00B72876" w:rsidR="00DE3A5D">
        <w:rPr>
          <w:bCs/>
        </w:rPr>
        <w:t xml:space="preserve">l contribution to </w:t>
      </w:r>
      <w:r w:rsidRPr="00794A54" w:rsidR="00F5056C">
        <w:rPr>
          <w:bCs/>
          <w:shd w:val="clear" w:color="auto" w:fill="FFFFFF" w:themeFill="background1"/>
        </w:rPr>
        <w:t>D.21-10-020</w:t>
      </w:r>
      <w:r w:rsidRPr="00F4294F" w:rsidR="00F5056C">
        <w:rPr>
          <w:bCs/>
          <w:shd w:val="clear" w:color="auto" w:fill="CCFFCC"/>
        </w:rPr>
        <w:t xml:space="preserve"> </w:t>
      </w:r>
      <w:r w:rsidRPr="00794A54" w:rsidR="00C238F7">
        <w:rPr>
          <w:bCs/>
          <w:shd w:val="clear" w:color="auto" w:fill="FFFFFF" w:themeFill="background1"/>
        </w:rPr>
        <w:t>and</w:t>
      </w:r>
      <w:r w:rsidRPr="00794A54" w:rsidR="00F5056C">
        <w:rPr>
          <w:bCs/>
          <w:shd w:val="clear" w:color="auto" w:fill="FFFFFF" w:themeFill="background1"/>
        </w:rPr>
        <w:t xml:space="preserve"> D.22-04-055</w:t>
      </w:r>
      <w:r w:rsidRPr="00794A54" w:rsidR="00F5056C">
        <w:rPr>
          <w:shd w:val="clear" w:color="auto" w:fill="FFFFFF" w:themeFill="background1"/>
        </w:rPr>
        <w:t>.</w:t>
      </w:r>
    </w:p>
    <w:p w:rsidRPr="00B72876" w:rsidR="00A92D0B" w:rsidRDefault="00A92D0B" w14:paraId="04EB50FD" w14:textId="5AE1FBAA">
      <w:pPr>
        <w:numPr>
          <w:ilvl w:val="0"/>
          <w:numId w:val="3"/>
        </w:numPr>
        <w:tabs>
          <w:tab w:val="num" w:pos="540"/>
        </w:tabs>
        <w:spacing w:before="240"/>
        <w:rPr>
          <w:bCs/>
        </w:rPr>
      </w:pPr>
      <w:r w:rsidRPr="00B72876">
        <w:rPr>
          <w:bCs/>
        </w:rPr>
        <w:t>The requested hourly rates for</w:t>
      </w:r>
      <w:r w:rsidRPr="00B72876" w:rsidR="003B6A1B">
        <w:rPr>
          <w:bCs/>
        </w:rPr>
        <w:t xml:space="preserve"> </w:t>
      </w:r>
      <w:r w:rsidRPr="00794A54" w:rsidR="0033207D">
        <w:rPr>
          <w:bCs/>
          <w:shd w:val="clear" w:color="auto" w:fill="FFFFFF" w:themeFill="background1"/>
        </w:rPr>
        <w:t>U</w:t>
      </w:r>
      <w:r w:rsidRPr="00794A54" w:rsidR="00F4294F">
        <w:rPr>
          <w:bCs/>
          <w:shd w:val="clear" w:color="auto" w:fill="FFFFFF" w:themeFill="background1"/>
        </w:rPr>
        <w:t>tility</w:t>
      </w:r>
      <w:r w:rsidRPr="00794A54" w:rsidR="0033207D">
        <w:rPr>
          <w:bCs/>
          <w:shd w:val="clear" w:color="auto" w:fill="FFFFFF" w:themeFill="background1"/>
        </w:rPr>
        <w:t xml:space="preserve"> C</w:t>
      </w:r>
      <w:r w:rsidRPr="00794A54" w:rsidR="00F4294F">
        <w:rPr>
          <w:bCs/>
          <w:shd w:val="clear" w:color="auto" w:fill="FFFFFF" w:themeFill="background1"/>
        </w:rPr>
        <w:t>onsumers</w:t>
      </w:r>
      <w:r w:rsidRPr="00794A54" w:rsidR="0033207D">
        <w:rPr>
          <w:bCs/>
          <w:shd w:val="clear" w:color="auto" w:fill="FFFFFF" w:themeFill="background1"/>
        </w:rPr>
        <w:t>’ A</w:t>
      </w:r>
      <w:r w:rsidRPr="00794A54" w:rsidR="00F4294F">
        <w:rPr>
          <w:bCs/>
          <w:shd w:val="clear" w:color="auto" w:fill="FFFFFF" w:themeFill="background1"/>
        </w:rPr>
        <w:t>ction</w:t>
      </w:r>
      <w:r w:rsidRPr="00794A54" w:rsidR="0033207D">
        <w:rPr>
          <w:bCs/>
          <w:shd w:val="clear" w:color="auto" w:fill="FFFFFF" w:themeFill="background1"/>
        </w:rPr>
        <w:t xml:space="preserve"> N</w:t>
      </w:r>
      <w:r w:rsidRPr="00794A54" w:rsidR="00F4294F">
        <w:rPr>
          <w:bCs/>
          <w:shd w:val="clear" w:color="auto" w:fill="FFFFFF" w:themeFill="background1"/>
        </w:rPr>
        <w:t>etwork</w:t>
      </w:r>
      <w:r w:rsidRPr="00794A54" w:rsidR="005A63D4">
        <w:rPr>
          <w:bCs/>
          <w:shd w:val="clear" w:color="auto" w:fill="FFFFFF" w:themeFill="background1"/>
        </w:rPr>
        <w:t>’s</w:t>
      </w:r>
      <w:r w:rsidRPr="00B72876" w:rsidR="005A63D4">
        <w:rPr>
          <w:bCs/>
        </w:rPr>
        <w:t xml:space="preserve"> </w:t>
      </w:r>
      <w:r w:rsidRPr="00B72876">
        <w:rPr>
          <w:bCs/>
        </w:rPr>
        <w:t>representatives</w:t>
      </w:r>
      <w:r w:rsidRPr="00B72876" w:rsidR="003B5EAC">
        <w:rPr>
          <w:bCs/>
        </w:rPr>
        <w:t xml:space="preserve"> </w:t>
      </w:r>
      <w:r w:rsidRPr="00B72876">
        <w:rPr>
          <w:bCs/>
        </w:rPr>
        <w:t>as adjusted herein are comparable to market rates paid to experts and advocates having comparable training and experience and offering similar services</w:t>
      </w:r>
      <w:r w:rsidR="00C32C3E">
        <w:rPr>
          <w:bCs/>
        </w:rPr>
        <w:t>,</w:t>
      </w:r>
      <w:r w:rsidRPr="00FF3FCC" w:rsidR="00FF3FCC">
        <w:t xml:space="preserve"> </w:t>
      </w:r>
      <w:r w:rsidRPr="00024FC7" w:rsidR="00FF3FCC">
        <w:t>and/or reflect the actual rates billed to, and paid by the intervenor, for services rendered</w:t>
      </w:r>
      <w:r w:rsidRPr="00B72876">
        <w:rPr>
          <w:bCs/>
        </w:rPr>
        <w:t>.</w:t>
      </w:r>
    </w:p>
    <w:p w:rsidRPr="00B72876" w:rsidR="00A92D0B" w:rsidRDefault="00A92D0B" w14:paraId="528EBB52" w14:textId="29478F08">
      <w:pPr>
        <w:numPr>
          <w:ilvl w:val="0"/>
          <w:numId w:val="3"/>
        </w:numPr>
        <w:tabs>
          <w:tab w:val="num" w:pos="540"/>
        </w:tabs>
        <w:spacing w:before="240"/>
        <w:rPr>
          <w:bCs/>
        </w:rPr>
      </w:pPr>
      <w:r w:rsidRPr="00B72876">
        <w:rPr>
          <w:bCs/>
        </w:rPr>
        <w:t>The claimed costs and expenses</w:t>
      </w:r>
      <w:r w:rsidRPr="00B72876" w:rsidR="003B5EAC">
        <w:rPr>
          <w:bCs/>
        </w:rPr>
        <w:t xml:space="preserve"> </w:t>
      </w:r>
      <w:r w:rsidRPr="00B72876">
        <w:rPr>
          <w:bCs/>
        </w:rPr>
        <w:t xml:space="preserve">as adjusted herein are reasonable and commensurate with the work performed. </w:t>
      </w:r>
    </w:p>
    <w:p w:rsidRPr="00B72876" w:rsidR="00A92D0B" w:rsidRDefault="00A92D0B" w14:paraId="48B52895" w14:textId="425A22DE">
      <w:pPr>
        <w:numPr>
          <w:ilvl w:val="0"/>
          <w:numId w:val="3"/>
        </w:numPr>
        <w:tabs>
          <w:tab w:val="num" w:pos="540"/>
        </w:tabs>
        <w:spacing w:before="240"/>
        <w:rPr>
          <w:bCs/>
        </w:rPr>
      </w:pPr>
      <w:r w:rsidRPr="00B72876">
        <w:rPr>
          <w:bCs/>
        </w:rPr>
        <w:t xml:space="preserve">The total of reasonable </w:t>
      </w:r>
      <w:r w:rsidRPr="00B72876" w:rsidR="003C608A">
        <w:rPr>
          <w:bCs/>
        </w:rPr>
        <w:t xml:space="preserve">compensation </w:t>
      </w:r>
      <w:r w:rsidRPr="00B72876">
        <w:rPr>
          <w:bCs/>
        </w:rPr>
        <w:t>is $</w:t>
      </w:r>
      <w:r w:rsidRPr="0040767C" w:rsidR="0039503D">
        <w:rPr>
          <w:bCs/>
        </w:rPr>
        <w:t>6</w:t>
      </w:r>
      <w:r w:rsidR="006B6F0C">
        <w:rPr>
          <w:bCs/>
        </w:rPr>
        <w:t>2</w:t>
      </w:r>
      <w:r w:rsidRPr="0040767C" w:rsidR="0039503D">
        <w:rPr>
          <w:bCs/>
        </w:rPr>
        <w:t>,</w:t>
      </w:r>
      <w:r w:rsidR="006B6F0C">
        <w:rPr>
          <w:bCs/>
        </w:rPr>
        <w:t>134</w:t>
      </w:r>
      <w:r w:rsidR="0039503D">
        <w:rPr>
          <w:bCs/>
        </w:rPr>
        <w:t>.</w:t>
      </w:r>
      <w:r w:rsidR="006B6F0C">
        <w:rPr>
          <w:bCs/>
        </w:rPr>
        <w:t>4</w:t>
      </w:r>
      <w:r w:rsidR="0039503D">
        <w:rPr>
          <w:bCs/>
        </w:rPr>
        <w:t>8.</w:t>
      </w:r>
    </w:p>
    <w:p w:rsidRPr="00B72876" w:rsidR="00A92D0B" w:rsidP="00CE057B" w:rsidRDefault="00A92D0B" w14:paraId="5C773C3F" w14:textId="77777777">
      <w:pPr>
        <w:keepNext/>
        <w:spacing w:before="480" w:after="240"/>
        <w:jc w:val="center"/>
        <w:rPr>
          <w:b/>
          <w:color w:val="000000"/>
          <w:u w:val="single"/>
        </w:rPr>
      </w:pPr>
      <w:r w:rsidRPr="00B72876">
        <w:rPr>
          <w:b/>
          <w:color w:val="000000"/>
          <w:u w:val="single"/>
        </w:rPr>
        <w:t>CONCLUSION OF LAW</w:t>
      </w:r>
    </w:p>
    <w:p w:rsidRPr="00B72876" w:rsidR="00A92D0B" w:rsidP="00575494" w:rsidRDefault="00A92D0B" w14:paraId="654F2C27" w14:textId="45FFB244">
      <w:pPr>
        <w:numPr>
          <w:ilvl w:val="0"/>
          <w:numId w:val="10"/>
        </w:numPr>
        <w:spacing w:before="240"/>
        <w:rPr>
          <w:color w:val="000000"/>
        </w:rPr>
      </w:pPr>
      <w:r w:rsidRPr="00B72876">
        <w:t>The</w:t>
      </w:r>
      <w:r w:rsidRPr="00B72876">
        <w:rPr>
          <w:color w:val="000000"/>
        </w:rPr>
        <w:t xml:space="preserve"> Claim, with any adjustment set forth above</w:t>
      </w:r>
      <w:r w:rsidR="00CF297A">
        <w:rPr>
          <w:color w:val="000000"/>
        </w:rPr>
        <w:t xml:space="preserve"> </w:t>
      </w:r>
      <w:r w:rsidRPr="00B72876">
        <w:rPr>
          <w:color w:val="000000"/>
        </w:rPr>
        <w:t>satisfies</w:t>
      </w:r>
      <w:r w:rsidRPr="00B72876" w:rsidR="00DE3A5D">
        <w:rPr>
          <w:color w:val="000000"/>
        </w:rPr>
        <w:t xml:space="preserve"> all requirements of Pub. Util.</w:t>
      </w:r>
      <w:r w:rsidRPr="00B72876">
        <w:rPr>
          <w:color w:val="000000"/>
        </w:rPr>
        <w:t xml:space="preserve"> Code §§ 1801-1812.</w:t>
      </w:r>
    </w:p>
    <w:p w:rsidRPr="00B72876" w:rsidR="00A92D0B" w:rsidP="00CE057B" w:rsidRDefault="00A92D0B" w14:paraId="0E2503A5" w14:textId="77777777">
      <w:pPr>
        <w:keepNext/>
        <w:spacing w:before="480" w:after="240"/>
        <w:jc w:val="center"/>
        <w:rPr>
          <w:b/>
          <w:color w:val="000000"/>
          <w:u w:val="single"/>
        </w:rPr>
      </w:pPr>
      <w:r w:rsidRPr="00B72876">
        <w:rPr>
          <w:b/>
          <w:color w:val="000000"/>
          <w:u w:val="single"/>
        </w:rPr>
        <w:lastRenderedPageBreak/>
        <w:t>ORDER</w:t>
      </w:r>
    </w:p>
    <w:p w:rsidRPr="00B72876" w:rsidR="00A92D0B" w:rsidP="00CE057B" w:rsidRDefault="0033207D" w14:paraId="33FB4E15" w14:textId="1EC519FB">
      <w:pPr>
        <w:keepNext/>
        <w:numPr>
          <w:ilvl w:val="0"/>
          <w:numId w:val="4"/>
        </w:numPr>
        <w:tabs>
          <w:tab w:val="clear" w:pos="900"/>
          <w:tab w:val="num" w:pos="540"/>
        </w:tabs>
        <w:ind w:left="547" w:hanging="547"/>
        <w:rPr>
          <w:bCs/>
          <w:color w:val="000000"/>
        </w:rPr>
      </w:pPr>
      <w:r w:rsidRPr="00794A54">
        <w:rPr>
          <w:bCs/>
          <w:shd w:val="clear" w:color="auto" w:fill="FFFFFF" w:themeFill="background1"/>
        </w:rPr>
        <w:t>U</w:t>
      </w:r>
      <w:r w:rsidRPr="00794A54" w:rsidR="00550E2B">
        <w:rPr>
          <w:bCs/>
          <w:shd w:val="clear" w:color="auto" w:fill="FFFFFF" w:themeFill="background1"/>
        </w:rPr>
        <w:t>tility</w:t>
      </w:r>
      <w:r w:rsidRPr="00794A54">
        <w:rPr>
          <w:bCs/>
          <w:shd w:val="clear" w:color="auto" w:fill="FFFFFF" w:themeFill="background1"/>
        </w:rPr>
        <w:t xml:space="preserve"> C</w:t>
      </w:r>
      <w:r w:rsidRPr="00794A54" w:rsidR="00550E2B">
        <w:rPr>
          <w:bCs/>
          <w:shd w:val="clear" w:color="auto" w:fill="FFFFFF" w:themeFill="background1"/>
        </w:rPr>
        <w:t>onsumers</w:t>
      </w:r>
      <w:r w:rsidRPr="00794A54">
        <w:rPr>
          <w:bCs/>
          <w:shd w:val="clear" w:color="auto" w:fill="FFFFFF" w:themeFill="background1"/>
        </w:rPr>
        <w:t>’ A</w:t>
      </w:r>
      <w:r w:rsidRPr="00794A54" w:rsidR="00550E2B">
        <w:rPr>
          <w:bCs/>
          <w:shd w:val="clear" w:color="auto" w:fill="FFFFFF" w:themeFill="background1"/>
        </w:rPr>
        <w:t>ction</w:t>
      </w:r>
      <w:r w:rsidRPr="00794A54">
        <w:rPr>
          <w:bCs/>
          <w:shd w:val="clear" w:color="auto" w:fill="FFFFFF" w:themeFill="background1"/>
        </w:rPr>
        <w:t xml:space="preserve"> N</w:t>
      </w:r>
      <w:r w:rsidRPr="00794A54" w:rsidR="00550E2B">
        <w:rPr>
          <w:bCs/>
          <w:shd w:val="clear" w:color="auto" w:fill="FFFFFF" w:themeFill="background1"/>
        </w:rPr>
        <w:t>etwork</w:t>
      </w:r>
      <w:r w:rsidRPr="00B72876">
        <w:rPr>
          <w:bCs/>
        </w:rPr>
        <w:t xml:space="preserve"> </w:t>
      </w:r>
      <w:r w:rsidRPr="00B72876" w:rsidR="00831652">
        <w:rPr>
          <w:bCs/>
        </w:rPr>
        <w:t>is</w:t>
      </w:r>
      <w:r w:rsidRPr="00B72876" w:rsidR="00FE3BAE">
        <w:rPr>
          <w:bCs/>
        </w:rPr>
        <w:t xml:space="preserve"> </w:t>
      </w:r>
      <w:r w:rsidRPr="00B72876" w:rsidR="00A92D0B">
        <w:rPr>
          <w:bCs/>
          <w:color w:val="000000"/>
        </w:rPr>
        <w:t>awarded $</w:t>
      </w:r>
      <w:r w:rsidRPr="0040767C" w:rsidR="00794A54">
        <w:rPr>
          <w:bCs/>
          <w:color w:val="000000"/>
        </w:rPr>
        <w:t>6</w:t>
      </w:r>
      <w:r w:rsidR="006B6F0C">
        <w:rPr>
          <w:bCs/>
          <w:color w:val="000000"/>
        </w:rPr>
        <w:t>2</w:t>
      </w:r>
      <w:r w:rsidRPr="0040767C" w:rsidR="00794A54">
        <w:rPr>
          <w:bCs/>
          <w:color w:val="000000"/>
        </w:rPr>
        <w:t>,</w:t>
      </w:r>
      <w:r w:rsidR="006B6F0C">
        <w:rPr>
          <w:bCs/>
          <w:color w:val="000000"/>
        </w:rPr>
        <w:t>134</w:t>
      </w:r>
      <w:r w:rsidR="00FC13C4">
        <w:rPr>
          <w:bCs/>
          <w:color w:val="000000"/>
        </w:rPr>
        <w:t>.</w:t>
      </w:r>
      <w:r w:rsidR="006B6F0C">
        <w:rPr>
          <w:bCs/>
          <w:color w:val="000000"/>
        </w:rPr>
        <w:t>4</w:t>
      </w:r>
      <w:r w:rsidR="00FC13C4">
        <w:rPr>
          <w:bCs/>
          <w:color w:val="000000"/>
        </w:rPr>
        <w:t>8.</w:t>
      </w:r>
    </w:p>
    <w:p w:rsidRPr="00B72876" w:rsidR="00A92D0B" w:rsidRDefault="00A92D0B" w14:paraId="4AEF5671" w14:textId="6A99C13A">
      <w:pPr>
        <w:numPr>
          <w:ilvl w:val="0"/>
          <w:numId w:val="4"/>
        </w:numPr>
        <w:tabs>
          <w:tab w:val="clear" w:pos="900"/>
          <w:tab w:val="num" w:pos="540"/>
        </w:tabs>
        <w:spacing w:before="240"/>
        <w:ind w:left="547" w:hanging="547"/>
      </w:pPr>
      <w:r w:rsidRPr="00B72876">
        <w:rPr>
          <w:bCs/>
        </w:rPr>
        <w:t>Within 30 days of the effective date of this decision,</w:t>
      </w:r>
      <w:r w:rsidR="0019363A">
        <w:rPr>
          <w:bCs/>
        </w:rPr>
        <w:t xml:space="preserve"> California Public Utilities Commission</w:t>
      </w:r>
      <w:r w:rsidRPr="00B72876">
        <w:rPr>
          <w:bCs/>
        </w:rPr>
        <w:t xml:space="preserve"> shall pay </w:t>
      </w:r>
      <w:r w:rsidRPr="00794A54" w:rsidR="0033207D">
        <w:rPr>
          <w:bCs/>
          <w:shd w:val="clear" w:color="auto" w:fill="FFFFFF" w:themeFill="background1"/>
        </w:rPr>
        <w:t>U</w:t>
      </w:r>
      <w:r w:rsidRPr="00794A54" w:rsidR="00550E2B">
        <w:rPr>
          <w:bCs/>
          <w:shd w:val="clear" w:color="auto" w:fill="FFFFFF" w:themeFill="background1"/>
        </w:rPr>
        <w:t>tility</w:t>
      </w:r>
      <w:r w:rsidRPr="00794A54" w:rsidR="0033207D">
        <w:rPr>
          <w:bCs/>
          <w:shd w:val="clear" w:color="auto" w:fill="FFFFFF" w:themeFill="background1"/>
        </w:rPr>
        <w:t xml:space="preserve"> C</w:t>
      </w:r>
      <w:r w:rsidRPr="00794A54" w:rsidR="00550E2B">
        <w:rPr>
          <w:bCs/>
          <w:shd w:val="clear" w:color="auto" w:fill="FFFFFF" w:themeFill="background1"/>
        </w:rPr>
        <w:t>onsumers</w:t>
      </w:r>
      <w:r w:rsidRPr="00794A54" w:rsidR="0033207D">
        <w:rPr>
          <w:bCs/>
          <w:shd w:val="clear" w:color="auto" w:fill="FFFFFF" w:themeFill="background1"/>
        </w:rPr>
        <w:t>’ A</w:t>
      </w:r>
      <w:r w:rsidRPr="00794A54" w:rsidR="00550E2B">
        <w:rPr>
          <w:bCs/>
          <w:shd w:val="clear" w:color="auto" w:fill="FFFFFF" w:themeFill="background1"/>
        </w:rPr>
        <w:t>ction</w:t>
      </w:r>
      <w:r w:rsidRPr="00794A54" w:rsidR="0033207D">
        <w:rPr>
          <w:bCs/>
          <w:shd w:val="clear" w:color="auto" w:fill="FFFFFF" w:themeFill="background1"/>
        </w:rPr>
        <w:t xml:space="preserve"> N</w:t>
      </w:r>
      <w:r w:rsidRPr="00794A54" w:rsidR="00550E2B">
        <w:rPr>
          <w:bCs/>
          <w:shd w:val="clear" w:color="auto" w:fill="FFFFFF" w:themeFill="background1"/>
        </w:rPr>
        <w:t>etwork</w:t>
      </w:r>
      <w:r w:rsidRPr="00B72876" w:rsidR="00FE3BAE">
        <w:rPr>
          <w:bCs/>
        </w:rPr>
        <w:t xml:space="preserve"> </w:t>
      </w:r>
      <w:r w:rsidRPr="00B72876">
        <w:rPr>
          <w:bCs/>
        </w:rPr>
        <w:t>the total award.  Payment of the award shall include</w:t>
      </w:r>
      <w:r w:rsidRPr="00B72876" w:rsidR="004E3939">
        <w:rPr>
          <w:bCs/>
        </w:rPr>
        <w:t xml:space="preserve"> compound </w:t>
      </w:r>
      <w:r w:rsidRPr="00B72876">
        <w:rPr>
          <w:bCs/>
        </w:rPr>
        <w:t>interest at the rate earned on prime, three-</w:t>
      </w:r>
      <w:r w:rsidRPr="00B72876">
        <w:t xml:space="preserve">month </w:t>
      </w:r>
      <w:r w:rsidRPr="00B72876" w:rsidR="00214B22">
        <w:t xml:space="preserve">non-financial </w:t>
      </w:r>
      <w:r w:rsidRPr="00B72876">
        <w:t>commercial paper as reported in Federal Reserve Statistical Release H.15, beginning</w:t>
      </w:r>
      <w:r w:rsidRPr="00B72876" w:rsidR="00357F1A">
        <w:t xml:space="preserve"> </w:t>
      </w:r>
      <w:r w:rsidR="0019363A">
        <w:t>September 4, 2022</w:t>
      </w:r>
      <w:r w:rsidRPr="00B72876" w:rsidR="00357F1A">
        <w:t xml:space="preserve"> </w:t>
      </w:r>
      <w:r w:rsidRPr="00B72876">
        <w:t>the 75</w:t>
      </w:r>
      <w:r w:rsidRPr="00B72876">
        <w:rPr>
          <w:vertAlign w:val="superscript"/>
        </w:rPr>
        <w:t>th</w:t>
      </w:r>
      <w:r w:rsidRPr="00B72876">
        <w:t xml:space="preserve"> day after the filing of </w:t>
      </w:r>
      <w:r w:rsidRPr="00794A54" w:rsidR="0033207D">
        <w:rPr>
          <w:bCs/>
          <w:shd w:val="clear" w:color="auto" w:fill="FFFFFF" w:themeFill="background1"/>
        </w:rPr>
        <w:t>U</w:t>
      </w:r>
      <w:r w:rsidRPr="00794A54" w:rsidR="00550E2B">
        <w:rPr>
          <w:bCs/>
          <w:shd w:val="clear" w:color="auto" w:fill="FFFFFF" w:themeFill="background1"/>
        </w:rPr>
        <w:t>tility</w:t>
      </w:r>
      <w:r w:rsidRPr="00794A54" w:rsidR="0033207D">
        <w:rPr>
          <w:bCs/>
          <w:shd w:val="clear" w:color="auto" w:fill="FFFFFF" w:themeFill="background1"/>
        </w:rPr>
        <w:t xml:space="preserve"> C</w:t>
      </w:r>
      <w:r w:rsidRPr="00794A54" w:rsidR="00550E2B">
        <w:rPr>
          <w:bCs/>
          <w:shd w:val="clear" w:color="auto" w:fill="FFFFFF" w:themeFill="background1"/>
        </w:rPr>
        <w:t>onsumers</w:t>
      </w:r>
      <w:r w:rsidRPr="00794A54" w:rsidR="0033207D">
        <w:rPr>
          <w:bCs/>
          <w:shd w:val="clear" w:color="auto" w:fill="FFFFFF" w:themeFill="background1"/>
        </w:rPr>
        <w:t>’ A</w:t>
      </w:r>
      <w:r w:rsidRPr="00794A54" w:rsidR="00550E2B">
        <w:rPr>
          <w:bCs/>
          <w:shd w:val="clear" w:color="auto" w:fill="FFFFFF" w:themeFill="background1"/>
        </w:rPr>
        <w:t>ction</w:t>
      </w:r>
      <w:r w:rsidRPr="00B72876" w:rsidR="0033207D">
        <w:rPr>
          <w:bCs/>
          <w:shd w:val="clear" w:color="auto" w:fill="CCFFCC"/>
        </w:rPr>
        <w:t xml:space="preserve"> </w:t>
      </w:r>
      <w:r w:rsidRPr="00794A54" w:rsidR="0033207D">
        <w:rPr>
          <w:bCs/>
          <w:shd w:val="clear" w:color="auto" w:fill="FFFFFF" w:themeFill="background1"/>
        </w:rPr>
        <w:t>N</w:t>
      </w:r>
      <w:r w:rsidRPr="00794A54" w:rsidR="00550E2B">
        <w:rPr>
          <w:bCs/>
          <w:shd w:val="clear" w:color="auto" w:fill="FFFFFF" w:themeFill="background1"/>
        </w:rPr>
        <w:t>etwork</w:t>
      </w:r>
      <w:r w:rsidRPr="00B72876" w:rsidR="00FE3BAE">
        <w:rPr>
          <w:bCs/>
        </w:rPr>
        <w:t xml:space="preserve">’s </w:t>
      </w:r>
      <w:r w:rsidRPr="00B72876">
        <w:t>request, and continuing until full payment is made.</w:t>
      </w:r>
    </w:p>
    <w:p w:rsidRPr="00B72876" w:rsidR="00A92D0B" w:rsidP="00DE3A5D" w:rsidRDefault="00A92D0B" w14:paraId="5AD40C95" w14:textId="7E536C37">
      <w:pPr>
        <w:keepNext/>
        <w:keepLines/>
        <w:numPr>
          <w:ilvl w:val="0"/>
          <w:numId w:val="4"/>
        </w:numPr>
        <w:tabs>
          <w:tab w:val="clear" w:pos="900"/>
          <w:tab w:val="num" w:pos="540"/>
        </w:tabs>
        <w:spacing w:before="240"/>
        <w:ind w:left="547" w:hanging="547"/>
      </w:pPr>
      <w:r w:rsidRPr="00B72876">
        <w:t>The comment period for today’s decision is not waived.</w:t>
      </w:r>
    </w:p>
    <w:p w:rsidRPr="00B72876" w:rsidR="00A92D0B" w:rsidP="00467E65" w:rsidRDefault="00A92D0B" w14:paraId="13F3A0AD" w14:textId="77777777">
      <w:pPr>
        <w:keepNext/>
        <w:keepLines/>
        <w:spacing w:before="240"/>
        <w:ind w:left="547"/>
        <w:rPr>
          <w:color w:val="000000"/>
        </w:rPr>
      </w:pPr>
      <w:r w:rsidRPr="00B72876">
        <w:rPr>
          <w:color w:val="000000"/>
        </w:rPr>
        <w:t>This decision is effective today.</w:t>
      </w:r>
    </w:p>
    <w:p w:rsidR="00A92D0B" w:rsidP="00357623" w:rsidRDefault="00A92D0B" w14:paraId="0467B995" w14:textId="733E8F81">
      <w:pPr>
        <w:keepNext/>
        <w:keepLines/>
        <w:spacing w:before="240"/>
        <w:ind w:left="547"/>
        <w:rPr>
          <w:color w:val="000000"/>
        </w:rPr>
      </w:pPr>
      <w:r w:rsidRPr="00B72876">
        <w:rPr>
          <w:color w:val="000000"/>
        </w:rPr>
        <w:t>Date</w:t>
      </w:r>
      <w:r w:rsidR="00F2335F">
        <w:rPr>
          <w:color w:val="000000"/>
        </w:rPr>
        <w:t>d January 16, 2025</w:t>
      </w:r>
      <w:r w:rsidRPr="00B72876">
        <w:rPr>
          <w:color w:val="000000"/>
        </w:rPr>
        <w:t xml:space="preserve">, at </w:t>
      </w:r>
      <w:r w:rsidR="00E023AF">
        <w:rPr>
          <w:color w:val="000000"/>
        </w:rPr>
        <w:t>San Francisco</w:t>
      </w:r>
      <w:r w:rsidRPr="00B72876">
        <w:rPr>
          <w:color w:val="000000"/>
        </w:rPr>
        <w:t>, California.</w:t>
      </w:r>
    </w:p>
    <w:p w:rsidR="00F2335F" w:rsidP="00357623" w:rsidRDefault="00F2335F" w14:paraId="1EE139FA" w14:textId="77777777">
      <w:pPr>
        <w:keepNext/>
        <w:keepLines/>
        <w:spacing w:before="240"/>
        <w:ind w:left="547"/>
        <w:rPr>
          <w:color w:val="000000"/>
        </w:rPr>
      </w:pPr>
    </w:p>
    <w:p w:rsidRPr="00F2335F" w:rsidR="00F2335F" w:rsidP="00F2335F" w:rsidRDefault="00F2335F" w14:paraId="712F5873" w14:textId="77777777">
      <w:pPr>
        <w:keepNext/>
        <w:keepLines/>
        <w:autoSpaceDE w:val="0"/>
        <w:autoSpaceDN w:val="0"/>
        <w:adjustRightInd w:val="0"/>
        <w:ind w:left="4320"/>
        <w:jc w:val="both"/>
      </w:pPr>
      <w:r w:rsidRPr="00F2335F">
        <w:t>ALICE REYNOLDS</w:t>
      </w:r>
    </w:p>
    <w:p w:rsidRPr="00F2335F" w:rsidR="00F2335F" w:rsidP="00F2335F" w:rsidRDefault="00F2335F" w14:paraId="40611B41" w14:textId="77777777">
      <w:pPr>
        <w:keepNext/>
        <w:keepLines/>
        <w:autoSpaceDE w:val="0"/>
        <w:autoSpaceDN w:val="0"/>
        <w:adjustRightInd w:val="0"/>
        <w:ind w:firstLine="720"/>
        <w:jc w:val="both"/>
      </w:pPr>
      <w:r w:rsidRPr="00F2335F">
        <w:tab/>
      </w:r>
      <w:r w:rsidRPr="00F2335F">
        <w:tab/>
      </w:r>
      <w:r w:rsidRPr="00F2335F">
        <w:tab/>
      </w:r>
      <w:r w:rsidRPr="00F2335F">
        <w:tab/>
      </w:r>
      <w:r w:rsidRPr="00F2335F">
        <w:tab/>
        <w:t xml:space="preserve">                       President</w:t>
      </w:r>
    </w:p>
    <w:p w:rsidRPr="00F2335F" w:rsidR="00F2335F" w:rsidP="00F2335F" w:rsidRDefault="00F2335F" w14:paraId="685F609B" w14:textId="77777777">
      <w:pPr>
        <w:autoSpaceDE w:val="0"/>
        <w:autoSpaceDN w:val="0"/>
        <w:adjustRightInd w:val="0"/>
        <w:ind w:left="3600" w:firstLine="720"/>
        <w:jc w:val="both"/>
      </w:pPr>
      <w:r w:rsidRPr="00F2335F">
        <w:t>DARCIE L. HOUCK</w:t>
      </w:r>
    </w:p>
    <w:p w:rsidRPr="00F2335F" w:rsidR="00F2335F" w:rsidP="00F2335F" w:rsidRDefault="00F2335F" w14:paraId="2E0A0BE7" w14:textId="77777777">
      <w:pPr>
        <w:autoSpaceDE w:val="0"/>
        <w:autoSpaceDN w:val="0"/>
        <w:adjustRightInd w:val="0"/>
        <w:ind w:left="3600" w:firstLine="720"/>
        <w:jc w:val="both"/>
      </w:pPr>
      <w:r w:rsidRPr="00F2335F">
        <w:t>JOHN REYNOLDS</w:t>
      </w:r>
    </w:p>
    <w:p w:rsidRPr="00F2335F" w:rsidR="00F2335F" w:rsidP="00F2335F" w:rsidRDefault="00F2335F" w14:paraId="52775E7B" w14:textId="77777777">
      <w:pPr>
        <w:autoSpaceDE w:val="0"/>
        <w:autoSpaceDN w:val="0"/>
        <w:adjustRightInd w:val="0"/>
        <w:ind w:left="3600" w:firstLine="720"/>
        <w:jc w:val="both"/>
        <w:rPr>
          <w:color w:val="000000"/>
        </w:rPr>
      </w:pPr>
      <w:r w:rsidRPr="00F2335F">
        <w:rPr>
          <w:color w:val="000000"/>
        </w:rPr>
        <w:t>KAREN DOUGLAS</w:t>
      </w:r>
    </w:p>
    <w:p w:rsidRPr="00F2335F" w:rsidR="00F2335F" w:rsidP="00F2335F" w:rsidRDefault="00F2335F" w14:paraId="48706C0D" w14:textId="77777777">
      <w:pPr>
        <w:keepNext/>
        <w:keepLines/>
        <w:autoSpaceDE w:val="0"/>
        <w:autoSpaceDN w:val="0"/>
        <w:adjustRightInd w:val="0"/>
        <w:ind w:left="4320" w:firstLine="720"/>
        <w:jc w:val="both"/>
      </w:pPr>
      <w:r w:rsidRPr="00F2335F">
        <w:t xml:space="preserve">            Commissioners</w:t>
      </w:r>
    </w:p>
    <w:p w:rsidRPr="00F2335F" w:rsidR="00F2335F" w:rsidP="00F2335F" w:rsidRDefault="00F2335F" w14:paraId="1BEE009F" w14:textId="77777777">
      <w:pPr>
        <w:pStyle w:val="standard"/>
        <w:keepNext/>
        <w:keepLines/>
        <w:rPr>
          <w:rFonts w:ascii="Times New Roman" w:hAnsi="Times New Roman"/>
          <w:sz w:val="24"/>
          <w:szCs w:val="24"/>
        </w:rPr>
      </w:pPr>
    </w:p>
    <w:p w:rsidRPr="00F2335F" w:rsidR="00F2335F" w:rsidP="00F2335F" w:rsidRDefault="00F2335F" w14:paraId="149A9BB2" w14:textId="77777777">
      <w:pPr>
        <w:keepNext/>
        <w:keepLines/>
        <w:autoSpaceDE w:val="0"/>
        <w:autoSpaceDN w:val="0"/>
        <w:adjustRightInd w:val="0"/>
        <w:ind w:left="4380"/>
      </w:pPr>
      <w:r w:rsidRPr="00F2335F">
        <w:t>Commissioner Matthew Baker recused himself from this agenda item and was not part of the quorum in its consideration.</w:t>
      </w:r>
    </w:p>
    <w:p w:rsidRPr="00F2335F" w:rsidR="00F2335F" w:rsidP="00357623" w:rsidRDefault="00F2335F" w14:paraId="1AF03609" w14:textId="77777777">
      <w:pPr>
        <w:keepNext/>
        <w:keepLines/>
        <w:spacing w:before="240"/>
        <w:ind w:left="547"/>
        <w:rPr>
          <w:color w:val="000000"/>
        </w:rPr>
      </w:pPr>
    </w:p>
    <w:p w:rsidRPr="00B72876" w:rsidR="00A92D0B" w:rsidRDefault="00A92D0B" w14:paraId="1A474D77" w14:textId="77777777"/>
    <w:p w:rsidRPr="00B72876" w:rsidR="00FE3BAE" w:rsidRDefault="00FE3BAE" w14:paraId="3C739AE2" w14:textId="71F3AFC8"/>
    <w:p w:rsidRPr="00B72876" w:rsidR="006B7228" w:rsidRDefault="006B7228" w14:paraId="37D74F32" w14:textId="77777777">
      <w:pPr>
        <w:sectPr w:rsidRPr="00B72876" w:rsidR="006B7228" w:rsidSect="003160B6">
          <w:headerReference w:type="default" r:id="rId8"/>
          <w:footerReference w:type="default" r:id="rId9"/>
          <w:footerReference w:type="first" r:id="rId10"/>
          <w:pgSz w:w="12240" w:h="15840"/>
          <w:pgMar w:top="1440" w:right="1440" w:bottom="1440" w:left="1440" w:header="720" w:footer="720" w:gutter="0"/>
          <w:pgNumType w:fmt="numberInDash" w:start="1"/>
          <w:cols w:space="720"/>
          <w:titlePg/>
          <w:docGrid w:linePitch="360"/>
        </w:sectPr>
      </w:pPr>
    </w:p>
    <w:p w:rsidRPr="00B72876" w:rsidR="00FE3BAE" w:rsidP="00FE3BAE" w:rsidRDefault="00FE3BAE" w14:paraId="7A1C7043" w14:textId="77777777">
      <w:pPr>
        <w:pStyle w:val="standard"/>
        <w:ind w:firstLine="0"/>
        <w:jc w:val="center"/>
        <w:rPr>
          <w:rFonts w:ascii="Times New Roman" w:hAnsi="Times New Roman"/>
          <w:b/>
          <w:sz w:val="24"/>
          <w:szCs w:val="24"/>
        </w:rPr>
      </w:pPr>
      <w:r w:rsidRPr="00B72876">
        <w:rPr>
          <w:rFonts w:ascii="Times New Roman" w:hAnsi="Times New Roman"/>
          <w:b/>
          <w:sz w:val="24"/>
          <w:szCs w:val="24"/>
        </w:rPr>
        <w:lastRenderedPageBreak/>
        <w:t>APPENDIX</w:t>
      </w:r>
    </w:p>
    <w:p w:rsidRPr="00B72876" w:rsidR="00FE3BAE" w:rsidP="00F7579D" w:rsidRDefault="00FE3BAE" w14:paraId="300BB274" w14:textId="77777777">
      <w:pPr>
        <w:pStyle w:val="standard"/>
        <w:ind w:firstLine="0"/>
        <w:jc w:val="center"/>
        <w:rPr>
          <w:rFonts w:ascii="Times New Roman" w:hAnsi="Times New Roman"/>
          <w:b/>
          <w:bCs/>
          <w:sz w:val="24"/>
          <w:szCs w:val="24"/>
        </w:rPr>
      </w:pPr>
      <w:r w:rsidRPr="00B72876">
        <w:rPr>
          <w:rFonts w:ascii="Times New Roman" w:hAnsi="Times New Roman"/>
          <w:b/>
          <w:bCs/>
          <w:sz w:val="24"/>
          <w:szCs w:val="24"/>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B72876" w:rsidR="00FE3BAE" w:rsidTr="00F862A9"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B72876" w:rsidR="00FE3BAE" w:rsidP="00A23C17" w:rsidRDefault="00FE3BAE" w14:paraId="4BC9C636" w14:textId="77777777">
            <w:pPr>
              <w:rPr>
                <w:b/>
                <w:bCs/>
              </w:rPr>
            </w:pPr>
            <w:r w:rsidRPr="00B72876">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B72876" w:rsidR="00FE3BAE" w:rsidP="00A23C17" w:rsidRDefault="00F2335F" w14:paraId="16C5D6B1" w14:textId="3F34B88F">
            <w:r>
              <w:t>D2501022</w:t>
            </w:r>
          </w:p>
        </w:tc>
        <w:tc>
          <w:tcPr>
            <w:tcW w:w="2475" w:type="dxa"/>
            <w:tcBorders>
              <w:top w:val="single" w:color="auto" w:sz="4" w:space="0"/>
              <w:left w:val="single" w:color="auto" w:sz="4" w:space="0"/>
              <w:bottom w:val="single" w:color="auto" w:sz="4" w:space="0"/>
              <w:right w:val="single" w:color="auto" w:sz="4" w:space="0"/>
            </w:tcBorders>
            <w:hideMark/>
          </w:tcPr>
          <w:p w:rsidRPr="00B72876" w:rsidR="00FE3BAE" w:rsidP="00A23C17" w:rsidRDefault="00FE3BAE" w14:paraId="3ECA0C4F" w14:textId="77777777">
            <w:pPr>
              <w:rPr>
                <w:b/>
                <w:bCs/>
              </w:rPr>
            </w:pPr>
            <w:r w:rsidRPr="00B72876">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B72876" w:rsidR="00FE3BAE" w:rsidP="00A23C17" w:rsidRDefault="00C9671F" w14:paraId="6846FB87" w14:textId="7E923484">
            <w:pPr>
              <w:jc w:val="center"/>
            </w:pPr>
            <w:r>
              <w:t>No</w:t>
            </w:r>
          </w:p>
        </w:tc>
      </w:tr>
      <w:tr w:rsidRPr="00B72876" w:rsidR="00FE3BAE" w:rsidTr="00C9671F" w14:paraId="3E0218A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B72876" w:rsidR="00FE3BAE" w:rsidP="00A23C17" w:rsidRDefault="00FE3BAE" w14:paraId="6E65620B" w14:textId="77777777">
            <w:pPr>
              <w:rPr>
                <w:b/>
                <w:bCs/>
              </w:rPr>
            </w:pPr>
            <w:r w:rsidRPr="00B72876">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72876" w:rsidR="00FE3BAE" w:rsidP="00A23C17" w:rsidRDefault="0033207D" w14:paraId="426F2C45" w14:textId="1FE74762">
            <w:r w:rsidRPr="00B72876">
              <w:t>D21</w:t>
            </w:r>
            <w:r w:rsidR="008937FA">
              <w:t>10020,</w:t>
            </w:r>
            <w:r w:rsidRPr="00B72876">
              <w:t xml:space="preserve"> </w:t>
            </w:r>
            <w:r w:rsidRPr="00B72876" w:rsidR="005757A1">
              <w:t>D22040</w:t>
            </w:r>
            <w:r w:rsidR="008937FA">
              <w:t>5</w:t>
            </w:r>
            <w:r w:rsidRPr="00B72876" w:rsidR="005757A1">
              <w:t>5</w:t>
            </w:r>
          </w:p>
        </w:tc>
      </w:tr>
      <w:tr w:rsidRPr="00B72876" w:rsidR="00FE3BAE" w:rsidTr="00C9671F"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B72876" w:rsidR="00FE3BAE" w:rsidP="00A23C17" w:rsidRDefault="00FE3BAE" w14:paraId="717974DE" w14:textId="77777777">
            <w:pPr>
              <w:rPr>
                <w:b/>
                <w:bCs/>
              </w:rPr>
            </w:pPr>
            <w:r w:rsidRPr="00B72876">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72876" w:rsidR="00FE3BAE" w:rsidP="00A23C17" w:rsidRDefault="005757A1" w14:paraId="5B85688D" w14:textId="5AA959FC">
            <w:r w:rsidRPr="00B72876">
              <w:t>R2009001</w:t>
            </w:r>
          </w:p>
        </w:tc>
      </w:tr>
      <w:tr w:rsidRPr="00B72876" w:rsidR="00FE3BAE" w:rsidTr="00F862A9"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B72876" w:rsidR="00FE3BAE" w:rsidP="00A23C17" w:rsidRDefault="00FE3BAE" w14:paraId="738C0A58" w14:textId="77777777">
            <w:pPr>
              <w:rPr>
                <w:b/>
                <w:bCs/>
              </w:rPr>
            </w:pPr>
            <w:r w:rsidRPr="00B72876">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B72876" w:rsidR="00FE3BAE" w:rsidP="00A23C17" w:rsidRDefault="00C9671F" w14:paraId="5E75C0F0" w14:textId="0E85DFE8">
            <w:r>
              <w:t>ALJ Thomas</w:t>
            </w:r>
            <w:r w:rsidR="0086524D">
              <w:t xml:space="preserve"> J.</w:t>
            </w:r>
            <w:r>
              <w:t xml:space="preserve"> Glegola</w:t>
            </w:r>
          </w:p>
        </w:tc>
      </w:tr>
      <w:tr w:rsidRPr="00B72876" w:rsidR="00FE3BAE" w:rsidTr="00F862A9"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B72876" w:rsidR="00FE3BAE" w:rsidP="00A23C17" w:rsidRDefault="00FE3BAE" w14:paraId="1414CA71" w14:textId="77777777">
            <w:pPr>
              <w:rPr>
                <w:b/>
                <w:bCs/>
              </w:rPr>
            </w:pPr>
            <w:r w:rsidRPr="00B72876">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B72876" w:rsidR="00FE3BAE" w:rsidP="00A23C17" w:rsidRDefault="00C9671F" w14:paraId="7CA711B6" w14:textId="2160EFD5">
            <w:r>
              <w:t>California Public Utilities Commission</w:t>
            </w:r>
          </w:p>
        </w:tc>
      </w:tr>
    </w:tbl>
    <w:p w:rsidRPr="00B72876" w:rsidR="00FE3BAE" w:rsidP="00B52291" w:rsidRDefault="00FE3BAE" w14:paraId="7F0236A2" w14:textId="77777777">
      <w:pPr>
        <w:spacing w:before="120" w:after="240"/>
        <w:jc w:val="center"/>
        <w:rPr>
          <w:b/>
          <w:bCs/>
        </w:rPr>
      </w:pPr>
      <w:r w:rsidRPr="00B72876">
        <w:rPr>
          <w:b/>
          <w:bCs/>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063"/>
        <w:gridCol w:w="1458"/>
        <w:gridCol w:w="1430"/>
        <w:gridCol w:w="1587"/>
        <w:gridCol w:w="1404"/>
        <w:gridCol w:w="2498"/>
      </w:tblGrid>
      <w:tr w:rsidRPr="00B72876" w:rsidR="00FE3BAE" w:rsidTr="00F862A9" w14:paraId="6CDB318E" w14:textId="77777777">
        <w:trPr>
          <w:jc w:val="center"/>
        </w:trPr>
        <w:tc>
          <w:tcPr>
            <w:tcW w:w="2043" w:type="dxa"/>
            <w:tcBorders>
              <w:top w:val="single" w:color="auto" w:sz="4" w:space="0"/>
              <w:left w:val="single" w:color="auto" w:sz="4" w:space="0"/>
              <w:bottom w:val="single" w:color="auto" w:sz="4" w:space="0"/>
              <w:right w:val="single" w:color="auto" w:sz="4" w:space="0"/>
            </w:tcBorders>
            <w:vAlign w:val="bottom"/>
            <w:hideMark/>
          </w:tcPr>
          <w:p w:rsidRPr="00B72876" w:rsidR="00FE3BAE" w:rsidP="00CE057B" w:rsidRDefault="00FE3BAE" w14:paraId="2578F35B" w14:textId="77777777">
            <w:pPr>
              <w:jc w:val="center"/>
              <w:rPr>
                <w:b/>
                <w:bCs/>
              </w:rPr>
            </w:pPr>
            <w:r w:rsidRPr="00B72876">
              <w:rPr>
                <w:b/>
                <w:bCs/>
              </w:rPr>
              <w:t>Intervenor</w:t>
            </w:r>
          </w:p>
        </w:tc>
        <w:tc>
          <w:tcPr>
            <w:tcW w:w="1444" w:type="dxa"/>
            <w:tcBorders>
              <w:top w:val="single" w:color="auto" w:sz="4" w:space="0"/>
              <w:left w:val="single" w:color="auto" w:sz="4" w:space="0"/>
              <w:bottom w:val="single" w:color="auto" w:sz="4" w:space="0"/>
              <w:right w:val="single" w:color="auto" w:sz="4" w:space="0"/>
            </w:tcBorders>
            <w:vAlign w:val="bottom"/>
            <w:hideMark/>
          </w:tcPr>
          <w:p w:rsidRPr="00B72876" w:rsidR="00B803D5" w:rsidP="00CE057B" w:rsidRDefault="0081626F" w14:paraId="1A2BF295" w14:textId="77777777">
            <w:pPr>
              <w:jc w:val="center"/>
              <w:rPr>
                <w:b/>
                <w:bCs/>
              </w:rPr>
            </w:pPr>
            <w:r w:rsidRPr="00B72876">
              <w:rPr>
                <w:b/>
                <w:bCs/>
              </w:rPr>
              <w:t>Date</w:t>
            </w:r>
          </w:p>
          <w:p w:rsidRPr="00B72876" w:rsidR="00FE3BAE" w:rsidP="00CE057B" w:rsidRDefault="0081626F" w14:paraId="2C1C9DC3" w14:textId="2305FDF8">
            <w:pPr>
              <w:jc w:val="center"/>
              <w:rPr>
                <w:b/>
                <w:bCs/>
              </w:rPr>
            </w:pPr>
            <w:r w:rsidRPr="00B72876">
              <w:rPr>
                <w:b/>
                <w:bCs/>
              </w:rPr>
              <w:t>Claim Filed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B72876" w:rsidR="00FE3BAE" w:rsidP="00CE057B" w:rsidRDefault="00FE3BAE" w14:paraId="60DD020D" w14:textId="77777777">
            <w:pPr>
              <w:jc w:val="center"/>
              <w:rPr>
                <w:b/>
                <w:bCs/>
              </w:rPr>
            </w:pPr>
            <w:r w:rsidRPr="00B72876">
              <w:rPr>
                <w:b/>
                <w:bCs/>
              </w:rPr>
              <w:t>Amount Requested</w:t>
            </w:r>
          </w:p>
        </w:tc>
        <w:tc>
          <w:tcPr>
            <w:tcW w:w="1571" w:type="dxa"/>
            <w:tcBorders>
              <w:top w:val="single" w:color="auto" w:sz="4" w:space="0"/>
              <w:left w:val="single" w:color="auto" w:sz="4" w:space="0"/>
              <w:bottom w:val="single" w:color="auto" w:sz="4" w:space="0"/>
              <w:right w:val="single" w:color="auto" w:sz="4" w:space="0"/>
            </w:tcBorders>
            <w:vAlign w:val="bottom"/>
            <w:hideMark/>
          </w:tcPr>
          <w:p w:rsidRPr="00B72876" w:rsidR="00FE3BAE" w:rsidP="00CE057B" w:rsidRDefault="00FE3BAE" w14:paraId="19A4A01D" w14:textId="77777777">
            <w:pPr>
              <w:jc w:val="center"/>
              <w:rPr>
                <w:b/>
                <w:bCs/>
              </w:rPr>
            </w:pPr>
            <w:r w:rsidRPr="00B72876">
              <w:rPr>
                <w:b/>
                <w:bCs/>
              </w:rPr>
              <w:t>Amount Awarded</w:t>
            </w:r>
          </w:p>
        </w:tc>
        <w:tc>
          <w:tcPr>
            <w:tcW w:w="1390" w:type="dxa"/>
            <w:tcBorders>
              <w:top w:val="single" w:color="auto" w:sz="4" w:space="0"/>
              <w:left w:val="single" w:color="auto" w:sz="4" w:space="0"/>
              <w:bottom w:val="single" w:color="auto" w:sz="4" w:space="0"/>
              <w:right w:val="single" w:color="auto" w:sz="4" w:space="0"/>
            </w:tcBorders>
            <w:vAlign w:val="bottom"/>
            <w:hideMark/>
          </w:tcPr>
          <w:p w:rsidRPr="00B72876" w:rsidR="00FE3BAE" w:rsidP="00CE057B" w:rsidRDefault="00FE3BAE" w14:paraId="5B9F47E2" w14:textId="77777777">
            <w:pPr>
              <w:jc w:val="center"/>
              <w:rPr>
                <w:b/>
                <w:bCs/>
              </w:rPr>
            </w:pPr>
            <w:r w:rsidRPr="00B72876">
              <w:rPr>
                <w:b/>
                <w:bCs/>
              </w:rPr>
              <w:t>Multiplier?</w:t>
            </w:r>
          </w:p>
        </w:tc>
        <w:tc>
          <w:tcPr>
            <w:tcW w:w="2474" w:type="dxa"/>
            <w:tcBorders>
              <w:top w:val="single" w:color="auto" w:sz="4" w:space="0"/>
              <w:left w:val="single" w:color="auto" w:sz="4" w:space="0"/>
              <w:bottom w:val="single" w:color="auto" w:sz="4" w:space="0"/>
              <w:right w:val="single" w:color="auto" w:sz="4" w:space="0"/>
            </w:tcBorders>
            <w:vAlign w:val="bottom"/>
            <w:hideMark/>
          </w:tcPr>
          <w:p w:rsidRPr="00B72876" w:rsidR="00FE3BAE" w:rsidP="00CE057B" w:rsidRDefault="00FE3BAE" w14:paraId="089590A8" w14:textId="77777777">
            <w:pPr>
              <w:jc w:val="center"/>
              <w:rPr>
                <w:b/>
                <w:bCs/>
              </w:rPr>
            </w:pPr>
            <w:r w:rsidRPr="00B72876">
              <w:rPr>
                <w:b/>
                <w:bCs/>
              </w:rPr>
              <w:t>Reason Change/Disallowance</w:t>
            </w:r>
          </w:p>
        </w:tc>
      </w:tr>
      <w:tr w:rsidRPr="00B72876" w:rsidR="00FE3BAE" w:rsidTr="00E11025" w14:paraId="080524E3" w14:textId="77777777">
        <w:trPr>
          <w:trHeight w:val="872"/>
          <w:jc w:val="center"/>
        </w:trPr>
        <w:tc>
          <w:tcPr>
            <w:tcW w:w="2043"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B72876" w:rsidR="00FE3BAE" w:rsidP="00A23C17" w:rsidRDefault="005757A1" w14:paraId="3008FB17" w14:textId="45AA69EC">
            <w:pPr>
              <w:jc w:val="center"/>
              <w:rPr>
                <w:bCs/>
              </w:rPr>
            </w:pPr>
            <w:r w:rsidRPr="00E11025">
              <w:rPr>
                <w:bCs/>
                <w:shd w:val="clear" w:color="auto" w:fill="FFFFFF" w:themeFill="background1"/>
              </w:rPr>
              <w:t>U</w:t>
            </w:r>
            <w:r w:rsidRPr="00E11025" w:rsidR="00C9671F">
              <w:rPr>
                <w:bCs/>
                <w:shd w:val="clear" w:color="auto" w:fill="FFFFFF" w:themeFill="background1"/>
              </w:rPr>
              <w:t>tility Consumers’</w:t>
            </w:r>
            <w:r w:rsidR="00C9671F">
              <w:rPr>
                <w:bCs/>
                <w:shd w:val="clear" w:color="auto" w:fill="CCFFCC"/>
              </w:rPr>
              <w:t xml:space="preserve"> </w:t>
            </w:r>
            <w:r w:rsidRPr="00E11025" w:rsidR="00C9671F">
              <w:rPr>
                <w:bCs/>
                <w:shd w:val="clear" w:color="auto" w:fill="FFFFFF" w:themeFill="background1"/>
              </w:rPr>
              <w:t>Action Network</w:t>
            </w:r>
          </w:p>
        </w:tc>
        <w:tc>
          <w:tcPr>
            <w:tcW w:w="144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B72876" w:rsidR="00FE3BAE" w:rsidP="00A23C17" w:rsidRDefault="00365D26" w14:paraId="63956769" w14:textId="0DA3350A">
            <w:pPr>
              <w:jc w:val="center"/>
            </w:pPr>
            <w:r>
              <w:t>June 21, 2022</w:t>
            </w:r>
          </w:p>
        </w:tc>
        <w:tc>
          <w:tcPr>
            <w:tcW w:w="140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B72876" w:rsidR="00FE3BAE" w:rsidP="00A23C17" w:rsidRDefault="00B01811" w14:paraId="75AD20FA" w14:textId="4BAC4817">
            <w:pPr>
              <w:jc w:val="center"/>
            </w:pPr>
            <w:r w:rsidRPr="00B01811">
              <w:t>$125,158.5</w:t>
            </w:r>
            <w:r w:rsidR="0041559F">
              <w:t>6</w:t>
            </w:r>
          </w:p>
        </w:tc>
        <w:tc>
          <w:tcPr>
            <w:tcW w:w="1571" w:type="dxa"/>
            <w:tcBorders>
              <w:top w:val="single" w:color="auto" w:sz="4" w:space="0"/>
              <w:left w:val="single" w:color="auto" w:sz="4" w:space="0"/>
              <w:bottom w:val="single" w:color="auto" w:sz="4" w:space="0"/>
              <w:right w:val="single" w:color="auto" w:sz="4" w:space="0"/>
            </w:tcBorders>
            <w:hideMark/>
          </w:tcPr>
          <w:p w:rsidRPr="00B72876" w:rsidR="00FE3BAE" w:rsidP="00A23C17" w:rsidRDefault="00E11025" w14:paraId="0DD6FE00" w14:textId="6BD98772">
            <w:pPr>
              <w:jc w:val="center"/>
            </w:pPr>
            <w:r w:rsidRPr="00FC13C4">
              <w:t>$6</w:t>
            </w:r>
            <w:r w:rsidR="006B6F0C">
              <w:t>2</w:t>
            </w:r>
            <w:r w:rsidRPr="00FC13C4">
              <w:t>,</w:t>
            </w:r>
            <w:r w:rsidR="006B6F0C">
              <w:t>134</w:t>
            </w:r>
            <w:r w:rsidR="00FC13C4">
              <w:t>.</w:t>
            </w:r>
            <w:r w:rsidR="006B6F0C">
              <w:t>4</w:t>
            </w:r>
            <w:r w:rsidR="00FC13C4">
              <w:t>8</w:t>
            </w:r>
          </w:p>
        </w:tc>
        <w:tc>
          <w:tcPr>
            <w:tcW w:w="1390" w:type="dxa"/>
            <w:tcBorders>
              <w:top w:val="single" w:color="auto" w:sz="4" w:space="0"/>
              <w:left w:val="single" w:color="auto" w:sz="4" w:space="0"/>
              <w:bottom w:val="single" w:color="auto" w:sz="4" w:space="0"/>
              <w:right w:val="single" w:color="auto" w:sz="4" w:space="0"/>
            </w:tcBorders>
            <w:hideMark/>
          </w:tcPr>
          <w:p w:rsidRPr="00B72876" w:rsidR="00FE3BAE" w:rsidP="00A23C17" w:rsidRDefault="00FE3BAE" w14:paraId="0BDAFE20" w14:textId="77777777">
            <w:pPr>
              <w:jc w:val="center"/>
            </w:pPr>
            <w:r w:rsidRPr="00B72876">
              <w:t>N/A</w:t>
            </w:r>
          </w:p>
        </w:tc>
        <w:tc>
          <w:tcPr>
            <w:tcW w:w="2474" w:type="dxa"/>
            <w:tcBorders>
              <w:top w:val="single" w:color="auto" w:sz="4" w:space="0"/>
              <w:left w:val="single" w:color="auto" w:sz="4" w:space="0"/>
              <w:bottom w:val="single" w:color="auto" w:sz="4" w:space="0"/>
              <w:right w:val="single" w:color="auto" w:sz="4" w:space="0"/>
            </w:tcBorders>
            <w:hideMark/>
          </w:tcPr>
          <w:p w:rsidRPr="00B72876" w:rsidR="00FE3BAE" w:rsidP="00A23C17" w:rsidRDefault="00B23024" w14:paraId="6B53C6F9" w14:textId="6C01DB22">
            <w:pPr>
              <w:jc w:val="center"/>
            </w:pPr>
            <w:r>
              <w:t xml:space="preserve">See Part III.D CPUC Comments, Disallowances and Adjustments    </w:t>
            </w:r>
          </w:p>
        </w:tc>
      </w:tr>
    </w:tbl>
    <w:p w:rsidRPr="00B72876" w:rsidR="00FE3BAE" w:rsidP="00B52291" w:rsidRDefault="0022302F" w14:paraId="2841210B" w14:textId="77777777">
      <w:pPr>
        <w:spacing w:before="120" w:after="120"/>
        <w:jc w:val="center"/>
        <w:rPr>
          <w:b/>
          <w:bCs/>
        </w:rPr>
      </w:pPr>
      <w:r w:rsidRPr="00B72876">
        <w:rPr>
          <w:b/>
          <w:bCs/>
        </w:rPr>
        <w:t>Hourly Fee</w:t>
      </w:r>
      <w:r w:rsidRPr="00B72876" w:rsidR="00FE3BAE">
        <w:rPr>
          <w:b/>
          <w:bCs/>
        </w:rPr>
        <w:t xml:space="preserve"> Information</w:t>
      </w:r>
    </w:p>
    <w:tbl>
      <w:tblPr>
        <w:tblW w:w="10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33"/>
        <w:gridCol w:w="1739"/>
        <w:gridCol w:w="2105"/>
        <w:gridCol w:w="1763"/>
        <w:gridCol w:w="1739"/>
        <w:gridCol w:w="1648"/>
      </w:tblGrid>
      <w:tr w:rsidRPr="00B803D5" w:rsidR="00BA5A4E" w:rsidTr="00B52291" w14:paraId="62C920F8" w14:textId="77777777">
        <w:trPr>
          <w:trHeight w:val="264"/>
          <w:jc w:val="center"/>
        </w:trPr>
        <w:tc>
          <w:tcPr>
            <w:tcW w:w="1533" w:type="dxa"/>
            <w:tcBorders>
              <w:top w:val="single" w:color="auto" w:sz="4" w:space="0"/>
              <w:left w:val="single" w:color="auto" w:sz="4" w:space="0"/>
              <w:bottom w:val="single" w:color="auto" w:sz="4" w:space="0"/>
              <w:right w:val="single" w:color="auto" w:sz="4" w:space="0"/>
            </w:tcBorders>
            <w:vAlign w:val="bottom"/>
            <w:hideMark/>
          </w:tcPr>
          <w:p w:rsidRPr="00B803D5" w:rsidR="00BA5A4E" w:rsidP="003E7566" w:rsidRDefault="00BA5A4E" w14:paraId="46662B06" w14:textId="77777777">
            <w:pPr>
              <w:jc w:val="center"/>
              <w:rPr>
                <w:b/>
                <w:bCs/>
              </w:rPr>
            </w:pPr>
            <w:r w:rsidRPr="00B803D5">
              <w:rPr>
                <w:b/>
                <w:bCs/>
              </w:rPr>
              <w:t>First Name</w:t>
            </w:r>
          </w:p>
        </w:tc>
        <w:tc>
          <w:tcPr>
            <w:tcW w:w="1739" w:type="dxa"/>
            <w:tcBorders>
              <w:top w:val="single" w:color="auto" w:sz="4" w:space="0"/>
              <w:left w:val="single" w:color="auto" w:sz="4" w:space="0"/>
              <w:bottom w:val="single" w:color="auto" w:sz="4" w:space="0"/>
              <w:right w:val="single" w:color="auto" w:sz="4" w:space="0"/>
            </w:tcBorders>
            <w:vAlign w:val="bottom"/>
            <w:hideMark/>
          </w:tcPr>
          <w:p w:rsidRPr="00B803D5" w:rsidR="00BA5A4E" w:rsidP="003E7566" w:rsidRDefault="00BA5A4E" w14:paraId="588D6FE0" w14:textId="77777777">
            <w:pPr>
              <w:jc w:val="center"/>
              <w:rPr>
                <w:b/>
                <w:bCs/>
              </w:rPr>
            </w:pPr>
            <w:r w:rsidRPr="00B803D5">
              <w:rPr>
                <w:b/>
                <w:bCs/>
              </w:rPr>
              <w:t>Last Name</w:t>
            </w:r>
          </w:p>
        </w:tc>
        <w:tc>
          <w:tcPr>
            <w:tcW w:w="2105" w:type="dxa"/>
            <w:tcBorders>
              <w:top w:val="single" w:color="auto" w:sz="4" w:space="0"/>
              <w:left w:val="single" w:color="auto" w:sz="4" w:space="0"/>
              <w:bottom w:val="single" w:color="auto" w:sz="4" w:space="0"/>
              <w:right w:val="single" w:color="auto" w:sz="4" w:space="0"/>
            </w:tcBorders>
            <w:vAlign w:val="bottom"/>
            <w:hideMark/>
          </w:tcPr>
          <w:p w:rsidRPr="00B803D5" w:rsidR="00BA5A4E" w:rsidP="003E7566" w:rsidRDefault="00BA5A4E" w14:paraId="4509D764" w14:textId="62ED5C31">
            <w:pPr>
              <w:ind w:left="12" w:firstLine="12"/>
              <w:jc w:val="center"/>
              <w:rPr>
                <w:b/>
                <w:bCs/>
              </w:rPr>
            </w:pPr>
            <w:r w:rsidRPr="00B803D5">
              <w:rPr>
                <w:b/>
                <w:bCs/>
              </w:rPr>
              <w:t>Attorney, Expert, Advocate</w:t>
            </w:r>
            <w:r w:rsidR="00FF3FCC">
              <w:rPr>
                <w:b/>
                <w:bCs/>
              </w:rPr>
              <w:t>, or Consultant</w:t>
            </w:r>
          </w:p>
        </w:tc>
        <w:tc>
          <w:tcPr>
            <w:tcW w:w="1763" w:type="dxa"/>
            <w:tcBorders>
              <w:top w:val="single" w:color="auto" w:sz="4" w:space="0"/>
              <w:left w:val="single" w:color="auto" w:sz="4" w:space="0"/>
              <w:bottom w:val="single" w:color="auto" w:sz="4" w:space="0"/>
              <w:right w:val="single" w:color="auto" w:sz="4" w:space="0"/>
            </w:tcBorders>
            <w:vAlign w:val="bottom"/>
            <w:hideMark/>
          </w:tcPr>
          <w:p w:rsidR="00BA5A4E" w:rsidP="003E7566" w:rsidRDefault="00BA5A4E" w14:paraId="2598EA33" w14:textId="77777777">
            <w:pPr>
              <w:jc w:val="center"/>
              <w:rPr>
                <w:b/>
                <w:bCs/>
              </w:rPr>
            </w:pPr>
            <w:r w:rsidRPr="00B803D5">
              <w:rPr>
                <w:b/>
                <w:bCs/>
              </w:rPr>
              <w:t>Hourly</w:t>
            </w:r>
          </w:p>
          <w:p w:rsidRPr="00B803D5" w:rsidR="00BA5A4E" w:rsidP="003E7566" w:rsidRDefault="00BA5A4E" w14:paraId="765D7C51" w14:textId="77777777">
            <w:pPr>
              <w:jc w:val="center"/>
              <w:rPr>
                <w:b/>
                <w:bCs/>
              </w:rPr>
            </w:pPr>
            <w:r w:rsidRPr="00B803D5">
              <w:rPr>
                <w:b/>
                <w:bCs/>
              </w:rPr>
              <w:t>Fee Requested</w:t>
            </w:r>
          </w:p>
        </w:tc>
        <w:tc>
          <w:tcPr>
            <w:tcW w:w="1739" w:type="dxa"/>
            <w:tcBorders>
              <w:top w:val="single" w:color="auto" w:sz="4" w:space="0"/>
              <w:left w:val="single" w:color="auto" w:sz="4" w:space="0"/>
              <w:bottom w:val="single" w:color="auto" w:sz="4" w:space="0"/>
              <w:right w:val="single" w:color="auto" w:sz="4" w:space="0"/>
            </w:tcBorders>
            <w:vAlign w:val="bottom"/>
            <w:hideMark/>
          </w:tcPr>
          <w:p w:rsidR="00BA5A4E" w:rsidP="003E7566" w:rsidRDefault="00BA5A4E" w14:paraId="7B772ECD" w14:textId="77777777">
            <w:pPr>
              <w:jc w:val="center"/>
              <w:rPr>
                <w:b/>
                <w:bCs/>
              </w:rPr>
            </w:pPr>
            <w:r w:rsidRPr="00B803D5">
              <w:rPr>
                <w:b/>
                <w:bCs/>
              </w:rPr>
              <w:t>Year Hourly</w:t>
            </w:r>
          </w:p>
          <w:p w:rsidRPr="00B803D5" w:rsidR="00BA5A4E" w:rsidP="003E7566" w:rsidRDefault="00BA5A4E" w14:paraId="264B6696" w14:textId="77777777">
            <w:pPr>
              <w:jc w:val="center"/>
              <w:rPr>
                <w:b/>
                <w:bCs/>
              </w:rPr>
            </w:pPr>
            <w:r w:rsidRPr="00B803D5">
              <w:rPr>
                <w:b/>
                <w:bCs/>
              </w:rPr>
              <w:t>Fee Requested</w:t>
            </w:r>
          </w:p>
        </w:tc>
        <w:tc>
          <w:tcPr>
            <w:tcW w:w="1648" w:type="dxa"/>
            <w:tcBorders>
              <w:top w:val="single" w:color="auto" w:sz="4" w:space="0"/>
              <w:left w:val="single" w:color="auto" w:sz="4" w:space="0"/>
              <w:bottom w:val="single" w:color="auto" w:sz="4" w:space="0"/>
              <w:right w:val="single" w:color="auto" w:sz="4" w:space="0"/>
            </w:tcBorders>
            <w:vAlign w:val="bottom"/>
            <w:hideMark/>
          </w:tcPr>
          <w:p w:rsidR="00BA5A4E" w:rsidP="003E7566" w:rsidRDefault="00BA5A4E" w14:paraId="35AB4290" w14:textId="77777777">
            <w:pPr>
              <w:jc w:val="center"/>
              <w:rPr>
                <w:b/>
                <w:bCs/>
              </w:rPr>
            </w:pPr>
            <w:r w:rsidRPr="00B803D5">
              <w:rPr>
                <w:b/>
                <w:bCs/>
              </w:rPr>
              <w:t>Hourly</w:t>
            </w:r>
          </w:p>
          <w:p w:rsidRPr="00B803D5" w:rsidR="00BA5A4E" w:rsidP="003E7566" w:rsidRDefault="00BA5A4E" w14:paraId="06255F64" w14:textId="77777777">
            <w:pPr>
              <w:jc w:val="center"/>
              <w:rPr>
                <w:b/>
                <w:bCs/>
              </w:rPr>
            </w:pPr>
            <w:r w:rsidRPr="00B803D5">
              <w:rPr>
                <w:b/>
                <w:bCs/>
              </w:rPr>
              <w:t>Fee Adopted</w:t>
            </w:r>
          </w:p>
        </w:tc>
      </w:tr>
      <w:tr w:rsidRPr="00B803D5" w:rsidR="00BA5A4E" w:rsidTr="00B52291" w14:paraId="278C269C" w14:textId="77777777">
        <w:trPr>
          <w:trHeight w:val="264"/>
          <w:jc w:val="center"/>
        </w:trPr>
        <w:tc>
          <w:tcPr>
            <w:tcW w:w="153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5902B949" w14:textId="125C376D">
            <w:pPr>
              <w:jc w:val="center"/>
              <w:rPr>
                <w:shd w:val="clear" w:color="auto" w:fill="CCFFCC"/>
              </w:rPr>
            </w:pPr>
            <w:r w:rsidRPr="00C9671F">
              <w:t>Edward</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588B14A3" w14:textId="4F5277C7">
            <w:pPr>
              <w:jc w:val="center"/>
              <w:rPr>
                <w:shd w:val="clear" w:color="auto" w:fill="CCFFCC"/>
              </w:rPr>
            </w:pPr>
            <w:r w:rsidRPr="00C9671F">
              <w:t>Lopez</w:t>
            </w:r>
          </w:p>
        </w:tc>
        <w:tc>
          <w:tcPr>
            <w:tcW w:w="2105"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6AA3995D" w14:textId="29C9DE24">
            <w:pPr>
              <w:jc w:val="center"/>
              <w:rPr>
                <w:shd w:val="clear" w:color="auto" w:fill="CCFFCC"/>
              </w:rPr>
            </w:pPr>
            <w:r w:rsidRPr="00C9671F">
              <w:t>Executive Director</w:t>
            </w:r>
          </w:p>
        </w:tc>
        <w:tc>
          <w:tcPr>
            <w:tcW w:w="176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213F710F" w14:textId="405BE48B">
            <w:pPr>
              <w:jc w:val="center"/>
            </w:pPr>
            <w:r>
              <w:t>$335</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19E111FC" w14:textId="205B7DB1">
            <w:pPr>
              <w:jc w:val="center"/>
            </w:pPr>
            <w:r>
              <w:t>2020</w:t>
            </w:r>
          </w:p>
        </w:tc>
        <w:tc>
          <w:tcPr>
            <w:tcW w:w="1648" w:type="dxa"/>
            <w:tcBorders>
              <w:top w:val="single" w:color="auto" w:sz="4" w:space="0"/>
              <w:left w:val="single" w:color="auto" w:sz="4" w:space="0"/>
              <w:bottom w:val="single" w:color="auto" w:sz="4" w:space="0"/>
              <w:right w:val="single" w:color="auto" w:sz="4" w:space="0"/>
            </w:tcBorders>
          </w:tcPr>
          <w:p w:rsidRPr="00B803D5" w:rsidR="00BA5A4E" w:rsidP="00C9671F" w:rsidRDefault="00C9671F" w14:paraId="6A7BB99A" w14:textId="7DA71829">
            <w:r>
              <w:rPr>
                <w:color w:val="000000"/>
              </w:rPr>
              <w:t>$335.00</w:t>
            </w:r>
          </w:p>
        </w:tc>
      </w:tr>
      <w:tr w:rsidRPr="00B803D5" w:rsidR="00BA5A4E" w:rsidTr="00B52291" w14:paraId="60CA81F9" w14:textId="77777777">
        <w:trPr>
          <w:trHeight w:val="264"/>
          <w:jc w:val="center"/>
        </w:trPr>
        <w:tc>
          <w:tcPr>
            <w:tcW w:w="153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46B1E418" w14:textId="70F1B6EE">
            <w:pPr>
              <w:jc w:val="center"/>
              <w:rPr>
                <w:shd w:val="clear" w:color="auto" w:fill="CCFFCC"/>
              </w:rPr>
            </w:pPr>
            <w:r w:rsidRPr="00C9671F">
              <w:t>Edward</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31885A1E" w14:textId="0403BB2E">
            <w:pPr>
              <w:jc w:val="center"/>
              <w:rPr>
                <w:shd w:val="clear" w:color="auto" w:fill="CCFFCC"/>
              </w:rPr>
            </w:pPr>
            <w:r w:rsidRPr="00C9671F">
              <w:t>Lopez</w:t>
            </w:r>
          </w:p>
        </w:tc>
        <w:tc>
          <w:tcPr>
            <w:tcW w:w="2105"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56F5EBDE" w14:textId="1E308AC9">
            <w:pPr>
              <w:jc w:val="center"/>
              <w:rPr>
                <w:shd w:val="clear" w:color="auto" w:fill="CCFFCC"/>
              </w:rPr>
            </w:pPr>
            <w:r w:rsidRPr="00C9671F">
              <w:t>Executive Director</w:t>
            </w:r>
          </w:p>
        </w:tc>
        <w:tc>
          <w:tcPr>
            <w:tcW w:w="176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33667B9E" w14:textId="474907E7">
            <w:pPr>
              <w:jc w:val="center"/>
            </w:pPr>
            <w:r>
              <w:t>$442</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7DA11950" w14:textId="57C0FC50">
            <w:pPr>
              <w:jc w:val="center"/>
            </w:pPr>
            <w:r>
              <w:t>2021</w:t>
            </w:r>
          </w:p>
        </w:tc>
        <w:tc>
          <w:tcPr>
            <w:tcW w:w="1648" w:type="dxa"/>
            <w:tcBorders>
              <w:top w:val="single" w:color="auto" w:sz="4" w:space="0"/>
              <w:left w:val="single" w:color="auto" w:sz="4" w:space="0"/>
              <w:bottom w:val="single" w:color="auto" w:sz="4" w:space="0"/>
              <w:right w:val="single" w:color="auto" w:sz="4" w:space="0"/>
            </w:tcBorders>
          </w:tcPr>
          <w:p w:rsidRPr="00B803D5" w:rsidR="00BA5A4E" w:rsidP="00C9671F" w:rsidRDefault="00C9671F" w14:paraId="285505C1" w14:textId="55BE2DBA">
            <w:r>
              <w:t>$440.00</w:t>
            </w:r>
          </w:p>
        </w:tc>
      </w:tr>
      <w:tr w:rsidRPr="00B803D5" w:rsidR="00BA5A4E" w:rsidTr="00B52291" w14:paraId="43FEB8F4" w14:textId="77777777">
        <w:trPr>
          <w:trHeight w:val="264"/>
          <w:jc w:val="center"/>
        </w:trPr>
        <w:tc>
          <w:tcPr>
            <w:tcW w:w="153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53E90486" w14:textId="219C6946">
            <w:pPr>
              <w:jc w:val="center"/>
              <w:rPr>
                <w:shd w:val="clear" w:color="auto" w:fill="CCFFCC"/>
              </w:rPr>
            </w:pPr>
            <w:r w:rsidRPr="00C9671F">
              <w:t>Edward</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2D5F6511" w14:textId="087F5E9A">
            <w:pPr>
              <w:jc w:val="center"/>
              <w:rPr>
                <w:shd w:val="clear" w:color="auto" w:fill="CCFFCC"/>
              </w:rPr>
            </w:pPr>
            <w:r w:rsidRPr="00C9671F">
              <w:t>Lopez</w:t>
            </w:r>
          </w:p>
        </w:tc>
        <w:tc>
          <w:tcPr>
            <w:tcW w:w="2105"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3FB51597" w14:textId="195CE7F4">
            <w:pPr>
              <w:jc w:val="center"/>
              <w:rPr>
                <w:shd w:val="clear" w:color="auto" w:fill="CCFFCC"/>
              </w:rPr>
            </w:pPr>
            <w:r w:rsidRPr="00C9671F">
              <w:t>Executive Director</w:t>
            </w:r>
          </w:p>
        </w:tc>
        <w:tc>
          <w:tcPr>
            <w:tcW w:w="176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210A2896" w14:textId="1C3B4359">
            <w:pPr>
              <w:jc w:val="center"/>
            </w:pPr>
            <w:r>
              <w:t>$442</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1DC3B718" w14:textId="289380A7">
            <w:pPr>
              <w:jc w:val="center"/>
            </w:pPr>
            <w:r>
              <w:t>2022</w:t>
            </w:r>
          </w:p>
        </w:tc>
        <w:tc>
          <w:tcPr>
            <w:tcW w:w="1648" w:type="dxa"/>
            <w:tcBorders>
              <w:top w:val="single" w:color="auto" w:sz="4" w:space="0"/>
              <w:left w:val="single" w:color="auto" w:sz="4" w:space="0"/>
              <w:bottom w:val="single" w:color="auto" w:sz="4" w:space="0"/>
              <w:right w:val="single" w:color="auto" w:sz="4" w:space="0"/>
            </w:tcBorders>
          </w:tcPr>
          <w:p w:rsidRPr="00B803D5" w:rsidR="00BA5A4E" w:rsidP="00C9671F" w:rsidRDefault="00C9671F" w14:paraId="7853DAD3" w14:textId="53F42A6A">
            <w:r>
              <w:t>$455.00</w:t>
            </w:r>
          </w:p>
        </w:tc>
      </w:tr>
      <w:tr w:rsidRPr="00B803D5" w:rsidR="00BA5A4E" w:rsidTr="00B52291" w14:paraId="084549C6" w14:textId="77777777">
        <w:trPr>
          <w:trHeight w:val="264"/>
          <w:jc w:val="center"/>
        </w:trPr>
        <w:tc>
          <w:tcPr>
            <w:tcW w:w="153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1E0A3C7D" w14:textId="3DBB5FE8">
            <w:pPr>
              <w:jc w:val="center"/>
              <w:rPr>
                <w:shd w:val="clear" w:color="auto" w:fill="CCFFCC"/>
              </w:rPr>
            </w:pPr>
            <w:r w:rsidRPr="00C9671F">
              <w:t>Susan</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09BF44B5" w14:textId="585B2DEF">
            <w:pPr>
              <w:jc w:val="center"/>
              <w:rPr>
                <w:shd w:val="clear" w:color="auto" w:fill="CCFFCC"/>
              </w:rPr>
            </w:pPr>
            <w:r w:rsidRPr="00C9671F">
              <w:t>Baldwin</w:t>
            </w:r>
          </w:p>
        </w:tc>
        <w:tc>
          <w:tcPr>
            <w:tcW w:w="2105"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FF3FCC" w14:paraId="09BB7733" w14:textId="4B42AC6F">
            <w:pPr>
              <w:jc w:val="center"/>
              <w:rPr>
                <w:shd w:val="clear" w:color="auto" w:fill="CCFFCC"/>
              </w:rPr>
            </w:pPr>
            <w:r>
              <w:rPr>
                <w:color w:val="000000"/>
              </w:rPr>
              <w:t xml:space="preserve">Consultant/ </w:t>
            </w:r>
            <w:r w:rsidRPr="007B2BF1" w:rsidR="00E21586">
              <w:rPr>
                <w:color w:val="000000"/>
              </w:rPr>
              <w:t>Expert Economist Level V</w:t>
            </w:r>
          </w:p>
        </w:tc>
        <w:tc>
          <w:tcPr>
            <w:tcW w:w="176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77D88FC7" w14:textId="76FF2C84">
            <w:pPr>
              <w:jc w:val="center"/>
            </w:pPr>
            <w:r>
              <w:t>$215</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4A10C499" w14:textId="365BABE1">
            <w:pPr>
              <w:jc w:val="center"/>
            </w:pPr>
            <w:r>
              <w:t>2020</w:t>
            </w:r>
          </w:p>
        </w:tc>
        <w:tc>
          <w:tcPr>
            <w:tcW w:w="1648" w:type="dxa"/>
            <w:tcBorders>
              <w:top w:val="single" w:color="auto" w:sz="4" w:space="0"/>
              <w:left w:val="single" w:color="auto" w:sz="4" w:space="0"/>
              <w:bottom w:val="single" w:color="auto" w:sz="4" w:space="0"/>
              <w:right w:val="single" w:color="auto" w:sz="4" w:space="0"/>
            </w:tcBorders>
          </w:tcPr>
          <w:p w:rsidRPr="00B803D5" w:rsidR="00BA5A4E" w:rsidP="00C9671F" w:rsidRDefault="00C9671F" w14:paraId="0052EC71" w14:textId="4AD5BE13">
            <w:r>
              <w:t>$215.00</w:t>
            </w:r>
          </w:p>
        </w:tc>
      </w:tr>
      <w:tr w:rsidRPr="00B803D5" w:rsidR="00BA5A4E" w:rsidTr="00B52291" w14:paraId="1B7F9C32" w14:textId="77777777">
        <w:trPr>
          <w:trHeight w:val="264"/>
          <w:jc w:val="center"/>
        </w:trPr>
        <w:tc>
          <w:tcPr>
            <w:tcW w:w="153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652BF68A" w14:textId="75DDAE2D">
            <w:pPr>
              <w:jc w:val="center"/>
              <w:rPr>
                <w:shd w:val="clear" w:color="auto" w:fill="CCFFCC"/>
              </w:rPr>
            </w:pPr>
            <w:r w:rsidRPr="00C9671F">
              <w:t>Susan</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629DEA88" w14:textId="546FF393">
            <w:pPr>
              <w:jc w:val="center"/>
              <w:rPr>
                <w:shd w:val="clear" w:color="auto" w:fill="CCFFCC"/>
              </w:rPr>
            </w:pPr>
            <w:r w:rsidRPr="00C9671F">
              <w:t>Baldwin</w:t>
            </w:r>
          </w:p>
        </w:tc>
        <w:tc>
          <w:tcPr>
            <w:tcW w:w="2105"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FF3FCC" w14:paraId="5F3B4F3A" w14:textId="32194524">
            <w:pPr>
              <w:jc w:val="center"/>
              <w:rPr>
                <w:shd w:val="clear" w:color="auto" w:fill="CCFFCC"/>
              </w:rPr>
            </w:pPr>
            <w:r>
              <w:rPr>
                <w:color w:val="000000"/>
              </w:rPr>
              <w:t xml:space="preserve">Consultant/ </w:t>
            </w:r>
            <w:r w:rsidRPr="007B2BF1" w:rsidR="00E21586">
              <w:rPr>
                <w:color w:val="000000"/>
              </w:rPr>
              <w:t>Expert Economist Level V</w:t>
            </w:r>
          </w:p>
        </w:tc>
        <w:tc>
          <w:tcPr>
            <w:tcW w:w="176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015B4C86" w14:textId="65ED07BE">
            <w:pPr>
              <w:jc w:val="center"/>
            </w:pPr>
            <w:r>
              <w:t>$370.45</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26936C1A" w14:textId="514EEB80">
            <w:pPr>
              <w:jc w:val="center"/>
            </w:pPr>
            <w:r>
              <w:t>2021</w:t>
            </w:r>
          </w:p>
        </w:tc>
        <w:tc>
          <w:tcPr>
            <w:tcW w:w="1648" w:type="dxa"/>
            <w:tcBorders>
              <w:top w:val="single" w:color="auto" w:sz="4" w:space="0"/>
              <w:left w:val="single" w:color="auto" w:sz="4" w:space="0"/>
              <w:bottom w:val="single" w:color="auto" w:sz="4" w:space="0"/>
              <w:right w:val="single" w:color="auto" w:sz="4" w:space="0"/>
            </w:tcBorders>
          </w:tcPr>
          <w:p w:rsidRPr="00B803D5" w:rsidR="00BA5A4E" w:rsidP="00C9671F" w:rsidRDefault="00C9671F" w14:paraId="00A6D680" w14:textId="1B84A962">
            <w:r>
              <w:t>$370.00</w:t>
            </w:r>
          </w:p>
        </w:tc>
      </w:tr>
      <w:tr w:rsidRPr="00B803D5" w:rsidR="00BA5A4E" w:rsidTr="00B52291" w14:paraId="5F7FF46F" w14:textId="77777777">
        <w:trPr>
          <w:trHeight w:val="264"/>
          <w:jc w:val="center"/>
        </w:trPr>
        <w:tc>
          <w:tcPr>
            <w:tcW w:w="153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0997E207" w14:textId="5BAD616B">
            <w:pPr>
              <w:jc w:val="center"/>
              <w:rPr>
                <w:shd w:val="clear" w:color="auto" w:fill="CCFFCC"/>
              </w:rPr>
            </w:pPr>
            <w:r w:rsidRPr="00C9671F">
              <w:t>Susan</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22C6E230" w14:textId="257F307F">
            <w:pPr>
              <w:jc w:val="center"/>
              <w:rPr>
                <w:shd w:val="clear" w:color="auto" w:fill="CCFFCC"/>
              </w:rPr>
            </w:pPr>
            <w:r w:rsidRPr="00C9671F">
              <w:t>Baldwin</w:t>
            </w:r>
          </w:p>
        </w:tc>
        <w:tc>
          <w:tcPr>
            <w:tcW w:w="2105"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FF3FCC" w14:paraId="42E01564" w14:textId="7AB9F257">
            <w:pPr>
              <w:jc w:val="center"/>
              <w:rPr>
                <w:shd w:val="clear" w:color="auto" w:fill="CCFFCC"/>
              </w:rPr>
            </w:pPr>
            <w:r>
              <w:rPr>
                <w:color w:val="000000"/>
              </w:rPr>
              <w:t xml:space="preserve">Consultant/ </w:t>
            </w:r>
            <w:r w:rsidRPr="007B2BF1" w:rsidR="00E21586">
              <w:rPr>
                <w:color w:val="000000"/>
              </w:rPr>
              <w:t>Expert Economist Level V</w:t>
            </w:r>
          </w:p>
        </w:tc>
        <w:tc>
          <w:tcPr>
            <w:tcW w:w="176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29A181E2" w14:textId="55747848">
            <w:pPr>
              <w:jc w:val="center"/>
            </w:pPr>
            <w:r>
              <w:t>$370.45</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34008BCD" w14:textId="70373792">
            <w:pPr>
              <w:jc w:val="center"/>
            </w:pPr>
            <w:r>
              <w:t>2022</w:t>
            </w:r>
          </w:p>
        </w:tc>
        <w:tc>
          <w:tcPr>
            <w:tcW w:w="1648" w:type="dxa"/>
            <w:tcBorders>
              <w:top w:val="single" w:color="auto" w:sz="4" w:space="0"/>
              <w:left w:val="single" w:color="auto" w:sz="4" w:space="0"/>
              <w:bottom w:val="single" w:color="auto" w:sz="4" w:space="0"/>
              <w:right w:val="single" w:color="auto" w:sz="4" w:space="0"/>
            </w:tcBorders>
          </w:tcPr>
          <w:p w:rsidRPr="00B803D5" w:rsidR="00BA5A4E" w:rsidP="00C9671F" w:rsidRDefault="00C9671F" w14:paraId="14000301" w14:textId="0F96C73B">
            <w:r w:rsidRPr="001A52EC">
              <w:t>$380.00</w:t>
            </w:r>
          </w:p>
        </w:tc>
      </w:tr>
      <w:tr w:rsidRPr="00B803D5" w:rsidR="00BA5A4E" w:rsidTr="00B52291" w14:paraId="18377418" w14:textId="77777777">
        <w:trPr>
          <w:trHeight w:val="264"/>
          <w:jc w:val="center"/>
        </w:trPr>
        <w:tc>
          <w:tcPr>
            <w:tcW w:w="153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4AD13392" w14:textId="115BDEF1">
            <w:pPr>
              <w:jc w:val="center"/>
              <w:rPr>
                <w:shd w:val="clear" w:color="auto" w:fill="CCFFCC"/>
              </w:rPr>
            </w:pPr>
            <w:r w:rsidRPr="00C9671F">
              <w:t>Tim</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56B43B6F" w14:textId="0C84839E">
            <w:pPr>
              <w:jc w:val="center"/>
              <w:rPr>
                <w:shd w:val="clear" w:color="auto" w:fill="CCFFCC"/>
              </w:rPr>
            </w:pPr>
            <w:r w:rsidRPr="00C9671F">
              <w:t>Howington</w:t>
            </w:r>
          </w:p>
        </w:tc>
        <w:tc>
          <w:tcPr>
            <w:tcW w:w="2105"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FF3FCC" w14:paraId="5B58F188" w14:textId="7E44DB62">
            <w:pPr>
              <w:jc w:val="center"/>
              <w:rPr>
                <w:shd w:val="clear" w:color="auto" w:fill="CCFFCC"/>
              </w:rPr>
            </w:pPr>
            <w:r>
              <w:rPr>
                <w:color w:val="000000"/>
              </w:rPr>
              <w:t xml:space="preserve">Consultant/ </w:t>
            </w:r>
            <w:r w:rsidRPr="007B2BF1" w:rsidR="00E21586">
              <w:rPr>
                <w:color w:val="000000"/>
              </w:rPr>
              <w:t>Expert Economist Level V</w:t>
            </w:r>
          </w:p>
        </w:tc>
        <w:tc>
          <w:tcPr>
            <w:tcW w:w="176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7E36D0EF" w14:textId="4524AA00">
            <w:pPr>
              <w:jc w:val="center"/>
            </w:pPr>
            <w:r>
              <w:t>$200</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17FA5B8F" w14:textId="2A9AA8CE">
            <w:pPr>
              <w:jc w:val="center"/>
            </w:pPr>
            <w:r>
              <w:t>2020</w:t>
            </w:r>
          </w:p>
        </w:tc>
        <w:tc>
          <w:tcPr>
            <w:tcW w:w="1648" w:type="dxa"/>
            <w:tcBorders>
              <w:top w:val="single" w:color="auto" w:sz="4" w:space="0"/>
              <w:left w:val="single" w:color="auto" w:sz="4" w:space="0"/>
              <w:bottom w:val="single" w:color="auto" w:sz="4" w:space="0"/>
              <w:right w:val="single" w:color="auto" w:sz="4" w:space="0"/>
            </w:tcBorders>
          </w:tcPr>
          <w:p w:rsidRPr="00B803D5" w:rsidR="00BA5A4E" w:rsidP="00C9671F" w:rsidRDefault="00C9671F" w14:paraId="7A9744CD" w14:textId="4BE39178">
            <w:r>
              <w:t>$200.00</w:t>
            </w:r>
          </w:p>
        </w:tc>
      </w:tr>
      <w:tr w:rsidRPr="00B803D5" w:rsidR="00BA5A4E" w:rsidTr="00B52291" w14:paraId="79C1BA29" w14:textId="77777777">
        <w:trPr>
          <w:trHeight w:val="264"/>
          <w:jc w:val="center"/>
        </w:trPr>
        <w:tc>
          <w:tcPr>
            <w:tcW w:w="153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226D8DDE" w14:textId="0A4AA268">
            <w:pPr>
              <w:jc w:val="center"/>
            </w:pPr>
            <w:r>
              <w:t>Tim</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5FE84C9F" w14:textId="6C4532C4">
            <w:pPr>
              <w:jc w:val="center"/>
            </w:pPr>
            <w:r>
              <w:t>Howington</w:t>
            </w:r>
          </w:p>
        </w:tc>
        <w:tc>
          <w:tcPr>
            <w:tcW w:w="2105"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FF3FCC" w14:paraId="6DD05AD5" w14:textId="1D9831C7">
            <w:pPr>
              <w:jc w:val="center"/>
              <w:rPr>
                <w:szCs w:val="26"/>
              </w:rPr>
            </w:pPr>
            <w:r>
              <w:rPr>
                <w:color w:val="000000"/>
              </w:rPr>
              <w:t xml:space="preserve">Consultant/ </w:t>
            </w:r>
            <w:r w:rsidRPr="007B2BF1" w:rsidR="00E21586">
              <w:rPr>
                <w:color w:val="000000"/>
              </w:rPr>
              <w:t>Expert Economist Level V</w:t>
            </w:r>
          </w:p>
        </w:tc>
        <w:tc>
          <w:tcPr>
            <w:tcW w:w="1763"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6D398CDF" w14:textId="26529523">
            <w:pPr>
              <w:jc w:val="center"/>
            </w:pPr>
            <w:r>
              <w:t>$225</w:t>
            </w:r>
          </w:p>
        </w:tc>
        <w:tc>
          <w:tcPr>
            <w:tcW w:w="1739" w:type="dxa"/>
            <w:tcBorders>
              <w:top w:val="single" w:color="auto" w:sz="4" w:space="0"/>
              <w:left w:val="single" w:color="auto" w:sz="4" w:space="0"/>
              <w:bottom w:val="single" w:color="auto" w:sz="4" w:space="0"/>
              <w:right w:val="single" w:color="auto" w:sz="4" w:space="0"/>
            </w:tcBorders>
            <w:shd w:val="clear" w:color="auto" w:fill="auto"/>
          </w:tcPr>
          <w:p w:rsidRPr="00B803D5" w:rsidR="00BA5A4E" w:rsidP="00BA5A4E" w:rsidRDefault="00BA5A4E" w14:paraId="53DE2BA4" w14:textId="493035BB">
            <w:pPr>
              <w:jc w:val="center"/>
            </w:pPr>
            <w:r>
              <w:t>2021</w:t>
            </w:r>
          </w:p>
        </w:tc>
        <w:tc>
          <w:tcPr>
            <w:tcW w:w="1648" w:type="dxa"/>
            <w:tcBorders>
              <w:top w:val="single" w:color="auto" w:sz="4" w:space="0"/>
              <w:left w:val="single" w:color="auto" w:sz="4" w:space="0"/>
              <w:bottom w:val="single" w:color="auto" w:sz="4" w:space="0"/>
              <w:right w:val="single" w:color="auto" w:sz="4" w:space="0"/>
            </w:tcBorders>
          </w:tcPr>
          <w:p w:rsidRPr="00B803D5" w:rsidR="00BA5A4E" w:rsidP="00C9671F" w:rsidRDefault="00C9671F" w14:paraId="0D3D0A53" w14:textId="192EA8C5">
            <w:r>
              <w:t>$225.00</w:t>
            </w:r>
          </w:p>
        </w:tc>
      </w:tr>
    </w:tbl>
    <w:p w:rsidRPr="00B72876" w:rsidR="0022302F" w:rsidP="00FE3BAE" w:rsidRDefault="0022302F" w14:paraId="330D3693" w14:textId="77777777">
      <w:pPr>
        <w:spacing w:line="360" w:lineRule="auto"/>
        <w:rPr>
          <w:b/>
        </w:rPr>
      </w:pPr>
    </w:p>
    <w:p w:rsidRPr="00B72876" w:rsidR="0022302F" w:rsidP="00FE3BAE" w:rsidRDefault="0022302F" w14:paraId="439C0840" w14:textId="77777777">
      <w:pPr>
        <w:spacing w:line="360" w:lineRule="auto"/>
        <w:rPr>
          <w:b/>
        </w:rPr>
      </w:pPr>
    </w:p>
    <w:p w:rsidRPr="00B72876" w:rsidR="00FE3BAE" w:rsidP="00FE3BAE" w:rsidRDefault="00FE3BAE" w14:paraId="53F54635" w14:textId="77777777">
      <w:pPr>
        <w:jc w:val="center"/>
      </w:pPr>
      <w:r w:rsidRPr="00B72876">
        <w:rPr>
          <w:b/>
        </w:rPr>
        <w:t>(END OF APPENDIX)</w:t>
      </w:r>
    </w:p>
    <w:sectPr w:rsidRPr="00B72876" w:rsidR="00FE3BAE" w:rsidSect="003160B6">
      <w:footerReference w:type="default" r:id="rId11"/>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9112F" w14:textId="77777777" w:rsidR="00E54B04" w:rsidRDefault="00E54B04" w:rsidP="00885956">
      <w:r>
        <w:separator/>
      </w:r>
    </w:p>
  </w:endnote>
  <w:endnote w:type="continuationSeparator" w:id="0">
    <w:p w14:paraId="1FEDFE09" w14:textId="77777777" w:rsidR="00E54B04" w:rsidRDefault="00E54B04"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70652"/>
      <w:docPartObj>
        <w:docPartGallery w:val="Page Numbers (Bottom of Page)"/>
        <w:docPartUnique/>
      </w:docPartObj>
    </w:sdtPr>
    <w:sdtEndPr>
      <w:rPr>
        <w:noProof/>
      </w:rPr>
    </w:sdtEndPr>
    <w:sdtContent>
      <w:p w14:paraId="28A020F4" w14:textId="2A690ADD" w:rsidR="003B6A1B" w:rsidRDefault="003B6A1B" w:rsidP="00880855">
        <w:pPr>
          <w:pStyle w:val="Footer"/>
          <w:jc w:val="center"/>
        </w:pPr>
        <w:r>
          <w:fldChar w:fldCharType="begin"/>
        </w:r>
        <w:r>
          <w:instrText xml:space="preserve"> PAGE   \* MERGEFORMAT </w:instrText>
        </w:r>
        <w:r>
          <w:fldChar w:fldCharType="separate"/>
        </w:r>
        <w:r w:rsidR="00CD4E87">
          <w:rPr>
            <w:noProof/>
          </w:rPr>
          <w:t>- 35 -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49329"/>
      <w:docPartObj>
        <w:docPartGallery w:val="Page Numbers (Bottom of Page)"/>
        <w:docPartUnique/>
      </w:docPartObj>
    </w:sdtPr>
    <w:sdtEndPr>
      <w:rPr>
        <w:noProof/>
      </w:rPr>
    </w:sdtEndPr>
    <w:sdtContent>
      <w:p w14:paraId="2B494C2D" w14:textId="212CAEF0" w:rsidR="00CF1129" w:rsidRDefault="00E9592B" w:rsidP="00E9592B">
        <w:pPr>
          <w:pStyle w:val="Footer"/>
        </w:pPr>
        <w:r w:rsidRPr="00E9592B">
          <w:rPr>
            <w:sz w:val="16"/>
            <w:szCs w:val="16"/>
          </w:rPr>
          <w:t xml:space="preserve"> </w:t>
        </w:r>
        <w:r w:rsidR="00F2335F">
          <w:rPr>
            <w:sz w:val="16"/>
            <w:szCs w:val="16"/>
          </w:rPr>
          <w:t>555511608</w:t>
        </w:r>
        <w:r>
          <w:t xml:space="preserve">                                                                </w:t>
        </w:r>
        <w:r w:rsidR="00CF1129">
          <w:fldChar w:fldCharType="begin"/>
        </w:r>
        <w:r w:rsidR="00CF1129">
          <w:instrText xml:space="preserve"> PAGE   \* MERGEFORMAT </w:instrText>
        </w:r>
        <w:r w:rsidR="00CF1129">
          <w:fldChar w:fldCharType="separate"/>
        </w:r>
        <w:r w:rsidR="00CE31C7">
          <w:rPr>
            <w:noProof/>
          </w:rPr>
          <w:t>- 1 -</w:t>
        </w:r>
        <w:r w:rsidR="00CF1129">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BF078" w14:textId="77777777" w:rsidR="00E54B04" w:rsidRDefault="00E54B04" w:rsidP="00885956">
      <w:r>
        <w:separator/>
      </w:r>
    </w:p>
  </w:footnote>
  <w:footnote w:type="continuationSeparator" w:id="0">
    <w:p w14:paraId="472DADA9" w14:textId="77777777" w:rsidR="00E54B04" w:rsidRDefault="00E54B04" w:rsidP="00885956">
      <w:r>
        <w:continuationSeparator/>
      </w:r>
    </w:p>
  </w:footnote>
  <w:footnote w:id="1">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2">
    <w:p w14:paraId="2A44723A" w14:textId="7A991863" w:rsidR="000C5DFE" w:rsidRPr="00DE3A5D" w:rsidRDefault="000C5DFE"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 w:id="3">
    <w:p w14:paraId="2AB61CFB" w14:textId="77777777" w:rsidR="0074509F" w:rsidRDefault="0074509F" w:rsidP="00F04A40">
      <w:pPr>
        <w:pStyle w:val="FootnoteText"/>
      </w:pPr>
      <w:r>
        <w:rPr>
          <w:rStyle w:val="FootnoteReference"/>
        </w:rPr>
        <w:footnoteRef/>
      </w:r>
      <w:r>
        <w:t xml:space="preserve"> </w:t>
      </w:r>
      <w:r w:rsidRPr="00565C82">
        <w:rPr>
          <w:i/>
          <w:iCs/>
        </w:rPr>
        <w:t>See</w:t>
      </w:r>
      <w:r>
        <w:t>, for example, D.18-07-034.</w:t>
      </w:r>
    </w:p>
  </w:footnote>
  <w:footnote w:id="4">
    <w:p w14:paraId="27829516" w14:textId="77777777" w:rsidR="0074509F" w:rsidRDefault="0074509F" w:rsidP="00F04A40">
      <w:pPr>
        <w:pStyle w:val="FootnoteText"/>
      </w:pPr>
      <w:r>
        <w:rPr>
          <w:rStyle w:val="FootnoteReference"/>
        </w:rPr>
        <w:footnoteRef/>
      </w:r>
      <w:r>
        <w:t xml:space="preserve"> Reductions reflected in this section are consistent with the Commission’s practices. </w:t>
      </w:r>
      <w:r w:rsidRPr="00565C82">
        <w:rPr>
          <w:i/>
          <w:iCs/>
        </w:rPr>
        <w:t>See</w:t>
      </w:r>
      <w:r>
        <w:t xml:space="preserve">, for example, D.11-03-024, reducing UCAN’s hours for the excessive efforts. </w:t>
      </w:r>
    </w:p>
  </w:footnote>
  <w:footnote w:id="5">
    <w:p w14:paraId="579E46E8" w14:textId="77777777" w:rsidR="0074509F" w:rsidRDefault="0074509F" w:rsidP="00F04A40">
      <w:pPr>
        <w:pStyle w:val="FootnoteText"/>
      </w:pPr>
      <w:r>
        <w:rPr>
          <w:rStyle w:val="FootnoteReference"/>
        </w:rPr>
        <w:footnoteRef/>
      </w:r>
      <w:r>
        <w:t xml:space="preserve"> </w:t>
      </w:r>
      <w:r>
        <w:rPr>
          <w:color w:val="000000"/>
        </w:rPr>
        <w:t>Where the time records combined, inappropriately, multiple tasks, we have estimated the number of hours being disallowed.</w:t>
      </w:r>
    </w:p>
  </w:footnote>
  <w:footnote w:id="6">
    <w:p w14:paraId="6E130AEB" w14:textId="55B65BFB" w:rsidR="0074509F" w:rsidRDefault="0074509F" w:rsidP="00F04A40">
      <w:pPr>
        <w:pStyle w:val="FootnoteText"/>
      </w:pPr>
      <w:r>
        <w:rPr>
          <w:rStyle w:val="FootnoteReference"/>
        </w:rPr>
        <w:footnoteRef/>
      </w:r>
      <w:r>
        <w:t xml:space="preserve"> </w:t>
      </w:r>
      <w:r w:rsidRPr="00565C82">
        <w:rPr>
          <w:i/>
          <w:iCs/>
        </w:rPr>
        <w:t>See</w:t>
      </w:r>
      <w:r>
        <w:t>, for example, Edward Lopez’s timesheet entries of 11/25/20, 01/20/21, etc.; or Susan Baldw</w:t>
      </w:r>
      <w:r w:rsidR="00ED7FF9">
        <w:t>i</w:t>
      </w:r>
      <w:r>
        <w:t>n’s timesheet of 07/13/21, etc.</w:t>
      </w:r>
    </w:p>
  </w:footnote>
  <w:footnote w:id="7">
    <w:p w14:paraId="6B96D500" w14:textId="77777777" w:rsidR="0074509F" w:rsidRDefault="0074509F" w:rsidP="00F04A40">
      <w:pPr>
        <w:pStyle w:val="FootnoteText"/>
      </w:pPr>
      <w:r>
        <w:rPr>
          <w:rStyle w:val="FootnoteReference"/>
        </w:rPr>
        <w:footnoteRef/>
      </w:r>
      <w:r>
        <w:t xml:space="preserve"> </w:t>
      </w:r>
      <w:r w:rsidRPr="00565C82">
        <w:rPr>
          <w:i/>
          <w:iCs/>
        </w:rPr>
        <w:t>See</w:t>
      </w:r>
      <w:r>
        <w:t xml:space="preserve">, for example, activities in the time records described as “Coordinate w Expert re and preliminary Scoping Memo,” “Discuss issues w/Expert,” “Call w Expert and preliminary Scoping Memo,” “Reply Comments,” “Planning call and data analysis,” etc. </w:t>
      </w:r>
    </w:p>
  </w:footnote>
  <w:footnote w:id="8">
    <w:p w14:paraId="51AC9195" w14:textId="77777777" w:rsidR="00F115E9" w:rsidRDefault="00F115E9" w:rsidP="00F115E9">
      <w:pPr>
        <w:pStyle w:val="FootnoteText"/>
      </w:pPr>
      <w:r>
        <w:rPr>
          <w:rStyle w:val="FootnoteReference"/>
        </w:rPr>
        <w:footnoteRef/>
      </w:r>
      <w:r>
        <w:t xml:space="preserve"> </w:t>
      </w:r>
      <w:r w:rsidRPr="00390673">
        <w:t xml:space="preserve">D.07-01-009, D.08-04-010, and ALJ Resolution ALJ 235.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FF04" w14:textId="270B8E5D" w:rsidR="0005538D" w:rsidRDefault="00CA0D2A">
    <w:pPr>
      <w:pStyle w:val="Header"/>
      <w:rPr>
        <w:b/>
        <w:bCs/>
      </w:rPr>
    </w:pPr>
    <w:r>
      <w:t>R.20-09-001  ALJ/TLG/</w:t>
    </w:r>
    <w:proofErr w:type="spellStart"/>
    <w:r>
      <w:t>smt</w:t>
    </w:r>
    <w:proofErr w:type="spellEnd"/>
    <w:r>
      <w:tab/>
    </w:r>
    <w:r>
      <w:tab/>
    </w:r>
  </w:p>
  <w:p w14:paraId="6E9EBFB7" w14:textId="77777777" w:rsidR="00E9592B" w:rsidRDefault="00E9592B">
    <w:pPr>
      <w:pStyle w:val="Header"/>
    </w:pPr>
  </w:p>
  <w:p w14:paraId="0CB17749" w14:textId="77777777" w:rsidR="00CA0D2A" w:rsidRDefault="00CA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0B3"/>
    <w:multiLevelType w:val="hybridMultilevel"/>
    <w:tmpl w:val="6AF0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92360"/>
    <w:multiLevelType w:val="hybridMultilevel"/>
    <w:tmpl w:val="BF2E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55B6BCE"/>
    <w:multiLevelType w:val="hybridMultilevel"/>
    <w:tmpl w:val="D88AE8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056CB"/>
    <w:multiLevelType w:val="multilevel"/>
    <w:tmpl w:val="18F4A5AC"/>
    <w:numStyleLink w:val="FoFCoLOP"/>
  </w:abstractNum>
  <w:abstractNum w:abstractNumId="7" w15:restartNumberingAfterBreak="0">
    <w:nsid w:val="16834FF1"/>
    <w:multiLevelType w:val="hybridMultilevel"/>
    <w:tmpl w:val="1BE442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D06CE4"/>
    <w:multiLevelType w:val="hybridMultilevel"/>
    <w:tmpl w:val="7BF8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0038F"/>
    <w:multiLevelType w:val="multilevel"/>
    <w:tmpl w:val="ECB8CCE8"/>
    <w:numStyleLink w:val="Headings"/>
  </w:abstractNum>
  <w:abstractNum w:abstractNumId="10" w15:restartNumberingAfterBreak="0">
    <w:nsid w:val="1E3D4E48"/>
    <w:multiLevelType w:val="hybridMultilevel"/>
    <w:tmpl w:val="0EAE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F76E4"/>
    <w:multiLevelType w:val="hybridMultilevel"/>
    <w:tmpl w:val="C298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A114C"/>
    <w:multiLevelType w:val="hybridMultilevel"/>
    <w:tmpl w:val="68B4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F6D42"/>
    <w:multiLevelType w:val="multilevel"/>
    <w:tmpl w:val="ECB8CCE8"/>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B6843"/>
    <w:multiLevelType w:val="hybridMultilevel"/>
    <w:tmpl w:val="B678B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01B3D"/>
    <w:multiLevelType w:val="hybridMultilevel"/>
    <w:tmpl w:val="52E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87B88"/>
    <w:multiLevelType w:val="hybridMultilevel"/>
    <w:tmpl w:val="1496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D3210A"/>
    <w:multiLevelType w:val="hybridMultilevel"/>
    <w:tmpl w:val="46EA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3720E"/>
    <w:multiLevelType w:val="hybridMultilevel"/>
    <w:tmpl w:val="54C80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94819"/>
    <w:multiLevelType w:val="hybridMultilevel"/>
    <w:tmpl w:val="AC56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3428D"/>
    <w:multiLevelType w:val="hybridMultilevel"/>
    <w:tmpl w:val="98E6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7" w15:restartNumberingAfterBreak="0">
    <w:nsid w:val="59D042D7"/>
    <w:multiLevelType w:val="multilevel"/>
    <w:tmpl w:val="18F4A5AC"/>
    <w:numStyleLink w:val="FoFCoLOP"/>
  </w:abstractNum>
  <w:abstractNum w:abstractNumId="28"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C657C8"/>
    <w:multiLevelType w:val="hybridMultilevel"/>
    <w:tmpl w:val="29EE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204C7"/>
    <w:multiLevelType w:val="hybridMultilevel"/>
    <w:tmpl w:val="D9E0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E7A7E"/>
    <w:multiLevelType w:val="hybridMultilevel"/>
    <w:tmpl w:val="998E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70A8B"/>
    <w:multiLevelType w:val="hybridMultilevel"/>
    <w:tmpl w:val="ADA64C9E"/>
    <w:lvl w:ilvl="0" w:tplc="E9FE5704">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3" w15:restartNumberingAfterBreak="0">
    <w:nsid w:val="6FC10AF2"/>
    <w:multiLevelType w:val="hybridMultilevel"/>
    <w:tmpl w:val="BFD8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302D8"/>
    <w:multiLevelType w:val="hybridMultilevel"/>
    <w:tmpl w:val="1F0A1A48"/>
    <w:lvl w:ilvl="0" w:tplc="A8B81D9A">
      <w:start w:val="1"/>
      <w:numFmt w:val="lowerLetter"/>
      <w:lvlText w:val="%1."/>
      <w:lvlJc w:val="left"/>
      <w:pPr>
        <w:ind w:left="720" w:hanging="39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5"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FA7BD2"/>
    <w:multiLevelType w:val="hybridMultilevel"/>
    <w:tmpl w:val="32A2FC7E"/>
    <w:lvl w:ilvl="0" w:tplc="E0F00A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9A0AFE"/>
    <w:multiLevelType w:val="multilevel"/>
    <w:tmpl w:val="18F4A5AC"/>
    <w:numStyleLink w:val="FoFCoLOP"/>
  </w:abstractNum>
  <w:abstractNum w:abstractNumId="38"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051998"/>
    <w:multiLevelType w:val="hybridMultilevel"/>
    <w:tmpl w:val="C3FC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000D1"/>
    <w:multiLevelType w:val="hybridMultilevel"/>
    <w:tmpl w:val="197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14883">
    <w:abstractNumId w:val="35"/>
  </w:num>
  <w:num w:numId="2" w16cid:durableId="606470727">
    <w:abstractNumId w:val="2"/>
  </w:num>
  <w:num w:numId="3" w16cid:durableId="810294238">
    <w:abstractNumId w:val="38"/>
  </w:num>
  <w:num w:numId="4" w16cid:durableId="1517966850">
    <w:abstractNumId w:val="24"/>
  </w:num>
  <w:num w:numId="5" w16cid:durableId="1484545204">
    <w:abstractNumId w:val="18"/>
  </w:num>
  <w:num w:numId="6" w16cid:durableId="1531184868">
    <w:abstractNumId w:val="26"/>
  </w:num>
  <w:num w:numId="7" w16cid:durableId="123274532">
    <w:abstractNumId w:val="19"/>
  </w:num>
  <w:num w:numId="8" w16cid:durableId="1287469410">
    <w:abstractNumId w:val="25"/>
  </w:num>
  <w:num w:numId="9" w16cid:durableId="1077089175">
    <w:abstractNumId w:val="3"/>
  </w:num>
  <w:num w:numId="10" w16cid:durableId="1945258755">
    <w:abstractNumId w:val="14"/>
  </w:num>
  <w:num w:numId="11" w16cid:durableId="1317802276">
    <w:abstractNumId w:val="32"/>
  </w:num>
  <w:num w:numId="12" w16cid:durableId="893081297">
    <w:abstractNumId w:val="0"/>
  </w:num>
  <w:num w:numId="13" w16cid:durableId="647443180">
    <w:abstractNumId w:val="23"/>
  </w:num>
  <w:num w:numId="14" w16cid:durableId="2057898778">
    <w:abstractNumId w:val="40"/>
  </w:num>
  <w:num w:numId="15" w16cid:durableId="632828319">
    <w:abstractNumId w:val="11"/>
  </w:num>
  <w:num w:numId="16" w16cid:durableId="122236604">
    <w:abstractNumId w:val="15"/>
  </w:num>
  <w:num w:numId="17" w16cid:durableId="3821714">
    <w:abstractNumId w:val="36"/>
  </w:num>
  <w:num w:numId="18" w16cid:durableId="1627659959">
    <w:abstractNumId w:val="5"/>
  </w:num>
  <w:num w:numId="19" w16cid:durableId="815995164">
    <w:abstractNumId w:val="31"/>
  </w:num>
  <w:num w:numId="20" w16cid:durableId="823546317">
    <w:abstractNumId w:val="34"/>
  </w:num>
  <w:num w:numId="21" w16cid:durableId="370964452">
    <w:abstractNumId w:val="20"/>
  </w:num>
  <w:num w:numId="22" w16cid:durableId="209657787">
    <w:abstractNumId w:val="33"/>
  </w:num>
  <w:num w:numId="23" w16cid:durableId="168954183">
    <w:abstractNumId w:val="1"/>
  </w:num>
  <w:num w:numId="24" w16cid:durableId="1568151331">
    <w:abstractNumId w:val="10"/>
  </w:num>
  <w:num w:numId="25" w16cid:durableId="1731151127">
    <w:abstractNumId w:val="30"/>
  </w:num>
  <w:num w:numId="26" w16cid:durableId="977689158">
    <w:abstractNumId w:val="21"/>
  </w:num>
  <w:num w:numId="27" w16cid:durableId="297079586">
    <w:abstractNumId w:val="16"/>
  </w:num>
  <w:num w:numId="28" w16cid:durableId="765883423">
    <w:abstractNumId w:val="12"/>
  </w:num>
  <w:num w:numId="29" w16cid:durableId="1308242724">
    <w:abstractNumId w:val="29"/>
  </w:num>
  <w:num w:numId="30" w16cid:durableId="2001615150">
    <w:abstractNumId w:val="7"/>
  </w:num>
  <w:num w:numId="31" w16cid:durableId="1377706348">
    <w:abstractNumId w:val="22"/>
  </w:num>
  <w:num w:numId="32" w16cid:durableId="1328940651">
    <w:abstractNumId w:val="39"/>
  </w:num>
  <w:num w:numId="33" w16cid:durableId="1794329318">
    <w:abstractNumId w:val="17"/>
  </w:num>
  <w:num w:numId="34" w16cid:durableId="1509248233">
    <w:abstractNumId w:val="8"/>
  </w:num>
  <w:num w:numId="35" w16cid:durableId="1081871722">
    <w:abstractNumId w:val="4"/>
  </w:num>
  <w:num w:numId="36" w16cid:durableId="2073580993">
    <w:abstractNumId w:val="27"/>
  </w:num>
  <w:num w:numId="37" w16cid:durableId="709575410">
    <w:abstractNumId w:val="6"/>
  </w:num>
  <w:num w:numId="38" w16cid:durableId="1814523354">
    <w:abstractNumId w:val="37"/>
  </w:num>
  <w:num w:numId="39" w16cid:durableId="479424398">
    <w:abstractNumId w:val="13"/>
  </w:num>
  <w:num w:numId="40" w16cid:durableId="174199541">
    <w:abstractNumId w:val="28"/>
  </w:num>
  <w:num w:numId="41" w16cid:durableId="1109202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3"/>
    <w:rsid w:val="00003A49"/>
    <w:rsid w:val="0000560A"/>
    <w:rsid w:val="00011D9C"/>
    <w:rsid w:val="00014381"/>
    <w:rsid w:val="0002286F"/>
    <w:rsid w:val="00023EE6"/>
    <w:rsid w:val="00026267"/>
    <w:rsid w:val="00026895"/>
    <w:rsid w:val="00026A15"/>
    <w:rsid w:val="00031D4C"/>
    <w:rsid w:val="0003394B"/>
    <w:rsid w:val="00034492"/>
    <w:rsid w:val="00034D4E"/>
    <w:rsid w:val="00035EAC"/>
    <w:rsid w:val="00036F54"/>
    <w:rsid w:val="00045A2F"/>
    <w:rsid w:val="0005030F"/>
    <w:rsid w:val="00050453"/>
    <w:rsid w:val="0005538D"/>
    <w:rsid w:val="00055843"/>
    <w:rsid w:val="0006545D"/>
    <w:rsid w:val="00066C82"/>
    <w:rsid w:val="00072C81"/>
    <w:rsid w:val="00073262"/>
    <w:rsid w:val="0007379E"/>
    <w:rsid w:val="00077737"/>
    <w:rsid w:val="00082C47"/>
    <w:rsid w:val="000971C0"/>
    <w:rsid w:val="000A1FF1"/>
    <w:rsid w:val="000B0746"/>
    <w:rsid w:val="000B0FDA"/>
    <w:rsid w:val="000C5DFE"/>
    <w:rsid w:val="000D089C"/>
    <w:rsid w:val="000D6CA0"/>
    <w:rsid w:val="000D6DF8"/>
    <w:rsid w:val="000D7F74"/>
    <w:rsid w:val="000E41D9"/>
    <w:rsid w:val="000E6ABD"/>
    <w:rsid w:val="000F2FAE"/>
    <w:rsid w:val="000F595C"/>
    <w:rsid w:val="000F7670"/>
    <w:rsid w:val="000F7875"/>
    <w:rsid w:val="0010480F"/>
    <w:rsid w:val="00110D89"/>
    <w:rsid w:val="00116FC8"/>
    <w:rsid w:val="00123103"/>
    <w:rsid w:val="00125492"/>
    <w:rsid w:val="00127FF8"/>
    <w:rsid w:val="001341D8"/>
    <w:rsid w:val="001346EB"/>
    <w:rsid w:val="00141636"/>
    <w:rsid w:val="00141A4E"/>
    <w:rsid w:val="00151AA8"/>
    <w:rsid w:val="00152F94"/>
    <w:rsid w:val="00157015"/>
    <w:rsid w:val="00160E00"/>
    <w:rsid w:val="00164681"/>
    <w:rsid w:val="001658AD"/>
    <w:rsid w:val="00171447"/>
    <w:rsid w:val="00171EBF"/>
    <w:rsid w:val="00175865"/>
    <w:rsid w:val="00180E8C"/>
    <w:rsid w:val="0018261E"/>
    <w:rsid w:val="00185769"/>
    <w:rsid w:val="0018628C"/>
    <w:rsid w:val="0019363A"/>
    <w:rsid w:val="001962EB"/>
    <w:rsid w:val="001A3CF3"/>
    <w:rsid w:val="001A52EC"/>
    <w:rsid w:val="001B35FF"/>
    <w:rsid w:val="001B4565"/>
    <w:rsid w:val="001C0DD1"/>
    <w:rsid w:val="001C21AE"/>
    <w:rsid w:val="001C45B1"/>
    <w:rsid w:val="001D1313"/>
    <w:rsid w:val="001D20A7"/>
    <w:rsid w:val="001D3ED2"/>
    <w:rsid w:val="001D42B4"/>
    <w:rsid w:val="001D5DAB"/>
    <w:rsid w:val="001D7265"/>
    <w:rsid w:val="001E5778"/>
    <w:rsid w:val="001E77CF"/>
    <w:rsid w:val="001E7EE2"/>
    <w:rsid w:val="001F19E7"/>
    <w:rsid w:val="001F238E"/>
    <w:rsid w:val="00204E3A"/>
    <w:rsid w:val="00205698"/>
    <w:rsid w:val="0020653A"/>
    <w:rsid w:val="00212E10"/>
    <w:rsid w:val="00213E85"/>
    <w:rsid w:val="00214B22"/>
    <w:rsid w:val="00214D07"/>
    <w:rsid w:val="00217224"/>
    <w:rsid w:val="002223F5"/>
    <w:rsid w:val="0022302F"/>
    <w:rsid w:val="00225503"/>
    <w:rsid w:val="00230392"/>
    <w:rsid w:val="0023103D"/>
    <w:rsid w:val="00234711"/>
    <w:rsid w:val="00235F39"/>
    <w:rsid w:val="0023708C"/>
    <w:rsid w:val="002415DC"/>
    <w:rsid w:val="0024295E"/>
    <w:rsid w:val="002466F8"/>
    <w:rsid w:val="00253C8A"/>
    <w:rsid w:val="00256F00"/>
    <w:rsid w:val="00260518"/>
    <w:rsid w:val="00264333"/>
    <w:rsid w:val="00270E2E"/>
    <w:rsid w:val="0027176C"/>
    <w:rsid w:val="0027245B"/>
    <w:rsid w:val="00272671"/>
    <w:rsid w:val="00273208"/>
    <w:rsid w:val="00273B94"/>
    <w:rsid w:val="00281594"/>
    <w:rsid w:val="00293A56"/>
    <w:rsid w:val="00297A73"/>
    <w:rsid w:val="002A00E9"/>
    <w:rsid w:val="002A65E7"/>
    <w:rsid w:val="002A6B05"/>
    <w:rsid w:val="002A6C07"/>
    <w:rsid w:val="002C46FE"/>
    <w:rsid w:val="002D21CA"/>
    <w:rsid w:val="002D29BF"/>
    <w:rsid w:val="002D53AA"/>
    <w:rsid w:val="002E229B"/>
    <w:rsid w:val="002E58AC"/>
    <w:rsid w:val="002E5F83"/>
    <w:rsid w:val="002E77D8"/>
    <w:rsid w:val="002F4B6B"/>
    <w:rsid w:val="002F5B33"/>
    <w:rsid w:val="00303C2B"/>
    <w:rsid w:val="003141B4"/>
    <w:rsid w:val="003160B6"/>
    <w:rsid w:val="00324A18"/>
    <w:rsid w:val="0033207D"/>
    <w:rsid w:val="00335C9D"/>
    <w:rsid w:val="003501DD"/>
    <w:rsid w:val="00356070"/>
    <w:rsid w:val="00357623"/>
    <w:rsid w:val="00357F1A"/>
    <w:rsid w:val="00365D26"/>
    <w:rsid w:val="00374FD1"/>
    <w:rsid w:val="0037657D"/>
    <w:rsid w:val="00377884"/>
    <w:rsid w:val="00380703"/>
    <w:rsid w:val="003846E6"/>
    <w:rsid w:val="00384BA8"/>
    <w:rsid w:val="00390FCB"/>
    <w:rsid w:val="0039503D"/>
    <w:rsid w:val="00395BE6"/>
    <w:rsid w:val="003B1782"/>
    <w:rsid w:val="003B373E"/>
    <w:rsid w:val="003B5EAC"/>
    <w:rsid w:val="003B6A1B"/>
    <w:rsid w:val="003C608A"/>
    <w:rsid w:val="003D359B"/>
    <w:rsid w:val="003D4455"/>
    <w:rsid w:val="003D4E04"/>
    <w:rsid w:val="003E34FD"/>
    <w:rsid w:val="00403E5C"/>
    <w:rsid w:val="00405AF0"/>
    <w:rsid w:val="0040767C"/>
    <w:rsid w:val="00411E3A"/>
    <w:rsid w:val="0041559F"/>
    <w:rsid w:val="00425692"/>
    <w:rsid w:val="00435C30"/>
    <w:rsid w:val="004449D4"/>
    <w:rsid w:val="004534E7"/>
    <w:rsid w:val="004536BB"/>
    <w:rsid w:val="0046248A"/>
    <w:rsid w:val="00467E65"/>
    <w:rsid w:val="00474DB7"/>
    <w:rsid w:val="00480BF6"/>
    <w:rsid w:val="0048283B"/>
    <w:rsid w:val="004840D2"/>
    <w:rsid w:val="0048515B"/>
    <w:rsid w:val="00491B60"/>
    <w:rsid w:val="004A2322"/>
    <w:rsid w:val="004A6FD4"/>
    <w:rsid w:val="004B0E7E"/>
    <w:rsid w:val="004C0961"/>
    <w:rsid w:val="004C39A1"/>
    <w:rsid w:val="004D6B6D"/>
    <w:rsid w:val="004D779D"/>
    <w:rsid w:val="004E0395"/>
    <w:rsid w:val="004E3939"/>
    <w:rsid w:val="004E3D93"/>
    <w:rsid w:val="004F37C3"/>
    <w:rsid w:val="005045C2"/>
    <w:rsid w:val="00515954"/>
    <w:rsid w:val="00516CE7"/>
    <w:rsid w:val="005215EF"/>
    <w:rsid w:val="00521B86"/>
    <w:rsid w:val="00522813"/>
    <w:rsid w:val="00526E3D"/>
    <w:rsid w:val="00527FDB"/>
    <w:rsid w:val="00533373"/>
    <w:rsid w:val="00547145"/>
    <w:rsid w:val="00550E2B"/>
    <w:rsid w:val="00551967"/>
    <w:rsid w:val="0055228B"/>
    <w:rsid w:val="005543C1"/>
    <w:rsid w:val="00554CB4"/>
    <w:rsid w:val="005552F2"/>
    <w:rsid w:val="00565C82"/>
    <w:rsid w:val="0057088A"/>
    <w:rsid w:val="0057116A"/>
    <w:rsid w:val="00573D1C"/>
    <w:rsid w:val="00575494"/>
    <w:rsid w:val="005757A1"/>
    <w:rsid w:val="0058056C"/>
    <w:rsid w:val="00581FC3"/>
    <w:rsid w:val="005912FA"/>
    <w:rsid w:val="0059289A"/>
    <w:rsid w:val="00592F7F"/>
    <w:rsid w:val="005939F1"/>
    <w:rsid w:val="0059527B"/>
    <w:rsid w:val="005A0574"/>
    <w:rsid w:val="005A3018"/>
    <w:rsid w:val="005A5270"/>
    <w:rsid w:val="005A53F1"/>
    <w:rsid w:val="005A54E4"/>
    <w:rsid w:val="005A63D4"/>
    <w:rsid w:val="005A65C2"/>
    <w:rsid w:val="005A65E0"/>
    <w:rsid w:val="005B542B"/>
    <w:rsid w:val="005B5B44"/>
    <w:rsid w:val="005C0A5F"/>
    <w:rsid w:val="005C327F"/>
    <w:rsid w:val="005C6307"/>
    <w:rsid w:val="005D3A14"/>
    <w:rsid w:val="005D3F12"/>
    <w:rsid w:val="005D6F59"/>
    <w:rsid w:val="005E17FC"/>
    <w:rsid w:val="005E343E"/>
    <w:rsid w:val="005E6BAF"/>
    <w:rsid w:val="005F06EF"/>
    <w:rsid w:val="005F177E"/>
    <w:rsid w:val="005F3E10"/>
    <w:rsid w:val="005F4D82"/>
    <w:rsid w:val="005F5DCA"/>
    <w:rsid w:val="005F6F9C"/>
    <w:rsid w:val="006066F4"/>
    <w:rsid w:val="00613200"/>
    <w:rsid w:val="00616EBE"/>
    <w:rsid w:val="006213C6"/>
    <w:rsid w:val="00621A7C"/>
    <w:rsid w:val="00631263"/>
    <w:rsid w:val="0064314D"/>
    <w:rsid w:val="0064504B"/>
    <w:rsid w:val="0064527D"/>
    <w:rsid w:val="0065087E"/>
    <w:rsid w:val="00652DEA"/>
    <w:rsid w:val="00660D7E"/>
    <w:rsid w:val="006637D2"/>
    <w:rsid w:val="00673595"/>
    <w:rsid w:val="00673EB1"/>
    <w:rsid w:val="00684772"/>
    <w:rsid w:val="00691528"/>
    <w:rsid w:val="00692738"/>
    <w:rsid w:val="00695BA0"/>
    <w:rsid w:val="0069673A"/>
    <w:rsid w:val="00696C52"/>
    <w:rsid w:val="00697DA5"/>
    <w:rsid w:val="006A091A"/>
    <w:rsid w:val="006A7272"/>
    <w:rsid w:val="006B0BC7"/>
    <w:rsid w:val="006B0D8B"/>
    <w:rsid w:val="006B6F0C"/>
    <w:rsid w:val="006B7228"/>
    <w:rsid w:val="006B7375"/>
    <w:rsid w:val="006B7DB3"/>
    <w:rsid w:val="006D1BE0"/>
    <w:rsid w:val="006D2DDC"/>
    <w:rsid w:val="006D4B0E"/>
    <w:rsid w:val="006D67C9"/>
    <w:rsid w:val="006E4575"/>
    <w:rsid w:val="006E6416"/>
    <w:rsid w:val="006F3B68"/>
    <w:rsid w:val="007022D8"/>
    <w:rsid w:val="00702DBA"/>
    <w:rsid w:val="007031B4"/>
    <w:rsid w:val="00703D5A"/>
    <w:rsid w:val="00704747"/>
    <w:rsid w:val="007056FC"/>
    <w:rsid w:val="00710424"/>
    <w:rsid w:val="00710754"/>
    <w:rsid w:val="00714B4A"/>
    <w:rsid w:val="00720541"/>
    <w:rsid w:val="007220E4"/>
    <w:rsid w:val="00724EE5"/>
    <w:rsid w:val="00726F5D"/>
    <w:rsid w:val="0072707B"/>
    <w:rsid w:val="0074431F"/>
    <w:rsid w:val="0074509F"/>
    <w:rsid w:val="0074620B"/>
    <w:rsid w:val="00747D3C"/>
    <w:rsid w:val="007539A1"/>
    <w:rsid w:val="007574EA"/>
    <w:rsid w:val="00757B44"/>
    <w:rsid w:val="00763797"/>
    <w:rsid w:val="00764451"/>
    <w:rsid w:val="00772A02"/>
    <w:rsid w:val="00780C7B"/>
    <w:rsid w:val="00786CAD"/>
    <w:rsid w:val="00794A54"/>
    <w:rsid w:val="007967F9"/>
    <w:rsid w:val="007A3FCC"/>
    <w:rsid w:val="007B0911"/>
    <w:rsid w:val="007B2BF1"/>
    <w:rsid w:val="007B3B96"/>
    <w:rsid w:val="007C16B3"/>
    <w:rsid w:val="007C1B69"/>
    <w:rsid w:val="007D0D90"/>
    <w:rsid w:val="007D4102"/>
    <w:rsid w:val="007E1FE5"/>
    <w:rsid w:val="007E71C3"/>
    <w:rsid w:val="007F620E"/>
    <w:rsid w:val="007F6CF5"/>
    <w:rsid w:val="007F6E19"/>
    <w:rsid w:val="00802101"/>
    <w:rsid w:val="00802701"/>
    <w:rsid w:val="008071B9"/>
    <w:rsid w:val="00811DB1"/>
    <w:rsid w:val="00815F1F"/>
    <w:rsid w:val="008161B1"/>
    <w:rsid w:val="0081626F"/>
    <w:rsid w:val="00820440"/>
    <w:rsid w:val="00820A25"/>
    <w:rsid w:val="00821218"/>
    <w:rsid w:val="00831652"/>
    <w:rsid w:val="0083350A"/>
    <w:rsid w:val="00837A86"/>
    <w:rsid w:val="008444D5"/>
    <w:rsid w:val="00845D9F"/>
    <w:rsid w:val="00855FD7"/>
    <w:rsid w:val="008561A6"/>
    <w:rsid w:val="0086524D"/>
    <w:rsid w:val="00874E8B"/>
    <w:rsid w:val="00880855"/>
    <w:rsid w:val="00880ADD"/>
    <w:rsid w:val="008844B6"/>
    <w:rsid w:val="00885956"/>
    <w:rsid w:val="00886869"/>
    <w:rsid w:val="008937FA"/>
    <w:rsid w:val="008A22A7"/>
    <w:rsid w:val="008B02FF"/>
    <w:rsid w:val="008B67E2"/>
    <w:rsid w:val="008C09F7"/>
    <w:rsid w:val="008C2208"/>
    <w:rsid w:val="008D1FDC"/>
    <w:rsid w:val="008D487F"/>
    <w:rsid w:val="008E182E"/>
    <w:rsid w:val="008E3450"/>
    <w:rsid w:val="008E4336"/>
    <w:rsid w:val="008F11FC"/>
    <w:rsid w:val="008F5B64"/>
    <w:rsid w:val="00904F74"/>
    <w:rsid w:val="00905AB6"/>
    <w:rsid w:val="00915118"/>
    <w:rsid w:val="0092310C"/>
    <w:rsid w:val="00924A60"/>
    <w:rsid w:val="00924B3E"/>
    <w:rsid w:val="00925FAB"/>
    <w:rsid w:val="0092725B"/>
    <w:rsid w:val="00936503"/>
    <w:rsid w:val="009419E5"/>
    <w:rsid w:val="00945B01"/>
    <w:rsid w:val="00961E6D"/>
    <w:rsid w:val="00963EEF"/>
    <w:rsid w:val="0096646D"/>
    <w:rsid w:val="00974C2F"/>
    <w:rsid w:val="00976D20"/>
    <w:rsid w:val="0099790D"/>
    <w:rsid w:val="009A62F6"/>
    <w:rsid w:val="009A6AB5"/>
    <w:rsid w:val="009B1DA6"/>
    <w:rsid w:val="009C021E"/>
    <w:rsid w:val="009E056D"/>
    <w:rsid w:val="009E0E35"/>
    <w:rsid w:val="009E1287"/>
    <w:rsid w:val="009E48E4"/>
    <w:rsid w:val="009E5A3B"/>
    <w:rsid w:val="009F0DE6"/>
    <w:rsid w:val="00A046DE"/>
    <w:rsid w:val="00A07A96"/>
    <w:rsid w:val="00A137F9"/>
    <w:rsid w:val="00A24268"/>
    <w:rsid w:val="00A24E91"/>
    <w:rsid w:val="00A319DE"/>
    <w:rsid w:val="00A36A83"/>
    <w:rsid w:val="00A40F27"/>
    <w:rsid w:val="00A51797"/>
    <w:rsid w:val="00A60203"/>
    <w:rsid w:val="00A62637"/>
    <w:rsid w:val="00A6710C"/>
    <w:rsid w:val="00A67E89"/>
    <w:rsid w:val="00A71B0A"/>
    <w:rsid w:val="00A7365F"/>
    <w:rsid w:val="00A74657"/>
    <w:rsid w:val="00A75D2D"/>
    <w:rsid w:val="00A80670"/>
    <w:rsid w:val="00A86489"/>
    <w:rsid w:val="00A86988"/>
    <w:rsid w:val="00A910F1"/>
    <w:rsid w:val="00A91D78"/>
    <w:rsid w:val="00A91FA1"/>
    <w:rsid w:val="00A92C56"/>
    <w:rsid w:val="00A92D0B"/>
    <w:rsid w:val="00A93D54"/>
    <w:rsid w:val="00A97DCA"/>
    <w:rsid w:val="00AA1740"/>
    <w:rsid w:val="00AB2F7F"/>
    <w:rsid w:val="00AB3510"/>
    <w:rsid w:val="00AB3BC9"/>
    <w:rsid w:val="00AB69BD"/>
    <w:rsid w:val="00AC5A4B"/>
    <w:rsid w:val="00AC622A"/>
    <w:rsid w:val="00AD5797"/>
    <w:rsid w:val="00AD742A"/>
    <w:rsid w:val="00AE3152"/>
    <w:rsid w:val="00AE429F"/>
    <w:rsid w:val="00AE53E9"/>
    <w:rsid w:val="00AE63DF"/>
    <w:rsid w:val="00AE6488"/>
    <w:rsid w:val="00AF61A9"/>
    <w:rsid w:val="00B00BCD"/>
    <w:rsid w:val="00B01811"/>
    <w:rsid w:val="00B03003"/>
    <w:rsid w:val="00B053A1"/>
    <w:rsid w:val="00B14530"/>
    <w:rsid w:val="00B1593B"/>
    <w:rsid w:val="00B17005"/>
    <w:rsid w:val="00B23024"/>
    <w:rsid w:val="00B312DA"/>
    <w:rsid w:val="00B31565"/>
    <w:rsid w:val="00B37A08"/>
    <w:rsid w:val="00B46857"/>
    <w:rsid w:val="00B51C2B"/>
    <w:rsid w:val="00B51F03"/>
    <w:rsid w:val="00B52291"/>
    <w:rsid w:val="00B54991"/>
    <w:rsid w:val="00B55CCD"/>
    <w:rsid w:val="00B55D78"/>
    <w:rsid w:val="00B62AC0"/>
    <w:rsid w:val="00B66CF5"/>
    <w:rsid w:val="00B72876"/>
    <w:rsid w:val="00B74114"/>
    <w:rsid w:val="00B74C7C"/>
    <w:rsid w:val="00B803D5"/>
    <w:rsid w:val="00B94CFE"/>
    <w:rsid w:val="00B97D6D"/>
    <w:rsid w:val="00BA548C"/>
    <w:rsid w:val="00BA5A4E"/>
    <w:rsid w:val="00BA6783"/>
    <w:rsid w:val="00BA6E49"/>
    <w:rsid w:val="00BA7366"/>
    <w:rsid w:val="00BB37D4"/>
    <w:rsid w:val="00BB49BB"/>
    <w:rsid w:val="00BB4FA6"/>
    <w:rsid w:val="00BC524D"/>
    <w:rsid w:val="00BD72F6"/>
    <w:rsid w:val="00BE45D0"/>
    <w:rsid w:val="00BE5087"/>
    <w:rsid w:val="00BE7C48"/>
    <w:rsid w:val="00BF2A0C"/>
    <w:rsid w:val="00BF2F45"/>
    <w:rsid w:val="00BF31D7"/>
    <w:rsid w:val="00C02649"/>
    <w:rsid w:val="00C0471D"/>
    <w:rsid w:val="00C073FC"/>
    <w:rsid w:val="00C13B3F"/>
    <w:rsid w:val="00C16981"/>
    <w:rsid w:val="00C227D0"/>
    <w:rsid w:val="00C238F7"/>
    <w:rsid w:val="00C317CC"/>
    <w:rsid w:val="00C32A04"/>
    <w:rsid w:val="00C32C3E"/>
    <w:rsid w:val="00C372E0"/>
    <w:rsid w:val="00C47A2B"/>
    <w:rsid w:val="00C63A01"/>
    <w:rsid w:val="00C703EC"/>
    <w:rsid w:val="00C7255F"/>
    <w:rsid w:val="00C742D7"/>
    <w:rsid w:val="00C74DE7"/>
    <w:rsid w:val="00C765A2"/>
    <w:rsid w:val="00C80771"/>
    <w:rsid w:val="00C85742"/>
    <w:rsid w:val="00C9671F"/>
    <w:rsid w:val="00CA0D2A"/>
    <w:rsid w:val="00CB7355"/>
    <w:rsid w:val="00CC10AF"/>
    <w:rsid w:val="00CC1779"/>
    <w:rsid w:val="00CC4B40"/>
    <w:rsid w:val="00CD4E87"/>
    <w:rsid w:val="00CD6886"/>
    <w:rsid w:val="00CD7D17"/>
    <w:rsid w:val="00CE057B"/>
    <w:rsid w:val="00CE31C7"/>
    <w:rsid w:val="00CE73D6"/>
    <w:rsid w:val="00CF1129"/>
    <w:rsid w:val="00CF297A"/>
    <w:rsid w:val="00D036F4"/>
    <w:rsid w:val="00D075B1"/>
    <w:rsid w:val="00D10372"/>
    <w:rsid w:val="00D140E6"/>
    <w:rsid w:val="00D1778A"/>
    <w:rsid w:val="00D20209"/>
    <w:rsid w:val="00D21DB6"/>
    <w:rsid w:val="00D273C7"/>
    <w:rsid w:val="00D27D5F"/>
    <w:rsid w:val="00D30039"/>
    <w:rsid w:val="00D30C4F"/>
    <w:rsid w:val="00D363C9"/>
    <w:rsid w:val="00D36884"/>
    <w:rsid w:val="00D36927"/>
    <w:rsid w:val="00D516F1"/>
    <w:rsid w:val="00D56BCA"/>
    <w:rsid w:val="00D57B12"/>
    <w:rsid w:val="00D61B69"/>
    <w:rsid w:val="00D70FBE"/>
    <w:rsid w:val="00D74F4E"/>
    <w:rsid w:val="00D75107"/>
    <w:rsid w:val="00D76856"/>
    <w:rsid w:val="00D82B37"/>
    <w:rsid w:val="00D84F94"/>
    <w:rsid w:val="00D8769E"/>
    <w:rsid w:val="00D9395E"/>
    <w:rsid w:val="00DA0D2E"/>
    <w:rsid w:val="00DA3AEE"/>
    <w:rsid w:val="00DA7AED"/>
    <w:rsid w:val="00DB64A3"/>
    <w:rsid w:val="00DC5D11"/>
    <w:rsid w:val="00DC64BB"/>
    <w:rsid w:val="00DD3EB7"/>
    <w:rsid w:val="00DD52BB"/>
    <w:rsid w:val="00DD5DD3"/>
    <w:rsid w:val="00DE3A5D"/>
    <w:rsid w:val="00DE43A9"/>
    <w:rsid w:val="00DF5070"/>
    <w:rsid w:val="00E00990"/>
    <w:rsid w:val="00E00FCE"/>
    <w:rsid w:val="00E023AF"/>
    <w:rsid w:val="00E07AC5"/>
    <w:rsid w:val="00E11025"/>
    <w:rsid w:val="00E1180A"/>
    <w:rsid w:val="00E15DC3"/>
    <w:rsid w:val="00E17B34"/>
    <w:rsid w:val="00E206B2"/>
    <w:rsid w:val="00E21586"/>
    <w:rsid w:val="00E21EA5"/>
    <w:rsid w:val="00E2273D"/>
    <w:rsid w:val="00E25078"/>
    <w:rsid w:val="00E326EB"/>
    <w:rsid w:val="00E33E86"/>
    <w:rsid w:val="00E37681"/>
    <w:rsid w:val="00E3786F"/>
    <w:rsid w:val="00E40140"/>
    <w:rsid w:val="00E41765"/>
    <w:rsid w:val="00E435CE"/>
    <w:rsid w:val="00E44BF4"/>
    <w:rsid w:val="00E52992"/>
    <w:rsid w:val="00E54071"/>
    <w:rsid w:val="00E549AD"/>
    <w:rsid w:val="00E54B04"/>
    <w:rsid w:val="00E60942"/>
    <w:rsid w:val="00E66FE7"/>
    <w:rsid w:val="00E67A05"/>
    <w:rsid w:val="00E75E09"/>
    <w:rsid w:val="00E775D0"/>
    <w:rsid w:val="00E9366A"/>
    <w:rsid w:val="00E9592B"/>
    <w:rsid w:val="00E959A0"/>
    <w:rsid w:val="00EA0186"/>
    <w:rsid w:val="00EA0FA8"/>
    <w:rsid w:val="00EB08E7"/>
    <w:rsid w:val="00EB0DBA"/>
    <w:rsid w:val="00EB49E8"/>
    <w:rsid w:val="00EB64CF"/>
    <w:rsid w:val="00EC6387"/>
    <w:rsid w:val="00ED6B6B"/>
    <w:rsid w:val="00ED7FF9"/>
    <w:rsid w:val="00EF5A48"/>
    <w:rsid w:val="00F028C8"/>
    <w:rsid w:val="00F04904"/>
    <w:rsid w:val="00F04A40"/>
    <w:rsid w:val="00F115E9"/>
    <w:rsid w:val="00F20061"/>
    <w:rsid w:val="00F2335F"/>
    <w:rsid w:val="00F24F41"/>
    <w:rsid w:val="00F26371"/>
    <w:rsid w:val="00F2680A"/>
    <w:rsid w:val="00F2682B"/>
    <w:rsid w:val="00F30DA8"/>
    <w:rsid w:val="00F34C1F"/>
    <w:rsid w:val="00F3772B"/>
    <w:rsid w:val="00F41157"/>
    <w:rsid w:val="00F4294F"/>
    <w:rsid w:val="00F43C8E"/>
    <w:rsid w:val="00F47E87"/>
    <w:rsid w:val="00F5056C"/>
    <w:rsid w:val="00F527D2"/>
    <w:rsid w:val="00F63C29"/>
    <w:rsid w:val="00F650AE"/>
    <w:rsid w:val="00F7579D"/>
    <w:rsid w:val="00F81778"/>
    <w:rsid w:val="00F85F00"/>
    <w:rsid w:val="00F862A9"/>
    <w:rsid w:val="00F958B7"/>
    <w:rsid w:val="00FA4732"/>
    <w:rsid w:val="00FA6301"/>
    <w:rsid w:val="00FA7BF2"/>
    <w:rsid w:val="00FB3CF5"/>
    <w:rsid w:val="00FB638A"/>
    <w:rsid w:val="00FC13C4"/>
    <w:rsid w:val="00FC3AF0"/>
    <w:rsid w:val="00FC72B7"/>
    <w:rsid w:val="00FD01B8"/>
    <w:rsid w:val="00FD688E"/>
    <w:rsid w:val="00FE3BAE"/>
    <w:rsid w:val="00FE4987"/>
    <w:rsid w:val="00FE7650"/>
    <w:rsid w:val="00FF050F"/>
    <w:rsid w:val="00FF3FCC"/>
    <w:rsid w:val="00FF41E8"/>
    <w:rsid w:val="00FF4AFE"/>
    <w:rsid w:val="00FF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15:docId w15:val="{278E8B9E-4676-49D7-AB56-92B45D831A2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ummy"/>
    <w:next w:val="standard"/>
    <w:link w:val="Heading1Char"/>
    <w:uiPriority w:val="4"/>
    <w:qFormat/>
    <w:rsid w:val="000D089C"/>
    <w:pPr>
      <w:numPr>
        <w:numId w:val="39"/>
      </w:numPr>
    </w:pPr>
    <w:rPr>
      <w:rFonts w:eastAsiaTheme="majorEastAsia" w:cstheme="majorBidi"/>
      <w:szCs w:val="32"/>
    </w:rPr>
  </w:style>
  <w:style w:type="paragraph" w:styleId="Heading2">
    <w:name w:val="heading 2"/>
    <w:basedOn w:val="Dummy"/>
    <w:next w:val="standard"/>
    <w:link w:val="Heading2Char"/>
    <w:uiPriority w:val="4"/>
    <w:qFormat/>
    <w:rsid w:val="000D089C"/>
    <w:pPr>
      <w:numPr>
        <w:ilvl w:val="1"/>
        <w:numId w:val="39"/>
      </w:numPr>
      <w:outlineLvl w:val="1"/>
    </w:pPr>
  </w:style>
  <w:style w:type="paragraph" w:styleId="Heading3">
    <w:name w:val="heading 3"/>
    <w:basedOn w:val="Dummy"/>
    <w:next w:val="standard"/>
    <w:link w:val="Heading3Char"/>
    <w:uiPriority w:val="4"/>
    <w:qFormat/>
    <w:rsid w:val="000D089C"/>
    <w:pPr>
      <w:numPr>
        <w:ilvl w:val="2"/>
        <w:numId w:val="39"/>
      </w:numPr>
      <w:outlineLvl w:val="2"/>
    </w:pPr>
    <w:rPr>
      <w:rFonts w:eastAsiaTheme="majorEastAsia" w:cstheme="majorBidi"/>
      <w:szCs w:val="24"/>
    </w:rPr>
  </w:style>
  <w:style w:type="paragraph" w:styleId="Heading4">
    <w:name w:val="heading 4"/>
    <w:basedOn w:val="Dummy"/>
    <w:next w:val="standard"/>
    <w:link w:val="Heading4Char"/>
    <w:uiPriority w:val="4"/>
    <w:rsid w:val="000D089C"/>
    <w:pPr>
      <w:numPr>
        <w:ilvl w:val="3"/>
        <w:numId w:val="39"/>
      </w:numPr>
      <w:tabs>
        <w:tab w:val="clear" w:pos="2160"/>
        <w:tab w:val="num" w:pos="2232"/>
      </w:tabs>
      <w:ind w:left="2232" w:hanging="1152"/>
      <w:outlineLvl w:val="3"/>
    </w:pPr>
    <w:rPr>
      <w:rFonts w:eastAsiaTheme="majorEastAsia" w:cstheme="majorBidi"/>
      <w:iCs/>
    </w:rPr>
  </w:style>
  <w:style w:type="paragraph" w:styleId="Heading5">
    <w:name w:val="heading 5"/>
    <w:basedOn w:val="Dummy"/>
    <w:next w:val="standard"/>
    <w:link w:val="Heading5Char"/>
    <w:uiPriority w:val="4"/>
    <w:rsid w:val="000D089C"/>
    <w:pPr>
      <w:numPr>
        <w:ilvl w:val="4"/>
        <w:numId w:val="39"/>
      </w:numPr>
      <w:ind w:left="2880" w:hanging="1440"/>
      <w:outlineLvl w:val="4"/>
    </w:pPr>
    <w:rPr>
      <w:rFonts w:eastAsiaTheme="majorEastAsia" w:cstheme="majorBidi"/>
    </w:rPr>
  </w:style>
  <w:style w:type="paragraph" w:styleId="Heading6">
    <w:name w:val="heading 6"/>
    <w:basedOn w:val="Dummy"/>
    <w:next w:val="standard"/>
    <w:link w:val="Heading6Char"/>
    <w:uiPriority w:val="4"/>
    <w:rsid w:val="000D089C"/>
    <w:pPr>
      <w:numPr>
        <w:ilvl w:val="5"/>
        <w:numId w:val="39"/>
      </w:numPr>
      <w:tabs>
        <w:tab w:val="clear" w:pos="3600"/>
        <w:tab w:val="num" w:pos="3528"/>
      </w:tabs>
      <w:spacing w:before="40"/>
      <w:ind w:left="3528"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uiPriority w:val="99"/>
    <w:qFormat/>
    <w:rsid w:val="00A86489"/>
    <w:pPr>
      <w:spacing w:after="12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A86489"/>
    <w:rPr>
      <w:sz w:val="22"/>
    </w:rPr>
  </w:style>
  <w:style w:type="character" w:styleId="FootnoteReference">
    <w:name w:val="footnote reference"/>
    <w:aliases w:val="o,fr,o1,o2,o3,o4,o5,o6,o11,o21,o7,Style 12,(NECG) Footnote Reference,Appel note de bas de p,Style 124,o + Times New Roman,Style 3,Style 17,Style 20,Style 13,fr1,fr2,fr3,Style 58,Style 15,Style 9,Style 18,Style 7,Style 8,Style 19,Styl"/>
    <w:uiPriority w:val="99"/>
    <w:qFormat/>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character" w:customStyle="1" w:styleId="Heading1Char">
    <w:name w:val="Heading 1 Char"/>
    <w:basedOn w:val="DefaultParagraphFont"/>
    <w:link w:val="Heading1"/>
    <w:uiPriority w:val="4"/>
    <w:rsid w:val="000D089C"/>
    <w:rPr>
      <w:rFonts w:ascii="Arial" w:eastAsiaTheme="majorEastAsia" w:hAnsi="Arial" w:cstheme="majorBidi"/>
      <w:b/>
      <w:sz w:val="26"/>
      <w:szCs w:val="32"/>
    </w:rPr>
  </w:style>
  <w:style w:type="character" w:customStyle="1" w:styleId="Heading2Char">
    <w:name w:val="Heading 2 Char"/>
    <w:basedOn w:val="DefaultParagraphFont"/>
    <w:link w:val="Heading2"/>
    <w:uiPriority w:val="4"/>
    <w:rsid w:val="000D089C"/>
    <w:rPr>
      <w:rFonts w:ascii="Arial" w:eastAsiaTheme="minorHAnsi" w:hAnsi="Arial" w:cs="Arial"/>
      <w:b/>
      <w:sz w:val="26"/>
      <w:szCs w:val="26"/>
    </w:rPr>
  </w:style>
  <w:style w:type="character" w:customStyle="1" w:styleId="Heading3Char">
    <w:name w:val="Heading 3 Char"/>
    <w:basedOn w:val="DefaultParagraphFont"/>
    <w:link w:val="Heading3"/>
    <w:uiPriority w:val="4"/>
    <w:rsid w:val="000D089C"/>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0D089C"/>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0D089C"/>
    <w:rPr>
      <w:rFonts w:ascii="Arial" w:eastAsiaTheme="majorEastAsia" w:hAnsi="Arial" w:cstheme="majorBidi"/>
      <w:b/>
      <w:sz w:val="26"/>
      <w:szCs w:val="26"/>
    </w:rPr>
  </w:style>
  <w:style w:type="character" w:customStyle="1" w:styleId="Heading6Char">
    <w:name w:val="Heading 6 Char"/>
    <w:basedOn w:val="DefaultParagraphFont"/>
    <w:link w:val="Heading6"/>
    <w:uiPriority w:val="4"/>
    <w:rsid w:val="000D089C"/>
    <w:rPr>
      <w:rFonts w:ascii="Arial" w:eastAsiaTheme="majorEastAsia" w:hAnsi="Arial" w:cstheme="majorBidi"/>
      <w:b/>
      <w:sz w:val="26"/>
      <w:szCs w:val="26"/>
    </w:rPr>
  </w:style>
  <w:style w:type="paragraph" w:customStyle="1" w:styleId="Dummy">
    <w:name w:val="Dummy"/>
    <w:next w:val="Normal"/>
    <w:uiPriority w:val="19"/>
    <w:rsid w:val="000D089C"/>
    <w:pPr>
      <w:keepNext/>
      <w:keepLines/>
      <w:spacing w:after="120"/>
      <w:outlineLvl w:val="0"/>
    </w:pPr>
    <w:rPr>
      <w:rFonts w:ascii="Arial" w:eastAsiaTheme="minorHAnsi" w:hAnsi="Arial" w:cs="Arial"/>
      <w:b/>
      <w:sz w:val="26"/>
      <w:szCs w:val="26"/>
    </w:rPr>
  </w:style>
  <w:style w:type="paragraph" w:customStyle="1" w:styleId="Main">
    <w:name w:val="Main"/>
    <w:next w:val="Normal"/>
    <w:uiPriority w:val="19"/>
    <w:rsid w:val="000D089C"/>
    <w:pPr>
      <w:jc w:val="center"/>
    </w:pPr>
    <w:rPr>
      <w:rFonts w:ascii="Arial" w:eastAsiaTheme="majorEastAsia" w:hAnsi="Arial" w:cstheme="majorBidi"/>
      <w:b/>
      <w:caps/>
      <w:sz w:val="26"/>
      <w:szCs w:val="56"/>
    </w:rPr>
  </w:style>
  <w:style w:type="numbering" w:customStyle="1" w:styleId="FoFCoLOP">
    <w:name w:val="FoF/CoL/OP"/>
    <w:uiPriority w:val="99"/>
    <w:rsid w:val="000D089C"/>
    <w:pPr>
      <w:numPr>
        <w:numId w:val="35"/>
      </w:numPr>
    </w:pPr>
  </w:style>
  <w:style w:type="paragraph" w:customStyle="1" w:styleId="FoF">
    <w:name w:val="FoF"/>
    <w:basedOn w:val="standard"/>
    <w:uiPriority w:val="6"/>
    <w:qFormat/>
    <w:rsid w:val="000D089C"/>
    <w:pPr>
      <w:numPr>
        <w:numId w:val="36"/>
      </w:numPr>
      <w:ind w:firstLine="547"/>
    </w:pPr>
    <w:rPr>
      <w:rFonts w:ascii="Book Antiqua" w:eastAsiaTheme="minorHAnsi" w:hAnsi="Book Antiqua" w:cstheme="minorBidi"/>
      <w:szCs w:val="22"/>
    </w:rPr>
  </w:style>
  <w:style w:type="paragraph" w:customStyle="1" w:styleId="CoL">
    <w:name w:val="CoL"/>
    <w:basedOn w:val="standard"/>
    <w:uiPriority w:val="7"/>
    <w:qFormat/>
    <w:rsid w:val="000D089C"/>
    <w:pPr>
      <w:numPr>
        <w:numId w:val="37"/>
      </w:numPr>
      <w:ind w:firstLine="547"/>
    </w:pPr>
    <w:rPr>
      <w:rFonts w:ascii="Book Antiqua" w:eastAsiaTheme="minorHAnsi" w:hAnsi="Book Antiqua" w:cstheme="minorBidi"/>
      <w:szCs w:val="22"/>
    </w:rPr>
  </w:style>
  <w:style w:type="paragraph" w:customStyle="1" w:styleId="OP">
    <w:name w:val="OP"/>
    <w:basedOn w:val="standard"/>
    <w:uiPriority w:val="8"/>
    <w:qFormat/>
    <w:rsid w:val="000D089C"/>
    <w:pPr>
      <w:numPr>
        <w:numId w:val="38"/>
      </w:numPr>
    </w:pPr>
    <w:rPr>
      <w:rFonts w:ascii="Book Antiqua" w:eastAsiaTheme="minorHAnsi" w:hAnsi="Book Antiqua" w:cstheme="minorBidi"/>
      <w:szCs w:val="22"/>
    </w:rPr>
  </w:style>
  <w:style w:type="numbering" w:customStyle="1" w:styleId="Headings">
    <w:name w:val="Headings"/>
    <w:uiPriority w:val="99"/>
    <w:rsid w:val="000D089C"/>
    <w:pPr>
      <w:numPr>
        <w:numId w:val="39"/>
      </w:numPr>
    </w:pPr>
  </w:style>
  <w:style w:type="paragraph" w:customStyle="1" w:styleId="ListAlpha">
    <w:name w:val="List Alpha"/>
    <w:basedOn w:val="standard"/>
    <w:uiPriority w:val="4"/>
    <w:qFormat/>
    <w:rsid w:val="000D089C"/>
    <w:pPr>
      <w:numPr>
        <w:ilvl w:val="7"/>
        <w:numId w:val="39"/>
      </w:numPr>
      <w:spacing w:after="120" w:line="240" w:lineRule="auto"/>
    </w:pPr>
    <w:rPr>
      <w:rFonts w:ascii="Book Antiqua" w:eastAsiaTheme="minorHAnsi" w:hAnsi="Book Antiqua" w:cstheme="minorBidi"/>
      <w:szCs w:val="22"/>
    </w:rPr>
  </w:style>
  <w:style w:type="paragraph" w:customStyle="1" w:styleId="Default">
    <w:name w:val="Default"/>
    <w:rsid w:val="00E206B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21931">
      <w:bodyDiv w:val="1"/>
      <w:marLeft w:val="0"/>
      <w:marRight w:val="0"/>
      <w:marTop w:val="0"/>
      <w:marBottom w:val="0"/>
      <w:divBdr>
        <w:top w:val="none" w:sz="0" w:space="0" w:color="auto"/>
        <w:left w:val="none" w:sz="0" w:space="0" w:color="auto"/>
        <w:bottom w:val="none" w:sz="0" w:space="0" w:color="auto"/>
        <w:right w:val="none" w:sz="0" w:space="0" w:color="auto"/>
      </w:divBdr>
    </w:div>
    <w:div w:id="992754399">
      <w:bodyDiv w:val="1"/>
      <w:marLeft w:val="0"/>
      <w:marRight w:val="0"/>
      <w:marTop w:val="0"/>
      <w:marBottom w:val="0"/>
      <w:divBdr>
        <w:top w:val="none" w:sz="0" w:space="0" w:color="auto"/>
        <w:left w:val="none" w:sz="0" w:space="0" w:color="auto"/>
        <w:bottom w:val="none" w:sz="0" w:space="0" w:color="auto"/>
        <w:right w:val="none" w:sz="0" w:space="0" w:color="auto"/>
      </w:divBdr>
    </w:div>
    <w:div w:id="1694721876">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1FE4-3EB8-43CE-96A8-A0089192ADF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43</ap:Pages>
  <ap:Words>10718</ap:Words>
  <ap:Characters>61093</ap:Characters>
  <ap:Application>Microsoft Office Word</ap:Application>
  <ap:DocSecurity>0</ap:DocSecurity>
  <ap:Lines>509</ap:Lines>
  <ap:Paragraphs>143</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71668</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2024-06-15T01:05:00Z</cp:lastPrinted>
  <dcterms:created xsi:type="dcterms:W3CDTF">2025-01-24T12:06:40Z</dcterms:created>
  <dcterms:modified xsi:type="dcterms:W3CDTF">2025-01-24T12:06:40Z</dcterms:modified>
</cp:coreProperties>
</file>