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242E" w:rsidR="008B5AEB" w:rsidP="004C242E" w:rsidRDefault="008B5AEB" w14:paraId="3649EDA3" w14:textId="5B10DEE8">
      <w:pPr>
        <w:tabs>
          <w:tab w:val="center" w:pos="4680"/>
          <w:tab w:val="right" w:pos="9360"/>
        </w:tabs>
        <w:spacing w:line="240" w:lineRule="auto"/>
        <w:ind w:firstLine="0"/>
        <w:rPr>
          <w:b/>
          <w:bCs/>
          <w:szCs w:val="26"/>
        </w:rPr>
      </w:pPr>
      <w:r w:rsidRPr="004C242E">
        <w:rPr>
          <w:szCs w:val="26"/>
        </w:rPr>
        <w:t>ALJ/ABT/</w:t>
      </w:r>
      <w:r w:rsidRPr="004C242E" w:rsidR="00230C6B">
        <w:rPr>
          <w:szCs w:val="26"/>
        </w:rPr>
        <w:t>hma</w:t>
      </w:r>
      <w:r w:rsidRPr="004C242E">
        <w:rPr>
          <w:szCs w:val="26"/>
        </w:rPr>
        <w:tab/>
      </w:r>
      <w:r w:rsidRPr="004C242E" w:rsidR="004C242E">
        <w:rPr>
          <w:rFonts w:cs="Arial"/>
          <w:b/>
          <w:szCs w:val="26"/>
        </w:rPr>
        <w:tab/>
        <w:t>Date of Issuance: 1/</w:t>
      </w:r>
      <w:r w:rsidR="000B1FA1">
        <w:rPr>
          <w:rFonts w:cs="Arial"/>
          <w:b/>
          <w:szCs w:val="26"/>
        </w:rPr>
        <w:t>24</w:t>
      </w:r>
      <w:r w:rsidRPr="004C242E" w:rsidR="004C242E">
        <w:rPr>
          <w:rFonts w:cs="Arial"/>
          <w:b/>
          <w:szCs w:val="26"/>
        </w:rPr>
        <w:t>/2025</w:t>
      </w:r>
    </w:p>
    <w:p w:rsidRPr="004C242E" w:rsidR="00450188" w:rsidP="008B5AEB" w:rsidRDefault="00450188" w14:paraId="3EAFF85E" w14:textId="77777777">
      <w:pPr>
        <w:tabs>
          <w:tab w:val="center" w:pos="4680"/>
          <w:tab w:val="right" w:pos="9360"/>
        </w:tabs>
        <w:spacing w:line="240" w:lineRule="auto"/>
        <w:ind w:firstLine="0"/>
        <w:jc w:val="right"/>
        <w:rPr>
          <w:b/>
          <w:bCs/>
          <w:szCs w:val="26"/>
        </w:rPr>
      </w:pPr>
    </w:p>
    <w:p w:rsidRPr="004C242E" w:rsidR="00230C6B" w:rsidP="008B5AEB" w:rsidRDefault="00230C6B" w14:paraId="7D2ACABC" w14:textId="77777777">
      <w:pPr>
        <w:tabs>
          <w:tab w:val="center" w:pos="4680"/>
          <w:tab w:val="right" w:pos="9360"/>
        </w:tabs>
        <w:spacing w:line="240" w:lineRule="auto"/>
        <w:ind w:firstLine="0"/>
        <w:jc w:val="right"/>
        <w:rPr>
          <w:b/>
          <w:bCs/>
          <w:szCs w:val="26"/>
        </w:rPr>
      </w:pPr>
    </w:p>
    <w:p w:rsidRPr="004C242E" w:rsidR="004C242E" w:rsidP="008B5AEB" w:rsidRDefault="004C242E" w14:paraId="1DB80BB9" w14:textId="77777777">
      <w:pPr>
        <w:tabs>
          <w:tab w:val="center" w:pos="4680"/>
          <w:tab w:val="right" w:pos="9360"/>
        </w:tabs>
        <w:spacing w:line="240" w:lineRule="auto"/>
        <w:ind w:firstLine="0"/>
        <w:jc w:val="right"/>
        <w:rPr>
          <w:b/>
          <w:bCs/>
          <w:szCs w:val="26"/>
        </w:rPr>
      </w:pPr>
    </w:p>
    <w:p w:rsidRPr="004C242E" w:rsidR="008B5AEB" w:rsidP="008B5AEB" w:rsidRDefault="008B5AEB" w14:paraId="391DE0F2" w14:textId="13D8CA0C">
      <w:pPr>
        <w:spacing w:line="240" w:lineRule="auto"/>
        <w:ind w:firstLine="0"/>
        <w:rPr>
          <w:szCs w:val="26"/>
        </w:rPr>
      </w:pPr>
      <w:r w:rsidRPr="004C242E">
        <w:rPr>
          <w:szCs w:val="26"/>
        </w:rPr>
        <w:t xml:space="preserve">Decision </w:t>
      </w:r>
      <w:r w:rsidRPr="004C242E" w:rsidR="004C242E">
        <w:rPr>
          <w:szCs w:val="26"/>
        </w:rPr>
        <w:t>25-01-004 January 16, 2025</w:t>
      </w:r>
    </w:p>
    <w:p w:rsidRPr="00EF2569" w:rsidR="004C242E" w:rsidP="008B5AEB" w:rsidRDefault="004C242E" w14:paraId="4F57D7C6" w14:textId="77777777">
      <w:pPr>
        <w:spacing w:line="240" w:lineRule="auto"/>
        <w:ind w:firstLine="0"/>
        <w:rPr>
          <w:u w:val="single"/>
        </w:rPr>
      </w:pPr>
    </w:p>
    <w:p w:rsidRPr="00EF2569" w:rsidR="008B5AEB" w:rsidP="008B5AEB" w:rsidRDefault="008B5AEB" w14:paraId="4A4B645A" w14:textId="77777777">
      <w:pPr>
        <w:spacing w:line="240" w:lineRule="auto"/>
        <w:ind w:firstLine="0"/>
        <w:jc w:val="center"/>
        <w:rPr>
          <w:rFonts w:ascii="Arial" w:hAnsi="Arial" w:cs="Arial"/>
          <w:sz w:val="24"/>
          <w:szCs w:val="24"/>
        </w:rPr>
      </w:pPr>
      <w:r w:rsidRPr="00EF2569">
        <w:rPr>
          <w:rFonts w:ascii="Arial" w:hAnsi="Arial" w:cs="Arial"/>
          <w:b/>
          <w:sz w:val="24"/>
          <w:szCs w:val="24"/>
        </w:rPr>
        <w:t>BEFORE THE PUBLIC UTILITIES COMMISSION OF THE STATE OF CALIFORNIA</w:t>
      </w:r>
    </w:p>
    <w:p w:rsidRPr="00EF2569" w:rsidR="008B5AEB" w:rsidP="008B5AEB" w:rsidRDefault="008B5AEB" w14:paraId="4955B2A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Pr="00EF2569" w:rsidR="008B5AEB" w:rsidTr="008F48F8" w14:paraId="2B5C96A9" w14:textId="77777777">
        <w:trPr>
          <w:jc w:val="center"/>
        </w:trPr>
        <w:tc>
          <w:tcPr>
            <w:tcW w:w="4680" w:type="dxa"/>
            <w:tcBorders>
              <w:top w:val="nil"/>
              <w:left w:val="nil"/>
              <w:bottom w:val="single" w:color="auto" w:sz="4" w:space="0"/>
              <w:right w:val="single" w:color="auto" w:sz="4" w:space="0"/>
            </w:tcBorders>
          </w:tcPr>
          <w:p w:rsidR="008F48F8" w:rsidP="008F48F8" w:rsidRDefault="000674BE" w14:paraId="58DCE848" w14:textId="296C7447">
            <w:pPr>
              <w:spacing w:line="240" w:lineRule="auto"/>
              <w:ind w:firstLine="0"/>
              <w:rPr>
                <w:rFonts w:cs="Arial"/>
                <w:szCs w:val="26"/>
              </w:rPr>
            </w:pPr>
            <w:r>
              <w:rPr>
                <w:rFonts w:cs="Arial"/>
                <w:szCs w:val="26"/>
              </w:rPr>
              <w:t>Flor Dieguez James and Steven O. James</w:t>
            </w:r>
            <w:r w:rsidRPr="00EF2569" w:rsidR="008B5AEB">
              <w:rPr>
                <w:rFonts w:cs="Arial"/>
                <w:szCs w:val="26"/>
              </w:rPr>
              <w:t>,</w:t>
            </w:r>
          </w:p>
          <w:p w:rsidR="008F48F8" w:rsidP="008F48F8" w:rsidRDefault="008F48F8" w14:paraId="6B701364" w14:textId="77777777">
            <w:pPr>
              <w:spacing w:line="240" w:lineRule="auto"/>
              <w:ind w:firstLine="0"/>
              <w:rPr>
                <w:rFonts w:cs="Arial"/>
                <w:szCs w:val="26"/>
              </w:rPr>
            </w:pPr>
          </w:p>
          <w:p w:rsidR="008B5AEB" w:rsidP="00230C6B" w:rsidRDefault="008B5AEB" w14:paraId="305F6345" w14:textId="098EAF45">
            <w:pPr>
              <w:spacing w:line="240" w:lineRule="auto"/>
              <w:ind w:right="72" w:firstLine="0"/>
              <w:jc w:val="right"/>
              <w:rPr>
                <w:rFonts w:cs="Arial"/>
                <w:szCs w:val="26"/>
              </w:rPr>
            </w:pPr>
            <w:r w:rsidRPr="00EF2569">
              <w:rPr>
                <w:rFonts w:cs="Arial"/>
                <w:szCs w:val="26"/>
              </w:rPr>
              <w:t>Complainant</w:t>
            </w:r>
            <w:r w:rsidR="000674BE">
              <w:rPr>
                <w:rFonts w:cs="Arial"/>
                <w:szCs w:val="26"/>
              </w:rPr>
              <w:t>s</w:t>
            </w:r>
            <w:r w:rsidR="00A42E05">
              <w:rPr>
                <w:rFonts w:cs="Arial"/>
                <w:szCs w:val="26"/>
              </w:rPr>
              <w:t>,</w:t>
            </w:r>
          </w:p>
          <w:p w:rsidRPr="00EF2569" w:rsidR="008F48F8" w:rsidP="008F48F8" w:rsidRDefault="008F48F8" w14:paraId="5E894EE1" w14:textId="77777777">
            <w:pPr>
              <w:spacing w:line="240" w:lineRule="auto"/>
              <w:ind w:firstLine="0"/>
              <w:rPr>
                <w:rFonts w:cs="Arial"/>
                <w:szCs w:val="26"/>
              </w:rPr>
            </w:pPr>
          </w:p>
          <w:p w:rsidR="008B5AEB" w:rsidP="008F48F8" w:rsidRDefault="008B5AEB" w14:paraId="24FA6083" w14:textId="0D4E949F">
            <w:pPr>
              <w:tabs>
                <w:tab w:val="left" w:pos="2141"/>
              </w:tabs>
              <w:spacing w:line="240" w:lineRule="auto"/>
              <w:ind w:firstLine="0"/>
              <w:jc w:val="center"/>
              <w:rPr>
                <w:rFonts w:cs="Arial"/>
                <w:szCs w:val="26"/>
              </w:rPr>
            </w:pPr>
            <w:r w:rsidRPr="00EF2569">
              <w:rPr>
                <w:rFonts w:cs="Arial"/>
                <w:szCs w:val="26"/>
              </w:rPr>
              <w:t>vs.</w:t>
            </w:r>
          </w:p>
          <w:p w:rsidRPr="00EF2569" w:rsidR="008F48F8" w:rsidP="008F48F8" w:rsidRDefault="008F48F8" w14:paraId="32DD5D90" w14:textId="77777777">
            <w:pPr>
              <w:tabs>
                <w:tab w:val="left" w:pos="2141"/>
              </w:tabs>
              <w:spacing w:line="240" w:lineRule="auto"/>
              <w:ind w:firstLine="0"/>
              <w:rPr>
                <w:rFonts w:cs="Arial"/>
                <w:szCs w:val="26"/>
              </w:rPr>
            </w:pPr>
          </w:p>
          <w:p w:rsidR="008F48F8" w:rsidP="000C32F9" w:rsidRDefault="000674BE" w14:paraId="64C3AFB6" w14:textId="263654DF">
            <w:pPr>
              <w:tabs>
                <w:tab w:val="right" w:pos="4320"/>
              </w:tabs>
              <w:spacing w:line="240" w:lineRule="auto"/>
              <w:ind w:firstLine="0"/>
              <w:rPr>
                <w:rFonts w:cs="Arial"/>
                <w:szCs w:val="26"/>
              </w:rPr>
            </w:pPr>
            <w:r>
              <w:rPr>
                <w:rFonts w:cs="Arial"/>
                <w:szCs w:val="26"/>
              </w:rPr>
              <w:t>Southern California Edison Company</w:t>
            </w:r>
            <w:r w:rsidRPr="00E00AA7" w:rsidR="009D18F1">
              <w:rPr>
                <w:rFonts w:cs="Arial"/>
                <w:szCs w:val="26"/>
              </w:rPr>
              <w:t>,</w:t>
            </w:r>
          </w:p>
          <w:p w:rsidR="008F48F8" w:rsidP="000C32F9" w:rsidRDefault="008F48F8" w14:paraId="1455D142" w14:textId="77777777">
            <w:pPr>
              <w:tabs>
                <w:tab w:val="right" w:pos="4320"/>
              </w:tabs>
              <w:spacing w:line="240" w:lineRule="auto"/>
              <w:ind w:firstLine="0"/>
              <w:rPr>
                <w:rFonts w:cs="Arial"/>
                <w:szCs w:val="26"/>
              </w:rPr>
            </w:pPr>
          </w:p>
          <w:p w:rsidRPr="00EF2569" w:rsidR="008B5AEB" w:rsidP="00A42E05" w:rsidRDefault="008B5AEB" w14:paraId="31A5F512" w14:textId="4FDFE146">
            <w:pPr>
              <w:tabs>
                <w:tab w:val="right" w:pos="4320"/>
              </w:tabs>
              <w:spacing w:line="240" w:lineRule="auto"/>
              <w:ind w:right="434" w:firstLine="0"/>
              <w:jc w:val="right"/>
              <w:rPr>
                <w:rFonts w:cs="Arial"/>
                <w:szCs w:val="26"/>
              </w:rPr>
            </w:pPr>
            <w:r w:rsidRPr="00EF2569">
              <w:rPr>
                <w:rFonts w:cs="Arial"/>
                <w:szCs w:val="26"/>
              </w:rPr>
              <w:t>Defendant.</w:t>
            </w:r>
          </w:p>
          <w:p w:rsidRPr="00EF2569" w:rsidR="008B5AEB" w:rsidP="000C32F9" w:rsidRDefault="008B5AEB" w14:paraId="46B7819D" w14:textId="77777777">
            <w:pPr>
              <w:tabs>
                <w:tab w:val="right" w:pos="4301"/>
              </w:tabs>
              <w:spacing w:line="240" w:lineRule="auto"/>
              <w:ind w:firstLine="0"/>
              <w:rPr>
                <w:rFonts w:cs="Arial"/>
                <w:szCs w:val="26"/>
              </w:rPr>
            </w:pPr>
          </w:p>
        </w:tc>
        <w:tc>
          <w:tcPr>
            <w:tcW w:w="4680" w:type="dxa"/>
            <w:tcBorders>
              <w:top w:val="nil"/>
              <w:left w:val="single" w:color="auto" w:sz="4" w:space="0"/>
              <w:bottom w:val="nil"/>
              <w:right w:val="nil"/>
            </w:tcBorders>
            <w:vAlign w:val="center"/>
          </w:tcPr>
          <w:p w:rsidRPr="00EF2569" w:rsidR="008B5AEB" w:rsidP="000C32F9" w:rsidRDefault="008B5AEB" w14:paraId="08F44838" w14:textId="77777777">
            <w:pPr>
              <w:spacing w:line="240" w:lineRule="auto"/>
              <w:ind w:firstLine="0"/>
              <w:jc w:val="center"/>
              <w:rPr>
                <w:rFonts w:cs="Arial"/>
                <w:szCs w:val="26"/>
              </w:rPr>
            </w:pPr>
            <w:r w:rsidRPr="00EF2569">
              <w:rPr>
                <w:rFonts w:cs="Arial"/>
                <w:szCs w:val="26"/>
              </w:rPr>
              <w:t>(ECP)</w:t>
            </w:r>
          </w:p>
          <w:p w:rsidRPr="00EF2569" w:rsidR="008B5AEB" w:rsidP="000C32F9" w:rsidRDefault="009D18F1" w14:paraId="1E833A34" w14:textId="7182A862">
            <w:pPr>
              <w:spacing w:line="240" w:lineRule="auto"/>
              <w:ind w:firstLine="0"/>
              <w:jc w:val="center"/>
              <w:rPr>
                <w:rFonts w:cs="Arial"/>
                <w:szCs w:val="26"/>
              </w:rPr>
            </w:pPr>
            <w:r>
              <w:rPr>
                <w:rFonts w:cs="Arial"/>
                <w:szCs w:val="26"/>
              </w:rPr>
              <w:t xml:space="preserve">Case </w:t>
            </w:r>
            <w:r w:rsidR="000674BE">
              <w:rPr>
                <w:rFonts w:cs="Arial"/>
                <w:szCs w:val="26"/>
              </w:rPr>
              <w:t>24-06-015</w:t>
            </w:r>
          </w:p>
        </w:tc>
      </w:tr>
    </w:tbl>
    <w:p w:rsidRPr="00EF2569" w:rsidR="008B5AEB" w:rsidP="008B5AEB" w:rsidRDefault="008B5AEB" w14:paraId="1A0CACF6" w14:textId="77777777">
      <w:pPr>
        <w:spacing w:line="240" w:lineRule="auto"/>
        <w:ind w:firstLine="0"/>
        <w:rPr>
          <w:rFonts w:ascii="Arial" w:hAnsi="Arial" w:cs="Arial"/>
          <w:sz w:val="24"/>
          <w:szCs w:val="24"/>
        </w:rPr>
      </w:pPr>
    </w:p>
    <w:p w:rsidRPr="00EF2569" w:rsidR="008B5AEB" w:rsidP="008B5AEB" w:rsidRDefault="008B5AEB" w14:paraId="73540B7E" w14:textId="77777777">
      <w:pPr>
        <w:spacing w:line="240" w:lineRule="auto"/>
        <w:ind w:firstLine="0"/>
        <w:rPr>
          <w:rFonts w:ascii="Arial" w:hAnsi="Arial" w:cs="Arial"/>
          <w:sz w:val="24"/>
          <w:szCs w:val="24"/>
        </w:rPr>
      </w:pPr>
    </w:p>
    <w:p w:rsidRPr="00EF2569" w:rsidR="008B5AEB" w:rsidP="008B5AEB" w:rsidRDefault="008F48F8" w14:paraId="7A49CE77" w14:textId="498A756D">
      <w:pPr>
        <w:pStyle w:val="Main"/>
        <w:spacing w:after="240"/>
      </w:pPr>
      <w:bookmarkStart w:name="_Hlk54356077" w:id="0"/>
      <w:r w:rsidRPr="00EF2569">
        <w:rPr>
          <w:caps w:val="0"/>
        </w:rPr>
        <w:t xml:space="preserve">DECISION </w:t>
      </w:r>
      <w:r w:rsidR="00FA24CB">
        <w:rPr>
          <w:caps w:val="0"/>
        </w:rPr>
        <w:t xml:space="preserve">DENYING RELIEF AND </w:t>
      </w:r>
      <w:r w:rsidRPr="00EF2569">
        <w:rPr>
          <w:caps w:val="0"/>
        </w:rPr>
        <w:t>DISMISSING COMPLAINT</w:t>
      </w:r>
    </w:p>
    <w:p w:rsidR="008B5AEB" w:rsidP="008B5AEB" w:rsidRDefault="008B5AEB" w14:paraId="7C82A86F" w14:textId="77777777">
      <w:pPr>
        <w:pStyle w:val="Heading1"/>
        <w:numPr>
          <w:ilvl w:val="0"/>
          <w:numId w:val="0"/>
        </w:numPr>
        <w:ind w:left="720" w:hanging="720"/>
      </w:pPr>
      <w:bookmarkStart w:name="_Toc93586314" w:id="1"/>
      <w:bookmarkEnd w:id="0"/>
      <w:r w:rsidRPr="00EF2569">
        <w:t>Summary</w:t>
      </w:r>
      <w:bookmarkEnd w:id="1"/>
    </w:p>
    <w:p w:rsidRPr="000250C3" w:rsidR="002D3F11" w:rsidP="00952022" w:rsidRDefault="008B5AEB" w14:paraId="1AC5E5D6" w14:textId="63A6A05D">
      <w:pPr>
        <w:rPr>
          <w:rFonts w:cs="Arial"/>
          <w:szCs w:val="26"/>
        </w:rPr>
      </w:pPr>
      <w:r w:rsidRPr="00EF2569">
        <w:t>Complainant</w:t>
      </w:r>
      <w:r w:rsidR="000674BE">
        <w:t>s</w:t>
      </w:r>
      <w:r w:rsidR="008F48F8">
        <w:t>,</w:t>
      </w:r>
      <w:r w:rsidRPr="00EF2569">
        <w:t xml:space="preserve"> </w:t>
      </w:r>
      <w:r w:rsidR="000674BE">
        <w:rPr>
          <w:rFonts w:cs="Arial"/>
          <w:szCs w:val="26"/>
        </w:rPr>
        <w:t>Flor Dieguez James and Steven O. James</w:t>
      </w:r>
      <w:r w:rsidR="008F48F8">
        <w:t>,</w:t>
      </w:r>
      <w:r w:rsidRPr="00EF2569">
        <w:t xml:space="preserve"> </w:t>
      </w:r>
      <w:r w:rsidR="005770B7">
        <w:t>allege</w:t>
      </w:r>
      <w:r w:rsidR="000674BE">
        <w:t xml:space="preserve"> that defendant </w:t>
      </w:r>
      <w:r w:rsidR="000674BE">
        <w:rPr>
          <w:rFonts w:cs="Arial"/>
          <w:szCs w:val="26"/>
        </w:rPr>
        <w:t xml:space="preserve">Southern California Edison Company </w:t>
      </w:r>
      <w:r w:rsidR="00DD1ACF">
        <w:rPr>
          <w:rFonts w:cs="Arial"/>
          <w:szCs w:val="26"/>
        </w:rPr>
        <w:t>used</w:t>
      </w:r>
      <w:r w:rsidR="000674BE">
        <w:rPr>
          <w:rFonts w:cs="Arial"/>
          <w:szCs w:val="26"/>
        </w:rPr>
        <w:t xml:space="preserve"> improper accounting method</w:t>
      </w:r>
      <w:r w:rsidR="00DD1ACF">
        <w:rPr>
          <w:rFonts w:cs="Arial"/>
          <w:szCs w:val="26"/>
        </w:rPr>
        <w:t>s</w:t>
      </w:r>
      <w:r w:rsidR="000674BE">
        <w:rPr>
          <w:rFonts w:cs="Arial"/>
          <w:szCs w:val="26"/>
        </w:rPr>
        <w:t xml:space="preserve"> and</w:t>
      </w:r>
      <w:r w:rsidR="00DD1ACF">
        <w:rPr>
          <w:rFonts w:cs="Arial"/>
          <w:szCs w:val="26"/>
        </w:rPr>
        <w:t xml:space="preserve"> </w:t>
      </w:r>
      <w:r w:rsidR="000674BE">
        <w:rPr>
          <w:rFonts w:cs="Arial"/>
          <w:szCs w:val="26"/>
        </w:rPr>
        <w:t xml:space="preserve">failed to accept complainants’ “negotiable instruments” as valid payments. </w:t>
      </w:r>
      <w:r w:rsidR="00EF7747">
        <w:rPr>
          <w:rFonts w:cs="Arial"/>
          <w:szCs w:val="26"/>
        </w:rPr>
        <w:t xml:space="preserve">We find that </w:t>
      </w:r>
      <w:r w:rsidR="000250C3">
        <w:rPr>
          <w:rFonts w:cs="Arial"/>
          <w:szCs w:val="26"/>
        </w:rPr>
        <w:t xml:space="preserve">Complaints </w:t>
      </w:r>
      <w:r w:rsidR="00EF7747">
        <w:rPr>
          <w:rFonts w:cs="Arial"/>
          <w:szCs w:val="26"/>
        </w:rPr>
        <w:t xml:space="preserve">have </w:t>
      </w:r>
      <w:r w:rsidR="000250C3">
        <w:rPr>
          <w:rFonts w:cs="Arial"/>
          <w:szCs w:val="26"/>
        </w:rPr>
        <w:t>failed to meet their burden of proof</w:t>
      </w:r>
      <w:r w:rsidR="00D40289">
        <w:rPr>
          <w:rFonts w:cs="Arial"/>
          <w:szCs w:val="26"/>
        </w:rPr>
        <w:t>.</w:t>
      </w:r>
      <w:r w:rsidR="000250C3">
        <w:rPr>
          <w:rFonts w:cs="Arial"/>
          <w:szCs w:val="26"/>
        </w:rPr>
        <w:t xml:space="preserve"> Complain</w:t>
      </w:r>
      <w:r w:rsidR="00EF7747">
        <w:rPr>
          <w:rFonts w:cs="Arial"/>
          <w:szCs w:val="26"/>
        </w:rPr>
        <w:t>an</w:t>
      </w:r>
      <w:r w:rsidR="000250C3">
        <w:rPr>
          <w:rFonts w:cs="Arial"/>
          <w:szCs w:val="26"/>
        </w:rPr>
        <w:t>ts</w:t>
      </w:r>
      <w:r w:rsidR="00DD1ACF">
        <w:rPr>
          <w:rFonts w:cs="Arial"/>
          <w:szCs w:val="26"/>
        </w:rPr>
        <w:t>’</w:t>
      </w:r>
      <w:r w:rsidR="000250C3">
        <w:rPr>
          <w:rFonts w:cs="Arial"/>
          <w:szCs w:val="26"/>
        </w:rPr>
        <w:t xml:space="preserve"> constitutional argument that defendant must only accept payment in the form of “gold or silver” is baseless</w:t>
      </w:r>
      <w:r w:rsidR="00EF7747">
        <w:rPr>
          <w:rFonts w:cs="Arial"/>
          <w:szCs w:val="26"/>
        </w:rPr>
        <w:t xml:space="preserve">, </w:t>
      </w:r>
      <w:r w:rsidR="000250C3">
        <w:rPr>
          <w:rFonts w:cs="Arial"/>
          <w:szCs w:val="26"/>
        </w:rPr>
        <w:t>frivolous</w:t>
      </w:r>
      <w:r w:rsidR="00EF7747">
        <w:rPr>
          <w:rFonts w:cs="Arial"/>
          <w:szCs w:val="26"/>
        </w:rPr>
        <w:t xml:space="preserve"> and without merit</w:t>
      </w:r>
      <w:r w:rsidR="000250C3">
        <w:rPr>
          <w:rFonts w:cs="Arial"/>
          <w:szCs w:val="26"/>
        </w:rPr>
        <w:t xml:space="preserve">. </w:t>
      </w:r>
      <w:bookmarkStart w:name="_Hlk122001680" w:id="2"/>
      <w:r w:rsidR="00EF7747">
        <w:t>T</w:t>
      </w:r>
      <w:r w:rsidR="000943A5">
        <w:t xml:space="preserve">here </w:t>
      </w:r>
      <w:r w:rsidR="002D3F11">
        <w:t xml:space="preserve">is no </w:t>
      </w:r>
      <w:r w:rsidR="006C237D">
        <w:t>evidence</w:t>
      </w:r>
      <w:r w:rsidR="000943A5">
        <w:t xml:space="preserve"> or </w:t>
      </w:r>
      <w:r w:rsidR="0082577A">
        <w:t>indication</w:t>
      </w:r>
      <w:r w:rsidR="000943A5">
        <w:t xml:space="preserve"> that</w:t>
      </w:r>
      <w:r w:rsidR="002D3F11">
        <w:t xml:space="preserve"> </w:t>
      </w:r>
      <w:r w:rsidR="00EF7747">
        <w:t>the D</w:t>
      </w:r>
      <w:r w:rsidR="005770B7">
        <w:t>efendant</w:t>
      </w:r>
      <w:r w:rsidR="000943A5">
        <w:t xml:space="preserve"> </w:t>
      </w:r>
      <w:r w:rsidR="00EF7747">
        <w:t xml:space="preserve">has </w:t>
      </w:r>
      <w:r w:rsidR="000943A5">
        <w:t xml:space="preserve">violated any </w:t>
      </w:r>
      <w:r w:rsidRPr="00EF2569" w:rsidR="00616E1B">
        <w:rPr>
          <w:szCs w:val="26"/>
          <w:shd w:val="clear" w:color="auto" w:fill="FFFFFF"/>
        </w:rPr>
        <w:t>California Public Utilities Commission</w:t>
      </w:r>
      <w:r w:rsidR="000943A5">
        <w:t xml:space="preserve"> approved or administered rule, law, statute, or tariff</w:t>
      </w:r>
      <w:bookmarkEnd w:id="2"/>
      <w:r w:rsidR="000943A5">
        <w:t>.</w:t>
      </w:r>
      <w:r w:rsidR="003F3EFF">
        <w:t xml:space="preserve"> </w:t>
      </w:r>
    </w:p>
    <w:p w:rsidRPr="00EF2569" w:rsidR="006C237D" w:rsidP="00952022" w:rsidRDefault="0057164E" w14:paraId="1EB18264" w14:textId="1402C7C7">
      <w:r w:rsidRPr="0057164E">
        <w:t xml:space="preserve">Therefore, we deny </w:t>
      </w:r>
      <w:r w:rsidR="00FF0E7B">
        <w:t xml:space="preserve">the </w:t>
      </w:r>
      <w:r w:rsidRPr="0057164E">
        <w:t xml:space="preserve">relief that </w:t>
      </w:r>
      <w:r w:rsidR="000250C3">
        <w:t xml:space="preserve">Mr. and Mrs. James </w:t>
      </w:r>
      <w:r w:rsidRPr="0057164E">
        <w:t>request.</w:t>
      </w:r>
      <w:r w:rsidR="003F3EFF">
        <w:t xml:space="preserve"> </w:t>
      </w:r>
      <w:r w:rsidR="000943A5">
        <w:t xml:space="preserve">The Complaint is </w:t>
      </w:r>
      <w:r w:rsidR="00324C5A">
        <w:t>dismissed</w:t>
      </w:r>
      <w:r w:rsidR="00D40289">
        <w:t>.</w:t>
      </w:r>
      <w:r w:rsidR="00952022">
        <w:t xml:space="preserve"> </w:t>
      </w:r>
      <w:r w:rsidRPr="00EF2569" w:rsidR="008B5AEB">
        <w:t>Case 2</w:t>
      </w:r>
      <w:r w:rsidR="000250C3">
        <w:t>4</w:t>
      </w:r>
      <w:r w:rsidRPr="00EF2569" w:rsidR="008B5AEB">
        <w:t>-0</w:t>
      </w:r>
      <w:r w:rsidR="000250C3">
        <w:t>6</w:t>
      </w:r>
      <w:r w:rsidRPr="00EF2569" w:rsidR="008B5AEB">
        <w:t>-0</w:t>
      </w:r>
      <w:r w:rsidR="000250C3">
        <w:t>1</w:t>
      </w:r>
      <w:r w:rsidR="005770B7">
        <w:t>5</w:t>
      </w:r>
      <w:r w:rsidRPr="00EF2569" w:rsidR="008B5AEB">
        <w:t xml:space="preserve"> is closed.</w:t>
      </w:r>
    </w:p>
    <w:p w:rsidRPr="00EF2569" w:rsidR="008B5AEB" w:rsidP="008B5AEB" w:rsidRDefault="008B5AEB" w14:paraId="45830E6B" w14:textId="77777777">
      <w:pPr>
        <w:pStyle w:val="Heading1"/>
      </w:pPr>
      <w:r w:rsidRPr="00EF2569">
        <w:lastRenderedPageBreak/>
        <w:t xml:space="preserve">Factual Background and </w:t>
      </w:r>
      <w:r w:rsidRPr="00EF2569">
        <w:br/>
        <w:t>Procedural History</w:t>
      </w:r>
    </w:p>
    <w:p w:rsidR="00BD4275" w:rsidP="00333D3C" w:rsidRDefault="000A1B32" w14:paraId="65C91954" w14:textId="07961BBA">
      <w:r w:rsidRPr="00EF2569">
        <w:rPr>
          <w:szCs w:val="26"/>
        </w:rPr>
        <w:t>Complainant</w:t>
      </w:r>
      <w:r w:rsidR="000250C3">
        <w:rPr>
          <w:szCs w:val="26"/>
        </w:rPr>
        <w:t>s</w:t>
      </w:r>
      <w:r w:rsidRPr="00EF2569">
        <w:rPr>
          <w:szCs w:val="26"/>
        </w:rPr>
        <w:t xml:space="preserve">, </w:t>
      </w:r>
      <w:r w:rsidR="000250C3">
        <w:rPr>
          <w:rFonts w:cs="Arial"/>
          <w:szCs w:val="26"/>
        </w:rPr>
        <w:t>Flor Dieguez James and Steven O. James</w:t>
      </w:r>
      <w:r w:rsidR="000250C3">
        <w:rPr>
          <w:szCs w:val="26"/>
        </w:rPr>
        <w:t xml:space="preserve"> (hereinafter referred to as Complainants)</w:t>
      </w:r>
      <w:r w:rsidRPr="0032596A">
        <w:rPr>
          <w:szCs w:val="26"/>
        </w:rPr>
        <w:t>,</w:t>
      </w:r>
      <w:r w:rsidRPr="0032596A" w:rsidR="00891684">
        <w:rPr>
          <w:szCs w:val="26"/>
        </w:rPr>
        <w:t xml:space="preserve"> </w:t>
      </w:r>
      <w:r w:rsidR="00FE00A1">
        <w:rPr>
          <w:szCs w:val="26"/>
        </w:rPr>
        <w:t xml:space="preserve">have been </w:t>
      </w:r>
      <w:r w:rsidR="005770B7">
        <w:rPr>
          <w:szCs w:val="26"/>
        </w:rPr>
        <w:t>long-time customer</w:t>
      </w:r>
      <w:r w:rsidR="00FE00A1">
        <w:rPr>
          <w:szCs w:val="26"/>
        </w:rPr>
        <w:t>s</w:t>
      </w:r>
      <w:r w:rsidR="00333D3C">
        <w:rPr>
          <w:szCs w:val="26"/>
        </w:rPr>
        <w:t xml:space="preserve"> of </w:t>
      </w:r>
      <w:r w:rsidR="00FE00A1">
        <w:rPr>
          <w:rFonts w:cs="Arial"/>
          <w:szCs w:val="26"/>
        </w:rPr>
        <w:t xml:space="preserve">Southern California Edison Company (hereinafter referred to as Defendant); specifically, they have been customers since June 2013. </w:t>
      </w:r>
      <w:r w:rsidR="00BD4275">
        <w:rPr>
          <w:rFonts w:cs="Arial"/>
          <w:szCs w:val="26"/>
        </w:rPr>
        <w:t>For close to a decade, Complainants made timely payments</w:t>
      </w:r>
      <w:r w:rsidR="009B563E">
        <w:rPr>
          <w:rFonts w:cs="Arial"/>
          <w:szCs w:val="26"/>
        </w:rPr>
        <w:t xml:space="preserve"> o</w:t>
      </w:r>
      <w:r w:rsidR="00DE70F3">
        <w:rPr>
          <w:rFonts w:cs="Arial"/>
          <w:szCs w:val="26"/>
        </w:rPr>
        <w:t>f</w:t>
      </w:r>
      <w:r w:rsidR="009B563E">
        <w:rPr>
          <w:rFonts w:cs="Arial"/>
          <w:szCs w:val="26"/>
        </w:rPr>
        <w:t xml:space="preserve"> their </w:t>
      </w:r>
      <w:r w:rsidR="00DE70F3">
        <w:rPr>
          <w:rFonts w:cs="Arial"/>
          <w:szCs w:val="26"/>
        </w:rPr>
        <w:t>energy bill</w:t>
      </w:r>
      <w:r w:rsidR="00BD4275">
        <w:rPr>
          <w:rFonts w:cs="Arial"/>
          <w:szCs w:val="26"/>
        </w:rPr>
        <w:t>. Then the Covid-19 pandemic spread across the country.</w:t>
      </w:r>
      <w:r w:rsidR="00DD1ACF">
        <w:rPr>
          <w:rFonts w:cs="Arial"/>
          <w:szCs w:val="26"/>
        </w:rPr>
        <w:t xml:space="preserve"> Complainants </w:t>
      </w:r>
      <w:r w:rsidR="001561AE">
        <w:rPr>
          <w:rFonts w:cs="Arial"/>
          <w:szCs w:val="26"/>
        </w:rPr>
        <w:t>state</w:t>
      </w:r>
      <w:r w:rsidR="00DD1ACF">
        <w:rPr>
          <w:rFonts w:cs="Arial"/>
          <w:szCs w:val="26"/>
        </w:rPr>
        <w:t xml:space="preserve"> that w</w:t>
      </w:r>
      <w:r w:rsidR="00BD4275">
        <w:rPr>
          <w:rFonts w:cs="Arial"/>
          <w:szCs w:val="26"/>
        </w:rPr>
        <w:t xml:space="preserve">hile </w:t>
      </w:r>
      <w:r w:rsidR="00DD1ACF">
        <w:rPr>
          <w:rFonts w:cs="Arial"/>
          <w:szCs w:val="26"/>
        </w:rPr>
        <w:t>they</w:t>
      </w:r>
      <w:r w:rsidR="00BD4275">
        <w:rPr>
          <w:rFonts w:cs="Arial"/>
          <w:szCs w:val="26"/>
        </w:rPr>
        <w:t xml:space="preserve"> were stuck at home</w:t>
      </w:r>
      <w:r w:rsidR="00DD1ACF">
        <w:rPr>
          <w:rFonts w:cs="Arial"/>
          <w:szCs w:val="26"/>
        </w:rPr>
        <w:t xml:space="preserve"> during the pandemic</w:t>
      </w:r>
      <w:r w:rsidR="00BD4275">
        <w:rPr>
          <w:rFonts w:cs="Arial"/>
          <w:szCs w:val="26"/>
        </w:rPr>
        <w:t>, they spent a lot of time reading</w:t>
      </w:r>
      <w:r w:rsidR="00046B3D">
        <w:rPr>
          <w:rFonts w:cs="Arial"/>
          <w:szCs w:val="26"/>
        </w:rPr>
        <w:t>, including</w:t>
      </w:r>
      <w:r w:rsidR="00BD4275">
        <w:rPr>
          <w:rFonts w:cs="Arial"/>
          <w:szCs w:val="26"/>
        </w:rPr>
        <w:t xml:space="preserve"> the Bible, the United States Constitution </w:t>
      </w:r>
      <w:r w:rsidR="00046B3D">
        <w:rPr>
          <w:rFonts w:cs="Arial"/>
          <w:szCs w:val="26"/>
        </w:rPr>
        <w:t xml:space="preserve">and </w:t>
      </w:r>
      <w:r w:rsidR="00BD4275">
        <w:rPr>
          <w:rFonts w:cs="Arial"/>
          <w:szCs w:val="26"/>
        </w:rPr>
        <w:t>the Uniform Commercial Code. Through th</w:t>
      </w:r>
      <w:r w:rsidR="00046B3D">
        <w:rPr>
          <w:rFonts w:cs="Arial"/>
          <w:szCs w:val="26"/>
        </w:rPr>
        <w:t>ese endeavors</w:t>
      </w:r>
      <w:r w:rsidR="009432DE">
        <w:rPr>
          <w:rFonts w:cs="Arial"/>
          <w:szCs w:val="26"/>
        </w:rPr>
        <w:t>,</w:t>
      </w:r>
      <w:r w:rsidR="00BD4275">
        <w:rPr>
          <w:rFonts w:cs="Arial"/>
          <w:szCs w:val="26"/>
        </w:rPr>
        <w:t xml:space="preserve"> they concluded that they have “no obligation to pay” Defendant for the electric</w:t>
      </w:r>
      <w:r w:rsidR="009432DE">
        <w:rPr>
          <w:rFonts w:cs="Arial"/>
          <w:szCs w:val="26"/>
        </w:rPr>
        <w:t>ity</w:t>
      </w:r>
      <w:r w:rsidR="00BD4275">
        <w:rPr>
          <w:rFonts w:cs="Arial"/>
          <w:szCs w:val="26"/>
        </w:rPr>
        <w:t xml:space="preserve"> provided to them because “</w:t>
      </w:r>
      <w:r w:rsidRPr="00B4311A" w:rsidR="00BD4275">
        <w:t>gold and</w:t>
      </w:r>
      <w:r w:rsidR="00BD4275">
        <w:t xml:space="preserve"> </w:t>
      </w:r>
      <w:r w:rsidRPr="00B4311A" w:rsidR="00BD4275">
        <w:t>silver coin</w:t>
      </w:r>
      <w:r w:rsidR="00BD4275">
        <w:t xml:space="preserve">” </w:t>
      </w:r>
      <w:r w:rsidR="0026021F">
        <w:t>is</w:t>
      </w:r>
      <w:r w:rsidR="00BD4275">
        <w:t xml:space="preserve"> the only form of currency allowed under the Constitution.  </w:t>
      </w:r>
    </w:p>
    <w:p w:rsidR="00BD4275" w:rsidP="002A4783" w:rsidRDefault="00BD4275" w14:paraId="5FE781B3" w14:textId="732C730B">
      <w:r>
        <w:t>Complainants stopped paying for their electric</w:t>
      </w:r>
      <w:r w:rsidR="009432DE">
        <w:t>ity</w:t>
      </w:r>
      <w:r>
        <w:t xml:space="preserve"> usage in July 2022.</w:t>
      </w:r>
      <w:r w:rsidR="002A4783">
        <w:t xml:space="preserve"> </w:t>
      </w:r>
      <w:r w:rsidR="00E47905">
        <w:t xml:space="preserve">Defendant offered Complainants the opportunity to request an </w:t>
      </w:r>
      <w:r w:rsidRPr="00E47905" w:rsidR="00E47905">
        <w:t>installment plan</w:t>
      </w:r>
      <w:r w:rsidR="00E47905">
        <w:t xml:space="preserve">; </w:t>
      </w:r>
      <w:r w:rsidR="002A4783">
        <w:t xml:space="preserve">in addition to making this request, </w:t>
      </w:r>
      <w:r w:rsidR="00E47905">
        <w:t xml:space="preserve">Complainants needed to </w:t>
      </w:r>
      <w:r w:rsidR="002A4783">
        <w:t>specify</w:t>
      </w:r>
      <w:r w:rsidRPr="00E47905" w:rsidR="00E47905">
        <w:t xml:space="preserve"> the </w:t>
      </w:r>
      <w:r w:rsidR="00E47905">
        <w:t xml:space="preserve">monthly </w:t>
      </w:r>
      <w:r w:rsidRPr="00E47905" w:rsidR="00E47905">
        <w:t xml:space="preserve">term </w:t>
      </w:r>
      <w:r w:rsidR="00E47905">
        <w:t xml:space="preserve">of the installment plan </w:t>
      </w:r>
      <w:r w:rsidRPr="00E47905" w:rsidR="00E47905">
        <w:t xml:space="preserve">and the date </w:t>
      </w:r>
      <w:r w:rsidR="00E47905">
        <w:t>that payments would be due each month</w:t>
      </w:r>
      <w:r w:rsidRPr="00E47905" w:rsidR="00E47905">
        <w:t xml:space="preserve">. </w:t>
      </w:r>
      <w:r w:rsidR="00E47905">
        <w:t xml:space="preserve">Such a plan would have avoided </w:t>
      </w:r>
      <w:r w:rsidRPr="00E47905" w:rsidR="00E47905">
        <w:t xml:space="preserve">collection action </w:t>
      </w:r>
      <w:r w:rsidR="00E47905">
        <w:t>while the</w:t>
      </w:r>
      <w:r w:rsidRPr="00E47905" w:rsidR="00E47905">
        <w:t xml:space="preserve"> balance </w:t>
      </w:r>
      <w:r w:rsidR="002A4783">
        <w:t>was</w:t>
      </w:r>
      <w:r w:rsidRPr="00E47905" w:rsidR="00E47905">
        <w:t xml:space="preserve"> delinquent.</w:t>
      </w:r>
      <w:r w:rsidR="00E47905">
        <w:t xml:space="preserve"> </w:t>
      </w:r>
      <w:r w:rsidR="002A4783">
        <w:t>But C</w:t>
      </w:r>
      <w:r w:rsidR="00E47905">
        <w:t xml:space="preserve">omplainants did not request an installment plan. Defendant initiated a collection action, but, as was mentioned during the hearing, Defendant was not pursuing service termination at this time. </w:t>
      </w:r>
      <w:r>
        <w:t xml:space="preserve">The current outstanding balance total </w:t>
      </w:r>
      <w:r w:rsidR="00D503B4">
        <w:t xml:space="preserve">now exceeds </w:t>
      </w:r>
      <w:r>
        <w:t>$5,780.</w:t>
      </w:r>
    </w:p>
    <w:p w:rsidRPr="0050097C" w:rsidR="002D3F11" w:rsidP="0050097C" w:rsidRDefault="00BD4275" w14:paraId="6C7A8EDD" w14:textId="33C4E5FD">
      <w:pPr>
        <w:rPr>
          <w:rFonts w:cs="Arial"/>
          <w:szCs w:val="26"/>
        </w:rPr>
      </w:pPr>
      <w:r>
        <w:t>On February 25, 2024, Complainants filed an Informal Complaint with the California Public Utilities Commission (</w:t>
      </w:r>
      <w:r w:rsidR="0050097C">
        <w:t>Commission</w:t>
      </w:r>
      <w:r>
        <w:t>)</w:t>
      </w:r>
      <w:r w:rsidR="0050097C">
        <w:t xml:space="preserve">. </w:t>
      </w:r>
      <w:r w:rsidRPr="001806B7" w:rsidR="00253253">
        <w:t xml:space="preserve">On </w:t>
      </w:r>
      <w:r w:rsidR="0050097C">
        <w:t>July 10, 2024</w:t>
      </w:r>
      <w:r w:rsidRPr="001806B7" w:rsidR="00253253">
        <w:t xml:space="preserve">, </w:t>
      </w:r>
      <w:r w:rsidR="0050097C">
        <w:t xml:space="preserve">Complainants filed </w:t>
      </w:r>
      <w:r w:rsidRPr="001806B7" w:rsidR="00253253">
        <w:t xml:space="preserve">this </w:t>
      </w:r>
      <w:r w:rsidR="002F155E">
        <w:t>Expedited C</w:t>
      </w:r>
      <w:r w:rsidRPr="001806B7" w:rsidR="00253253">
        <w:t>omplaint</w:t>
      </w:r>
      <w:r w:rsidR="002F155E">
        <w:t xml:space="preserve"> Proceeding (Complaint)</w:t>
      </w:r>
      <w:r w:rsidRPr="001806B7" w:rsidR="00253253">
        <w:t xml:space="preserve"> with the</w:t>
      </w:r>
      <w:r w:rsidR="009D6D1A">
        <w:t xml:space="preserve"> </w:t>
      </w:r>
      <w:r w:rsidR="009725D0">
        <w:rPr>
          <w:szCs w:val="26"/>
          <w:shd w:val="clear" w:color="auto" w:fill="FFFFFF"/>
        </w:rPr>
        <w:t>Commission</w:t>
      </w:r>
      <w:r w:rsidR="00253253">
        <w:rPr>
          <w:szCs w:val="26"/>
          <w:shd w:val="clear" w:color="auto" w:fill="FFFFFF"/>
        </w:rPr>
        <w:t>.</w:t>
      </w:r>
      <w:r w:rsidR="00253253">
        <w:t xml:space="preserve"> </w:t>
      </w:r>
      <w:r w:rsidR="009432DE">
        <w:t>O</w:t>
      </w:r>
      <w:r w:rsidRPr="00EF2569" w:rsidR="009432DE">
        <w:t>n</w:t>
      </w:r>
      <w:r w:rsidR="009432DE">
        <w:t xml:space="preserve"> September 12, 2024, the Commission held a</w:t>
      </w:r>
      <w:r w:rsidRPr="00EF2569" w:rsidR="00253253">
        <w:t xml:space="preserve"> hearing via Webex.</w:t>
      </w:r>
      <w:r w:rsidR="0059105E">
        <w:t xml:space="preserve"> Mr.</w:t>
      </w:r>
      <w:r w:rsidR="0050097C">
        <w:t xml:space="preserve"> and </w:t>
      </w:r>
      <w:r w:rsidR="009432DE">
        <w:t>Mrs.</w:t>
      </w:r>
      <w:r w:rsidR="0050097C">
        <w:t xml:space="preserve"> James</w:t>
      </w:r>
      <w:r w:rsidR="0059105E">
        <w:t xml:space="preserve"> </w:t>
      </w:r>
      <w:r w:rsidRPr="00EF2569" w:rsidR="0059105E">
        <w:t xml:space="preserve">appeared at the hearing. </w:t>
      </w:r>
      <w:r w:rsidR="0050097C">
        <w:t xml:space="preserve">Robert Rojas, an advisor for </w:t>
      </w:r>
      <w:r w:rsidR="0050097C">
        <w:lastRenderedPageBreak/>
        <w:t xml:space="preserve">Southern California Edison, </w:t>
      </w:r>
      <w:r w:rsidR="0059105E">
        <w:t xml:space="preserve">appeared </w:t>
      </w:r>
      <w:r w:rsidRPr="00EF2569" w:rsidR="0059105E">
        <w:t xml:space="preserve">for </w:t>
      </w:r>
      <w:r w:rsidR="0059105E">
        <w:t>Defendant</w:t>
      </w:r>
      <w:r w:rsidRPr="00EF2569" w:rsidR="0059105E">
        <w:t>.</w:t>
      </w:r>
      <w:r w:rsidR="0059105E">
        <w:t xml:space="preserve"> </w:t>
      </w:r>
      <w:r w:rsidRPr="00EF2569" w:rsidR="00253253">
        <w:t>Administrative Law Judge (ALJ) Alberto T. Rosas presided over the hearing.</w:t>
      </w:r>
      <w:r w:rsidR="00F366ED">
        <w:t xml:space="preserve">  </w:t>
      </w:r>
      <w:r w:rsidR="00B66199">
        <w:t>Assistant</w:t>
      </w:r>
      <w:r w:rsidR="00F366ED">
        <w:t xml:space="preserve"> Chief A</w:t>
      </w:r>
      <w:r w:rsidR="00B66199">
        <w:t xml:space="preserve">LJ, W. Anthony Colbert was also in attendance.  </w:t>
      </w:r>
    </w:p>
    <w:p w:rsidR="002C5FF7" w:rsidP="008B5AEB" w:rsidRDefault="002C5FF7" w14:paraId="1176DDA7" w14:textId="3090FF49">
      <w:pPr>
        <w:pStyle w:val="Heading1"/>
      </w:pPr>
      <w:r>
        <w:t>Issue Before the Commission</w:t>
      </w:r>
    </w:p>
    <w:p w:rsidRPr="0050097C" w:rsidR="0050097C" w:rsidP="00381D51" w:rsidRDefault="001B1316" w14:paraId="2D9741D8" w14:textId="7FABF105">
      <w:pPr>
        <w:pStyle w:val="Standard"/>
      </w:pPr>
      <w:r>
        <w:t xml:space="preserve">In their Complaint, Complainants indicate that the only issue to be considered is whether Defendant “should release the full accounting ledger according to GAAP and [Complainants’] service agreement.” But there is more to this issue than this single sentence. </w:t>
      </w:r>
      <w:r w:rsidRPr="0050097C" w:rsidR="0050097C">
        <w:t>Generally, the only question that the Commission needs to answer to resolve most complaints of this nature is</w:t>
      </w:r>
      <w:r>
        <w:t>:</w:t>
      </w:r>
      <w:r w:rsidRPr="0050097C" w:rsidR="0050097C">
        <w:t xml:space="preserve"> </w:t>
      </w:r>
      <w:r>
        <w:t>“</w:t>
      </w:r>
      <w:r w:rsidRPr="0050097C" w:rsidR="0050097C">
        <w:t>Was energy used by the customer but not paid for?</w:t>
      </w:r>
      <w:r>
        <w:t>” But h</w:t>
      </w:r>
      <w:r w:rsidRPr="0050097C" w:rsidR="0050097C">
        <w:t xml:space="preserve">ere, however, there is no </w:t>
      </w:r>
      <w:r>
        <w:t xml:space="preserve">doubt </w:t>
      </w:r>
      <w:r w:rsidRPr="0050097C" w:rsidR="0050097C">
        <w:t xml:space="preserve">that Complainants used the </w:t>
      </w:r>
      <w:r w:rsidR="009432DE">
        <w:t>electricity for which Defendant billed them—an outstanding balance currently totaling over $5,780.</w:t>
      </w:r>
      <w:r w:rsidRPr="0050097C" w:rsidR="0050097C">
        <w:t xml:space="preserve"> The </w:t>
      </w:r>
      <w:r>
        <w:t xml:space="preserve">heart of the issue </w:t>
      </w:r>
      <w:r w:rsidRPr="0050097C" w:rsidR="0050097C">
        <w:t xml:space="preserve">is whether </w:t>
      </w:r>
      <w:r w:rsidR="009432DE">
        <w:t>Complainants</w:t>
      </w:r>
      <w:r w:rsidRPr="0050097C" w:rsidR="0050097C">
        <w:t xml:space="preserve"> actually “paid” for that energy. Th</w:t>
      </w:r>
      <w:r>
        <w:t>is</w:t>
      </w:r>
      <w:r w:rsidRPr="0050097C" w:rsidR="0050097C">
        <w:t xml:space="preserve"> question is </w:t>
      </w:r>
      <w:r>
        <w:t xml:space="preserve">made </w:t>
      </w:r>
      <w:r w:rsidRPr="0050097C" w:rsidR="0050097C">
        <w:t>complicate</w:t>
      </w:r>
      <w:r>
        <w:t>d</w:t>
      </w:r>
      <w:r w:rsidRPr="0050097C" w:rsidR="0050097C">
        <w:t xml:space="preserve"> by Complainants</w:t>
      </w:r>
      <w:r>
        <w:t>’</w:t>
      </w:r>
      <w:r w:rsidRPr="0050097C" w:rsidR="0050097C">
        <w:t xml:space="preserve"> claims that they </w:t>
      </w:r>
      <w:r w:rsidR="002C04DE">
        <w:t>have in fact</w:t>
      </w:r>
      <w:r w:rsidR="00FA125A">
        <w:t xml:space="preserve"> </w:t>
      </w:r>
      <w:r w:rsidRPr="0050097C" w:rsidR="0050097C">
        <w:t>“pa</w:t>
      </w:r>
      <w:r w:rsidR="009432DE">
        <w:t>id</w:t>
      </w:r>
      <w:r w:rsidRPr="0050097C" w:rsidR="0050097C">
        <w:t>” for energy used</w:t>
      </w:r>
      <w:r w:rsidR="00381D51">
        <w:t>,</w:t>
      </w:r>
      <w:r w:rsidRPr="0050097C" w:rsidR="0050097C">
        <w:t xml:space="preserve"> but that Defendant refuses to accept their “</w:t>
      </w:r>
      <w:r w:rsidR="00DD1ACF">
        <w:t>n</w:t>
      </w:r>
      <w:r w:rsidRPr="0050097C" w:rsidR="0050097C">
        <w:t xml:space="preserve">egotiable </w:t>
      </w:r>
      <w:r w:rsidR="00DD1ACF">
        <w:t>i</w:t>
      </w:r>
      <w:r w:rsidRPr="0050097C" w:rsidR="0050097C">
        <w:t>nstruments” as valid payment.</w:t>
      </w:r>
    </w:p>
    <w:p w:rsidRPr="00EF2569" w:rsidR="008B5AEB" w:rsidP="002C5FF7" w:rsidRDefault="008B5AEB" w14:paraId="2A47A1F3" w14:textId="5CB11B72">
      <w:pPr>
        <w:pStyle w:val="Heading2"/>
      </w:pPr>
      <w:r w:rsidRPr="00EF2569">
        <w:t>Complainant’s Contention</w:t>
      </w:r>
      <w:r w:rsidR="00B87574">
        <w:t>s</w:t>
      </w:r>
    </w:p>
    <w:p w:rsidR="00381D51" w:rsidP="00381D51" w:rsidRDefault="00381D51" w14:paraId="2D8D3027" w14:textId="285F87D1">
      <w:r>
        <w:t xml:space="preserve">The reason Complainants requested the full accounting ledger according to </w:t>
      </w:r>
      <w:r w:rsidRPr="001B1316" w:rsidR="009432DE">
        <w:t>Generally Accepted Accounting Principles</w:t>
      </w:r>
      <w:r w:rsidR="009432DE">
        <w:t xml:space="preserve"> (GAAP)</w:t>
      </w:r>
      <w:r>
        <w:t xml:space="preserve"> is because they believe that they have made all required “payments” and that a full accounting ledger according to GAAP would prove that their accounts receivable</w:t>
      </w:r>
      <w:r w:rsidR="009432DE">
        <w:t xml:space="preserve"> </w:t>
      </w:r>
      <w:r>
        <w:t>offset</w:t>
      </w:r>
      <w:r w:rsidR="009432DE">
        <w:t>s</w:t>
      </w:r>
      <w:r>
        <w:t xml:space="preserve"> their accounts payable, resulting in Complai</w:t>
      </w:r>
      <w:r w:rsidR="009432DE">
        <w:t>nants</w:t>
      </w:r>
      <w:r>
        <w:t xml:space="preserve"> not owing any additional moneys to Defendant.</w:t>
      </w:r>
    </w:p>
    <w:p w:rsidR="0077116C" w:rsidP="00381D51" w:rsidRDefault="00381D51" w14:paraId="68E327C3" w14:textId="5F133C0B">
      <w:r>
        <w:t xml:space="preserve">Complainants contend that they submitted </w:t>
      </w:r>
      <w:r w:rsidR="0077116C">
        <w:t>two “</w:t>
      </w:r>
      <w:r>
        <w:t>payments</w:t>
      </w:r>
      <w:r w:rsidR="0077116C">
        <w:t>”</w:t>
      </w:r>
      <w:r>
        <w:t xml:space="preserve"> in the form of </w:t>
      </w:r>
      <w:r w:rsidRPr="0050097C">
        <w:t>“</w:t>
      </w:r>
      <w:r w:rsidR="00DD1ACF">
        <w:t>n</w:t>
      </w:r>
      <w:r w:rsidRPr="0050097C">
        <w:t xml:space="preserve">egotiable </w:t>
      </w:r>
      <w:r w:rsidR="00DD1ACF">
        <w:t>i</w:t>
      </w:r>
      <w:r w:rsidRPr="0050097C">
        <w:t>nstruments”</w:t>
      </w:r>
      <w:r>
        <w:t xml:space="preserve"> but that </w:t>
      </w:r>
      <w:r w:rsidRPr="0050097C">
        <w:t>Defendant refuse</w:t>
      </w:r>
      <w:r>
        <w:t>d</w:t>
      </w:r>
      <w:r w:rsidRPr="0050097C">
        <w:t xml:space="preserve"> to accept</w:t>
      </w:r>
      <w:r>
        <w:t xml:space="preserve"> these instruments</w:t>
      </w:r>
      <w:r w:rsidRPr="0050097C">
        <w:t xml:space="preserve"> </w:t>
      </w:r>
      <w:r w:rsidRPr="0050097C">
        <w:lastRenderedPageBreak/>
        <w:t>as valid payment.</w:t>
      </w:r>
      <w:r w:rsidR="0077116C">
        <w:rPr>
          <w:rStyle w:val="FootnoteReference"/>
        </w:rPr>
        <w:footnoteReference w:id="2"/>
      </w:r>
      <w:r>
        <w:t xml:space="preserve"> </w:t>
      </w:r>
      <w:r w:rsidR="0077116C">
        <w:t xml:space="preserve">Complainants essentially returned two electricity bills back to Defendant but failed to include </w:t>
      </w:r>
      <w:r w:rsidR="003345E4">
        <w:t>checks or money order</w:t>
      </w:r>
      <w:r w:rsidR="00FA125A">
        <w:t>s</w:t>
      </w:r>
      <w:r w:rsidR="003345E4">
        <w:t xml:space="preserve">. </w:t>
      </w:r>
    </w:p>
    <w:p w:rsidR="00381D51" w:rsidP="00381D51" w:rsidRDefault="00381D51" w14:paraId="70446263" w14:textId="57FE3AF4">
      <w:r>
        <w:rPr>
          <w:rFonts w:cs="Arial"/>
          <w:szCs w:val="26"/>
        </w:rPr>
        <w:t>Complainants also contend that they have “no obligation to pay” Defendant for the electric</w:t>
      </w:r>
      <w:r w:rsidR="0026021F">
        <w:rPr>
          <w:rFonts w:cs="Arial"/>
          <w:szCs w:val="26"/>
        </w:rPr>
        <w:t>ity</w:t>
      </w:r>
      <w:r>
        <w:rPr>
          <w:rFonts w:cs="Arial"/>
          <w:szCs w:val="26"/>
        </w:rPr>
        <w:t xml:space="preserve"> provided to them</w:t>
      </w:r>
      <w:r w:rsidR="0026021F">
        <w:rPr>
          <w:rFonts w:cs="Arial"/>
          <w:szCs w:val="26"/>
        </w:rPr>
        <w:t xml:space="preserve"> </w:t>
      </w:r>
      <w:r>
        <w:rPr>
          <w:rFonts w:cs="Arial"/>
          <w:szCs w:val="26"/>
        </w:rPr>
        <w:t>because “</w:t>
      </w:r>
      <w:r w:rsidRPr="00B4311A">
        <w:t>gold and</w:t>
      </w:r>
      <w:r>
        <w:t xml:space="preserve"> </w:t>
      </w:r>
      <w:r w:rsidRPr="00B4311A">
        <w:t>silver coin</w:t>
      </w:r>
      <w:r>
        <w:t xml:space="preserve">” </w:t>
      </w:r>
      <w:r w:rsidR="0026021F">
        <w:t>is</w:t>
      </w:r>
      <w:r>
        <w:t xml:space="preserve"> the only form of currency allowed under the Constitution. </w:t>
      </w:r>
    </w:p>
    <w:p w:rsidRPr="00EF2569" w:rsidR="008B5AEB" w:rsidP="002C5FF7" w:rsidRDefault="008B5AEB" w14:paraId="7BD973B8" w14:textId="3AB51555">
      <w:pPr>
        <w:pStyle w:val="Heading2"/>
      </w:pPr>
      <w:bookmarkStart w:name="_Toc8123719" w:id="3"/>
      <w:bookmarkStart w:name="_Toc12866688" w:id="4"/>
      <w:bookmarkStart w:name="_Toc80619008" w:id="5"/>
      <w:bookmarkStart w:name="_Toc80619100" w:id="6"/>
      <w:r w:rsidRPr="00EF2569">
        <w:t>Defendant’</w:t>
      </w:r>
      <w:r w:rsidR="00927283">
        <w:t>s</w:t>
      </w:r>
      <w:r w:rsidRPr="00EF2569">
        <w:t xml:space="preserve"> Response</w:t>
      </w:r>
      <w:bookmarkEnd w:id="3"/>
      <w:bookmarkEnd w:id="4"/>
      <w:bookmarkEnd w:id="5"/>
      <w:bookmarkEnd w:id="6"/>
    </w:p>
    <w:p w:rsidR="003345E4" w:rsidP="00050285" w:rsidRDefault="003345E4" w14:paraId="41BBD2E1" w14:textId="5949CF89">
      <w:r>
        <w:t>Defendant contends that Complainants’ form of “payment”—the purported “</w:t>
      </w:r>
      <w:r w:rsidR="00DD1ACF">
        <w:t>n</w:t>
      </w:r>
      <w:r>
        <w:t xml:space="preserve">egotiable </w:t>
      </w:r>
      <w:r w:rsidR="00DD1ACF">
        <w:t>i</w:t>
      </w:r>
      <w:r>
        <w:t>nstruments”—are not acceptable forms of payment. Defendant’s evidentiary exhibits included a list of the accepted forms of payment.</w:t>
      </w:r>
      <w:r w:rsidR="00050285">
        <w:rPr>
          <w:rStyle w:val="FootnoteReference"/>
        </w:rPr>
        <w:footnoteReference w:id="3"/>
      </w:r>
    </w:p>
    <w:p w:rsidR="00050285" w:rsidP="0026021F" w:rsidRDefault="00050285" w14:paraId="07B5CA6A" w14:textId="132E5A2A">
      <w:r>
        <w:t xml:space="preserve">Defendant indicated that Complainants are enrolled in </w:t>
      </w:r>
      <w:r w:rsidRPr="00B34576" w:rsidR="005F0674">
        <w:t>the California Affordable Rates for Energy (CARE)</w:t>
      </w:r>
      <w:r w:rsidR="005F0674">
        <w:t xml:space="preserve"> Program and, therefore, are not subject to late fees on their lack of payments. Defendant also indicated that that the utility has tried to work with Complain</w:t>
      </w:r>
      <w:r w:rsidR="0026021F">
        <w:t>an</w:t>
      </w:r>
      <w:r w:rsidR="005F0674">
        <w:t>ts and even enrolled them in the Arrearage Management Plan (AMP), in which eligible customers may</w:t>
      </w:r>
      <w:r w:rsidRPr="00B34576" w:rsidR="005F0674">
        <w:t xml:space="preserve"> receive forgiveness of 1/12 of their starting arrearage balance for every time</w:t>
      </w:r>
      <w:r w:rsidR="00DE46D2">
        <w:t>ly</w:t>
      </w:r>
      <w:r w:rsidRPr="00B34576" w:rsidR="005F0674">
        <w:t xml:space="preserve"> payment of a current </w:t>
      </w:r>
      <w:r w:rsidRPr="00B34576" w:rsidR="005F0674">
        <w:lastRenderedPageBreak/>
        <w:t>monthly bill</w:t>
      </w:r>
      <w:r w:rsidR="005F0674">
        <w:t xml:space="preserve">. Complainants failed to make </w:t>
      </w:r>
      <w:r w:rsidRPr="00B34576" w:rsidR="005F0674">
        <w:t>time</w:t>
      </w:r>
      <w:r w:rsidR="00DE46D2">
        <w:t>ly</w:t>
      </w:r>
      <w:r w:rsidRPr="00B34576" w:rsidR="005F0674">
        <w:t xml:space="preserve"> </w:t>
      </w:r>
      <w:r w:rsidR="00A0090B">
        <w:t xml:space="preserve">AMP </w:t>
      </w:r>
      <w:r w:rsidRPr="00B34576" w:rsidR="005F0674">
        <w:t>payment</w:t>
      </w:r>
      <w:r w:rsidR="005F0674">
        <w:t>s</w:t>
      </w:r>
      <w:r w:rsidR="00A0090B">
        <w:t xml:space="preserve"> and were removed from the program.</w:t>
      </w:r>
    </w:p>
    <w:p w:rsidR="008B5AEB" w:rsidP="008B5AEB" w:rsidRDefault="008B5AEB" w14:paraId="11660586" w14:textId="7A892B34">
      <w:pPr>
        <w:pStyle w:val="Heading1"/>
        <w:rPr>
          <w:rFonts w:cs="Arial"/>
          <w:szCs w:val="26"/>
        </w:rPr>
      </w:pPr>
      <w:bookmarkStart w:name="_Toc80619101" w:id="7"/>
      <w:bookmarkStart w:name="_Toc8123721" w:id="8"/>
      <w:bookmarkStart w:name="_Toc12866692" w:id="9"/>
      <w:bookmarkStart w:name="_Toc80619009" w:id="10"/>
      <w:r w:rsidRPr="0061507E">
        <w:rPr>
          <w:rFonts w:cs="Arial"/>
          <w:szCs w:val="26"/>
        </w:rPr>
        <w:t>Discussion</w:t>
      </w:r>
      <w:bookmarkEnd w:id="7"/>
    </w:p>
    <w:p w:rsidR="004C561A" w:rsidP="004C561A" w:rsidRDefault="004C561A" w14:paraId="0F31AEAF" w14:textId="73BB926B">
      <w:pPr>
        <w:pStyle w:val="Heading2"/>
      </w:pPr>
      <w:r>
        <w:t>Burden of Proof</w:t>
      </w:r>
    </w:p>
    <w:p w:rsidR="00317B2C" w:rsidP="00421C9B" w:rsidRDefault="00421C9B" w14:paraId="54C66A60" w14:textId="77777777">
      <w:pPr>
        <w:rPr>
          <w:szCs w:val="26"/>
          <w:shd w:val="clear" w:color="auto" w:fill="FFFFFF"/>
        </w:rPr>
      </w:pPr>
      <w:r w:rsidRPr="00EF2569">
        <w:rPr>
          <w:szCs w:val="26"/>
        </w:rPr>
        <w:t xml:space="preserve">California law has long held that the party bringing a claim generally has the </w:t>
      </w:r>
      <w:r w:rsidRPr="00EF2569">
        <w:rPr>
          <w:szCs w:val="26"/>
          <w:shd w:val="clear" w:color="auto" w:fill="FFFFFF"/>
        </w:rPr>
        <w:t>burden of proving that claim by a preponderance of the evidence.</w:t>
      </w:r>
      <w:r w:rsidRPr="00EF2569">
        <w:rPr>
          <w:rStyle w:val="FootnoteReference"/>
          <w:szCs w:val="26"/>
          <w:shd w:val="clear" w:color="auto" w:fill="FFFFFF"/>
        </w:rPr>
        <w:footnoteReference w:id="4"/>
      </w:r>
      <w:r w:rsidRPr="00EF2569">
        <w:rPr>
          <w:szCs w:val="26"/>
          <w:shd w:val="clear" w:color="auto" w:fill="FFFFFF"/>
        </w:rPr>
        <w:t xml:space="preserve"> The Commission follows this rule in its complaint cases.</w:t>
      </w:r>
      <w:r w:rsidRPr="00EF2569">
        <w:rPr>
          <w:rStyle w:val="FootnoteReference"/>
          <w:szCs w:val="26"/>
          <w:shd w:val="clear" w:color="auto" w:fill="FFFFFF"/>
        </w:rPr>
        <w:footnoteReference w:id="5"/>
      </w:r>
      <w:r w:rsidRPr="00EF2569">
        <w:rPr>
          <w:szCs w:val="26"/>
          <w:shd w:val="clear" w:color="auto" w:fill="FFFFFF"/>
        </w:rPr>
        <w:t xml:space="preserve"> This means that plaintiffs—or in this case, complainant</w:t>
      </w:r>
      <w:r w:rsidR="00B87574">
        <w:rPr>
          <w:szCs w:val="26"/>
          <w:shd w:val="clear" w:color="auto" w:fill="FFFFFF"/>
        </w:rPr>
        <w:t>s</w:t>
      </w:r>
      <w:r w:rsidRPr="00EF2569">
        <w:rPr>
          <w:szCs w:val="26"/>
          <w:shd w:val="clear" w:color="auto" w:fill="FFFFFF"/>
        </w:rPr>
        <w:t>—must persuade decisionmakers that, considering all the evidence in the case, the proposition on which that party has the burden of proof is more likely to be true than not true.</w:t>
      </w:r>
    </w:p>
    <w:p w:rsidR="00E5761D" w:rsidP="00783241" w:rsidRDefault="00E5761D" w14:paraId="6E2AA5D2" w14:textId="6AB5D29E">
      <w:r>
        <w:t>First, we note that</w:t>
      </w:r>
      <w:r w:rsidR="005F0674">
        <w:t xml:space="preserve"> Complainants are</w:t>
      </w:r>
      <w:r>
        <w:t xml:space="preserve"> not seeking any monetary damages. </w:t>
      </w:r>
      <w:r w:rsidR="00783241">
        <w:t>Complain</w:t>
      </w:r>
      <w:r w:rsidR="0026021F">
        <w:t>ants</w:t>
      </w:r>
      <w:r w:rsidR="00783241">
        <w:t xml:space="preserve"> indicated that they are seeking equitable relief</w:t>
      </w:r>
      <w:r w:rsidR="0026021F">
        <w:t>:</w:t>
      </w:r>
      <w:r w:rsidR="00783241">
        <w:t xml:space="preserve"> a Commission decision finding that they have “paid” for all electric</w:t>
      </w:r>
      <w:r w:rsidR="0026021F">
        <w:t>ity</w:t>
      </w:r>
      <w:r w:rsidR="00783241">
        <w:t xml:space="preserve"> received. </w:t>
      </w:r>
      <w:r>
        <w:t>Although monetary relief is the norm, decisionmakers and adjudicators may also grant equitable relief.</w:t>
      </w:r>
      <w:r>
        <w:rPr>
          <w:rStyle w:val="FootnoteReference"/>
        </w:rPr>
        <w:footnoteReference w:id="6"/>
      </w:r>
      <w:r>
        <w:t xml:space="preserve"> </w:t>
      </w:r>
    </w:p>
    <w:p w:rsidR="00783241" w:rsidP="00783241" w:rsidRDefault="00E5761D" w14:paraId="01E77100" w14:textId="797A115B">
      <w:r>
        <w:t xml:space="preserve">To succeed in </w:t>
      </w:r>
      <w:r w:rsidR="00783241">
        <w:t>their</w:t>
      </w:r>
      <w:r>
        <w:t xml:space="preserve"> request</w:t>
      </w:r>
      <w:r w:rsidR="00783241">
        <w:t xml:space="preserve">, Complainants </w:t>
      </w:r>
      <w:r>
        <w:t xml:space="preserve">must prove that </w:t>
      </w:r>
      <w:r w:rsidR="00783241">
        <w:t xml:space="preserve">Defendant’s accounting is incorrect, and that Complainants have actually paid the approximate $5,780 balance that remains outstanding. This Complainants cannot </w:t>
      </w:r>
      <w:r w:rsidR="00531BD8">
        <w:t>do because</w:t>
      </w:r>
      <w:r w:rsidR="00783241">
        <w:t xml:space="preserve"> there is no evidence that Complainants have made payments in forms acceptable by Defendant. There is no evidence that Complainants paid </w:t>
      </w:r>
      <w:r w:rsidR="00783241">
        <w:lastRenderedPageBreak/>
        <w:t>their balance due via checks, money orders</w:t>
      </w:r>
      <w:r w:rsidR="00960068">
        <w:t xml:space="preserve"> </w:t>
      </w:r>
      <w:r w:rsidR="00494FB5">
        <w:t>via U.S. mail and/</w:t>
      </w:r>
      <w:r w:rsidR="00783241">
        <w:t xml:space="preserve">or cash paid at any SCE Payment Office or an authorized payment location. There is no evidence that Complainants paid their balance due electronically through one of several specifically enumerated electronic payments services, or electronically by a recurring automatic bank debit or funds transfer. Although the evidence shows that Defendant </w:t>
      </w:r>
      <w:r w:rsidR="000E552D">
        <w:t xml:space="preserve">may </w:t>
      </w:r>
      <w:r w:rsidR="00783241">
        <w:t>accept payment in any other means mutually agreed upon to SCE and the customer</w:t>
      </w:r>
      <w:r w:rsidR="000E552D">
        <w:t>, there is no evidence that the parties agreed to payment in the form of the “</w:t>
      </w:r>
      <w:r w:rsidR="00DD1ACF">
        <w:t>n</w:t>
      </w:r>
      <w:r w:rsidR="000E552D">
        <w:t xml:space="preserve">egotiable </w:t>
      </w:r>
      <w:r w:rsidR="00DD1ACF">
        <w:t>i</w:t>
      </w:r>
      <w:r w:rsidR="000E552D">
        <w:t xml:space="preserve">nstruments” that Complainants mailed back to Defendant. </w:t>
      </w:r>
    </w:p>
    <w:p w:rsidR="000E552D" w:rsidP="00783241" w:rsidRDefault="000E552D" w14:paraId="1F3AEE76" w14:textId="1979F0BF">
      <w:r>
        <w:t xml:space="preserve">Below we will turn to a legal discussion on the Constitutional arguments surrounding Complainant’s gold-or-silver contentions. But before doing so, we note that even if the Commission were to find that Defendant must accept payment in the form of gold or silver, there is absolutely no evidence that Complainants are ready, willing, and able to transport to a SCE Payment Office or an authorized payment location a chest or </w:t>
      </w:r>
      <w:r w:rsidR="00E249A6">
        <w:t>bag containing $5,780 worth of gold and/or silver.</w:t>
      </w:r>
    </w:p>
    <w:p w:rsidR="00152325" w:rsidP="00E249A6" w:rsidRDefault="000E552D" w14:paraId="74A182D8" w14:textId="2015372D">
      <w:r>
        <w:t xml:space="preserve">Thus, from an evidentiary perspective, Complainants </w:t>
      </w:r>
      <w:r w:rsidR="00F8789F">
        <w:t xml:space="preserve">have </w:t>
      </w:r>
      <w:r>
        <w:t xml:space="preserve">failed to meet their burden of proof. </w:t>
      </w:r>
    </w:p>
    <w:p w:rsidR="00007E42" w:rsidP="00007E42" w:rsidRDefault="00007E42" w14:paraId="6E010440" w14:textId="05236841">
      <w:pPr>
        <w:pStyle w:val="Heading2"/>
      </w:pPr>
      <w:r>
        <w:t>Gold or Silver</w:t>
      </w:r>
      <w:r w:rsidR="00B34576">
        <w:t xml:space="preserve"> Only</w:t>
      </w:r>
    </w:p>
    <w:p w:rsidR="00E249A6" w:rsidP="00E249A6" w:rsidRDefault="00E249A6" w14:paraId="239589E9" w14:textId="2FAA495E">
      <w:r>
        <w:t xml:space="preserve">Complainants claim that Defendant—a utility regulated by the State of California and operating pursuant to Commission approved or administered rules, laws, statutes, and tariffs—is </w:t>
      </w:r>
      <w:r w:rsidRPr="00B4311A">
        <w:t>prohibited from</w:t>
      </w:r>
      <w:r>
        <w:t xml:space="preserve"> accepting payments in “</w:t>
      </w:r>
      <w:r w:rsidRPr="00B4311A">
        <w:t>dollars</w:t>
      </w:r>
      <w:r>
        <w:t>.”</w:t>
      </w:r>
      <w:r w:rsidRPr="00B4311A">
        <w:t xml:space="preserve"> </w:t>
      </w:r>
      <w:r w:rsidR="00D24C7A">
        <w:t xml:space="preserve">Complainants cite </w:t>
      </w:r>
      <w:r w:rsidRPr="00B4311A">
        <w:t>article I, section 10, clause 1 of</w:t>
      </w:r>
      <w:r>
        <w:t xml:space="preserve"> </w:t>
      </w:r>
      <w:r w:rsidRPr="00B4311A">
        <w:t xml:space="preserve">the United States Constitution, which provides that </w:t>
      </w:r>
      <w:r w:rsidR="00D24C7A">
        <w:t>“</w:t>
      </w:r>
      <w:r w:rsidRPr="00B4311A">
        <w:t>No</w:t>
      </w:r>
      <w:r>
        <w:t xml:space="preserve"> </w:t>
      </w:r>
      <w:r w:rsidRPr="00B4311A">
        <w:t>State shall . . . make</w:t>
      </w:r>
      <w:r>
        <w:t xml:space="preserve"> </w:t>
      </w:r>
      <w:r w:rsidRPr="00B4311A">
        <w:t>anything but gold and</w:t>
      </w:r>
      <w:r>
        <w:t xml:space="preserve"> </w:t>
      </w:r>
      <w:r w:rsidRPr="00B4311A">
        <w:t>silver coin a tender in payment of debts; . . .</w:t>
      </w:r>
      <w:r w:rsidR="00D24C7A">
        <w:t>”</w:t>
      </w:r>
      <w:r w:rsidRPr="00B4311A">
        <w:t xml:space="preserve"> </w:t>
      </w:r>
      <w:r w:rsidR="00D24C7A">
        <w:t xml:space="preserve">Complainants seem to </w:t>
      </w:r>
      <w:r w:rsidRPr="00B4311A">
        <w:t xml:space="preserve">interpret this clause to mean that </w:t>
      </w:r>
      <w:r w:rsidR="00D24C7A">
        <w:t>“</w:t>
      </w:r>
      <w:r w:rsidRPr="00B4311A">
        <w:t>a state dollar must</w:t>
      </w:r>
      <w:r>
        <w:t xml:space="preserve"> </w:t>
      </w:r>
      <w:r w:rsidRPr="00B4311A">
        <w:t>be either gold or silver.</w:t>
      </w:r>
      <w:r w:rsidR="00D24C7A">
        <w:t xml:space="preserve">” </w:t>
      </w:r>
      <w:r w:rsidR="00D24C7A">
        <w:lastRenderedPageBreak/>
        <w:t xml:space="preserve">Complainants “No State” Constitutional argument is directed at Defendant, as </w:t>
      </w:r>
      <w:r w:rsidR="0026021F">
        <w:t>the State of California regulate</w:t>
      </w:r>
      <w:r w:rsidR="00562B1F">
        <w:t>s the</w:t>
      </w:r>
      <w:r w:rsidR="0026021F">
        <w:t xml:space="preserve"> Defendant</w:t>
      </w:r>
      <w:r w:rsidR="00D24C7A">
        <w:t xml:space="preserve">. </w:t>
      </w:r>
    </w:p>
    <w:p w:rsidR="0026021F" w:rsidP="0026021F" w:rsidRDefault="00E249A6" w14:paraId="41948859" w14:textId="77777777">
      <w:r>
        <w:t xml:space="preserve">Complainants’ gold-or-silver-only </w:t>
      </w:r>
      <w:r w:rsidRPr="00632FAC">
        <w:t>contention would receive high marks for</w:t>
      </w:r>
      <w:r>
        <w:t xml:space="preserve"> </w:t>
      </w:r>
      <w:r w:rsidRPr="00632FAC">
        <w:t xml:space="preserve">ingenuity were it not for the fact that </w:t>
      </w:r>
      <w:r>
        <w:t>similar</w:t>
      </w:r>
      <w:r w:rsidRPr="00632FAC">
        <w:t xml:space="preserve"> argument</w:t>
      </w:r>
      <w:r>
        <w:t>s</w:t>
      </w:r>
      <w:r w:rsidRPr="00632FAC">
        <w:t xml:space="preserve"> ha</w:t>
      </w:r>
      <w:r>
        <w:t xml:space="preserve">ve </w:t>
      </w:r>
      <w:r w:rsidRPr="00632FAC">
        <w:t>been made, and uniformly rejected, in numerous states</w:t>
      </w:r>
      <w:r>
        <w:t xml:space="preserve"> across this great nation, including California, which rejected a taxpayer’s argument that California state taxes must be paid in </w:t>
      </w:r>
      <w:r w:rsidRPr="00B4311A">
        <w:t>either gold or silver.</w:t>
      </w:r>
      <w:r>
        <w:t xml:space="preserve"> </w:t>
      </w:r>
      <w:r w:rsidRPr="00B4311A">
        <w:rPr>
          <w:i/>
          <w:iCs/>
        </w:rPr>
        <w:t xml:space="preserve">Spurgeon v. Franchise Tax Bd. </w:t>
      </w:r>
      <w:r w:rsidRPr="00B4311A">
        <w:t>(1984)</w:t>
      </w:r>
      <w:r>
        <w:rPr>
          <w:b/>
          <w:bCs/>
          <w:i/>
          <w:iCs/>
        </w:rPr>
        <w:t xml:space="preserve"> </w:t>
      </w:r>
      <w:r w:rsidRPr="00B4311A">
        <w:t>160 Cal. App. 3d 524</w:t>
      </w:r>
      <w:r>
        <w:t>.</w:t>
      </w:r>
      <w:r w:rsidR="00631079">
        <w:t xml:space="preserve"> </w:t>
      </w:r>
      <w:r>
        <w:t xml:space="preserve">As California’s Third District Court of Appeal explained in </w:t>
      </w:r>
      <w:r w:rsidRPr="00B4311A">
        <w:rPr>
          <w:i/>
          <w:iCs/>
        </w:rPr>
        <w:t>Spurgeon</w:t>
      </w:r>
      <w:r w:rsidR="0026021F">
        <w:t>:</w:t>
      </w:r>
      <w:r>
        <w:t xml:space="preserve"> </w:t>
      </w:r>
    </w:p>
    <w:p w:rsidR="0026021F" w:rsidP="005423FB" w:rsidRDefault="00E249A6" w14:paraId="76500F8C" w14:textId="133D5E6B">
      <w:pPr>
        <w:spacing w:before="120" w:after="120" w:line="240" w:lineRule="auto"/>
        <w:ind w:left="1080" w:right="1440" w:firstLine="0"/>
      </w:pPr>
      <w:r w:rsidRPr="001C7305">
        <w:t>Article I, section 8 of the federal</w:t>
      </w:r>
      <w:r>
        <w:t xml:space="preserve"> </w:t>
      </w:r>
      <w:r w:rsidRPr="001C7305">
        <w:t>Constitution grants Congress the power to coin money</w:t>
      </w:r>
      <w:r>
        <w:t xml:space="preserve"> </w:t>
      </w:r>
      <w:r w:rsidRPr="001C7305">
        <w:t>and regulate the value thereof. This constitutional</w:t>
      </w:r>
      <w:r>
        <w:t xml:space="preserve"> </w:t>
      </w:r>
      <w:r w:rsidRPr="001C7305">
        <w:t>provision was designed to grant Congress the exclusive</w:t>
      </w:r>
      <w:r>
        <w:t xml:space="preserve"> </w:t>
      </w:r>
      <w:r w:rsidRPr="001C7305">
        <w:t>power to provide a uniform currency, with the</w:t>
      </w:r>
      <w:r w:rsidR="00631079">
        <w:t xml:space="preserve"> </w:t>
      </w:r>
      <w:r w:rsidRPr="001C7305">
        <w:t>same legal value, throughout the states.</w:t>
      </w:r>
    </w:p>
    <w:p w:rsidR="00A85474" w:rsidP="00A85474" w:rsidRDefault="00631079" w14:paraId="46F915DF" w14:textId="77777777">
      <w:pPr>
        <w:ind w:firstLine="0"/>
      </w:pPr>
      <w:r w:rsidRPr="00B4311A">
        <w:rPr>
          <w:i/>
          <w:iCs/>
        </w:rPr>
        <w:t>Spurgeon v. Franchise Tax Bd.</w:t>
      </w:r>
      <w:r w:rsidRPr="00631079">
        <w:t>, supra,</w:t>
      </w:r>
      <w:r>
        <w:rPr>
          <w:b/>
          <w:bCs/>
          <w:i/>
          <w:iCs/>
        </w:rPr>
        <w:t xml:space="preserve"> </w:t>
      </w:r>
      <w:r w:rsidRPr="00B4311A">
        <w:t xml:space="preserve">160 Cal. App. 3d </w:t>
      </w:r>
      <w:r>
        <w:t xml:space="preserve">at 528. </w:t>
      </w:r>
      <w:r w:rsidR="00E249A6">
        <w:t>“</w:t>
      </w:r>
      <w:r w:rsidRPr="001C7305" w:rsidR="00E249A6">
        <w:t>Article I, section</w:t>
      </w:r>
      <w:r w:rsidR="00E249A6">
        <w:t xml:space="preserve"> </w:t>
      </w:r>
      <w:r w:rsidRPr="001C7305" w:rsidR="00E249A6">
        <w:t>10, clause 1 is not a literal directive to the states to</w:t>
      </w:r>
      <w:r>
        <w:t xml:space="preserve"> </w:t>
      </w:r>
      <w:r w:rsidRPr="001C7305" w:rsidR="00E249A6">
        <w:t>conduct their monetary transactions in gold or silver; rather, the clause is intended to prevent states</w:t>
      </w:r>
      <w:r w:rsidR="00E249A6">
        <w:t xml:space="preserve"> </w:t>
      </w:r>
      <w:r w:rsidRPr="001C7305" w:rsidR="00E249A6">
        <w:t>from creating new forms of legal tender not recognized</w:t>
      </w:r>
      <w:r w:rsidR="00E249A6">
        <w:t xml:space="preserve"> </w:t>
      </w:r>
      <w:r w:rsidRPr="001C7305" w:rsidR="00E249A6">
        <w:t>or authorized by the federal government.</w:t>
      </w:r>
      <w:r w:rsidR="00E249A6">
        <w:t>”</w:t>
      </w:r>
      <w:r>
        <w:t xml:space="preserve"> </w:t>
      </w:r>
      <w:r w:rsidRPr="00631079">
        <w:rPr>
          <w:i/>
          <w:iCs/>
        </w:rPr>
        <w:t>Id</w:t>
      </w:r>
      <w:r>
        <w:t>. at 529.</w:t>
      </w:r>
    </w:p>
    <w:p w:rsidR="00631079" w:rsidP="00A85474" w:rsidRDefault="00E249A6" w14:paraId="3FEEE08E" w14:textId="11DC2EB8">
      <w:pPr>
        <w:spacing w:after="120"/>
      </w:pPr>
      <w:r>
        <w:t xml:space="preserve">Here, where a state-regulated utility operating with within state-administered rules, laws, statutes, and tariffs </w:t>
      </w:r>
      <w:r w:rsidR="00631079">
        <w:t xml:space="preserve">requests that a customer pay for </w:t>
      </w:r>
      <w:r>
        <w:t>utility services</w:t>
      </w:r>
      <w:r w:rsidRPr="001C7305">
        <w:t xml:space="preserve"> </w:t>
      </w:r>
      <w:r w:rsidR="00631079">
        <w:t xml:space="preserve">provided </w:t>
      </w:r>
      <w:r w:rsidRPr="001C7305">
        <w:t>in dollars, article I,</w:t>
      </w:r>
      <w:r w:rsidR="00631079">
        <w:t xml:space="preserve"> </w:t>
      </w:r>
      <w:r w:rsidRPr="001C7305">
        <w:t xml:space="preserve">section 10, clause 1 is inapplicable </w:t>
      </w:r>
      <w:r w:rsidR="00631079">
        <w:t xml:space="preserve">simply </w:t>
      </w:r>
      <w:r w:rsidRPr="001C7305">
        <w:t>because the</w:t>
      </w:r>
      <w:r>
        <w:t xml:space="preserve"> “</w:t>
      </w:r>
      <w:r w:rsidRPr="001C7305">
        <w:t>dollar</w:t>
      </w:r>
      <w:r>
        <w:t>”</w:t>
      </w:r>
      <w:r w:rsidRPr="001C7305">
        <w:t xml:space="preserve"> was created by the Congress rather than by </w:t>
      </w:r>
      <w:r>
        <w:t xml:space="preserve">the State of California or any department thereof. </w:t>
      </w:r>
    </w:p>
    <w:p w:rsidR="00E249A6" w:rsidP="00631079" w:rsidRDefault="00E249A6" w14:paraId="4EAF9D24" w14:textId="37688624">
      <w:r>
        <w:t xml:space="preserve">Therefore, Complainants’ </w:t>
      </w:r>
      <w:r w:rsidRPr="004C561A">
        <w:t xml:space="preserve">contention that </w:t>
      </w:r>
      <w:r>
        <w:t>D</w:t>
      </w:r>
      <w:r w:rsidRPr="004C561A">
        <w:t>efendant could not collect</w:t>
      </w:r>
      <w:r>
        <w:t xml:space="preserve"> payment for utility services</w:t>
      </w:r>
      <w:r w:rsidRPr="004C561A">
        <w:t xml:space="preserve"> in</w:t>
      </w:r>
      <w:r>
        <w:t xml:space="preserve"> </w:t>
      </w:r>
      <w:r w:rsidRPr="004C561A">
        <w:t>dollars is rejected.</w:t>
      </w:r>
      <w:r>
        <w:rPr>
          <w:rStyle w:val="FootnoteReference"/>
        </w:rPr>
        <w:footnoteReference w:id="7"/>
      </w:r>
    </w:p>
    <w:p w:rsidR="00007E42" w:rsidP="00007E42" w:rsidRDefault="00631079" w14:paraId="355E0469" w14:textId="16EC1438">
      <w:pPr>
        <w:pStyle w:val="Heading2"/>
      </w:pPr>
      <w:r>
        <w:lastRenderedPageBreak/>
        <w:t xml:space="preserve">The </w:t>
      </w:r>
      <w:r w:rsidR="00007E42">
        <w:t>AMP</w:t>
      </w:r>
      <w:r w:rsidR="005F0674">
        <w:t xml:space="preserve"> Program</w:t>
      </w:r>
    </w:p>
    <w:p w:rsidR="00944293" w:rsidP="00944293" w:rsidRDefault="00631079" w14:paraId="4C2105E8" w14:textId="5C7CDB8D">
      <w:r>
        <w:t>Complainants raised concerns that they are at risk of having their electri</w:t>
      </w:r>
      <w:r w:rsidR="00A85474">
        <w:t>city</w:t>
      </w:r>
      <w:r>
        <w:t xml:space="preserve"> service disconnected. Defendant assured them and the Commission that </w:t>
      </w:r>
      <w:r w:rsidR="00A85474">
        <w:t>t</w:t>
      </w:r>
      <w:r>
        <w:t xml:space="preserve">his is not happening. </w:t>
      </w:r>
      <w:r w:rsidR="00944293">
        <w:t>As mentioned above, Defendant has tried to work with Complain</w:t>
      </w:r>
      <w:r w:rsidR="00A85474">
        <w:t>an</w:t>
      </w:r>
      <w:r w:rsidR="00944293">
        <w:t xml:space="preserve">ts and even enrolled them in AMP so that they could potentially </w:t>
      </w:r>
      <w:r w:rsidRPr="00B34576" w:rsidR="00944293">
        <w:t>receive forgiveness of 1/12 of their starting arrearage balance for every time</w:t>
      </w:r>
      <w:r w:rsidR="00DE46D2">
        <w:t>ly</w:t>
      </w:r>
      <w:r w:rsidRPr="00B34576" w:rsidR="00944293">
        <w:t xml:space="preserve"> payment of a current monthly bill</w:t>
      </w:r>
      <w:r w:rsidR="00944293">
        <w:t xml:space="preserve">. But Complainants did not make </w:t>
      </w:r>
      <w:r w:rsidRPr="00B34576" w:rsidR="00944293">
        <w:t>time</w:t>
      </w:r>
      <w:r w:rsidR="00DE46D2">
        <w:t>ly</w:t>
      </w:r>
      <w:r w:rsidRPr="00B34576" w:rsidR="00944293">
        <w:t xml:space="preserve"> payment</w:t>
      </w:r>
      <w:r w:rsidR="00944293">
        <w:t>s.</w:t>
      </w:r>
    </w:p>
    <w:p w:rsidR="00B34576" w:rsidP="00944293" w:rsidRDefault="00B34576" w14:paraId="3E14F386" w14:textId="6800102A">
      <w:r w:rsidRPr="00B34576">
        <w:t xml:space="preserve">In 2018, the </w:t>
      </w:r>
      <w:r w:rsidR="00631079">
        <w:t>Commission</w:t>
      </w:r>
      <w:r w:rsidRPr="00B34576">
        <w:t xml:space="preserve"> opened Rulemaking (R.)18-07-005 to examine new approaches to disconnections for nonpayment. Disconnecting customers’ electric or gas service can create unsafe conditions for customers who depend on electric or gas service to meet basic needs such as heating, cooking, and light.</w:t>
      </w:r>
      <w:r w:rsidR="00944293">
        <w:t xml:space="preserve"> </w:t>
      </w:r>
      <w:r w:rsidRPr="00B34576">
        <w:t>Decision (D</w:t>
      </w:r>
      <w:r w:rsidR="00A85474">
        <w:t>.</w:t>
      </w:r>
      <w:r w:rsidRPr="00B34576">
        <w:t>)</w:t>
      </w:r>
      <w:r w:rsidR="00A85474">
        <w:t xml:space="preserve"> </w:t>
      </w:r>
      <w:r w:rsidRPr="00B34576">
        <w:t xml:space="preserve">20-06-003 adopted the AMP program to assist low-income </w:t>
      </w:r>
      <w:r w:rsidR="00944293">
        <w:t xml:space="preserve">investor-owned utility </w:t>
      </w:r>
      <w:r w:rsidRPr="00B34576">
        <w:t>customers with unpaid electric and gas utility bills. The program provides customers an opportunity to receive forgiveness for past-due arrearages in return for time</w:t>
      </w:r>
      <w:r w:rsidR="00DE46D2">
        <w:t>ly</w:t>
      </w:r>
      <w:r w:rsidRPr="00B34576">
        <w:t xml:space="preserve"> payment of current monthly bills. Customers enrolled in AMP will receive forgiveness of 1/12 of their starting arrearage balance for every time</w:t>
      </w:r>
      <w:r w:rsidR="00DE46D2">
        <w:t>ly</w:t>
      </w:r>
      <w:r w:rsidRPr="00B34576">
        <w:t xml:space="preserve"> payment of a current monthly bill, with a maximum possible amount of $8,000 in</w:t>
      </w:r>
      <w:r>
        <w:t xml:space="preserve"> </w:t>
      </w:r>
      <w:r w:rsidRPr="00B34576">
        <w:t xml:space="preserve">total forgiveness per 12-month period. Only customers enrolled in either the CARE or Family Electric Rate Assistance (FERA) programs are eligible for AMP, and customers must also owe at least $500 in arrearages, or $250 for gas-only customers, with some portion of the arrearage at least 90 days past due. </w:t>
      </w:r>
      <w:r w:rsidR="00944293">
        <w:t>As stated above, Complainants are on the CARE program and were previously enrolled in AMP.</w:t>
      </w:r>
    </w:p>
    <w:p w:rsidR="00B34576" w:rsidP="00B34576" w:rsidRDefault="00B34576" w14:paraId="4C77417C" w14:textId="691A72CE">
      <w:r w:rsidRPr="00B34576">
        <w:lastRenderedPageBreak/>
        <w:t>Customers enrolled in AMP who fail to make a current time</w:t>
      </w:r>
      <w:r w:rsidR="00DE46D2">
        <w:t>ly</w:t>
      </w:r>
      <w:r w:rsidRPr="00B34576">
        <w:t xml:space="preserve"> monthly bill payment in two sequential months or three non-sequential months shall be removed from participation, but they will retain any arrearage forgiveness received through AMP prior to their removal from the program. Customers removed from the program involuntarily, through failure to remain current on monthly bills, or after completing 12 months of time</w:t>
      </w:r>
      <w:r w:rsidR="00DE46D2">
        <w:t>ly</w:t>
      </w:r>
      <w:r w:rsidRPr="00B34576">
        <w:t xml:space="preserve"> monthly bill payments may re-enroll after a 12-month waiting period provided that they still meet the eligibility criteria at the time of re-enrollment.</w:t>
      </w:r>
    </w:p>
    <w:p w:rsidRPr="00324C5A" w:rsidR="00944293" w:rsidP="00944293" w:rsidRDefault="00944293" w14:paraId="45C4F236" w14:textId="6E8FDCC4">
      <w:r>
        <w:t xml:space="preserve">Though Complainants were removed from AMP because they did not make </w:t>
      </w:r>
      <w:r w:rsidR="00DE46D2">
        <w:t>timely</w:t>
      </w:r>
      <w:r w:rsidRPr="00B34576">
        <w:t xml:space="preserve"> payment</w:t>
      </w:r>
      <w:r>
        <w:t xml:space="preserve">s, </w:t>
      </w:r>
      <w:r w:rsidR="005573BD">
        <w:t xml:space="preserve">we </w:t>
      </w:r>
      <w:r w:rsidR="00812B06">
        <w:t>direct the</w:t>
      </w:r>
      <w:r>
        <w:t xml:space="preserve"> Defendant </w:t>
      </w:r>
      <w:r w:rsidR="00812B06">
        <w:t>to</w:t>
      </w:r>
      <w:r>
        <w:t xml:space="preserve"> determine if </w:t>
      </w:r>
      <w:r w:rsidR="00812B06">
        <w:t xml:space="preserve">Complainants </w:t>
      </w:r>
      <w:r w:rsidR="00505F66">
        <w:t>are</w:t>
      </w:r>
      <w:r>
        <w:t xml:space="preserve"> eligible for re-enrollment in AMP</w:t>
      </w:r>
      <w:r w:rsidR="00295BAE">
        <w:t xml:space="preserve"> and if so, re</w:t>
      </w:r>
      <w:r w:rsidR="00374003">
        <w:t>-</w:t>
      </w:r>
      <w:r w:rsidR="00295BAE">
        <w:t>enroll them in the program</w:t>
      </w:r>
      <w:r>
        <w:t xml:space="preserve">. </w:t>
      </w:r>
      <w:r w:rsidR="00374003">
        <w:t xml:space="preserve">It will be the </w:t>
      </w:r>
      <w:r>
        <w:t xml:space="preserve">Complainants </w:t>
      </w:r>
      <w:r w:rsidR="00374003">
        <w:t>responsibility to</w:t>
      </w:r>
      <w:r>
        <w:t xml:space="preserve"> make timely </w:t>
      </w:r>
      <w:r w:rsidRPr="00B34576">
        <w:t>payment</w:t>
      </w:r>
      <w:r>
        <w:t>s—</w:t>
      </w:r>
      <w:r w:rsidR="00DE46D2">
        <w:t>using</w:t>
      </w:r>
      <w:r>
        <w:t xml:space="preserve"> </w:t>
      </w:r>
      <w:r w:rsidR="00DE46D2">
        <w:t xml:space="preserve">forms of </w:t>
      </w:r>
      <w:r>
        <w:t>payment acceptable to Defendant (not in gold or silver</w:t>
      </w:r>
      <w:r w:rsidR="00DE46D2">
        <w:t>)</w:t>
      </w:r>
      <w:r>
        <w:t>—</w:t>
      </w:r>
      <w:r w:rsidR="00947610">
        <w:t xml:space="preserve">if Complainants chose to </w:t>
      </w:r>
      <w:r w:rsidR="00434E0E">
        <w:t xml:space="preserve">re-enter </w:t>
      </w:r>
      <w:r>
        <w:t xml:space="preserve">the AMP </w:t>
      </w:r>
      <w:r w:rsidR="00434E0E">
        <w:t xml:space="preserve">program and apply by the program’s rules they will avoid disconnection and </w:t>
      </w:r>
      <w:r w:rsidR="007A0F38">
        <w:t xml:space="preserve">pay off their arrearages. </w:t>
      </w:r>
    </w:p>
    <w:p w:rsidR="002C5FF7" w:rsidP="008B5AEB" w:rsidRDefault="002C5FF7" w14:paraId="1366582E" w14:textId="36DA78CE">
      <w:pPr>
        <w:pStyle w:val="Heading1"/>
      </w:pPr>
      <w:bookmarkStart w:name="_Toc8123724" w:id="11"/>
      <w:bookmarkStart w:name="_Toc12866694" w:id="12"/>
      <w:bookmarkStart w:name="_Toc80619011" w:id="13"/>
      <w:bookmarkStart w:name="_Toc80619105" w:id="14"/>
      <w:bookmarkEnd w:id="8"/>
      <w:bookmarkEnd w:id="9"/>
      <w:bookmarkEnd w:id="10"/>
      <w:r>
        <w:t>Conclusion</w:t>
      </w:r>
    </w:p>
    <w:p w:rsidRPr="002C5FF7" w:rsidR="00CB2EC2" w:rsidP="00CB2EC2" w:rsidRDefault="00CB2EC2" w14:paraId="339FD761" w14:textId="6AF93BD8">
      <w:pPr>
        <w:pStyle w:val="Standard"/>
      </w:pPr>
      <w:r w:rsidRPr="00CB2EC2">
        <w:t>For all the reasons</w:t>
      </w:r>
      <w:r>
        <w:t xml:space="preserve"> discussed above</w:t>
      </w:r>
      <w:r w:rsidRPr="00CB2EC2">
        <w:t xml:space="preserve">, </w:t>
      </w:r>
      <w:r w:rsidR="00D9436C">
        <w:t xml:space="preserve">we find that </w:t>
      </w:r>
      <w:r w:rsidRPr="00CB2EC2">
        <w:t>Complainant</w:t>
      </w:r>
      <w:r>
        <w:t>s</w:t>
      </w:r>
      <w:r w:rsidRPr="00CB2EC2">
        <w:t xml:space="preserve"> ha</w:t>
      </w:r>
      <w:r>
        <w:t>ve</w:t>
      </w:r>
      <w:r w:rsidRPr="00CB2EC2">
        <w:t xml:space="preserve"> not demonstrated, by a preponderance of the evidence, that</w:t>
      </w:r>
      <w:r>
        <w:t xml:space="preserve"> D</w:t>
      </w:r>
      <w:r w:rsidRPr="00CB2EC2">
        <w:t xml:space="preserve">efendant violated any applicable Commission approved rule, law, tariff, or statute. </w:t>
      </w:r>
      <w:r>
        <w:t xml:space="preserve">Nor have Complainants demonstrated that Defendant was obligated to accept the </w:t>
      </w:r>
      <w:r w:rsidR="00DE46D2">
        <w:t>“</w:t>
      </w:r>
      <w:r w:rsidR="00DD1ACF">
        <w:t>n</w:t>
      </w:r>
      <w:r w:rsidR="00DE46D2">
        <w:t xml:space="preserve">egotiable </w:t>
      </w:r>
      <w:r w:rsidR="00DD1ACF">
        <w:t>i</w:t>
      </w:r>
      <w:r w:rsidR="00DE46D2">
        <w:t xml:space="preserve">nstruments” </w:t>
      </w:r>
      <w:r>
        <w:t>that Complainants attempted to submit as purported forms of payment.</w:t>
      </w:r>
      <w:r w:rsidR="00DE46D2">
        <w:t xml:space="preserve"> Nor have Complainants demonstrated that Defendant, as a California-regulated utility, was required to accept payment in the form of gold or silver only. </w:t>
      </w:r>
      <w:r w:rsidRPr="00CB2EC2">
        <w:t>Accordingly, we reject</w:t>
      </w:r>
      <w:r>
        <w:t xml:space="preserve"> </w:t>
      </w:r>
      <w:r w:rsidR="00A85474">
        <w:t xml:space="preserve">all of </w:t>
      </w:r>
      <w:r w:rsidRPr="00CB2EC2">
        <w:t>Complainant</w:t>
      </w:r>
      <w:r>
        <w:t>s</w:t>
      </w:r>
      <w:r w:rsidRPr="00CB2EC2">
        <w:t xml:space="preserve"> </w:t>
      </w:r>
      <w:r w:rsidR="00DE46D2">
        <w:t xml:space="preserve">claims. </w:t>
      </w:r>
    </w:p>
    <w:p w:rsidRPr="00EF2569" w:rsidR="008B5AEB" w:rsidP="008B5AEB" w:rsidRDefault="008B5AEB" w14:paraId="68C82D10" w14:textId="25E157F9">
      <w:pPr>
        <w:pStyle w:val="Heading1"/>
      </w:pPr>
      <w:r w:rsidRPr="00EF2569">
        <w:t>Waiver of Comment Period</w:t>
      </w:r>
    </w:p>
    <w:p w:rsidRPr="00EF2569" w:rsidR="008B5AEB" w:rsidP="008B5AEB" w:rsidRDefault="008B5AEB" w14:paraId="6275BDF7" w14:textId="2863DA5D">
      <w:pPr>
        <w:pStyle w:val="Standard"/>
      </w:pPr>
      <w:r w:rsidRPr="00EF2569">
        <w:t xml:space="preserve">Under Rule 14.7(b), the Commission may waive the otherwise applicable 30-day period for public review and comment on the decision of the assigned </w:t>
      </w:r>
      <w:r w:rsidRPr="00EF2569">
        <w:lastRenderedPageBreak/>
        <w:t>ALJ in a complaint under the expedited complaint procedure. Under the circumstances of this case, it is appropriate to waive the 30-day period for public review and comment.</w:t>
      </w:r>
    </w:p>
    <w:p w:rsidRPr="00EF2569" w:rsidR="008B5AEB" w:rsidP="00C73F9F" w:rsidRDefault="008B5AEB" w14:paraId="5A058FEF" w14:textId="77777777">
      <w:pPr>
        <w:pStyle w:val="Heading1"/>
        <w:keepNext w:val="0"/>
        <w:keepLines w:val="0"/>
      </w:pPr>
      <w:r w:rsidRPr="00EF2569">
        <w:t>Assignment of Proceeding</w:t>
      </w:r>
      <w:bookmarkEnd w:id="11"/>
      <w:bookmarkEnd w:id="12"/>
      <w:bookmarkEnd w:id="13"/>
      <w:bookmarkEnd w:id="14"/>
    </w:p>
    <w:p w:rsidRPr="00EF2569" w:rsidR="008B5AEB" w:rsidP="00C73F9F" w:rsidRDefault="00A22FCF" w14:paraId="226FB08C" w14:textId="336C8FD7">
      <w:pPr>
        <w:spacing w:after="120"/>
      </w:pPr>
      <w:r>
        <w:t>Darcie L. Houck</w:t>
      </w:r>
      <w:r w:rsidRPr="00EF2569" w:rsidR="008B5AEB">
        <w:t xml:space="preserve"> is the assigned Commissioner and Alberto T. Rosas is the assigned </w:t>
      </w:r>
      <w:r w:rsidR="0021092C">
        <w:t>Administrative Law Judge</w:t>
      </w:r>
      <w:r w:rsidRPr="00EF2569" w:rsidR="008B5AEB">
        <w:t xml:space="preserve"> and Presiding Officer in this proceeding.</w:t>
      </w:r>
    </w:p>
    <w:p w:rsidRPr="00EF2569" w:rsidR="008B5AEB" w:rsidP="005C37D6" w:rsidRDefault="008B5AEB" w14:paraId="31D4B3D7" w14:textId="2B8C5469">
      <w:pPr>
        <w:pStyle w:val="Mainex"/>
        <w:keepNext w:val="0"/>
        <w:spacing w:before="240"/>
      </w:pPr>
      <w:bookmarkStart w:name="_Toc80619014" w:id="15"/>
      <w:bookmarkStart w:name="_Toc80619108" w:id="16"/>
      <w:r w:rsidRPr="00EF2569">
        <w:t>ORDER</w:t>
      </w:r>
      <w:bookmarkEnd w:id="15"/>
      <w:bookmarkEnd w:id="16"/>
    </w:p>
    <w:p w:rsidR="008B5AEB" w:rsidP="00A85474" w:rsidRDefault="008B5AEB" w14:paraId="480415CC" w14:textId="77777777">
      <w:pPr>
        <w:widowControl w:val="0"/>
        <w:spacing w:before="120"/>
      </w:pPr>
      <w:r w:rsidRPr="00EF2569">
        <w:rPr>
          <w:b/>
        </w:rPr>
        <w:t>IT IS ORDERED</w:t>
      </w:r>
      <w:r w:rsidRPr="00EF2569">
        <w:t xml:space="preserve"> that:</w:t>
      </w:r>
    </w:p>
    <w:p w:rsidR="00A85474" w:rsidP="00E5102B" w:rsidRDefault="00A85474" w14:paraId="3C7D4E6D" w14:textId="77777777">
      <w:pPr>
        <w:pStyle w:val="OP"/>
        <w:numPr>
          <w:ilvl w:val="6"/>
          <w:numId w:val="15"/>
        </w:numPr>
        <w:tabs>
          <w:tab w:val="clear" w:pos="1080"/>
        </w:tabs>
        <w:ind w:left="0" w:firstLine="360"/>
      </w:pPr>
      <w:r>
        <w:t xml:space="preserve">Complainants’ </w:t>
      </w:r>
      <w:r w:rsidRPr="00EF2569">
        <w:t xml:space="preserve">request </w:t>
      </w:r>
      <w:r>
        <w:t xml:space="preserve">for relief is </w:t>
      </w:r>
      <w:r w:rsidRPr="00EF2569">
        <w:t>denied.</w:t>
      </w:r>
    </w:p>
    <w:p w:rsidR="00E47905" w:rsidP="00E47905" w:rsidRDefault="006F18F2" w14:paraId="4637A50E" w14:textId="77777777">
      <w:pPr>
        <w:pStyle w:val="OP"/>
        <w:numPr>
          <w:ilvl w:val="6"/>
          <w:numId w:val="15"/>
        </w:numPr>
        <w:tabs>
          <w:tab w:val="clear" w:pos="1080"/>
        </w:tabs>
        <w:ind w:left="0" w:firstLine="360"/>
      </w:pPr>
      <w:r w:rsidRPr="006F18F2">
        <w:t xml:space="preserve">Defendant </w:t>
      </w:r>
      <w:r>
        <w:t xml:space="preserve">shall </w:t>
      </w:r>
      <w:r w:rsidRPr="006F18F2">
        <w:t xml:space="preserve">determine if Complainants are eligible for re-enrollment in </w:t>
      </w:r>
      <w:r w:rsidR="00745274">
        <w:t xml:space="preserve">the </w:t>
      </w:r>
      <w:r w:rsidRPr="00745274" w:rsidR="00745274">
        <w:t xml:space="preserve">Arrearage Management Plan </w:t>
      </w:r>
      <w:r w:rsidR="00C46842">
        <w:t>program</w:t>
      </w:r>
      <w:r w:rsidR="007364E5">
        <w:t xml:space="preserve"> </w:t>
      </w:r>
      <w:r w:rsidRPr="006F18F2">
        <w:t>and</w:t>
      </w:r>
      <w:r w:rsidR="007364E5">
        <w:t>,</w:t>
      </w:r>
      <w:r w:rsidRPr="006F18F2">
        <w:t xml:space="preserve"> if so, re-enroll them in the program</w:t>
      </w:r>
      <w:r w:rsidR="007364E5">
        <w:t>.</w:t>
      </w:r>
    </w:p>
    <w:p w:rsidR="00A85474" w:rsidP="00E5102B" w:rsidRDefault="00A85474" w14:paraId="7F5F6DFC" w14:textId="5EA05A05">
      <w:pPr>
        <w:pStyle w:val="OP"/>
        <w:numPr>
          <w:ilvl w:val="6"/>
          <w:numId w:val="15"/>
        </w:numPr>
        <w:tabs>
          <w:tab w:val="clear" w:pos="1080"/>
        </w:tabs>
        <w:ind w:left="0" w:firstLine="360"/>
      </w:pPr>
      <w:r>
        <w:t xml:space="preserve">The Complaint is dismissed, and </w:t>
      </w:r>
      <w:r w:rsidRPr="00EF2569">
        <w:t xml:space="preserve">Case </w:t>
      </w:r>
      <w:r w:rsidR="008716DC">
        <w:rPr>
          <w:rFonts w:cs="Arial"/>
          <w:szCs w:val="26"/>
        </w:rPr>
        <w:t>24-06-015</w:t>
      </w:r>
      <w:r w:rsidR="008716DC">
        <w:rPr>
          <w:rFonts w:cs="Arial"/>
          <w:szCs w:val="26"/>
        </w:rPr>
        <w:t xml:space="preserve"> </w:t>
      </w:r>
      <w:r w:rsidRPr="00EF2569">
        <w:t>is closed</w:t>
      </w:r>
      <w:r>
        <w:t>.</w:t>
      </w:r>
    </w:p>
    <w:p w:rsidRPr="00EF2569" w:rsidR="00A85474" w:rsidP="00E5102B" w:rsidRDefault="00A85474" w14:paraId="563D73A7" w14:textId="77777777">
      <w:pPr>
        <w:widowControl w:val="0"/>
        <w:ind w:firstLine="360"/>
      </w:pPr>
      <w:r w:rsidRPr="00EF2569">
        <w:t>This order is effective today.</w:t>
      </w:r>
    </w:p>
    <w:p w:rsidR="00A85474" w:rsidP="00E5102B" w:rsidRDefault="00A85474" w14:paraId="3834A227" w14:textId="075711F2">
      <w:pPr>
        <w:pStyle w:val="ListNum"/>
        <w:numPr>
          <w:ilvl w:val="0"/>
          <w:numId w:val="0"/>
        </w:numPr>
        <w:ind w:firstLine="360"/>
      </w:pPr>
      <w:r w:rsidRPr="00EF2569">
        <w:t xml:space="preserve">Dated </w:t>
      </w:r>
      <w:r w:rsidR="004C242E">
        <w:t>January 16, 2025</w:t>
      </w:r>
      <w:r w:rsidRPr="00EF2569">
        <w:t>, at San Francisco, California.</w:t>
      </w:r>
    </w:p>
    <w:p w:rsidR="004C242E" w:rsidP="00E5102B" w:rsidRDefault="004C242E" w14:paraId="333AE5BB" w14:textId="77777777">
      <w:pPr>
        <w:pStyle w:val="ListNum"/>
        <w:numPr>
          <w:ilvl w:val="0"/>
          <w:numId w:val="0"/>
        </w:numPr>
        <w:ind w:firstLine="360"/>
      </w:pPr>
    </w:p>
    <w:p w:rsidRPr="004C242E" w:rsidR="004C242E" w:rsidP="004C242E" w:rsidRDefault="004C242E" w14:paraId="7B5A396C" w14:textId="77777777">
      <w:pPr>
        <w:autoSpaceDE w:val="0"/>
        <w:autoSpaceDN w:val="0"/>
        <w:adjustRightInd w:val="0"/>
        <w:spacing w:line="240" w:lineRule="auto"/>
        <w:ind w:left="4320" w:firstLine="0"/>
        <w:jc w:val="both"/>
        <w:rPr>
          <w:rFonts w:cs="Times New Roman"/>
          <w:szCs w:val="20"/>
        </w:rPr>
      </w:pPr>
      <w:r w:rsidRPr="004C242E">
        <w:rPr>
          <w:rFonts w:cs="Times New Roman"/>
          <w:szCs w:val="20"/>
        </w:rPr>
        <w:t>ALICE REYNOLDS</w:t>
      </w:r>
    </w:p>
    <w:p w:rsidRPr="004C242E" w:rsidR="004C242E" w:rsidP="004C242E" w:rsidRDefault="004C242E" w14:paraId="4F59CB43" w14:textId="77777777">
      <w:pPr>
        <w:autoSpaceDE w:val="0"/>
        <w:autoSpaceDN w:val="0"/>
        <w:adjustRightInd w:val="0"/>
        <w:spacing w:line="240" w:lineRule="auto"/>
        <w:jc w:val="both"/>
        <w:rPr>
          <w:rFonts w:cs="Times New Roman"/>
          <w:szCs w:val="20"/>
        </w:rPr>
      </w:pPr>
      <w:r w:rsidRPr="004C242E">
        <w:rPr>
          <w:rFonts w:cs="Times New Roman"/>
          <w:szCs w:val="20"/>
        </w:rPr>
        <w:tab/>
      </w:r>
      <w:r w:rsidRPr="004C242E">
        <w:rPr>
          <w:rFonts w:cs="Times New Roman"/>
          <w:szCs w:val="20"/>
        </w:rPr>
        <w:tab/>
      </w:r>
      <w:r w:rsidRPr="004C242E">
        <w:rPr>
          <w:rFonts w:cs="Times New Roman"/>
          <w:szCs w:val="20"/>
        </w:rPr>
        <w:tab/>
      </w:r>
      <w:r w:rsidRPr="004C242E">
        <w:rPr>
          <w:rFonts w:cs="Times New Roman"/>
          <w:szCs w:val="20"/>
        </w:rPr>
        <w:tab/>
      </w:r>
      <w:r w:rsidRPr="004C242E">
        <w:rPr>
          <w:rFonts w:cs="Times New Roman"/>
          <w:szCs w:val="20"/>
        </w:rPr>
        <w:tab/>
        <w:t xml:space="preserve">                       President</w:t>
      </w:r>
    </w:p>
    <w:p w:rsidRPr="004C242E" w:rsidR="004C242E" w:rsidP="004C242E" w:rsidRDefault="004C242E" w14:paraId="42D799E3" w14:textId="77777777">
      <w:pPr>
        <w:autoSpaceDE w:val="0"/>
        <w:autoSpaceDN w:val="0"/>
        <w:adjustRightInd w:val="0"/>
        <w:spacing w:line="240" w:lineRule="auto"/>
        <w:ind w:left="3600"/>
        <w:jc w:val="both"/>
        <w:rPr>
          <w:rFonts w:cs="Times New Roman"/>
          <w:szCs w:val="20"/>
        </w:rPr>
      </w:pPr>
      <w:r w:rsidRPr="004C242E">
        <w:rPr>
          <w:rFonts w:cs="Times New Roman"/>
          <w:szCs w:val="20"/>
        </w:rPr>
        <w:t>DARCIE L. HOUCK</w:t>
      </w:r>
    </w:p>
    <w:p w:rsidRPr="004C242E" w:rsidR="004C242E" w:rsidP="004C242E" w:rsidRDefault="004C242E" w14:paraId="64377D6B" w14:textId="77777777">
      <w:pPr>
        <w:autoSpaceDE w:val="0"/>
        <w:autoSpaceDN w:val="0"/>
        <w:adjustRightInd w:val="0"/>
        <w:spacing w:line="240" w:lineRule="auto"/>
        <w:ind w:left="3600"/>
        <w:jc w:val="both"/>
        <w:rPr>
          <w:rFonts w:cs="Times New Roman"/>
          <w:szCs w:val="20"/>
        </w:rPr>
      </w:pPr>
      <w:r w:rsidRPr="004C242E">
        <w:rPr>
          <w:rFonts w:cs="Times New Roman"/>
          <w:szCs w:val="20"/>
        </w:rPr>
        <w:t>JOHN REYNOLDS</w:t>
      </w:r>
    </w:p>
    <w:p w:rsidRPr="004C242E" w:rsidR="004C242E" w:rsidP="004C242E" w:rsidRDefault="004C242E" w14:paraId="3FD3578D" w14:textId="77777777">
      <w:pPr>
        <w:autoSpaceDE w:val="0"/>
        <w:autoSpaceDN w:val="0"/>
        <w:adjustRightInd w:val="0"/>
        <w:spacing w:line="240" w:lineRule="auto"/>
        <w:ind w:left="3600"/>
        <w:jc w:val="both"/>
        <w:rPr>
          <w:rFonts w:eastAsia="Times New Roman" w:cs="Calibri"/>
          <w:color w:val="000000"/>
          <w:szCs w:val="26"/>
        </w:rPr>
      </w:pPr>
      <w:r w:rsidRPr="004C242E">
        <w:rPr>
          <w:rFonts w:eastAsia="Times New Roman" w:cs="Calibri"/>
          <w:color w:val="000000"/>
          <w:szCs w:val="26"/>
        </w:rPr>
        <w:t>KAREN DOUGLAS</w:t>
      </w:r>
    </w:p>
    <w:p w:rsidRPr="004C242E" w:rsidR="004C242E" w:rsidP="004C242E" w:rsidRDefault="004C242E" w14:paraId="29D2825B" w14:textId="77777777">
      <w:pPr>
        <w:autoSpaceDE w:val="0"/>
        <w:autoSpaceDN w:val="0"/>
        <w:adjustRightInd w:val="0"/>
        <w:spacing w:line="240" w:lineRule="auto"/>
        <w:ind w:left="3600"/>
        <w:jc w:val="both"/>
        <w:rPr>
          <w:rFonts w:cs="Times New Roman"/>
          <w:szCs w:val="20"/>
        </w:rPr>
      </w:pPr>
      <w:r w:rsidRPr="004C242E">
        <w:rPr>
          <w:rFonts w:eastAsia="Times New Roman" w:cs="Calibri"/>
          <w:color w:val="000000"/>
          <w:szCs w:val="26"/>
        </w:rPr>
        <w:t>MATTHEW BAKER</w:t>
      </w:r>
    </w:p>
    <w:p w:rsidRPr="004C242E" w:rsidR="00A85474" w:rsidP="004C242E" w:rsidRDefault="004C242E" w14:paraId="28B3FA23" w14:textId="758C00BC">
      <w:pPr>
        <w:autoSpaceDE w:val="0"/>
        <w:autoSpaceDN w:val="0"/>
        <w:adjustRightInd w:val="0"/>
        <w:spacing w:line="240" w:lineRule="auto"/>
        <w:ind w:left="4320"/>
        <w:jc w:val="both"/>
        <w:rPr>
          <w:rFonts w:cs="Times New Roman"/>
          <w:szCs w:val="20"/>
        </w:rPr>
      </w:pPr>
      <w:r w:rsidRPr="004C242E">
        <w:rPr>
          <w:rFonts w:cs="Times New Roman"/>
          <w:szCs w:val="20"/>
        </w:rPr>
        <w:t xml:space="preserve">            Commissioners</w:t>
      </w:r>
    </w:p>
    <w:sectPr w:rsidRPr="004C242E" w:rsidR="00A85474" w:rsidSect="007F75F2">
      <w:headerReference w:type="even" r:id="rId11"/>
      <w:headerReference w:type="default" r:id="rId12"/>
      <w:footerReference w:type="default" r:id="rId13"/>
      <w:headerReference w:type="first" r:id="rId14"/>
      <w:footerReference w:type="first" r:id="rId15"/>
      <w:pgSz w:w="12240" w:h="15840" w:code="1"/>
      <w:pgMar w:top="135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8F30A" w14:textId="77777777" w:rsidR="0006561B" w:rsidRDefault="0006561B" w:rsidP="0098138E">
      <w:pPr>
        <w:spacing w:line="240" w:lineRule="auto"/>
      </w:pPr>
      <w:r>
        <w:separator/>
      </w:r>
    </w:p>
  </w:endnote>
  <w:endnote w:type="continuationSeparator" w:id="0">
    <w:p w14:paraId="6B4F7F82" w14:textId="77777777" w:rsidR="0006561B" w:rsidRDefault="0006561B"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EAF" w14:textId="4783E9B8" w:rsidR="00EE4315" w:rsidRDefault="00EE4315"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0987">
          <w:rPr>
            <w:noProof/>
          </w:rPr>
          <w:t>7</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963906"/>
      <w:docPartObj>
        <w:docPartGallery w:val="Page Numbers (Bottom of Page)"/>
        <w:docPartUnique/>
      </w:docPartObj>
    </w:sdtPr>
    <w:sdtEndPr>
      <w:rPr>
        <w:noProof/>
      </w:rPr>
    </w:sdtEndPr>
    <w:sdtContent>
      <w:p w14:paraId="1757EEBF" w14:textId="0CF1F2E8" w:rsidR="00CC51E4" w:rsidRDefault="005B7896" w:rsidP="00CC51E4">
        <w:pPr>
          <w:pStyle w:val="Footer"/>
          <w:ind w:firstLine="0"/>
        </w:pPr>
        <w:r w:rsidRPr="005B7896">
          <w:rPr>
            <w:rFonts w:cs="Arial"/>
            <w:color w:val="000000"/>
            <w:sz w:val="16"/>
            <w:szCs w:val="16"/>
            <w:shd w:val="clear" w:color="auto" w:fill="FFFFFF"/>
          </w:rPr>
          <w:t>555561537</w:t>
        </w:r>
        <w:r w:rsidR="00CC51E4">
          <w:tab/>
          <w:t>- 1 -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2EC6" w14:textId="77777777" w:rsidR="0006561B" w:rsidRDefault="0006561B" w:rsidP="00DF58E7">
      <w:pPr>
        <w:spacing w:line="240" w:lineRule="auto"/>
        <w:ind w:firstLine="0"/>
      </w:pPr>
      <w:r>
        <w:separator/>
      </w:r>
    </w:p>
  </w:footnote>
  <w:footnote w:type="continuationSeparator" w:id="0">
    <w:p w14:paraId="27805B65" w14:textId="77777777" w:rsidR="0006561B" w:rsidRDefault="0006561B" w:rsidP="00DF58E7">
      <w:pPr>
        <w:spacing w:line="240" w:lineRule="auto"/>
        <w:ind w:firstLine="0"/>
      </w:pPr>
      <w:r>
        <w:continuationSeparator/>
      </w:r>
    </w:p>
  </w:footnote>
  <w:footnote w:type="continuationNotice" w:id="1">
    <w:p w14:paraId="42B96AFB" w14:textId="77777777" w:rsidR="0006561B" w:rsidRPr="00DF58E7" w:rsidRDefault="0006561B" w:rsidP="00DF58E7">
      <w:pPr>
        <w:spacing w:line="240" w:lineRule="auto"/>
        <w:ind w:firstLine="0"/>
        <w:jc w:val="right"/>
        <w:rPr>
          <w:i/>
          <w:sz w:val="22"/>
        </w:rPr>
      </w:pPr>
      <w:r w:rsidRPr="00DF58E7">
        <w:rPr>
          <w:i/>
          <w:sz w:val="22"/>
        </w:rPr>
        <w:t>Footnote continued on next page.</w:t>
      </w:r>
    </w:p>
  </w:footnote>
  <w:footnote w:id="2">
    <w:p w14:paraId="75DE4903" w14:textId="4118AE88" w:rsidR="003345E4" w:rsidRPr="003345E4" w:rsidRDefault="0077116C" w:rsidP="003345E4">
      <w:pPr>
        <w:spacing w:line="240" w:lineRule="auto"/>
        <w:ind w:firstLine="0"/>
        <w:rPr>
          <w:sz w:val="22"/>
        </w:rPr>
      </w:pPr>
      <w:r w:rsidRPr="003345E4">
        <w:rPr>
          <w:rStyle w:val="FootnoteReference"/>
          <w:sz w:val="22"/>
        </w:rPr>
        <w:footnoteRef/>
      </w:r>
      <w:r w:rsidRPr="003345E4">
        <w:rPr>
          <w:sz w:val="22"/>
        </w:rPr>
        <w:t xml:space="preserve"> During the hearing, when asked about th</w:t>
      </w:r>
      <w:r w:rsidR="009432DE">
        <w:rPr>
          <w:sz w:val="22"/>
        </w:rPr>
        <w:t>e</w:t>
      </w:r>
      <w:r w:rsidRPr="003345E4">
        <w:rPr>
          <w:sz w:val="22"/>
        </w:rPr>
        <w:t xml:space="preserve"> specific “</w:t>
      </w:r>
      <w:r w:rsidR="00DD1ACF">
        <w:rPr>
          <w:sz w:val="22"/>
        </w:rPr>
        <w:t>n</w:t>
      </w:r>
      <w:r w:rsidRPr="003345E4">
        <w:rPr>
          <w:sz w:val="22"/>
        </w:rPr>
        <w:t xml:space="preserve">egotiable </w:t>
      </w:r>
      <w:r w:rsidR="00DD1ACF">
        <w:rPr>
          <w:sz w:val="22"/>
        </w:rPr>
        <w:t>i</w:t>
      </w:r>
      <w:r w:rsidRPr="003345E4">
        <w:rPr>
          <w:sz w:val="22"/>
        </w:rPr>
        <w:t xml:space="preserve">nstruments” they had submitted as “payment,” Complainants testified that they returned two electricity bills to Defendant and referred </w:t>
      </w:r>
      <w:r w:rsidR="009432DE">
        <w:rPr>
          <w:sz w:val="22"/>
        </w:rPr>
        <w:t xml:space="preserve">to </w:t>
      </w:r>
      <w:r w:rsidRPr="003345E4">
        <w:rPr>
          <w:sz w:val="22"/>
        </w:rPr>
        <w:t xml:space="preserve">two evidentiary exhibits. The first bill, dated February 14, 2014, is in the sum of $5,072.66. Complainants handwrote “accepted for deposit” and “pay to the order of: Southern California Edison” and “sureties A.R.R. w/o recourse” on the face of this bill. Mrs. James also signed her name to this bill. </w:t>
      </w:r>
    </w:p>
    <w:p w14:paraId="371BDA85" w14:textId="3FFD5CCF" w:rsidR="0077116C" w:rsidRDefault="0077116C" w:rsidP="003345E4">
      <w:pPr>
        <w:spacing w:after="120" w:line="240" w:lineRule="auto"/>
      </w:pPr>
      <w:r w:rsidRPr="003345E4">
        <w:rPr>
          <w:sz w:val="22"/>
        </w:rPr>
        <w:t>The second bill, dated July 17, 2024, is in the sum of $5,524.51. Complainants handwrote “accepted for deposit without recourse” and “pay to the order of: Southern California Edison” on the face of this bill. On the face of this bill, we also observed what seemed to be a fingerprint in red ink, followed by Mrs. James’ name.</w:t>
      </w:r>
    </w:p>
  </w:footnote>
  <w:footnote w:id="3">
    <w:p w14:paraId="03CCEC64" w14:textId="79C3CB4C" w:rsidR="00050285" w:rsidRDefault="00050285">
      <w:pPr>
        <w:pStyle w:val="FootnoteText"/>
      </w:pPr>
      <w:r>
        <w:rPr>
          <w:rStyle w:val="FootnoteReference"/>
        </w:rPr>
        <w:footnoteRef/>
      </w:r>
      <w:r>
        <w:t xml:space="preserve"> Accepted forms of payment include: (1) checks sent via U.S. mail; (2) checks, money orders, or cash paid at any SCE Payment Office or an authorized payment location; (3) electronically through one of several specifically enumerated electronic payments services; (4) electronically by a recurring automatic bank debit or funds transfer; or (5) any other means mutually agreed upon to SCE and the customer.</w:t>
      </w:r>
    </w:p>
  </w:footnote>
  <w:footnote w:id="4">
    <w:p w14:paraId="2491E4DE" w14:textId="77777777" w:rsidR="00421C9B" w:rsidRPr="00EF2569" w:rsidRDefault="00421C9B" w:rsidP="00421C9B">
      <w:pPr>
        <w:pStyle w:val="FootnoteText"/>
        <w:rPr>
          <w:szCs w:val="22"/>
        </w:rPr>
      </w:pPr>
      <w:r w:rsidRPr="00EF2569">
        <w:rPr>
          <w:rStyle w:val="FootnoteReference"/>
          <w:szCs w:val="22"/>
        </w:rPr>
        <w:footnoteRef/>
      </w:r>
      <w:r w:rsidRPr="00EF2569">
        <w:rPr>
          <w:szCs w:val="22"/>
        </w:rPr>
        <w:t xml:space="preserve"> Cal. Evid. Code §§ 115, 500; </w:t>
      </w:r>
      <w:r w:rsidRPr="00EF2569">
        <w:rPr>
          <w:rStyle w:val="ssit"/>
          <w:i/>
          <w:iCs/>
          <w:szCs w:val="22"/>
          <w:bdr w:val="none" w:sz="0" w:space="0" w:color="auto" w:frame="1"/>
          <w:shd w:val="clear" w:color="auto" w:fill="FFFFFF"/>
        </w:rPr>
        <w:t>see</w:t>
      </w:r>
      <w:r w:rsidRPr="00EF2569">
        <w:rPr>
          <w:szCs w:val="22"/>
          <w:shd w:val="clear" w:color="auto" w:fill="FFFFFF"/>
        </w:rPr>
        <w:t> also </w:t>
      </w:r>
      <w:r w:rsidRPr="00EF2569">
        <w:rPr>
          <w:i/>
          <w:iCs/>
          <w:szCs w:val="22"/>
          <w:bdr w:val="none" w:sz="0" w:space="0" w:color="auto" w:frame="1"/>
          <w:shd w:val="clear" w:color="auto" w:fill="FFFFFF"/>
        </w:rPr>
        <w:t>Sargent Fletcher Inc. v. Able Corp.</w:t>
      </w:r>
      <w:r w:rsidRPr="00EF2569">
        <w:rPr>
          <w:szCs w:val="22"/>
          <w:bdr w:val="none" w:sz="0" w:space="0" w:color="auto" w:frame="1"/>
          <w:shd w:val="clear" w:color="auto" w:fill="FFFFFF"/>
        </w:rPr>
        <w:t xml:space="preserve"> (2003) 110 Cal.App.4th 1658, 1667</w:t>
      </w:r>
      <w:r w:rsidRPr="00EF2569">
        <w:rPr>
          <w:szCs w:val="22"/>
          <w:shd w:val="clear" w:color="auto" w:fill="FFFFFF"/>
        </w:rPr>
        <w:t> (citations omitted).</w:t>
      </w:r>
    </w:p>
  </w:footnote>
  <w:footnote w:id="5">
    <w:p w14:paraId="0C05F14B" w14:textId="0BAC7DDD" w:rsidR="00421C9B" w:rsidRPr="00EF2569" w:rsidRDefault="00421C9B" w:rsidP="002C5FF7">
      <w:pPr>
        <w:pStyle w:val="FootnoteText"/>
      </w:pPr>
      <w:r w:rsidRPr="00EF2569">
        <w:rPr>
          <w:rStyle w:val="FootnoteReference"/>
          <w:szCs w:val="22"/>
        </w:rPr>
        <w:footnoteRef/>
      </w:r>
      <w:r w:rsidRPr="00EF2569">
        <w:rPr>
          <w:szCs w:val="22"/>
        </w:rPr>
        <w:t xml:space="preserve"> </w:t>
      </w:r>
      <w:r w:rsidRPr="00EF2569">
        <w:rPr>
          <w:rStyle w:val="ssit"/>
          <w:i/>
          <w:iCs/>
          <w:szCs w:val="22"/>
          <w:bdr w:val="none" w:sz="0" w:space="0" w:color="auto" w:frame="1"/>
          <w:shd w:val="clear" w:color="auto" w:fill="FFFFFF"/>
        </w:rPr>
        <w:t xml:space="preserve">See, </w:t>
      </w:r>
      <w:r w:rsidRPr="00EF2569">
        <w:rPr>
          <w:rStyle w:val="ssit"/>
          <w:szCs w:val="22"/>
          <w:bdr w:val="none" w:sz="0" w:space="0" w:color="auto" w:frame="1"/>
          <w:shd w:val="clear" w:color="auto" w:fill="FFFFFF"/>
        </w:rPr>
        <w:t>for example,</w:t>
      </w:r>
      <w:r w:rsidRPr="00EF2569">
        <w:rPr>
          <w:szCs w:val="22"/>
          <w:shd w:val="clear" w:color="auto" w:fill="FFFFFF"/>
        </w:rPr>
        <w:t> </w:t>
      </w:r>
      <w:r w:rsidRPr="00EF2569">
        <w:rPr>
          <w:i/>
          <w:iCs/>
          <w:szCs w:val="22"/>
          <w:bdr w:val="none" w:sz="0" w:space="0" w:color="auto" w:frame="1"/>
          <w:shd w:val="clear" w:color="auto" w:fill="FFFFFF"/>
        </w:rPr>
        <w:t>In Complaint of Service-All-Tech, Inc. v. PT&amp;T Co.</w:t>
      </w:r>
      <w:r w:rsidRPr="00EF2569">
        <w:rPr>
          <w:szCs w:val="22"/>
          <w:bdr w:val="none" w:sz="0" w:space="0" w:color="auto" w:frame="1"/>
          <w:shd w:val="clear" w:color="auto" w:fill="FFFFFF"/>
        </w:rPr>
        <w:t xml:space="preserve"> (Cal. PUC, 1977)</w:t>
      </w:r>
      <w:r w:rsidRPr="00EF2569">
        <w:rPr>
          <w:szCs w:val="22"/>
          <w:shd w:val="clear" w:color="auto" w:fill="FFFFFF"/>
        </w:rPr>
        <w:t xml:space="preserve">, Decision No. 88223 (complaint relating to the disconnection of telephone service where the court found that complainant had the burden of proof and that complainant's </w:t>
      </w:r>
      <w:r>
        <w:rPr>
          <w:szCs w:val="22"/>
          <w:shd w:val="clear" w:color="auto" w:fill="FFFFFF"/>
        </w:rPr>
        <w:t>“</w:t>
      </w:r>
      <w:r w:rsidRPr="00EF2569">
        <w:rPr>
          <w:szCs w:val="22"/>
          <w:shd w:val="clear" w:color="auto" w:fill="FFFFFF"/>
        </w:rPr>
        <w:t>failure to present any evidence present[ed] a total lack of meeting that burden</w:t>
      </w:r>
      <w:r>
        <w:rPr>
          <w:szCs w:val="22"/>
          <w:shd w:val="clear" w:color="auto" w:fill="FFFFFF"/>
        </w:rPr>
        <w:t>”</w:t>
      </w:r>
      <w:r w:rsidRPr="00EF2569">
        <w:rPr>
          <w:szCs w:val="22"/>
          <w:shd w:val="clear" w:color="auto" w:fill="FFFFFF"/>
        </w:rPr>
        <w:t>).</w:t>
      </w:r>
      <w:r w:rsidR="002C5FF7">
        <w:rPr>
          <w:szCs w:val="22"/>
          <w:shd w:val="clear" w:color="auto" w:fill="FFFFFF"/>
        </w:rPr>
        <w:t xml:space="preserve"> </w:t>
      </w:r>
      <w:r w:rsidR="002C5FF7" w:rsidRPr="002C5FF7">
        <w:rPr>
          <w:i/>
          <w:iCs/>
          <w:szCs w:val="22"/>
          <w:shd w:val="clear" w:color="auto" w:fill="FFFFFF"/>
        </w:rPr>
        <w:t>See</w:t>
      </w:r>
      <w:r w:rsidR="002C5FF7">
        <w:rPr>
          <w:szCs w:val="22"/>
          <w:shd w:val="clear" w:color="auto" w:fill="FFFFFF"/>
        </w:rPr>
        <w:t xml:space="preserve"> also </w:t>
      </w:r>
      <w:r w:rsidR="002C5FF7" w:rsidRPr="002C5FF7">
        <w:rPr>
          <w:shd w:val="clear" w:color="auto" w:fill="FFFFFF"/>
        </w:rPr>
        <w:t>Decision 99-06-004, * 4 (</w:t>
      </w:r>
      <w:r w:rsidR="002C5FF7">
        <w:rPr>
          <w:shd w:val="clear" w:color="auto" w:fill="FFFFFF"/>
        </w:rPr>
        <w:t>“</w:t>
      </w:r>
      <w:r w:rsidR="002C5FF7" w:rsidRPr="002C5FF7">
        <w:rPr>
          <w:shd w:val="clear" w:color="auto" w:fill="FFFFFF"/>
        </w:rPr>
        <w:t>In a complaint, the complainant has the burden of proving his allegations</w:t>
      </w:r>
      <w:r w:rsidR="002C5FF7">
        <w:rPr>
          <w:shd w:val="clear" w:color="auto" w:fill="FFFFFF"/>
        </w:rPr>
        <w:t>”</w:t>
      </w:r>
      <w:r w:rsidR="002C5FF7" w:rsidRPr="002C5FF7">
        <w:rPr>
          <w:shd w:val="clear" w:color="auto" w:fill="FFFFFF"/>
        </w:rPr>
        <w:t>)</w:t>
      </w:r>
      <w:r w:rsidR="002C5FF7">
        <w:rPr>
          <w:shd w:val="clear" w:color="auto" w:fill="FFFFFF"/>
        </w:rPr>
        <w:t xml:space="preserve"> and</w:t>
      </w:r>
      <w:r w:rsidR="002C5FF7" w:rsidRPr="002C5FF7">
        <w:rPr>
          <w:shd w:val="clear" w:color="auto" w:fill="FFFFFF"/>
        </w:rPr>
        <w:t xml:space="preserve"> Decision 82-07-037, * 5</w:t>
      </w:r>
      <w:r w:rsidR="002C5FF7">
        <w:rPr>
          <w:shd w:val="clear" w:color="auto" w:fill="FFFFFF"/>
        </w:rPr>
        <w:t xml:space="preserve"> </w:t>
      </w:r>
      <w:r w:rsidR="002C5FF7" w:rsidRPr="002C5FF7">
        <w:rPr>
          <w:szCs w:val="22"/>
          <w:shd w:val="clear" w:color="auto" w:fill="FFFFFF"/>
        </w:rPr>
        <w:t>(same)</w:t>
      </w:r>
      <w:r w:rsidR="002C5FF7">
        <w:rPr>
          <w:szCs w:val="22"/>
          <w:shd w:val="clear" w:color="auto" w:fill="FFFFFF"/>
        </w:rPr>
        <w:t>.</w:t>
      </w:r>
    </w:p>
  </w:footnote>
  <w:footnote w:id="6">
    <w:p w14:paraId="249AFF31" w14:textId="055F64DA" w:rsidR="00E5761D" w:rsidRDefault="00E5761D">
      <w:pPr>
        <w:pStyle w:val="FootnoteText"/>
      </w:pPr>
      <w:r>
        <w:rPr>
          <w:rStyle w:val="FootnoteReference"/>
        </w:rPr>
        <w:footnoteRef/>
      </w:r>
      <w:r>
        <w:t xml:space="preserve"> </w:t>
      </w:r>
      <w:r w:rsidRPr="00E5761D">
        <w:rPr>
          <w:i/>
          <w:iCs/>
        </w:rPr>
        <w:t>See</w:t>
      </w:r>
      <w:r>
        <w:t>, for example, Code of Civil Procedure section 116.220(b).</w:t>
      </w:r>
    </w:p>
  </w:footnote>
  <w:footnote w:id="7">
    <w:p w14:paraId="1B4D9F7C" w14:textId="7EBE1C07" w:rsidR="00E249A6" w:rsidRDefault="00E249A6">
      <w:pPr>
        <w:pStyle w:val="FootnoteText"/>
      </w:pPr>
      <w:r>
        <w:rPr>
          <w:rStyle w:val="FootnoteReference"/>
        </w:rPr>
        <w:footnoteRef/>
      </w:r>
      <w:r>
        <w:t xml:space="preserve"> We note that Complainants raised a hodgepodge of other arguments</w:t>
      </w:r>
      <w:r w:rsidR="00631079">
        <w:t>, including but not limited to argument</w:t>
      </w:r>
      <w:r w:rsidR="00FA125A">
        <w:t>s</w:t>
      </w:r>
      <w:r w:rsidR="00631079">
        <w:t xml:space="preserve"> about the Uniform Commercial Code, GAAP, Federal Reserve Notes, and the Bible</w:t>
      </w:r>
      <w:r>
        <w:t xml:space="preserve">. To the extent that we do not discuss </w:t>
      </w:r>
      <w:r w:rsidR="00631079">
        <w:t>each</w:t>
      </w:r>
      <w:r>
        <w:t xml:space="preserve"> of these arguments, it is because we find them to be baseless, meritless, and frivolous. As such</w:t>
      </w:r>
      <w:r w:rsidR="00631079">
        <w:t>, we reject</w:t>
      </w:r>
      <w:r>
        <w:t xml:space="preserve"> the totality of these claims.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75B3" w14:textId="54030A8F" w:rsidR="00615D2B" w:rsidRDefault="00615D2B">
    <w:pPr>
      <w:pStyle w:val="Header"/>
    </w:pPr>
    <w:r>
      <w:t>ODD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6F3A" w14:textId="413EBEBA" w:rsidR="00344EA7" w:rsidRPr="00D177FF" w:rsidRDefault="00344EA7" w:rsidP="00344EA7">
    <w:pPr>
      <w:tabs>
        <w:tab w:val="right" w:pos="9360"/>
      </w:tabs>
      <w:spacing w:line="240" w:lineRule="auto"/>
      <w:ind w:firstLine="0"/>
      <w:rPr>
        <w:b/>
      </w:rPr>
    </w:pPr>
    <w:bookmarkStart w:id="17" w:name="_Hlk103087767"/>
    <w:r>
      <w:t>C.</w:t>
    </w:r>
    <w:r w:rsidR="000674BE" w:rsidRPr="000674BE">
      <w:rPr>
        <w:rFonts w:cs="Arial"/>
        <w:szCs w:val="26"/>
      </w:rPr>
      <w:t xml:space="preserve"> </w:t>
    </w:r>
    <w:r w:rsidR="000674BE">
      <w:rPr>
        <w:rFonts w:cs="Arial"/>
        <w:szCs w:val="26"/>
      </w:rPr>
      <w:t>24-06-015</w:t>
    </w:r>
    <w:r w:rsidRPr="00D177FF">
      <w:t xml:space="preserve">  ALJ/</w:t>
    </w:r>
    <w:r>
      <w:t>ABT</w:t>
    </w:r>
    <w:r w:rsidRPr="00D177FF">
      <w:t>/</w:t>
    </w:r>
    <w:r w:rsidR="00230C6B">
      <w:t>hma</w:t>
    </w:r>
    <w:r w:rsidRPr="00D177FF">
      <w:tab/>
    </w:r>
  </w:p>
  <w:bookmarkEnd w:id="17"/>
  <w:p w14:paraId="2F2B29CE" w14:textId="13098264" w:rsidR="008F48F8" w:rsidRPr="008F48F8" w:rsidRDefault="008F48F8" w:rsidP="008F48F8">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7A2A" w14:textId="77777777" w:rsidR="008F48F8" w:rsidRDefault="008F48F8" w:rsidP="008F48F8">
    <w:pPr>
      <w:pStyle w:val="Header"/>
      <w:tabs>
        <w:tab w:val="clear" w:pos="4680"/>
      </w:tabs>
      <w:ind w:firstLine="0"/>
      <w:rPr>
        <w:i/>
        <w:color w:val="FF0000"/>
      </w:rPr>
    </w:pPr>
  </w:p>
  <w:p w14:paraId="22304C46" w14:textId="77777777" w:rsidR="008F48F8" w:rsidRPr="008F48F8" w:rsidRDefault="008F48F8" w:rsidP="008F48F8">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625FD"/>
    <w:multiLevelType w:val="hybridMultilevel"/>
    <w:tmpl w:val="8A7AD360"/>
    <w:lvl w:ilvl="0" w:tplc="181C6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741E0"/>
    <w:multiLevelType w:val="hybridMultilevel"/>
    <w:tmpl w:val="C1706592"/>
    <w:lvl w:ilvl="0" w:tplc="56B49DDA">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46C1C14"/>
    <w:multiLevelType w:val="multilevel"/>
    <w:tmpl w:val="18F4A5AC"/>
    <w:styleLink w:val="FoFCoLOP"/>
    <w:lvl w:ilvl="0">
      <w:start w:val="1"/>
      <w:numFmt w:val="decimal"/>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300931"/>
    <w:multiLevelType w:val="hybridMultilevel"/>
    <w:tmpl w:val="80B6403E"/>
    <w:lvl w:ilvl="0" w:tplc="0409000F">
      <w:start w:val="1"/>
      <w:numFmt w:val="decimal"/>
      <w:lvlText w:val="%1."/>
      <w:lvlJc w:val="left"/>
      <w:pPr>
        <w:ind w:left="6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056CB"/>
    <w:multiLevelType w:val="multilevel"/>
    <w:tmpl w:val="18F4A5AC"/>
    <w:numStyleLink w:val="FoFCoLOP"/>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3C526EDE"/>
    <w:numStyleLink w:val="Headings"/>
  </w:abstractNum>
  <w:abstractNum w:abstractNumId="8" w15:restartNumberingAfterBreak="0">
    <w:nsid w:val="1D7E24FC"/>
    <w:multiLevelType w:val="hybridMultilevel"/>
    <w:tmpl w:val="966883C6"/>
    <w:lvl w:ilvl="0" w:tplc="D722B9E2">
      <w:start w:val="2"/>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242C9"/>
    <w:multiLevelType w:val="multilevel"/>
    <w:tmpl w:val="3C526EDE"/>
    <w:numStyleLink w:val="Headings"/>
  </w:abstractNum>
  <w:abstractNum w:abstractNumId="10" w15:restartNumberingAfterBreak="0">
    <w:nsid w:val="21FB58FE"/>
    <w:multiLevelType w:val="multilevel"/>
    <w:tmpl w:val="3C526EDE"/>
    <w:numStyleLink w:val="Headings"/>
  </w:abstractNum>
  <w:abstractNum w:abstractNumId="11" w15:restartNumberingAfterBreak="0">
    <w:nsid w:val="243663A0"/>
    <w:multiLevelType w:val="multilevel"/>
    <w:tmpl w:val="3C526EDE"/>
    <w:numStyleLink w:val="Headings"/>
  </w:abstractNum>
  <w:abstractNum w:abstractNumId="12" w15:restartNumberingAfterBreak="0">
    <w:nsid w:val="2B8124D7"/>
    <w:multiLevelType w:val="multilevel"/>
    <w:tmpl w:val="3C526EDE"/>
    <w:numStyleLink w:val="Headings"/>
  </w:abstractNum>
  <w:abstractNum w:abstractNumId="13" w15:restartNumberingAfterBreak="0">
    <w:nsid w:val="2F836C35"/>
    <w:multiLevelType w:val="hybridMultilevel"/>
    <w:tmpl w:val="52DAD166"/>
    <w:lvl w:ilvl="0" w:tplc="CFD4898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37EB77F2"/>
    <w:multiLevelType w:val="hybridMultilevel"/>
    <w:tmpl w:val="C6C62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57E91"/>
    <w:multiLevelType w:val="hybridMultilevel"/>
    <w:tmpl w:val="903E0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025F53"/>
    <w:multiLevelType w:val="hybridMultilevel"/>
    <w:tmpl w:val="425E6CA4"/>
    <w:lvl w:ilvl="0" w:tplc="514A0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C2AC8"/>
    <w:multiLevelType w:val="hybridMultilevel"/>
    <w:tmpl w:val="020CDDF2"/>
    <w:lvl w:ilvl="0" w:tplc="1360AB40">
      <w:start w:val="1"/>
      <w:numFmt w:val="decimal"/>
      <w:lvlText w:val="(%1)"/>
      <w:lvlJc w:val="left"/>
      <w:pPr>
        <w:tabs>
          <w:tab w:val="num" w:pos="720"/>
        </w:tabs>
        <w:ind w:left="720" w:hanging="360"/>
      </w:pPr>
    </w:lvl>
    <w:lvl w:ilvl="1" w:tplc="66DA547C" w:tentative="1">
      <w:start w:val="1"/>
      <w:numFmt w:val="decimal"/>
      <w:lvlText w:val="(%2)"/>
      <w:lvlJc w:val="left"/>
      <w:pPr>
        <w:tabs>
          <w:tab w:val="num" w:pos="1440"/>
        </w:tabs>
        <w:ind w:left="1440" w:hanging="360"/>
      </w:pPr>
    </w:lvl>
    <w:lvl w:ilvl="2" w:tplc="A3EAD39C" w:tentative="1">
      <w:start w:val="1"/>
      <w:numFmt w:val="decimal"/>
      <w:lvlText w:val="(%3)"/>
      <w:lvlJc w:val="left"/>
      <w:pPr>
        <w:tabs>
          <w:tab w:val="num" w:pos="2160"/>
        </w:tabs>
        <w:ind w:left="2160" w:hanging="360"/>
      </w:pPr>
    </w:lvl>
    <w:lvl w:ilvl="3" w:tplc="C5306D70" w:tentative="1">
      <w:start w:val="1"/>
      <w:numFmt w:val="decimal"/>
      <w:lvlText w:val="(%4)"/>
      <w:lvlJc w:val="left"/>
      <w:pPr>
        <w:tabs>
          <w:tab w:val="num" w:pos="2880"/>
        </w:tabs>
        <w:ind w:left="2880" w:hanging="360"/>
      </w:pPr>
    </w:lvl>
    <w:lvl w:ilvl="4" w:tplc="F2682972" w:tentative="1">
      <w:start w:val="1"/>
      <w:numFmt w:val="decimal"/>
      <w:lvlText w:val="(%5)"/>
      <w:lvlJc w:val="left"/>
      <w:pPr>
        <w:tabs>
          <w:tab w:val="num" w:pos="3600"/>
        </w:tabs>
        <w:ind w:left="3600" w:hanging="360"/>
      </w:pPr>
    </w:lvl>
    <w:lvl w:ilvl="5" w:tplc="6F4E884A" w:tentative="1">
      <w:start w:val="1"/>
      <w:numFmt w:val="decimal"/>
      <w:lvlText w:val="(%6)"/>
      <w:lvlJc w:val="left"/>
      <w:pPr>
        <w:tabs>
          <w:tab w:val="num" w:pos="4320"/>
        </w:tabs>
        <w:ind w:left="4320" w:hanging="360"/>
      </w:pPr>
    </w:lvl>
    <w:lvl w:ilvl="6" w:tplc="16007422" w:tentative="1">
      <w:start w:val="1"/>
      <w:numFmt w:val="decimal"/>
      <w:lvlText w:val="(%7)"/>
      <w:lvlJc w:val="left"/>
      <w:pPr>
        <w:tabs>
          <w:tab w:val="num" w:pos="5040"/>
        </w:tabs>
        <w:ind w:left="5040" w:hanging="360"/>
      </w:pPr>
    </w:lvl>
    <w:lvl w:ilvl="7" w:tplc="ACF275B2" w:tentative="1">
      <w:start w:val="1"/>
      <w:numFmt w:val="decimal"/>
      <w:lvlText w:val="(%8)"/>
      <w:lvlJc w:val="left"/>
      <w:pPr>
        <w:tabs>
          <w:tab w:val="num" w:pos="5760"/>
        </w:tabs>
        <w:ind w:left="5760" w:hanging="360"/>
      </w:pPr>
    </w:lvl>
    <w:lvl w:ilvl="8" w:tplc="ADB0D92A" w:tentative="1">
      <w:start w:val="1"/>
      <w:numFmt w:val="decimal"/>
      <w:lvlText w:val="(%9)"/>
      <w:lvlJc w:val="left"/>
      <w:pPr>
        <w:tabs>
          <w:tab w:val="num" w:pos="6480"/>
        </w:tabs>
        <w:ind w:left="6480" w:hanging="360"/>
      </w:pPr>
    </w:lvl>
  </w:abstractNum>
  <w:abstractNum w:abstractNumId="19" w15:restartNumberingAfterBreak="0">
    <w:nsid w:val="54D24859"/>
    <w:multiLevelType w:val="multilevel"/>
    <w:tmpl w:val="ED2C5C8E"/>
    <w:lvl w:ilvl="0">
      <w:start w:val="5"/>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9D042D7"/>
    <w:multiLevelType w:val="multilevel"/>
    <w:tmpl w:val="18F4A5AC"/>
    <w:numStyleLink w:val="FoFCoLOP"/>
  </w:abstractNum>
  <w:abstractNum w:abstractNumId="21" w15:restartNumberingAfterBreak="0">
    <w:nsid w:val="5A9E2171"/>
    <w:multiLevelType w:val="multilevel"/>
    <w:tmpl w:val="3C526EDE"/>
    <w:numStyleLink w:val="Headings"/>
  </w:abstractNum>
  <w:abstractNum w:abstractNumId="22" w15:restartNumberingAfterBreak="0">
    <w:nsid w:val="61A25780"/>
    <w:multiLevelType w:val="multilevel"/>
    <w:tmpl w:val="3C526EDE"/>
    <w:numStyleLink w:val="Headings"/>
  </w:abstractNum>
  <w:abstractNum w:abstractNumId="23" w15:restartNumberingAfterBreak="0">
    <w:nsid w:val="6B903BF2"/>
    <w:multiLevelType w:val="hybridMultilevel"/>
    <w:tmpl w:val="DA127704"/>
    <w:lvl w:ilvl="0" w:tplc="2994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14D55"/>
    <w:multiLevelType w:val="hybridMultilevel"/>
    <w:tmpl w:val="61F0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25EF4"/>
    <w:multiLevelType w:val="multilevel"/>
    <w:tmpl w:val="1EFE4D10"/>
    <w:lvl w:ilvl="0">
      <w:start w:val="4"/>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2B26CFF"/>
    <w:multiLevelType w:val="hybridMultilevel"/>
    <w:tmpl w:val="C4660208"/>
    <w:lvl w:ilvl="0" w:tplc="A31A860A">
      <w:start w:val="1"/>
      <w:numFmt w:val="decimal"/>
      <w:lvlText w:val="%1."/>
      <w:lvlJc w:val="lef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068BD"/>
    <w:multiLevelType w:val="hybridMultilevel"/>
    <w:tmpl w:val="B48004F0"/>
    <w:lvl w:ilvl="0" w:tplc="0409000F">
      <w:start w:val="1"/>
      <w:numFmt w:val="decimal"/>
      <w:lvlText w:val="%1."/>
      <w:lvlJc w:val="left"/>
      <w:pPr>
        <w:ind w:left="6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A0AFE"/>
    <w:multiLevelType w:val="multilevel"/>
    <w:tmpl w:val="18F4A5AC"/>
    <w:numStyleLink w:val="FoFCoLOP"/>
  </w:abstractNum>
  <w:abstractNum w:abstractNumId="30" w15:restartNumberingAfterBreak="0">
    <w:nsid w:val="793B1976"/>
    <w:multiLevelType w:val="hybridMultilevel"/>
    <w:tmpl w:val="1B0637EE"/>
    <w:lvl w:ilvl="0" w:tplc="B8AE6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CC6C47"/>
    <w:multiLevelType w:val="hybridMultilevel"/>
    <w:tmpl w:val="584CC0BE"/>
    <w:lvl w:ilvl="0" w:tplc="F47E2F6A">
      <w:start w:val="1"/>
      <w:numFmt w:val="decimal"/>
      <w:lvlText w:val="%1)"/>
      <w:lvlJc w:val="left"/>
      <w:pPr>
        <w:ind w:left="720" w:hanging="360"/>
      </w:pPr>
      <w:rPr>
        <w:rFonts w:ascii="Arial,Bold" w:hAnsi="Arial,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318181">
    <w:abstractNumId w:val="21"/>
  </w:num>
  <w:num w:numId="2" w16cid:durableId="1009986980">
    <w:abstractNumId w:val="3"/>
  </w:num>
  <w:num w:numId="3" w16cid:durableId="1345590637">
    <w:abstractNumId w:val="20"/>
  </w:num>
  <w:num w:numId="4" w16cid:durableId="1349674493">
    <w:abstractNumId w:val="5"/>
  </w:num>
  <w:num w:numId="5" w16cid:durableId="1863782918">
    <w:abstractNumId w:val="29"/>
  </w:num>
  <w:num w:numId="6" w16cid:durableId="1627160002">
    <w:abstractNumId w:val="14"/>
  </w:num>
  <w:num w:numId="7" w16cid:durableId="961109872">
    <w:abstractNumId w:val="9"/>
  </w:num>
  <w:num w:numId="8" w16cid:durableId="212431547">
    <w:abstractNumId w:val="24"/>
  </w:num>
  <w:num w:numId="9" w16cid:durableId="1430277739">
    <w:abstractNumId w:val="0"/>
  </w:num>
  <w:num w:numId="10" w16cid:durableId="152765458">
    <w:abstractNumId w:val="7"/>
  </w:num>
  <w:num w:numId="11" w16cid:durableId="1959558176">
    <w:abstractNumId w:val="10"/>
  </w:num>
  <w:num w:numId="12" w16cid:durableId="2061632241">
    <w:abstractNumId w:val="6"/>
  </w:num>
  <w:num w:numId="13" w16cid:durableId="927733538">
    <w:abstractNumId w:val="11"/>
  </w:num>
  <w:num w:numId="14" w16cid:durableId="261376898">
    <w:abstractNumId w:val="12"/>
  </w:num>
  <w:num w:numId="15" w16cid:durableId="1790275805">
    <w:abstractNumId w:val="22"/>
  </w:num>
  <w:num w:numId="16" w16cid:durableId="9683147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2220424">
    <w:abstractNumId w:val="5"/>
    <w:lvlOverride w:ilvl="0">
      <w:lvl w:ilvl="0">
        <w:start w:val="1"/>
        <w:numFmt w:val="decimal"/>
        <w:pStyle w:val="CoL"/>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18" w16cid:durableId="559488055">
    <w:abstractNumId w:val="28"/>
  </w:num>
  <w:num w:numId="19" w16cid:durableId="197160260">
    <w:abstractNumId w:val="4"/>
  </w:num>
  <w:num w:numId="20" w16cid:durableId="1302079284">
    <w:abstractNumId w:val="27"/>
  </w:num>
  <w:num w:numId="21" w16cid:durableId="1277565548">
    <w:abstractNumId w:val="8"/>
  </w:num>
  <w:num w:numId="22" w16cid:durableId="1532036093">
    <w:abstractNumId w:val="17"/>
  </w:num>
  <w:num w:numId="23" w16cid:durableId="671831655">
    <w:abstractNumId w:val="15"/>
  </w:num>
  <w:num w:numId="24" w16cid:durableId="424157673">
    <w:abstractNumId w:val="31"/>
  </w:num>
  <w:num w:numId="25" w16cid:durableId="1593494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0906614">
    <w:abstractNumId w:val="23"/>
  </w:num>
  <w:num w:numId="27" w16cid:durableId="276790873">
    <w:abstractNumId w:val="1"/>
  </w:num>
  <w:num w:numId="28" w16cid:durableId="895092302">
    <w:abstractNumId w:val="19"/>
  </w:num>
  <w:num w:numId="29" w16cid:durableId="294414348">
    <w:abstractNumId w:val="22"/>
    <w:lvlOverride w:ilvl="0">
      <w:startOverride w:val="5"/>
    </w:lvlOverride>
    <w:lvlOverride w:ilvl="1">
      <w:startOverride w:val="4"/>
    </w:lvlOverride>
    <w:lvlOverride w:ilvl="2">
      <w:startOverride w:val="2"/>
    </w:lvlOverride>
  </w:num>
  <w:num w:numId="30" w16cid:durableId="513495147">
    <w:abstractNumId w:val="22"/>
    <w:lvlOverride w:ilvl="0">
      <w:startOverride w:val="5"/>
    </w:lvlOverride>
    <w:lvlOverride w:ilvl="1">
      <w:startOverride w:val="4"/>
    </w:lvlOverride>
    <w:lvlOverride w:ilvl="2">
      <w:startOverride w:val="2"/>
    </w:lvlOverride>
  </w:num>
  <w:num w:numId="31" w16cid:durableId="1928420307">
    <w:abstractNumId w:val="25"/>
  </w:num>
  <w:num w:numId="32" w16cid:durableId="563375790">
    <w:abstractNumId w:val="30"/>
  </w:num>
  <w:num w:numId="33" w16cid:durableId="433869890">
    <w:abstractNumId w:val="5"/>
    <w:lvlOverride w:ilvl="0">
      <w:startOverride w:val="4"/>
      <w:lvl w:ilvl="0">
        <w:start w:val="4"/>
        <w:numFmt w:val="decimal"/>
        <w:pStyle w:val="CoL"/>
        <w:lvlText w:val="%1."/>
        <w:lvlJc w:val="right"/>
        <w:pPr>
          <w:ind w:left="0" w:firstLine="540"/>
        </w:pPr>
        <w:rPr>
          <w:rFonts w:hint="default"/>
        </w:rPr>
      </w:lvl>
    </w:lvlOverride>
  </w:num>
  <w:num w:numId="34" w16cid:durableId="1753118130">
    <w:abstractNumId w:val="5"/>
    <w:lvlOverride w:ilvl="0">
      <w:startOverride w:val="5"/>
      <w:lvl w:ilvl="0">
        <w:start w:val="5"/>
        <w:numFmt w:val="decimal"/>
        <w:pStyle w:val="CoL"/>
        <w:lvlText w:val="%1."/>
        <w:lvlJc w:val="right"/>
        <w:pPr>
          <w:ind w:left="0" w:firstLine="540"/>
        </w:pPr>
        <w:rPr>
          <w:rFonts w:hint="default"/>
        </w:rPr>
      </w:lvl>
    </w:lvlOverride>
  </w:num>
  <w:num w:numId="35" w16cid:durableId="1396466931">
    <w:abstractNumId w:val="5"/>
    <w:lvlOverride w:ilvl="0">
      <w:startOverride w:val="7"/>
      <w:lvl w:ilvl="0">
        <w:start w:val="7"/>
        <w:numFmt w:val="decimal"/>
        <w:pStyle w:val="CoL"/>
        <w:lvlText w:val="%1."/>
        <w:lvlJc w:val="right"/>
        <w:pPr>
          <w:ind w:left="0" w:firstLine="540"/>
        </w:pPr>
        <w:rPr>
          <w:rFonts w:hint="default"/>
        </w:rPr>
      </w:lvl>
    </w:lvlOverride>
  </w:num>
  <w:num w:numId="36" w16cid:durableId="1251699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4213274">
    <w:abstractNumId w:val="26"/>
  </w:num>
  <w:num w:numId="38" w16cid:durableId="399058299">
    <w:abstractNumId w:val="2"/>
  </w:num>
  <w:num w:numId="39" w16cid:durableId="1624262724">
    <w:abstractNumId w:val="20"/>
  </w:num>
  <w:num w:numId="40" w16cid:durableId="2095932252">
    <w:abstractNumId w:val="20"/>
  </w:num>
  <w:num w:numId="41" w16cid:durableId="1216504990">
    <w:abstractNumId w:val="20"/>
  </w:num>
  <w:num w:numId="42" w16cid:durableId="1431241831">
    <w:abstractNumId w:val="29"/>
  </w:num>
  <w:num w:numId="43" w16cid:durableId="632559080">
    <w:abstractNumId w:val="18"/>
  </w:num>
  <w:num w:numId="44" w16cid:durableId="767896931">
    <w:abstractNumId w:val="13"/>
  </w:num>
  <w:num w:numId="45" w16cid:durableId="150092468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05378"/>
    <w:rsid w:val="00007E42"/>
    <w:rsid w:val="00013264"/>
    <w:rsid w:val="000177A5"/>
    <w:rsid w:val="000244FD"/>
    <w:rsid w:val="000250C3"/>
    <w:rsid w:val="000273EE"/>
    <w:rsid w:val="000303F4"/>
    <w:rsid w:val="00046B3D"/>
    <w:rsid w:val="00050285"/>
    <w:rsid w:val="000503A8"/>
    <w:rsid w:val="00053D47"/>
    <w:rsid w:val="000629A7"/>
    <w:rsid w:val="0006561B"/>
    <w:rsid w:val="000674BE"/>
    <w:rsid w:val="00070302"/>
    <w:rsid w:val="0007115A"/>
    <w:rsid w:val="00072E24"/>
    <w:rsid w:val="0007553D"/>
    <w:rsid w:val="00080087"/>
    <w:rsid w:val="00081F6D"/>
    <w:rsid w:val="00082175"/>
    <w:rsid w:val="00084CFD"/>
    <w:rsid w:val="000922BC"/>
    <w:rsid w:val="000943A5"/>
    <w:rsid w:val="000973C8"/>
    <w:rsid w:val="000A1B32"/>
    <w:rsid w:val="000A2AA9"/>
    <w:rsid w:val="000A56F2"/>
    <w:rsid w:val="000A6E05"/>
    <w:rsid w:val="000B12FA"/>
    <w:rsid w:val="000B1FA1"/>
    <w:rsid w:val="000B5E1A"/>
    <w:rsid w:val="000C08BF"/>
    <w:rsid w:val="000C3B9A"/>
    <w:rsid w:val="000C5EC0"/>
    <w:rsid w:val="000D25A8"/>
    <w:rsid w:val="000E270A"/>
    <w:rsid w:val="000E4C53"/>
    <w:rsid w:val="000E552D"/>
    <w:rsid w:val="000E737C"/>
    <w:rsid w:val="0011627E"/>
    <w:rsid w:val="00117FE1"/>
    <w:rsid w:val="00120650"/>
    <w:rsid w:val="00121089"/>
    <w:rsid w:val="00122441"/>
    <w:rsid w:val="0012596E"/>
    <w:rsid w:val="0013098B"/>
    <w:rsid w:val="001309E8"/>
    <w:rsid w:val="00133788"/>
    <w:rsid w:val="001415F7"/>
    <w:rsid w:val="00142207"/>
    <w:rsid w:val="00152325"/>
    <w:rsid w:val="001561AE"/>
    <w:rsid w:val="00157413"/>
    <w:rsid w:val="00163DFA"/>
    <w:rsid w:val="001806B7"/>
    <w:rsid w:val="001850F7"/>
    <w:rsid w:val="00194021"/>
    <w:rsid w:val="001B11F4"/>
    <w:rsid w:val="001B1316"/>
    <w:rsid w:val="001B53F9"/>
    <w:rsid w:val="001C363F"/>
    <w:rsid w:val="001C7305"/>
    <w:rsid w:val="001D14BE"/>
    <w:rsid w:val="001D7C86"/>
    <w:rsid w:val="001E011F"/>
    <w:rsid w:val="001E2A62"/>
    <w:rsid w:val="001E2C8E"/>
    <w:rsid w:val="001E574F"/>
    <w:rsid w:val="001F2819"/>
    <w:rsid w:val="002043EC"/>
    <w:rsid w:val="0021092C"/>
    <w:rsid w:val="00224AE7"/>
    <w:rsid w:val="00230C6B"/>
    <w:rsid w:val="00232876"/>
    <w:rsid w:val="00243DC0"/>
    <w:rsid w:val="002441DF"/>
    <w:rsid w:val="0024423E"/>
    <w:rsid w:val="00247477"/>
    <w:rsid w:val="00253253"/>
    <w:rsid w:val="0025376F"/>
    <w:rsid w:val="00253AB7"/>
    <w:rsid w:val="0026021F"/>
    <w:rsid w:val="00270214"/>
    <w:rsid w:val="00270440"/>
    <w:rsid w:val="00283F2B"/>
    <w:rsid w:val="00287BC5"/>
    <w:rsid w:val="00293DEE"/>
    <w:rsid w:val="00295BAE"/>
    <w:rsid w:val="002A0B5D"/>
    <w:rsid w:val="002A4783"/>
    <w:rsid w:val="002C04DE"/>
    <w:rsid w:val="002C5FF7"/>
    <w:rsid w:val="002C7FE9"/>
    <w:rsid w:val="002D014B"/>
    <w:rsid w:val="002D0DC5"/>
    <w:rsid w:val="002D3F11"/>
    <w:rsid w:val="002D4EFD"/>
    <w:rsid w:val="002D5244"/>
    <w:rsid w:val="002E013C"/>
    <w:rsid w:val="002E2065"/>
    <w:rsid w:val="002E48B3"/>
    <w:rsid w:val="002F155E"/>
    <w:rsid w:val="00304364"/>
    <w:rsid w:val="003047D1"/>
    <w:rsid w:val="00316071"/>
    <w:rsid w:val="003169CF"/>
    <w:rsid w:val="00317B2C"/>
    <w:rsid w:val="00317D23"/>
    <w:rsid w:val="00324C5A"/>
    <w:rsid w:val="0032596A"/>
    <w:rsid w:val="00333679"/>
    <w:rsid w:val="00333D3C"/>
    <w:rsid w:val="003345E4"/>
    <w:rsid w:val="00343E5C"/>
    <w:rsid w:val="00344B8A"/>
    <w:rsid w:val="00344EA7"/>
    <w:rsid w:val="0036017B"/>
    <w:rsid w:val="00362755"/>
    <w:rsid w:val="0037055B"/>
    <w:rsid w:val="00373B93"/>
    <w:rsid w:val="00374003"/>
    <w:rsid w:val="00374C9B"/>
    <w:rsid w:val="00380CD1"/>
    <w:rsid w:val="00381D51"/>
    <w:rsid w:val="003864BE"/>
    <w:rsid w:val="00393494"/>
    <w:rsid w:val="003A38F0"/>
    <w:rsid w:val="003A6107"/>
    <w:rsid w:val="003C5A15"/>
    <w:rsid w:val="003C7D0E"/>
    <w:rsid w:val="003D09BE"/>
    <w:rsid w:val="003D3263"/>
    <w:rsid w:val="003D4740"/>
    <w:rsid w:val="003E0D53"/>
    <w:rsid w:val="003F069A"/>
    <w:rsid w:val="003F3EFF"/>
    <w:rsid w:val="003F4329"/>
    <w:rsid w:val="004000B9"/>
    <w:rsid w:val="00404E87"/>
    <w:rsid w:val="00405AF7"/>
    <w:rsid w:val="00412534"/>
    <w:rsid w:val="00412C83"/>
    <w:rsid w:val="004204A3"/>
    <w:rsid w:val="00421C9B"/>
    <w:rsid w:val="00426014"/>
    <w:rsid w:val="00434E0E"/>
    <w:rsid w:val="004373CE"/>
    <w:rsid w:val="0044762A"/>
    <w:rsid w:val="00450188"/>
    <w:rsid w:val="00460B7D"/>
    <w:rsid w:val="00460C16"/>
    <w:rsid w:val="00465E99"/>
    <w:rsid w:val="00480CB0"/>
    <w:rsid w:val="004810A4"/>
    <w:rsid w:val="00481127"/>
    <w:rsid w:val="00485852"/>
    <w:rsid w:val="00490987"/>
    <w:rsid w:val="004935FC"/>
    <w:rsid w:val="004943F0"/>
    <w:rsid w:val="00494FB5"/>
    <w:rsid w:val="0049583C"/>
    <w:rsid w:val="004A6B21"/>
    <w:rsid w:val="004B34EA"/>
    <w:rsid w:val="004B5494"/>
    <w:rsid w:val="004B608F"/>
    <w:rsid w:val="004C0748"/>
    <w:rsid w:val="004C242E"/>
    <w:rsid w:val="004C2440"/>
    <w:rsid w:val="004C561A"/>
    <w:rsid w:val="004C7A2B"/>
    <w:rsid w:val="004C7D3A"/>
    <w:rsid w:val="004C7F1E"/>
    <w:rsid w:val="004F5D15"/>
    <w:rsid w:val="0050097C"/>
    <w:rsid w:val="005018A8"/>
    <w:rsid w:val="00501E8E"/>
    <w:rsid w:val="00505A39"/>
    <w:rsid w:val="00505F66"/>
    <w:rsid w:val="0051582B"/>
    <w:rsid w:val="005240BF"/>
    <w:rsid w:val="00531BD8"/>
    <w:rsid w:val="00532B5A"/>
    <w:rsid w:val="00533616"/>
    <w:rsid w:val="00533D05"/>
    <w:rsid w:val="005356B0"/>
    <w:rsid w:val="00535C7F"/>
    <w:rsid w:val="00537127"/>
    <w:rsid w:val="005423FB"/>
    <w:rsid w:val="0055722F"/>
    <w:rsid w:val="005573BD"/>
    <w:rsid w:val="00562936"/>
    <w:rsid w:val="00562B1F"/>
    <w:rsid w:val="00570F2B"/>
    <w:rsid w:val="0057164E"/>
    <w:rsid w:val="005770B7"/>
    <w:rsid w:val="00581BEA"/>
    <w:rsid w:val="005838C8"/>
    <w:rsid w:val="00585390"/>
    <w:rsid w:val="0059105E"/>
    <w:rsid w:val="005939A5"/>
    <w:rsid w:val="00597DC7"/>
    <w:rsid w:val="005A148C"/>
    <w:rsid w:val="005A79A3"/>
    <w:rsid w:val="005B2BD2"/>
    <w:rsid w:val="005B4BDF"/>
    <w:rsid w:val="005B61C3"/>
    <w:rsid w:val="005B66DC"/>
    <w:rsid w:val="005B7896"/>
    <w:rsid w:val="005C37D6"/>
    <w:rsid w:val="005C68AA"/>
    <w:rsid w:val="005F0674"/>
    <w:rsid w:val="005F5C6F"/>
    <w:rsid w:val="0060726F"/>
    <w:rsid w:val="0061333E"/>
    <w:rsid w:val="0061507E"/>
    <w:rsid w:val="00615D2B"/>
    <w:rsid w:val="00616E1B"/>
    <w:rsid w:val="00631079"/>
    <w:rsid w:val="00632207"/>
    <w:rsid w:val="00632CC4"/>
    <w:rsid w:val="00632FAC"/>
    <w:rsid w:val="0063317C"/>
    <w:rsid w:val="0063491C"/>
    <w:rsid w:val="00642C50"/>
    <w:rsid w:val="00647178"/>
    <w:rsid w:val="00652B45"/>
    <w:rsid w:val="00661AFE"/>
    <w:rsid w:val="00663CD6"/>
    <w:rsid w:val="006720F2"/>
    <w:rsid w:val="00674899"/>
    <w:rsid w:val="00680456"/>
    <w:rsid w:val="00683C8C"/>
    <w:rsid w:val="0068682B"/>
    <w:rsid w:val="00691766"/>
    <w:rsid w:val="006A5B6A"/>
    <w:rsid w:val="006B0BEF"/>
    <w:rsid w:val="006C1F10"/>
    <w:rsid w:val="006C20FE"/>
    <w:rsid w:val="006C237D"/>
    <w:rsid w:val="006C48AB"/>
    <w:rsid w:val="006D047A"/>
    <w:rsid w:val="006D2858"/>
    <w:rsid w:val="006D43A4"/>
    <w:rsid w:val="006E4A64"/>
    <w:rsid w:val="006E5E28"/>
    <w:rsid w:val="006E6574"/>
    <w:rsid w:val="006F18F2"/>
    <w:rsid w:val="006F3103"/>
    <w:rsid w:val="00704B96"/>
    <w:rsid w:val="00706EB3"/>
    <w:rsid w:val="00714CF2"/>
    <w:rsid w:val="007156B9"/>
    <w:rsid w:val="00720817"/>
    <w:rsid w:val="00721679"/>
    <w:rsid w:val="00722850"/>
    <w:rsid w:val="007228D8"/>
    <w:rsid w:val="00727FC9"/>
    <w:rsid w:val="0073353F"/>
    <w:rsid w:val="00735A91"/>
    <w:rsid w:val="007364E5"/>
    <w:rsid w:val="00740C76"/>
    <w:rsid w:val="00742E45"/>
    <w:rsid w:val="007447AF"/>
    <w:rsid w:val="00745274"/>
    <w:rsid w:val="007463D9"/>
    <w:rsid w:val="00750816"/>
    <w:rsid w:val="00750EA7"/>
    <w:rsid w:val="007561B6"/>
    <w:rsid w:val="007633AC"/>
    <w:rsid w:val="007657C1"/>
    <w:rsid w:val="00765ABF"/>
    <w:rsid w:val="007660A5"/>
    <w:rsid w:val="0077116C"/>
    <w:rsid w:val="007731B0"/>
    <w:rsid w:val="0077755F"/>
    <w:rsid w:val="007816B7"/>
    <w:rsid w:val="00783241"/>
    <w:rsid w:val="00783869"/>
    <w:rsid w:val="00784850"/>
    <w:rsid w:val="00794182"/>
    <w:rsid w:val="00797913"/>
    <w:rsid w:val="007A0F38"/>
    <w:rsid w:val="007A174B"/>
    <w:rsid w:val="007A1BE3"/>
    <w:rsid w:val="007A406D"/>
    <w:rsid w:val="007A62B0"/>
    <w:rsid w:val="007B1F11"/>
    <w:rsid w:val="007C0646"/>
    <w:rsid w:val="007C37C3"/>
    <w:rsid w:val="007C5A0C"/>
    <w:rsid w:val="007D47DB"/>
    <w:rsid w:val="007E0FEE"/>
    <w:rsid w:val="007E176F"/>
    <w:rsid w:val="007E196D"/>
    <w:rsid w:val="007F2017"/>
    <w:rsid w:val="007F406E"/>
    <w:rsid w:val="007F75F2"/>
    <w:rsid w:val="008034FB"/>
    <w:rsid w:val="0080354F"/>
    <w:rsid w:val="00811539"/>
    <w:rsid w:val="00812B06"/>
    <w:rsid w:val="008240D6"/>
    <w:rsid w:val="0082577A"/>
    <w:rsid w:val="008339BB"/>
    <w:rsid w:val="0083566E"/>
    <w:rsid w:val="00863985"/>
    <w:rsid w:val="00863EA1"/>
    <w:rsid w:val="0086419A"/>
    <w:rsid w:val="008658CC"/>
    <w:rsid w:val="0087023B"/>
    <w:rsid w:val="008716DC"/>
    <w:rsid w:val="008725F0"/>
    <w:rsid w:val="00885EFE"/>
    <w:rsid w:val="00886B5F"/>
    <w:rsid w:val="008900E9"/>
    <w:rsid w:val="00891684"/>
    <w:rsid w:val="008A179F"/>
    <w:rsid w:val="008B0864"/>
    <w:rsid w:val="008B5AEB"/>
    <w:rsid w:val="008C384F"/>
    <w:rsid w:val="008C7413"/>
    <w:rsid w:val="008D0480"/>
    <w:rsid w:val="008D16B7"/>
    <w:rsid w:val="008D2943"/>
    <w:rsid w:val="008D5107"/>
    <w:rsid w:val="008E0EF5"/>
    <w:rsid w:val="008E1178"/>
    <w:rsid w:val="008E5C2F"/>
    <w:rsid w:val="008E6AE6"/>
    <w:rsid w:val="008F0116"/>
    <w:rsid w:val="008F143D"/>
    <w:rsid w:val="008F2431"/>
    <w:rsid w:val="008F48F8"/>
    <w:rsid w:val="00900E79"/>
    <w:rsid w:val="00907D96"/>
    <w:rsid w:val="00917C90"/>
    <w:rsid w:val="00920287"/>
    <w:rsid w:val="00920FDF"/>
    <w:rsid w:val="00926557"/>
    <w:rsid w:val="00927283"/>
    <w:rsid w:val="00930D23"/>
    <w:rsid w:val="00932865"/>
    <w:rsid w:val="00932CE1"/>
    <w:rsid w:val="009418BC"/>
    <w:rsid w:val="009432DE"/>
    <w:rsid w:val="00944293"/>
    <w:rsid w:val="00945824"/>
    <w:rsid w:val="00947610"/>
    <w:rsid w:val="00947E5B"/>
    <w:rsid w:val="00952022"/>
    <w:rsid w:val="00960068"/>
    <w:rsid w:val="0096569C"/>
    <w:rsid w:val="00971203"/>
    <w:rsid w:val="009725D0"/>
    <w:rsid w:val="00976E6D"/>
    <w:rsid w:val="0098138E"/>
    <w:rsid w:val="009815BD"/>
    <w:rsid w:val="009833EB"/>
    <w:rsid w:val="0098655A"/>
    <w:rsid w:val="00987B7E"/>
    <w:rsid w:val="00990E8E"/>
    <w:rsid w:val="0099458A"/>
    <w:rsid w:val="00996024"/>
    <w:rsid w:val="009A46CF"/>
    <w:rsid w:val="009A7299"/>
    <w:rsid w:val="009B2FF3"/>
    <w:rsid w:val="009B563E"/>
    <w:rsid w:val="009B61B2"/>
    <w:rsid w:val="009C42C5"/>
    <w:rsid w:val="009C4D0C"/>
    <w:rsid w:val="009C68DF"/>
    <w:rsid w:val="009D18F1"/>
    <w:rsid w:val="009D46B6"/>
    <w:rsid w:val="009D6D1A"/>
    <w:rsid w:val="009E4499"/>
    <w:rsid w:val="009E7C7F"/>
    <w:rsid w:val="00A0090B"/>
    <w:rsid w:val="00A114C1"/>
    <w:rsid w:val="00A1274A"/>
    <w:rsid w:val="00A17CE0"/>
    <w:rsid w:val="00A22FCF"/>
    <w:rsid w:val="00A2323A"/>
    <w:rsid w:val="00A23D48"/>
    <w:rsid w:val="00A3598E"/>
    <w:rsid w:val="00A42306"/>
    <w:rsid w:val="00A42E05"/>
    <w:rsid w:val="00A44E8D"/>
    <w:rsid w:val="00A47FAB"/>
    <w:rsid w:val="00A50C0F"/>
    <w:rsid w:val="00A55ACD"/>
    <w:rsid w:val="00A561C6"/>
    <w:rsid w:val="00A71A5F"/>
    <w:rsid w:val="00A85474"/>
    <w:rsid w:val="00A927B1"/>
    <w:rsid w:val="00AB58E8"/>
    <w:rsid w:val="00AB7875"/>
    <w:rsid w:val="00AC2330"/>
    <w:rsid w:val="00AC3953"/>
    <w:rsid w:val="00AC68EE"/>
    <w:rsid w:val="00AD1C06"/>
    <w:rsid w:val="00AE4C73"/>
    <w:rsid w:val="00AE50E6"/>
    <w:rsid w:val="00AF54FB"/>
    <w:rsid w:val="00B01F7E"/>
    <w:rsid w:val="00B150E6"/>
    <w:rsid w:val="00B16CAC"/>
    <w:rsid w:val="00B3087D"/>
    <w:rsid w:val="00B34576"/>
    <w:rsid w:val="00B34794"/>
    <w:rsid w:val="00B3686D"/>
    <w:rsid w:val="00B4311A"/>
    <w:rsid w:val="00B47C67"/>
    <w:rsid w:val="00B579B7"/>
    <w:rsid w:val="00B60421"/>
    <w:rsid w:val="00B66199"/>
    <w:rsid w:val="00B70F00"/>
    <w:rsid w:val="00B87574"/>
    <w:rsid w:val="00B93AB1"/>
    <w:rsid w:val="00BA63D0"/>
    <w:rsid w:val="00BB0243"/>
    <w:rsid w:val="00BB1F35"/>
    <w:rsid w:val="00BB2712"/>
    <w:rsid w:val="00BC5E03"/>
    <w:rsid w:val="00BD4275"/>
    <w:rsid w:val="00BE2DF0"/>
    <w:rsid w:val="00BE5795"/>
    <w:rsid w:val="00C00E70"/>
    <w:rsid w:val="00C03279"/>
    <w:rsid w:val="00C10B5F"/>
    <w:rsid w:val="00C21084"/>
    <w:rsid w:val="00C21E25"/>
    <w:rsid w:val="00C32725"/>
    <w:rsid w:val="00C37752"/>
    <w:rsid w:val="00C41E2F"/>
    <w:rsid w:val="00C46842"/>
    <w:rsid w:val="00C46CA1"/>
    <w:rsid w:val="00C47476"/>
    <w:rsid w:val="00C72446"/>
    <w:rsid w:val="00C73F9F"/>
    <w:rsid w:val="00C74D96"/>
    <w:rsid w:val="00C75274"/>
    <w:rsid w:val="00C777E4"/>
    <w:rsid w:val="00C913A1"/>
    <w:rsid w:val="00CA268D"/>
    <w:rsid w:val="00CB2EC2"/>
    <w:rsid w:val="00CB6C51"/>
    <w:rsid w:val="00CC51E4"/>
    <w:rsid w:val="00CC6A99"/>
    <w:rsid w:val="00D0016F"/>
    <w:rsid w:val="00D00AA3"/>
    <w:rsid w:val="00D07F73"/>
    <w:rsid w:val="00D14844"/>
    <w:rsid w:val="00D15DC0"/>
    <w:rsid w:val="00D160D6"/>
    <w:rsid w:val="00D1731F"/>
    <w:rsid w:val="00D177FF"/>
    <w:rsid w:val="00D203B3"/>
    <w:rsid w:val="00D2041C"/>
    <w:rsid w:val="00D24C7A"/>
    <w:rsid w:val="00D25ADE"/>
    <w:rsid w:val="00D40289"/>
    <w:rsid w:val="00D43297"/>
    <w:rsid w:val="00D44DB6"/>
    <w:rsid w:val="00D45F3D"/>
    <w:rsid w:val="00D46FA4"/>
    <w:rsid w:val="00D50119"/>
    <w:rsid w:val="00D503B4"/>
    <w:rsid w:val="00D56DD3"/>
    <w:rsid w:val="00D71614"/>
    <w:rsid w:val="00D805A9"/>
    <w:rsid w:val="00D82A43"/>
    <w:rsid w:val="00D835FD"/>
    <w:rsid w:val="00D9436C"/>
    <w:rsid w:val="00D95281"/>
    <w:rsid w:val="00D95660"/>
    <w:rsid w:val="00DA7B5D"/>
    <w:rsid w:val="00DB1379"/>
    <w:rsid w:val="00DB20A2"/>
    <w:rsid w:val="00DC00B9"/>
    <w:rsid w:val="00DC17D3"/>
    <w:rsid w:val="00DC1D05"/>
    <w:rsid w:val="00DD1ACF"/>
    <w:rsid w:val="00DE46D2"/>
    <w:rsid w:val="00DE70F3"/>
    <w:rsid w:val="00DF11F3"/>
    <w:rsid w:val="00DF58E7"/>
    <w:rsid w:val="00E01CAA"/>
    <w:rsid w:val="00E11876"/>
    <w:rsid w:val="00E13D09"/>
    <w:rsid w:val="00E21073"/>
    <w:rsid w:val="00E22F74"/>
    <w:rsid w:val="00E234DC"/>
    <w:rsid w:val="00E23CBB"/>
    <w:rsid w:val="00E249A6"/>
    <w:rsid w:val="00E317DB"/>
    <w:rsid w:val="00E32BF8"/>
    <w:rsid w:val="00E35258"/>
    <w:rsid w:val="00E37B59"/>
    <w:rsid w:val="00E46D6E"/>
    <w:rsid w:val="00E47905"/>
    <w:rsid w:val="00E5102B"/>
    <w:rsid w:val="00E520CA"/>
    <w:rsid w:val="00E53438"/>
    <w:rsid w:val="00E5761D"/>
    <w:rsid w:val="00E67F1F"/>
    <w:rsid w:val="00E70F2F"/>
    <w:rsid w:val="00E725FC"/>
    <w:rsid w:val="00E77224"/>
    <w:rsid w:val="00E91FC2"/>
    <w:rsid w:val="00E9567D"/>
    <w:rsid w:val="00EA36C6"/>
    <w:rsid w:val="00EB03B6"/>
    <w:rsid w:val="00EB45C7"/>
    <w:rsid w:val="00EB692E"/>
    <w:rsid w:val="00EC30F9"/>
    <w:rsid w:val="00EC3DFD"/>
    <w:rsid w:val="00EC50B8"/>
    <w:rsid w:val="00EC596D"/>
    <w:rsid w:val="00ED5725"/>
    <w:rsid w:val="00ED7031"/>
    <w:rsid w:val="00EE3060"/>
    <w:rsid w:val="00EE4315"/>
    <w:rsid w:val="00EF0E2C"/>
    <w:rsid w:val="00EF2569"/>
    <w:rsid w:val="00EF4ED3"/>
    <w:rsid w:val="00EF6925"/>
    <w:rsid w:val="00EF7747"/>
    <w:rsid w:val="00F26ED3"/>
    <w:rsid w:val="00F366ED"/>
    <w:rsid w:val="00F52A20"/>
    <w:rsid w:val="00F62B7A"/>
    <w:rsid w:val="00F6330B"/>
    <w:rsid w:val="00F6397D"/>
    <w:rsid w:val="00F7293E"/>
    <w:rsid w:val="00F7522B"/>
    <w:rsid w:val="00F76650"/>
    <w:rsid w:val="00F8789F"/>
    <w:rsid w:val="00F90C48"/>
    <w:rsid w:val="00F9187B"/>
    <w:rsid w:val="00F92385"/>
    <w:rsid w:val="00FA03B3"/>
    <w:rsid w:val="00FA125A"/>
    <w:rsid w:val="00FA1B4F"/>
    <w:rsid w:val="00FA24CB"/>
    <w:rsid w:val="00FA543F"/>
    <w:rsid w:val="00FB1808"/>
    <w:rsid w:val="00FB7EDE"/>
    <w:rsid w:val="00FC1320"/>
    <w:rsid w:val="00FC47F9"/>
    <w:rsid w:val="00FD296D"/>
    <w:rsid w:val="00FD2A84"/>
    <w:rsid w:val="00FE00A1"/>
    <w:rsid w:val="00FE2351"/>
    <w:rsid w:val="00FE5580"/>
    <w:rsid w:val="00FF0E7B"/>
    <w:rsid w:val="00FF11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5AEB"/>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8658CC"/>
    <w:pPr>
      <w:numPr>
        <w:ilvl w:val="1"/>
        <w:numId w:val="15"/>
      </w:numPr>
      <w:tabs>
        <w:tab w:val="clear" w:pos="1080"/>
      </w:tabs>
      <w:ind w:left="1530" w:right="2160" w:hanging="81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8658CC"/>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left="0"/>
    </w:pPr>
  </w:style>
  <w:style w:type="paragraph" w:customStyle="1" w:styleId="CoL">
    <w:name w:val="CoL"/>
    <w:basedOn w:val="Standard"/>
    <w:uiPriority w:val="7"/>
    <w:qFormat/>
    <w:rsid w:val="001E2A62"/>
    <w:pPr>
      <w:numPr>
        <w:numId w:val="4"/>
      </w:numPr>
      <w:ind w:left="0"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rsid w:val="0055722F"/>
    <w:pPr>
      <w:ind w:left="720"/>
      <w:contextualSpacing/>
    </w:pPr>
  </w:style>
  <w:style w:type="paragraph" w:customStyle="1" w:styleId="xmsonormal">
    <w:name w:val="x_msonormal"/>
    <w:basedOn w:val="Normal"/>
    <w:rsid w:val="00797913"/>
    <w:pPr>
      <w:spacing w:line="240" w:lineRule="auto"/>
      <w:ind w:firstLine="0"/>
    </w:pPr>
    <w:rPr>
      <w:rFonts w:ascii="Calibri" w:hAnsi="Calibri" w:cs="Calibri"/>
      <w:sz w:val="22"/>
    </w:rPr>
  </w:style>
  <w:style w:type="paragraph" w:customStyle="1" w:styleId="sub2">
    <w:name w:val="sub2"/>
    <w:basedOn w:val="Normal"/>
    <w:rsid w:val="00797913"/>
    <w:rPr>
      <w:rFonts w:ascii="Palatino" w:eastAsia="Times New Roman" w:hAnsi="Palatino" w:cs="Times New Roman"/>
      <w:szCs w:val="20"/>
    </w:rPr>
  </w:style>
  <w:style w:type="paragraph" w:customStyle="1" w:styleId="sub1">
    <w:name w:val="sub1"/>
    <w:basedOn w:val="Normal"/>
    <w:rsid w:val="00797913"/>
    <w:rPr>
      <w:rFonts w:ascii="Palatino" w:eastAsia="Times New Roman" w:hAnsi="Palatino" w:cs="Times New Roman"/>
      <w:szCs w:val="20"/>
    </w:rPr>
  </w:style>
  <w:style w:type="paragraph" w:styleId="NormalWeb">
    <w:name w:val="Normal (Web)"/>
    <w:basedOn w:val="Normal"/>
    <w:uiPriority w:val="99"/>
    <w:unhideWhenUsed/>
    <w:rsid w:val="0079791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9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91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97913"/>
    <w:rPr>
      <w:sz w:val="16"/>
      <w:szCs w:val="16"/>
    </w:rPr>
  </w:style>
  <w:style w:type="paragraph" w:styleId="CommentText">
    <w:name w:val="annotation text"/>
    <w:basedOn w:val="Normal"/>
    <w:link w:val="CommentTextChar"/>
    <w:uiPriority w:val="99"/>
    <w:unhideWhenUsed/>
    <w:rsid w:val="00797913"/>
    <w:pPr>
      <w:spacing w:line="240" w:lineRule="auto"/>
    </w:pPr>
    <w:rPr>
      <w:sz w:val="20"/>
      <w:szCs w:val="20"/>
    </w:rPr>
  </w:style>
  <w:style w:type="character" w:customStyle="1" w:styleId="CommentTextChar">
    <w:name w:val="Comment Text Char"/>
    <w:basedOn w:val="DefaultParagraphFont"/>
    <w:link w:val="CommentText"/>
    <w:uiPriority w:val="99"/>
    <w:rsid w:val="0079791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97913"/>
    <w:rPr>
      <w:b/>
      <w:bCs/>
    </w:rPr>
  </w:style>
  <w:style w:type="character" w:customStyle="1" w:styleId="CommentSubjectChar">
    <w:name w:val="Comment Subject Char"/>
    <w:basedOn w:val="CommentTextChar"/>
    <w:link w:val="CommentSubject"/>
    <w:uiPriority w:val="99"/>
    <w:semiHidden/>
    <w:rsid w:val="00797913"/>
    <w:rPr>
      <w:rFonts w:ascii="Book Antiqua" w:hAnsi="Book Antiqua"/>
      <w:b/>
      <w:bCs/>
      <w:sz w:val="20"/>
      <w:szCs w:val="20"/>
    </w:rPr>
  </w:style>
  <w:style w:type="paragraph" w:customStyle="1" w:styleId="Default">
    <w:name w:val="Default"/>
    <w:rsid w:val="007979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913"/>
    <w:pPr>
      <w:spacing w:after="0" w:line="240" w:lineRule="auto"/>
    </w:pPr>
    <w:rPr>
      <w:rFonts w:ascii="Book Antiqua" w:hAnsi="Book Antiqua"/>
      <w:sz w:val="26"/>
    </w:rPr>
  </w:style>
  <w:style w:type="numbering" w:customStyle="1" w:styleId="FoFCoLOP1">
    <w:name w:val="FoF/CoL/OP1"/>
    <w:uiPriority w:val="99"/>
    <w:rsid w:val="00797913"/>
  </w:style>
  <w:style w:type="numbering" w:customStyle="1" w:styleId="FoFCoLOP2">
    <w:name w:val="FoF/CoL/OP2"/>
    <w:uiPriority w:val="99"/>
    <w:rsid w:val="00797913"/>
  </w:style>
  <w:style w:type="character" w:customStyle="1" w:styleId="normaltextrun">
    <w:name w:val="normaltextrun"/>
    <w:basedOn w:val="DefaultParagraphFont"/>
    <w:rsid w:val="00797913"/>
  </w:style>
  <w:style w:type="character" w:customStyle="1" w:styleId="eop">
    <w:name w:val="eop"/>
    <w:basedOn w:val="DefaultParagraphFont"/>
    <w:rsid w:val="00797913"/>
  </w:style>
  <w:style w:type="character" w:customStyle="1" w:styleId="contextualspellingandgrammarerror">
    <w:name w:val="contextualspellingandgrammarerror"/>
    <w:basedOn w:val="DefaultParagraphFont"/>
    <w:rsid w:val="00797913"/>
  </w:style>
  <w:style w:type="character" w:customStyle="1" w:styleId="spellingerror">
    <w:name w:val="spellingerror"/>
    <w:basedOn w:val="DefaultParagraphFont"/>
    <w:rsid w:val="00797913"/>
  </w:style>
  <w:style w:type="character" w:customStyle="1" w:styleId="superscript">
    <w:name w:val="superscript"/>
    <w:basedOn w:val="DefaultParagraphFont"/>
    <w:rsid w:val="00797913"/>
  </w:style>
  <w:style w:type="numbering" w:customStyle="1" w:styleId="FoFCoLOP3">
    <w:name w:val="FoF/CoL/OP3"/>
    <w:uiPriority w:val="99"/>
    <w:rsid w:val="00A927B1"/>
  </w:style>
  <w:style w:type="character" w:customStyle="1" w:styleId="sh3084557612">
    <w:name w:val="sh_3084557612"/>
    <w:basedOn w:val="DefaultParagraphFont"/>
    <w:rsid w:val="0007553D"/>
  </w:style>
  <w:style w:type="character" w:customStyle="1" w:styleId="sssh">
    <w:name w:val="ss_sh"/>
    <w:basedOn w:val="DefaultParagraphFont"/>
    <w:rsid w:val="0007553D"/>
  </w:style>
  <w:style w:type="character" w:customStyle="1" w:styleId="ssit">
    <w:name w:val="ss_it"/>
    <w:basedOn w:val="DefaultParagraphFont"/>
    <w:rsid w:val="0007553D"/>
  </w:style>
  <w:style w:type="character" w:customStyle="1" w:styleId="sh1054010128">
    <w:name w:val="sh_1054010128"/>
    <w:basedOn w:val="DefaultParagraphFont"/>
    <w:rsid w:val="007816B7"/>
  </w:style>
  <w:style w:type="character" w:customStyle="1" w:styleId="injectednode">
    <w:name w:val="injectednode"/>
    <w:basedOn w:val="DefaultParagraphFont"/>
    <w:rsid w:val="00907D96"/>
  </w:style>
  <w:style w:type="character" w:styleId="FollowedHyperlink">
    <w:name w:val="FollowedHyperlink"/>
    <w:basedOn w:val="DefaultParagraphFont"/>
    <w:uiPriority w:val="99"/>
    <w:semiHidden/>
    <w:unhideWhenUsed/>
    <w:rsid w:val="00907D96"/>
    <w:rPr>
      <w:color w:val="954F72" w:themeColor="followedHyperlink"/>
      <w:u w:val="single"/>
    </w:rPr>
  </w:style>
  <w:style w:type="character" w:customStyle="1" w:styleId="sh4021643382">
    <w:name w:val="sh_4021643382"/>
    <w:basedOn w:val="DefaultParagraphFont"/>
    <w:rsid w:val="009B61B2"/>
  </w:style>
  <w:style w:type="character" w:styleId="Strong">
    <w:name w:val="Strong"/>
    <w:basedOn w:val="DefaultParagraphFont"/>
    <w:uiPriority w:val="22"/>
    <w:qFormat/>
    <w:rsid w:val="00325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6345">
      <w:bodyDiv w:val="1"/>
      <w:marLeft w:val="0"/>
      <w:marRight w:val="0"/>
      <w:marTop w:val="0"/>
      <w:marBottom w:val="0"/>
      <w:divBdr>
        <w:top w:val="none" w:sz="0" w:space="0" w:color="auto"/>
        <w:left w:val="none" w:sz="0" w:space="0" w:color="auto"/>
        <w:bottom w:val="none" w:sz="0" w:space="0" w:color="auto"/>
        <w:right w:val="none" w:sz="0" w:space="0" w:color="auto"/>
      </w:divBdr>
    </w:div>
    <w:div w:id="393040622">
      <w:bodyDiv w:val="1"/>
      <w:marLeft w:val="0"/>
      <w:marRight w:val="0"/>
      <w:marTop w:val="0"/>
      <w:marBottom w:val="0"/>
      <w:divBdr>
        <w:top w:val="none" w:sz="0" w:space="0" w:color="auto"/>
        <w:left w:val="none" w:sz="0" w:space="0" w:color="auto"/>
        <w:bottom w:val="none" w:sz="0" w:space="0" w:color="auto"/>
        <w:right w:val="none" w:sz="0" w:space="0" w:color="auto"/>
      </w:divBdr>
    </w:div>
    <w:div w:id="450366071">
      <w:bodyDiv w:val="1"/>
      <w:marLeft w:val="0"/>
      <w:marRight w:val="0"/>
      <w:marTop w:val="0"/>
      <w:marBottom w:val="0"/>
      <w:divBdr>
        <w:top w:val="none" w:sz="0" w:space="0" w:color="auto"/>
        <w:left w:val="none" w:sz="0" w:space="0" w:color="auto"/>
        <w:bottom w:val="none" w:sz="0" w:space="0" w:color="auto"/>
        <w:right w:val="none" w:sz="0" w:space="0" w:color="auto"/>
      </w:divBdr>
    </w:div>
    <w:div w:id="508905859">
      <w:bodyDiv w:val="1"/>
      <w:marLeft w:val="0"/>
      <w:marRight w:val="0"/>
      <w:marTop w:val="0"/>
      <w:marBottom w:val="0"/>
      <w:divBdr>
        <w:top w:val="none" w:sz="0" w:space="0" w:color="auto"/>
        <w:left w:val="none" w:sz="0" w:space="0" w:color="auto"/>
        <w:bottom w:val="none" w:sz="0" w:space="0" w:color="auto"/>
        <w:right w:val="none" w:sz="0" w:space="0" w:color="auto"/>
      </w:divBdr>
    </w:div>
    <w:div w:id="580717968">
      <w:bodyDiv w:val="1"/>
      <w:marLeft w:val="0"/>
      <w:marRight w:val="0"/>
      <w:marTop w:val="0"/>
      <w:marBottom w:val="0"/>
      <w:divBdr>
        <w:top w:val="none" w:sz="0" w:space="0" w:color="auto"/>
        <w:left w:val="none" w:sz="0" w:space="0" w:color="auto"/>
        <w:bottom w:val="none" w:sz="0" w:space="0" w:color="auto"/>
        <w:right w:val="none" w:sz="0" w:space="0" w:color="auto"/>
      </w:divBdr>
      <w:divsChild>
        <w:div w:id="2028480182">
          <w:marLeft w:val="720"/>
          <w:marRight w:val="0"/>
          <w:marTop w:val="0"/>
          <w:marBottom w:val="0"/>
          <w:divBdr>
            <w:top w:val="none" w:sz="0" w:space="0" w:color="auto"/>
            <w:left w:val="none" w:sz="0" w:space="0" w:color="auto"/>
            <w:bottom w:val="none" w:sz="0" w:space="0" w:color="auto"/>
            <w:right w:val="none" w:sz="0" w:space="0" w:color="auto"/>
          </w:divBdr>
        </w:div>
      </w:divsChild>
    </w:div>
    <w:div w:id="702635461">
      <w:bodyDiv w:val="1"/>
      <w:marLeft w:val="0"/>
      <w:marRight w:val="0"/>
      <w:marTop w:val="0"/>
      <w:marBottom w:val="0"/>
      <w:divBdr>
        <w:top w:val="none" w:sz="0" w:space="0" w:color="auto"/>
        <w:left w:val="none" w:sz="0" w:space="0" w:color="auto"/>
        <w:bottom w:val="none" w:sz="0" w:space="0" w:color="auto"/>
        <w:right w:val="none" w:sz="0" w:space="0" w:color="auto"/>
      </w:divBdr>
    </w:div>
    <w:div w:id="1249970220">
      <w:bodyDiv w:val="1"/>
      <w:marLeft w:val="0"/>
      <w:marRight w:val="0"/>
      <w:marTop w:val="0"/>
      <w:marBottom w:val="0"/>
      <w:divBdr>
        <w:top w:val="none" w:sz="0" w:space="0" w:color="auto"/>
        <w:left w:val="none" w:sz="0" w:space="0" w:color="auto"/>
        <w:bottom w:val="none" w:sz="0" w:space="0" w:color="auto"/>
        <w:right w:val="none" w:sz="0" w:space="0" w:color="auto"/>
      </w:divBdr>
    </w:div>
    <w:div w:id="1417171555">
      <w:bodyDiv w:val="1"/>
      <w:marLeft w:val="0"/>
      <w:marRight w:val="0"/>
      <w:marTop w:val="0"/>
      <w:marBottom w:val="0"/>
      <w:divBdr>
        <w:top w:val="none" w:sz="0" w:space="0" w:color="auto"/>
        <w:left w:val="none" w:sz="0" w:space="0" w:color="auto"/>
        <w:bottom w:val="none" w:sz="0" w:space="0" w:color="auto"/>
        <w:right w:val="none" w:sz="0" w:space="0" w:color="auto"/>
      </w:divBdr>
    </w:div>
    <w:div w:id="1434746372">
      <w:bodyDiv w:val="1"/>
      <w:marLeft w:val="0"/>
      <w:marRight w:val="0"/>
      <w:marTop w:val="0"/>
      <w:marBottom w:val="0"/>
      <w:divBdr>
        <w:top w:val="none" w:sz="0" w:space="0" w:color="auto"/>
        <w:left w:val="none" w:sz="0" w:space="0" w:color="auto"/>
        <w:bottom w:val="none" w:sz="0" w:space="0" w:color="auto"/>
        <w:right w:val="none" w:sz="0" w:space="0" w:color="auto"/>
      </w:divBdr>
    </w:div>
    <w:div w:id="1768118207">
      <w:bodyDiv w:val="1"/>
      <w:marLeft w:val="0"/>
      <w:marRight w:val="0"/>
      <w:marTop w:val="0"/>
      <w:marBottom w:val="0"/>
      <w:divBdr>
        <w:top w:val="none" w:sz="0" w:space="0" w:color="auto"/>
        <w:left w:val="none" w:sz="0" w:space="0" w:color="auto"/>
        <w:bottom w:val="none" w:sz="0" w:space="0" w:color="auto"/>
        <w:right w:val="none" w:sz="0" w:space="0" w:color="auto"/>
      </w:divBdr>
    </w:div>
    <w:div w:id="1864243604">
      <w:bodyDiv w:val="1"/>
      <w:marLeft w:val="0"/>
      <w:marRight w:val="0"/>
      <w:marTop w:val="0"/>
      <w:marBottom w:val="0"/>
      <w:divBdr>
        <w:top w:val="none" w:sz="0" w:space="0" w:color="auto"/>
        <w:left w:val="none" w:sz="0" w:space="0" w:color="auto"/>
        <w:bottom w:val="none" w:sz="0" w:space="0" w:color="auto"/>
        <w:right w:val="none" w:sz="0" w:space="0" w:color="auto"/>
      </w:divBdr>
    </w:div>
    <w:div w:id="1885363076">
      <w:bodyDiv w:val="1"/>
      <w:marLeft w:val="0"/>
      <w:marRight w:val="0"/>
      <w:marTop w:val="0"/>
      <w:marBottom w:val="0"/>
      <w:divBdr>
        <w:top w:val="none" w:sz="0" w:space="0" w:color="auto"/>
        <w:left w:val="none" w:sz="0" w:space="0" w:color="auto"/>
        <w:bottom w:val="none" w:sz="0" w:space="0" w:color="auto"/>
        <w:right w:val="none" w:sz="0" w:space="0" w:color="auto"/>
      </w:divBdr>
    </w:div>
    <w:div w:id="1918786105">
      <w:bodyDiv w:val="1"/>
      <w:marLeft w:val="0"/>
      <w:marRight w:val="0"/>
      <w:marTop w:val="0"/>
      <w:marBottom w:val="0"/>
      <w:divBdr>
        <w:top w:val="none" w:sz="0" w:space="0" w:color="auto"/>
        <w:left w:val="none" w:sz="0" w:space="0" w:color="auto"/>
        <w:bottom w:val="none" w:sz="0" w:space="0" w:color="auto"/>
        <w:right w:val="none" w:sz="0" w:space="0" w:color="auto"/>
      </w:divBdr>
    </w:div>
    <w:div w:id="1956785223">
      <w:bodyDiv w:val="1"/>
      <w:marLeft w:val="0"/>
      <w:marRight w:val="0"/>
      <w:marTop w:val="0"/>
      <w:marBottom w:val="0"/>
      <w:divBdr>
        <w:top w:val="none" w:sz="0" w:space="0" w:color="auto"/>
        <w:left w:val="none" w:sz="0" w:space="0" w:color="auto"/>
        <w:bottom w:val="none" w:sz="0" w:space="0" w:color="auto"/>
        <w:right w:val="none" w:sz="0" w:space="0" w:color="auto"/>
      </w:divBdr>
    </w:div>
    <w:div w:id="20833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84c501-4907-45a6-a5fc-3e0757d7aab9" xsi:nil="true"/>
    <lcf76f155ced4ddcb4097134ff3c332f xmlns="0498a0be-db2a-4749-93ec-e3fb091cf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9B37D-5B10-4F8E-9E66-286834C5FA75}">
  <ds:schemaRefs>
    <ds:schemaRef ds:uri="http://schemas.openxmlformats.org/officeDocument/2006/bibliography"/>
  </ds:schemaRefs>
</ds:datastoreItem>
</file>

<file path=customXml/itemProps2.xml><?xml version="1.0" encoding="utf-8"?>
<ds:datastoreItem xmlns:ds="http://schemas.openxmlformats.org/officeDocument/2006/customXml" ds:itemID="{73FFCA1E-81E6-4778-A52E-A3ED612B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CF741-E116-4FC7-BDD3-A516DE1683F6}">
  <ds:schemaRefs>
    <ds:schemaRef ds:uri="http://schemas.microsoft.com/sharepoint/v3/contenttype/forms"/>
  </ds:schemaRefs>
</ds:datastoreItem>
</file>

<file path=customXml/itemProps4.xml><?xml version="1.0" encoding="utf-8"?>
<ds:datastoreItem xmlns:ds="http://schemas.openxmlformats.org/officeDocument/2006/customXml" ds:itemID="{B52B9BA3-F084-45FC-B40B-3FEC2B64CAC2}">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2195</ap:Words>
  <ap:Characters>12517</ap:Characters>
  <ap:Application>Microsoft Office Word</ap:Application>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14683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2023-11-02T17:10:00Z</cp:lastPrinted>
  <dcterms:created xsi:type="dcterms:W3CDTF">2025-01-24T13:36:48Z</dcterms:created>
  <dcterms:modified xsi:type="dcterms:W3CDTF">2025-01-24T13:36:48Z</dcterms:modified>
</cp:coreProperties>
</file>