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70DCD" w:rsidR="00D62AB7" w:rsidP="00170DCD" w:rsidRDefault="00BD7BBB" w14:paraId="7D60CC40" w14:textId="44194DD7">
      <w:pPr>
        <w:tabs>
          <w:tab w:val="center" w:pos="4680"/>
          <w:tab w:val="right" w:pos="9360"/>
        </w:tabs>
        <w:spacing w:line="240" w:lineRule="auto"/>
        <w:ind w:firstLine="0"/>
        <w:rPr>
          <w:b/>
          <w:szCs w:val="26"/>
        </w:rPr>
      </w:pPr>
      <w:r w:rsidRPr="00170DCD">
        <w:rPr>
          <w:szCs w:val="26"/>
        </w:rPr>
        <w:t>ALJ/RL8/</w:t>
      </w:r>
      <w:r w:rsidRPr="00170DCD" w:rsidR="00363B89">
        <w:rPr>
          <w:szCs w:val="26"/>
        </w:rPr>
        <w:t>hma</w:t>
      </w:r>
      <w:r w:rsidRPr="00170DCD" w:rsidR="007E0FEE">
        <w:rPr>
          <w:szCs w:val="26"/>
        </w:rPr>
        <w:tab/>
      </w:r>
      <w:r w:rsidRPr="00170DCD" w:rsidR="00170DCD">
        <w:rPr>
          <w:rFonts w:cs="Arial"/>
          <w:b/>
          <w:szCs w:val="26"/>
        </w:rPr>
        <w:tab/>
        <w:t>Date of Issuance: 1/</w:t>
      </w:r>
      <w:r w:rsidR="0074683A">
        <w:rPr>
          <w:rFonts w:cs="Arial"/>
          <w:b/>
          <w:szCs w:val="26"/>
        </w:rPr>
        <w:t>24</w:t>
      </w:r>
      <w:r w:rsidRPr="00170DCD" w:rsidR="00170DCD">
        <w:rPr>
          <w:rFonts w:cs="Arial"/>
          <w:b/>
          <w:szCs w:val="26"/>
        </w:rPr>
        <w:t>/2025</w:t>
      </w:r>
    </w:p>
    <w:p w:rsidRPr="00170DCD" w:rsidR="00170DCD" w:rsidP="00170DCD" w:rsidRDefault="00170DCD" w14:paraId="66DE2811" w14:textId="77777777">
      <w:pPr>
        <w:spacing w:after="240"/>
        <w:ind w:firstLine="0"/>
        <w:rPr>
          <w:szCs w:val="26"/>
        </w:rPr>
      </w:pPr>
    </w:p>
    <w:p w:rsidRPr="00170DCD" w:rsidR="00DA7B5D" w:rsidP="0098655A" w:rsidRDefault="00DA7B5D" w14:paraId="66C9ACC9" w14:textId="4130350B">
      <w:pPr>
        <w:ind w:left="1080" w:hanging="1080"/>
        <w:rPr>
          <w:szCs w:val="26"/>
        </w:rPr>
      </w:pPr>
      <w:r w:rsidRPr="00170DCD">
        <w:rPr>
          <w:szCs w:val="26"/>
        </w:rPr>
        <w:t xml:space="preserve">Decision </w:t>
      </w:r>
      <w:r w:rsidRPr="00170DCD" w:rsidR="00170DCD">
        <w:rPr>
          <w:szCs w:val="26"/>
        </w:rPr>
        <w:t>25-01-003 January 16, 2025</w:t>
      </w:r>
    </w:p>
    <w:p w:rsidR="00DA7B5D" w:rsidP="00BB0243" w:rsidRDefault="00DA7B5D" w14:paraId="61F69826" w14:textId="77777777">
      <w:pPr>
        <w:spacing w:line="240" w:lineRule="auto"/>
        <w:jc w:val="center"/>
        <w:rPr>
          <w:u w:val="single"/>
        </w:rPr>
      </w:pPr>
    </w:p>
    <w:p w:rsidR="00DA7B5D" w:rsidP="00BB0243" w:rsidRDefault="00DA7B5D" w14:paraId="4C37D0AE" w14:textId="77777777">
      <w:pPr>
        <w:spacing w:line="240" w:lineRule="auto"/>
        <w:ind w:firstLine="0"/>
        <w:jc w:val="center"/>
        <w:rPr>
          <w:rFonts w:ascii="Arial" w:hAnsi="Arial" w:cs="Arial"/>
          <w:sz w:val="24"/>
          <w:szCs w:val="24"/>
        </w:rPr>
      </w:pPr>
      <w:r w:rsidRPr="00DA7B5D">
        <w:rPr>
          <w:rFonts w:ascii="Arial" w:hAnsi="Arial" w:cs="Arial"/>
          <w:b/>
          <w:sz w:val="24"/>
          <w:szCs w:val="24"/>
        </w:rPr>
        <w:t>BEFORE THE PUBLIC UTILITIES COMMISSION OF THE STATE OF CALIFORNIA</w:t>
      </w:r>
    </w:p>
    <w:p w:rsidR="00DA7B5D" w:rsidP="008F0116" w:rsidRDefault="00DA7B5D" w14:paraId="144D8C1D" w14:textId="77777777">
      <w:pPr>
        <w:spacing w:line="240" w:lineRule="auto"/>
        <w:ind w:firstLine="0"/>
        <w:rPr>
          <w:rFonts w:ascii="Arial" w:hAnsi="Arial" w:cs="Arial"/>
          <w:sz w:val="24"/>
          <w:szCs w:val="24"/>
        </w:rPr>
      </w:pPr>
    </w:p>
    <w:tbl>
      <w:tblPr>
        <w:tblStyle w:val="TableGrid"/>
        <w:tblW w:w="9360" w:type="dxa"/>
        <w:jc w:val="center"/>
        <w:tblLayout w:type="fixed"/>
        <w:tblLook w:val="04A0" w:firstRow="1" w:lastRow="0" w:firstColumn="1" w:lastColumn="0" w:noHBand="0" w:noVBand="1"/>
      </w:tblPr>
      <w:tblGrid>
        <w:gridCol w:w="4680"/>
        <w:gridCol w:w="4680"/>
      </w:tblGrid>
      <w:tr w:rsidR="00DA7B5D" w:rsidTr="00E725FC" w14:paraId="75567A38" w14:textId="77777777">
        <w:trPr>
          <w:jc w:val="center"/>
        </w:trPr>
        <w:tc>
          <w:tcPr>
            <w:tcW w:w="5040" w:type="dxa"/>
            <w:tcBorders>
              <w:top w:val="nil"/>
              <w:left w:val="nil"/>
              <w:bottom w:val="single" w:color="auto" w:sz="4" w:space="0"/>
              <w:right w:val="single" w:color="auto" w:sz="4" w:space="0"/>
            </w:tcBorders>
          </w:tcPr>
          <w:p w:rsidRPr="00DA7B5D" w:rsidR="00DA7B5D" w:rsidP="00C10B5F" w:rsidRDefault="00BD7BBB" w14:paraId="7E04F366" w14:textId="77777777">
            <w:pPr>
              <w:spacing w:line="240" w:lineRule="auto"/>
              <w:ind w:firstLine="0"/>
              <w:rPr>
                <w:rFonts w:cs="Arial"/>
                <w:szCs w:val="26"/>
              </w:rPr>
            </w:pPr>
            <w:r w:rsidRPr="00BA3C3A">
              <w:rPr>
                <w:rFonts w:cs="Arial"/>
                <w:szCs w:val="26"/>
              </w:rPr>
              <w:t>Application of Liberty Utilities (CalPeco Electric) LLC (U933E) for Authority to Among Other Things, Increase Its Authorized Revenues for Electric Service, Update Its Energy Cost Adjustment Clause Billing Factors, Establish Marginal Costs, Allocate Revenues, And Design Rates, as of January 1, 2022</w:t>
            </w:r>
            <w:r w:rsidRPr="005D630D" w:rsidR="0060258D">
              <w:rPr>
                <w:rFonts w:cs="Arial"/>
                <w:szCs w:val="26"/>
              </w:rPr>
              <w:t>.</w:t>
            </w:r>
            <w:r w:rsidRPr="00DA7B5D" w:rsidR="00DA7B5D">
              <w:rPr>
                <w:rFonts w:cs="Arial"/>
                <w:szCs w:val="26"/>
              </w:rPr>
              <w:br/>
            </w:r>
          </w:p>
        </w:tc>
        <w:tc>
          <w:tcPr>
            <w:tcW w:w="5040" w:type="dxa"/>
            <w:tcBorders>
              <w:top w:val="nil"/>
              <w:left w:val="single" w:color="auto" w:sz="4" w:space="0"/>
              <w:bottom w:val="nil"/>
              <w:right w:val="nil"/>
            </w:tcBorders>
            <w:vAlign w:val="center"/>
          </w:tcPr>
          <w:p w:rsidR="00DA7B5D" w:rsidP="0060258D" w:rsidRDefault="00DA7B5D" w14:paraId="1EFA791B" w14:textId="77777777">
            <w:pPr>
              <w:jc w:val="center"/>
              <w:rPr>
                <w:rFonts w:cs="Arial"/>
                <w:szCs w:val="26"/>
              </w:rPr>
            </w:pPr>
          </w:p>
          <w:p w:rsidRPr="00DA7B5D" w:rsidR="0060258D" w:rsidP="0060258D" w:rsidRDefault="00BD7BBB" w14:paraId="0A04CDC3" w14:textId="77777777">
            <w:pPr>
              <w:jc w:val="center"/>
              <w:rPr>
                <w:rFonts w:cs="Arial"/>
                <w:szCs w:val="26"/>
              </w:rPr>
            </w:pPr>
            <w:r>
              <w:rPr>
                <w:rFonts w:cs="Arial"/>
                <w:szCs w:val="26"/>
              </w:rPr>
              <w:t>Application 21-05-017</w:t>
            </w:r>
          </w:p>
        </w:tc>
      </w:tr>
    </w:tbl>
    <w:p w:rsidR="00DA7B5D" w:rsidP="008F0116" w:rsidRDefault="00DA7B5D" w14:paraId="119BA205" w14:textId="77777777">
      <w:pPr>
        <w:spacing w:line="240" w:lineRule="auto"/>
        <w:ind w:firstLine="0"/>
        <w:rPr>
          <w:rFonts w:ascii="Arial" w:hAnsi="Arial" w:cs="Arial"/>
          <w:sz w:val="24"/>
          <w:szCs w:val="24"/>
        </w:rPr>
      </w:pPr>
    </w:p>
    <w:p w:rsidR="00DA7B5D" w:rsidP="008F0116" w:rsidRDefault="00DA7B5D" w14:paraId="1AA34E0B" w14:textId="77777777">
      <w:pPr>
        <w:spacing w:line="240" w:lineRule="auto"/>
        <w:ind w:firstLine="0"/>
        <w:rPr>
          <w:rFonts w:ascii="Arial" w:hAnsi="Arial" w:cs="Arial"/>
          <w:sz w:val="24"/>
          <w:szCs w:val="24"/>
        </w:rPr>
      </w:pPr>
    </w:p>
    <w:p w:rsidR="008E05B5" w:rsidP="00241376" w:rsidRDefault="008D47A1" w14:paraId="05F5C6A1" w14:textId="77777777">
      <w:pPr>
        <w:pStyle w:val="Dummy"/>
        <w:jc w:val="center"/>
      </w:pPr>
      <w:bookmarkStart w:name="_Toc130552554" w:id="0"/>
      <w:r w:rsidRPr="00E92189">
        <w:t xml:space="preserve">DECISION </w:t>
      </w:r>
      <w:r w:rsidR="00877CCD">
        <w:t xml:space="preserve">DENYING </w:t>
      </w:r>
      <w:r w:rsidRPr="00E92189">
        <w:t>LIBERTY UTILITIES (CALPECO ELECTRIC) LLC</w:t>
      </w:r>
      <w:r w:rsidR="00877CCD">
        <w:t>’S PETITION FOR MODIFICATION</w:t>
      </w:r>
      <w:bookmarkEnd w:id="0"/>
    </w:p>
    <w:p w:rsidR="00241376" w:rsidP="005A148C" w:rsidRDefault="00241376" w14:paraId="40D1BEAB" w14:textId="77777777">
      <w:pPr>
        <w:pStyle w:val="Dummy"/>
      </w:pPr>
      <w:bookmarkStart w:name="_Toc8123714" w:id="1"/>
      <w:bookmarkStart w:name="_Toc130552555" w:id="2"/>
    </w:p>
    <w:p w:rsidR="005A148C" w:rsidP="005A148C" w:rsidRDefault="005A148C" w14:paraId="498C7818" w14:textId="77777777">
      <w:pPr>
        <w:pStyle w:val="Dummy"/>
      </w:pPr>
      <w:r>
        <w:t>Summary</w:t>
      </w:r>
      <w:bookmarkEnd w:id="1"/>
      <w:bookmarkEnd w:id="2"/>
    </w:p>
    <w:p w:rsidR="00906E22" w:rsidP="00906E22" w:rsidRDefault="00906E22" w14:paraId="2CE7FF9F" w14:textId="77777777">
      <w:pPr>
        <w:pStyle w:val="Standard"/>
      </w:pPr>
      <w:r>
        <w:t xml:space="preserve">Today’s decision denies the Petition for Modification of Decision (D.)23-04-043 </w:t>
      </w:r>
      <w:r w:rsidR="00587970">
        <w:t xml:space="preserve">filed Liberty </w:t>
      </w:r>
      <w:r w:rsidRPr="00587970" w:rsidR="00587970">
        <w:t>Utilities (CalPeco Electric) LLC (Liberty)</w:t>
      </w:r>
      <w:r w:rsidR="00587970">
        <w:t xml:space="preserve">. D.23-04-043 </w:t>
      </w:r>
      <w:r>
        <w:t>granted intervenor compensation to Small Business Utility Advocates for its contribution to D.23-04-043</w:t>
      </w:r>
      <w:r w:rsidR="002C1C87">
        <w:t>.</w:t>
      </w:r>
      <w:r w:rsidR="002C1C87">
        <w:rPr>
          <w:rStyle w:val="FootnoteReference"/>
        </w:rPr>
        <w:footnoteReference w:id="2"/>
      </w:r>
      <w:r>
        <w:t xml:space="preserve"> </w:t>
      </w:r>
    </w:p>
    <w:p w:rsidR="00906E22" w:rsidP="00906E22" w:rsidRDefault="00906E22" w14:paraId="5B463480" w14:textId="77777777">
      <w:pPr>
        <w:pStyle w:val="Standard"/>
      </w:pPr>
      <w:r>
        <w:t xml:space="preserve">Liberty’s sole request in this Petition is to </w:t>
      </w:r>
      <w:r w:rsidRPr="002F263B" w:rsidR="002F263B">
        <w:t>request authority to establish a</w:t>
      </w:r>
      <w:r w:rsidR="001648C9">
        <w:t xml:space="preserve">n intervenor compensation </w:t>
      </w:r>
      <w:r w:rsidRPr="002F263B" w:rsidR="002F263B">
        <w:t>memorandum account to track costs associated with intervenor requests for compensation</w:t>
      </w:r>
      <w:r w:rsidR="002F263B">
        <w:t>.</w:t>
      </w:r>
    </w:p>
    <w:p w:rsidR="002F263B" w:rsidP="00906E22" w:rsidRDefault="00587970" w14:paraId="2F59061E" w14:textId="77777777">
      <w:pPr>
        <w:pStyle w:val="Standard"/>
      </w:pPr>
      <w:r>
        <w:lastRenderedPageBreak/>
        <w:t xml:space="preserve">This decision concludes that Liberty </w:t>
      </w:r>
      <w:r w:rsidR="001648C9">
        <w:t xml:space="preserve">has not met the </w:t>
      </w:r>
      <w:r w:rsidR="002B3B48">
        <w:t>conditions for establish</w:t>
      </w:r>
      <w:r w:rsidR="001648C9">
        <w:t xml:space="preserve">ing </w:t>
      </w:r>
      <w:r w:rsidRPr="002B3B48" w:rsidR="002B3B48">
        <w:t>a memorandum account</w:t>
      </w:r>
      <w:r w:rsidR="002B3B48">
        <w:t xml:space="preserve"> </w:t>
      </w:r>
      <w:r w:rsidR="001648C9">
        <w:t xml:space="preserve">as set </w:t>
      </w:r>
      <w:r w:rsidR="002B3B48">
        <w:t xml:space="preserve">forth in </w:t>
      </w:r>
      <w:r w:rsidRPr="002B3B48" w:rsidR="002B3B48">
        <w:t>the Commission’s Standard Practice U-27-W</w:t>
      </w:r>
      <w:r>
        <w:t xml:space="preserve">. Liberty </w:t>
      </w:r>
      <w:r w:rsidR="001648C9">
        <w:t xml:space="preserve">has not </w:t>
      </w:r>
      <w:r w:rsidR="002B3B48">
        <w:t xml:space="preserve">demonstrated why a </w:t>
      </w:r>
      <w:r w:rsidRPr="002B3B48" w:rsidR="002B3B48">
        <w:t>memorandum account is necessary to track intervenor</w:t>
      </w:r>
      <w:r w:rsidR="001648C9">
        <w:t xml:space="preserve"> costs</w:t>
      </w:r>
      <w:r>
        <w:t xml:space="preserve"> when it</w:t>
      </w:r>
      <w:r w:rsidR="001648C9">
        <w:t xml:space="preserve"> can already track these costs </w:t>
      </w:r>
      <w:r w:rsidRPr="002B3B48" w:rsidR="002B3B48">
        <w:t>using its current method</w:t>
      </w:r>
      <w:r>
        <w:t xml:space="preserve"> of doing so</w:t>
      </w:r>
      <w:r w:rsidR="002B3B48">
        <w:t>.</w:t>
      </w:r>
    </w:p>
    <w:p w:rsidR="00906E22" w:rsidP="0073679E" w:rsidRDefault="00906E22" w14:paraId="054C6ACB" w14:textId="77777777">
      <w:pPr>
        <w:pStyle w:val="Heading1"/>
        <w:numPr>
          <w:ilvl w:val="0"/>
          <w:numId w:val="29"/>
        </w:numPr>
        <w:ind w:hanging="720"/>
      </w:pPr>
      <w:bookmarkStart w:name="_Toc8123715" w:id="3"/>
      <w:bookmarkStart w:name="_Toc101358968" w:id="4"/>
      <w:bookmarkStart w:name="_Toc102042976" w:id="5"/>
      <w:bookmarkStart w:name="_Toc128057443" w:id="6"/>
      <w:bookmarkStart w:name="_Toc130552556" w:id="7"/>
      <w:r w:rsidRPr="00517F77">
        <w:t>Procedural</w:t>
      </w:r>
      <w:r>
        <w:t xml:space="preserve"> </w:t>
      </w:r>
      <w:r w:rsidRPr="00121089">
        <w:t>Background</w:t>
      </w:r>
      <w:bookmarkEnd w:id="3"/>
      <w:bookmarkEnd w:id="4"/>
      <w:bookmarkEnd w:id="5"/>
      <w:bookmarkEnd w:id="6"/>
      <w:bookmarkEnd w:id="7"/>
    </w:p>
    <w:p w:rsidR="00906E22" w:rsidP="00906E22" w:rsidRDefault="00906E22" w14:paraId="5FA9A292" w14:textId="77777777">
      <w:pPr>
        <w:pStyle w:val="Standard"/>
      </w:pPr>
      <w:r>
        <w:t>On June 19, 2023, Small Business Utility Advocates (SBUA) filed a request for intervenor compensation for its contribution to Decision (D.)23-04-043.</w:t>
      </w:r>
      <w:r>
        <w:rPr>
          <w:rStyle w:val="FootnoteReference"/>
        </w:rPr>
        <w:footnoteReference w:id="3"/>
      </w:r>
    </w:p>
    <w:p w:rsidR="00906E22" w:rsidP="00906E22" w:rsidRDefault="00906E22" w14:paraId="09CE970E" w14:textId="77777777">
      <w:pPr>
        <w:pStyle w:val="Standard"/>
      </w:pPr>
      <w:r>
        <w:t xml:space="preserve">On February 24, 2024, the Commission issued D.24-02-031 granting compensation to SBUA for substantial contribution to D.23-04-043. </w:t>
      </w:r>
    </w:p>
    <w:p w:rsidR="00906E22" w:rsidP="00906E22" w:rsidRDefault="00906E22" w14:paraId="5585A9A9" w14:textId="77777777">
      <w:pPr>
        <w:pStyle w:val="Standard"/>
      </w:pPr>
      <w:r>
        <w:t>On October 25, 2024, Liberty Utilities (CalPeco Electric) LLC (Liberty) filed a Petition for Modification of D.24-02-031</w:t>
      </w:r>
      <w:r w:rsidR="00E30C72">
        <w:t xml:space="preserve"> (Petition)</w:t>
      </w:r>
      <w:r>
        <w:t>.</w:t>
      </w:r>
    </w:p>
    <w:p w:rsidR="00BD7BBB" w:rsidP="0073679E" w:rsidRDefault="0073679E" w14:paraId="03CA8D5E" w14:textId="77777777">
      <w:pPr>
        <w:pStyle w:val="Heading1"/>
        <w:numPr>
          <w:ilvl w:val="0"/>
          <w:numId w:val="29"/>
        </w:numPr>
        <w:ind w:hanging="720"/>
      </w:pPr>
      <w:bookmarkStart w:name="_Toc101358969" w:id="8"/>
      <w:bookmarkStart w:name="_Toc102042977" w:id="9"/>
      <w:bookmarkStart w:name="_Toc128057444" w:id="10"/>
      <w:bookmarkStart w:name="_Toc130552557" w:id="11"/>
      <w:r>
        <w:t xml:space="preserve">Liberty’s </w:t>
      </w:r>
      <w:r w:rsidRPr="00517F77" w:rsidR="00BD7BBB">
        <w:t>Request</w:t>
      </w:r>
      <w:bookmarkEnd w:id="8"/>
      <w:bookmarkEnd w:id="9"/>
      <w:bookmarkEnd w:id="10"/>
      <w:bookmarkEnd w:id="11"/>
      <w:r w:rsidR="00BD7BBB">
        <w:t xml:space="preserve"> </w:t>
      </w:r>
    </w:p>
    <w:p w:rsidRPr="00726F43" w:rsidR="0073679E" w:rsidP="009F7971" w:rsidRDefault="0073679E" w14:paraId="0C9E01E1" w14:textId="77777777">
      <w:pPr>
        <w:pStyle w:val="Standard"/>
      </w:pPr>
      <w:r>
        <w:t>Liberty’s sole reason for filing this Petition is to request authority to establish a memorandum account to track costs associated with intervenor requests for compensation pursuant to Article 17 of the Rules of Practice and Procedure</w:t>
      </w:r>
      <w:r w:rsidR="00E30C72">
        <w:t xml:space="preserve"> (Rules)</w:t>
      </w:r>
      <w:r>
        <w:t xml:space="preserve">.  </w:t>
      </w:r>
    </w:p>
    <w:p w:rsidR="00BD7BBB" w:rsidP="0073679E" w:rsidRDefault="00BD7BBB" w14:paraId="24BAC718" w14:textId="77777777">
      <w:pPr>
        <w:pStyle w:val="Heading1"/>
        <w:numPr>
          <w:ilvl w:val="0"/>
          <w:numId w:val="29"/>
        </w:numPr>
        <w:ind w:hanging="720"/>
      </w:pPr>
      <w:bookmarkStart w:name="_Toc101358975" w:id="12"/>
      <w:bookmarkStart w:name="_Toc102042983" w:id="13"/>
      <w:bookmarkStart w:name="_Toc128057454" w:id="14"/>
      <w:bookmarkStart w:name="_Toc130552567" w:id="15"/>
      <w:r w:rsidRPr="002052A3">
        <w:t>Discussion</w:t>
      </w:r>
      <w:bookmarkEnd w:id="12"/>
      <w:bookmarkEnd w:id="13"/>
      <w:bookmarkEnd w:id="14"/>
      <w:bookmarkEnd w:id="15"/>
      <w:r w:rsidR="0048717D">
        <w:t xml:space="preserve"> of Liberty’s Request</w:t>
      </w:r>
    </w:p>
    <w:p w:rsidR="00BD7BBB" w:rsidP="00E30C72" w:rsidRDefault="00E30C72" w14:paraId="2C749998" w14:textId="77777777">
      <w:pPr>
        <w:pStyle w:val="Standard"/>
      </w:pPr>
      <w:r>
        <w:t>The Petition was filed within 1 year from the effective date of the decision that is being sought to be modified and pursuant to Section 16.4(c) of the Rules, the Petition was timely filed.</w:t>
      </w:r>
    </w:p>
    <w:p w:rsidR="00A75B95" w:rsidP="00E30C72" w:rsidRDefault="00B6002E" w14:paraId="103526B3" w14:textId="77777777">
      <w:pPr>
        <w:pStyle w:val="Standard"/>
      </w:pPr>
      <w:r w:rsidRPr="00B6002E">
        <w:t xml:space="preserve">Liberty contends that a memorandum account is commonly used by utilities to track expenses and costs and that establishment of the proposed </w:t>
      </w:r>
      <w:r w:rsidRPr="00B6002E">
        <w:lastRenderedPageBreak/>
        <w:t>intervenor compensation memorandum account (ICMA) will allow it to track costs associated with intervenor requests for compensation. Liberty adds that the ICMA will allow it to track payments made and received and preserve its right to seek recovery of costs paid to intervenors.</w:t>
      </w:r>
    </w:p>
    <w:p w:rsidR="001E1128" w:rsidP="001E1128" w:rsidRDefault="001E1128" w14:paraId="621A69A2" w14:textId="77777777">
      <w:pPr>
        <w:pStyle w:val="Standard"/>
        <w:tabs>
          <w:tab w:val="left" w:pos="9360"/>
        </w:tabs>
      </w:pPr>
      <w:r>
        <w:t>To authorize the establishment of a memorandum account, the Commission must typically find the following conditions to exist, as set forth in the Commission’s Standard Practice U-27-W:</w:t>
      </w:r>
      <w:r>
        <w:rPr>
          <w:rStyle w:val="FootnoteReference"/>
        </w:rPr>
        <w:footnoteReference w:id="4"/>
      </w:r>
      <w:r>
        <w:t xml:space="preserve"> </w:t>
      </w:r>
    </w:p>
    <w:p w:rsidR="001E1128" w:rsidP="001E1128" w:rsidRDefault="001E1128" w14:paraId="2A534611" w14:textId="77777777">
      <w:pPr>
        <w:pStyle w:val="Standard"/>
        <w:spacing w:after="120" w:line="240" w:lineRule="auto"/>
        <w:ind w:left="1080" w:right="1440" w:hanging="360"/>
      </w:pPr>
      <w:r>
        <w:t>•</w:t>
      </w:r>
      <w:r w:rsidRPr="00CB605B">
        <w:t xml:space="preserve"> </w:t>
      </w:r>
      <w:r>
        <w:t xml:space="preserve">  </w:t>
      </w:r>
      <w:r w:rsidRPr="00CB605B">
        <w:t>the costs at issue were caused by an event of an exceptional nature outside of the utility’s control;</w:t>
      </w:r>
      <w:r>
        <w:t xml:space="preserve"> </w:t>
      </w:r>
    </w:p>
    <w:p w:rsidR="001E1128" w:rsidP="001E1128" w:rsidRDefault="001E1128" w14:paraId="57B3C853" w14:textId="77777777">
      <w:pPr>
        <w:pStyle w:val="Standard"/>
        <w:spacing w:after="120" w:line="240" w:lineRule="auto"/>
        <w:ind w:left="1080" w:right="1440" w:hanging="360"/>
      </w:pPr>
      <w:r>
        <w:t>•</w:t>
      </w:r>
      <w:r w:rsidRPr="00CB605B">
        <w:t xml:space="preserve"> </w:t>
      </w:r>
      <w:r>
        <w:t xml:space="preserve">  </w:t>
      </w:r>
      <w:r w:rsidRPr="00CB605B">
        <w:t xml:space="preserve">the expenses could not have been included in utility’s </w:t>
      </w:r>
      <w:r>
        <w:t xml:space="preserve">GRC </w:t>
      </w:r>
      <w:r w:rsidRPr="00CB605B">
        <w:t>forecast;</w:t>
      </w:r>
      <w:r>
        <w:t xml:space="preserve"> </w:t>
      </w:r>
    </w:p>
    <w:p w:rsidR="001E1128" w:rsidP="002B3B48" w:rsidRDefault="001E1128" w14:paraId="2719034D" w14:textId="77777777">
      <w:pPr>
        <w:pStyle w:val="Standard"/>
        <w:spacing w:after="120" w:line="240" w:lineRule="auto"/>
        <w:ind w:left="1080" w:right="1440" w:hanging="360"/>
      </w:pPr>
      <w:r>
        <w:t>•</w:t>
      </w:r>
      <w:r w:rsidRPr="00CB605B">
        <w:t xml:space="preserve"> </w:t>
      </w:r>
      <w:r>
        <w:t xml:space="preserve"> </w:t>
      </w:r>
      <w:r w:rsidR="002B3B48">
        <w:t xml:space="preserve"> </w:t>
      </w:r>
      <w:r w:rsidRPr="00CB605B">
        <w:t xml:space="preserve">the utility is already incurring, or is about to incur, the </w:t>
      </w:r>
      <w:r w:rsidR="002B3B48">
        <w:t xml:space="preserve"> </w:t>
      </w:r>
      <w:r w:rsidRPr="00CB605B">
        <w:t>costs and such costs will occur before the utility’s next GRC;</w:t>
      </w:r>
      <w:r>
        <w:t xml:space="preserve"> </w:t>
      </w:r>
    </w:p>
    <w:p w:rsidR="001E1128" w:rsidP="001E1128" w:rsidRDefault="001E1128" w14:paraId="05A07113" w14:textId="77777777">
      <w:pPr>
        <w:pStyle w:val="Standard"/>
        <w:spacing w:after="120" w:line="240" w:lineRule="auto"/>
        <w:ind w:left="1080" w:right="1440" w:hanging="360"/>
      </w:pPr>
      <w:r>
        <w:t>•</w:t>
      </w:r>
      <w:r w:rsidRPr="00CB605B">
        <w:t xml:space="preserve"> </w:t>
      </w:r>
      <w:r>
        <w:t xml:space="preserve"> </w:t>
      </w:r>
      <w:r w:rsidR="002B3B48">
        <w:t xml:space="preserve"> </w:t>
      </w:r>
      <w:r w:rsidRPr="00CB605B">
        <w:t>the costs are substantial and not speculative;</w:t>
      </w:r>
      <w:r>
        <w:t xml:space="preserve"> </w:t>
      </w:r>
    </w:p>
    <w:p w:rsidR="001E1128" w:rsidP="002B3B48" w:rsidRDefault="001E1128" w14:paraId="771EA00B" w14:textId="77777777">
      <w:pPr>
        <w:pStyle w:val="Standard"/>
        <w:spacing w:after="120" w:line="240" w:lineRule="auto"/>
        <w:ind w:left="1080" w:right="1440" w:hanging="360"/>
      </w:pPr>
      <w:r>
        <w:t>•</w:t>
      </w:r>
      <w:r w:rsidRPr="00CB605B">
        <w:t xml:space="preserve"> </w:t>
      </w:r>
      <w:r>
        <w:t xml:space="preserve"> </w:t>
      </w:r>
      <w:r w:rsidR="002B3B48">
        <w:t xml:space="preserve"> </w:t>
      </w:r>
      <w:r w:rsidRPr="00CB605B">
        <w:t>the costs are incremental and not already recovered in rates; and,</w:t>
      </w:r>
    </w:p>
    <w:p w:rsidR="001E1128" w:rsidP="001E1128" w:rsidRDefault="001E1128" w14:paraId="6CEEC466" w14:textId="77777777">
      <w:pPr>
        <w:pStyle w:val="Standard"/>
        <w:spacing w:after="120" w:line="240" w:lineRule="auto"/>
        <w:ind w:left="1080" w:right="1440" w:hanging="360"/>
      </w:pPr>
      <w:r>
        <w:t>•</w:t>
      </w:r>
      <w:r w:rsidRPr="00CB605B">
        <w:t xml:space="preserve"> </w:t>
      </w:r>
      <w:r>
        <w:t xml:space="preserve"> </w:t>
      </w:r>
      <w:r w:rsidR="002B3B48">
        <w:t xml:space="preserve"> </w:t>
      </w:r>
      <w:r w:rsidRPr="00CB605B">
        <w:t>ratepayers will benefit by the memorial account treatment.</w:t>
      </w:r>
      <w:r>
        <w:t xml:space="preserve"> </w:t>
      </w:r>
    </w:p>
    <w:p w:rsidR="002B3B48" w:rsidP="00E30C72" w:rsidRDefault="001E1128" w14:paraId="1EF16761" w14:textId="77777777">
      <w:pPr>
        <w:pStyle w:val="Standard"/>
      </w:pPr>
      <w:r>
        <w:t xml:space="preserve">In this case, we find that the requirements for establishing a memorandum account have not been met. Liberty has not demonstrated that intervenor compensation awards are events of an exceptional nature </w:t>
      </w:r>
      <w:r w:rsidR="009B0AFB">
        <w:t xml:space="preserve">and </w:t>
      </w:r>
      <w:r>
        <w:t xml:space="preserve">has not </w:t>
      </w:r>
      <w:r w:rsidR="00F813C7">
        <w:t xml:space="preserve">shown </w:t>
      </w:r>
      <w:r>
        <w:t xml:space="preserve">that the expenses are </w:t>
      </w:r>
      <w:r w:rsidR="009B0AFB">
        <w:t>not already</w:t>
      </w:r>
      <w:r>
        <w:t xml:space="preserve"> included </w:t>
      </w:r>
      <w:r w:rsidR="009B0AFB">
        <w:t xml:space="preserve">as part of </w:t>
      </w:r>
      <w:r>
        <w:t xml:space="preserve">its </w:t>
      </w:r>
      <w:r w:rsidR="009B0AFB">
        <w:t xml:space="preserve">general rate case (GRC) </w:t>
      </w:r>
      <w:r>
        <w:t>forecast</w:t>
      </w:r>
      <w:r w:rsidR="009B0AFB">
        <w:t>s.</w:t>
      </w:r>
      <w:r w:rsidR="009B0AFB">
        <w:rPr>
          <w:rStyle w:val="FootnoteReference"/>
        </w:rPr>
        <w:footnoteReference w:id="5"/>
      </w:r>
      <w:r w:rsidR="009B0AFB">
        <w:t xml:space="preserve"> </w:t>
      </w:r>
    </w:p>
    <w:p w:rsidR="00F813C7" w:rsidP="00E30C72" w:rsidRDefault="00F813C7" w14:paraId="2E17C47D" w14:textId="77777777">
      <w:pPr>
        <w:pStyle w:val="Standard"/>
      </w:pPr>
      <w:r>
        <w:lastRenderedPageBreak/>
        <w:t xml:space="preserve">In addition, </w:t>
      </w:r>
      <w:r w:rsidR="000C098A">
        <w:t xml:space="preserve">Liberty has not shown that </w:t>
      </w:r>
      <w:r w:rsidR="009B0AFB">
        <w:t xml:space="preserve">its </w:t>
      </w:r>
      <w:r>
        <w:t xml:space="preserve">intervenor </w:t>
      </w:r>
      <w:r w:rsidR="001E1128">
        <w:t>costs are substantial in nature</w:t>
      </w:r>
      <w:r w:rsidR="000C098A">
        <w:t xml:space="preserve">. </w:t>
      </w:r>
      <w:r w:rsidRPr="000C098A" w:rsidR="000C098A">
        <w:t xml:space="preserve">While the Commission has not adopted a strict threshold of what is substantial, and we do not do so here, </w:t>
      </w:r>
      <w:r>
        <w:t>Liberty’s size</w:t>
      </w:r>
      <w:r w:rsidR="009B0AFB">
        <w:t>,</w:t>
      </w:r>
      <w:r>
        <w:t xml:space="preserve"> authorized revenue requirements</w:t>
      </w:r>
      <w:r w:rsidR="009B0AFB">
        <w:t>,</w:t>
      </w:r>
      <w:r>
        <w:t xml:space="preserve"> </w:t>
      </w:r>
      <w:r w:rsidRPr="000C098A" w:rsidR="000C098A">
        <w:t xml:space="preserve">and forecast operating costs </w:t>
      </w:r>
      <w:r>
        <w:t>are informative reference points</w:t>
      </w:r>
      <w:r w:rsidR="001E1128">
        <w:t>.</w:t>
      </w:r>
      <w:r>
        <w:t xml:space="preserve"> </w:t>
      </w:r>
    </w:p>
    <w:p w:rsidR="00F813C7" w:rsidP="00E30C72" w:rsidRDefault="00F813C7" w14:paraId="60D9B77D" w14:textId="77777777">
      <w:pPr>
        <w:pStyle w:val="Standard"/>
      </w:pPr>
      <w:r>
        <w:t xml:space="preserve">It is also unclear how ratepayers will benefit from the establishment of the requested memorandum account. </w:t>
      </w:r>
      <w:r w:rsidRPr="00F813C7">
        <w:t xml:space="preserve">Under Section 1807 of the Public Utilities Code, an intervenor granted compensation by a Commission decision shall be paid the awarded amount by the utility that is the subject of the proceeding in which the intervenor participated in. Said utility </w:t>
      </w:r>
      <w:r>
        <w:t xml:space="preserve">is then authorized to </w:t>
      </w:r>
      <w:r w:rsidRPr="00F813C7">
        <w:t>recover the amount paid to the intervenor by adjusting its rates in order to pay for the amount awarded</w:t>
      </w:r>
      <w:r>
        <w:t xml:space="preserve">. </w:t>
      </w:r>
    </w:p>
    <w:p w:rsidR="00B6002E" w:rsidP="00E30C72" w:rsidRDefault="00F813C7" w14:paraId="1B612C93" w14:textId="77777777">
      <w:pPr>
        <w:pStyle w:val="Standard"/>
      </w:pPr>
      <w:r>
        <w:t xml:space="preserve">Lastly, </w:t>
      </w:r>
      <w:r w:rsidR="000C098A">
        <w:t xml:space="preserve">Liberty has not shown why </w:t>
      </w:r>
      <w:r w:rsidR="001648C9">
        <w:t xml:space="preserve">a </w:t>
      </w:r>
      <w:r w:rsidR="000C098A">
        <w:t>memorandum account is ne</w:t>
      </w:r>
      <w:r>
        <w:t xml:space="preserve">cessary </w:t>
      </w:r>
      <w:r w:rsidR="000C098A">
        <w:t xml:space="preserve">to track intervenor costs when it can track these costs internally </w:t>
      </w:r>
      <w:r>
        <w:t xml:space="preserve">or </w:t>
      </w:r>
      <w:r w:rsidR="001648C9">
        <w:t>using its current method of tracking such costs</w:t>
      </w:r>
      <w:r>
        <w:t xml:space="preserve">. </w:t>
      </w:r>
      <w:r w:rsidR="000C098A">
        <w:t xml:space="preserve"> </w:t>
      </w:r>
      <w:r w:rsidR="001E1128">
        <w:t xml:space="preserve"> </w:t>
      </w:r>
    </w:p>
    <w:p w:rsidR="001E1128" w:rsidP="00E30C72" w:rsidRDefault="00F813C7" w14:paraId="79F7C809" w14:textId="77777777">
      <w:pPr>
        <w:pStyle w:val="Standard"/>
      </w:pPr>
      <w:r>
        <w:t xml:space="preserve">Based on the above, we deny Liberty’s request for authority to establish the ICMA and direct </w:t>
      </w:r>
      <w:bookmarkStart w:name="_Hlk182520191" w:id="16"/>
      <w:r>
        <w:t xml:space="preserve">Liberty to continue tracking intervenor costs using </w:t>
      </w:r>
      <w:r w:rsidR="002B3B48">
        <w:t xml:space="preserve">its current method </w:t>
      </w:r>
      <w:bookmarkEnd w:id="16"/>
      <w:r w:rsidR="00E9321B">
        <w:t>in order to preserve its ability to potentially recover such costs</w:t>
      </w:r>
      <w:r w:rsidR="002B3B48">
        <w:t xml:space="preserve">. The Petition is therefore denied. </w:t>
      </w:r>
    </w:p>
    <w:p w:rsidRPr="00676DE7" w:rsidR="00BD7BBB" w:rsidP="0048717D" w:rsidRDefault="00BD7BBB" w14:paraId="31C1E9CC" w14:textId="77777777">
      <w:pPr>
        <w:pStyle w:val="Heading1"/>
        <w:numPr>
          <w:ilvl w:val="0"/>
          <w:numId w:val="29"/>
        </w:numPr>
        <w:ind w:hanging="720"/>
      </w:pPr>
      <w:bookmarkStart w:name="_Toc8123723" w:id="17"/>
      <w:bookmarkStart w:name="_Toc101358994" w:id="18"/>
      <w:bookmarkStart w:name="_Toc128057470" w:id="19"/>
      <w:bookmarkStart w:name="_Toc130552583" w:id="20"/>
      <w:r w:rsidRPr="00676DE7">
        <w:t>Comments on Proposed Decision</w:t>
      </w:r>
      <w:bookmarkEnd w:id="17"/>
      <w:bookmarkEnd w:id="18"/>
      <w:bookmarkEnd w:id="19"/>
      <w:bookmarkEnd w:id="20"/>
    </w:p>
    <w:p w:rsidR="00AD34C4" w:rsidP="00BD7BBB" w:rsidRDefault="00BD7BBB" w14:paraId="7732F991" w14:textId="77777777">
      <w:pPr>
        <w:pStyle w:val="Standard"/>
      </w:pPr>
      <w:r w:rsidRPr="00541FCE">
        <w:t xml:space="preserve">The proposed decision of the </w:t>
      </w:r>
      <w:r>
        <w:t xml:space="preserve">assigned </w:t>
      </w:r>
      <w:r w:rsidR="00AD34C4">
        <w:t>Administrative Law Judge</w:t>
      </w:r>
      <w:r w:rsidRPr="00541FCE">
        <w:t xml:space="preserve"> in this matter was mailed to the parties in accordance with Section 311 of the Public Utilities Code and comments were allowed under Rule 14.3 of the Commission’s Rules of Practice and Procedure. </w:t>
      </w:r>
    </w:p>
    <w:p w:rsidR="00BD7BBB" w:rsidP="00BD7BBB" w:rsidRDefault="00205501" w14:paraId="799D344C" w14:textId="77777777">
      <w:pPr>
        <w:pStyle w:val="Standard"/>
      </w:pPr>
      <w:r>
        <w:t>No c</w:t>
      </w:r>
      <w:r w:rsidRPr="00541FCE" w:rsidR="00BD7BBB">
        <w:t>omments were filed</w:t>
      </w:r>
      <w:r>
        <w:t>.</w:t>
      </w:r>
    </w:p>
    <w:p w:rsidRPr="00676DE7" w:rsidR="00BD7BBB" w:rsidP="0048717D" w:rsidRDefault="00BD7BBB" w14:paraId="1EEC34EF" w14:textId="77777777">
      <w:pPr>
        <w:pStyle w:val="Heading1"/>
        <w:numPr>
          <w:ilvl w:val="0"/>
          <w:numId w:val="29"/>
        </w:numPr>
        <w:ind w:hanging="720"/>
      </w:pPr>
      <w:bookmarkStart w:name="_Toc8123724" w:id="21"/>
      <w:bookmarkStart w:name="_Toc101358995" w:id="22"/>
      <w:bookmarkStart w:name="_Toc128057471" w:id="23"/>
      <w:bookmarkStart w:name="_Toc130552584" w:id="24"/>
      <w:r w:rsidRPr="00676DE7">
        <w:lastRenderedPageBreak/>
        <w:t>Assignment of Proceeding</w:t>
      </w:r>
      <w:bookmarkEnd w:id="21"/>
      <w:bookmarkEnd w:id="22"/>
      <w:bookmarkEnd w:id="23"/>
      <w:bookmarkEnd w:id="24"/>
    </w:p>
    <w:p w:rsidRPr="00676DE7" w:rsidR="00BD7BBB" w:rsidP="00BD7BBB" w:rsidRDefault="00BD7BBB" w14:paraId="66B768E6" w14:textId="77777777">
      <w:r>
        <w:t xml:space="preserve">Commissioner John Reynolds </w:t>
      </w:r>
      <w:r w:rsidRPr="00676DE7">
        <w:t xml:space="preserve">is the assigned Commissioner and </w:t>
      </w:r>
      <w:r>
        <w:br/>
      </w:r>
      <w:r w:rsidRPr="00676DE7">
        <w:t>Rafael Lirag is the assigned Administrative Law Judge in this proceeding.</w:t>
      </w:r>
    </w:p>
    <w:p w:rsidRPr="00676DE7" w:rsidR="00BD7BBB" w:rsidP="00BD7BBB" w:rsidRDefault="00BD7BBB" w14:paraId="2540229D" w14:textId="77777777">
      <w:pPr>
        <w:pStyle w:val="Dummy"/>
        <w:rPr>
          <w:bCs/>
        </w:rPr>
      </w:pPr>
      <w:bookmarkStart w:name="_Toc102042999" w:id="25"/>
      <w:bookmarkStart w:name="_Toc128057472" w:id="26"/>
      <w:bookmarkStart w:name="_Toc130552585" w:id="27"/>
      <w:r w:rsidRPr="00B271B6">
        <w:t>Findings</w:t>
      </w:r>
      <w:r w:rsidRPr="00676DE7">
        <w:rPr>
          <w:bCs/>
        </w:rPr>
        <w:t xml:space="preserve"> of Fact</w:t>
      </w:r>
      <w:bookmarkEnd w:id="25"/>
      <w:bookmarkEnd w:id="26"/>
      <w:bookmarkEnd w:id="27"/>
    </w:p>
    <w:p w:rsidR="002C1C87" w:rsidP="002C1C87" w:rsidRDefault="00BD7BBB" w14:paraId="287C9975" w14:textId="77777777">
      <w:pPr>
        <w:pStyle w:val="FoF"/>
      </w:pPr>
      <w:r w:rsidRPr="005B0740">
        <w:t xml:space="preserve"> </w:t>
      </w:r>
      <w:r w:rsidR="002C1C87">
        <w:t>Liberty has not demonstrated that intervenor compensation awards are events of an exceptional nature</w:t>
      </w:r>
      <w:r w:rsidR="009B0AFB">
        <w:t xml:space="preserve"> and that </w:t>
      </w:r>
      <w:r w:rsidR="002C1C87">
        <w:t xml:space="preserve">the expenses are not </w:t>
      </w:r>
      <w:r w:rsidR="009B0AFB">
        <w:t xml:space="preserve">already </w:t>
      </w:r>
      <w:r w:rsidR="002C1C87">
        <w:t xml:space="preserve">included </w:t>
      </w:r>
      <w:r w:rsidR="009B0AFB">
        <w:t xml:space="preserve">as part of </w:t>
      </w:r>
      <w:r w:rsidR="002C1C87">
        <w:t>its GRC forecast</w:t>
      </w:r>
      <w:r w:rsidR="009B0AFB">
        <w:t>s</w:t>
      </w:r>
      <w:r w:rsidR="002C1C87">
        <w:t xml:space="preserve">. </w:t>
      </w:r>
    </w:p>
    <w:p w:rsidR="002C1C87" w:rsidP="002C1C87" w:rsidRDefault="002C1C87" w14:paraId="4F17EEBA" w14:textId="77777777">
      <w:pPr>
        <w:pStyle w:val="FoF"/>
      </w:pPr>
      <w:r>
        <w:t xml:space="preserve">Liberty has not shown that </w:t>
      </w:r>
      <w:r w:rsidR="009B0AFB">
        <w:t xml:space="preserve">its </w:t>
      </w:r>
      <w:r>
        <w:t xml:space="preserve">intervenor costs are substantial in nature. </w:t>
      </w:r>
    </w:p>
    <w:p w:rsidR="002C1C87" w:rsidP="002C1C87" w:rsidRDefault="002C1C87" w14:paraId="642E2B83" w14:textId="77777777">
      <w:pPr>
        <w:pStyle w:val="FoF"/>
      </w:pPr>
      <w:r>
        <w:t xml:space="preserve">It is also unclear how ratepayers will benefit from the establishment of the requested memorandum account. </w:t>
      </w:r>
    </w:p>
    <w:p w:rsidR="0066715A" w:rsidP="0066715A" w:rsidRDefault="002C1C87" w14:paraId="5A48278A" w14:textId="77777777">
      <w:pPr>
        <w:pStyle w:val="FoF"/>
      </w:pPr>
      <w:r>
        <w:t xml:space="preserve">Liberty can track </w:t>
      </w:r>
      <w:r w:rsidR="001648C9">
        <w:t xml:space="preserve">intervenor compensation costs </w:t>
      </w:r>
      <w:r>
        <w:t xml:space="preserve">internally or </w:t>
      </w:r>
      <w:r w:rsidR="001648C9">
        <w:t>using its current method of tracking such costs</w:t>
      </w:r>
      <w:r>
        <w:t xml:space="preserve">.   </w:t>
      </w:r>
      <w:r w:rsidR="008E3E5A">
        <w:t xml:space="preserve"> </w:t>
      </w:r>
    </w:p>
    <w:p w:rsidR="00BD7BBB" w:rsidP="00BD7BBB" w:rsidRDefault="00BD7BBB" w14:paraId="1D21C901" w14:textId="77777777">
      <w:pPr>
        <w:pStyle w:val="Dummy"/>
      </w:pPr>
      <w:bookmarkStart w:name="_Toc102043000" w:id="28"/>
      <w:bookmarkStart w:name="_Toc128057473" w:id="29"/>
      <w:bookmarkStart w:name="_Toc130552586" w:id="30"/>
      <w:r w:rsidRPr="00CD776F">
        <w:t>Conclusions</w:t>
      </w:r>
      <w:r>
        <w:t xml:space="preserve"> of Law</w:t>
      </w:r>
      <w:bookmarkEnd w:id="28"/>
      <w:bookmarkEnd w:id="29"/>
      <w:bookmarkEnd w:id="30"/>
    </w:p>
    <w:p w:rsidRPr="00CD776F" w:rsidR="00BD7BBB" w:rsidP="00BD7BBB" w:rsidRDefault="001648C9" w14:paraId="3428E61C" w14:textId="77777777">
      <w:pPr>
        <w:pStyle w:val="CoL"/>
      </w:pPr>
      <w:r>
        <w:t>Liberty’s request to establish a memorandum account to track costs associated with intervenor requests for compensation should be denied</w:t>
      </w:r>
      <w:r w:rsidRPr="00CD776F" w:rsidR="00BD7BBB">
        <w:t>.</w:t>
      </w:r>
    </w:p>
    <w:p w:rsidRPr="00CD776F" w:rsidR="00BD7BBB" w:rsidP="001648C9" w:rsidRDefault="001648C9" w14:paraId="2010833C" w14:textId="77777777">
      <w:pPr>
        <w:pStyle w:val="CoL"/>
        <w:spacing w:after="120"/>
      </w:pPr>
      <w:r>
        <w:t>Liberty’s Petition for Modification should be denied.</w:t>
      </w:r>
    </w:p>
    <w:p w:rsidR="00BD7BBB" w:rsidP="00BD7BBB" w:rsidRDefault="00BD7BBB" w14:paraId="34875E14" w14:textId="77777777">
      <w:pPr>
        <w:pStyle w:val="Mainex"/>
      </w:pPr>
      <w:bookmarkStart w:name="_Toc102043001" w:id="31"/>
      <w:bookmarkStart w:name="_Toc128057474" w:id="32"/>
      <w:bookmarkStart w:name="_Toc130552587" w:id="33"/>
      <w:r>
        <w:t>ORDER</w:t>
      </w:r>
      <w:bookmarkEnd w:id="31"/>
      <w:bookmarkEnd w:id="32"/>
      <w:bookmarkEnd w:id="33"/>
    </w:p>
    <w:p w:rsidR="00BD7BBB" w:rsidP="00BD7BBB" w:rsidRDefault="00BD7BBB" w14:paraId="4830F178" w14:textId="77777777">
      <w:pPr>
        <w:keepNext/>
      </w:pPr>
      <w:r w:rsidRPr="00BB0243">
        <w:rPr>
          <w:b/>
        </w:rPr>
        <w:t>IT IS ORDERED</w:t>
      </w:r>
      <w:r>
        <w:t xml:space="preserve"> that:</w:t>
      </w:r>
    </w:p>
    <w:p w:rsidR="002C1C87" w:rsidP="00BD7BBB" w:rsidRDefault="00BD7BBB" w14:paraId="18AC5805" w14:textId="77777777">
      <w:pPr>
        <w:pStyle w:val="OP"/>
      </w:pPr>
      <w:r w:rsidRPr="00CD776F">
        <w:t xml:space="preserve">The </w:t>
      </w:r>
      <w:r w:rsidR="002C1C87">
        <w:t xml:space="preserve">Petition for Modification filed by </w:t>
      </w:r>
      <w:r w:rsidRPr="002C1C87" w:rsidR="002C1C87">
        <w:t xml:space="preserve">Liberty Utilities (CalPeco Electric) LLC </w:t>
      </w:r>
      <w:r w:rsidR="002C1C87">
        <w:t xml:space="preserve">to modify </w:t>
      </w:r>
      <w:r w:rsidRPr="002C1C87" w:rsidR="002C1C87">
        <w:t>Decision 23-04-043</w:t>
      </w:r>
      <w:r w:rsidR="002C1C87">
        <w:t xml:space="preserve"> is denied.</w:t>
      </w:r>
    </w:p>
    <w:p w:rsidR="008C490F" w:rsidP="00BD7BBB" w:rsidRDefault="008C490F" w14:paraId="26B97FF9" w14:textId="77777777">
      <w:pPr>
        <w:pStyle w:val="OP"/>
      </w:pPr>
      <w:r>
        <w:t xml:space="preserve">The request by </w:t>
      </w:r>
      <w:r w:rsidRPr="008C490F">
        <w:t>Liberty Utilities (CalPeco Electric) LLC</w:t>
      </w:r>
      <w:r>
        <w:t xml:space="preserve"> for authorization to establish a memorandum account to track costs associated with intervenor requests for compensation is denied.</w:t>
      </w:r>
    </w:p>
    <w:p w:rsidRPr="001E2A62" w:rsidR="00BD7BBB" w:rsidP="007716D3" w:rsidRDefault="00BD7BBB" w14:paraId="356F4A3A" w14:textId="77777777">
      <w:pPr>
        <w:pStyle w:val="OP"/>
        <w:keepNext/>
      </w:pPr>
      <w:r w:rsidRPr="00CD776F">
        <w:lastRenderedPageBreak/>
        <w:t>Application 21-05-017 is closed</w:t>
      </w:r>
      <w:r>
        <w:t>.</w:t>
      </w:r>
    </w:p>
    <w:p w:rsidR="00BD7BBB" w:rsidP="007716D3" w:rsidRDefault="00BD7BBB" w14:paraId="097F5396" w14:textId="77777777">
      <w:pPr>
        <w:pStyle w:val="Standard"/>
        <w:keepNext/>
      </w:pPr>
      <w:r>
        <w:t>This order is effective today.</w:t>
      </w:r>
    </w:p>
    <w:p w:rsidR="00C708D9" w:rsidP="00BD7BBB" w:rsidRDefault="00BD7BBB" w14:paraId="74B66407" w14:textId="07913D37">
      <w:pPr>
        <w:pStyle w:val="Standard"/>
      </w:pPr>
      <w:r w:rsidRPr="00CD776F">
        <w:t>Dated</w:t>
      </w:r>
      <w:r>
        <w:t xml:space="preserve"> </w:t>
      </w:r>
      <w:r w:rsidR="00170DCD">
        <w:t>January 16, 2025</w:t>
      </w:r>
      <w:r>
        <w:t>, at San Francisco, California.</w:t>
      </w:r>
      <w:r w:rsidR="00C708D9">
        <w:t xml:space="preserve"> </w:t>
      </w:r>
    </w:p>
    <w:p w:rsidR="00E9321B" w:rsidP="00BD7BBB" w:rsidRDefault="00E9321B" w14:paraId="142845C6" w14:textId="77777777">
      <w:pPr>
        <w:pStyle w:val="Standard"/>
      </w:pPr>
    </w:p>
    <w:p w:rsidR="00170DCD" w:rsidP="00170DCD" w:rsidRDefault="00170DCD" w14:paraId="60FA3FF8" w14:textId="77777777">
      <w:pPr>
        <w:ind w:firstLine="0"/>
      </w:pPr>
    </w:p>
    <w:p w:rsidRPr="00132136" w:rsidR="00170DCD" w:rsidP="00170DCD" w:rsidRDefault="00170DCD" w14:paraId="7B75001B" w14:textId="77777777">
      <w:pPr>
        <w:keepNext/>
        <w:keepLines/>
        <w:autoSpaceDE w:val="0"/>
        <w:autoSpaceDN w:val="0"/>
        <w:adjustRightInd w:val="0"/>
        <w:spacing w:line="240" w:lineRule="auto"/>
        <w:ind w:left="4320" w:firstLine="0"/>
        <w:jc w:val="both"/>
        <w:rPr>
          <w:rFonts w:eastAsia="Calibri" w:cs="Times New Roman"/>
          <w:szCs w:val="20"/>
        </w:rPr>
      </w:pPr>
      <w:r w:rsidRPr="00132136">
        <w:rPr>
          <w:rFonts w:eastAsia="Calibri" w:cs="Times New Roman"/>
          <w:szCs w:val="20"/>
        </w:rPr>
        <w:t>ALICE REYNOLDS</w:t>
      </w:r>
    </w:p>
    <w:p w:rsidRPr="00132136" w:rsidR="00170DCD" w:rsidP="00170DCD" w:rsidRDefault="00170DCD" w14:paraId="5292050B" w14:textId="77777777">
      <w:pPr>
        <w:keepNext/>
        <w:keepLines/>
        <w:autoSpaceDE w:val="0"/>
        <w:autoSpaceDN w:val="0"/>
        <w:adjustRightInd w:val="0"/>
        <w:spacing w:line="240" w:lineRule="auto"/>
        <w:jc w:val="both"/>
        <w:rPr>
          <w:rFonts w:eastAsia="Calibri" w:cs="Times New Roman"/>
          <w:szCs w:val="20"/>
        </w:rPr>
      </w:pPr>
      <w:r w:rsidRPr="00132136">
        <w:rPr>
          <w:rFonts w:eastAsia="Calibri" w:cs="Times New Roman"/>
          <w:szCs w:val="20"/>
        </w:rPr>
        <w:tab/>
      </w:r>
      <w:r w:rsidRPr="00132136">
        <w:rPr>
          <w:rFonts w:eastAsia="Calibri" w:cs="Times New Roman"/>
          <w:szCs w:val="20"/>
        </w:rPr>
        <w:tab/>
      </w:r>
      <w:r w:rsidRPr="00132136">
        <w:rPr>
          <w:rFonts w:eastAsia="Calibri" w:cs="Times New Roman"/>
          <w:szCs w:val="20"/>
        </w:rPr>
        <w:tab/>
      </w:r>
      <w:r w:rsidRPr="00132136">
        <w:rPr>
          <w:rFonts w:eastAsia="Calibri" w:cs="Times New Roman"/>
          <w:szCs w:val="20"/>
        </w:rPr>
        <w:tab/>
      </w:r>
      <w:r w:rsidRPr="00132136">
        <w:rPr>
          <w:rFonts w:eastAsia="Calibri" w:cs="Times New Roman"/>
          <w:szCs w:val="20"/>
        </w:rPr>
        <w:tab/>
        <w:t xml:space="preserve">                       President</w:t>
      </w:r>
    </w:p>
    <w:p w:rsidRPr="00132136" w:rsidR="00170DCD" w:rsidP="00170DCD" w:rsidRDefault="00170DCD" w14:paraId="46D84CF0" w14:textId="77777777">
      <w:pPr>
        <w:autoSpaceDE w:val="0"/>
        <w:autoSpaceDN w:val="0"/>
        <w:adjustRightInd w:val="0"/>
        <w:spacing w:line="240" w:lineRule="auto"/>
        <w:ind w:left="3600"/>
        <w:jc w:val="both"/>
        <w:rPr>
          <w:rFonts w:eastAsia="Calibri" w:cs="Times New Roman"/>
          <w:szCs w:val="20"/>
        </w:rPr>
      </w:pPr>
      <w:r w:rsidRPr="00132136">
        <w:rPr>
          <w:rFonts w:eastAsia="Calibri" w:cs="Times New Roman"/>
          <w:szCs w:val="20"/>
        </w:rPr>
        <w:t>DARCIE L. HOUCK</w:t>
      </w:r>
    </w:p>
    <w:p w:rsidRPr="00132136" w:rsidR="00170DCD" w:rsidP="00170DCD" w:rsidRDefault="00170DCD" w14:paraId="730C7A23" w14:textId="77777777">
      <w:pPr>
        <w:autoSpaceDE w:val="0"/>
        <w:autoSpaceDN w:val="0"/>
        <w:adjustRightInd w:val="0"/>
        <w:spacing w:line="240" w:lineRule="auto"/>
        <w:ind w:left="3600"/>
        <w:jc w:val="both"/>
        <w:rPr>
          <w:rFonts w:eastAsia="Calibri" w:cs="Times New Roman"/>
          <w:szCs w:val="20"/>
        </w:rPr>
      </w:pPr>
      <w:r w:rsidRPr="00132136">
        <w:rPr>
          <w:rFonts w:eastAsia="Calibri" w:cs="Times New Roman"/>
          <w:szCs w:val="20"/>
        </w:rPr>
        <w:t>JOHN REYNOLDS</w:t>
      </w:r>
    </w:p>
    <w:p w:rsidRPr="00132136" w:rsidR="00170DCD" w:rsidP="00170DCD" w:rsidRDefault="00170DCD" w14:paraId="40B68095" w14:textId="77777777">
      <w:pPr>
        <w:autoSpaceDE w:val="0"/>
        <w:autoSpaceDN w:val="0"/>
        <w:adjustRightInd w:val="0"/>
        <w:spacing w:line="240" w:lineRule="auto"/>
        <w:ind w:left="3600"/>
        <w:jc w:val="both"/>
        <w:rPr>
          <w:rFonts w:eastAsia="Times New Roman" w:cs="Calibri"/>
          <w:color w:val="000000"/>
          <w:szCs w:val="26"/>
        </w:rPr>
      </w:pPr>
      <w:r w:rsidRPr="00132136">
        <w:rPr>
          <w:rFonts w:eastAsia="Times New Roman" w:cs="Calibri"/>
          <w:color w:val="000000"/>
          <w:szCs w:val="26"/>
        </w:rPr>
        <w:t>KAREN DOUGLAS</w:t>
      </w:r>
    </w:p>
    <w:p w:rsidRPr="00132136" w:rsidR="00170DCD" w:rsidP="00170DCD" w:rsidRDefault="00170DCD" w14:paraId="346FB550" w14:textId="77777777">
      <w:pPr>
        <w:keepNext/>
        <w:keepLines/>
        <w:autoSpaceDE w:val="0"/>
        <w:autoSpaceDN w:val="0"/>
        <w:adjustRightInd w:val="0"/>
        <w:spacing w:line="240" w:lineRule="auto"/>
        <w:ind w:left="4320"/>
        <w:jc w:val="both"/>
        <w:rPr>
          <w:rFonts w:eastAsia="Calibri" w:cs="Times New Roman"/>
          <w:szCs w:val="20"/>
        </w:rPr>
      </w:pPr>
      <w:r w:rsidRPr="00132136">
        <w:rPr>
          <w:rFonts w:eastAsia="Calibri" w:cs="Times New Roman"/>
          <w:szCs w:val="20"/>
        </w:rPr>
        <w:t xml:space="preserve">            Commissioners</w:t>
      </w:r>
    </w:p>
    <w:p w:rsidRPr="00132136" w:rsidR="00170DCD" w:rsidP="00170DCD" w:rsidRDefault="00170DCD" w14:paraId="3C8B8818" w14:textId="77777777">
      <w:pPr>
        <w:keepNext/>
        <w:keepLines/>
        <w:rPr>
          <w:rFonts w:cs="Arial"/>
        </w:rPr>
      </w:pPr>
    </w:p>
    <w:p w:rsidRPr="00132136" w:rsidR="00170DCD" w:rsidP="00170DCD" w:rsidRDefault="00170DCD" w14:paraId="4FF0C5E0" w14:textId="77777777">
      <w:pPr>
        <w:keepNext/>
        <w:keepLines/>
        <w:autoSpaceDE w:val="0"/>
        <w:autoSpaceDN w:val="0"/>
        <w:adjustRightInd w:val="0"/>
        <w:spacing w:line="240" w:lineRule="auto"/>
        <w:ind w:left="4380" w:firstLine="0"/>
        <w:rPr>
          <w:rFonts w:eastAsia="Calibri" w:cs="Times New Roman"/>
          <w:szCs w:val="20"/>
        </w:rPr>
      </w:pPr>
      <w:r w:rsidRPr="00132136">
        <w:rPr>
          <w:rFonts w:eastAsia="Calibri" w:cs="Times New Roman"/>
          <w:szCs w:val="20"/>
        </w:rPr>
        <w:t>Commissioner Matthew Baker recused himself from this agenda item and was not part of the quorum in its consideration.</w:t>
      </w:r>
    </w:p>
    <w:p w:rsidR="00074F4E" w:rsidP="00170DCD" w:rsidRDefault="00074F4E" w14:paraId="42EEF83A" w14:textId="734609FE">
      <w:pPr>
        <w:ind w:firstLine="0"/>
      </w:pPr>
    </w:p>
    <w:sectPr w:rsidR="00074F4E" w:rsidSect="00170DCD">
      <w:headerReference w:type="default" r:id="rId8"/>
      <w:footerReference w:type="default" r:id="rId9"/>
      <w:footerReference w:type="first" r:id="rId10"/>
      <w:pgSz w:w="12240" w:h="15840"/>
      <w:pgMar w:top="1890" w:right="1440" w:bottom="198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A2985" w14:textId="77777777" w:rsidR="00112BB8" w:rsidRDefault="00112BB8" w:rsidP="0098138E">
      <w:pPr>
        <w:spacing w:line="240" w:lineRule="auto"/>
      </w:pPr>
      <w:r>
        <w:separator/>
      </w:r>
    </w:p>
  </w:endnote>
  <w:endnote w:type="continuationSeparator" w:id="0">
    <w:p w14:paraId="2274C41B" w14:textId="77777777" w:rsidR="00112BB8" w:rsidRDefault="00112BB8" w:rsidP="009813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1155582"/>
      <w:docPartObj>
        <w:docPartGallery w:val="Page Numbers (Bottom of Page)"/>
        <w:docPartUnique/>
      </w:docPartObj>
    </w:sdtPr>
    <w:sdtEndPr>
      <w:rPr>
        <w:noProof/>
      </w:rPr>
    </w:sdtEndPr>
    <w:sdtContent>
      <w:p w14:paraId="031E37DF" w14:textId="77777777" w:rsidR="004849AE" w:rsidRDefault="004849AE" w:rsidP="00D54F64">
        <w:pPr>
          <w:pStyle w:val="Footer"/>
          <w:ind w:firstLine="0"/>
          <w:jc w:val="center"/>
        </w:pPr>
        <w:r>
          <w:t xml:space="preserve">- </w:t>
        </w:r>
        <w:r>
          <w:fldChar w:fldCharType="begin"/>
        </w:r>
        <w:r>
          <w:instrText xml:space="preserve"> PAGE   \* MERGEFORMAT </w:instrText>
        </w:r>
        <w:r>
          <w:fldChar w:fldCharType="separate"/>
        </w:r>
        <w:r>
          <w:rPr>
            <w:noProof/>
          </w:rPr>
          <w:t>2</w:t>
        </w:r>
        <w:r>
          <w:rPr>
            <w:noProof/>
          </w:rPr>
          <w:fldChar w:fldCharType="end"/>
        </w:r>
        <w:r>
          <w:rPr>
            <w:noProof/>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6BAF9" w14:textId="372F1503" w:rsidR="004849AE" w:rsidRDefault="006E2054" w:rsidP="004849AE">
    <w:pPr>
      <w:pStyle w:val="Footer"/>
      <w:ind w:firstLine="0"/>
    </w:pPr>
    <w:r w:rsidRPr="006E2054">
      <w:rPr>
        <w:sz w:val="16"/>
        <w:szCs w:val="16"/>
      </w:rPr>
      <w:t>555568191</w:t>
    </w:r>
    <w:r w:rsidR="004849AE">
      <w:tab/>
      <w:t xml:space="preserve">- 1 -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8826E" w14:textId="77777777" w:rsidR="00112BB8" w:rsidRDefault="00112BB8" w:rsidP="00DF58E7">
      <w:pPr>
        <w:spacing w:line="240" w:lineRule="auto"/>
        <w:ind w:firstLine="0"/>
      </w:pPr>
      <w:r>
        <w:separator/>
      </w:r>
    </w:p>
  </w:footnote>
  <w:footnote w:type="continuationSeparator" w:id="0">
    <w:p w14:paraId="0F552C64" w14:textId="77777777" w:rsidR="00112BB8" w:rsidRDefault="00112BB8" w:rsidP="00DF58E7">
      <w:pPr>
        <w:spacing w:line="240" w:lineRule="auto"/>
        <w:ind w:firstLine="0"/>
      </w:pPr>
      <w:r>
        <w:continuationSeparator/>
      </w:r>
    </w:p>
  </w:footnote>
  <w:footnote w:type="continuationNotice" w:id="1">
    <w:p w14:paraId="52614F0C" w14:textId="77777777" w:rsidR="00112BB8" w:rsidRPr="00DF58E7" w:rsidRDefault="00112BB8" w:rsidP="00DF58E7">
      <w:pPr>
        <w:spacing w:line="240" w:lineRule="auto"/>
        <w:ind w:firstLine="0"/>
        <w:jc w:val="right"/>
        <w:rPr>
          <w:i/>
          <w:sz w:val="22"/>
        </w:rPr>
      </w:pPr>
      <w:r w:rsidRPr="00DF58E7">
        <w:rPr>
          <w:i/>
          <w:sz w:val="22"/>
        </w:rPr>
        <w:t>Footnote continued on next page.</w:t>
      </w:r>
    </w:p>
  </w:footnote>
  <w:footnote w:id="2">
    <w:p w14:paraId="45BBAA7A" w14:textId="77777777" w:rsidR="002C1C87" w:rsidRDefault="002C1C87">
      <w:pPr>
        <w:pStyle w:val="FootnoteText"/>
      </w:pPr>
      <w:r>
        <w:rPr>
          <w:rStyle w:val="FootnoteReference"/>
        </w:rPr>
        <w:footnoteRef/>
      </w:r>
      <w:r>
        <w:t xml:space="preserve"> </w:t>
      </w:r>
      <w:r w:rsidR="00587970">
        <w:t>D.23-04-043</w:t>
      </w:r>
      <w:r>
        <w:t xml:space="preserve"> </w:t>
      </w:r>
      <w:r w:rsidR="00587970">
        <w:t xml:space="preserve">addressed </w:t>
      </w:r>
      <w:r>
        <w:t>Liberty’s Test Year 2022 General Rate Case application.</w:t>
      </w:r>
    </w:p>
  </w:footnote>
  <w:footnote w:id="3">
    <w:p w14:paraId="4B87E7D5" w14:textId="77777777" w:rsidR="00906E22" w:rsidRDefault="00906E22" w:rsidP="00906E22">
      <w:pPr>
        <w:pStyle w:val="FootnoteText"/>
      </w:pPr>
      <w:r>
        <w:rPr>
          <w:rStyle w:val="FootnoteReference"/>
        </w:rPr>
        <w:footnoteRef/>
      </w:r>
      <w:r>
        <w:t xml:space="preserve"> D.23-04-043 issued on April 27, 2023 addressed the Test Year 2022 General Rate Case Application of Liberty Utilities (Calpeco Electric) LLC.</w:t>
      </w:r>
    </w:p>
  </w:footnote>
  <w:footnote w:id="4">
    <w:p w14:paraId="37D5A43B" w14:textId="77777777" w:rsidR="001E1128" w:rsidRDefault="001E1128" w:rsidP="001E1128">
      <w:pPr>
        <w:pStyle w:val="FootnoteText"/>
      </w:pPr>
      <w:r>
        <w:rPr>
          <w:rStyle w:val="FootnoteReference"/>
        </w:rPr>
        <w:footnoteRef/>
      </w:r>
      <w:r>
        <w:t xml:space="preserve"> </w:t>
      </w:r>
      <w:r w:rsidRPr="003A5220">
        <w:rPr>
          <w:i/>
          <w:iCs/>
        </w:rPr>
        <w:t>See</w:t>
      </w:r>
      <w:r>
        <w:t xml:space="preserve"> Standard Practice U-27-W Section D.</w:t>
      </w:r>
    </w:p>
  </w:footnote>
  <w:footnote w:id="5">
    <w:p w14:paraId="1A0A3AB6" w14:textId="77777777" w:rsidR="009B0AFB" w:rsidRDefault="009B0AFB">
      <w:pPr>
        <w:pStyle w:val="FootnoteText"/>
      </w:pPr>
      <w:r>
        <w:rPr>
          <w:rStyle w:val="FootnoteReference"/>
        </w:rPr>
        <w:footnoteRef/>
      </w:r>
      <w:r>
        <w:t xml:space="preserve"> </w:t>
      </w:r>
      <w:r w:rsidRPr="009B0AFB">
        <w:t>Liberty did indicate that recent claims are larger than what it is accustomed 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7BBE4" w14:textId="4528CFA3" w:rsidR="00C708D9" w:rsidRDefault="00C708D9" w:rsidP="00BD7BBB">
    <w:pPr>
      <w:pStyle w:val="Header"/>
      <w:tabs>
        <w:tab w:val="clear" w:pos="4680"/>
      </w:tabs>
      <w:ind w:firstLine="0"/>
      <w:rPr>
        <w:b/>
      </w:rPr>
    </w:pPr>
    <w:r>
      <w:t>A.21-05-017  ALJ/RL8/</w:t>
    </w:r>
    <w:r w:rsidR="00363B89">
      <w:t>hma</w:t>
    </w:r>
    <w:r>
      <w:tab/>
    </w:r>
  </w:p>
  <w:p w14:paraId="7FC0141C" w14:textId="77777777" w:rsidR="00C708D9" w:rsidRPr="00BD7BBB" w:rsidRDefault="00C708D9" w:rsidP="00BD7B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A1C77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6C1C14"/>
    <w:multiLevelType w:val="multilevel"/>
    <w:tmpl w:val="18F4A5AC"/>
    <w:styleLink w:val="FoFCoLOP"/>
    <w:lvl w:ilvl="0">
      <w:start w:val="1"/>
      <w:numFmt w:val="decimal"/>
      <w:pStyle w:val="OP"/>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2" w15:restartNumberingAfterBreak="0">
    <w:nsid w:val="15F056CB"/>
    <w:multiLevelType w:val="multilevel"/>
    <w:tmpl w:val="18F4A5AC"/>
    <w:numStyleLink w:val="FoFCoLOP"/>
  </w:abstractNum>
  <w:abstractNum w:abstractNumId="3" w15:restartNumberingAfterBreak="0">
    <w:nsid w:val="1CD67F4B"/>
    <w:multiLevelType w:val="hybridMultilevel"/>
    <w:tmpl w:val="C2A26642"/>
    <w:lvl w:ilvl="0" w:tplc="7A988B5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D70038F"/>
    <w:multiLevelType w:val="multilevel"/>
    <w:tmpl w:val="CF6AC110"/>
    <w:numStyleLink w:val="Headings"/>
  </w:abstractNum>
  <w:abstractNum w:abstractNumId="5" w15:restartNumberingAfterBreak="0">
    <w:nsid w:val="1E2242C9"/>
    <w:multiLevelType w:val="multilevel"/>
    <w:tmpl w:val="CF6AC110"/>
    <w:numStyleLink w:val="Headings"/>
  </w:abstractNum>
  <w:abstractNum w:abstractNumId="6" w15:restartNumberingAfterBreak="0">
    <w:nsid w:val="21FB58FE"/>
    <w:multiLevelType w:val="multilevel"/>
    <w:tmpl w:val="CF6AC110"/>
    <w:numStyleLink w:val="Headings"/>
  </w:abstractNum>
  <w:abstractNum w:abstractNumId="7" w15:restartNumberingAfterBreak="0">
    <w:nsid w:val="243663A0"/>
    <w:multiLevelType w:val="multilevel"/>
    <w:tmpl w:val="CF6AC110"/>
    <w:numStyleLink w:val="Headings"/>
  </w:abstractNum>
  <w:abstractNum w:abstractNumId="8" w15:restartNumberingAfterBreak="0">
    <w:nsid w:val="2B8124D7"/>
    <w:multiLevelType w:val="multilevel"/>
    <w:tmpl w:val="CF6AC110"/>
    <w:numStyleLink w:val="Headings"/>
  </w:abstractNum>
  <w:abstractNum w:abstractNumId="9" w15:restartNumberingAfterBreak="0">
    <w:nsid w:val="331F6D42"/>
    <w:multiLevelType w:val="multilevel"/>
    <w:tmpl w:val="CF6AC110"/>
    <w:styleLink w:val="Headings"/>
    <w:lvl w:ilvl="0">
      <w:start w:val="1"/>
      <w:numFmt w:val="decimal"/>
      <w:pStyle w:val="Heading1"/>
      <w:lvlText w:val="%1"/>
      <w:lvlJc w:val="left"/>
      <w:pPr>
        <w:ind w:left="0" w:firstLine="0"/>
      </w:pPr>
      <w:rPr>
        <w:rFonts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pStyle w:val="Heading2"/>
      <w:lvlText w:val="%1.%2."/>
      <w:lvlJc w:val="left"/>
      <w:pPr>
        <w:tabs>
          <w:tab w:val="num" w:pos="1080"/>
        </w:tabs>
        <w:ind w:left="1080" w:hanging="720"/>
      </w:pPr>
      <w:rPr>
        <w:rFonts w:hint="default"/>
        <w:b/>
        <w:i w:val="0"/>
        <w:caps w:val="0"/>
        <w:strike w:val="0"/>
        <w:dstrike w:val="0"/>
        <w:vanish w:val="0"/>
        <w:color w:val="auto"/>
        <w:kern w:val="0"/>
        <w:sz w:val="26"/>
        <w:u w:val="none"/>
        <w:vertAlign w:val="baseline"/>
        <w14:cntxtAlts w14:val="0"/>
      </w:rPr>
    </w:lvl>
    <w:lvl w:ilvl="2">
      <w:start w:val="1"/>
      <w:numFmt w:val="decimal"/>
      <w:pStyle w:val="Heading3"/>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pStyle w:val="Heading4"/>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pStyle w:val="Heading5"/>
      <w:lvlText w:val="%1.%2.%3.%4.%5."/>
      <w:lvlJc w:val="left"/>
      <w:pPr>
        <w:tabs>
          <w:tab w:val="num" w:pos="2880"/>
        </w:tabs>
        <w:ind w:left="2880" w:hanging="1440"/>
      </w:pPr>
      <w:rPr>
        <w:rFonts w:ascii="Arial" w:hAnsi="Arial" w:hint="default"/>
        <w:b/>
        <w:i w:val="0"/>
        <w:sz w:val="26"/>
      </w:rPr>
    </w:lvl>
    <w:lvl w:ilvl="5">
      <w:start w:val="1"/>
      <w:numFmt w:val="decimal"/>
      <w:pStyle w:val="Heading6"/>
      <w:lvlText w:val="%1.%2.%3.%4.%5.%6."/>
      <w:lvlJc w:val="left"/>
      <w:pPr>
        <w:tabs>
          <w:tab w:val="num" w:pos="3528"/>
        </w:tabs>
        <w:ind w:left="3528" w:hanging="1728"/>
      </w:pPr>
      <w:rPr>
        <w:rFonts w:ascii="Arial" w:hAnsi="Arial" w:hint="default"/>
        <w:b/>
        <w:i w:val="0"/>
        <w:sz w:val="26"/>
      </w:rPr>
    </w:lvl>
    <w:lvl w:ilvl="6">
      <w:start w:val="1"/>
      <w:numFmt w:val="decimal"/>
      <w:pStyle w:val="ListNum"/>
      <w:lvlText w:val="%7."/>
      <w:lvlJc w:val="left"/>
      <w:pPr>
        <w:tabs>
          <w:tab w:val="num" w:pos="1080"/>
        </w:tabs>
        <w:ind w:left="1080" w:hanging="360"/>
      </w:pPr>
      <w:rPr>
        <w:rFonts w:ascii="Book Antiqua" w:hAnsi="Book Antiqua" w:hint="default"/>
        <w:b w:val="0"/>
        <w:i w:val="0"/>
        <w:sz w:val="26"/>
      </w:rPr>
    </w:lvl>
    <w:lvl w:ilvl="7">
      <w:start w:val="1"/>
      <w:numFmt w:val="lowerLetter"/>
      <w:pStyle w:val="ListAlpha"/>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10" w15:restartNumberingAfterBreak="0">
    <w:nsid w:val="3E1312C3"/>
    <w:multiLevelType w:val="multilevel"/>
    <w:tmpl w:val="0660F7F4"/>
    <w:lvl w:ilvl="0">
      <w:start w:val="3"/>
      <w:numFmt w:val="decimal"/>
      <w:lvlText w:val="%1"/>
      <w:lvlJc w:val="left"/>
      <w:pPr>
        <w:ind w:left="555" w:hanging="555"/>
      </w:pPr>
      <w:rPr>
        <w:rFonts w:hint="default"/>
      </w:rPr>
    </w:lvl>
    <w:lvl w:ilvl="1">
      <w:start w:val="2"/>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43CF28F3"/>
    <w:multiLevelType w:val="multilevel"/>
    <w:tmpl w:val="5F720FE0"/>
    <w:lvl w:ilvl="0">
      <w:start w:val="3"/>
      <w:numFmt w:val="decimal"/>
      <w:lvlText w:val="%1"/>
      <w:lvlJc w:val="left"/>
      <w:pPr>
        <w:ind w:left="555" w:hanging="555"/>
      </w:pPr>
      <w:rPr>
        <w:rFonts w:hint="default"/>
      </w:rPr>
    </w:lvl>
    <w:lvl w:ilvl="1">
      <w:start w:val="2"/>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Zero"/>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59D042D7"/>
    <w:multiLevelType w:val="multilevel"/>
    <w:tmpl w:val="18F4A5AC"/>
    <w:numStyleLink w:val="FoFCoLOP"/>
  </w:abstractNum>
  <w:abstractNum w:abstractNumId="13" w15:restartNumberingAfterBreak="0">
    <w:nsid w:val="5A9E2171"/>
    <w:multiLevelType w:val="multilevel"/>
    <w:tmpl w:val="CF6AC110"/>
    <w:numStyleLink w:val="Headings"/>
  </w:abstractNum>
  <w:abstractNum w:abstractNumId="14" w15:restartNumberingAfterBreak="0">
    <w:nsid w:val="5D7644F0"/>
    <w:multiLevelType w:val="hybridMultilevel"/>
    <w:tmpl w:val="E1900A3E"/>
    <w:lvl w:ilvl="0" w:tplc="FC5851EA">
      <w:start w:val="1"/>
      <w:numFmt w:val="bullet"/>
      <w:lvlText w:val="-"/>
      <w:lvlJc w:val="left"/>
      <w:pPr>
        <w:ind w:left="1080" w:hanging="360"/>
      </w:pPr>
      <w:rPr>
        <w:rFonts w:ascii="Book Antiqua" w:eastAsiaTheme="minorHAnsi" w:hAnsi="Book Antiqu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FA3377A"/>
    <w:multiLevelType w:val="hybridMultilevel"/>
    <w:tmpl w:val="4BEE4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A25780"/>
    <w:multiLevelType w:val="multilevel"/>
    <w:tmpl w:val="CF6AC110"/>
    <w:numStyleLink w:val="Headings"/>
  </w:abstractNum>
  <w:abstractNum w:abstractNumId="17" w15:restartNumberingAfterBreak="0">
    <w:nsid w:val="627603D5"/>
    <w:multiLevelType w:val="hybridMultilevel"/>
    <w:tmpl w:val="B14C2806"/>
    <w:lvl w:ilvl="0" w:tplc="9D16E542">
      <w:start w:val="1"/>
      <w:numFmt w:val="bullet"/>
      <w:lvlText w:val="-"/>
      <w:lvlJc w:val="left"/>
      <w:pPr>
        <w:ind w:left="5004" w:hanging="360"/>
      </w:pPr>
      <w:rPr>
        <w:rFonts w:ascii="Book Antiqua" w:eastAsiaTheme="minorHAnsi" w:hAnsi="Book Antiqua" w:cstheme="minorBidi" w:hint="default"/>
      </w:rPr>
    </w:lvl>
    <w:lvl w:ilvl="1" w:tplc="04090003" w:tentative="1">
      <w:start w:val="1"/>
      <w:numFmt w:val="bullet"/>
      <w:lvlText w:val="o"/>
      <w:lvlJc w:val="left"/>
      <w:pPr>
        <w:ind w:left="5724" w:hanging="360"/>
      </w:pPr>
      <w:rPr>
        <w:rFonts w:ascii="Courier New" w:hAnsi="Courier New" w:cs="Courier New" w:hint="default"/>
      </w:rPr>
    </w:lvl>
    <w:lvl w:ilvl="2" w:tplc="04090005" w:tentative="1">
      <w:start w:val="1"/>
      <w:numFmt w:val="bullet"/>
      <w:lvlText w:val=""/>
      <w:lvlJc w:val="left"/>
      <w:pPr>
        <w:ind w:left="6444" w:hanging="360"/>
      </w:pPr>
      <w:rPr>
        <w:rFonts w:ascii="Wingdings" w:hAnsi="Wingdings" w:hint="default"/>
      </w:rPr>
    </w:lvl>
    <w:lvl w:ilvl="3" w:tplc="04090001" w:tentative="1">
      <w:start w:val="1"/>
      <w:numFmt w:val="bullet"/>
      <w:lvlText w:val=""/>
      <w:lvlJc w:val="left"/>
      <w:pPr>
        <w:ind w:left="7164" w:hanging="360"/>
      </w:pPr>
      <w:rPr>
        <w:rFonts w:ascii="Symbol" w:hAnsi="Symbol" w:hint="default"/>
      </w:rPr>
    </w:lvl>
    <w:lvl w:ilvl="4" w:tplc="04090003" w:tentative="1">
      <w:start w:val="1"/>
      <w:numFmt w:val="bullet"/>
      <w:lvlText w:val="o"/>
      <w:lvlJc w:val="left"/>
      <w:pPr>
        <w:ind w:left="7884" w:hanging="360"/>
      </w:pPr>
      <w:rPr>
        <w:rFonts w:ascii="Courier New" w:hAnsi="Courier New" w:cs="Courier New" w:hint="default"/>
      </w:rPr>
    </w:lvl>
    <w:lvl w:ilvl="5" w:tplc="04090005" w:tentative="1">
      <w:start w:val="1"/>
      <w:numFmt w:val="bullet"/>
      <w:lvlText w:val=""/>
      <w:lvlJc w:val="left"/>
      <w:pPr>
        <w:ind w:left="8604" w:hanging="360"/>
      </w:pPr>
      <w:rPr>
        <w:rFonts w:ascii="Wingdings" w:hAnsi="Wingdings" w:hint="default"/>
      </w:rPr>
    </w:lvl>
    <w:lvl w:ilvl="6" w:tplc="04090001" w:tentative="1">
      <w:start w:val="1"/>
      <w:numFmt w:val="bullet"/>
      <w:lvlText w:val=""/>
      <w:lvlJc w:val="left"/>
      <w:pPr>
        <w:ind w:left="9324" w:hanging="360"/>
      </w:pPr>
      <w:rPr>
        <w:rFonts w:ascii="Symbol" w:hAnsi="Symbol" w:hint="default"/>
      </w:rPr>
    </w:lvl>
    <w:lvl w:ilvl="7" w:tplc="04090003" w:tentative="1">
      <w:start w:val="1"/>
      <w:numFmt w:val="bullet"/>
      <w:lvlText w:val="o"/>
      <w:lvlJc w:val="left"/>
      <w:pPr>
        <w:ind w:left="10044" w:hanging="360"/>
      </w:pPr>
      <w:rPr>
        <w:rFonts w:ascii="Courier New" w:hAnsi="Courier New" w:cs="Courier New" w:hint="default"/>
      </w:rPr>
    </w:lvl>
    <w:lvl w:ilvl="8" w:tplc="04090005" w:tentative="1">
      <w:start w:val="1"/>
      <w:numFmt w:val="bullet"/>
      <w:lvlText w:val=""/>
      <w:lvlJc w:val="left"/>
      <w:pPr>
        <w:ind w:left="10764" w:hanging="360"/>
      </w:pPr>
      <w:rPr>
        <w:rFonts w:ascii="Wingdings" w:hAnsi="Wingdings" w:hint="default"/>
      </w:rPr>
    </w:lvl>
  </w:abstractNum>
  <w:abstractNum w:abstractNumId="18" w15:restartNumberingAfterBreak="0">
    <w:nsid w:val="6CFA0264"/>
    <w:multiLevelType w:val="hybridMultilevel"/>
    <w:tmpl w:val="D44AD5B8"/>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 w15:restartNumberingAfterBreak="0">
    <w:nsid w:val="6FDF7E1C"/>
    <w:multiLevelType w:val="hybridMultilevel"/>
    <w:tmpl w:val="2F5AD6F8"/>
    <w:lvl w:ilvl="0" w:tplc="721C313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89A0AFE"/>
    <w:multiLevelType w:val="multilevel"/>
    <w:tmpl w:val="18F4A5AC"/>
    <w:numStyleLink w:val="FoFCoLOP"/>
  </w:abstractNum>
  <w:abstractNum w:abstractNumId="21" w15:restartNumberingAfterBreak="0">
    <w:nsid w:val="7BD321B4"/>
    <w:multiLevelType w:val="hybridMultilevel"/>
    <w:tmpl w:val="AA260128"/>
    <w:lvl w:ilvl="0" w:tplc="DDEC6254">
      <w:start w:val="1"/>
      <w:numFmt w:val="bullet"/>
      <w:lvlText w:val="-"/>
      <w:lvlJc w:val="left"/>
      <w:pPr>
        <w:ind w:left="4896" w:hanging="360"/>
      </w:pPr>
      <w:rPr>
        <w:rFonts w:ascii="Book Antiqua" w:eastAsiaTheme="minorHAnsi" w:hAnsi="Book Antiqua" w:cstheme="minorBidi" w:hint="default"/>
      </w:rPr>
    </w:lvl>
    <w:lvl w:ilvl="1" w:tplc="04090003" w:tentative="1">
      <w:start w:val="1"/>
      <w:numFmt w:val="bullet"/>
      <w:lvlText w:val="o"/>
      <w:lvlJc w:val="left"/>
      <w:pPr>
        <w:ind w:left="5616" w:hanging="360"/>
      </w:pPr>
      <w:rPr>
        <w:rFonts w:ascii="Courier New" w:hAnsi="Courier New" w:cs="Courier New" w:hint="default"/>
      </w:rPr>
    </w:lvl>
    <w:lvl w:ilvl="2" w:tplc="04090005" w:tentative="1">
      <w:start w:val="1"/>
      <w:numFmt w:val="bullet"/>
      <w:lvlText w:val=""/>
      <w:lvlJc w:val="left"/>
      <w:pPr>
        <w:ind w:left="6336" w:hanging="360"/>
      </w:pPr>
      <w:rPr>
        <w:rFonts w:ascii="Wingdings" w:hAnsi="Wingdings" w:hint="default"/>
      </w:rPr>
    </w:lvl>
    <w:lvl w:ilvl="3" w:tplc="04090001" w:tentative="1">
      <w:start w:val="1"/>
      <w:numFmt w:val="bullet"/>
      <w:lvlText w:val=""/>
      <w:lvlJc w:val="left"/>
      <w:pPr>
        <w:ind w:left="7056" w:hanging="360"/>
      </w:pPr>
      <w:rPr>
        <w:rFonts w:ascii="Symbol" w:hAnsi="Symbol" w:hint="default"/>
      </w:rPr>
    </w:lvl>
    <w:lvl w:ilvl="4" w:tplc="04090003" w:tentative="1">
      <w:start w:val="1"/>
      <w:numFmt w:val="bullet"/>
      <w:lvlText w:val="o"/>
      <w:lvlJc w:val="left"/>
      <w:pPr>
        <w:ind w:left="7776" w:hanging="360"/>
      </w:pPr>
      <w:rPr>
        <w:rFonts w:ascii="Courier New" w:hAnsi="Courier New" w:cs="Courier New" w:hint="default"/>
      </w:rPr>
    </w:lvl>
    <w:lvl w:ilvl="5" w:tplc="04090005" w:tentative="1">
      <w:start w:val="1"/>
      <w:numFmt w:val="bullet"/>
      <w:lvlText w:val=""/>
      <w:lvlJc w:val="left"/>
      <w:pPr>
        <w:ind w:left="8496" w:hanging="360"/>
      </w:pPr>
      <w:rPr>
        <w:rFonts w:ascii="Wingdings" w:hAnsi="Wingdings" w:hint="default"/>
      </w:rPr>
    </w:lvl>
    <w:lvl w:ilvl="6" w:tplc="04090001" w:tentative="1">
      <w:start w:val="1"/>
      <w:numFmt w:val="bullet"/>
      <w:lvlText w:val=""/>
      <w:lvlJc w:val="left"/>
      <w:pPr>
        <w:ind w:left="9216" w:hanging="360"/>
      </w:pPr>
      <w:rPr>
        <w:rFonts w:ascii="Symbol" w:hAnsi="Symbol" w:hint="default"/>
      </w:rPr>
    </w:lvl>
    <w:lvl w:ilvl="7" w:tplc="04090003" w:tentative="1">
      <w:start w:val="1"/>
      <w:numFmt w:val="bullet"/>
      <w:lvlText w:val="o"/>
      <w:lvlJc w:val="left"/>
      <w:pPr>
        <w:ind w:left="9936" w:hanging="360"/>
      </w:pPr>
      <w:rPr>
        <w:rFonts w:ascii="Courier New" w:hAnsi="Courier New" w:cs="Courier New" w:hint="default"/>
      </w:rPr>
    </w:lvl>
    <w:lvl w:ilvl="8" w:tplc="04090005" w:tentative="1">
      <w:start w:val="1"/>
      <w:numFmt w:val="bullet"/>
      <w:lvlText w:val=""/>
      <w:lvlJc w:val="left"/>
      <w:pPr>
        <w:ind w:left="10656" w:hanging="360"/>
      </w:pPr>
      <w:rPr>
        <w:rFonts w:ascii="Wingdings" w:hAnsi="Wingdings" w:hint="default"/>
      </w:rPr>
    </w:lvl>
  </w:abstractNum>
  <w:num w:numId="1" w16cid:durableId="40591472">
    <w:abstractNumId w:val="13"/>
  </w:num>
  <w:num w:numId="2" w16cid:durableId="219444350">
    <w:abstractNumId w:val="1"/>
  </w:num>
  <w:num w:numId="3" w16cid:durableId="1394354260">
    <w:abstractNumId w:val="12"/>
  </w:num>
  <w:num w:numId="4" w16cid:durableId="1821845383">
    <w:abstractNumId w:val="2"/>
  </w:num>
  <w:num w:numId="5" w16cid:durableId="1681471190">
    <w:abstractNumId w:val="20"/>
  </w:num>
  <w:num w:numId="6" w16cid:durableId="2125881451">
    <w:abstractNumId w:val="9"/>
  </w:num>
  <w:num w:numId="7" w16cid:durableId="846601249">
    <w:abstractNumId w:val="5"/>
  </w:num>
  <w:num w:numId="8" w16cid:durableId="1039937410">
    <w:abstractNumId w:val="19"/>
  </w:num>
  <w:num w:numId="9" w16cid:durableId="1970284347">
    <w:abstractNumId w:val="0"/>
  </w:num>
  <w:num w:numId="10" w16cid:durableId="1353730211">
    <w:abstractNumId w:val="4"/>
  </w:num>
  <w:num w:numId="11" w16cid:durableId="513230340">
    <w:abstractNumId w:val="6"/>
  </w:num>
  <w:num w:numId="12" w16cid:durableId="1629126322">
    <w:abstractNumId w:val="3"/>
  </w:num>
  <w:num w:numId="13" w16cid:durableId="2030132529">
    <w:abstractNumId w:val="7"/>
  </w:num>
  <w:num w:numId="14" w16cid:durableId="694160671">
    <w:abstractNumId w:val="8"/>
  </w:num>
  <w:num w:numId="15" w16cid:durableId="779759069">
    <w:abstractNumId w:val="16"/>
    <w:lvlOverride w:ilvl="0">
      <w:lvl w:ilvl="0">
        <w:numFmt w:val="decimal"/>
        <w:lvlText w:val=""/>
        <w:lvlJc w:val="left"/>
      </w:lvl>
    </w:lvlOverride>
    <w:lvlOverride w:ilvl="1">
      <w:lvl w:ilvl="1">
        <w:start w:val="1"/>
        <w:numFmt w:val="decimal"/>
        <w:lvlText w:val="%1.%2."/>
        <w:lvlJc w:val="left"/>
        <w:pPr>
          <w:tabs>
            <w:tab w:val="num" w:pos="1080"/>
          </w:tabs>
          <w:ind w:left="1080" w:hanging="720"/>
        </w:pPr>
      </w:lvl>
    </w:lvlOverride>
  </w:num>
  <w:num w:numId="16" w16cid:durableId="18852131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3162272">
    <w:abstractNumId w:val="9"/>
    <w:lvlOverride w:ilvl="0">
      <w:lvl w:ilvl="0">
        <w:start w:val="1"/>
        <w:numFmt w:val="decimal"/>
        <w:pStyle w:val="Heading1"/>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Override>
    <w:lvlOverride w:ilvl="1">
      <w:lvl w:ilvl="1">
        <w:start w:val="1"/>
        <w:numFmt w:val="decimal"/>
        <w:pStyle w:val="Heading2"/>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Override>
    <w:lvlOverride w:ilvl="2">
      <w:lvl w:ilvl="2">
        <w:start w:val="1"/>
        <w:numFmt w:val="decimal"/>
        <w:pStyle w:val="Heading3"/>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Override>
    <w:lvlOverride w:ilvl="3">
      <w:lvl w:ilvl="3">
        <w:start w:val="1"/>
        <w:numFmt w:val="decimal"/>
        <w:pStyle w:val="Heading4"/>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Override>
    <w:lvlOverride w:ilvl="4">
      <w:lvl w:ilvl="4">
        <w:start w:val="1"/>
        <w:numFmt w:val="decimal"/>
        <w:pStyle w:val="Heading5"/>
        <w:lvlText w:val="%1.%2.%3.%4.%5."/>
        <w:lvlJc w:val="left"/>
        <w:pPr>
          <w:tabs>
            <w:tab w:val="num" w:pos="2880"/>
          </w:tabs>
          <w:ind w:left="2880" w:hanging="1440"/>
        </w:pPr>
        <w:rPr>
          <w:rFonts w:ascii="Arial" w:hAnsi="Arial" w:hint="default"/>
          <w:b/>
          <w:i w:val="0"/>
          <w:sz w:val="26"/>
        </w:rPr>
      </w:lvl>
    </w:lvlOverride>
    <w:lvlOverride w:ilvl="5">
      <w:lvl w:ilvl="5">
        <w:start w:val="1"/>
        <w:numFmt w:val="decimal"/>
        <w:pStyle w:val="Heading6"/>
        <w:lvlText w:val="%1.%2.%3.%4.%5.%6."/>
        <w:lvlJc w:val="left"/>
        <w:pPr>
          <w:tabs>
            <w:tab w:val="num" w:pos="3528"/>
          </w:tabs>
          <w:ind w:left="3528" w:hanging="1728"/>
        </w:pPr>
        <w:rPr>
          <w:rFonts w:ascii="Arial" w:hAnsi="Arial" w:hint="default"/>
          <w:b/>
          <w:i w:val="0"/>
          <w:sz w:val="26"/>
        </w:rPr>
      </w:lvl>
    </w:lvlOverride>
    <w:lvlOverride w:ilvl="6">
      <w:lvl w:ilvl="6">
        <w:start w:val="1"/>
        <w:numFmt w:val="decimal"/>
        <w:pStyle w:val="ListNum"/>
        <w:lvlText w:val="%7."/>
        <w:lvlJc w:val="left"/>
        <w:pPr>
          <w:tabs>
            <w:tab w:val="num" w:pos="1080"/>
          </w:tabs>
          <w:ind w:left="1080" w:hanging="360"/>
        </w:pPr>
        <w:rPr>
          <w:rFonts w:ascii="Book Antiqua" w:hAnsi="Book Antiqua" w:hint="default"/>
          <w:b w:val="0"/>
          <w:i w:val="0"/>
          <w:sz w:val="26"/>
        </w:rPr>
      </w:lvl>
    </w:lvlOverride>
    <w:lvlOverride w:ilvl="7">
      <w:lvl w:ilvl="7">
        <w:start w:val="1"/>
        <w:numFmt w:val="lowerLetter"/>
        <w:pStyle w:val="ListAlpha"/>
        <w:lvlText w:val="%8."/>
        <w:lvlJc w:val="left"/>
        <w:pPr>
          <w:ind w:left="1080" w:hanging="360"/>
        </w:pPr>
        <w:rPr>
          <w:rFonts w:ascii="Book Antiqua" w:hAnsi="Book Antiqua" w:hint="default"/>
          <w:sz w:val="26"/>
        </w:rPr>
      </w:lvl>
    </w:lvlOverride>
    <w:lvlOverride w:ilvl="8">
      <w:lvl w:ilvl="8">
        <w:start w:val="1"/>
        <w:numFmt w:val="none"/>
        <w:lvlText w:val=""/>
        <w:lvlJc w:val="left"/>
        <w:pPr>
          <w:ind w:left="3240" w:hanging="360"/>
        </w:pPr>
        <w:rPr>
          <w:rFonts w:hint="default"/>
        </w:rPr>
      </w:lvl>
    </w:lvlOverride>
  </w:num>
  <w:num w:numId="18" w16cid:durableId="1931113642">
    <w:abstractNumId w:val="16"/>
    <w:lvlOverride w:ilvl="0">
      <w:lvl w:ilvl="0">
        <w:start w:val="1"/>
        <w:numFmt w:val="decimal"/>
        <w:lvlText w:val="%1."/>
        <w:lvlJc w:val="left"/>
        <w:pPr>
          <w:ind w:left="720" w:hanging="720"/>
        </w:pPr>
      </w:lvl>
    </w:lvlOverride>
    <w:lvlOverride w:ilvl="1">
      <w:lvl w:ilvl="1">
        <w:start w:val="1"/>
        <w:numFmt w:val="decimal"/>
        <w:lvlText w:val="%1.%2."/>
        <w:lvlJc w:val="left"/>
        <w:pPr>
          <w:tabs>
            <w:tab w:val="num" w:pos="1080"/>
          </w:tabs>
          <w:ind w:left="1080" w:hanging="720"/>
        </w:pPr>
      </w:lvl>
    </w:lvlOverride>
    <w:lvlOverride w:ilvl="2">
      <w:lvl w:ilvl="2">
        <w:start w:val="1"/>
        <w:numFmt w:val="decimal"/>
        <w:lvlText w:val="%1.%2.%3."/>
        <w:lvlJc w:val="left"/>
        <w:pPr>
          <w:tabs>
            <w:tab w:val="num" w:pos="1656"/>
          </w:tabs>
          <w:ind w:left="1656" w:hanging="936"/>
        </w:pPr>
      </w:lvl>
    </w:lvlOverride>
    <w:lvlOverride w:ilvl="3">
      <w:lvl w:ilvl="3">
        <w:start w:val="1"/>
        <w:numFmt w:val="decimal"/>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Override>
    <w:lvlOverride w:ilvl="4">
      <w:lvl w:ilvl="4">
        <w:start w:val="1"/>
        <w:numFmt w:val="decimal"/>
        <w:lvlText w:val="%1.%2.%3.%4.%5."/>
        <w:lvlJc w:val="left"/>
        <w:pPr>
          <w:tabs>
            <w:tab w:val="num" w:pos="2880"/>
          </w:tabs>
          <w:ind w:left="2880" w:hanging="1440"/>
        </w:pPr>
        <w:rPr>
          <w:rFonts w:ascii="Arial" w:hAnsi="Arial" w:hint="default"/>
          <w:b/>
          <w:i w:val="0"/>
          <w:sz w:val="26"/>
        </w:rPr>
      </w:lvl>
    </w:lvlOverride>
    <w:lvlOverride w:ilvl="5">
      <w:lvl w:ilvl="5">
        <w:start w:val="1"/>
        <w:numFmt w:val="decimal"/>
        <w:lvlText w:val="%1.%2.%3.%4.%5.%6."/>
        <w:lvlJc w:val="left"/>
        <w:pPr>
          <w:tabs>
            <w:tab w:val="num" w:pos="3528"/>
          </w:tabs>
          <w:ind w:left="3528" w:hanging="1728"/>
        </w:pPr>
        <w:rPr>
          <w:rFonts w:ascii="Arial" w:hAnsi="Arial" w:hint="default"/>
          <w:b/>
          <w:i w:val="0"/>
          <w:sz w:val="26"/>
        </w:rPr>
      </w:lvl>
    </w:lvlOverride>
    <w:lvlOverride w:ilvl="6">
      <w:lvl w:ilvl="6">
        <w:start w:val="1"/>
        <w:numFmt w:val="decimal"/>
        <w:lvlText w:val="%7."/>
        <w:lvlJc w:val="left"/>
        <w:pPr>
          <w:tabs>
            <w:tab w:val="num" w:pos="1080"/>
          </w:tabs>
          <w:ind w:left="1080" w:hanging="360"/>
        </w:pPr>
        <w:rPr>
          <w:rFonts w:ascii="Book Antiqua" w:hAnsi="Book Antiqua" w:hint="default"/>
          <w:b w:val="0"/>
          <w:i w:val="0"/>
          <w:sz w:val="26"/>
        </w:rPr>
      </w:lvl>
    </w:lvlOverride>
    <w:lvlOverride w:ilvl="7">
      <w:lvl w:ilvl="7">
        <w:start w:val="1"/>
        <w:numFmt w:val="lowerLetter"/>
        <w:lvlText w:val="%8."/>
        <w:lvlJc w:val="left"/>
        <w:pPr>
          <w:ind w:left="1080" w:hanging="360"/>
        </w:pPr>
        <w:rPr>
          <w:rFonts w:ascii="Book Antiqua" w:hAnsi="Book Antiqua" w:hint="default"/>
          <w:sz w:val="26"/>
        </w:rPr>
      </w:lvl>
    </w:lvlOverride>
    <w:lvlOverride w:ilvl="8">
      <w:lvl w:ilvl="8">
        <w:start w:val="1"/>
        <w:numFmt w:val="none"/>
        <w:lvlText w:val=""/>
        <w:lvlJc w:val="left"/>
        <w:pPr>
          <w:ind w:left="3240" w:hanging="360"/>
        </w:pPr>
        <w:rPr>
          <w:rFonts w:hint="default"/>
        </w:rPr>
      </w:lvl>
    </w:lvlOverride>
  </w:num>
  <w:num w:numId="19" w16cid:durableId="7065627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035754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4"/>
    </w:lvlOverride>
  </w:num>
  <w:num w:numId="21" w16cid:durableId="1330403575">
    <w:abstractNumId w:val="11"/>
  </w:num>
  <w:num w:numId="22" w16cid:durableId="559168467">
    <w:abstractNumId w:val="9"/>
    <w:lvlOverride w:ilvl="0">
      <w:lvl w:ilvl="0">
        <w:start w:val="1"/>
        <w:numFmt w:val="decimal"/>
        <w:pStyle w:val="Heading1"/>
        <w:lvlText w:val="%1"/>
        <w:lvlJc w:val="left"/>
        <w:pPr>
          <w:ind w:left="0" w:firstLine="0"/>
        </w:pPr>
      </w:lvl>
    </w:lvlOverride>
  </w:num>
  <w:num w:numId="23" w16cid:durableId="1408921304">
    <w:abstractNumId w:val="9"/>
    <w:lvlOverride w:ilvl="0">
      <w:lvl w:ilvl="0">
        <w:start w:val="1"/>
        <w:numFmt w:val="decimal"/>
        <w:pStyle w:val="Heading1"/>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Override>
    <w:lvlOverride w:ilvl="1">
      <w:lvl w:ilvl="1">
        <w:start w:val="1"/>
        <w:numFmt w:val="decimal"/>
        <w:pStyle w:val="Heading2"/>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Override>
    <w:lvlOverride w:ilvl="2">
      <w:lvl w:ilvl="2">
        <w:start w:val="1"/>
        <w:numFmt w:val="decimal"/>
        <w:pStyle w:val="Heading3"/>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Override>
    <w:lvlOverride w:ilvl="3">
      <w:lvl w:ilvl="3">
        <w:start w:val="1"/>
        <w:numFmt w:val="decimal"/>
        <w:pStyle w:val="Heading4"/>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Override>
    <w:lvlOverride w:ilvl="4">
      <w:lvl w:ilvl="4">
        <w:start w:val="1"/>
        <w:numFmt w:val="decimal"/>
        <w:pStyle w:val="Heading5"/>
        <w:lvlText w:val="%1.%2.%3.%4.%5."/>
        <w:lvlJc w:val="left"/>
        <w:pPr>
          <w:tabs>
            <w:tab w:val="num" w:pos="2880"/>
          </w:tabs>
          <w:ind w:left="2880" w:hanging="1440"/>
        </w:pPr>
        <w:rPr>
          <w:rFonts w:ascii="Arial" w:hAnsi="Arial" w:hint="default"/>
          <w:b/>
          <w:i w:val="0"/>
          <w:sz w:val="26"/>
        </w:rPr>
      </w:lvl>
    </w:lvlOverride>
    <w:lvlOverride w:ilvl="5">
      <w:lvl w:ilvl="5">
        <w:start w:val="1"/>
        <w:numFmt w:val="decimal"/>
        <w:pStyle w:val="Heading6"/>
        <w:lvlText w:val="%1.%2.%3.%4.%5.%6."/>
        <w:lvlJc w:val="left"/>
        <w:pPr>
          <w:tabs>
            <w:tab w:val="num" w:pos="3528"/>
          </w:tabs>
          <w:ind w:left="3528" w:hanging="1728"/>
        </w:pPr>
        <w:rPr>
          <w:rFonts w:ascii="Arial" w:hAnsi="Arial" w:hint="default"/>
          <w:b/>
          <w:i w:val="0"/>
          <w:sz w:val="26"/>
        </w:rPr>
      </w:lvl>
    </w:lvlOverride>
    <w:lvlOverride w:ilvl="6">
      <w:lvl w:ilvl="6">
        <w:start w:val="1"/>
        <w:numFmt w:val="decimal"/>
        <w:pStyle w:val="ListNum"/>
        <w:lvlText w:val="%7."/>
        <w:lvlJc w:val="left"/>
        <w:pPr>
          <w:tabs>
            <w:tab w:val="num" w:pos="1080"/>
          </w:tabs>
          <w:ind w:left="1080" w:hanging="360"/>
        </w:pPr>
        <w:rPr>
          <w:rFonts w:ascii="Book Antiqua" w:hAnsi="Book Antiqua" w:hint="default"/>
          <w:b w:val="0"/>
          <w:i w:val="0"/>
          <w:sz w:val="26"/>
        </w:rPr>
      </w:lvl>
    </w:lvlOverride>
    <w:lvlOverride w:ilvl="7">
      <w:lvl w:ilvl="7">
        <w:start w:val="1"/>
        <w:numFmt w:val="lowerLetter"/>
        <w:pStyle w:val="ListAlpha"/>
        <w:lvlText w:val="%8."/>
        <w:lvlJc w:val="left"/>
        <w:pPr>
          <w:ind w:left="1080" w:hanging="360"/>
        </w:pPr>
        <w:rPr>
          <w:rFonts w:ascii="Book Antiqua" w:hAnsi="Book Antiqua" w:hint="default"/>
          <w:sz w:val="26"/>
        </w:rPr>
      </w:lvl>
    </w:lvlOverride>
    <w:lvlOverride w:ilvl="8">
      <w:lvl w:ilvl="8">
        <w:start w:val="1"/>
        <w:numFmt w:val="none"/>
        <w:lvlText w:val=""/>
        <w:lvlJc w:val="left"/>
        <w:pPr>
          <w:ind w:left="3240" w:hanging="360"/>
        </w:pPr>
        <w:rPr>
          <w:rFonts w:hint="default"/>
        </w:rPr>
      </w:lvl>
    </w:lvlOverride>
  </w:num>
  <w:num w:numId="24" w16cid:durableId="1062942647">
    <w:abstractNumId w:val="18"/>
  </w:num>
  <w:num w:numId="25" w16cid:durableId="120344251">
    <w:abstractNumId w:val="10"/>
  </w:num>
  <w:num w:numId="26" w16cid:durableId="1283461270">
    <w:abstractNumId w:val="9"/>
    <w:lvlOverride w:ilvl="0">
      <w:startOverride w:val="6"/>
    </w:lvlOverride>
    <w:lvlOverride w:ilvl="1">
      <w:startOverride w:val="1"/>
    </w:lvlOverride>
  </w:num>
  <w:num w:numId="27" w16cid:durableId="672413417">
    <w:abstractNumId w:val="9"/>
    <w:lvlOverride w:ilvl="0">
      <w:startOverride w:val="6"/>
    </w:lvlOverride>
    <w:lvlOverride w:ilvl="1">
      <w:startOverride w:val="1"/>
    </w:lvlOverride>
    <w:lvlOverride w:ilvl="2">
      <w:startOverride w:val="2"/>
    </w:lvlOverride>
  </w:num>
  <w:num w:numId="28" w16cid:durableId="257759568">
    <w:abstractNumId w:val="9"/>
    <w:lvlOverride w:ilvl="0">
      <w:startOverride w:val="6"/>
    </w:lvlOverride>
    <w:lvlOverride w:ilvl="1">
      <w:startOverride w:val="2"/>
    </w:lvlOverride>
    <w:lvlOverride w:ilvl="2">
      <w:startOverride w:val="1"/>
    </w:lvlOverride>
  </w:num>
  <w:num w:numId="29" w16cid:durableId="859394077">
    <w:abstractNumId w:val="15"/>
  </w:num>
  <w:num w:numId="30" w16cid:durableId="1282692263">
    <w:abstractNumId w:val="17"/>
  </w:num>
  <w:num w:numId="31" w16cid:durableId="1984041076">
    <w:abstractNumId w:val="21"/>
  </w:num>
  <w:num w:numId="32" w16cid:durableId="1986083403">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495"/>
    <w:rsid w:val="00000F6A"/>
    <w:rsid w:val="00066BCD"/>
    <w:rsid w:val="0007115A"/>
    <w:rsid w:val="00074F4E"/>
    <w:rsid w:val="00076043"/>
    <w:rsid w:val="000973C8"/>
    <w:rsid w:val="000A2AA9"/>
    <w:rsid w:val="000A56F2"/>
    <w:rsid w:val="000A6E05"/>
    <w:rsid w:val="000B12FA"/>
    <w:rsid w:val="000C08BF"/>
    <w:rsid w:val="000C098A"/>
    <w:rsid w:val="000C3B9A"/>
    <w:rsid w:val="000D25A8"/>
    <w:rsid w:val="000E270A"/>
    <w:rsid w:val="000E4C53"/>
    <w:rsid w:val="00103204"/>
    <w:rsid w:val="00112644"/>
    <w:rsid w:val="00112BB8"/>
    <w:rsid w:val="00117BC5"/>
    <w:rsid w:val="00121089"/>
    <w:rsid w:val="001563C6"/>
    <w:rsid w:val="001648C9"/>
    <w:rsid w:val="00170DCD"/>
    <w:rsid w:val="00177DEB"/>
    <w:rsid w:val="001B42CD"/>
    <w:rsid w:val="001C2A97"/>
    <w:rsid w:val="001C363F"/>
    <w:rsid w:val="001E1128"/>
    <w:rsid w:val="001E2A62"/>
    <w:rsid w:val="001F186D"/>
    <w:rsid w:val="001F2819"/>
    <w:rsid w:val="002043EC"/>
    <w:rsid w:val="002052A3"/>
    <w:rsid w:val="00205501"/>
    <w:rsid w:val="00205790"/>
    <w:rsid w:val="002204B3"/>
    <w:rsid w:val="00230CE7"/>
    <w:rsid w:val="00241376"/>
    <w:rsid w:val="00243DC0"/>
    <w:rsid w:val="00247477"/>
    <w:rsid w:val="00247992"/>
    <w:rsid w:val="00270440"/>
    <w:rsid w:val="00287BC5"/>
    <w:rsid w:val="00293DEE"/>
    <w:rsid w:val="002968B8"/>
    <w:rsid w:val="002A0B5D"/>
    <w:rsid w:val="002B3B48"/>
    <w:rsid w:val="002C1C87"/>
    <w:rsid w:val="002C7FE9"/>
    <w:rsid w:val="002D0DC5"/>
    <w:rsid w:val="002D4EFD"/>
    <w:rsid w:val="002F263B"/>
    <w:rsid w:val="002F37A8"/>
    <w:rsid w:val="003137E5"/>
    <w:rsid w:val="00315A97"/>
    <w:rsid w:val="00316071"/>
    <w:rsid w:val="00331ECA"/>
    <w:rsid w:val="00343E5C"/>
    <w:rsid w:val="00344600"/>
    <w:rsid w:val="00344C2A"/>
    <w:rsid w:val="00344FB8"/>
    <w:rsid w:val="0035225D"/>
    <w:rsid w:val="0036017B"/>
    <w:rsid w:val="00362755"/>
    <w:rsid w:val="00363B89"/>
    <w:rsid w:val="00366442"/>
    <w:rsid w:val="00373B93"/>
    <w:rsid w:val="00376584"/>
    <w:rsid w:val="00380CD1"/>
    <w:rsid w:val="003821D7"/>
    <w:rsid w:val="003A38F0"/>
    <w:rsid w:val="003B2345"/>
    <w:rsid w:val="003C4BAD"/>
    <w:rsid w:val="003D39A9"/>
    <w:rsid w:val="003E582E"/>
    <w:rsid w:val="003F069A"/>
    <w:rsid w:val="003F4329"/>
    <w:rsid w:val="004065C0"/>
    <w:rsid w:val="00412534"/>
    <w:rsid w:val="00412C83"/>
    <w:rsid w:val="004173E2"/>
    <w:rsid w:val="00426014"/>
    <w:rsid w:val="00440B70"/>
    <w:rsid w:val="0044617E"/>
    <w:rsid w:val="00460B7D"/>
    <w:rsid w:val="00474BCC"/>
    <w:rsid w:val="00480CB0"/>
    <w:rsid w:val="004849AE"/>
    <w:rsid w:val="0048717D"/>
    <w:rsid w:val="004A1350"/>
    <w:rsid w:val="004B34EA"/>
    <w:rsid w:val="004B5494"/>
    <w:rsid w:val="004C639E"/>
    <w:rsid w:val="004C78BF"/>
    <w:rsid w:val="004C7A2B"/>
    <w:rsid w:val="004C7D3A"/>
    <w:rsid w:val="004F3084"/>
    <w:rsid w:val="005018A8"/>
    <w:rsid w:val="00505A39"/>
    <w:rsid w:val="005076C9"/>
    <w:rsid w:val="0051007F"/>
    <w:rsid w:val="00511A3D"/>
    <w:rsid w:val="005154FC"/>
    <w:rsid w:val="00515B0B"/>
    <w:rsid w:val="00517F77"/>
    <w:rsid w:val="00523541"/>
    <w:rsid w:val="005240BF"/>
    <w:rsid w:val="005255B3"/>
    <w:rsid w:val="005262CB"/>
    <w:rsid w:val="005443F3"/>
    <w:rsid w:val="0055184D"/>
    <w:rsid w:val="00561489"/>
    <w:rsid w:val="00585390"/>
    <w:rsid w:val="00587970"/>
    <w:rsid w:val="005939A5"/>
    <w:rsid w:val="005A0D6D"/>
    <w:rsid w:val="005A148C"/>
    <w:rsid w:val="005A210E"/>
    <w:rsid w:val="005A3448"/>
    <w:rsid w:val="005B3E79"/>
    <w:rsid w:val="005C58FA"/>
    <w:rsid w:val="0060258D"/>
    <w:rsid w:val="00626CD1"/>
    <w:rsid w:val="00630395"/>
    <w:rsid w:val="00632207"/>
    <w:rsid w:val="0063491C"/>
    <w:rsid w:val="00637F32"/>
    <w:rsid w:val="00661AFE"/>
    <w:rsid w:val="0066715A"/>
    <w:rsid w:val="00674569"/>
    <w:rsid w:val="00680F19"/>
    <w:rsid w:val="00695774"/>
    <w:rsid w:val="006A66CB"/>
    <w:rsid w:val="006C1E97"/>
    <w:rsid w:val="006C1F10"/>
    <w:rsid w:val="006D5CE8"/>
    <w:rsid w:val="006D61F0"/>
    <w:rsid w:val="006E2054"/>
    <w:rsid w:val="006E5E28"/>
    <w:rsid w:val="006E6574"/>
    <w:rsid w:val="007061A7"/>
    <w:rsid w:val="00714CF2"/>
    <w:rsid w:val="007156B9"/>
    <w:rsid w:val="00720817"/>
    <w:rsid w:val="00722850"/>
    <w:rsid w:val="0073353F"/>
    <w:rsid w:val="00735A91"/>
    <w:rsid w:val="0073679E"/>
    <w:rsid w:val="00742E45"/>
    <w:rsid w:val="007447AF"/>
    <w:rsid w:val="0074683A"/>
    <w:rsid w:val="00746A9A"/>
    <w:rsid w:val="00750816"/>
    <w:rsid w:val="00754576"/>
    <w:rsid w:val="007634BE"/>
    <w:rsid w:val="00763BE4"/>
    <w:rsid w:val="007657C1"/>
    <w:rsid w:val="007716D3"/>
    <w:rsid w:val="0077755F"/>
    <w:rsid w:val="00786849"/>
    <w:rsid w:val="00796BEC"/>
    <w:rsid w:val="007A406D"/>
    <w:rsid w:val="007A61D6"/>
    <w:rsid w:val="007A62B0"/>
    <w:rsid w:val="007A6560"/>
    <w:rsid w:val="007B6996"/>
    <w:rsid w:val="007C1AB0"/>
    <w:rsid w:val="007C5A0C"/>
    <w:rsid w:val="007E0FEE"/>
    <w:rsid w:val="007F2017"/>
    <w:rsid w:val="007F67D8"/>
    <w:rsid w:val="008159CF"/>
    <w:rsid w:val="00816E05"/>
    <w:rsid w:val="00822166"/>
    <w:rsid w:val="008339BB"/>
    <w:rsid w:val="00854B50"/>
    <w:rsid w:val="00856115"/>
    <w:rsid w:val="008631AF"/>
    <w:rsid w:val="0086419A"/>
    <w:rsid w:val="0087023B"/>
    <w:rsid w:val="00877CCD"/>
    <w:rsid w:val="008A0EB4"/>
    <w:rsid w:val="008A179F"/>
    <w:rsid w:val="008A758F"/>
    <w:rsid w:val="008B0864"/>
    <w:rsid w:val="008B51B4"/>
    <w:rsid w:val="008C490F"/>
    <w:rsid w:val="008C7413"/>
    <w:rsid w:val="008D16B7"/>
    <w:rsid w:val="008D47A1"/>
    <w:rsid w:val="008E05B5"/>
    <w:rsid w:val="008E3E5A"/>
    <w:rsid w:val="008E6AE6"/>
    <w:rsid w:val="008F0116"/>
    <w:rsid w:val="008F143D"/>
    <w:rsid w:val="008F2C32"/>
    <w:rsid w:val="00906E22"/>
    <w:rsid w:val="00927962"/>
    <w:rsid w:val="00932865"/>
    <w:rsid w:val="0097611F"/>
    <w:rsid w:val="0098138E"/>
    <w:rsid w:val="00982D9A"/>
    <w:rsid w:val="0098655A"/>
    <w:rsid w:val="00995480"/>
    <w:rsid w:val="009B0AFB"/>
    <w:rsid w:val="009C5A3A"/>
    <w:rsid w:val="009E6052"/>
    <w:rsid w:val="009E7C7F"/>
    <w:rsid w:val="009F7971"/>
    <w:rsid w:val="00A17CE0"/>
    <w:rsid w:val="00A23D48"/>
    <w:rsid w:val="00A42306"/>
    <w:rsid w:val="00A44E8D"/>
    <w:rsid w:val="00A46EA8"/>
    <w:rsid w:val="00A55ACD"/>
    <w:rsid w:val="00A64C35"/>
    <w:rsid w:val="00A730B0"/>
    <w:rsid w:val="00A75B95"/>
    <w:rsid w:val="00A82F3E"/>
    <w:rsid w:val="00A85D27"/>
    <w:rsid w:val="00A91C21"/>
    <w:rsid w:val="00AB7875"/>
    <w:rsid w:val="00AC68EE"/>
    <w:rsid w:val="00AC7BFD"/>
    <w:rsid w:val="00AD34C4"/>
    <w:rsid w:val="00AE48F6"/>
    <w:rsid w:val="00AF4E40"/>
    <w:rsid w:val="00B01F7E"/>
    <w:rsid w:val="00B136B0"/>
    <w:rsid w:val="00B16C2A"/>
    <w:rsid w:val="00B21C19"/>
    <w:rsid w:val="00B3087D"/>
    <w:rsid w:val="00B34794"/>
    <w:rsid w:val="00B41A28"/>
    <w:rsid w:val="00B6002E"/>
    <w:rsid w:val="00B60421"/>
    <w:rsid w:val="00B81EB6"/>
    <w:rsid w:val="00BA7495"/>
    <w:rsid w:val="00BB0243"/>
    <w:rsid w:val="00BC12B6"/>
    <w:rsid w:val="00BD7BBB"/>
    <w:rsid w:val="00BE0B06"/>
    <w:rsid w:val="00C10B5F"/>
    <w:rsid w:val="00C154F8"/>
    <w:rsid w:val="00C161B6"/>
    <w:rsid w:val="00C708D9"/>
    <w:rsid w:val="00C878D5"/>
    <w:rsid w:val="00C9033B"/>
    <w:rsid w:val="00C913A1"/>
    <w:rsid w:val="00CC6A99"/>
    <w:rsid w:val="00CE669D"/>
    <w:rsid w:val="00CE695B"/>
    <w:rsid w:val="00D00AA3"/>
    <w:rsid w:val="00D0504E"/>
    <w:rsid w:val="00D07F73"/>
    <w:rsid w:val="00D14844"/>
    <w:rsid w:val="00D2041C"/>
    <w:rsid w:val="00D244CF"/>
    <w:rsid w:val="00D2598B"/>
    <w:rsid w:val="00D25ADE"/>
    <w:rsid w:val="00D43297"/>
    <w:rsid w:val="00D44DB6"/>
    <w:rsid w:val="00D50119"/>
    <w:rsid w:val="00D54F64"/>
    <w:rsid w:val="00D60190"/>
    <w:rsid w:val="00D62AB7"/>
    <w:rsid w:val="00D728A0"/>
    <w:rsid w:val="00D75187"/>
    <w:rsid w:val="00D813BA"/>
    <w:rsid w:val="00D82A43"/>
    <w:rsid w:val="00DA7B5D"/>
    <w:rsid w:val="00DC3E45"/>
    <w:rsid w:val="00DD51CA"/>
    <w:rsid w:val="00DF58E7"/>
    <w:rsid w:val="00E057E5"/>
    <w:rsid w:val="00E07D9A"/>
    <w:rsid w:val="00E11876"/>
    <w:rsid w:val="00E17493"/>
    <w:rsid w:val="00E23317"/>
    <w:rsid w:val="00E23CBB"/>
    <w:rsid w:val="00E30C72"/>
    <w:rsid w:val="00E37B59"/>
    <w:rsid w:val="00E47555"/>
    <w:rsid w:val="00E47FF5"/>
    <w:rsid w:val="00E53438"/>
    <w:rsid w:val="00E725FC"/>
    <w:rsid w:val="00E7658C"/>
    <w:rsid w:val="00E900EE"/>
    <w:rsid w:val="00E92317"/>
    <w:rsid w:val="00E9321B"/>
    <w:rsid w:val="00EA36C6"/>
    <w:rsid w:val="00EC30F9"/>
    <w:rsid w:val="00ED5725"/>
    <w:rsid w:val="00ED7031"/>
    <w:rsid w:val="00EE3060"/>
    <w:rsid w:val="00EE4315"/>
    <w:rsid w:val="00EF6925"/>
    <w:rsid w:val="00F00161"/>
    <w:rsid w:val="00F0549D"/>
    <w:rsid w:val="00F07375"/>
    <w:rsid w:val="00F11B72"/>
    <w:rsid w:val="00F243B8"/>
    <w:rsid w:val="00F26ED3"/>
    <w:rsid w:val="00F30CB6"/>
    <w:rsid w:val="00F34E91"/>
    <w:rsid w:val="00F62B7A"/>
    <w:rsid w:val="00F6397D"/>
    <w:rsid w:val="00F7293E"/>
    <w:rsid w:val="00F76650"/>
    <w:rsid w:val="00F813C7"/>
    <w:rsid w:val="00F84B35"/>
    <w:rsid w:val="00F9187B"/>
    <w:rsid w:val="00F92385"/>
    <w:rsid w:val="00FA1B4F"/>
    <w:rsid w:val="00FC47F9"/>
    <w:rsid w:val="00FC58DB"/>
    <w:rsid w:val="00FD52A0"/>
    <w:rsid w:val="00FE2351"/>
    <w:rsid w:val="00FE337D"/>
    <w:rsid w:val="00FE5580"/>
    <w:rsid w:val="00FF110C"/>
    <w:rsid w:val="00FF2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919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uiPriority="4"/>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61AFE"/>
    <w:pPr>
      <w:spacing w:after="0" w:line="360" w:lineRule="auto"/>
      <w:ind w:firstLine="720"/>
    </w:pPr>
    <w:rPr>
      <w:rFonts w:ascii="Book Antiqua" w:hAnsi="Book Antiqua"/>
      <w:sz w:val="26"/>
    </w:rPr>
  </w:style>
  <w:style w:type="paragraph" w:styleId="Heading1">
    <w:name w:val="heading 1"/>
    <w:basedOn w:val="Dummy"/>
    <w:next w:val="Standard"/>
    <w:link w:val="Heading1Char"/>
    <w:uiPriority w:val="4"/>
    <w:qFormat/>
    <w:rsid w:val="000E270A"/>
    <w:pPr>
      <w:numPr>
        <w:numId w:val="22"/>
      </w:numPr>
      <w:ind w:right="2160"/>
    </w:pPr>
    <w:rPr>
      <w:rFonts w:eastAsiaTheme="majorEastAsia" w:cstheme="majorBidi"/>
      <w:szCs w:val="32"/>
    </w:rPr>
  </w:style>
  <w:style w:type="paragraph" w:styleId="Heading2">
    <w:name w:val="heading 2"/>
    <w:basedOn w:val="Dummy"/>
    <w:next w:val="Standard"/>
    <w:link w:val="Heading2Char"/>
    <w:uiPriority w:val="4"/>
    <w:qFormat/>
    <w:rsid w:val="000E270A"/>
    <w:pPr>
      <w:numPr>
        <w:ilvl w:val="1"/>
        <w:numId w:val="22"/>
      </w:numPr>
      <w:ind w:right="2160"/>
      <w:outlineLvl w:val="1"/>
    </w:pPr>
  </w:style>
  <w:style w:type="paragraph" w:styleId="Heading3">
    <w:name w:val="heading 3"/>
    <w:basedOn w:val="Dummy"/>
    <w:next w:val="Standard"/>
    <w:link w:val="Heading3Char"/>
    <w:uiPriority w:val="4"/>
    <w:qFormat/>
    <w:rsid w:val="000E270A"/>
    <w:pPr>
      <w:numPr>
        <w:ilvl w:val="2"/>
        <w:numId w:val="22"/>
      </w:numPr>
      <w:ind w:right="2160"/>
      <w:outlineLvl w:val="2"/>
    </w:pPr>
    <w:rPr>
      <w:rFonts w:eastAsiaTheme="majorEastAsia" w:cstheme="majorBidi"/>
      <w:szCs w:val="24"/>
    </w:rPr>
  </w:style>
  <w:style w:type="paragraph" w:styleId="Heading4">
    <w:name w:val="heading 4"/>
    <w:basedOn w:val="Dummy"/>
    <w:next w:val="Standard"/>
    <w:link w:val="Heading4Char"/>
    <w:uiPriority w:val="4"/>
    <w:rsid w:val="000E270A"/>
    <w:pPr>
      <w:numPr>
        <w:ilvl w:val="3"/>
        <w:numId w:val="22"/>
      </w:numPr>
      <w:ind w:right="2160"/>
      <w:outlineLvl w:val="3"/>
    </w:pPr>
    <w:rPr>
      <w:rFonts w:eastAsiaTheme="majorEastAsia" w:cstheme="majorBidi"/>
      <w:iCs/>
    </w:rPr>
  </w:style>
  <w:style w:type="paragraph" w:styleId="Heading5">
    <w:name w:val="heading 5"/>
    <w:basedOn w:val="Dummy"/>
    <w:next w:val="Standard"/>
    <w:link w:val="Heading5Char"/>
    <w:uiPriority w:val="4"/>
    <w:rsid w:val="000E270A"/>
    <w:pPr>
      <w:numPr>
        <w:ilvl w:val="4"/>
        <w:numId w:val="22"/>
      </w:numPr>
      <w:ind w:right="2160"/>
      <w:outlineLvl w:val="4"/>
    </w:pPr>
    <w:rPr>
      <w:rFonts w:eastAsiaTheme="majorEastAsia" w:cstheme="majorBidi"/>
    </w:rPr>
  </w:style>
  <w:style w:type="paragraph" w:styleId="Heading6">
    <w:name w:val="heading 6"/>
    <w:basedOn w:val="Dummy"/>
    <w:next w:val="Standard"/>
    <w:link w:val="Heading6Char"/>
    <w:uiPriority w:val="4"/>
    <w:rsid w:val="000E270A"/>
    <w:pPr>
      <w:numPr>
        <w:ilvl w:val="5"/>
        <w:numId w:val="22"/>
      </w:numPr>
      <w:spacing w:before="40"/>
      <w:ind w:right="2160"/>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sid w:val="00287BC5"/>
    <w:rPr>
      <w:rFonts w:ascii="Arial" w:eastAsiaTheme="majorEastAsia" w:hAnsi="Arial" w:cstheme="majorBidi"/>
      <w:b/>
      <w:sz w:val="26"/>
      <w:szCs w:val="32"/>
    </w:rPr>
  </w:style>
  <w:style w:type="paragraph" w:styleId="TOCHeading">
    <w:name w:val="TOC Heading"/>
    <w:next w:val="Normal"/>
    <w:uiPriority w:val="39"/>
    <w:unhideWhenUsed/>
    <w:rsid w:val="001E2A62"/>
    <w:pPr>
      <w:spacing w:line="240" w:lineRule="auto"/>
      <w:jc w:val="center"/>
    </w:pPr>
    <w:rPr>
      <w:rFonts w:ascii="Arial" w:eastAsiaTheme="majorEastAsia" w:hAnsi="Arial" w:cstheme="majorBidi"/>
      <w:b/>
      <w:sz w:val="26"/>
      <w:szCs w:val="32"/>
    </w:rPr>
  </w:style>
  <w:style w:type="paragraph" w:styleId="Title">
    <w:name w:val="Title"/>
    <w:basedOn w:val="Dummy"/>
    <w:next w:val="Normal"/>
    <w:link w:val="TitleChar"/>
    <w:uiPriority w:val="10"/>
    <w:semiHidden/>
    <w:rsid w:val="00121089"/>
    <w:pPr>
      <w:spacing w:after="0"/>
      <w:contextualSpacing/>
      <w:jc w:val="center"/>
    </w:pPr>
    <w:rPr>
      <w:rFonts w:eastAsiaTheme="majorEastAsia" w:cstheme="majorBidi"/>
      <w:caps/>
      <w:szCs w:val="56"/>
    </w:rPr>
  </w:style>
  <w:style w:type="character" w:customStyle="1" w:styleId="TitleChar">
    <w:name w:val="Title Char"/>
    <w:basedOn w:val="DefaultParagraphFont"/>
    <w:link w:val="Title"/>
    <w:uiPriority w:val="10"/>
    <w:semiHidden/>
    <w:rsid w:val="0036017B"/>
    <w:rPr>
      <w:rFonts w:ascii="Arial" w:eastAsiaTheme="majorEastAsia" w:hAnsi="Arial" w:cstheme="majorBidi"/>
      <w:b/>
      <w:caps/>
      <w:sz w:val="26"/>
      <w:szCs w:val="56"/>
    </w:rPr>
  </w:style>
  <w:style w:type="paragraph" w:customStyle="1" w:styleId="Dummy">
    <w:name w:val="Dummy"/>
    <w:next w:val="Normal"/>
    <w:uiPriority w:val="19"/>
    <w:rsid w:val="00F62B7A"/>
    <w:pPr>
      <w:keepNext/>
      <w:keepLines/>
      <w:spacing w:after="120" w:line="240" w:lineRule="auto"/>
      <w:outlineLvl w:val="0"/>
    </w:pPr>
    <w:rPr>
      <w:rFonts w:ascii="Arial" w:hAnsi="Arial" w:cs="Arial"/>
      <w:b/>
      <w:sz w:val="26"/>
      <w:szCs w:val="26"/>
    </w:rPr>
  </w:style>
  <w:style w:type="character" w:customStyle="1" w:styleId="Heading2Char">
    <w:name w:val="Heading 2 Char"/>
    <w:basedOn w:val="DefaultParagraphFont"/>
    <w:link w:val="Heading2"/>
    <w:uiPriority w:val="4"/>
    <w:rsid w:val="00287BC5"/>
    <w:rPr>
      <w:rFonts w:ascii="Arial" w:hAnsi="Arial" w:cs="Arial"/>
      <w:b/>
      <w:sz w:val="26"/>
      <w:szCs w:val="26"/>
    </w:rPr>
  </w:style>
  <w:style w:type="character" w:customStyle="1" w:styleId="Heading3Char">
    <w:name w:val="Heading 3 Char"/>
    <w:basedOn w:val="DefaultParagraphFont"/>
    <w:link w:val="Heading3"/>
    <w:uiPriority w:val="4"/>
    <w:rsid w:val="00287BC5"/>
    <w:rPr>
      <w:rFonts w:ascii="Arial" w:eastAsiaTheme="majorEastAsia" w:hAnsi="Arial" w:cstheme="majorBidi"/>
      <w:b/>
      <w:sz w:val="26"/>
      <w:szCs w:val="24"/>
    </w:rPr>
  </w:style>
  <w:style w:type="character" w:customStyle="1" w:styleId="Heading4Char">
    <w:name w:val="Heading 4 Char"/>
    <w:basedOn w:val="DefaultParagraphFont"/>
    <w:link w:val="Heading4"/>
    <w:uiPriority w:val="4"/>
    <w:rsid w:val="00287BC5"/>
    <w:rPr>
      <w:rFonts w:ascii="Arial" w:eastAsiaTheme="majorEastAsia" w:hAnsi="Arial" w:cstheme="majorBidi"/>
      <w:b/>
      <w:iCs/>
      <w:sz w:val="26"/>
      <w:szCs w:val="26"/>
    </w:rPr>
  </w:style>
  <w:style w:type="character" w:customStyle="1" w:styleId="Heading5Char">
    <w:name w:val="Heading 5 Char"/>
    <w:basedOn w:val="DefaultParagraphFont"/>
    <w:link w:val="Heading5"/>
    <w:uiPriority w:val="4"/>
    <w:rsid w:val="00287BC5"/>
    <w:rPr>
      <w:rFonts w:ascii="Arial" w:eastAsiaTheme="majorEastAsia" w:hAnsi="Arial" w:cstheme="majorBidi"/>
      <w:b/>
      <w:sz w:val="26"/>
      <w:szCs w:val="26"/>
    </w:rPr>
  </w:style>
  <w:style w:type="paragraph" w:customStyle="1" w:styleId="Main">
    <w:name w:val="Main"/>
    <w:next w:val="Normal"/>
    <w:uiPriority w:val="19"/>
    <w:rsid w:val="00F62B7A"/>
    <w:pPr>
      <w:spacing w:after="0" w:line="240" w:lineRule="auto"/>
      <w:jc w:val="center"/>
    </w:pPr>
    <w:rPr>
      <w:rFonts w:ascii="Arial" w:eastAsiaTheme="majorEastAsia" w:hAnsi="Arial" w:cstheme="majorBidi"/>
      <w:b/>
      <w:caps/>
      <w:sz w:val="26"/>
      <w:szCs w:val="56"/>
    </w:rPr>
  </w:style>
  <w:style w:type="paragraph" w:customStyle="1" w:styleId="Mainex">
    <w:name w:val="Mainex"/>
    <w:basedOn w:val="Main"/>
    <w:next w:val="Normal"/>
    <w:uiPriority w:val="19"/>
    <w:rsid w:val="000A6E05"/>
    <w:pPr>
      <w:keepNext/>
      <w:spacing w:line="360" w:lineRule="auto"/>
      <w:outlineLvl w:val="0"/>
    </w:pPr>
    <w:rPr>
      <w:spacing w:val="120"/>
    </w:rPr>
  </w:style>
  <w:style w:type="paragraph" w:styleId="TOC2">
    <w:name w:val="toc 2"/>
    <w:basedOn w:val="Normal"/>
    <w:next w:val="Normal"/>
    <w:uiPriority w:val="39"/>
    <w:unhideWhenUsed/>
    <w:rsid w:val="00ED5725"/>
    <w:pPr>
      <w:spacing w:line="240" w:lineRule="auto"/>
      <w:ind w:left="864" w:hanging="648"/>
    </w:pPr>
    <w:rPr>
      <w:rFonts w:eastAsiaTheme="minorEastAsia" w:cs="Times New Roman"/>
    </w:rPr>
  </w:style>
  <w:style w:type="paragraph" w:styleId="TOC1">
    <w:name w:val="toc 1"/>
    <w:basedOn w:val="Normal"/>
    <w:next w:val="Normal"/>
    <w:uiPriority w:val="39"/>
    <w:unhideWhenUsed/>
    <w:rsid w:val="00ED5725"/>
    <w:pPr>
      <w:spacing w:line="240" w:lineRule="auto"/>
      <w:ind w:left="432" w:hanging="432"/>
    </w:pPr>
    <w:rPr>
      <w:rFonts w:eastAsiaTheme="minorEastAsia" w:cs="Times New Roman"/>
    </w:rPr>
  </w:style>
  <w:style w:type="paragraph" w:styleId="TOC3">
    <w:name w:val="toc 3"/>
    <w:basedOn w:val="Normal"/>
    <w:next w:val="Normal"/>
    <w:uiPriority w:val="39"/>
    <w:unhideWhenUsed/>
    <w:rsid w:val="008C7413"/>
    <w:pPr>
      <w:spacing w:line="240" w:lineRule="auto"/>
      <w:ind w:left="1296" w:hanging="864"/>
    </w:pPr>
    <w:rPr>
      <w:rFonts w:eastAsiaTheme="minorEastAsia" w:cs="Times New Roman"/>
    </w:rPr>
  </w:style>
  <w:style w:type="character" w:styleId="Hyperlink">
    <w:name w:val="Hyperlink"/>
    <w:basedOn w:val="DefaultParagraphFont"/>
    <w:uiPriority w:val="99"/>
    <w:rsid w:val="00D82A43"/>
    <w:rPr>
      <w:color w:val="0563C1" w:themeColor="hyperlink"/>
      <w:u w:val="single"/>
    </w:rPr>
  </w:style>
  <w:style w:type="numbering" w:customStyle="1" w:styleId="FoFCoLOP">
    <w:name w:val="FoF/CoL/OP"/>
    <w:uiPriority w:val="99"/>
    <w:rsid w:val="008E6AE6"/>
    <w:pPr>
      <w:numPr>
        <w:numId w:val="2"/>
      </w:numPr>
    </w:pPr>
  </w:style>
  <w:style w:type="paragraph" w:styleId="TOC9">
    <w:name w:val="toc 9"/>
    <w:basedOn w:val="Normal"/>
    <w:next w:val="Normal"/>
    <w:autoRedefine/>
    <w:uiPriority w:val="39"/>
    <w:semiHidden/>
    <w:unhideWhenUsed/>
    <w:rsid w:val="00D82A43"/>
    <w:pPr>
      <w:spacing w:after="100"/>
      <w:ind w:left="2080"/>
    </w:pPr>
  </w:style>
  <w:style w:type="paragraph" w:styleId="Header">
    <w:name w:val="header"/>
    <w:basedOn w:val="Normal"/>
    <w:link w:val="HeaderChar"/>
    <w:uiPriority w:val="99"/>
    <w:semiHidden/>
    <w:rsid w:val="0098138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A56F2"/>
    <w:rPr>
      <w:rFonts w:ascii="Book Antiqua" w:hAnsi="Book Antiqua"/>
      <w:sz w:val="26"/>
    </w:rPr>
  </w:style>
  <w:style w:type="paragraph" w:styleId="Footer">
    <w:name w:val="footer"/>
    <w:basedOn w:val="Normal"/>
    <w:link w:val="FooterChar"/>
    <w:uiPriority w:val="99"/>
    <w:rsid w:val="00EE3060"/>
    <w:pPr>
      <w:tabs>
        <w:tab w:val="center" w:pos="4680"/>
        <w:tab w:val="right" w:pos="9360"/>
      </w:tabs>
      <w:spacing w:line="240" w:lineRule="auto"/>
    </w:pPr>
  </w:style>
  <w:style w:type="character" w:customStyle="1" w:styleId="FooterChar">
    <w:name w:val="Footer Char"/>
    <w:basedOn w:val="DefaultParagraphFont"/>
    <w:link w:val="Footer"/>
    <w:uiPriority w:val="99"/>
    <w:rsid w:val="007657C1"/>
    <w:rPr>
      <w:rFonts w:ascii="Book Antiqua" w:hAnsi="Book Antiqua"/>
      <w:sz w:val="26"/>
    </w:rPr>
  </w:style>
  <w:style w:type="paragraph" w:customStyle="1" w:styleId="BlockQuote">
    <w:name w:val="Block Quote"/>
    <w:basedOn w:val="Standard"/>
    <w:uiPriority w:val="5"/>
    <w:qFormat/>
    <w:rsid w:val="00EA36C6"/>
    <w:pPr>
      <w:spacing w:after="120" w:line="240" w:lineRule="auto"/>
      <w:ind w:left="720" w:right="720" w:firstLine="0"/>
    </w:pPr>
  </w:style>
  <w:style w:type="paragraph" w:styleId="FootnoteText">
    <w:name w:val="footnote text"/>
    <w:aliases w:val="Footnote Text Char1,Footnote Text Char Char,Footnote Text Char2 Char,Footnote Text Char Char Char,Footnote Text Char2 Char Char Char,Footnote Text Char Char Char Char Char,Footnote Text Char2 Char Char Char Char1 Char,fn"/>
    <w:basedOn w:val="Normal"/>
    <w:link w:val="FootnoteTextChar"/>
    <w:uiPriority w:val="99"/>
    <w:rsid w:val="00B01F7E"/>
    <w:pPr>
      <w:spacing w:after="120" w:line="240" w:lineRule="auto"/>
      <w:ind w:firstLine="0"/>
    </w:pPr>
    <w:rPr>
      <w:sz w:val="22"/>
      <w:szCs w:val="20"/>
    </w:rPr>
  </w:style>
  <w:style w:type="character" w:customStyle="1" w:styleId="FootnoteTextChar">
    <w:name w:val="Footnote Text Char"/>
    <w:aliases w:val="Footnote Text Char1 Char,Footnote Text Char Char Char1,Footnote Text Char2 Char Char,Footnote Text Char Char Char Char,Footnote Text Char2 Char Char Char Char,Footnote Text Char Char Char Char Char Char,fn Char"/>
    <w:basedOn w:val="DefaultParagraphFont"/>
    <w:link w:val="FootnoteText"/>
    <w:uiPriority w:val="99"/>
    <w:rsid w:val="007657C1"/>
    <w:rPr>
      <w:rFonts w:ascii="Book Antiqua" w:hAnsi="Book Antiqua"/>
      <w:szCs w:val="20"/>
    </w:rPr>
  </w:style>
  <w:style w:type="character" w:styleId="FootnoteReference">
    <w:name w:val="footnote reference"/>
    <w:basedOn w:val="DefaultParagraphFont"/>
    <w:uiPriority w:val="99"/>
    <w:unhideWhenUsed/>
    <w:rsid w:val="00DF58E7"/>
    <w:rPr>
      <w:vertAlign w:val="superscript"/>
    </w:rPr>
  </w:style>
  <w:style w:type="paragraph" w:customStyle="1" w:styleId="FoF">
    <w:name w:val="FoF"/>
    <w:basedOn w:val="Standard"/>
    <w:uiPriority w:val="6"/>
    <w:qFormat/>
    <w:rsid w:val="001E2A62"/>
    <w:pPr>
      <w:numPr>
        <w:numId w:val="3"/>
      </w:numPr>
      <w:ind w:firstLine="547"/>
    </w:pPr>
  </w:style>
  <w:style w:type="paragraph" w:customStyle="1" w:styleId="CoL">
    <w:name w:val="CoL"/>
    <w:basedOn w:val="Standard"/>
    <w:uiPriority w:val="7"/>
    <w:qFormat/>
    <w:rsid w:val="001E2A62"/>
    <w:pPr>
      <w:numPr>
        <w:numId w:val="4"/>
      </w:numPr>
      <w:ind w:firstLine="547"/>
    </w:pPr>
  </w:style>
  <w:style w:type="paragraph" w:styleId="NoSpacing">
    <w:name w:val="No Spacing"/>
    <w:basedOn w:val="Standard"/>
    <w:uiPriority w:val="1"/>
    <w:rsid w:val="00287BC5"/>
    <w:pPr>
      <w:spacing w:after="120" w:line="240" w:lineRule="auto"/>
      <w:ind w:firstLine="0"/>
      <w:contextualSpacing/>
    </w:pPr>
  </w:style>
  <w:style w:type="paragraph" w:customStyle="1" w:styleId="OP">
    <w:name w:val="OP"/>
    <w:basedOn w:val="Standard"/>
    <w:uiPriority w:val="8"/>
    <w:qFormat/>
    <w:rsid w:val="001E2A62"/>
    <w:pPr>
      <w:numPr>
        <w:numId w:val="5"/>
      </w:numPr>
    </w:pPr>
  </w:style>
  <w:style w:type="paragraph" w:styleId="BalloonText">
    <w:name w:val="Balloon Text"/>
    <w:basedOn w:val="Normal"/>
    <w:link w:val="BalloonTextChar"/>
    <w:uiPriority w:val="99"/>
    <w:semiHidden/>
    <w:unhideWhenUsed/>
    <w:rsid w:val="004C7D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D3A"/>
    <w:rPr>
      <w:rFonts w:ascii="Segoe UI" w:hAnsi="Segoe UI" w:cs="Segoe UI"/>
      <w:sz w:val="18"/>
      <w:szCs w:val="18"/>
    </w:rPr>
  </w:style>
  <w:style w:type="numbering" w:customStyle="1" w:styleId="Headings">
    <w:name w:val="Headings"/>
    <w:uiPriority w:val="99"/>
    <w:rsid w:val="000E270A"/>
    <w:pPr>
      <w:numPr>
        <w:numId w:val="6"/>
      </w:numPr>
    </w:pPr>
  </w:style>
  <w:style w:type="paragraph" w:customStyle="1" w:styleId="Standard">
    <w:name w:val="Standard"/>
    <w:basedOn w:val="Normal"/>
    <w:qFormat/>
    <w:rsid w:val="007A406D"/>
  </w:style>
  <w:style w:type="paragraph" w:customStyle="1" w:styleId="ListAlpha">
    <w:name w:val="List Alpha"/>
    <w:basedOn w:val="Standard"/>
    <w:uiPriority w:val="4"/>
    <w:qFormat/>
    <w:rsid w:val="000E270A"/>
    <w:pPr>
      <w:numPr>
        <w:ilvl w:val="7"/>
        <w:numId w:val="22"/>
      </w:numPr>
      <w:spacing w:after="120" w:line="240" w:lineRule="auto"/>
    </w:pPr>
  </w:style>
  <w:style w:type="paragraph" w:styleId="ListBullet">
    <w:name w:val="List Bullet"/>
    <w:basedOn w:val="Standard"/>
    <w:uiPriority w:val="4"/>
    <w:qFormat/>
    <w:rsid w:val="001F2819"/>
    <w:pPr>
      <w:numPr>
        <w:numId w:val="9"/>
      </w:numPr>
      <w:tabs>
        <w:tab w:val="clear" w:pos="360"/>
      </w:tabs>
      <w:spacing w:after="120" w:line="240" w:lineRule="auto"/>
      <w:ind w:left="1080"/>
    </w:pPr>
  </w:style>
  <w:style w:type="character" w:customStyle="1" w:styleId="Heading6Char">
    <w:name w:val="Heading 6 Char"/>
    <w:basedOn w:val="DefaultParagraphFont"/>
    <w:link w:val="Heading6"/>
    <w:uiPriority w:val="4"/>
    <w:rsid w:val="00287BC5"/>
    <w:rPr>
      <w:rFonts w:ascii="Arial" w:eastAsiaTheme="majorEastAsia" w:hAnsi="Arial" w:cstheme="majorBidi"/>
      <w:b/>
      <w:sz w:val="26"/>
      <w:szCs w:val="26"/>
    </w:rPr>
  </w:style>
  <w:style w:type="paragraph" w:styleId="TOC4">
    <w:name w:val="toc 4"/>
    <w:basedOn w:val="Normal"/>
    <w:next w:val="Normal"/>
    <w:autoRedefine/>
    <w:uiPriority w:val="39"/>
    <w:unhideWhenUsed/>
    <w:rsid w:val="008C7413"/>
    <w:pPr>
      <w:spacing w:line="240" w:lineRule="auto"/>
      <w:ind w:left="1728" w:hanging="1080"/>
    </w:pPr>
  </w:style>
  <w:style w:type="paragraph" w:styleId="TOC5">
    <w:name w:val="toc 5"/>
    <w:basedOn w:val="Normal"/>
    <w:next w:val="Normal"/>
    <w:autoRedefine/>
    <w:uiPriority w:val="39"/>
    <w:unhideWhenUsed/>
    <w:rsid w:val="008C7413"/>
    <w:pPr>
      <w:spacing w:line="240" w:lineRule="auto"/>
      <w:ind w:left="2160" w:hanging="1296"/>
    </w:pPr>
  </w:style>
  <w:style w:type="paragraph" w:styleId="TOC6">
    <w:name w:val="toc 6"/>
    <w:basedOn w:val="Normal"/>
    <w:next w:val="Normal"/>
    <w:autoRedefine/>
    <w:uiPriority w:val="39"/>
    <w:unhideWhenUsed/>
    <w:rsid w:val="008C7413"/>
    <w:pPr>
      <w:spacing w:line="240" w:lineRule="auto"/>
      <w:ind w:left="2592" w:hanging="1512"/>
    </w:pPr>
  </w:style>
  <w:style w:type="paragraph" w:customStyle="1" w:styleId="TableText">
    <w:name w:val="Table Text"/>
    <w:basedOn w:val="NoSpacing"/>
    <w:uiPriority w:val="5"/>
    <w:rsid w:val="00E53438"/>
    <w:pPr>
      <w:spacing w:after="0"/>
    </w:pPr>
    <w:rPr>
      <w:sz w:val="22"/>
    </w:rPr>
  </w:style>
  <w:style w:type="paragraph" w:customStyle="1" w:styleId="ListNum">
    <w:name w:val="List Num"/>
    <w:basedOn w:val="Standard"/>
    <w:uiPriority w:val="4"/>
    <w:rsid w:val="000E270A"/>
    <w:pPr>
      <w:numPr>
        <w:ilvl w:val="6"/>
        <w:numId w:val="22"/>
      </w:numPr>
      <w:spacing w:after="120" w:line="240" w:lineRule="auto"/>
    </w:pPr>
  </w:style>
  <w:style w:type="paragraph" w:styleId="ListParagraph">
    <w:name w:val="List Paragraph"/>
    <w:basedOn w:val="Normal"/>
    <w:uiPriority w:val="34"/>
    <w:rsid w:val="00BD7BBB"/>
    <w:pPr>
      <w:ind w:left="720"/>
      <w:contextualSpacing/>
    </w:pPr>
  </w:style>
  <w:style w:type="paragraph" w:styleId="Revision">
    <w:name w:val="Revision"/>
    <w:hidden/>
    <w:uiPriority w:val="99"/>
    <w:semiHidden/>
    <w:rsid w:val="00D2598B"/>
    <w:pPr>
      <w:spacing w:after="0" w:line="240" w:lineRule="auto"/>
    </w:pPr>
    <w:rPr>
      <w:rFonts w:ascii="Book Antiqua" w:hAnsi="Book Antiqua"/>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417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92CBF-97EE-47CC-813F-1B66EA5AD97B}">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6</ap:Pages>
  <ap:Words>1017</ap:Words>
  <ap:Characters>5800</ap:Characters>
  <ap:Application>Microsoft Office Word</ap:Application>
  <ap:DocSecurity>0</ap:DocSecurity>
  <ap:Lines>48</ap:Lines>
  <ap:Paragraphs>13</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6804</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2023-03-24T19:22:00Z</cp:lastPrinted>
  <dcterms:created xsi:type="dcterms:W3CDTF">2025-01-24T10:57:31Z</dcterms:created>
  <dcterms:modified xsi:type="dcterms:W3CDTF">2025-01-24T10:57:31Z</dcterms:modified>
</cp:coreProperties>
</file>