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6F01" w:rsidR="008031E4" w:rsidP="008031E4" w:rsidRDefault="008031E4" w14:paraId="090AAF1D" w14:textId="77777777">
      <w:pPr>
        <w:pBdr>
          <w:bottom w:val="double" w:color="auto" w:sz="6" w:space="1"/>
        </w:pBdr>
        <w:tabs>
          <w:tab w:val="right" w:pos="9630"/>
          <w:tab w:val="left" w:pos="9720"/>
        </w:tabs>
        <w:ind w:right="-450"/>
        <w:rPr>
          <w:rFonts w:ascii="Arial" w:hAnsi="Arial"/>
          <w:i/>
          <w:sz w:val="26"/>
        </w:rPr>
      </w:pPr>
      <w:r>
        <w:rPr>
          <w:rFonts w:ascii="Arial" w:hAnsi="Arial"/>
          <w:sz w:val="16"/>
        </w:rPr>
        <w:t>S</w:t>
      </w:r>
      <w:r w:rsidRPr="007D6F01">
        <w:rPr>
          <w:rFonts w:ascii="Arial" w:hAnsi="Arial"/>
          <w:sz w:val="16"/>
        </w:rPr>
        <w:t>TATE OF CALIFORNIA</w:t>
      </w:r>
      <w:r w:rsidRPr="007D6F01">
        <w:rPr>
          <w:rFonts w:ascii="Arial" w:hAnsi="Arial"/>
          <w:sz w:val="26"/>
        </w:rPr>
        <w:tab/>
      </w:r>
      <w:r w:rsidRPr="007D6F01">
        <w:rPr>
          <w:rFonts w:ascii="Arial" w:hAnsi="Arial"/>
          <w:sz w:val="16"/>
          <w:szCs w:val="16"/>
        </w:rPr>
        <w:t>GAVIN NEWSOM.,</w:t>
      </w:r>
      <w:r w:rsidRPr="007D6F01">
        <w:rPr>
          <w:rFonts w:ascii="Arial" w:hAnsi="Arial"/>
          <w:sz w:val="26"/>
        </w:rPr>
        <w:t xml:space="preserve"> </w:t>
      </w:r>
      <w:r w:rsidRPr="007D6F01">
        <w:rPr>
          <w:rFonts w:ascii="Arial" w:hAnsi="Arial"/>
          <w:i/>
          <w:sz w:val="16"/>
        </w:rPr>
        <w:t>Governor</w:t>
      </w:r>
    </w:p>
    <w:p w:rsidRPr="007D6F01" w:rsidR="008031E4" w:rsidP="008031E4" w:rsidRDefault="008031E4" w14:paraId="79EC9EDC" w14:textId="77777777">
      <w:pPr>
        <w:tabs>
          <w:tab w:val="right" w:pos="11070"/>
        </w:tabs>
        <w:spacing w:before="80"/>
        <w:ind w:left="90" w:right="-450" w:hanging="90"/>
        <w:rPr>
          <w:rFonts w:ascii="Arial" w:hAnsi="Arial"/>
          <w:sz w:val="26"/>
        </w:rPr>
      </w:pPr>
      <w:r w:rsidRPr="007D6F01">
        <w:rPr>
          <w:rFonts w:ascii="Arial" w:hAnsi="Arial"/>
          <w:sz w:val="26"/>
        </w:rPr>
        <w:t>PUBLIC UTILITIES COMMISSION</w:t>
      </w:r>
    </w:p>
    <w:p w:rsidRPr="007D6F01" w:rsidR="008031E4" w:rsidP="008031E4" w:rsidRDefault="008031E4" w14:paraId="05974806" w14:textId="77777777">
      <w:pPr>
        <w:tabs>
          <w:tab w:val="right" w:pos="11070"/>
        </w:tabs>
        <w:spacing w:before="80"/>
        <w:ind w:right="-450"/>
        <w:rPr>
          <w:rFonts w:ascii="Arial" w:hAnsi="Arial"/>
          <w:sz w:val="12"/>
        </w:rPr>
      </w:pPr>
      <w:r w:rsidRPr="007D6F01">
        <w:rPr>
          <w:rFonts w:ascii="Arial" w:hAnsi="Arial"/>
          <w:sz w:val="12"/>
        </w:rPr>
        <w:t>505 VAN NESS AVENUE</w:t>
      </w:r>
    </w:p>
    <w:p w:rsidRPr="007D6F01" w:rsidR="008031E4" w:rsidP="008031E4" w:rsidRDefault="008031E4" w14:paraId="17B2C973" w14:textId="77777777">
      <w:pPr>
        <w:tabs>
          <w:tab w:val="right" w:pos="11070"/>
        </w:tabs>
        <w:spacing w:before="80"/>
        <w:ind w:right="-450"/>
        <w:rPr>
          <w:rFonts w:ascii="Arial" w:hAnsi="Arial"/>
          <w:sz w:val="12"/>
        </w:rPr>
      </w:pPr>
      <w:r w:rsidRPr="007D6F01">
        <w:rPr>
          <w:rFonts w:ascii="Arial" w:hAnsi="Arial"/>
          <w:sz w:val="12"/>
        </w:rPr>
        <w:t>SAN FRANCISCO, CA 94102-3298</w:t>
      </w:r>
    </w:p>
    <w:p w:rsidRPr="007D6F01" w:rsidR="008031E4" w:rsidP="008031E4" w:rsidRDefault="008031E4" w14:paraId="40E70E41" w14:textId="77777777">
      <w:pPr>
        <w:tabs>
          <w:tab w:val="left" w:pos="6930"/>
        </w:tabs>
        <w:ind w:left="547" w:right="1282"/>
        <w:rPr>
          <w:rFonts w:ascii="Arial" w:hAnsi="Arial"/>
          <w:sz w:val="16"/>
        </w:rPr>
      </w:pPr>
    </w:p>
    <w:p w:rsidRPr="007D6F01" w:rsidR="008031E4" w:rsidP="008031E4" w:rsidRDefault="008031E4" w14:paraId="7B1AA668" w14:textId="77777777">
      <w:pPr>
        <w:tabs>
          <w:tab w:val="left" w:pos="6930"/>
        </w:tabs>
        <w:ind w:left="547" w:right="1282"/>
        <w:rPr>
          <w:sz w:val="26"/>
        </w:rPr>
      </w:pPr>
    </w:p>
    <w:p w:rsidR="008031E4" w:rsidP="008031E4" w:rsidRDefault="008031E4" w14:paraId="486ED8F8" w14:textId="77777777">
      <w:pPr>
        <w:tabs>
          <w:tab w:val="left" w:pos="6930"/>
        </w:tabs>
        <w:ind w:left="547" w:right="1282"/>
        <w:rPr>
          <w:sz w:val="26"/>
        </w:rPr>
      </w:pPr>
    </w:p>
    <w:p w:rsidRPr="007D6F01" w:rsidR="008031E4" w:rsidP="008031E4" w:rsidRDefault="008031E4" w14:paraId="5F867F3A" w14:textId="77777777">
      <w:pPr>
        <w:tabs>
          <w:tab w:val="left" w:pos="6930"/>
        </w:tabs>
        <w:ind w:left="547" w:right="1282"/>
        <w:rPr>
          <w:sz w:val="26"/>
        </w:rPr>
      </w:pPr>
    </w:p>
    <w:p w:rsidRPr="008031E4" w:rsidR="008031E4" w:rsidP="008031E4" w:rsidRDefault="008031E4" w14:paraId="45CBCBCE" w14:textId="69EB36B0">
      <w:pPr>
        <w:rPr>
          <w:rFonts w:ascii="Book Antiqua" w:hAnsi="Book Antiqua"/>
          <w:szCs w:val="24"/>
        </w:rPr>
      </w:pPr>
      <w:r w:rsidRPr="008031E4">
        <w:rPr>
          <w:rFonts w:ascii="Book Antiqua" w:hAnsi="Book Antiqua"/>
          <w:szCs w:val="24"/>
        </w:rPr>
        <w:t>February 6, 2025</w:t>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b/>
          <w:bCs/>
          <w:szCs w:val="24"/>
        </w:rPr>
        <w:t>Agenda ID #23304</w:t>
      </w:r>
    </w:p>
    <w:p w:rsidRPr="008031E4" w:rsidR="008031E4" w:rsidP="008031E4" w:rsidRDefault="008031E4" w14:paraId="365681B7" w14:textId="77777777">
      <w:pPr>
        <w:rPr>
          <w:rFonts w:ascii="Book Antiqua" w:hAnsi="Book Antiqua"/>
          <w:szCs w:val="24"/>
        </w:rPr>
      </w:pPr>
    </w:p>
    <w:p w:rsidRPr="008031E4" w:rsidR="008031E4" w:rsidP="008031E4" w:rsidRDefault="008031E4" w14:paraId="2FBB2831" w14:textId="77777777">
      <w:pPr>
        <w:rPr>
          <w:rFonts w:ascii="Book Antiqua" w:hAnsi="Book Antiqua"/>
          <w:szCs w:val="24"/>
        </w:rPr>
      </w:pPr>
    </w:p>
    <w:p w:rsidRPr="008031E4" w:rsidR="008031E4" w:rsidP="008031E4" w:rsidRDefault="008031E4" w14:paraId="3A01AA0E" w14:textId="6B8A1C8C">
      <w:pPr>
        <w:rPr>
          <w:rFonts w:ascii="Book Antiqua" w:hAnsi="Book Antiqua"/>
          <w:szCs w:val="24"/>
          <w:u w:val="single"/>
        </w:rPr>
      </w:pPr>
      <w:r w:rsidRPr="008031E4">
        <w:rPr>
          <w:rFonts w:ascii="Book Antiqua" w:hAnsi="Book Antiqua"/>
          <w:szCs w:val="24"/>
        </w:rPr>
        <w:t>TO PARTIES OF RECORD IN DRAFT RESOLUTION ALJ-475:</w:t>
      </w:r>
    </w:p>
    <w:p w:rsidRPr="008031E4" w:rsidR="008031E4" w:rsidP="008031E4" w:rsidRDefault="008031E4" w14:paraId="6CE5B526" w14:textId="77777777">
      <w:pPr>
        <w:rPr>
          <w:rFonts w:ascii="Book Antiqua" w:hAnsi="Book Antiqua"/>
          <w:szCs w:val="24"/>
        </w:rPr>
      </w:pPr>
    </w:p>
    <w:p w:rsidRPr="008031E4" w:rsidR="008031E4" w:rsidP="008031E4" w:rsidRDefault="008031E4" w14:paraId="43635962" w14:textId="28BA4B32">
      <w:pPr>
        <w:rPr>
          <w:rFonts w:ascii="Book Antiqua" w:hAnsi="Book Antiqua"/>
          <w:szCs w:val="24"/>
        </w:rPr>
      </w:pPr>
      <w:r w:rsidRPr="008031E4">
        <w:rPr>
          <w:rFonts w:ascii="Book Antiqua" w:hAnsi="Book Antiqua"/>
          <w:szCs w:val="24"/>
        </w:rPr>
        <w:t xml:space="preserve">This is the draft Resolution of Assistant Chief Administrative Law Judge (ACALJ) MacDonald resolving the Appeal K.24-06-003.  It will not appear on the Commission’s agenda sooner than 30 days </w:t>
      </w:r>
      <w:proofErr w:type="gramStart"/>
      <w:r w:rsidRPr="008031E4">
        <w:rPr>
          <w:rFonts w:ascii="Book Antiqua" w:hAnsi="Book Antiqua"/>
          <w:szCs w:val="24"/>
        </w:rPr>
        <w:t>from</w:t>
      </w:r>
      <w:proofErr w:type="gramEnd"/>
      <w:r w:rsidRPr="008031E4">
        <w:rPr>
          <w:rFonts w:ascii="Book Antiqua" w:hAnsi="Book Antiqua"/>
          <w:szCs w:val="24"/>
        </w:rPr>
        <w:t xml:space="preserve"> the date it is mailed.  The Commission may act then, or it may postpone action until later. </w:t>
      </w:r>
    </w:p>
    <w:p w:rsidRPr="008031E4" w:rsidR="008031E4" w:rsidP="008031E4" w:rsidRDefault="008031E4" w14:paraId="5568D1B4" w14:textId="77777777">
      <w:pPr>
        <w:rPr>
          <w:rFonts w:ascii="Book Antiqua" w:hAnsi="Book Antiqua"/>
          <w:szCs w:val="24"/>
        </w:rPr>
      </w:pPr>
    </w:p>
    <w:p w:rsidRPr="008031E4" w:rsidR="008031E4" w:rsidP="008031E4" w:rsidRDefault="008031E4" w14:paraId="3141BCB6" w14:textId="77777777">
      <w:pPr>
        <w:rPr>
          <w:rFonts w:ascii="Book Antiqua" w:hAnsi="Book Antiqua"/>
          <w:szCs w:val="24"/>
        </w:rPr>
      </w:pPr>
      <w:r w:rsidRPr="008031E4">
        <w:rPr>
          <w:rFonts w:ascii="Book Antiqua" w:hAnsi="Book Antiqua"/>
          <w:szCs w:val="24"/>
        </w:rPr>
        <w:t xml:space="preserve">When the Commission acts on the draft resolution, it may adopt all or part of it as written, amend or modify it, or set it aside and prepare its own order.  Only when the Commission acts </w:t>
      </w:r>
      <w:proofErr w:type="gramStart"/>
      <w:r w:rsidRPr="008031E4">
        <w:rPr>
          <w:rFonts w:ascii="Book Antiqua" w:hAnsi="Book Antiqua"/>
          <w:szCs w:val="24"/>
        </w:rPr>
        <w:t>does</w:t>
      </w:r>
      <w:proofErr w:type="gramEnd"/>
      <w:r w:rsidRPr="008031E4">
        <w:rPr>
          <w:rFonts w:ascii="Book Antiqua" w:hAnsi="Book Antiqua"/>
          <w:szCs w:val="24"/>
        </w:rPr>
        <w:t xml:space="preserve"> the resolution become binding on the parties.</w:t>
      </w:r>
    </w:p>
    <w:p w:rsidRPr="008031E4" w:rsidR="008031E4" w:rsidP="008031E4" w:rsidRDefault="008031E4" w14:paraId="41F14F2F" w14:textId="77777777">
      <w:pPr>
        <w:rPr>
          <w:rFonts w:ascii="Book Antiqua" w:hAnsi="Book Antiqua"/>
          <w:szCs w:val="24"/>
        </w:rPr>
      </w:pPr>
    </w:p>
    <w:p w:rsidRPr="008031E4" w:rsidR="008031E4" w:rsidP="008031E4" w:rsidRDefault="008031E4" w14:paraId="61779956" w14:textId="625247BC">
      <w:pPr>
        <w:pStyle w:val="Default"/>
      </w:pPr>
      <w:r w:rsidRPr="008031E4">
        <w:t xml:space="preserve">You may serve comments on the draft resolution. Comments shall be served (but not filed) within 20 days of the date that the draft Resolution is first noticed in the Commission’s Daily Calendar, </w:t>
      </w:r>
      <w:hyperlink w:history="1" r:id="rId11">
        <w:r w:rsidRPr="008031E4">
          <w:rPr>
            <w:rStyle w:val="Hyperlink"/>
          </w:rPr>
          <w:t>http://docs.cpuc.ca.gov/SearchRes.aspx?DocTypeID=9&amp;Latest=1</w:t>
        </w:r>
      </w:hyperlink>
      <w:r w:rsidRPr="008031E4">
        <w:t xml:space="preserve">, as provided in Rule 14.5 of the Commission’s Rules of Practice and Procedure. Comments shall be served upon all </w:t>
      </w:r>
      <w:proofErr w:type="gramStart"/>
      <w:r w:rsidRPr="008031E4">
        <w:t>persons</w:t>
      </w:r>
      <w:proofErr w:type="gramEnd"/>
      <w:r w:rsidRPr="008031E4">
        <w:t xml:space="preserve"> on this proceeding’s service list and on ACALJ Katherine MacDonald at </w:t>
      </w:r>
      <w:hyperlink w:history="1" r:id="rId12">
        <w:r w:rsidRPr="008031E4">
          <w:rPr>
            <w:rStyle w:val="Hyperlink"/>
          </w:rPr>
          <w:t>kk3 @cpuc.ca.gov</w:t>
        </w:r>
      </w:hyperlink>
      <w:r w:rsidRPr="008031E4">
        <w:t>.</w:t>
      </w:r>
    </w:p>
    <w:p w:rsidRPr="008031E4" w:rsidR="008031E4" w:rsidP="008031E4" w:rsidRDefault="008031E4" w14:paraId="44425B39" w14:textId="77777777">
      <w:pPr>
        <w:rPr>
          <w:rFonts w:ascii="Book Antiqua" w:hAnsi="Book Antiqua"/>
          <w:szCs w:val="24"/>
        </w:rPr>
      </w:pPr>
    </w:p>
    <w:p w:rsidRPr="008031E4" w:rsidR="008031E4" w:rsidP="008031E4" w:rsidRDefault="008031E4" w14:paraId="40B27186" w14:textId="77777777">
      <w:pPr>
        <w:rPr>
          <w:rFonts w:ascii="Book Antiqua" w:hAnsi="Book Antiqua"/>
          <w:szCs w:val="24"/>
        </w:rPr>
      </w:pPr>
    </w:p>
    <w:p w:rsidRPr="008031E4" w:rsidR="008031E4" w:rsidP="008031E4" w:rsidRDefault="008031E4" w14:paraId="18B9F707" w14:textId="21A4CF9A">
      <w:pPr>
        <w:outlineLvl w:val="0"/>
        <w:rPr>
          <w:rFonts w:ascii="Book Antiqua" w:hAnsi="Book Antiqua"/>
          <w:szCs w:val="24"/>
          <w:u w:val="single"/>
        </w:rPr>
      </w:pPr>
      <w:r w:rsidRPr="008031E4">
        <w:rPr>
          <w:rFonts w:ascii="Book Antiqua" w:hAnsi="Book Antiqua"/>
          <w:szCs w:val="24"/>
          <w:u w:val="single"/>
        </w:rPr>
        <w:t>/s</w:t>
      </w:r>
      <w:proofErr w:type="gramStart"/>
      <w:r w:rsidRPr="008031E4">
        <w:rPr>
          <w:rFonts w:ascii="Book Antiqua" w:hAnsi="Book Antiqua"/>
          <w:szCs w:val="24"/>
          <w:u w:val="single"/>
        </w:rPr>
        <w:t>/  MICHELLE</w:t>
      </w:r>
      <w:proofErr w:type="gramEnd"/>
      <w:r w:rsidRPr="008031E4">
        <w:rPr>
          <w:rFonts w:ascii="Book Antiqua" w:hAnsi="Book Antiqua"/>
          <w:szCs w:val="24"/>
          <w:u w:val="single"/>
        </w:rPr>
        <w:t xml:space="preserve"> COOKE</w:t>
      </w:r>
      <w:r w:rsidRPr="008031E4">
        <w:rPr>
          <w:rFonts w:ascii="Book Antiqua" w:hAnsi="Book Antiqua"/>
          <w:szCs w:val="24"/>
          <w:u w:val="single"/>
        </w:rPr>
        <w:tab/>
      </w:r>
      <w:r w:rsidRPr="008031E4">
        <w:rPr>
          <w:rFonts w:ascii="Book Antiqua" w:hAnsi="Book Antiqua"/>
          <w:szCs w:val="24"/>
          <w:u w:val="single"/>
        </w:rPr>
        <w:tab/>
      </w:r>
    </w:p>
    <w:p w:rsidRPr="008031E4" w:rsidR="008031E4" w:rsidP="008031E4" w:rsidRDefault="008031E4" w14:paraId="314676C0" w14:textId="77777777">
      <w:pPr>
        <w:outlineLvl w:val="0"/>
        <w:rPr>
          <w:rFonts w:ascii="Book Antiqua" w:hAnsi="Book Antiqua"/>
          <w:szCs w:val="24"/>
        </w:rPr>
      </w:pPr>
      <w:r w:rsidRPr="008031E4">
        <w:rPr>
          <w:rFonts w:ascii="Book Antiqua" w:hAnsi="Book Antiqua"/>
          <w:szCs w:val="24"/>
        </w:rPr>
        <w:t>Michelle Cooke</w:t>
      </w:r>
      <w:r w:rsidRPr="008031E4">
        <w:rPr>
          <w:szCs w:val="24"/>
        </w:rPr>
        <w:br/>
      </w:r>
      <w:r w:rsidRPr="008031E4">
        <w:rPr>
          <w:rFonts w:ascii="Book Antiqua" w:hAnsi="Book Antiqua"/>
          <w:szCs w:val="24"/>
        </w:rPr>
        <w:t>Chief Administrative Law Judge</w:t>
      </w:r>
    </w:p>
    <w:p w:rsidRPr="008031E4" w:rsidR="008031E4" w:rsidP="008031E4" w:rsidRDefault="008031E4" w14:paraId="774667DB" w14:textId="77777777">
      <w:pPr>
        <w:rPr>
          <w:rFonts w:ascii="Book Antiqua" w:hAnsi="Book Antiqua"/>
          <w:szCs w:val="24"/>
        </w:rPr>
      </w:pPr>
    </w:p>
    <w:p w:rsidRPr="008031E4" w:rsidR="008031E4" w:rsidP="008031E4" w:rsidRDefault="008031E4" w14:paraId="630B4108" w14:textId="63A10923">
      <w:pPr>
        <w:outlineLvl w:val="0"/>
        <w:rPr>
          <w:rFonts w:ascii="Book Antiqua" w:hAnsi="Book Antiqua"/>
          <w:szCs w:val="24"/>
          <w:u w:val="single"/>
        </w:rPr>
      </w:pPr>
      <w:proofErr w:type="spellStart"/>
      <w:proofErr w:type="gramStart"/>
      <w:r w:rsidRPr="008031E4">
        <w:rPr>
          <w:rFonts w:ascii="Book Antiqua" w:hAnsi="Book Antiqua"/>
          <w:szCs w:val="24"/>
        </w:rPr>
        <w:t>MLC:sgu</w:t>
      </w:r>
      <w:proofErr w:type="spellEnd"/>
      <w:proofErr w:type="gramEnd"/>
    </w:p>
    <w:p w:rsidRPr="008031E4" w:rsidR="008031E4" w:rsidP="008031E4" w:rsidRDefault="008031E4" w14:paraId="41CAAF24" w14:textId="77777777">
      <w:pPr>
        <w:outlineLvl w:val="0"/>
        <w:rPr>
          <w:rFonts w:ascii="Book Antiqua" w:hAnsi="Book Antiqua"/>
          <w:szCs w:val="24"/>
        </w:rPr>
      </w:pPr>
    </w:p>
    <w:p w:rsidRPr="008031E4" w:rsidR="008031E4" w:rsidP="008031E4" w:rsidRDefault="008031E4" w14:paraId="17ADCCC0" w14:textId="77777777">
      <w:pPr>
        <w:rPr>
          <w:rFonts w:ascii="Book Antiqua" w:hAnsi="Book Antiqua"/>
          <w:szCs w:val="24"/>
        </w:rPr>
      </w:pPr>
      <w:r w:rsidRPr="008031E4">
        <w:rPr>
          <w:rFonts w:ascii="Book Antiqua" w:hAnsi="Book Antiqua"/>
          <w:szCs w:val="24"/>
        </w:rPr>
        <w:t>Attachment</w:t>
      </w:r>
    </w:p>
    <w:p w:rsidR="008031E4" w:rsidP="008031E4" w:rsidRDefault="008031E4" w14:paraId="01949EF8" w14:textId="77777777"/>
    <w:p w:rsidRPr="009B789A" w:rsidR="00C47C2A" w:rsidRDefault="00C47C2A" w14:paraId="39729009" w14:textId="77777777">
      <w:pPr>
        <w:pStyle w:val="Title"/>
      </w:pPr>
    </w:p>
    <w:p w:rsidR="008031E4" w:rsidRDefault="008031E4" w14:paraId="60BEE6B4" w14:textId="77777777">
      <w:pPr>
        <w:pStyle w:val="Title"/>
        <w:rPr>
          <w:rFonts w:ascii="Arial" w:hAnsi="Arial" w:cs="Arial"/>
        </w:rPr>
        <w:sectPr w:rsidR="008031E4" w:rsidSect="00B170BB">
          <w:headerReference w:type="default" r:id="rId13"/>
          <w:footerReference w:type="default" r:id="rId14"/>
          <w:headerReference w:type="first" r:id="rId15"/>
          <w:pgSz w:w="12240" w:h="15840" w:code="1"/>
          <w:pgMar w:top="1440" w:right="1440" w:bottom="1440" w:left="1440" w:header="720" w:footer="720" w:gutter="0"/>
          <w:pgNumType w:fmt="numberInDash" w:start="1"/>
          <w:cols w:space="720"/>
          <w:titlePg/>
        </w:sectPr>
      </w:pPr>
    </w:p>
    <w:p w:rsidRPr="009B789A" w:rsidR="00C47C2A" w:rsidRDefault="00C47C2A" w14:paraId="7B0C6F19" w14:textId="77777777">
      <w:pPr>
        <w:pStyle w:val="Title"/>
        <w:rPr>
          <w:rFonts w:ascii="Arial" w:hAnsi="Arial" w:cs="Arial"/>
        </w:rPr>
      </w:pPr>
      <w:r w:rsidRPr="009B789A">
        <w:rPr>
          <w:rFonts w:ascii="Arial" w:hAnsi="Arial" w:cs="Arial"/>
        </w:rPr>
        <w:lastRenderedPageBreak/>
        <w:t>PUBLIC UTILITIES COMMISSION OF THE STATE OF CALIFORNIA</w:t>
      </w:r>
    </w:p>
    <w:p w:rsidRPr="009B789A" w:rsidR="00C47C2A" w:rsidRDefault="00C47C2A" w14:paraId="270F1D60" w14:textId="77777777"/>
    <w:p w:rsidRPr="008031E4" w:rsidR="00C47C2A" w:rsidRDefault="00C47C2A" w14:paraId="09E6B921" w14:textId="77777777">
      <w:pPr>
        <w:rPr>
          <w:rFonts w:ascii="Book Antiqua" w:hAnsi="Book Antiqua"/>
          <w:szCs w:val="24"/>
        </w:rPr>
      </w:pPr>
      <w:r w:rsidRPr="009B789A">
        <w:tab/>
      </w:r>
      <w:r w:rsidRPr="009B789A">
        <w:tab/>
      </w:r>
      <w:r w:rsidRPr="009B789A">
        <w:tab/>
      </w:r>
      <w:r w:rsidRPr="009B789A">
        <w:tab/>
      </w:r>
      <w:r w:rsidRPr="008031E4">
        <w:rPr>
          <w:szCs w:val="24"/>
        </w:rPr>
        <w:tab/>
      </w:r>
      <w:r w:rsidRPr="008031E4">
        <w:rPr>
          <w:rFonts w:ascii="Book Antiqua" w:hAnsi="Book Antiqua"/>
          <w:szCs w:val="24"/>
        </w:rPr>
        <w:t>Resolution ALJ-</w:t>
      </w:r>
      <w:r w:rsidRPr="008031E4" w:rsidR="00B170BB">
        <w:rPr>
          <w:rFonts w:ascii="Book Antiqua" w:hAnsi="Book Antiqua"/>
          <w:szCs w:val="24"/>
        </w:rPr>
        <w:t>475</w:t>
      </w:r>
    </w:p>
    <w:p w:rsidRPr="008031E4" w:rsidR="00C47C2A" w:rsidRDefault="00C47C2A" w14:paraId="7358E4E0" w14:textId="77777777">
      <w:pPr>
        <w:rPr>
          <w:rFonts w:ascii="Book Antiqua" w:hAnsi="Book Antiqua"/>
          <w:szCs w:val="24"/>
        </w:rPr>
      </w:pP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t>Administrative Law Judge Division</w:t>
      </w:r>
    </w:p>
    <w:p w:rsidRPr="008031E4" w:rsidR="00C47C2A" w:rsidRDefault="00C47C2A" w14:paraId="345166ED" w14:textId="77777777">
      <w:pPr>
        <w:rPr>
          <w:rFonts w:ascii="Book Antiqua" w:hAnsi="Book Antiqua"/>
          <w:szCs w:val="24"/>
          <w:lang w:val="it-IT"/>
        </w:rPr>
      </w:pP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rPr>
        <w:tab/>
      </w:r>
      <w:r w:rsidRPr="008031E4">
        <w:rPr>
          <w:rFonts w:ascii="Book Antiqua" w:hAnsi="Book Antiqua"/>
          <w:szCs w:val="24"/>
          <w:lang w:val="it-IT"/>
        </w:rPr>
        <w:t>[Date]</w:t>
      </w:r>
    </w:p>
    <w:p w:rsidRPr="00037925" w:rsidR="00C47C2A" w:rsidRDefault="00C47C2A" w14:paraId="31E66E30" w14:textId="77777777">
      <w:pPr>
        <w:rPr>
          <w:lang w:val="it-IT"/>
        </w:rPr>
      </w:pPr>
    </w:p>
    <w:p w:rsidRPr="00037925" w:rsidR="00C47C2A" w:rsidRDefault="00C47C2A" w14:paraId="701DE3FA" w14:textId="77777777">
      <w:pPr>
        <w:rPr>
          <w:lang w:val="it-IT"/>
        </w:rPr>
      </w:pPr>
    </w:p>
    <w:p w:rsidRPr="00037925" w:rsidR="00C47C2A" w:rsidRDefault="00C47C2A" w14:paraId="45BFE508" w14:textId="77777777">
      <w:pPr>
        <w:jc w:val="center"/>
        <w:rPr>
          <w:rFonts w:ascii="Arial" w:hAnsi="Arial" w:cs="Arial"/>
          <w:b/>
          <w:u w:val="single"/>
          <w:lang w:val="it-IT"/>
        </w:rPr>
      </w:pPr>
      <w:r w:rsidRPr="00037925">
        <w:rPr>
          <w:rFonts w:ascii="Arial" w:hAnsi="Arial" w:cs="Arial"/>
          <w:b/>
          <w:u w:val="single"/>
          <w:lang w:val="it-IT"/>
        </w:rPr>
        <w:t>R</w:t>
      </w:r>
      <w:r w:rsidRPr="00037925">
        <w:rPr>
          <w:rFonts w:ascii="Arial" w:hAnsi="Arial" w:cs="Arial"/>
          <w:b/>
          <w:lang w:val="it-IT"/>
        </w:rPr>
        <w:t xml:space="preserve"> </w:t>
      </w:r>
      <w:r w:rsidRPr="00037925">
        <w:rPr>
          <w:rFonts w:ascii="Arial" w:hAnsi="Arial" w:cs="Arial"/>
          <w:b/>
          <w:u w:val="single"/>
          <w:lang w:val="it-IT"/>
        </w:rPr>
        <w:t>E</w:t>
      </w:r>
      <w:r w:rsidRPr="00037925">
        <w:rPr>
          <w:rFonts w:ascii="Arial" w:hAnsi="Arial" w:cs="Arial"/>
          <w:b/>
          <w:lang w:val="it-IT"/>
        </w:rPr>
        <w:t xml:space="preserve"> </w:t>
      </w:r>
      <w:r w:rsidRPr="00037925">
        <w:rPr>
          <w:rFonts w:ascii="Arial" w:hAnsi="Arial" w:cs="Arial"/>
          <w:b/>
          <w:u w:val="single"/>
          <w:lang w:val="it-IT"/>
        </w:rPr>
        <w:t>S</w:t>
      </w:r>
      <w:r w:rsidRPr="00037925">
        <w:rPr>
          <w:rFonts w:ascii="Arial" w:hAnsi="Arial" w:cs="Arial"/>
          <w:b/>
          <w:lang w:val="it-IT"/>
        </w:rPr>
        <w:t xml:space="preserve"> </w:t>
      </w:r>
      <w:r w:rsidRPr="00037925">
        <w:rPr>
          <w:rFonts w:ascii="Arial" w:hAnsi="Arial" w:cs="Arial"/>
          <w:b/>
          <w:u w:val="single"/>
          <w:lang w:val="it-IT"/>
        </w:rPr>
        <w:t>O</w:t>
      </w:r>
      <w:r w:rsidRPr="00037925">
        <w:rPr>
          <w:rFonts w:ascii="Arial" w:hAnsi="Arial" w:cs="Arial"/>
          <w:b/>
          <w:lang w:val="it-IT"/>
        </w:rPr>
        <w:t xml:space="preserve"> </w:t>
      </w:r>
      <w:r w:rsidRPr="00037925">
        <w:rPr>
          <w:rFonts w:ascii="Arial" w:hAnsi="Arial" w:cs="Arial"/>
          <w:b/>
          <w:u w:val="single"/>
          <w:lang w:val="it-IT"/>
        </w:rPr>
        <w:t>L</w:t>
      </w:r>
      <w:r w:rsidRPr="00037925">
        <w:rPr>
          <w:rFonts w:ascii="Arial" w:hAnsi="Arial" w:cs="Arial"/>
          <w:b/>
          <w:lang w:val="it-IT"/>
        </w:rPr>
        <w:t xml:space="preserve"> </w:t>
      </w:r>
      <w:r w:rsidRPr="00037925">
        <w:rPr>
          <w:rFonts w:ascii="Arial" w:hAnsi="Arial" w:cs="Arial"/>
          <w:b/>
          <w:u w:val="single"/>
          <w:lang w:val="it-IT"/>
        </w:rPr>
        <w:t>U</w:t>
      </w:r>
      <w:r w:rsidRPr="00037925">
        <w:rPr>
          <w:rFonts w:ascii="Arial" w:hAnsi="Arial" w:cs="Arial"/>
          <w:b/>
          <w:lang w:val="it-IT"/>
        </w:rPr>
        <w:t xml:space="preserve"> </w:t>
      </w:r>
      <w:r w:rsidRPr="00037925">
        <w:rPr>
          <w:rFonts w:ascii="Arial" w:hAnsi="Arial" w:cs="Arial"/>
          <w:b/>
          <w:u w:val="single"/>
          <w:lang w:val="it-IT"/>
        </w:rPr>
        <w:t>T</w:t>
      </w:r>
      <w:r w:rsidRPr="00037925">
        <w:rPr>
          <w:rFonts w:ascii="Arial" w:hAnsi="Arial" w:cs="Arial"/>
          <w:b/>
          <w:lang w:val="it-IT"/>
        </w:rPr>
        <w:t xml:space="preserve"> </w:t>
      </w:r>
      <w:r w:rsidRPr="00037925">
        <w:rPr>
          <w:rFonts w:ascii="Arial" w:hAnsi="Arial" w:cs="Arial"/>
          <w:b/>
          <w:u w:val="single"/>
          <w:lang w:val="it-IT"/>
        </w:rPr>
        <w:t>I</w:t>
      </w:r>
      <w:r w:rsidRPr="00037925">
        <w:rPr>
          <w:rFonts w:ascii="Arial" w:hAnsi="Arial" w:cs="Arial"/>
          <w:b/>
          <w:lang w:val="it-IT"/>
        </w:rPr>
        <w:t xml:space="preserve"> </w:t>
      </w:r>
      <w:r w:rsidRPr="00037925">
        <w:rPr>
          <w:rFonts w:ascii="Arial" w:hAnsi="Arial" w:cs="Arial"/>
          <w:b/>
          <w:u w:val="single"/>
          <w:lang w:val="it-IT"/>
        </w:rPr>
        <w:t>O</w:t>
      </w:r>
      <w:r w:rsidRPr="00037925">
        <w:rPr>
          <w:rFonts w:ascii="Arial" w:hAnsi="Arial" w:cs="Arial"/>
          <w:b/>
          <w:lang w:val="it-IT"/>
        </w:rPr>
        <w:t xml:space="preserve"> </w:t>
      </w:r>
      <w:r w:rsidRPr="00037925">
        <w:rPr>
          <w:rFonts w:ascii="Arial" w:hAnsi="Arial" w:cs="Arial"/>
          <w:b/>
          <w:u w:val="single"/>
          <w:lang w:val="it-IT"/>
        </w:rPr>
        <w:t>N</w:t>
      </w:r>
    </w:p>
    <w:p w:rsidRPr="00037925" w:rsidR="00C47C2A" w:rsidRDefault="00C47C2A" w14:paraId="6DC23D71" w14:textId="77777777">
      <w:pPr>
        <w:jc w:val="center"/>
        <w:rPr>
          <w:b/>
          <w:lang w:val="it-IT"/>
        </w:rPr>
      </w:pPr>
    </w:p>
    <w:p w:rsidRPr="008031E4" w:rsidR="00C47C2A" w:rsidRDefault="00C47C2A" w14:paraId="4FBC1A93" w14:textId="77777777">
      <w:pPr>
        <w:rPr>
          <w:szCs w:val="24"/>
          <w:lang w:val="it-IT"/>
        </w:rPr>
      </w:pPr>
    </w:p>
    <w:p w:rsidRPr="008031E4" w:rsidR="00155A9A" w:rsidP="00A45E5A" w:rsidRDefault="00C47C2A" w14:paraId="7E54636C" w14:textId="77777777">
      <w:pPr>
        <w:pStyle w:val="BlockText"/>
        <w:rPr>
          <w:szCs w:val="24"/>
        </w:rPr>
      </w:pPr>
      <w:r w:rsidRPr="008031E4">
        <w:rPr>
          <w:rFonts w:ascii="Book Antiqua" w:hAnsi="Book Antiqua"/>
          <w:szCs w:val="24"/>
        </w:rPr>
        <w:t>RESOLUTION ALJ-</w:t>
      </w:r>
      <w:r w:rsidRPr="008031E4" w:rsidR="00B170BB">
        <w:rPr>
          <w:rFonts w:ascii="Book Antiqua" w:hAnsi="Book Antiqua"/>
          <w:szCs w:val="24"/>
        </w:rPr>
        <w:t>475</w:t>
      </w:r>
      <w:r w:rsidRPr="008031E4" w:rsidR="004E5E1F">
        <w:rPr>
          <w:rFonts w:ascii="Book Antiqua" w:hAnsi="Book Antiqua"/>
          <w:szCs w:val="24"/>
        </w:rPr>
        <w:t>. Resolves the Appeal K.24-06-003</w:t>
      </w:r>
      <w:r w:rsidRPr="008031E4" w:rsidR="00155A9A">
        <w:rPr>
          <w:rFonts w:ascii="Book Antiqua" w:hAnsi="Book Antiqua"/>
          <w:szCs w:val="24"/>
        </w:rPr>
        <w:t>, the Appeal</w:t>
      </w:r>
      <w:r w:rsidRPr="008031E4" w:rsidR="004E5E1F">
        <w:rPr>
          <w:rFonts w:ascii="Book Antiqua" w:hAnsi="Book Antiqua"/>
          <w:szCs w:val="24"/>
        </w:rPr>
        <w:t xml:space="preserve"> of Alex Vayner, ALVA LIMOLUX LLC</w:t>
      </w:r>
      <w:r w:rsidRPr="008031E4" w:rsidR="00155A9A">
        <w:rPr>
          <w:rFonts w:ascii="Book Antiqua" w:hAnsi="Book Antiqua"/>
          <w:szCs w:val="24"/>
        </w:rPr>
        <w:t xml:space="preserve"> from Citation No. T.24-05-008</w:t>
      </w:r>
      <w:r w:rsidRPr="008031E4" w:rsidR="00155A9A">
        <w:rPr>
          <w:szCs w:val="24"/>
        </w:rPr>
        <w:t xml:space="preserve"> issued on May 24, 2024 by the Consumer Protection and Enforcement Division.</w:t>
      </w:r>
    </w:p>
    <w:p w:rsidRPr="009B789A" w:rsidR="00C47C2A" w:rsidRDefault="004E5E1F" w14:paraId="06772744" w14:textId="77777777">
      <w:pPr>
        <w:tabs>
          <w:tab w:val="right" w:pos="8550"/>
        </w:tabs>
        <w:ind w:left="720" w:right="720"/>
      </w:pPr>
      <w:r w:rsidRPr="009B789A">
        <w:rPr>
          <w:rFonts w:ascii="Book Antiqua" w:hAnsi="Book Antiqua"/>
          <w:sz w:val="26"/>
          <w:szCs w:val="26"/>
        </w:rPr>
        <w:t xml:space="preserve"> </w:t>
      </w:r>
      <w:r w:rsidRPr="009B789A" w:rsidR="00C47C2A">
        <w:rPr>
          <w:u w:val="single"/>
        </w:rPr>
        <w:tab/>
      </w:r>
    </w:p>
    <w:p w:rsidRPr="009B789A" w:rsidR="00C47C2A" w:rsidRDefault="00C47C2A" w14:paraId="242A0717" w14:textId="77777777"/>
    <w:p w:rsidRPr="008031E4" w:rsidR="00C47C2A" w:rsidRDefault="00C47C2A" w14:paraId="7B5EB759" w14:textId="77777777">
      <w:pPr>
        <w:rPr>
          <w:rFonts w:ascii="Book Antiqua" w:hAnsi="Book Antiqua"/>
          <w:b/>
          <w:szCs w:val="24"/>
          <w:u w:val="single"/>
        </w:rPr>
      </w:pPr>
      <w:r w:rsidRPr="008031E4">
        <w:rPr>
          <w:rFonts w:ascii="Book Antiqua" w:hAnsi="Book Antiqua"/>
          <w:b/>
          <w:szCs w:val="24"/>
          <w:u w:val="single"/>
        </w:rPr>
        <w:t>SUMMARY</w:t>
      </w:r>
    </w:p>
    <w:p w:rsidRPr="008031E4" w:rsidR="00C47C2A" w:rsidRDefault="00C47C2A" w14:paraId="7BACC1CC" w14:textId="77777777">
      <w:pPr>
        <w:rPr>
          <w:rFonts w:ascii="Book Antiqua" w:hAnsi="Book Antiqua"/>
          <w:szCs w:val="24"/>
        </w:rPr>
      </w:pPr>
    </w:p>
    <w:p w:rsidRPr="008031E4" w:rsidR="004E5E1F" w:rsidP="004E5E1F" w:rsidRDefault="004E5E1F" w14:paraId="2D93A1AD" w14:textId="16451DCA">
      <w:pPr>
        <w:rPr>
          <w:rFonts w:ascii="Book Antiqua" w:hAnsi="Book Antiqua"/>
          <w:szCs w:val="24"/>
        </w:rPr>
      </w:pPr>
      <w:r w:rsidRPr="008031E4">
        <w:rPr>
          <w:rFonts w:ascii="Book Antiqua" w:hAnsi="Book Antiqua"/>
          <w:szCs w:val="24"/>
        </w:rPr>
        <w:t xml:space="preserve">This resolution resolves </w:t>
      </w:r>
      <w:r w:rsidRPr="008031E4" w:rsidR="00FE3F38">
        <w:rPr>
          <w:rFonts w:ascii="Book Antiqua" w:hAnsi="Book Antiqua"/>
          <w:szCs w:val="24"/>
        </w:rPr>
        <w:t xml:space="preserve">K.24-06-003, </w:t>
      </w:r>
      <w:r w:rsidRPr="008031E4">
        <w:rPr>
          <w:rFonts w:ascii="Book Antiqua" w:hAnsi="Book Antiqua"/>
          <w:szCs w:val="24"/>
        </w:rPr>
        <w:t xml:space="preserve">the appeal of Citation No. T.24-05-008 issued to </w:t>
      </w:r>
      <w:bookmarkStart w:name="_Hlk184742739" w:id="0"/>
      <w:r w:rsidRPr="008031E4">
        <w:rPr>
          <w:rFonts w:ascii="Book Antiqua" w:hAnsi="Book Antiqua"/>
          <w:szCs w:val="24"/>
        </w:rPr>
        <w:t>Alex Vayner, doing business as ALVA LIMOLUX LLC.</w:t>
      </w:r>
      <w:bookmarkEnd w:id="0"/>
      <w:r w:rsidRPr="008031E4">
        <w:rPr>
          <w:rFonts w:ascii="Book Antiqua" w:hAnsi="Book Antiqua"/>
          <w:szCs w:val="24"/>
        </w:rPr>
        <w:t xml:space="preserve"> by the Consumer Protection and Enforcement Division of the California Public Utilities on May 24, 2024.  Citation No. T.24-05-008 issues a fine of $2,000 for one violation for failure to produce access to records in violation of the Public Utilities Code Sections 5389 and 5413 and General Order 157-E Part 6.02. </w:t>
      </w:r>
      <w:r w:rsidRPr="008031E4" w:rsidR="00484276">
        <w:rPr>
          <w:rFonts w:ascii="Book Antiqua" w:hAnsi="Book Antiqua"/>
          <w:szCs w:val="24"/>
        </w:rPr>
        <w:t>The citation is sustained, and the appeal is denied.</w:t>
      </w:r>
    </w:p>
    <w:p w:rsidRPr="008031E4" w:rsidR="00C47C2A" w:rsidRDefault="00C47C2A" w14:paraId="13AE3959" w14:textId="77777777">
      <w:pPr>
        <w:rPr>
          <w:rFonts w:ascii="Book Antiqua" w:hAnsi="Book Antiqua"/>
          <w:szCs w:val="24"/>
        </w:rPr>
      </w:pPr>
    </w:p>
    <w:p w:rsidRPr="008031E4" w:rsidR="00472C68" w:rsidRDefault="00472C68" w14:paraId="1DDADA75" w14:textId="15DE1252">
      <w:pPr>
        <w:rPr>
          <w:rFonts w:ascii="Book Antiqua" w:hAnsi="Book Antiqua"/>
          <w:szCs w:val="24"/>
        </w:rPr>
      </w:pPr>
      <w:r w:rsidRPr="008031E4">
        <w:rPr>
          <w:rFonts w:ascii="Book Antiqua" w:hAnsi="Book Antiqua"/>
          <w:szCs w:val="24"/>
        </w:rPr>
        <w:t xml:space="preserve">K.24-06-003 is closed.  </w:t>
      </w:r>
    </w:p>
    <w:p w:rsidRPr="008031E4" w:rsidR="00C47C2A" w:rsidRDefault="00C47C2A" w14:paraId="6FFB8D26" w14:textId="77777777">
      <w:pPr>
        <w:rPr>
          <w:rFonts w:ascii="Book Antiqua" w:hAnsi="Book Antiqua"/>
          <w:szCs w:val="24"/>
        </w:rPr>
      </w:pPr>
    </w:p>
    <w:p w:rsidRPr="008031E4" w:rsidR="00C47C2A" w:rsidRDefault="00C47C2A" w14:paraId="2062D20F" w14:textId="77777777">
      <w:pPr>
        <w:rPr>
          <w:rFonts w:ascii="Book Antiqua" w:hAnsi="Book Antiqua"/>
          <w:b/>
          <w:szCs w:val="24"/>
          <w:u w:val="single"/>
        </w:rPr>
      </w:pPr>
      <w:r w:rsidRPr="008031E4">
        <w:rPr>
          <w:rFonts w:ascii="Book Antiqua" w:hAnsi="Book Antiqua"/>
          <w:b/>
          <w:szCs w:val="24"/>
          <w:u w:val="single"/>
        </w:rPr>
        <w:t>BACKGROUND</w:t>
      </w:r>
    </w:p>
    <w:p w:rsidRPr="008031E4" w:rsidR="00C47C2A" w:rsidRDefault="00C47C2A" w14:paraId="0A21489E" w14:textId="77777777">
      <w:pPr>
        <w:rPr>
          <w:rFonts w:ascii="Book Antiqua" w:hAnsi="Book Antiqua"/>
          <w:szCs w:val="24"/>
        </w:rPr>
      </w:pPr>
    </w:p>
    <w:p w:rsidRPr="008031E4" w:rsidR="004E5E1F" w:rsidP="0025605B" w:rsidRDefault="004E5E1F" w14:paraId="39EB8D98" w14:textId="0337C4B7">
      <w:pPr>
        <w:rPr>
          <w:rFonts w:ascii="Book Antiqua" w:hAnsi="Book Antiqua"/>
          <w:szCs w:val="24"/>
        </w:rPr>
      </w:pPr>
      <w:r w:rsidRPr="008031E4">
        <w:rPr>
          <w:rFonts w:ascii="Book Antiqua" w:hAnsi="Book Antiqua"/>
          <w:szCs w:val="24"/>
        </w:rPr>
        <w:t xml:space="preserve">The </w:t>
      </w:r>
      <w:r w:rsidRPr="008031E4" w:rsidR="000274DE">
        <w:rPr>
          <w:rFonts w:ascii="Book Antiqua" w:hAnsi="Book Antiqua"/>
          <w:szCs w:val="24"/>
        </w:rPr>
        <w:t xml:space="preserve">California Public Utilities </w:t>
      </w:r>
      <w:r w:rsidRPr="008031E4">
        <w:rPr>
          <w:rFonts w:ascii="Book Antiqua" w:hAnsi="Book Antiqua"/>
          <w:szCs w:val="24"/>
        </w:rPr>
        <w:t>Commission</w:t>
      </w:r>
      <w:r w:rsidRPr="008031E4" w:rsidR="000274DE">
        <w:rPr>
          <w:rFonts w:ascii="Book Antiqua" w:hAnsi="Book Antiqua"/>
          <w:szCs w:val="24"/>
        </w:rPr>
        <w:t xml:space="preserve"> (Commission)</w:t>
      </w:r>
      <w:r w:rsidRPr="008031E4" w:rsidR="009F4DDD">
        <w:rPr>
          <w:rFonts w:ascii="Book Antiqua" w:hAnsi="Book Antiqua"/>
          <w:szCs w:val="24"/>
        </w:rPr>
        <w:t xml:space="preserve"> </w:t>
      </w:r>
      <w:r w:rsidRPr="008031E4">
        <w:rPr>
          <w:rFonts w:ascii="Book Antiqua" w:hAnsi="Book Antiqua"/>
          <w:szCs w:val="24"/>
        </w:rPr>
        <w:t>regulates charter</w:t>
      </w:r>
      <w:r w:rsidRPr="008031E4">
        <w:rPr>
          <w:rFonts w:ascii="Book Antiqua" w:hAnsi="Book Antiqua"/>
          <w:szCs w:val="24"/>
        </w:rPr>
        <w:noBreakHyphen/>
        <w:t xml:space="preserve">party carriers of passengers primarily </w:t>
      </w:r>
      <w:r w:rsidRPr="008031E4" w:rsidR="009A7A31">
        <w:rPr>
          <w:rFonts w:ascii="Book Antiqua" w:hAnsi="Book Antiqua"/>
          <w:szCs w:val="24"/>
        </w:rPr>
        <w:t>under</w:t>
      </w:r>
      <w:r w:rsidRPr="008031E4">
        <w:rPr>
          <w:rFonts w:ascii="Book Antiqua" w:hAnsi="Book Antiqua"/>
          <w:szCs w:val="24"/>
        </w:rPr>
        <w:t xml:space="preserve"> the Passenger Charter</w:t>
      </w:r>
      <w:r w:rsidRPr="008031E4">
        <w:rPr>
          <w:rFonts w:ascii="Book Antiqua" w:hAnsi="Book Antiqua"/>
          <w:szCs w:val="24"/>
        </w:rPr>
        <w:noBreakHyphen/>
        <w:t xml:space="preserve">Party Carriers’ Act (Public Utilities Code </w:t>
      </w:r>
      <w:r w:rsidRPr="008031E4" w:rsidR="00A90E83">
        <w:rPr>
          <w:rFonts w:ascii="Book Antiqua" w:hAnsi="Book Antiqua"/>
          <w:szCs w:val="24"/>
        </w:rPr>
        <w:t xml:space="preserve">Section </w:t>
      </w:r>
      <w:r w:rsidRPr="008031E4">
        <w:rPr>
          <w:rFonts w:ascii="Book Antiqua" w:hAnsi="Book Antiqua"/>
          <w:szCs w:val="24"/>
        </w:rPr>
        <w:t xml:space="preserve">5351, et seq.) </w:t>
      </w:r>
      <w:r w:rsidRPr="008031E4" w:rsidR="000274DE">
        <w:rPr>
          <w:rFonts w:ascii="Book Antiqua" w:hAnsi="Book Antiqua"/>
          <w:szCs w:val="24"/>
        </w:rPr>
        <w:t>Under</w:t>
      </w:r>
      <w:r w:rsidRPr="008031E4">
        <w:rPr>
          <w:rFonts w:ascii="Book Antiqua" w:hAnsi="Book Antiqua"/>
          <w:szCs w:val="24"/>
        </w:rPr>
        <w:t xml:space="preserve"> Resolution ALJ</w:t>
      </w:r>
      <w:r w:rsidRPr="008031E4">
        <w:rPr>
          <w:rFonts w:ascii="Book Antiqua" w:hAnsi="Book Antiqua"/>
          <w:szCs w:val="24"/>
        </w:rPr>
        <w:noBreakHyphen/>
        <w:t xml:space="preserve">187, issued by the Commission on September 22, 2005, </w:t>
      </w:r>
      <w:r w:rsidRPr="008031E4" w:rsidR="009A7A31">
        <w:rPr>
          <w:rFonts w:ascii="Book Antiqua" w:hAnsi="Book Antiqua"/>
          <w:szCs w:val="24"/>
        </w:rPr>
        <w:t xml:space="preserve">the </w:t>
      </w:r>
      <w:r w:rsidRPr="008031E4">
        <w:rPr>
          <w:rFonts w:ascii="Book Antiqua" w:hAnsi="Book Antiqua"/>
          <w:szCs w:val="24"/>
        </w:rPr>
        <w:t xml:space="preserve">Consumer Protection and Enforcement Division (CPED) is authorized to issue citations to various classes of transportation carriers for violations of the Public Utilities </w:t>
      </w:r>
      <w:r w:rsidRPr="008031E4" w:rsidR="00A90E83">
        <w:rPr>
          <w:rFonts w:ascii="Book Antiqua" w:hAnsi="Book Antiqua"/>
          <w:szCs w:val="24"/>
        </w:rPr>
        <w:t xml:space="preserve">(Pub. Util.) </w:t>
      </w:r>
      <w:r w:rsidRPr="008031E4">
        <w:rPr>
          <w:rFonts w:ascii="Book Antiqua" w:hAnsi="Book Antiqua"/>
          <w:szCs w:val="24"/>
        </w:rPr>
        <w:t>Code and/or Commission orders. In turn, a carrier issued such a citation may accept the fine imposed or contest it through a process of appeal under Resolution ALJ</w:t>
      </w:r>
      <w:r w:rsidRPr="008031E4">
        <w:rPr>
          <w:rFonts w:ascii="Book Antiqua" w:hAnsi="Book Antiqua"/>
          <w:szCs w:val="24"/>
        </w:rPr>
        <w:noBreakHyphen/>
      </w:r>
      <w:r w:rsidRPr="008031E4" w:rsidR="00037925">
        <w:rPr>
          <w:rFonts w:ascii="Book Antiqua" w:hAnsi="Book Antiqua"/>
          <w:szCs w:val="24"/>
        </w:rPr>
        <w:t>377</w:t>
      </w:r>
      <w:r w:rsidRPr="008031E4">
        <w:rPr>
          <w:rFonts w:ascii="Book Antiqua" w:hAnsi="Book Antiqua"/>
          <w:szCs w:val="24"/>
        </w:rPr>
        <w:t>.</w:t>
      </w:r>
    </w:p>
    <w:p w:rsidRPr="008031E4" w:rsidR="00472C68" w:rsidP="0025605B" w:rsidRDefault="00472C68" w14:paraId="1CA3E2E7" w14:textId="77777777">
      <w:pPr>
        <w:rPr>
          <w:rFonts w:ascii="Book Antiqua" w:hAnsi="Book Antiqua"/>
          <w:bCs/>
          <w:szCs w:val="24"/>
        </w:rPr>
      </w:pPr>
    </w:p>
    <w:p w:rsidRPr="008031E4" w:rsidR="004E5E1F" w:rsidP="0025605B" w:rsidRDefault="004E5E1F" w14:paraId="564473DC" w14:textId="3FC9EA50">
      <w:pPr>
        <w:rPr>
          <w:rFonts w:ascii="Book Antiqua" w:hAnsi="Book Antiqua"/>
          <w:szCs w:val="24"/>
        </w:rPr>
      </w:pPr>
      <w:r w:rsidRPr="008031E4">
        <w:rPr>
          <w:rFonts w:ascii="Book Antiqua" w:hAnsi="Book Antiqua"/>
          <w:bCs/>
          <w:szCs w:val="24"/>
        </w:rPr>
        <w:t xml:space="preserve">On May 24, 2024, CPED issued Citation </w:t>
      </w:r>
      <w:r w:rsidRPr="008031E4">
        <w:rPr>
          <w:rFonts w:ascii="Book Antiqua" w:hAnsi="Book Antiqua"/>
          <w:szCs w:val="24"/>
        </w:rPr>
        <w:t>No. T.24-05-008 to Alex Vayner, doing business</w:t>
      </w:r>
      <w:r w:rsidRPr="008031E4" w:rsidR="000274DE">
        <w:rPr>
          <w:rFonts w:ascii="Book Antiqua" w:hAnsi="Book Antiqua"/>
          <w:szCs w:val="24"/>
        </w:rPr>
        <w:t xml:space="preserve"> (dba)</w:t>
      </w:r>
      <w:r w:rsidRPr="008031E4">
        <w:rPr>
          <w:rFonts w:ascii="Book Antiqua" w:hAnsi="Book Antiqua"/>
          <w:szCs w:val="24"/>
        </w:rPr>
        <w:t xml:space="preserve"> as ALVA LIMOLUX LLC. </w:t>
      </w:r>
      <w:r w:rsidRPr="008031E4">
        <w:rPr>
          <w:rFonts w:ascii="Book Antiqua" w:hAnsi="Book Antiqua"/>
          <w:bCs/>
          <w:szCs w:val="24"/>
        </w:rPr>
        <w:t>(</w:t>
      </w:r>
      <w:r w:rsidRPr="008031E4" w:rsidR="000274DE">
        <w:rPr>
          <w:rFonts w:ascii="Book Antiqua" w:hAnsi="Book Antiqua"/>
          <w:bCs/>
          <w:szCs w:val="24"/>
        </w:rPr>
        <w:t xml:space="preserve">Appellant or </w:t>
      </w:r>
      <w:r w:rsidRPr="008031E4" w:rsidR="00A45E5A">
        <w:rPr>
          <w:rFonts w:ascii="Book Antiqua" w:hAnsi="Book Antiqua"/>
          <w:bCs/>
          <w:szCs w:val="24"/>
        </w:rPr>
        <w:t>A</w:t>
      </w:r>
      <w:r w:rsidRPr="008031E4" w:rsidR="00855A5E">
        <w:rPr>
          <w:rFonts w:ascii="Book Antiqua" w:hAnsi="Book Antiqua"/>
          <w:bCs/>
          <w:szCs w:val="24"/>
        </w:rPr>
        <w:t>LVA</w:t>
      </w:r>
      <w:r w:rsidRPr="008031E4">
        <w:rPr>
          <w:rFonts w:ascii="Book Antiqua" w:hAnsi="Book Antiqua"/>
          <w:bCs/>
          <w:szCs w:val="24"/>
        </w:rPr>
        <w:t>)</w:t>
      </w:r>
      <w:r w:rsidRPr="008031E4" w:rsidR="009F4DDD">
        <w:rPr>
          <w:rFonts w:ascii="Book Antiqua" w:hAnsi="Book Antiqua"/>
          <w:bCs/>
          <w:szCs w:val="24"/>
        </w:rPr>
        <w:t>,</w:t>
      </w:r>
      <w:r w:rsidRPr="008031E4" w:rsidR="009F4DDD">
        <w:rPr>
          <w:szCs w:val="24"/>
        </w:rPr>
        <w:t xml:space="preserve"> a charter party carrier</w:t>
      </w:r>
      <w:r w:rsidRPr="008031E4" w:rsidR="009A7A31">
        <w:rPr>
          <w:szCs w:val="24"/>
        </w:rPr>
        <w:t xml:space="preserve"> (TCP) </w:t>
      </w:r>
      <w:r w:rsidRPr="008031E4" w:rsidR="00EC7EA2">
        <w:rPr>
          <w:szCs w:val="24"/>
        </w:rPr>
        <w:t xml:space="preserve">with </w:t>
      </w:r>
      <w:r w:rsidRPr="008031E4" w:rsidR="009F4DDD">
        <w:rPr>
          <w:szCs w:val="24"/>
        </w:rPr>
        <w:t xml:space="preserve">TCP 39397. </w:t>
      </w:r>
      <w:r w:rsidRPr="008031E4" w:rsidR="00A45E5A">
        <w:rPr>
          <w:bCs/>
          <w:szCs w:val="24"/>
        </w:rPr>
        <w:t>The underlying investigation covered the period of</w:t>
      </w:r>
      <w:r w:rsidRPr="008031E4" w:rsidR="00A45E5A">
        <w:rPr>
          <w:rFonts w:ascii="Book Antiqua" w:hAnsi="Book Antiqua" w:eastAsia="Book Antiqua" w:cs="Book Antiqua"/>
          <w:szCs w:val="24"/>
        </w:rPr>
        <w:t xml:space="preserve"> January 8, 2024, through May 22, 2024</w:t>
      </w:r>
      <w:r w:rsidRPr="008031E4" w:rsidR="00A624A0">
        <w:rPr>
          <w:rFonts w:ascii="Book Antiqua" w:hAnsi="Book Antiqua" w:eastAsia="Book Antiqua" w:cs="Book Antiqua"/>
          <w:szCs w:val="24"/>
        </w:rPr>
        <w:t>.</w:t>
      </w:r>
      <w:r w:rsidRPr="008031E4" w:rsidR="00A45E5A">
        <w:rPr>
          <w:bCs/>
          <w:szCs w:val="24"/>
        </w:rPr>
        <w:t xml:space="preserve"> </w:t>
      </w:r>
      <w:r w:rsidRPr="008031E4">
        <w:rPr>
          <w:rFonts w:ascii="Book Antiqua" w:hAnsi="Book Antiqua"/>
          <w:bCs/>
          <w:szCs w:val="24"/>
        </w:rPr>
        <w:t xml:space="preserve">The citation </w:t>
      </w:r>
      <w:r w:rsidRPr="008031E4" w:rsidR="000274DE">
        <w:rPr>
          <w:rFonts w:ascii="Book Antiqua" w:hAnsi="Book Antiqua"/>
          <w:bCs/>
          <w:szCs w:val="24"/>
        </w:rPr>
        <w:t>imposed a penalty of</w:t>
      </w:r>
      <w:r w:rsidRPr="008031E4">
        <w:rPr>
          <w:rFonts w:ascii="Book Antiqua" w:hAnsi="Book Antiqua"/>
          <w:bCs/>
          <w:szCs w:val="24"/>
        </w:rPr>
        <w:t xml:space="preserve"> $2,000 (</w:t>
      </w:r>
      <w:r w:rsidRPr="008031E4" w:rsidR="00472C68">
        <w:rPr>
          <w:rFonts w:ascii="Book Antiqua" w:hAnsi="Book Antiqua"/>
          <w:bCs/>
          <w:szCs w:val="24"/>
        </w:rPr>
        <w:t>two thousand</w:t>
      </w:r>
      <w:r w:rsidRPr="008031E4">
        <w:rPr>
          <w:rFonts w:ascii="Book Antiqua" w:hAnsi="Book Antiqua"/>
          <w:bCs/>
          <w:szCs w:val="24"/>
        </w:rPr>
        <w:t xml:space="preserve">) dollars for the following violation: </w:t>
      </w:r>
    </w:p>
    <w:p w:rsidRPr="009B789A" w:rsidR="004E5E1F" w:rsidRDefault="004E5E1F" w14:paraId="1B1DA4C1" w14:textId="77777777">
      <w:pPr>
        <w:rPr>
          <w:rFonts w:ascii="Book Antiqua" w:hAnsi="Book Antiqua"/>
          <w:sz w:val="26"/>
          <w:szCs w:val="26"/>
        </w:rPr>
      </w:pPr>
    </w:p>
    <w:p w:rsidRPr="008031E4" w:rsidR="00C47C2A" w:rsidP="00A45E5A" w:rsidRDefault="004E5E1F" w14:paraId="5B462DD1" w14:textId="4D49901E">
      <w:pPr>
        <w:numPr>
          <w:ilvl w:val="0"/>
          <w:numId w:val="4"/>
        </w:numPr>
        <w:rPr>
          <w:rFonts w:ascii="Book Antiqua" w:hAnsi="Book Antiqua"/>
          <w:szCs w:val="24"/>
        </w:rPr>
      </w:pPr>
      <w:r w:rsidRPr="008031E4">
        <w:rPr>
          <w:rFonts w:ascii="Book Antiqua" w:hAnsi="Book Antiqua"/>
          <w:szCs w:val="24"/>
        </w:rPr>
        <w:t xml:space="preserve">Failed to produce access to records in violation of </w:t>
      </w:r>
      <w:r w:rsidRPr="008031E4" w:rsidR="00A90E83">
        <w:rPr>
          <w:rFonts w:ascii="Book Antiqua" w:hAnsi="Book Antiqua"/>
          <w:szCs w:val="24"/>
        </w:rPr>
        <w:t>Pub. Util.</w:t>
      </w:r>
      <w:r w:rsidRPr="008031E4">
        <w:rPr>
          <w:rFonts w:ascii="Book Antiqua" w:hAnsi="Book Antiqua"/>
          <w:szCs w:val="24"/>
        </w:rPr>
        <w:t xml:space="preserve"> Code Sections 5389 and 5413 and </w:t>
      </w:r>
      <w:r w:rsidRPr="008031E4" w:rsidR="00FE3F38">
        <w:rPr>
          <w:rFonts w:ascii="Book Antiqua" w:hAnsi="Book Antiqua"/>
          <w:szCs w:val="24"/>
        </w:rPr>
        <w:t>General Order (</w:t>
      </w:r>
      <w:r w:rsidRPr="008031E4">
        <w:rPr>
          <w:rFonts w:ascii="Book Antiqua" w:hAnsi="Book Antiqua"/>
          <w:szCs w:val="24"/>
        </w:rPr>
        <w:t>G.O.</w:t>
      </w:r>
      <w:r w:rsidRPr="008031E4" w:rsidR="00FE3F38">
        <w:rPr>
          <w:rFonts w:ascii="Book Antiqua" w:hAnsi="Book Antiqua"/>
          <w:szCs w:val="24"/>
        </w:rPr>
        <w:t>)</w:t>
      </w:r>
      <w:r w:rsidRPr="008031E4">
        <w:rPr>
          <w:rFonts w:ascii="Book Antiqua" w:hAnsi="Book Antiqua"/>
          <w:szCs w:val="24"/>
        </w:rPr>
        <w:t xml:space="preserve"> 157-E Part 6.02 [1 count]</w:t>
      </w:r>
    </w:p>
    <w:p w:rsidRPr="008031E4" w:rsidR="0024647B" w:rsidRDefault="0024647B" w14:paraId="2E58A37D" w14:textId="77777777">
      <w:pPr>
        <w:rPr>
          <w:rFonts w:ascii="Book Antiqua" w:hAnsi="Book Antiqua"/>
          <w:szCs w:val="24"/>
        </w:rPr>
      </w:pPr>
    </w:p>
    <w:p w:rsidRPr="008031E4" w:rsidR="004E5E1F" w:rsidRDefault="00A90E83" w14:paraId="1984AFDB" w14:textId="77777777">
      <w:pPr>
        <w:rPr>
          <w:rFonts w:ascii="Book Antiqua" w:hAnsi="Book Antiqua"/>
          <w:szCs w:val="24"/>
        </w:rPr>
      </w:pPr>
      <w:r w:rsidRPr="008031E4">
        <w:rPr>
          <w:rFonts w:ascii="Book Antiqua" w:hAnsi="Book Antiqua"/>
          <w:szCs w:val="24"/>
        </w:rPr>
        <w:t>Pub. Util.</w:t>
      </w:r>
      <w:r w:rsidRPr="008031E4" w:rsidR="0024647B">
        <w:rPr>
          <w:rFonts w:ascii="Book Antiqua" w:hAnsi="Book Antiqua"/>
          <w:szCs w:val="24"/>
        </w:rPr>
        <w:t xml:space="preserve"> Code Section 5389 authorizes the Commission and its staff to have access at any time to the land, buildings, or equipment of a charter-party carrier of passengers used in connection with the operation of its business and may inspect the accounts, books, papers, and documents of the carrier.</w:t>
      </w:r>
    </w:p>
    <w:p w:rsidRPr="008031E4" w:rsidR="0024647B" w:rsidRDefault="0024647B" w14:paraId="125B15F1" w14:textId="77777777">
      <w:pPr>
        <w:rPr>
          <w:rFonts w:ascii="Book Antiqua" w:hAnsi="Book Antiqua"/>
          <w:szCs w:val="24"/>
        </w:rPr>
      </w:pPr>
    </w:p>
    <w:p w:rsidRPr="008031E4" w:rsidR="0024647B" w:rsidRDefault="00FE3F38" w14:paraId="4B656690" w14:textId="34D01BA2">
      <w:pPr>
        <w:rPr>
          <w:rFonts w:ascii="Book Antiqua" w:hAnsi="Book Antiqua"/>
          <w:szCs w:val="24"/>
        </w:rPr>
      </w:pPr>
      <w:r w:rsidRPr="008031E4">
        <w:rPr>
          <w:rFonts w:ascii="Book Antiqua" w:hAnsi="Book Antiqua"/>
          <w:szCs w:val="24"/>
        </w:rPr>
        <w:t xml:space="preserve">G.O. </w:t>
      </w:r>
      <w:r w:rsidRPr="008031E4" w:rsidR="0024647B">
        <w:rPr>
          <w:rFonts w:ascii="Book Antiqua" w:hAnsi="Book Antiqua"/>
          <w:szCs w:val="24"/>
        </w:rPr>
        <w:t>157-E, Part 6.01 states</w:t>
      </w:r>
      <w:r w:rsidRPr="008031E4" w:rsidR="000274DE">
        <w:rPr>
          <w:rFonts w:ascii="Book Antiqua" w:hAnsi="Book Antiqua"/>
          <w:szCs w:val="24"/>
        </w:rPr>
        <w:t>,</w:t>
      </w:r>
      <w:r w:rsidRPr="008031E4" w:rsidR="0024647B">
        <w:rPr>
          <w:rFonts w:ascii="Book Antiqua" w:hAnsi="Book Antiqua"/>
          <w:szCs w:val="24"/>
        </w:rPr>
        <w:t xml:space="preserve"> in </w:t>
      </w:r>
      <w:proofErr w:type="gramStart"/>
      <w:r w:rsidRPr="008031E4" w:rsidR="00037925">
        <w:rPr>
          <w:rFonts w:ascii="Book Antiqua" w:hAnsi="Book Antiqua"/>
          <w:szCs w:val="24"/>
        </w:rPr>
        <w:t>relevant</w:t>
      </w:r>
      <w:proofErr w:type="gramEnd"/>
      <w:r w:rsidRPr="008031E4" w:rsidR="00037925">
        <w:rPr>
          <w:rFonts w:ascii="Book Antiqua" w:hAnsi="Book Antiqua"/>
          <w:szCs w:val="24"/>
        </w:rPr>
        <w:t xml:space="preserve"> </w:t>
      </w:r>
      <w:r w:rsidRPr="008031E4" w:rsidR="0024647B">
        <w:rPr>
          <w:rFonts w:ascii="Book Antiqua" w:hAnsi="Book Antiqua"/>
          <w:szCs w:val="24"/>
        </w:rPr>
        <w:t>part</w:t>
      </w:r>
      <w:r w:rsidRPr="008031E4" w:rsidR="000274DE">
        <w:rPr>
          <w:rFonts w:ascii="Book Antiqua" w:hAnsi="Book Antiqua"/>
          <w:szCs w:val="24"/>
        </w:rPr>
        <w:t>,</w:t>
      </w:r>
      <w:r w:rsidRPr="008031E4" w:rsidR="0024647B">
        <w:rPr>
          <w:rFonts w:ascii="Book Antiqua" w:hAnsi="Book Antiqua"/>
          <w:szCs w:val="24"/>
        </w:rPr>
        <w:t xml:space="preserve"> that every carrier shall institute and maintain in its offices a set of records </w:t>
      </w:r>
      <w:r w:rsidRPr="008031E4" w:rsidR="00037925">
        <w:rPr>
          <w:rFonts w:ascii="Book Antiqua" w:hAnsi="Book Antiqua"/>
          <w:szCs w:val="24"/>
        </w:rPr>
        <w:t xml:space="preserve">that </w:t>
      </w:r>
      <w:r w:rsidRPr="008031E4" w:rsidR="0024647B">
        <w:rPr>
          <w:rFonts w:ascii="Book Antiqua" w:hAnsi="Book Antiqua"/>
          <w:szCs w:val="24"/>
        </w:rPr>
        <w:t xml:space="preserve">reflect information as to the transportation services performed, including waybills, driver records, and safety and maintenance records including copies of all lease and sub-carrier agreements. Such records shall be maintained for a minimum period of three years.  </w:t>
      </w:r>
    </w:p>
    <w:p w:rsidRPr="009B789A" w:rsidR="0024647B" w:rsidRDefault="0024647B" w14:paraId="0C1C7C01" w14:textId="77777777">
      <w:pPr>
        <w:rPr>
          <w:rFonts w:ascii="Book Antiqua" w:hAnsi="Book Antiqua"/>
          <w:sz w:val="26"/>
          <w:szCs w:val="26"/>
        </w:rPr>
      </w:pPr>
    </w:p>
    <w:p w:rsidRPr="008031E4" w:rsidR="00E16208" w:rsidP="00A45E5A" w:rsidRDefault="00A45E5A" w14:paraId="3BCDF619" w14:textId="77777777">
      <w:pPr>
        <w:keepNext/>
        <w:rPr>
          <w:rFonts w:ascii="Book Antiqua" w:hAnsi="Book Antiqua"/>
          <w:b/>
          <w:szCs w:val="24"/>
          <w:u w:val="single"/>
        </w:rPr>
      </w:pPr>
      <w:r w:rsidRPr="008031E4">
        <w:rPr>
          <w:rFonts w:ascii="Book Antiqua" w:hAnsi="Book Antiqua"/>
          <w:b/>
          <w:szCs w:val="24"/>
          <w:u w:val="single"/>
        </w:rPr>
        <w:t xml:space="preserve">THE </w:t>
      </w:r>
      <w:r w:rsidRPr="008031E4" w:rsidR="00E16208">
        <w:rPr>
          <w:rFonts w:ascii="Book Antiqua" w:hAnsi="Book Antiqua"/>
          <w:b/>
          <w:szCs w:val="24"/>
          <w:u w:val="single"/>
        </w:rPr>
        <w:t>APPEAL</w:t>
      </w:r>
    </w:p>
    <w:p w:rsidRPr="008031E4" w:rsidR="00C47C2A" w:rsidRDefault="00C47C2A" w14:paraId="6766FEB6" w14:textId="77777777">
      <w:pPr>
        <w:rPr>
          <w:rFonts w:ascii="Book Antiqua" w:hAnsi="Book Antiqua"/>
          <w:bCs/>
          <w:szCs w:val="24"/>
        </w:rPr>
      </w:pPr>
    </w:p>
    <w:p w:rsidRPr="008031E4" w:rsidR="008B6F04" w:rsidP="0025605B" w:rsidRDefault="00494AF0" w14:paraId="75467FF4" w14:textId="2EC0E08E">
      <w:pPr>
        <w:pStyle w:val="BodyText"/>
        <w:ind w:right="227"/>
      </w:pPr>
      <w:r w:rsidRPr="008031E4">
        <w:rPr>
          <w:rFonts w:eastAsia="MS Mincho"/>
        </w:rPr>
        <w:t xml:space="preserve">On June 10, 2024, </w:t>
      </w:r>
      <w:r w:rsidRPr="008031E4" w:rsidR="000274DE">
        <w:t>Appellant</w:t>
      </w:r>
      <w:r w:rsidRPr="008031E4" w:rsidR="00037925">
        <w:t xml:space="preserve"> </w:t>
      </w:r>
      <w:r w:rsidRPr="008031E4" w:rsidR="00E16208">
        <w:rPr>
          <w:bCs/>
        </w:rPr>
        <w:t>timely appeal</w:t>
      </w:r>
      <w:r w:rsidRPr="008031E4" w:rsidR="000274DE">
        <w:rPr>
          <w:bCs/>
        </w:rPr>
        <w:t>ed</w:t>
      </w:r>
      <w:r w:rsidRPr="008031E4" w:rsidR="00E16208">
        <w:rPr>
          <w:bCs/>
        </w:rPr>
        <w:t xml:space="preserve"> </w:t>
      </w:r>
      <w:r w:rsidRPr="008031E4" w:rsidR="00E16208">
        <w:t>Citation No. T.24-05-008</w:t>
      </w:r>
      <w:r w:rsidRPr="008031E4" w:rsidR="008B6F04">
        <w:rPr>
          <w:bCs/>
        </w:rPr>
        <w:t xml:space="preserve">. </w:t>
      </w:r>
      <w:r w:rsidRPr="008031E4" w:rsidR="008B6F04">
        <w:rPr>
          <w:rFonts w:eastAsia="MS Mincho"/>
        </w:rPr>
        <w:t>On August 8, 2024</w:t>
      </w:r>
      <w:r w:rsidRPr="008031E4" w:rsidR="00037925">
        <w:rPr>
          <w:rFonts w:eastAsia="MS Mincho"/>
        </w:rPr>
        <w:t>, t</w:t>
      </w:r>
      <w:r w:rsidRPr="008031E4" w:rsidR="008B6F04">
        <w:rPr>
          <w:rFonts w:eastAsia="MS Mincho"/>
        </w:rPr>
        <w:t xml:space="preserve">he assigned Administrative Law Judge (ALJ) issued a ruling setting the hearing for August 29, 2024.  Both parties appeared at the hearing on </w:t>
      </w:r>
      <w:r w:rsidRPr="008031E4" w:rsidR="00D818B9">
        <w:rPr>
          <w:rFonts w:eastAsia="MS Mincho"/>
        </w:rPr>
        <w:t>the scheduled date</w:t>
      </w:r>
      <w:r w:rsidRPr="008031E4" w:rsidR="008B6F04">
        <w:rPr>
          <w:rFonts w:eastAsia="MS Mincho"/>
        </w:rPr>
        <w:t>. During the hearing</w:t>
      </w:r>
      <w:r w:rsidRPr="008031E4" w:rsidR="000A4E49">
        <w:rPr>
          <w:rFonts w:eastAsia="MS Mincho"/>
        </w:rPr>
        <w:t>,</w:t>
      </w:r>
      <w:r w:rsidRPr="008031E4" w:rsidR="00EC7EA2">
        <w:rPr>
          <w:rFonts w:eastAsia="MS Mincho"/>
        </w:rPr>
        <w:t xml:space="preserve"> the </w:t>
      </w:r>
      <w:r w:rsidRPr="008031E4" w:rsidR="008B6F04">
        <w:rPr>
          <w:rFonts w:eastAsia="MS Mincho"/>
        </w:rPr>
        <w:t>parties utilized the right to call, examine, and cross</w:t>
      </w:r>
      <w:r w:rsidRPr="008031E4" w:rsidR="008B6F04">
        <w:rPr>
          <w:rFonts w:eastAsia="MS Mincho"/>
        </w:rPr>
        <w:noBreakHyphen/>
        <w:t>examine witnesses and offer exhibits.</w:t>
      </w:r>
    </w:p>
    <w:p w:rsidRPr="008031E4" w:rsidR="00E16208" w:rsidP="0025605B" w:rsidRDefault="00E16208" w14:paraId="2CA7ACCD" w14:textId="77777777">
      <w:pPr>
        <w:rPr>
          <w:bCs/>
          <w:szCs w:val="24"/>
        </w:rPr>
      </w:pPr>
    </w:p>
    <w:p w:rsidRPr="008031E4" w:rsidR="00472C68" w:rsidP="00472C68" w:rsidRDefault="00472C68" w14:paraId="379D035F" w14:textId="77777777">
      <w:pPr>
        <w:rPr>
          <w:rFonts w:ascii="Book Antiqua" w:hAnsi="Book Antiqua" w:eastAsia="MS Mincho"/>
          <w:szCs w:val="24"/>
        </w:rPr>
      </w:pPr>
      <w:r w:rsidRPr="008031E4">
        <w:rPr>
          <w:rFonts w:ascii="Book Antiqua" w:hAnsi="Book Antiqua" w:eastAsia="MS Mincho"/>
          <w:szCs w:val="24"/>
        </w:rPr>
        <w:t>CPED’s compliance filing included the following exhibits:</w:t>
      </w:r>
      <w:r w:rsidRPr="008031E4" w:rsidR="00E16208">
        <w:rPr>
          <w:rStyle w:val="FootnoteReference"/>
          <w:rFonts w:ascii="Book Antiqua" w:hAnsi="Book Antiqua" w:eastAsia="MS Mincho"/>
          <w:szCs w:val="24"/>
        </w:rPr>
        <w:footnoteReference w:id="1"/>
      </w:r>
    </w:p>
    <w:p w:rsidRPr="008031E4" w:rsidR="00472C68" w:rsidP="00472C68" w:rsidRDefault="00472C68" w14:paraId="1D97379E" w14:textId="77777777">
      <w:pPr>
        <w:rPr>
          <w:rFonts w:ascii="Book Antiqua" w:hAnsi="Book Antiqua" w:eastAsia="MS Mincho"/>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2109"/>
        <w:gridCol w:w="7149"/>
      </w:tblGrid>
      <w:tr w:rsidRPr="008031E4" w:rsidR="00472C68" w:rsidTr="00DA6F50" w14:paraId="62945A23" w14:textId="77777777">
        <w:trPr>
          <w:jc w:val="center"/>
        </w:trPr>
        <w:tc>
          <w:tcPr>
            <w:tcW w:w="2109" w:type="dxa"/>
            <w:shd w:val="clear" w:color="auto" w:fill="auto"/>
          </w:tcPr>
          <w:p w:rsidRPr="008031E4" w:rsidR="00472C68" w:rsidP="00DA6F50" w:rsidRDefault="00472C68" w14:paraId="4D3D75A6" w14:textId="77777777">
            <w:pPr>
              <w:spacing w:line="360" w:lineRule="auto"/>
              <w:rPr>
                <w:rFonts w:eastAsia="MS Mincho"/>
                <w:szCs w:val="24"/>
              </w:rPr>
            </w:pPr>
            <w:r w:rsidRPr="008031E4">
              <w:rPr>
                <w:rFonts w:eastAsia="MS Mincho"/>
                <w:szCs w:val="24"/>
              </w:rPr>
              <w:t>CPED-1</w:t>
            </w:r>
          </w:p>
        </w:tc>
        <w:tc>
          <w:tcPr>
            <w:tcW w:w="7149" w:type="dxa"/>
            <w:shd w:val="clear" w:color="auto" w:fill="auto"/>
          </w:tcPr>
          <w:p w:rsidRPr="008031E4" w:rsidR="00472C68" w:rsidP="00DA6F50" w:rsidRDefault="00472C68" w14:paraId="49D7458F" w14:textId="77777777">
            <w:pPr>
              <w:rPr>
                <w:rFonts w:eastAsia="MS Mincho"/>
                <w:szCs w:val="24"/>
              </w:rPr>
            </w:pPr>
            <w:r w:rsidRPr="008031E4">
              <w:rPr>
                <w:rFonts w:eastAsia="MS Mincho"/>
                <w:szCs w:val="24"/>
              </w:rPr>
              <w:t>3/21/24 – Email from CPED to Appellant and attached Data Request.</w:t>
            </w:r>
          </w:p>
        </w:tc>
      </w:tr>
      <w:tr w:rsidRPr="008031E4" w:rsidR="00472C68" w:rsidTr="00DA6F50" w14:paraId="0A4C6B46" w14:textId="77777777">
        <w:trPr>
          <w:jc w:val="center"/>
        </w:trPr>
        <w:tc>
          <w:tcPr>
            <w:tcW w:w="2109" w:type="dxa"/>
            <w:shd w:val="clear" w:color="auto" w:fill="auto"/>
          </w:tcPr>
          <w:p w:rsidRPr="008031E4" w:rsidR="00472C68" w:rsidP="00472C68" w:rsidRDefault="00472C68" w14:paraId="7052CCB9" w14:textId="77777777">
            <w:pPr>
              <w:spacing w:line="360" w:lineRule="auto"/>
              <w:rPr>
                <w:rFonts w:eastAsia="MS Mincho"/>
                <w:szCs w:val="24"/>
              </w:rPr>
            </w:pPr>
            <w:r w:rsidRPr="008031E4">
              <w:rPr>
                <w:rFonts w:eastAsia="MS Mincho"/>
                <w:szCs w:val="24"/>
              </w:rPr>
              <w:t>CPED-2</w:t>
            </w:r>
          </w:p>
        </w:tc>
        <w:tc>
          <w:tcPr>
            <w:tcW w:w="7149" w:type="dxa"/>
            <w:shd w:val="clear" w:color="auto" w:fill="auto"/>
          </w:tcPr>
          <w:p w:rsidRPr="008031E4" w:rsidR="00472C68" w:rsidP="00472C68" w:rsidRDefault="00472C68" w14:paraId="3384D782" w14:textId="77777777">
            <w:pPr>
              <w:rPr>
                <w:rFonts w:eastAsia="MS Mincho"/>
                <w:szCs w:val="24"/>
              </w:rPr>
            </w:pPr>
            <w:r w:rsidRPr="008031E4">
              <w:rPr>
                <w:rFonts w:eastAsia="MS Mincho"/>
                <w:szCs w:val="24"/>
              </w:rPr>
              <w:t>3/25/24 – Email from CPED to Appellant, memorializing phone conversation of 3/25/24 as to licensing information and responding to Data Request.</w:t>
            </w:r>
          </w:p>
        </w:tc>
      </w:tr>
      <w:tr w:rsidRPr="008031E4" w:rsidR="00472C68" w:rsidTr="00DA6F50" w14:paraId="1827A6F5" w14:textId="77777777">
        <w:trPr>
          <w:jc w:val="center"/>
        </w:trPr>
        <w:tc>
          <w:tcPr>
            <w:tcW w:w="2109" w:type="dxa"/>
            <w:shd w:val="clear" w:color="auto" w:fill="auto"/>
          </w:tcPr>
          <w:p w:rsidRPr="008031E4" w:rsidR="00472C68" w:rsidP="00DA6F50" w:rsidRDefault="00472C68" w14:paraId="30BC1620" w14:textId="77777777">
            <w:pPr>
              <w:spacing w:line="360" w:lineRule="auto"/>
              <w:rPr>
                <w:rFonts w:eastAsia="MS Mincho"/>
                <w:szCs w:val="24"/>
              </w:rPr>
            </w:pPr>
            <w:r w:rsidRPr="008031E4">
              <w:rPr>
                <w:rFonts w:eastAsia="MS Mincho"/>
                <w:szCs w:val="24"/>
              </w:rPr>
              <w:t>CPED-3</w:t>
            </w:r>
          </w:p>
        </w:tc>
        <w:tc>
          <w:tcPr>
            <w:tcW w:w="7149" w:type="dxa"/>
            <w:shd w:val="clear" w:color="auto" w:fill="auto"/>
          </w:tcPr>
          <w:p w:rsidRPr="008031E4" w:rsidR="00472C68" w:rsidP="00DA6F50" w:rsidRDefault="00472C68" w14:paraId="3AA99E38" w14:textId="77777777">
            <w:pPr>
              <w:rPr>
                <w:rFonts w:eastAsia="MS Mincho"/>
                <w:szCs w:val="24"/>
              </w:rPr>
            </w:pPr>
            <w:r w:rsidRPr="008031E4">
              <w:rPr>
                <w:rFonts w:eastAsia="MS Mincho"/>
                <w:szCs w:val="24"/>
              </w:rPr>
              <w:t>6/21/24 – CPED Compliance Filing and attachments and Certificate of Service (Public).</w:t>
            </w:r>
          </w:p>
        </w:tc>
      </w:tr>
      <w:tr w:rsidRPr="008031E4" w:rsidR="00472C68" w:rsidTr="00DA6F50" w14:paraId="47FCC005" w14:textId="77777777">
        <w:trPr>
          <w:jc w:val="center"/>
        </w:trPr>
        <w:tc>
          <w:tcPr>
            <w:tcW w:w="2109" w:type="dxa"/>
            <w:shd w:val="clear" w:color="auto" w:fill="auto"/>
          </w:tcPr>
          <w:p w:rsidRPr="008031E4" w:rsidR="00472C68" w:rsidP="00DA6F50" w:rsidRDefault="00472C68" w14:paraId="443CCBF6" w14:textId="77777777">
            <w:pPr>
              <w:spacing w:line="360" w:lineRule="auto"/>
              <w:rPr>
                <w:rFonts w:eastAsia="MS Mincho"/>
                <w:szCs w:val="24"/>
              </w:rPr>
            </w:pPr>
            <w:r w:rsidRPr="008031E4">
              <w:rPr>
                <w:rFonts w:eastAsia="MS Mincho"/>
                <w:szCs w:val="24"/>
              </w:rPr>
              <w:t>CPED-4</w:t>
            </w:r>
          </w:p>
        </w:tc>
        <w:tc>
          <w:tcPr>
            <w:tcW w:w="7149" w:type="dxa"/>
            <w:shd w:val="clear" w:color="auto" w:fill="auto"/>
          </w:tcPr>
          <w:p w:rsidRPr="008031E4" w:rsidR="00472C68" w:rsidP="00DA6F50" w:rsidRDefault="00472C68" w14:paraId="6B6976BA" w14:textId="77777777">
            <w:pPr>
              <w:rPr>
                <w:rFonts w:eastAsia="MS Mincho"/>
                <w:szCs w:val="24"/>
              </w:rPr>
            </w:pPr>
            <w:r w:rsidRPr="008031E4">
              <w:rPr>
                <w:rFonts w:eastAsia="MS Mincho"/>
                <w:szCs w:val="24"/>
              </w:rPr>
              <w:t>5/24/24 TO 7/3/24 - Emails between CPED and Appellant post Citation.</w:t>
            </w:r>
          </w:p>
        </w:tc>
      </w:tr>
    </w:tbl>
    <w:p w:rsidRPr="008031E4" w:rsidR="008B6F04" w:rsidP="00494AF0" w:rsidRDefault="008B6F04" w14:paraId="465F62CC" w14:textId="77777777">
      <w:pPr>
        <w:spacing w:line="360" w:lineRule="auto"/>
        <w:ind w:firstLine="470"/>
        <w:rPr>
          <w:bCs/>
          <w:szCs w:val="24"/>
        </w:rPr>
      </w:pPr>
    </w:p>
    <w:p w:rsidRPr="008031E4" w:rsidR="00A45E5A" w:rsidP="00A45E5A" w:rsidRDefault="00A45E5A" w14:paraId="545E03ED" w14:textId="77777777">
      <w:pPr>
        <w:keepNext/>
        <w:rPr>
          <w:rFonts w:ascii="Book Antiqua" w:hAnsi="Book Antiqua"/>
          <w:b/>
          <w:szCs w:val="24"/>
          <w:u w:val="single"/>
        </w:rPr>
      </w:pPr>
      <w:r w:rsidRPr="008031E4">
        <w:rPr>
          <w:rFonts w:ascii="Book Antiqua" w:hAnsi="Book Antiqua"/>
          <w:b/>
          <w:szCs w:val="24"/>
          <w:u w:val="single"/>
        </w:rPr>
        <w:t>RESOLUTION OF THE APPEAL</w:t>
      </w:r>
    </w:p>
    <w:p w:rsidRPr="008031E4" w:rsidR="00472C68" w:rsidP="00C8751F" w:rsidRDefault="00472C68" w14:paraId="35C97071" w14:textId="77777777">
      <w:pPr>
        <w:rPr>
          <w:szCs w:val="24"/>
        </w:rPr>
      </w:pPr>
    </w:p>
    <w:p w:rsidRPr="008031E4" w:rsidR="00037925" w:rsidP="00255677" w:rsidRDefault="00037925" w14:paraId="0BEB749F" w14:textId="77777777">
      <w:pPr>
        <w:pStyle w:val="BodyText"/>
        <w:numPr>
          <w:ilvl w:val="0"/>
          <w:numId w:val="11"/>
        </w:numPr>
        <w:spacing w:after="240"/>
        <w:ind w:right="230"/>
        <w:rPr>
          <w:b/>
          <w:bCs/>
          <w:u w:val="single"/>
        </w:rPr>
      </w:pPr>
      <w:r w:rsidRPr="008031E4">
        <w:rPr>
          <w:b/>
          <w:bCs/>
          <w:u w:val="single"/>
        </w:rPr>
        <w:t>Burden of Proof</w:t>
      </w:r>
    </w:p>
    <w:p w:rsidRPr="008031E4" w:rsidR="00B259DB" w:rsidP="00037925" w:rsidRDefault="00C5447F" w14:paraId="62E5BBDF" w14:textId="7D17EFF4">
      <w:pPr>
        <w:pStyle w:val="BodyText"/>
        <w:ind w:right="227"/>
      </w:pPr>
      <w:r w:rsidRPr="008031E4">
        <w:t>Under</w:t>
      </w:r>
      <w:r w:rsidRPr="008031E4" w:rsidR="00B259DB">
        <w:t xml:space="preserve"> Resolution ALJ-377, </w:t>
      </w:r>
      <w:r w:rsidRPr="008031E4">
        <w:t xml:space="preserve">CPED holds the </w:t>
      </w:r>
      <w:r w:rsidRPr="008031E4" w:rsidR="00B259DB">
        <w:t xml:space="preserve">burden </w:t>
      </w:r>
      <w:r w:rsidRPr="008031E4">
        <w:t xml:space="preserve">to prove, by a preponderance of </w:t>
      </w:r>
      <w:r w:rsidRPr="008031E4">
        <w:lastRenderedPageBreak/>
        <w:t>evidence, that the citation was issued in compliance with the law and the Commission rules, and that the penalty amount is just and reasonable. The</w:t>
      </w:r>
      <w:r w:rsidRPr="008031E4" w:rsidR="00FE3F38">
        <w:t xml:space="preserve"> </w:t>
      </w:r>
      <w:r w:rsidRPr="008031E4" w:rsidR="00B259DB">
        <w:t xml:space="preserve">burden </w:t>
      </w:r>
      <w:r w:rsidRPr="008031E4" w:rsidR="00FE3F38">
        <w:t xml:space="preserve">then </w:t>
      </w:r>
      <w:r w:rsidRPr="008031E4" w:rsidR="00B259DB">
        <w:t xml:space="preserve">shifts to the appellant, who must then </w:t>
      </w:r>
      <w:r w:rsidRPr="008031E4">
        <w:t xml:space="preserve">prove, by </w:t>
      </w:r>
      <w:proofErr w:type="gramStart"/>
      <w:r w:rsidRPr="008031E4">
        <w:t>a preponderance</w:t>
      </w:r>
      <w:proofErr w:type="gramEnd"/>
      <w:r w:rsidRPr="008031E4">
        <w:t xml:space="preserve"> of evidence,</w:t>
      </w:r>
      <w:r w:rsidRPr="008031E4" w:rsidR="00B259DB">
        <w:t xml:space="preserve"> that </w:t>
      </w:r>
      <w:r w:rsidRPr="008031E4" w:rsidR="00A90E83">
        <w:t xml:space="preserve">no </w:t>
      </w:r>
      <w:r w:rsidRPr="008031E4" w:rsidR="00B259DB">
        <w:t xml:space="preserve">violation occurred </w:t>
      </w:r>
      <w:r w:rsidRPr="008031E4" w:rsidR="00A90E83">
        <w:t>or that</w:t>
      </w:r>
      <w:r w:rsidRPr="008031E4" w:rsidR="00B259DB">
        <w:t xml:space="preserve"> </w:t>
      </w:r>
      <w:r w:rsidRPr="008031E4" w:rsidR="00A90E83">
        <w:t xml:space="preserve">the </w:t>
      </w:r>
      <w:r w:rsidRPr="008031E4" w:rsidR="00B259DB">
        <w:t xml:space="preserve">amount </w:t>
      </w:r>
      <w:r w:rsidRPr="008031E4" w:rsidR="00A90E83">
        <w:t xml:space="preserve">of the penalty </w:t>
      </w:r>
      <w:r w:rsidRPr="008031E4" w:rsidR="00B259DB">
        <w:t>is unjustified.</w:t>
      </w:r>
    </w:p>
    <w:p w:rsidRPr="008031E4" w:rsidR="00735B5C" w:rsidP="00855A5E" w:rsidRDefault="00735B5C" w14:paraId="22653820" w14:textId="77777777">
      <w:pPr>
        <w:autoSpaceDE w:val="0"/>
        <w:autoSpaceDN w:val="0"/>
        <w:adjustRightInd w:val="0"/>
        <w:rPr>
          <w:szCs w:val="24"/>
        </w:rPr>
      </w:pPr>
    </w:p>
    <w:p w:rsidRPr="008031E4" w:rsidR="00735B5C" w:rsidP="00855A5E" w:rsidRDefault="00472C68" w14:paraId="2026DC7F" w14:textId="1A5D6C50">
      <w:pPr>
        <w:autoSpaceDE w:val="0"/>
        <w:autoSpaceDN w:val="0"/>
        <w:adjustRightInd w:val="0"/>
        <w:rPr>
          <w:rFonts w:ascii="Book Antiqua" w:hAnsi="Book Antiqua" w:eastAsia="Book Antiqua" w:cs="Book Antiqua"/>
          <w:szCs w:val="24"/>
        </w:rPr>
      </w:pPr>
      <w:r w:rsidRPr="008031E4">
        <w:rPr>
          <w:rFonts w:ascii="Book Antiqua" w:hAnsi="Book Antiqua" w:eastAsia="Book Antiqua" w:cs="Book Antiqua"/>
          <w:szCs w:val="24"/>
        </w:rPr>
        <w:t xml:space="preserve">CPED </w:t>
      </w:r>
      <w:r w:rsidRPr="008031E4" w:rsidR="00A90E83">
        <w:rPr>
          <w:rFonts w:ascii="Book Antiqua" w:hAnsi="Book Antiqua" w:eastAsia="Book Antiqua" w:cs="Book Antiqua"/>
          <w:szCs w:val="24"/>
        </w:rPr>
        <w:t>testified</w:t>
      </w:r>
      <w:r w:rsidRPr="008031E4">
        <w:rPr>
          <w:rFonts w:ascii="Book Antiqua" w:hAnsi="Book Antiqua" w:eastAsia="Book Antiqua" w:cs="Book Antiqua"/>
          <w:szCs w:val="24"/>
        </w:rPr>
        <w:t xml:space="preserve"> that </w:t>
      </w:r>
      <w:r w:rsidRPr="008031E4" w:rsidR="00A90E83">
        <w:rPr>
          <w:rFonts w:ascii="Book Antiqua" w:hAnsi="Book Antiqua" w:eastAsia="Book Antiqua" w:cs="Book Antiqua"/>
          <w:szCs w:val="24"/>
        </w:rPr>
        <w:t xml:space="preserve">it </w:t>
      </w:r>
      <w:r w:rsidRPr="008031E4" w:rsidR="00735B5C">
        <w:rPr>
          <w:rFonts w:ascii="Book Antiqua" w:hAnsi="Book Antiqua" w:eastAsia="Book Antiqua" w:cs="Book Antiqua"/>
          <w:szCs w:val="24"/>
        </w:rPr>
        <w:t>investigate</w:t>
      </w:r>
      <w:r w:rsidRPr="008031E4" w:rsidR="00A90E83">
        <w:rPr>
          <w:rFonts w:ascii="Book Antiqua" w:hAnsi="Book Antiqua" w:eastAsia="Book Antiqua" w:cs="Book Antiqua"/>
          <w:szCs w:val="24"/>
        </w:rPr>
        <w:t>d</w:t>
      </w:r>
      <w:r w:rsidRPr="008031E4" w:rsidR="00735B5C">
        <w:rPr>
          <w:rFonts w:ascii="Book Antiqua" w:hAnsi="Book Antiqua" w:eastAsia="Book Antiqua" w:cs="Book Antiqua"/>
          <w:szCs w:val="24"/>
        </w:rPr>
        <w:t xml:space="preserve"> </w:t>
      </w:r>
      <w:r w:rsidRPr="008031E4" w:rsidR="000A4E49">
        <w:rPr>
          <w:rFonts w:ascii="Book Antiqua" w:hAnsi="Book Antiqua" w:eastAsia="Book Antiqua" w:cs="Book Antiqua"/>
          <w:szCs w:val="24"/>
        </w:rPr>
        <w:t xml:space="preserve">ALVA’s </w:t>
      </w:r>
      <w:r w:rsidRPr="008031E4" w:rsidR="00735B5C">
        <w:rPr>
          <w:rFonts w:ascii="Book Antiqua" w:hAnsi="Book Antiqua" w:eastAsia="Book Antiqua" w:cs="Book Antiqua"/>
          <w:szCs w:val="24"/>
        </w:rPr>
        <w:t xml:space="preserve">operations and practices </w:t>
      </w:r>
      <w:r w:rsidRPr="008031E4" w:rsidR="000A4E49">
        <w:rPr>
          <w:rFonts w:ascii="Book Antiqua" w:hAnsi="Book Antiqua" w:eastAsia="Book Antiqua" w:cs="Book Antiqua"/>
          <w:szCs w:val="24"/>
        </w:rPr>
        <w:t>during the period</w:t>
      </w:r>
      <w:r w:rsidRPr="008031E4" w:rsidR="008B6F04">
        <w:rPr>
          <w:rFonts w:ascii="Book Antiqua" w:hAnsi="Book Antiqua" w:eastAsia="Book Antiqua" w:cs="Book Antiqua"/>
          <w:szCs w:val="24"/>
        </w:rPr>
        <w:t xml:space="preserve"> </w:t>
      </w:r>
      <w:r w:rsidRPr="008031E4" w:rsidR="00A45E5A">
        <w:rPr>
          <w:rFonts w:ascii="Book Antiqua" w:hAnsi="Book Antiqua" w:eastAsia="Book Antiqua" w:cs="Book Antiqua"/>
          <w:szCs w:val="24"/>
        </w:rPr>
        <w:t>from January 8, 2024, to May 22, 2024</w:t>
      </w:r>
      <w:r w:rsidRPr="008031E4" w:rsidR="000F1BB0">
        <w:rPr>
          <w:rFonts w:ascii="Book Antiqua" w:hAnsi="Book Antiqua" w:eastAsia="Book Antiqua" w:cs="Book Antiqua"/>
          <w:szCs w:val="24"/>
        </w:rPr>
        <w:t xml:space="preserve">. This investigation was initiated because the </w:t>
      </w:r>
      <w:r w:rsidRPr="008031E4" w:rsidR="000A4E49">
        <w:rPr>
          <w:rFonts w:ascii="Book Antiqua" w:hAnsi="Book Antiqua" w:eastAsia="Book Antiqua" w:cs="Book Antiqua"/>
          <w:szCs w:val="24"/>
        </w:rPr>
        <w:t xml:space="preserve">Appellant </w:t>
      </w:r>
      <w:r w:rsidRPr="008031E4" w:rsidR="000F1BB0">
        <w:rPr>
          <w:rFonts w:ascii="Book Antiqua" w:hAnsi="Book Antiqua" w:eastAsia="Book Antiqua" w:cs="Book Antiqua"/>
          <w:szCs w:val="24"/>
        </w:rPr>
        <w:t xml:space="preserve">was reportedly operating with more vehicles and drivers than </w:t>
      </w:r>
      <w:r w:rsidRPr="008031E4" w:rsidR="00255677">
        <w:rPr>
          <w:rFonts w:ascii="Book Antiqua" w:hAnsi="Book Antiqua" w:eastAsia="Book Antiqua" w:cs="Book Antiqua"/>
          <w:szCs w:val="24"/>
        </w:rPr>
        <w:t xml:space="preserve">provided in the information previously </w:t>
      </w:r>
      <w:r w:rsidRPr="008031E4" w:rsidR="000F1BB0">
        <w:rPr>
          <w:rFonts w:ascii="Book Antiqua" w:hAnsi="Book Antiqua" w:eastAsia="Book Antiqua" w:cs="Book Antiqua"/>
          <w:szCs w:val="24"/>
        </w:rPr>
        <w:t>reported to the Commission</w:t>
      </w:r>
      <w:r w:rsidRPr="008031E4" w:rsidR="00735B5C">
        <w:rPr>
          <w:rFonts w:ascii="Book Antiqua" w:hAnsi="Book Antiqua" w:eastAsia="Book Antiqua" w:cs="Book Antiqua"/>
          <w:szCs w:val="24"/>
        </w:rPr>
        <w:t>.</w:t>
      </w:r>
      <w:r w:rsidRPr="008031E4" w:rsidR="00A45E5A">
        <w:rPr>
          <w:rStyle w:val="FootnoteReference"/>
          <w:rFonts w:ascii="Book Antiqua" w:hAnsi="Book Antiqua" w:eastAsia="Book Antiqua" w:cs="Book Antiqua"/>
          <w:szCs w:val="24"/>
        </w:rPr>
        <w:footnoteReference w:id="2"/>
      </w:r>
    </w:p>
    <w:p w:rsidRPr="008031E4" w:rsidR="00855A5E" w:rsidP="00855A5E" w:rsidRDefault="00855A5E" w14:paraId="0DE5C8CF" w14:textId="77777777">
      <w:pPr>
        <w:pStyle w:val="BodyText"/>
        <w:spacing w:before="112"/>
        <w:ind w:right="138"/>
      </w:pPr>
    </w:p>
    <w:p w:rsidRPr="008031E4" w:rsidR="00EE46CA" w:rsidP="00105F1A" w:rsidRDefault="00563885" w14:paraId="43556A6A" w14:textId="2FB855BC">
      <w:pPr>
        <w:pStyle w:val="BodyText"/>
        <w:ind w:right="144"/>
      </w:pPr>
      <w:r w:rsidRPr="008031E4">
        <w:t xml:space="preserve">On March 21, 2024, CPED staff issued a data request to the Appellant via the email registered </w:t>
      </w:r>
      <w:r w:rsidRPr="008031E4" w:rsidR="00A45E5A">
        <w:t>in the Transportation Charter Party (TCP) Portal</w:t>
      </w:r>
      <w:r w:rsidRPr="008031E4" w:rsidR="00EE46CA">
        <w:t>.</w:t>
      </w:r>
      <w:r w:rsidRPr="008031E4">
        <w:rPr>
          <w:rStyle w:val="FootnoteReference"/>
        </w:rPr>
        <w:footnoteReference w:id="3"/>
      </w:r>
      <w:r w:rsidRPr="008031E4" w:rsidR="00EE46CA">
        <w:t xml:space="preserve"> The data request required </w:t>
      </w:r>
      <w:r w:rsidRPr="008031E4" w:rsidR="000A4E49">
        <w:t xml:space="preserve">Appellant </w:t>
      </w:r>
      <w:r w:rsidRPr="008031E4" w:rsidR="00EE46CA">
        <w:t xml:space="preserve">to submit the </w:t>
      </w:r>
      <w:r w:rsidRPr="008031E4" w:rsidR="00A90E83">
        <w:t xml:space="preserve">following </w:t>
      </w:r>
      <w:r w:rsidRPr="008031E4" w:rsidR="00EE46CA">
        <w:t>documents:</w:t>
      </w:r>
    </w:p>
    <w:p w:rsidRPr="008031E4" w:rsidR="00EE46CA" w:rsidP="00EE46CA" w:rsidRDefault="00EE46CA" w14:paraId="3EE04DB5" w14:textId="77777777">
      <w:pPr>
        <w:pStyle w:val="BodyText"/>
        <w:numPr>
          <w:ilvl w:val="0"/>
          <w:numId w:val="8"/>
        </w:numPr>
        <w:spacing w:before="112"/>
        <w:ind w:right="138"/>
      </w:pPr>
      <w:r w:rsidRPr="008031E4">
        <w:t xml:space="preserve">Your current public liability and property damage insurance policy </w:t>
      </w:r>
      <w:proofErr w:type="gramStart"/>
      <w:r w:rsidRPr="008031E4">
        <w:t>showing</w:t>
      </w:r>
      <w:proofErr w:type="gramEnd"/>
      <w:r w:rsidRPr="008031E4">
        <w:t xml:space="preserve"> the schedule of vehicles and drivers insured.</w:t>
      </w:r>
    </w:p>
    <w:p w:rsidRPr="008031E4" w:rsidR="00156AF4" w:rsidP="00855A5E" w:rsidRDefault="00EE46CA" w14:paraId="3E11F37E" w14:textId="77777777">
      <w:pPr>
        <w:pStyle w:val="BodyText"/>
        <w:numPr>
          <w:ilvl w:val="0"/>
          <w:numId w:val="8"/>
        </w:numPr>
        <w:spacing w:before="112"/>
        <w:ind w:right="138"/>
      </w:pPr>
      <w:r w:rsidRPr="008031E4">
        <w:t>Current service agreement with your Drug Consortium and a list of all drivers enrolled showing dates added and/or deleted.</w:t>
      </w:r>
    </w:p>
    <w:p w:rsidRPr="008031E4" w:rsidR="00855A5E" w:rsidP="00E2430D" w:rsidRDefault="00FC0794" w14:paraId="51B70157" w14:textId="231698AC">
      <w:pPr>
        <w:pStyle w:val="BodyText"/>
        <w:spacing w:before="112"/>
        <w:ind w:right="138"/>
      </w:pPr>
      <w:r w:rsidRPr="008031E4">
        <w:t xml:space="preserve">In </w:t>
      </w:r>
      <w:r w:rsidRPr="008031E4" w:rsidR="00A90E83">
        <w:t xml:space="preserve">this </w:t>
      </w:r>
      <w:r w:rsidRPr="008031E4">
        <w:t xml:space="preserve">data request, CPED staff instructed </w:t>
      </w:r>
      <w:r w:rsidRPr="008031E4" w:rsidR="000A4E49">
        <w:t xml:space="preserve">Appellant </w:t>
      </w:r>
      <w:r w:rsidRPr="008031E4">
        <w:t xml:space="preserve">to submit the requested documents electronically by emailing them to CPED by April 9, 2024. </w:t>
      </w:r>
      <w:r w:rsidRPr="008031E4" w:rsidR="000A4E49">
        <w:t xml:space="preserve">Appellant </w:t>
      </w:r>
      <w:r w:rsidRPr="008031E4" w:rsidR="00E2430D">
        <w:t xml:space="preserve">failed to submit the required documents by </w:t>
      </w:r>
      <w:r w:rsidRPr="008031E4" w:rsidR="00A90E83">
        <w:t xml:space="preserve">that </w:t>
      </w:r>
      <w:r w:rsidRPr="008031E4" w:rsidR="00E2430D">
        <w:t xml:space="preserve">deadline. </w:t>
      </w:r>
      <w:r w:rsidRPr="008031E4" w:rsidR="00A90E83">
        <w:t xml:space="preserve">Subsequently, on </w:t>
      </w:r>
      <w:r w:rsidRPr="008031E4" w:rsidR="00034C01">
        <w:t xml:space="preserve">May 24, 2024, </w:t>
      </w:r>
      <w:r w:rsidRPr="008031E4" w:rsidR="00855A5E">
        <w:t>CPED</w:t>
      </w:r>
      <w:r w:rsidRPr="008031E4" w:rsidR="00855A5E">
        <w:rPr>
          <w:spacing w:val="-14"/>
        </w:rPr>
        <w:t xml:space="preserve"> </w:t>
      </w:r>
      <w:r w:rsidRPr="008031E4" w:rsidR="00855A5E">
        <w:t>issued</w:t>
      </w:r>
      <w:r w:rsidRPr="008031E4" w:rsidR="00034C01">
        <w:t xml:space="preserve"> citation </w:t>
      </w:r>
      <w:r w:rsidRPr="008031E4" w:rsidR="0024647B">
        <w:t>T</w:t>
      </w:r>
      <w:r w:rsidRPr="008031E4" w:rsidR="00034C01">
        <w:t xml:space="preserve">.24-05-008 to ALVA for failure to produce access to records in violation of </w:t>
      </w:r>
      <w:r w:rsidRPr="008031E4" w:rsidR="00A90E83">
        <w:t>Pub. Util.</w:t>
      </w:r>
      <w:r w:rsidRPr="008031E4" w:rsidR="00034C01">
        <w:t xml:space="preserve"> Code Sections 5389 and 5413 and </w:t>
      </w:r>
      <w:r w:rsidRPr="008031E4" w:rsidR="00A90E83">
        <w:t>G</w:t>
      </w:r>
      <w:r w:rsidRPr="008031E4" w:rsidR="00FE3F38">
        <w:t>.</w:t>
      </w:r>
      <w:r w:rsidRPr="008031E4" w:rsidR="00A90E83">
        <w:t>O</w:t>
      </w:r>
      <w:r w:rsidRPr="008031E4" w:rsidR="00FE3F38">
        <w:t>.</w:t>
      </w:r>
      <w:r w:rsidRPr="008031E4" w:rsidR="00034C01">
        <w:t xml:space="preserve"> 157-E Part 6.02. </w:t>
      </w:r>
      <w:r w:rsidRPr="008031E4" w:rsidR="00A90E83">
        <w:t>After CPED issued</w:t>
      </w:r>
      <w:r w:rsidRPr="008031E4" w:rsidR="00255677">
        <w:t xml:space="preserve"> the citation</w:t>
      </w:r>
      <w:r w:rsidRPr="008031E4" w:rsidR="00640429">
        <w:t xml:space="preserve">, ALVA sent </w:t>
      </w:r>
      <w:r w:rsidRPr="008031E4" w:rsidR="00FE3F38">
        <w:t xml:space="preserve">the required </w:t>
      </w:r>
      <w:r w:rsidRPr="008031E4" w:rsidR="00640429">
        <w:t>documents on May 24 and again on May 30, 2024.</w:t>
      </w:r>
      <w:r w:rsidRPr="008031E4" w:rsidR="00640429">
        <w:rPr>
          <w:rStyle w:val="FootnoteReference"/>
        </w:rPr>
        <w:footnoteReference w:id="4"/>
      </w:r>
    </w:p>
    <w:p w:rsidRPr="008031E4" w:rsidR="00855A5E" w:rsidP="00034C01" w:rsidRDefault="00855A5E" w14:paraId="74BB34E7" w14:textId="77777777">
      <w:pPr>
        <w:pStyle w:val="BodyText"/>
        <w:spacing w:before="141" w:line="237" w:lineRule="auto"/>
      </w:pPr>
    </w:p>
    <w:p w:rsidRPr="008031E4" w:rsidR="00854B81" w:rsidP="002E6A76" w:rsidRDefault="00854B81" w14:paraId="4CE97B00" w14:textId="1DE3A1BC">
      <w:pPr>
        <w:pStyle w:val="BodyText"/>
        <w:ind w:right="227"/>
      </w:pPr>
      <w:r w:rsidRPr="008031E4">
        <w:t xml:space="preserve">During the hearing, </w:t>
      </w:r>
      <w:r w:rsidRPr="008031E4" w:rsidR="00A90E83">
        <w:t>Appellant</w:t>
      </w:r>
      <w:r w:rsidRPr="008031E4">
        <w:t xml:space="preserve"> argued that no </w:t>
      </w:r>
      <w:r w:rsidRPr="008031E4" w:rsidR="00A90E83">
        <w:t xml:space="preserve">citation </w:t>
      </w:r>
      <w:r w:rsidRPr="008031E4">
        <w:t>should be issued because all the requested information was publicly available on the TCP portal.</w:t>
      </w:r>
      <w:r w:rsidRPr="008031E4">
        <w:rPr>
          <w:rStyle w:val="FootnoteReference"/>
        </w:rPr>
        <w:footnoteReference w:id="5"/>
      </w:r>
      <w:r w:rsidRPr="008031E4">
        <w:t xml:space="preserve"> He </w:t>
      </w:r>
      <w:r w:rsidRPr="008031E4" w:rsidR="00A90E83">
        <w:t xml:space="preserve">reiterated </w:t>
      </w:r>
      <w:r w:rsidRPr="008031E4">
        <w:t xml:space="preserve">that CPED should have been able to access this information through the portal. </w:t>
      </w:r>
      <w:proofErr w:type="gramStart"/>
      <w:r w:rsidRPr="008031E4" w:rsidR="000A4E49">
        <w:t>Appellant</w:t>
      </w:r>
      <w:proofErr w:type="gramEnd"/>
      <w:r w:rsidRPr="008031E4">
        <w:t xml:space="preserve"> </w:t>
      </w:r>
      <w:r w:rsidRPr="008031E4" w:rsidR="00A90E83">
        <w:t xml:space="preserve">stated that he was </w:t>
      </w:r>
      <w:r w:rsidRPr="008031E4">
        <w:t>confus</w:t>
      </w:r>
      <w:r w:rsidRPr="008031E4" w:rsidR="00A90E83">
        <w:t>ed</w:t>
      </w:r>
      <w:r w:rsidRPr="008031E4">
        <w:t xml:space="preserve"> about what specific data CPED </w:t>
      </w:r>
      <w:r w:rsidRPr="008031E4" w:rsidR="007D76B9">
        <w:t>sought</w:t>
      </w:r>
      <w:r w:rsidRPr="008031E4">
        <w:t xml:space="preserve"> in their </w:t>
      </w:r>
      <w:r w:rsidRPr="008031E4" w:rsidR="007D76B9">
        <w:t xml:space="preserve">data </w:t>
      </w:r>
      <w:r w:rsidRPr="008031E4">
        <w:t>request.</w:t>
      </w:r>
      <w:r w:rsidRPr="008031E4">
        <w:rPr>
          <w:rStyle w:val="FootnoteReference"/>
        </w:rPr>
        <w:footnoteReference w:id="6"/>
      </w:r>
      <w:r w:rsidRPr="008031E4">
        <w:t xml:space="preserve"> He </w:t>
      </w:r>
      <w:r w:rsidRPr="008031E4" w:rsidR="000A4E49">
        <w:t xml:space="preserve">contended </w:t>
      </w:r>
      <w:r w:rsidRPr="008031E4">
        <w:t xml:space="preserve">that he should not receive a citation for what he </w:t>
      </w:r>
      <w:r w:rsidRPr="008031E4" w:rsidR="000A4E49">
        <w:t xml:space="preserve">characterized </w:t>
      </w:r>
      <w:r w:rsidRPr="008031E4">
        <w:t xml:space="preserve">as </w:t>
      </w:r>
      <w:r w:rsidRPr="008031E4" w:rsidR="000A4E49">
        <w:t xml:space="preserve">a </w:t>
      </w:r>
      <w:r w:rsidRPr="008031E4" w:rsidR="007D76B9">
        <w:t>miscommunication</w:t>
      </w:r>
      <w:r w:rsidRPr="008031E4">
        <w:t xml:space="preserve"> with CPED Staff.</w:t>
      </w:r>
    </w:p>
    <w:p w:rsidRPr="008031E4" w:rsidR="00854B81" w:rsidP="00B04E68" w:rsidRDefault="00854B81" w14:paraId="34209D38" w14:textId="77777777">
      <w:pPr>
        <w:pStyle w:val="BodyText"/>
        <w:ind w:right="227"/>
      </w:pPr>
    </w:p>
    <w:p w:rsidRPr="008031E4" w:rsidR="000A4E49" w:rsidP="00854B81" w:rsidRDefault="00854B81" w14:paraId="623C4E99" w14:textId="4DBDCABD">
      <w:pPr>
        <w:pStyle w:val="BodyText"/>
        <w:ind w:right="227"/>
        <w:rPr>
          <w:bCs/>
        </w:rPr>
      </w:pPr>
      <w:r w:rsidRPr="008031E4">
        <w:rPr>
          <w:bCs/>
        </w:rPr>
        <w:lastRenderedPageBreak/>
        <w:t>The evidence demonstrates that ALVA violated Pub</w:t>
      </w:r>
      <w:r w:rsidRPr="008031E4" w:rsidR="000A4E49">
        <w:rPr>
          <w:bCs/>
        </w:rPr>
        <w:t>.</w:t>
      </w:r>
      <w:r w:rsidRPr="008031E4">
        <w:rPr>
          <w:bCs/>
        </w:rPr>
        <w:t xml:space="preserve"> Util</w:t>
      </w:r>
      <w:r w:rsidRPr="008031E4" w:rsidR="000A4E49">
        <w:rPr>
          <w:bCs/>
        </w:rPr>
        <w:t>.</w:t>
      </w:r>
      <w:r w:rsidRPr="008031E4">
        <w:rPr>
          <w:bCs/>
        </w:rPr>
        <w:t xml:space="preserve"> Code </w:t>
      </w:r>
      <w:r w:rsidRPr="008031E4" w:rsidR="000A4E49">
        <w:rPr>
          <w:bCs/>
        </w:rPr>
        <w:t xml:space="preserve">Section </w:t>
      </w:r>
      <w:r w:rsidRPr="008031E4">
        <w:rPr>
          <w:bCs/>
        </w:rPr>
        <w:t xml:space="preserve">5389 by failing to respond promptly to CPED’s data request and neglecting to provide the required documents by the April 9, 2024 deadline. </w:t>
      </w:r>
      <w:r w:rsidRPr="008031E4" w:rsidR="007D76B9">
        <w:rPr>
          <w:bCs/>
        </w:rPr>
        <w:t xml:space="preserve">CPED’s data request clearly identified the documents sought and instructed the Appellant to scan the documents and transmit them by e-mail. CPED </w:t>
      </w:r>
      <w:r w:rsidRPr="008031E4" w:rsidR="000A4E49">
        <w:rPr>
          <w:bCs/>
        </w:rPr>
        <w:t xml:space="preserve">also </w:t>
      </w:r>
      <w:r w:rsidRPr="008031E4" w:rsidR="007D76B9">
        <w:rPr>
          <w:bCs/>
        </w:rPr>
        <w:t xml:space="preserve">presented evidence that the Appellant contacted CPED after receiving the data request and was also provided information on how to request an extension of time to provide responsive information.  </w:t>
      </w:r>
    </w:p>
    <w:p w:rsidRPr="008031E4" w:rsidR="000A4E49" w:rsidP="00854B81" w:rsidRDefault="000A4E49" w14:paraId="3EA03AF1" w14:textId="77777777">
      <w:pPr>
        <w:pStyle w:val="BodyText"/>
        <w:ind w:right="227"/>
        <w:rPr>
          <w:bCs/>
        </w:rPr>
      </w:pPr>
    </w:p>
    <w:p w:rsidRPr="008031E4" w:rsidR="00EC29FD" w:rsidP="00854B81" w:rsidRDefault="007D76B9" w14:paraId="240216F4" w14:textId="3EEAD9F6">
      <w:pPr>
        <w:pStyle w:val="BodyText"/>
        <w:ind w:right="227"/>
      </w:pPr>
      <w:r w:rsidRPr="008031E4">
        <w:rPr>
          <w:bCs/>
        </w:rPr>
        <w:t xml:space="preserve">Appellant failed to provide </w:t>
      </w:r>
      <w:r w:rsidRPr="008031E4" w:rsidR="000A4E49">
        <w:rPr>
          <w:bCs/>
        </w:rPr>
        <w:t xml:space="preserve">evidence that </w:t>
      </w:r>
      <w:r w:rsidRPr="008031E4" w:rsidR="00FE3F38">
        <w:rPr>
          <w:bCs/>
        </w:rPr>
        <w:t xml:space="preserve">he provided the </w:t>
      </w:r>
      <w:r w:rsidRPr="008031E4">
        <w:rPr>
          <w:bCs/>
        </w:rPr>
        <w:t xml:space="preserve">information </w:t>
      </w:r>
      <w:r w:rsidRPr="008031E4" w:rsidR="00FE3F38">
        <w:rPr>
          <w:bCs/>
        </w:rPr>
        <w:t>by</w:t>
      </w:r>
      <w:r w:rsidRPr="008031E4" w:rsidR="000A4E49">
        <w:rPr>
          <w:bCs/>
        </w:rPr>
        <w:t xml:space="preserve"> the deadline or that </w:t>
      </w:r>
      <w:proofErr w:type="gramStart"/>
      <w:r w:rsidRPr="008031E4" w:rsidR="000A4E49">
        <w:rPr>
          <w:bCs/>
        </w:rPr>
        <w:t>he</w:t>
      </w:r>
      <w:r w:rsidRPr="008031E4" w:rsidR="00854B81">
        <w:rPr>
          <w:bCs/>
        </w:rPr>
        <w:t xml:space="preserve"> </w:t>
      </w:r>
      <w:r w:rsidRPr="008031E4" w:rsidR="00484276">
        <w:rPr>
          <w:bCs/>
        </w:rPr>
        <w:t>timely</w:t>
      </w:r>
      <w:proofErr w:type="gramEnd"/>
      <w:r w:rsidRPr="008031E4" w:rsidR="00484276">
        <w:rPr>
          <w:bCs/>
        </w:rPr>
        <w:t xml:space="preserve"> </w:t>
      </w:r>
      <w:r w:rsidRPr="008031E4" w:rsidR="00854B81">
        <w:rPr>
          <w:bCs/>
        </w:rPr>
        <w:t>submit</w:t>
      </w:r>
      <w:r w:rsidRPr="008031E4" w:rsidR="000A4E49">
        <w:rPr>
          <w:bCs/>
        </w:rPr>
        <w:t>ted</w:t>
      </w:r>
      <w:r w:rsidRPr="008031E4" w:rsidR="00854B81">
        <w:rPr>
          <w:bCs/>
        </w:rPr>
        <w:t xml:space="preserve"> a request for an extension of </w:t>
      </w:r>
      <w:r w:rsidRPr="008031E4" w:rsidR="00484276">
        <w:rPr>
          <w:bCs/>
        </w:rPr>
        <w:t xml:space="preserve">the April 9 </w:t>
      </w:r>
      <w:r w:rsidRPr="008031E4" w:rsidR="00854B81">
        <w:rPr>
          <w:bCs/>
        </w:rPr>
        <w:t>deadline</w:t>
      </w:r>
      <w:r w:rsidRPr="008031E4">
        <w:rPr>
          <w:bCs/>
        </w:rPr>
        <w:t xml:space="preserve">. </w:t>
      </w:r>
      <w:r w:rsidRPr="008031E4" w:rsidR="000A4E49">
        <w:rPr>
          <w:bCs/>
        </w:rPr>
        <w:t xml:space="preserve">We understand that </w:t>
      </w:r>
      <w:r w:rsidRPr="008031E4" w:rsidR="00854B81">
        <w:rPr>
          <w:bCs/>
        </w:rPr>
        <w:t xml:space="preserve">ALVA ultimately provided the requested documents to </w:t>
      </w:r>
      <w:r w:rsidRPr="008031E4" w:rsidR="00484276">
        <w:rPr>
          <w:bCs/>
        </w:rPr>
        <w:t>CPED,</w:t>
      </w:r>
      <w:r w:rsidRPr="008031E4" w:rsidR="00854B81">
        <w:rPr>
          <w:bCs/>
        </w:rPr>
        <w:t xml:space="preserve"> </w:t>
      </w:r>
      <w:r w:rsidRPr="008031E4" w:rsidR="00484276">
        <w:rPr>
          <w:bCs/>
        </w:rPr>
        <w:t xml:space="preserve">but he did so well past the April 9 deadline.  </w:t>
      </w:r>
      <w:r w:rsidRPr="008031E4" w:rsidR="00296B48">
        <w:rPr>
          <w:bCs/>
        </w:rPr>
        <w:t>Consequently</w:t>
      </w:r>
      <w:r w:rsidRPr="008031E4" w:rsidR="00EC29FD">
        <w:rPr>
          <w:bCs/>
        </w:rPr>
        <w:t xml:space="preserve">, ALVA violated Pub. Util. Code </w:t>
      </w:r>
      <w:r w:rsidRPr="008031E4" w:rsidR="000A4E49">
        <w:rPr>
          <w:bCs/>
        </w:rPr>
        <w:t>Sections</w:t>
      </w:r>
      <w:r w:rsidRPr="008031E4" w:rsidR="00EC29FD">
        <w:rPr>
          <w:bCs/>
        </w:rPr>
        <w:t xml:space="preserve"> </w:t>
      </w:r>
      <w:r w:rsidRPr="008031E4" w:rsidR="00EC29FD">
        <w:t xml:space="preserve">5389 and 5413 and </w:t>
      </w:r>
      <w:r w:rsidRPr="008031E4" w:rsidR="000A4E49">
        <w:t>GO</w:t>
      </w:r>
      <w:r w:rsidRPr="008031E4" w:rsidR="00EC29FD">
        <w:t xml:space="preserve"> 157-E Part 6.02.</w:t>
      </w:r>
    </w:p>
    <w:p w:rsidRPr="008031E4" w:rsidR="007D76B9" w:rsidP="00854B81" w:rsidRDefault="007D76B9" w14:paraId="7F375B97" w14:textId="77777777">
      <w:pPr>
        <w:pStyle w:val="BodyText"/>
        <w:ind w:right="227"/>
      </w:pPr>
    </w:p>
    <w:p w:rsidRPr="008031E4" w:rsidR="00854B81" w:rsidP="00854B81" w:rsidRDefault="007D76B9" w14:paraId="09C19E9A" w14:textId="77777777">
      <w:pPr>
        <w:pStyle w:val="BodyText"/>
        <w:ind w:right="227"/>
        <w:rPr>
          <w:bCs/>
        </w:rPr>
      </w:pPr>
      <w:r w:rsidRPr="008031E4">
        <w:t>The citation alleging that ALVA failed to produce access to records in violation of Pub. Util. Code Sections 5389 and 5413 and G.O. 157-E Part 6.02 is sustained.</w:t>
      </w:r>
    </w:p>
    <w:p w:rsidRPr="008031E4" w:rsidR="00735B5C" w:rsidP="00735B5C" w:rsidRDefault="00735B5C" w14:paraId="63EE3F67" w14:textId="77777777">
      <w:pPr>
        <w:rPr>
          <w:rFonts w:ascii="Book Antiqua" w:hAnsi="Book Antiqua"/>
          <w:bCs/>
          <w:szCs w:val="24"/>
        </w:rPr>
      </w:pPr>
    </w:p>
    <w:p w:rsidRPr="008031E4" w:rsidR="00735B5C" w:rsidP="00735B5C" w:rsidRDefault="00735B5C" w14:paraId="46033ADE" w14:textId="77777777">
      <w:pPr>
        <w:rPr>
          <w:rFonts w:eastAsia="MS Mincho"/>
          <w:b/>
          <w:szCs w:val="24"/>
          <w:u w:val="single"/>
        </w:rPr>
      </w:pPr>
      <w:r w:rsidRPr="008031E4">
        <w:rPr>
          <w:rFonts w:eastAsia="MS Mincho"/>
          <w:b/>
          <w:szCs w:val="24"/>
          <w:u w:val="single"/>
        </w:rPr>
        <w:t>ASSESSMENT OF THE FINE</w:t>
      </w:r>
    </w:p>
    <w:p w:rsidRPr="008031E4" w:rsidR="00735B5C" w:rsidP="00735B5C" w:rsidRDefault="00735B5C" w14:paraId="04F6386F" w14:textId="77777777">
      <w:pPr>
        <w:rPr>
          <w:rFonts w:eastAsia="MS Mincho"/>
          <w:szCs w:val="24"/>
        </w:rPr>
      </w:pPr>
    </w:p>
    <w:p w:rsidRPr="008031E4" w:rsidR="00735B5C" w:rsidP="00735B5C" w:rsidRDefault="00735B5C" w14:paraId="74DFAF5F" w14:textId="0C550586">
      <w:pPr>
        <w:rPr>
          <w:rFonts w:eastAsia="MS Mincho"/>
          <w:szCs w:val="24"/>
        </w:rPr>
      </w:pPr>
      <w:r w:rsidRPr="008031E4">
        <w:rPr>
          <w:rFonts w:eastAsia="MS Mincho"/>
          <w:szCs w:val="24"/>
        </w:rPr>
        <w:t>In assessing the reasonableness of the $</w:t>
      </w:r>
      <w:r w:rsidRPr="008031E4" w:rsidR="008B6F04">
        <w:rPr>
          <w:rFonts w:eastAsia="MS Mincho"/>
          <w:szCs w:val="24"/>
        </w:rPr>
        <w:t>2</w:t>
      </w:r>
      <w:r w:rsidRPr="008031E4">
        <w:rPr>
          <w:rFonts w:eastAsia="MS Mincho"/>
          <w:szCs w:val="24"/>
        </w:rPr>
        <w:t xml:space="preserve">,000 </w:t>
      </w:r>
      <w:r w:rsidRPr="008031E4" w:rsidR="009F2A29">
        <w:rPr>
          <w:rFonts w:eastAsia="MS Mincho"/>
          <w:szCs w:val="24"/>
        </w:rPr>
        <w:t>penalty</w:t>
      </w:r>
      <w:r w:rsidRPr="008031E4">
        <w:rPr>
          <w:rFonts w:eastAsia="MS Mincho"/>
          <w:szCs w:val="24"/>
        </w:rPr>
        <w:t>, several factors must be considered. Decision (D.) 98</w:t>
      </w:r>
      <w:r w:rsidRPr="008031E4">
        <w:rPr>
          <w:rFonts w:eastAsia="MS Mincho"/>
          <w:szCs w:val="24"/>
        </w:rPr>
        <w:noBreakHyphen/>
        <w:t>12</w:t>
      </w:r>
      <w:r w:rsidRPr="008031E4">
        <w:rPr>
          <w:rFonts w:eastAsia="MS Mincho"/>
          <w:szCs w:val="24"/>
        </w:rPr>
        <w:noBreakHyphen/>
        <w:t xml:space="preserve">075 sets forth criteria for determining the reasonableness of a fine. The factors to consider in assessing the reasonableness of a fine include:  (1) the severity of the economic or physical harm resulting from the violation; (2) the conduct to prevent, detect, disclose, and rectify the violation; (3) the financial resources of the party involved; (4) the public interest involved; (5) the totality of the circumstances; and (6) Commission precedents. </w:t>
      </w:r>
    </w:p>
    <w:p w:rsidRPr="008031E4" w:rsidR="00735B5C" w:rsidP="00735B5C" w:rsidRDefault="00735B5C" w14:paraId="4457C06E" w14:textId="77777777">
      <w:pPr>
        <w:rPr>
          <w:rFonts w:eastAsia="MS Mincho"/>
          <w:szCs w:val="24"/>
        </w:rPr>
      </w:pPr>
    </w:p>
    <w:p w:rsidRPr="008031E4" w:rsidR="00EC29FD" w:rsidP="00735B5C" w:rsidRDefault="00735B5C" w14:paraId="757E0B9B" w14:textId="34C1AB10">
      <w:pPr>
        <w:rPr>
          <w:rFonts w:eastAsia="MS Mincho"/>
          <w:szCs w:val="24"/>
        </w:rPr>
      </w:pPr>
      <w:r w:rsidRPr="008031E4">
        <w:rPr>
          <w:rFonts w:eastAsia="MS Mincho"/>
          <w:szCs w:val="24"/>
        </w:rPr>
        <w:t>As set forth in D.98</w:t>
      </w:r>
      <w:r w:rsidRPr="008031E4">
        <w:rPr>
          <w:rFonts w:eastAsia="MS Mincho"/>
          <w:szCs w:val="24"/>
        </w:rPr>
        <w:noBreakHyphen/>
        <w:t>12</w:t>
      </w:r>
      <w:r w:rsidRPr="008031E4">
        <w:rPr>
          <w:rFonts w:eastAsia="MS Mincho"/>
          <w:szCs w:val="24"/>
        </w:rPr>
        <w:noBreakHyphen/>
        <w:t>075, the Commission should evaluate the reasonableness of the $</w:t>
      </w:r>
      <w:r w:rsidRPr="008031E4" w:rsidR="008B6F04">
        <w:rPr>
          <w:rFonts w:eastAsia="MS Mincho"/>
          <w:szCs w:val="24"/>
        </w:rPr>
        <w:t>2</w:t>
      </w:r>
      <w:r w:rsidRPr="008031E4">
        <w:rPr>
          <w:rFonts w:eastAsia="MS Mincho"/>
          <w:szCs w:val="24"/>
        </w:rPr>
        <w:t xml:space="preserve">,000. Using these criteria, it is determined that although the public was placed at risk, there was no immediate economic or physical harm </w:t>
      </w:r>
      <w:r w:rsidRPr="008031E4" w:rsidR="000A4E49">
        <w:rPr>
          <w:rFonts w:eastAsia="MS Mincho"/>
          <w:szCs w:val="24"/>
        </w:rPr>
        <w:t>because of</w:t>
      </w:r>
      <w:r w:rsidRPr="008031E4">
        <w:rPr>
          <w:rFonts w:eastAsia="MS Mincho"/>
          <w:szCs w:val="24"/>
        </w:rPr>
        <w:t xml:space="preserve"> the violations. </w:t>
      </w:r>
      <w:r w:rsidRPr="008031E4" w:rsidR="009F2A29">
        <w:rPr>
          <w:rFonts w:eastAsia="MS Mincho"/>
          <w:szCs w:val="24"/>
        </w:rPr>
        <w:t xml:space="preserve">Although Appellant demonstrated through conduct that he knew how to contact the investigator to clarify the request and/or request additional time to comply, he failed to provide the information or request additional time.  </w:t>
      </w:r>
    </w:p>
    <w:p w:rsidRPr="008031E4" w:rsidR="00EC29FD" w:rsidP="00735B5C" w:rsidRDefault="00EC29FD" w14:paraId="7F903CBB" w14:textId="77777777">
      <w:pPr>
        <w:rPr>
          <w:rFonts w:eastAsia="MS Mincho"/>
          <w:szCs w:val="24"/>
        </w:rPr>
      </w:pPr>
    </w:p>
    <w:p w:rsidRPr="008031E4" w:rsidR="007168D6" w:rsidP="00735B5C" w:rsidRDefault="007168D6" w14:paraId="5B76C2D9" w14:textId="04CC664C">
      <w:pPr>
        <w:rPr>
          <w:rFonts w:eastAsia="MS Mincho"/>
          <w:szCs w:val="24"/>
        </w:rPr>
      </w:pPr>
      <w:r w:rsidRPr="008031E4">
        <w:rPr>
          <w:rFonts w:eastAsia="MS Mincho"/>
          <w:szCs w:val="24"/>
        </w:rPr>
        <w:t xml:space="preserve">During the hearing, CPED </w:t>
      </w:r>
      <w:r w:rsidRPr="008031E4" w:rsidR="00641855">
        <w:rPr>
          <w:rFonts w:eastAsia="MS Mincho"/>
          <w:szCs w:val="24"/>
        </w:rPr>
        <w:t>testified that</w:t>
      </w:r>
      <w:r w:rsidRPr="008031E4">
        <w:rPr>
          <w:rFonts w:eastAsia="MS Mincho"/>
          <w:szCs w:val="24"/>
        </w:rPr>
        <w:t xml:space="preserve"> the calculation of the </w:t>
      </w:r>
      <w:r w:rsidRPr="008031E4" w:rsidR="00641855">
        <w:rPr>
          <w:rFonts w:eastAsia="MS Mincho"/>
          <w:szCs w:val="24"/>
        </w:rPr>
        <w:t>penalty</w:t>
      </w:r>
      <w:r w:rsidRPr="008031E4">
        <w:rPr>
          <w:rFonts w:eastAsia="MS Mincho"/>
          <w:szCs w:val="24"/>
        </w:rPr>
        <w:t>, which was set at $</w:t>
      </w:r>
      <w:r w:rsidRPr="008031E4" w:rsidR="00484276">
        <w:rPr>
          <w:rFonts w:eastAsia="MS Mincho"/>
          <w:szCs w:val="24"/>
        </w:rPr>
        <w:t>2,000,</w:t>
      </w:r>
      <w:r w:rsidRPr="008031E4" w:rsidR="00641855">
        <w:rPr>
          <w:rFonts w:eastAsia="MS Mincho"/>
          <w:szCs w:val="24"/>
        </w:rPr>
        <w:t xml:space="preserve"> was</w:t>
      </w:r>
      <w:r w:rsidRPr="008031E4">
        <w:rPr>
          <w:rFonts w:eastAsia="MS Mincho"/>
          <w:szCs w:val="24"/>
        </w:rPr>
        <w:t xml:space="preserve"> the standard penalty </w:t>
      </w:r>
      <w:r w:rsidRPr="008031E4" w:rsidR="00641855">
        <w:rPr>
          <w:rFonts w:eastAsia="MS Mincho"/>
          <w:szCs w:val="24"/>
        </w:rPr>
        <w:t xml:space="preserve">amount </w:t>
      </w:r>
      <w:r w:rsidRPr="008031E4">
        <w:rPr>
          <w:rFonts w:eastAsia="MS Mincho"/>
          <w:szCs w:val="24"/>
        </w:rPr>
        <w:t>for a carrier that fails to produce required records.</w:t>
      </w:r>
      <w:r w:rsidRPr="008031E4">
        <w:rPr>
          <w:rStyle w:val="FootnoteReference"/>
          <w:rFonts w:eastAsia="MS Mincho"/>
          <w:szCs w:val="24"/>
        </w:rPr>
        <w:footnoteReference w:id="7"/>
      </w:r>
      <w:r w:rsidRPr="008031E4">
        <w:rPr>
          <w:rFonts w:eastAsia="MS Mincho"/>
          <w:szCs w:val="24"/>
        </w:rPr>
        <w:t xml:space="preserve"> This amount reflects a consistent approach, as it is based on the fines imposed for comparable violations over the past two years.</w:t>
      </w:r>
    </w:p>
    <w:p w:rsidRPr="008031E4" w:rsidR="009B789A" w:rsidP="00EC29FD" w:rsidRDefault="009B789A" w14:paraId="761DF4D7" w14:textId="77777777">
      <w:pPr>
        <w:rPr>
          <w:rFonts w:eastAsia="MS Mincho"/>
          <w:szCs w:val="24"/>
        </w:rPr>
      </w:pPr>
    </w:p>
    <w:p w:rsidRPr="008031E4" w:rsidR="00D77FAF" w:rsidP="00D77FAF" w:rsidRDefault="009F2A29" w14:paraId="7646DF87" w14:textId="77777777">
      <w:pPr>
        <w:rPr>
          <w:rFonts w:ascii="Book Antiqua" w:hAnsi="Book Antiqua"/>
          <w:szCs w:val="24"/>
        </w:rPr>
      </w:pPr>
      <w:r w:rsidRPr="008031E4">
        <w:rPr>
          <w:rFonts w:eastAsia="MS Mincho"/>
          <w:szCs w:val="24"/>
        </w:rPr>
        <w:lastRenderedPageBreak/>
        <w:t xml:space="preserve">Based on the totality of the circumstances, </w:t>
      </w:r>
      <w:r w:rsidRPr="008031E4" w:rsidR="000274DE">
        <w:rPr>
          <w:rFonts w:eastAsia="MS Mincho"/>
          <w:szCs w:val="24"/>
        </w:rPr>
        <w:t xml:space="preserve">we find that </w:t>
      </w:r>
      <w:r w:rsidRPr="008031E4" w:rsidR="00D77FAF">
        <w:rPr>
          <w:rFonts w:ascii="Book Antiqua" w:hAnsi="Book Antiqua"/>
          <w:szCs w:val="24"/>
        </w:rPr>
        <w:t>the</w:t>
      </w:r>
      <w:r w:rsidRPr="008031E4" w:rsidR="00255677">
        <w:rPr>
          <w:rFonts w:ascii="Book Antiqua" w:hAnsi="Book Antiqua"/>
          <w:szCs w:val="24"/>
        </w:rPr>
        <w:t xml:space="preserve"> penalty of</w:t>
      </w:r>
      <w:r w:rsidRPr="008031E4" w:rsidR="00D77FAF">
        <w:rPr>
          <w:rFonts w:ascii="Book Antiqua" w:hAnsi="Book Antiqua"/>
          <w:szCs w:val="24"/>
        </w:rPr>
        <w:t xml:space="preserve"> $2,000 is </w:t>
      </w:r>
      <w:r w:rsidRPr="008031E4">
        <w:rPr>
          <w:rFonts w:ascii="Book Antiqua" w:hAnsi="Book Antiqua"/>
          <w:szCs w:val="24"/>
        </w:rPr>
        <w:t>reasonable.  The appeal is denied.</w:t>
      </w:r>
      <w:r w:rsidRPr="008031E4" w:rsidR="00D77FAF">
        <w:rPr>
          <w:rFonts w:ascii="Book Antiqua" w:hAnsi="Book Antiqua"/>
          <w:szCs w:val="24"/>
        </w:rPr>
        <w:t xml:space="preserve"> </w:t>
      </w:r>
    </w:p>
    <w:p w:rsidRPr="008031E4" w:rsidR="006A220A" w:rsidP="00735B5C" w:rsidRDefault="006A220A" w14:paraId="17FA2EF6" w14:textId="77777777">
      <w:pPr>
        <w:rPr>
          <w:rFonts w:eastAsia="MS Mincho"/>
          <w:szCs w:val="24"/>
        </w:rPr>
      </w:pPr>
    </w:p>
    <w:p w:rsidRPr="008031E4" w:rsidR="004E5E1F" w:rsidP="004E5E1F" w:rsidRDefault="004E5E1F" w14:paraId="73E86303" w14:textId="77777777">
      <w:pPr>
        <w:rPr>
          <w:rFonts w:ascii="Book Antiqua" w:hAnsi="Book Antiqua"/>
          <w:b/>
          <w:szCs w:val="24"/>
          <w:u w:val="single"/>
        </w:rPr>
      </w:pPr>
      <w:r w:rsidRPr="008031E4">
        <w:rPr>
          <w:rFonts w:ascii="Book Antiqua" w:hAnsi="Book Antiqua"/>
          <w:b/>
          <w:szCs w:val="24"/>
          <w:u w:val="single"/>
        </w:rPr>
        <w:t>SAFETY</w:t>
      </w:r>
    </w:p>
    <w:p w:rsidRPr="008031E4" w:rsidR="004E5E1F" w:rsidP="004E5E1F" w:rsidRDefault="004E5E1F" w14:paraId="352B6D84" w14:textId="77777777">
      <w:pPr>
        <w:rPr>
          <w:rFonts w:ascii="Book Antiqua" w:hAnsi="Book Antiqua"/>
          <w:b/>
          <w:szCs w:val="24"/>
          <w:u w:val="single"/>
        </w:rPr>
      </w:pPr>
    </w:p>
    <w:p w:rsidRPr="008031E4" w:rsidR="004E5E1F" w:rsidP="00B170BB" w:rsidRDefault="00472C68" w14:paraId="5E152B81" w14:textId="307D3126">
      <w:pPr>
        <w:spacing w:after="240"/>
        <w:rPr>
          <w:rFonts w:eastAsia="MS Mincho"/>
          <w:szCs w:val="24"/>
        </w:rPr>
      </w:pPr>
      <w:r w:rsidRPr="008031E4">
        <w:rPr>
          <w:rFonts w:ascii="Book Antiqua" w:hAnsi="Book Antiqua"/>
          <w:szCs w:val="24"/>
        </w:rPr>
        <w:t>The Commission has broad authority to regulate charter</w:t>
      </w:r>
      <w:r w:rsidRPr="008031E4">
        <w:rPr>
          <w:rFonts w:ascii="Book Antiqua" w:hAnsi="Book Antiqua"/>
          <w:szCs w:val="24"/>
        </w:rPr>
        <w:noBreakHyphen/>
        <w:t>party carriers, particularly regarding safety concerns.  (</w:t>
      </w:r>
      <w:r w:rsidRPr="008031E4">
        <w:rPr>
          <w:rFonts w:ascii="Book Antiqua" w:hAnsi="Book Antiqua"/>
          <w:i/>
          <w:szCs w:val="24"/>
        </w:rPr>
        <w:t>See</w:t>
      </w:r>
      <w:r w:rsidRPr="008031E4">
        <w:rPr>
          <w:rFonts w:ascii="Book Antiqua" w:hAnsi="Book Antiqua"/>
          <w:szCs w:val="24"/>
        </w:rPr>
        <w:t xml:space="preserve"> for example, Pub. Util. Code §§ 451, 5382</w:t>
      </w:r>
      <w:r w:rsidRPr="008031E4" w:rsidR="00484276">
        <w:rPr>
          <w:rFonts w:ascii="Book Antiqua" w:hAnsi="Book Antiqua"/>
          <w:szCs w:val="24"/>
        </w:rPr>
        <w:t>,</w:t>
      </w:r>
      <w:r w:rsidRPr="008031E4">
        <w:rPr>
          <w:rFonts w:ascii="Book Antiqua" w:hAnsi="Book Antiqua"/>
          <w:szCs w:val="24"/>
        </w:rPr>
        <w:t xml:space="preserve"> and 5387.)  The Commission is mindful that the statutory schemes under which this citation was issued in this case are intended to secure the safety of charter-party carrier passengers and the </w:t>
      </w:r>
      <w:r w:rsidRPr="008031E4" w:rsidR="00484276">
        <w:rPr>
          <w:rFonts w:ascii="Book Antiqua" w:hAnsi="Book Antiqua"/>
          <w:szCs w:val="24"/>
        </w:rPr>
        <w:t>public</w:t>
      </w:r>
      <w:r w:rsidRPr="008031E4" w:rsidR="005C33CA">
        <w:rPr>
          <w:rFonts w:ascii="Book Antiqua" w:hAnsi="Book Antiqua"/>
          <w:szCs w:val="24"/>
        </w:rPr>
        <w:t>.</w:t>
      </w:r>
    </w:p>
    <w:p w:rsidRPr="008031E4" w:rsidR="00C47C2A" w:rsidRDefault="00C47C2A" w14:paraId="6D32E9CC" w14:textId="77777777">
      <w:pPr>
        <w:rPr>
          <w:rFonts w:ascii="Book Antiqua" w:hAnsi="Book Antiqua"/>
          <w:b/>
          <w:szCs w:val="24"/>
          <w:u w:val="single"/>
        </w:rPr>
      </w:pPr>
      <w:r w:rsidRPr="008031E4">
        <w:rPr>
          <w:rFonts w:ascii="Book Antiqua" w:hAnsi="Book Antiqua"/>
          <w:b/>
          <w:szCs w:val="24"/>
          <w:u w:val="single"/>
        </w:rPr>
        <w:t>COMMENTS</w:t>
      </w:r>
    </w:p>
    <w:p w:rsidRPr="008031E4" w:rsidR="00C47C2A" w:rsidP="00747B05" w:rsidRDefault="00747B05" w14:paraId="1B071047" w14:textId="3FA61C7A">
      <w:pPr>
        <w:spacing w:after="120"/>
        <w:rPr>
          <w:szCs w:val="24"/>
        </w:rPr>
      </w:pPr>
      <w:r w:rsidRPr="008031E4">
        <w:rPr>
          <w:szCs w:val="24"/>
        </w:rPr>
        <w:t xml:space="preserve">Pub. Util. Code § 311(g)(1) requires that a draft resolution be served on all parties and be subject to a public review and comment period of 30 days or more, prior to a vote of the Commission on the resolution. A draft of today’s resolution was distributed </w:t>
      </w:r>
      <w:proofErr w:type="gramStart"/>
      <w:r w:rsidRPr="008031E4">
        <w:rPr>
          <w:szCs w:val="24"/>
        </w:rPr>
        <w:t>for comment to</w:t>
      </w:r>
      <w:proofErr w:type="gramEnd"/>
      <w:r w:rsidRPr="008031E4">
        <w:rPr>
          <w:szCs w:val="24"/>
        </w:rPr>
        <w:t xml:space="preserve"> the service list.</w:t>
      </w:r>
    </w:p>
    <w:p w:rsidRPr="008031E4" w:rsidR="00747B05" w:rsidP="00747B05" w:rsidRDefault="00747B05" w14:paraId="314FD851" w14:textId="77777777">
      <w:pPr>
        <w:spacing w:after="120"/>
        <w:rPr>
          <w:rFonts w:ascii="Book Antiqua" w:hAnsi="Book Antiqua"/>
          <w:szCs w:val="24"/>
        </w:rPr>
      </w:pPr>
    </w:p>
    <w:p w:rsidRPr="008031E4" w:rsidR="008B6F04" w:rsidP="008B6F04" w:rsidRDefault="008B6F04" w14:paraId="79083C05" w14:textId="77777777">
      <w:pPr>
        <w:rPr>
          <w:b/>
          <w:szCs w:val="24"/>
          <w:u w:val="single"/>
        </w:rPr>
      </w:pPr>
      <w:r w:rsidRPr="008031E4">
        <w:rPr>
          <w:b/>
          <w:szCs w:val="24"/>
          <w:u w:val="single"/>
        </w:rPr>
        <w:t>ASSIGNMENT OF PROCEEDING</w:t>
      </w:r>
    </w:p>
    <w:p w:rsidRPr="008031E4" w:rsidR="008B6F04" w:rsidP="008B6F04" w:rsidRDefault="008B6F04" w14:paraId="4BF38FEA" w14:textId="77777777">
      <w:pPr>
        <w:rPr>
          <w:szCs w:val="24"/>
        </w:rPr>
      </w:pPr>
    </w:p>
    <w:p w:rsidRPr="008031E4" w:rsidR="008B6F04" w:rsidP="008B6F04" w:rsidRDefault="008B6F04" w14:paraId="59E4E6D6" w14:textId="77777777">
      <w:pPr>
        <w:rPr>
          <w:szCs w:val="24"/>
        </w:rPr>
      </w:pPr>
      <w:r w:rsidRPr="008031E4">
        <w:rPr>
          <w:szCs w:val="24"/>
        </w:rPr>
        <w:t>KieuChinh Tran is the assigned Administrative Law Judge for this citation appeal.</w:t>
      </w:r>
    </w:p>
    <w:p w:rsidRPr="008031E4" w:rsidR="004E5E1F" w:rsidRDefault="004E5E1F" w14:paraId="3D788FFC" w14:textId="77777777">
      <w:pPr>
        <w:rPr>
          <w:rFonts w:ascii="Book Antiqua" w:hAnsi="Book Antiqua"/>
          <w:szCs w:val="24"/>
        </w:rPr>
      </w:pPr>
    </w:p>
    <w:p w:rsidRPr="008031E4" w:rsidR="00C47C2A" w:rsidRDefault="00C47C2A" w14:paraId="55389422" w14:textId="77777777">
      <w:pPr>
        <w:keepNext/>
        <w:rPr>
          <w:rFonts w:ascii="Book Antiqua" w:hAnsi="Book Antiqua"/>
          <w:b/>
          <w:szCs w:val="24"/>
          <w:u w:val="single"/>
        </w:rPr>
      </w:pPr>
      <w:r w:rsidRPr="008031E4">
        <w:rPr>
          <w:rFonts w:ascii="Book Antiqua" w:hAnsi="Book Antiqua"/>
          <w:b/>
          <w:szCs w:val="24"/>
          <w:u w:val="single"/>
        </w:rPr>
        <w:t>FINDINGS</w:t>
      </w:r>
    </w:p>
    <w:p w:rsidRPr="008031E4" w:rsidR="00C47C2A" w:rsidRDefault="00C47C2A" w14:paraId="7697B12B" w14:textId="77777777">
      <w:pPr>
        <w:keepNext/>
        <w:rPr>
          <w:rFonts w:ascii="Book Antiqua" w:hAnsi="Book Antiqua"/>
          <w:szCs w:val="24"/>
        </w:rPr>
      </w:pPr>
    </w:p>
    <w:p w:rsidRPr="008031E4" w:rsidR="00AD4DD8" w:rsidP="00B170BB" w:rsidRDefault="00AD4DD8" w14:paraId="3474B023" w14:textId="7BB7864E">
      <w:pPr>
        <w:numPr>
          <w:ilvl w:val="0"/>
          <w:numId w:val="9"/>
        </w:numPr>
        <w:ind w:left="720"/>
        <w:rPr>
          <w:rFonts w:eastAsia="MS Mincho"/>
          <w:szCs w:val="24"/>
        </w:rPr>
      </w:pPr>
      <w:r w:rsidRPr="008031E4">
        <w:rPr>
          <w:rFonts w:ascii="Book Antiqua" w:hAnsi="Book Antiqua"/>
          <w:szCs w:val="24"/>
        </w:rPr>
        <w:t>Alex Vayner</w:t>
      </w:r>
      <w:r w:rsidRPr="008031E4">
        <w:rPr>
          <w:rFonts w:eastAsia="MS Mincho"/>
          <w:szCs w:val="24"/>
        </w:rPr>
        <w:t xml:space="preserve"> is </w:t>
      </w:r>
      <w:proofErr w:type="gramStart"/>
      <w:r w:rsidRPr="008031E4" w:rsidR="00255677">
        <w:rPr>
          <w:rFonts w:ascii="Book Antiqua" w:hAnsi="Book Antiqua"/>
          <w:szCs w:val="24"/>
        </w:rPr>
        <w:t>dba</w:t>
      </w:r>
      <w:proofErr w:type="gramEnd"/>
      <w:r w:rsidRPr="008031E4">
        <w:rPr>
          <w:rFonts w:ascii="Book Antiqua" w:hAnsi="Book Antiqua"/>
          <w:szCs w:val="24"/>
        </w:rPr>
        <w:t xml:space="preserve"> ALVA LIMOLUX LLC.</w:t>
      </w:r>
      <w:r w:rsidRPr="008031E4" w:rsidR="00484276">
        <w:rPr>
          <w:rFonts w:ascii="Book Antiqua" w:hAnsi="Book Antiqua"/>
          <w:bCs/>
          <w:szCs w:val="24"/>
        </w:rPr>
        <w:t xml:space="preserve"> is</w:t>
      </w:r>
      <w:r w:rsidRPr="008031E4" w:rsidR="00255677">
        <w:rPr>
          <w:rFonts w:ascii="Book Antiqua" w:hAnsi="Book Antiqua"/>
          <w:bCs/>
          <w:szCs w:val="24"/>
        </w:rPr>
        <w:t xml:space="preserve"> </w:t>
      </w:r>
      <w:r w:rsidRPr="008031E4">
        <w:rPr>
          <w:szCs w:val="24"/>
        </w:rPr>
        <w:t>a charter</w:t>
      </w:r>
      <w:r w:rsidRPr="008031E4" w:rsidR="00484276">
        <w:rPr>
          <w:szCs w:val="24"/>
        </w:rPr>
        <w:t>-</w:t>
      </w:r>
      <w:r w:rsidRPr="008031E4">
        <w:rPr>
          <w:szCs w:val="24"/>
        </w:rPr>
        <w:t xml:space="preserve">party carrier, under TCP 39397 </w:t>
      </w:r>
      <w:r w:rsidRPr="008031E4">
        <w:rPr>
          <w:rFonts w:eastAsia="MS Mincho"/>
          <w:szCs w:val="24"/>
        </w:rPr>
        <w:t xml:space="preserve">in California. </w:t>
      </w:r>
    </w:p>
    <w:p w:rsidRPr="008031E4" w:rsidR="00AD4DD8" w:rsidP="00B170BB" w:rsidRDefault="00AD4DD8" w14:paraId="7B960FBE" w14:textId="77777777">
      <w:pPr>
        <w:ind w:left="720" w:hanging="360"/>
        <w:rPr>
          <w:rFonts w:eastAsia="MS Mincho"/>
          <w:szCs w:val="24"/>
        </w:rPr>
      </w:pPr>
    </w:p>
    <w:p w:rsidRPr="008031E4" w:rsidR="00AD4DD8" w:rsidP="00484276" w:rsidRDefault="00AD4DD8" w14:paraId="68782994" w14:textId="53657679">
      <w:pPr>
        <w:numPr>
          <w:ilvl w:val="0"/>
          <w:numId w:val="9"/>
        </w:numPr>
        <w:ind w:left="720"/>
        <w:rPr>
          <w:rFonts w:eastAsia="MS Mincho"/>
          <w:szCs w:val="24"/>
        </w:rPr>
      </w:pPr>
      <w:r w:rsidRPr="008031E4">
        <w:rPr>
          <w:rFonts w:eastAsia="MS Mincho"/>
          <w:szCs w:val="24"/>
        </w:rPr>
        <w:t>CPED initiated an investigation of ALVA on January 8, 2024</w:t>
      </w:r>
      <w:r w:rsidRPr="008031E4" w:rsidR="005C33CA">
        <w:rPr>
          <w:szCs w:val="24"/>
        </w:rPr>
        <w:t xml:space="preserve">. </w:t>
      </w:r>
      <w:r w:rsidRPr="008031E4">
        <w:rPr>
          <w:bCs/>
          <w:szCs w:val="24"/>
        </w:rPr>
        <w:t>The investigation covered a period of</w:t>
      </w:r>
      <w:r w:rsidRPr="008031E4">
        <w:rPr>
          <w:rFonts w:ascii="Book Antiqua" w:hAnsi="Book Antiqua" w:eastAsia="Book Antiqua" w:cs="Book Antiqua"/>
          <w:szCs w:val="24"/>
        </w:rPr>
        <w:t xml:space="preserve"> January 8, 2024, through May 22, 2024.</w:t>
      </w:r>
    </w:p>
    <w:p w:rsidRPr="008031E4" w:rsidR="00AD4DD8" w:rsidP="00B170BB" w:rsidRDefault="00AD4DD8" w14:paraId="64E003D5" w14:textId="77777777">
      <w:pPr>
        <w:ind w:left="720" w:hanging="360"/>
        <w:rPr>
          <w:rFonts w:eastAsia="MS Mincho"/>
          <w:strike/>
          <w:szCs w:val="24"/>
        </w:rPr>
      </w:pPr>
    </w:p>
    <w:p w:rsidRPr="008031E4" w:rsidR="00AD4DD8" w:rsidP="00B170BB" w:rsidRDefault="00AD4DD8" w14:paraId="00FFDFE5" w14:textId="77777777">
      <w:pPr>
        <w:numPr>
          <w:ilvl w:val="0"/>
          <w:numId w:val="9"/>
        </w:numPr>
        <w:ind w:left="720"/>
        <w:rPr>
          <w:rFonts w:ascii="Book Antiqua" w:hAnsi="Book Antiqua"/>
          <w:szCs w:val="24"/>
        </w:rPr>
      </w:pPr>
      <w:r w:rsidRPr="008031E4">
        <w:rPr>
          <w:rFonts w:eastAsia="MS Mincho"/>
          <w:szCs w:val="24"/>
        </w:rPr>
        <w:t>The CPED investigation resulted in</w:t>
      </w:r>
      <w:r w:rsidRPr="008031E4" w:rsidR="005C33CA">
        <w:rPr>
          <w:rFonts w:eastAsia="MS Mincho"/>
          <w:szCs w:val="24"/>
        </w:rPr>
        <w:t xml:space="preserve"> a citation </w:t>
      </w:r>
      <w:r w:rsidRPr="008031E4" w:rsidR="00255677">
        <w:rPr>
          <w:rFonts w:eastAsia="MS Mincho"/>
          <w:szCs w:val="24"/>
        </w:rPr>
        <w:t>for</w:t>
      </w:r>
      <w:r w:rsidRPr="008031E4">
        <w:rPr>
          <w:rFonts w:eastAsia="MS Mincho"/>
          <w:szCs w:val="24"/>
        </w:rPr>
        <w:t xml:space="preserve"> violat</w:t>
      </w:r>
      <w:r w:rsidRPr="008031E4" w:rsidR="005C33CA">
        <w:rPr>
          <w:rFonts w:eastAsia="MS Mincho"/>
          <w:szCs w:val="24"/>
        </w:rPr>
        <w:t xml:space="preserve">ing </w:t>
      </w:r>
      <w:r w:rsidRPr="008031E4">
        <w:rPr>
          <w:rFonts w:eastAsia="MS Mincho"/>
          <w:szCs w:val="24"/>
        </w:rPr>
        <w:t xml:space="preserve">Public Utilities </w:t>
      </w:r>
      <w:r w:rsidRPr="008031E4">
        <w:rPr>
          <w:rFonts w:ascii="Book Antiqua" w:hAnsi="Book Antiqua"/>
          <w:szCs w:val="24"/>
        </w:rPr>
        <w:t>Sections 5389 and 5413 and G.O. 157-E Part 6.02.</w:t>
      </w:r>
    </w:p>
    <w:p w:rsidRPr="008031E4" w:rsidR="00AD4DD8" w:rsidP="00B170BB" w:rsidRDefault="00AD4DD8" w14:paraId="733CFBAD" w14:textId="77777777">
      <w:pPr>
        <w:ind w:left="720" w:hanging="360"/>
        <w:rPr>
          <w:rFonts w:eastAsia="MS Mincho"/>
          <w:szCs w:val="24"/>
        </w:rPr>
      </w:pPr>
    </w:p>
    <w:p w:rsidRPr="008031E4" w:rsidR="00AD4DD8" w:rsidP="00B170BB" w:rsidRDefault="00AD4DD8" w14:paraId="0590117D" w14:textId="767ED30D">
      <w:pPr>
        <w:numPr>
          <w:ilvl w:val="0"/>
          <w:numId w:val="9"/>
        </w:numPr>
        <w:ind w:left="720"/>
        <w:rPr>
          <w:rFonts w:eastAsia="MS Mincho"/>
          <w:szCs w:val="24"/>
        </w:rPr>
      </w:pPr>
      <w:r w:rsidRPr="008031E4">
        <w:rPr>
          <w:rFonts w:eastAsia="MS Mincho"/>
          <w:szCs w:val="24"/>
        </w:rPr>
        <w:t xml:space="preserve">CPED requested ALVA to submit </w:t>
      </w:r>
      <w:r w:rsidRPr="008031E4" w:rsidR="00C40156">
        <w:rPr>
          <w:rFonts w:eastAsia="MS Mincho"/>
          <w:szCs w:val="24"/>
        </w:rPr>
        <w:t xml:space="preserve">the required </w:t>
      </w:r>
      <w:r w:rsidRPr="008031E4">
        <w:rPr>
          <w:rFonts w:eastAsia="MS Mincho"/>
          <w:szCs w:val="24"/>
        </w:rPr>
        <w:t>documentation by April 9, 2024.</w:t>
      </w:r>
    </w:p>
    <w:p w:rsidRPr="008031E4" w:rsidR="00AD4DD8" w:rsidP="00B170BB" w:rsidRDefault="00AD4DD8" w14:paraId="02FBAE2C" w14:textId="77777777">
      <w:pPr>
        <w:pStyle w:val="ListParagraph"/>
        <w:ind w:hanging="360"/>
        <w:rPr>
          <w:rFonts w:ascii="Book Antiqua" w:hAnsi="Book Antiqua"/>
          <w:bCs/>
          <w:szCs w:val="24"/>
        </w:rPr>
      </w:pPr>
    </w:p>
    <w:p w:rsidRPr="008031E4" w:rsidR="00C40156" w:rsidP="00B170BB" w:rsidRDefault="00C40156" w14:paraId="0C558596" w14:textId="77777777">
      <w:pPr>
        <w:numPr>
          <w:ilvl w:val="0"/>
          <w:numId w:val="9"/>
        </w:numPr>
        <w:ind w:left="720"/>
        <w:rPr>
          <w:rFonts w:eastAsia="MS Mincho"/>
          <w:szCs w:val="24"/>
        </w:rPr>
      </w:pPr>
      <w:r w:rsidRPr="008031E4">
        <w:rPr>
          <w:rFonts w:ascii="Book Antiqua" w:hAnsi="Book Antiqua"/>
          <w:bCs/>
          <w:szCs w:val="24"/>
        </w:rPr>
        <w:t>ALVA failed to submit documentation to CPED by the deadline of April 9, 2024.</w:t>
      </w:r>
    </w:p>
    <w:p w:rsidRPr="008031E4" w:rsidR="00C40156" w:rsidP="00B170BB" w:rsidRDefault="00C40156" w14:paraId="47F2766E" w14:textId="77777777">
      <w:pPr>
        <w:pStyle w:val="ListParagraph"/>
        <w:ind w:hanging="360"/>
        <w:rPr>
          <w:rFonts w:ascii="Book Antiqua" w:hAnsi="Book Antiqua"/>
          <w:bCs/>
          <w:szCs w:val="24"/>
        </w:rPr>
      </w:pPr>
    </w:p>
    <w:p w:rsidRPr="008031E4" w:rsidR="00AD4DD8" w:rsidP="00B170BB" w:rsidRDefault="00AD4DD8" w14:paraId="3BB62781" w14:textId="77777777">
      <w:pPr>
        <w:numPr>
          <w:ilvl w:val="0"/>
          <w:numId w:val="9"/>
        </w:numPr>
        <w:ind w:left="720"/>
        <w:rPr>
          <w:rFonts w:eastAsia="MS Mincho"/>
          <w:szCs w:val="24"/>
        </w:rPr>
      </w:pPr>
      <w:r w:rsidRPr="008031E4">
        <w:rPr>
          <w:rFonts w:ascii="Book Antiqua" w:hAnsi="Book Antiqua"/>
          <w:bCs/>
          <w:szCs w:val="24"/>
        </w:rPr>
        <w:t xml:space="preserve">CPED issued Citation </w:t>
      </w:r>
      <w:r w:rsidRPr="008031E4">
        <w:rPr>
          <w:rFonts w:ascii="Book Antiqua" w:hAnsi="Book Antiqua"/>
          <w:szCs w:val="24"/>
        </w:rPr>
        <w:t xml:space="preserve">No. T.24-05-008 to </w:t>
      </w:r>
      <w:r w:rsidRPr="008031E4">
        <w:rPr>
          <w:rFonts w:ascii="Book Antiqua" w:hAnsi="Book Antiqua"/>
          <w:bCs/>
          <w:szCs w:val="24"/>
        </w:rPr>
        <w:t>ALVA for $2,000</w:t>
      </w:r>
      <w:r w:rsidRPr="008031E4" w:rsidR="00C40156">
        <w:rPr>
          <w:rFonts w:ascii="Book Antiqua" w:hAnsi="Book Antiqua"/>
          <w:bCs/>
          <w:szCs w:val="24"/>
        </w:rPr>
        <w:t xml:space="preserve"> on May 24, 2024.</w:t>
      </w:r>
    </w:p>
    <w:p w:rsidRPr="008031E4" w:rsidR="00AD4DD8" w:rsidP="00B170BB" w:rsidRDefault="00AD4DD8" w14:paraId="56164A57" w14:textId="77777777">
      <w:pPr>
        <w:pStyle w:val="ListParagraph"/>
        <w:ind w:hanging="360"/>
        <w:rPr>
          <w:rFonts w:eastAsia="MS Mincho"/>
          <w:szCs w:val="24"/>
        </w:rPr>
      </w:pPr>
    </w:p>
    <w:p w:rsidRPr="008031E4" w:rsidR="00C47C2A" w:rsidRDefault="00C47C2A" w14:paraId="1084139F" w14:textId="77777777">
      <w:pPr>
        <w:rPr>
          <w:rFonts w:ascii="Book Antiqua" w:hAnsi="Book Antiqua"/>
          <w:szCs w:val="24"/>
        </w:rPr>
      </w:pPr>
    </w:p>
    <w:p w:rsidRPr="008031E4" w:rsidR="00C47C2A" w:rsidRDefault="00C47C2A" w14:paraId="35F1628D" w14:textId="77777777">
      <w:pPr>
        <w:keepNext/>
        <w:rPr>
          <w:rFonts w:ascii="Book Antiqua" w:hAnsi="Book Antiqua"/>
          <w:szCs w:val="24"/>
        </w:rPr>
      </w:pPr>
      <w:r w:rsidRPr="008031E4">
        <w:rPr>
          <w:rFonts w:ascii="Book Antiqua" w:hAnsi="Book Antiqua"/>
          <w:b/>
          <w:szCs w:val="24"/>
        </w:rPr>
        <w:t>THEREFORE, IT IS ORDERED</w:t>
      </w:r>
      <w:r w:rsidRPr="008031E4">
        <w:rPr>
          <w:rFonts w:ascii="Book Antiqua" w:hAnsi="Book Antiqua"/>
          <w:szCs w:val="24"/>
        </w:rPr>
        <w:t xml:space="preserve"> that:</w:t>
      </w:r>
    </w:p>
    <w:p w:rsidRPr="008031E4" w:rsidR="00C47C2A" w:rsidRDefault="00C47C2A" w14:paraId="085E8003" w14:textId="77777777">
      <w:pPr>
        <w:rPr>
          <w:rFonts w:ascii="Book Antiqua" w:hAnsi="Book Antiqua"/>
          <w:szCs w:val="24"/>
        </w:rPr>
      </w:pPr>
    </w:p>
    <w:p w:rsidRPr="008031E4" w:rsidR="004E5E1F" w:rsidP="00B170BB" w:rsidRDefault="004E5E1F" w14:paraId="2C619CD4" w14:textId="77777777">
      <w:pPr>
        <w:numPr>
          <w:ilvl w:val="0"/>
          <w:numId w:val="2"/>
        </w:numPr>
        <w:rPr>
          <w:rFonts w:ascii="Book Antiqua" w:hAnsi="Book Antiqua" w:eastAsia="MS Mincho"/>
          <w:szCs w:val="24"/>
        </w:rPr>
      </w:pPr>
      <w:r w:rsidRPr="008031E4">
        <w:rPr>
          <w:rFonts w:ascii="Book Antiqua" w:hAnsi="Book Antiqua" w:eastAsia="MS Mincho"/>
          <w:szCs w:val="24"/>
        </w:rPr>
        <w:t xml:space="preserve">The Citation </w:t>
      </w:r>
      <w:r w:rsidRPr="008031E4" w:rsidR="00472C68">
        <w:rPr>
          <w:rFonts w:ascii="Book Antiqua" w:hAnsi="Book Antiqua" w:eastAsia="MS Mincho"/>
          <w:szCs w:val="24"/>
        </w:rPr>
        <w:t>T.24-05-2024</w:t>
      </w:r>
      <w:r w:rsidRPr="008031E4">
        <w:rPr>
          <w:rFonts w:ascii="Book Antiqua" w:hAnsi="Book Antiqua" w:eastAsia="MS Mincho"/>
          <w:szCs w:val="24"/>
        </w:rPr>
        <w:t xml:space="preserve"> </w:t>
      </w:r>
      <w:r w:rsidRPr="008031E4" w:rsidR="00C40156">
        <w:rPr>
          <w:rFonts w:ascii="Book Antiqua" w:hAnsi="Book Antiqua" w:eastAsia="MS Mincho"/>
          <w:szCs w:val="24"/>
        </w:rPr>
        <w:t>is</w:t>
      </w:r>
      <w:r w:rsidRPr="008031E4">
        <w:rPr>
          <w:rFonts w:ascii="Book Antiqua" w:hAnsi="Book Antiqua" w:eastAsia="MS Mincho"/>
          <w:szCs w:val="24"/>
        </w:rPr>
        <w:t xml:space="preserve"> affirmed, and the appeal is denied. </w:t>
      </w:r>
    </w:p>
    <w:p w:rsidRPr="008031E4" w:rsidR="004E5E1F" w:rsidP="00B170BB" w:rsidRDefault="004E5E1F" w14:paraId="37CA2B29" w14:textId="77777777">
      <w:pPr>
        <w:ind w:left="720" w:hanging="360"/>
        <w:rPr>
          <w:rFonts w:ascii="Book Antiqua" w:hAnsi="Book Antiqua" w:eastAsia="MS Mincho"/>
          <w:szCs w:val="24"/>
        </w:rPr>
      </w:pPr>
    </w:p>
    <w:p w:rsidRPr="008031E4" w:rsidR="008B6F04" w:rsidP="00B170BB" w:rsidRDefault="008B6F04" w14:paraId="61E69BEF" w14:textId="2B1EAA69">
      <w:pPr>
        <w:numPr>
          <w:ilvl w:val="0"/>
          <w:numId w:val="2"/>
        </w:numPr>
        <w:rPr>
          <w:rFonts w:ascii="Book Antiqua" w:hAnsi="Book Antiqua" w:eastAsia="MS Mincho"/>
          <w:szCs w:val="24"/>
        </w:rPr>
      </w:pPr>
      <w:r w:rsidRPr="008031E4">
        <w:rPr>
          <w:szCs w:val="24"/>
        </w:rPr>
        <w:t>Alex Vayner</w:t>
      </w:r>
      <w:r w:rsidRPr="008031E4">
        <w:rPr>
          <w:spacing w:val="30"/>
          <w:szCs w:val="24"/>
        </w:rPr>
        <w:t xml:space="preserve">, </w:t>
      </w:r>
      <w:r w:rsidRPr="008031E4">
        <w:rPr>
          <w:szCs w:val="24"/>
        </w:rPr>
        <w:t xml:space="preserve">doing business </w:t>
      </w:r>
      <w:proofErr w:type="gramStart"/>
      <w:r w:rsidRPr="008031E4">
        <w:rPr>
          <w:szCs w:val="24"/>
        </w:rPr>
        <w:t>as</w:t>
      </w:r>
      <w:proofErr w:type="gramEnd"/>
      <w:r w:rsidRPr="008031E4">
        <w:rPr>
          <w:szCs w:val="24"/>
        </w:rPr>
        <w:t xml:space="preserve"> ALVA LIMOLUX LLC., </w:t>
      </w:r>
      <w:r w:rsidRPr="008031E4" w:rsidR="004E5E1F">
        <w:rPr>
          <w:rFonts w:ascii="Book Antiqua" w:hAnsi="Book Antiqua" w:eastAsia="MS Mincho"/>
          <w:szCs w:val="24"/>
        </w:rPr>
        <w:t>must pay a penalty of $</w:t>
      </w:r>
      <w:r w:rsidRPr="008031E4" w:rsidR="00472C68">
        <w:rPr>
          <w:rFonts w:ascii="Book Antiqua" w:hAnsi="Book Antiqua" w:eastAsia="MS Mincho"/>
          <w:szCs w:val="24"/>
        </w:rPr>
        <w:t>2</w:t>
      </w:r>
      <w:r w:rsidRPr="008031E4" w:rsidR="004E5E1F">
        <w:rPr>
          <w:rFonts w:ascii="Book Antiqua" w:hAnsi="Book Antiqua" w:eastAsia="MS Mincho"/>
          <w:szCs w:val="24"/>
        </w:rPr>
        <w:t xml:space="preserve">,000 </w:t>
      </w:r>
      <w:r w:rsidRPr="008031E4" w:rsidR="000274DE">
        <w:rPr>
          <w:rFonts w:ascii="Book Antiqua" w:hAnsi="Book Antiqua" w:eastAsia="MS Mincho"/>
          <w:szCs w:val="24"/>
        </w:rPr>
        <w:t xml:space="preserve">within 45 days of the effective date of this resolution.  </w:t>
      </w:r>
      <w:r w:rsidRPr="008031E4" w:rsidR="00484276">
        <w:rPr>
          <w:rFonts w:ascii="Book Antiqua" w:hAnsi="Book Antiqua" w:eastAsia="MS Mincho"/>
          <w:szCs w:val="24"/>
        </w:rPr>
        <w:t xml:space="preserve">Payment </w:t>
      </w:r>
      <w:r w:rsidRPr="008031E4" w:rsidR="000274DE">
        <w:rPr>
          <w:rFonts w:ascii="Book Antiqua" w:hAnsi="Book Antiqua" w:eastAsia="MS Mincho"/>
          <w:szCs w:val="24"/>
        </w:rPr>
        <w:t xml:space="preserve">must be made </w:t>
      </w:r>
      <w:r w:rsidRPr="008031E4" w:rsidR="004E5E1F">
        <w:rPr>
          <w:rFonts w:ascii="Book Antiqua" w:hAnsi="Book Antiqua" w:eastAsia="MS Mincho"/>
          <w:szCs w:val="24"/>
        </w:rPr>
        <w:t>by check or money order</w:t>
      </w:r>
      <w:r w:rsidRPr="008031E4" w:rsidR="000274DE">
        <w:rPr>
          <w:rFonts w:ascii="Book Antiqua" w:hAnsi="Book Antiqua" w:eastAsia="MS Mincho"/>
          <w:szCs w:val="24"/>
        </w:rPr>
        <w:t xml:space="preserve"> </w:t>
      </w:r>
      <w:r w:rsidRPr="008031E4" w:rsidR="004E5E1F">
        <w:rPr>
          <w:rFonts w:ascii="Book Antiqua" w:hAnsi="Book Antiqua" w:eastAsia="MS Mincho"/>
          <w:szCs w:val="24"/>
        </w:rPr>
        <w:t xml:space="preserve">payable to the California Public Utilities Commission and mailed or delivered to the Commission’s Fiscal Office at 505 Van Ness Avenue, San Francisco, California 94102.  </w:t>
      </w:r>
      <w:r w:rsidRPr="008031E4" w:rsidR="000274DE">
        <w:rPr>
          <w:rFonts w:ascii="Book Antiqua" w:hAnsi="Book Antiqua" w:eastAsia="MS Mincho"/>
          <w:szCs w:val="24"/>
        </w:rPr>
        <w:t xml:space="preserve">Alex Vayner, dba </w:t>
      </w:r>
      <w:r w:rsidRPr="008031E4">
        <w:rPr>
          <w:rFonts w:ascii="Book Antiqua" w:hAnsi="Book Antiqua" w:eastAsia="MS Mincho"/>
          <w:szCs w:val="24"/>
        </w:rPr>
        <w:t>Write on the face of the check or money order, “For deposit to the General Fund pursuant to Resolution ALJ</w:t>
      </w:r>
      <w:r w:rsidRPr="008031E4">
        <w:rPr>
          <w:rFonts w:ascii="Book Antiqua" w:hAnsi="Book Antiqua" w:eastAsia="MS Mincho"/>
          <w:szCs w:val="24"/>
        </w:rPr>
        <w:noBreakHyphen/>
        <w:t>XXX.”</w:t>
      </w:r>
    </w:p>
    <w:p w:rsidRPr="008031E4" w:rsidR="0025605B" w:rsidP="00B170BB" w:rsidRDefault="0025605B" w14:paraId="66F90A12" w14:textId="77777777">
      <w:pPr>
        <w:ind w:left="720" w:hanging="360"/>
        <w:rPr>
          <w:szCs w:val="24"/>
        </w:rPr>
      </w:pPr>
    </w:p>
    <w:p w:rsidRPr="008031E4" w:rsidR="00EC29FD" w:rsidP="00B170BB" w:rsidRDefault="00EC29FD" w14:paraId="7B04441B" w14:textId="77777777">
      <w:pPr>
        <w:numPr>
          <w:ilvl w:val="0"/>
          <w:numId w:val="2"/>
        </w:numPr>
        <w:rPr>
          <w:rFonts w:ascii="Book Antiqua" w:hAnsi="Book Antiqua"/>
          <w:szCs w:val="24"/>
        </w:rPr>
      </w:pPr>
      <w:r w:rsidRPr="008031E4">
        <w:rPr>
          <w:rFonts w:ascii="Book Antiqua" w:hAnsi="Book Antiqua"/>
          <w:szCs w:val="24"/>
        </w:rPr>
        <w:t>K.24-06-003 is closed.</w:t>
      </w:r>
    </w:p>
    <w:p w:rsidRPr="008031E4" w:rsidR="00B170BB" w:rsidP="00B170BB" w:rsidRDefault="00B170BB" w14:paraId="6DB5AB67" w14:textId="77777777">
      <w:pPr>
        <w:pStyle w:val="ListParagraph"/>
        <w:rPr>
          <w:rFonts w:ascii="Book Antiqua" w:hAnsi="Book Antiqua"/>
          <w:szCs w:val="24"/>
        </w:rPr>
      </w:pPr>
    </w:p>
    <w:p w:rsidRPr="008031E4" w:rsidR="00B170BB" w:rsidP="00B170BB" w:rsidRDefault="00B170BB" w14:paraId="6D7D8853" w14:textId="77777777">
      <w:pPr>
        <w:rPr>
          <w:rFonts w:ascii="Book Antiqua" w:hAnsi="Book Antiqua"/>
          <w:szCs w:val="24"/>
        </w:rPr>
      </w:pPr>
    </w:p>
    <w:p w:rsidRPr="008031E4" w:rsidR="00C47C2A" w:rsidRDefault="00C47C2A" w14:paraId="03E3C660" w14:textId="77777777">
      <w:pPr>
        <w:rPr>
          <w:rFonts w:ascii="Book Antiqua" w:hAnsi="Book Antiqua"/>
          <w:szCs w:val="24"/>
        </w:rPr>
      </w:pPr>
      <w:r w:rsidRPr="008031E4">
        <w:rPr>
          <w:rFonts w:ascii="Book Antiqua" w:hAnsi="Book Antiqua"/>
          <w:szCs w:val="24"/>
        </w:rPr>
        <w:t>This resolution is effective today.</w:t>
      </w:r>
    </w:p>
    <w:p w:rsidRPr="008031E4" w:rsidR="00472C68" w:rsidRDefault="00472C68" w14:paraId="543E0BD8" w14:textId="77777777">
      <w:pPr>
        <w:rPr>
          <w:rFonts w:ascii="Book Antiqua" w:hAnsi="Book Antiqua"/>
          <w:szCs w:val="24"/>
        </w:rPr>
      </w:pPr>
    </w:p>
    <w:p w:rsidRPr="008031E4" w:rsidR="007F37D4" w:rsidP="007F37D4" w:rsidRDefault="007F37D4" w14:paraId="6B59356F" w14:textId="77777777">
      <w:pPr>
        <w:rPr>
          <w:rFonts w:ascii="Book Antiqua" w:hAnsi="Book Antiqua"/>
          <w:szCs w:val="24"/>
        </w:rPr>
      </w:pPr>
      <w:r w:rsidRPr="008031E4">
        <w:rPr>
          <w:rFonts w:ascii="Book Antiqua" w:hAnsi="Book Antiqua"/>
          <w:szCs w:val="24"/>
        </w:rPr>
        <w:t>I certify that the foregoing resolution was duly introduced, passed, and adopted at a conference of the Public Utilities Commission of the State of California held on _______________, the following Commissioners voting favorably thereon:</w:t>
      </w:r>
    </w:p>
    <w:p w:rsidRPr="008031E4" w:rsidR="007F37D4" w:rsidP="007F37D4" w:rsidRDefault="007F37D4" w14:paraId="5863C69A" w14:textId="77777777">
      <w:pPr>
        <w:rPr>
          <w:rFonts w:ascii="Book Antiqua" w:hAnsi="Book Antiqua"/>
          <w:szCs w:val="24"/>
        </w:rPr>
      </w:pPr>
    </w:p>
    <w:p w:rsidRPr="008031E4" w:rsidR="007F37D4" w:rsidP="007F37D4" w:rsidRDefault="007F37D4" w14:paraId="06C6F5B7" w14:textId="77777777">
      <w:pPr>
        <w:rPr>
          <w:rFonts w:ascii="Book Antiqua" w:hAnsi="Book Antiqua"/>
          <w:szCs w:val="24"/>
        </w:rPr>
      </w:pPr>
    </w:p>
    <w:tbl>
      <w:tblPr>
        <w:tblW w:w="0" w:type="auto"/>
        <w:tblInd w:w="4428" w:type="dxa"/>
        <w:tblLayout w:type="fixed"/>
        <w:tblLook w:val="0000" w:firstRow="0" w:lastRow="0" w:firstColumn="0" w:lastColumn="0" w:noHBand="0" w:noVBand="0"/>
      </w:tblPr>
      <w:tblGrid>
        <w:gridCol w:w="3780"/>
      </w:tblGrid>
      <w:tr w:rsidRPr="008031E4" w:rsidR="007F37D4" w:rsidTr="00690800" w14:paraId="6B5CA0DB" w14:textId="77777777">
        <w:tc>
          <w:tcPr>
            <w:tcW w:w="3780" w:type="dxa"/>
            <w:tcBorders>
              <w:bottom w:val="single" w:color="auto" w:sz="6" w:space="0"/>
            </w:tcBorders>
          </w:tcPr>
          <w:p w:rsidRPr="008031E4" w:rsidR="007F37D4" w:rsidP="00690800" w:rsidRDefault="007F37D4" w14:paraId="19CD12F3" w14:textId="77777777">
            <w:pPr>
              <w:jc w:val="center"/>
              <w:rPr>
                <w:rFonts w:ascii="Book Antiqua" w:hAnsi="Book Antiqua"/>
                <w:szCs w:val="24"/>
              </w:rPr>
            </w:pPr>
          </w:p>
        </w:tc>
      </w:tr>
      <w:tr w:rsidRPr="008031E4" w:rsidR="007F37D4" w:rsidTr="00690800" w14:paraId="72B73774" w14:textId="77777777">
        <w:tc>
          <w:tcPr>
            <w:tcW w:w="3780" w:type="dxa"/>
          </w:tcPr>
          <w:p w:rsidRPr="008031E4" w:rsidR="007F37D4" w:rsidP="00690800" w:rsidRDefault="007F37D4" w14:paraId="5B93F4AF" w14:textId="77777777">
            <w:pPr>
              <w:spacing w:before="120"/>
              <w:jc w:val="center"/>
              <w:rPr>
                <w:rFonts w:ascii="Book Antiqua" w:hAnsi="Book Antiqua"/>
                <w:szCs w:val="24"/>
              </w:rPr>
            </w:pPr>
            <w:r w:rsidRPr="008031E4">
              <w:rPr>
                <w:rFonts w:ascii="Book Antiqua" w:hAnsi="Book Antiqua"/>
                <w:szCs w:val="24"/>
              </w:rPr>
              <w:t>RACHEL PETERSON</w:t>
            </w:r>
          </w:p>
          <w:p w:rsidRPr="008031E4" w:rsidR="007F37D4" w:rsidP="00690800" w:rsidRDefault="007F37D4" w14:paraId="561EB29E" w14:textId="77777777">
            <w:pPr>
              <w:jc w:val="center"/>
              <w:rPr>
                <w:rFonts w:ascii="Book Antiqua" w:hAnsi="Book Antiqua"/>
                <w:szCs w:val="24"/>
              </w:rPr>
            </w:pPr>
            <w:r w:rsidRPr="008031E4">
              <w:rPr>
                <w:rFonts w:ascii="Book Antiqua" w:hAnsi="Book Antiqua"/>
                <w:szCs w:val="24"/>
              </w:rPr>
              <w:t>Executive Director</w:t>
            </w:r>
          </w:p>
        </w:tc>
      </w:tr>
    </w:tbl>
    <w:p w:rsidRPr="008031E4" w:rsidR="00C47C2A" w:rsidRDefault="00C47C2A" w14:paraId="79D75818" w14:textId="77777777">
      <w:pPr>
        <w:rPr>
          <w:rFonts w:ascii="Book Antiqua" w:hAnsi="Book Antiqua"/>
          <w:szCs w:val="24"/>
        </w:rPr>
      </w:pPr>
    </w:p>
    <w:p w:rsidR="008031E4" w:rsidRDefault="008031E4" w14:paraId="0996D3B0" w14:textId="77777777">
      <w:pPr>
        <w:pStyle w:val="standard"/>
        <w:spacing w:line="240" w:lineRule="auto"/>
        <w:rPr>
          <w:rFonts w:ascii="Book Antiqua" w:hAnsi="Book Antiqua"/>
          <w:sz w:val="26"/>
          <w:szCs w:val="26"/>
        </w:rPr>
        <w:sectPr w:rsidR="008031E4" w:rsidSect="00B170BB">
          <w:headerReference w:type="first" r:id="rId16"/>
          <w:footerReference w:type="first" r:id="rId17"/>
          <w:pgSz w:w="12240" w:h="15840" w:code="1"/>
          <w:pgMar w:top="1440" w:right="1440" w:bottom="1440" w:left="1440" w:header="720" w:footer="720" w:gutter="0"/>
          <w:pgNumType w:fmt="numberInDash" w:start="1"/>
          <w:cols w:space="720"/>
          <w:titlePg/>
        </w:sectPr>
      </w:pPr>
    </w:p>
    <w:p w:rsidRPr="008031E4" w:rsidR="008031E4" w:rsidP="008031E4" w:rsidRDefault="008031E4" w14:paraId="449A6F1E" w14:textId="4601AC4B">
      <w:pPr>
        <w:widowControl w:val="0"/>
        <w:tabs>
          <w:tab w:val="center" w:pos="4320"/>
          <w:tab w:val="right" w:pos="8640"/>
        </w:tabs>
        <w:rPr>
          <w:rFonts w:ascii="Book Antiqua" w:hAnsi="Book Antiqua"/>
          <w:szCs w:val="24"/>
        </w:rPr>
      </w:pPr>
      <w:r w:rsidRPr="008031E4">
        <w:rPr>
          <w:rFonts w:ascii="Book Antiqua" w:hAnsi="Book Antiqua"/>
          <w:szCs w:val="24"/>
        </w:rPr>
        <w:lastRenderedPageBreak/>
        <w:t>ALJ/KK3/</w:t>
      </w:r>
      <w:proofErr w:type="spellStart"/>
      <w:r w:rsidRPr="008031E4">
        <w:rPr>
          <w:rFonts w:ascii="Book Antiqua" w:hAnsi="Book Antiqua"/>
          <w:szCs w:val="24"/>
        </w:rPr>
        <w:t>sgu</w:t>
      </w:r>
      <w:proofErr w:type="spellEnd"/>
    </w:p>
    <w:p w:rsidRPr="00070884" w:rsidR="008031E4" w:rsidP="008031E4" w:rsidRDefault="008031E4" w14:paraId="73A5A058" w14:textId="77777777">
      <w:pPr>
        <w:widowControl w:val="0"/>
        <w:tabs>
          <w:tab w:val="center" w:pos="4320"/>
          <w:tab w:val="right" w:pos="8640"/>
        </w:tabs>
        <w:rPr>
          <w:rFonts w:ascii="Book Antiqua" w:hAnsi="Book Antiqua"/>
          <w:sz w:val="26"/>
        </w:rPr>
      </w:pPr>
    </w:p>
    <w:p w:rsidRPr="00070884" w:rsidR="008031E4" w:rsidP="008031E4" w:rsidRDefault="008031E4" w14:paraId="340556FE" w14:textId="77777777">
      <w:pPr>
        <w:widowControl w:val="0"/>
        <w:tabs>
          <w:tab w:val="center" w:pos="4320"/>
          <w:tab w:val="right" w:pos="8640"/>
        </w:tabs>
        <w:rPr>
          <w:sz w:val="26"/>
        </w:rPr>
      </w:pPr>
    </w:p>
    <w:p w:rsidRPr="00070884" w:rsidR="008031E4" w:rsidP="008031E4" w:rsidRDefault="008031E4" w14:paraId="4BE70E09" w14:textId="77777777">
      <w:pPr>
        <w:suppressAutoHyphens/>
        <w:rPr>
          <w:rFonts w:ascii="Arial" w:hAnsi="Arial" w:cs="Arial"/>
          <w:b/>
        </w:rPr>
      </w:pPr>
      <w:r w:rsidRPr="00070884">
        <w:rPr>
          <w:rFonts w:ascii="Arial" w:hAnsi="Arial" w:cs="Arial"/>
          <w:b/>
        </w:rPr>
        <w:t>BEFORE THE PUBLIC UTILITIES COMMISSION OF THE STATE OF CALIFORNIA</w:t>
      </w:r>
    </w:p>
    <w:p w:rsidRPr="008031E4" w:rsidR="008031E4" w:rsidP="008031E4" w:rsidRDefault="008031E4" w14:paraId="7A125F36" w14:textId="77777777">
      <w:pPr>
        <w:suppressAutoHyphens/>
        <w:rPr>
          <w:szCs w:val="24"/>
        </w:rPr>
      </w:pPr>
    </w:p>
    <w:p w:rsidRPr="008031E4" w:rsidR="008031E4" w:rsidP="008031E4" w:rsidRDefault="008031E4" w14:paraId="0E5B3B19" w14:textId="77777777">
      <w:pPr>
        <w:pStyle w:val="BlockText"/>
        <w:rPr>
          <w:rFonts w:ascii="Book Antiqua" w:hAnsi="Book Antiqua"/>
          <w:szCs w:val="24"/>
        </w:rPr>
      </w:pPr>
      <w:r w:rsidRPr="008031E4">
        <w:rPr>
          <w:rFonts w:ascii="Book Antiqua" w:hAnsi="Book Antiqua"/>
          <w:szCs w:val="24"/>
        </w:rPr>
        <w:t>RESOLUTION ALJ-475. Resolves the Appeal K.24-06-003, the Appeal of Alex Vayner, ALVA LIMOLUX LLC from Citation No. T.24-05-008 issued on May 24, 2024 by the Consumer Protection and Enforcement Division.</w:t>
      </w:r>
    </w:p>
    <w:p w:rsidRPr="008031E4" w:rsidR="008031E4" w:rsidP="008031E4" w:rsidRDefault="008031E4" w14:paraId="5931A5AD" w14:textId="77777777">
      <w:pPr>
        <w:pStyle w:val="BlockText"/>
        <w:rPr>
          <w:rFonts w:ascii="Book Antiqua" w:hAnsi="Book Antiqua"/>
          <w:szCs w:val="24"/>
        </w:rPr>
      </w:pPr>
    </w:p>
    <w:p w:rsidRPr="008031E4" w:rsidR="008031E4" w:rsidP="008031E4" w:rsidRDefault="008031E4" w14:paraId="60ADD4D5" w14:textId="77777777">
      <w:pPr>
        <w:jc w:val="center"/>
        <w:rPr>
          <w:rFonts w:ascii="Arial" w:hAnsi="Arial" w:cs="Arial"/>
          <w:b/>
          <w:szCs w:val="24"/>
        </w:rPr>
      </w:pPr>
      <w:r w:rsidRPr="008031E4">
        <w:rPr>
          <w:rFonts w:ascii="Arial" w:hAnsi="Arial" w:cs="Arial"/>
          <w:b/>
          <w:szCs w:val="24"/>
        </w:rPr>
        <w:t>INFORMATION REGARDING SERVICE</w:t>
      </w:r>
    </w:p>
    <w:p w:rsidRPr="008031E4" w:rsidR="008031E4" w:rsidP="008031E4" w:rsidRDefault="008031E4" w14:paraId="07CADA4E" w14:textId="77777777">
      <w:pPr>
        <w:jc w:val="center"/>
        <w:rPr>
          <w:rFonts w:ascii="Arial" w:hAnsi="Arial" w:cs="Arial"/>
          <w:b/>
          <w:szCs w:val="24"/>
        </w:rPr>
      </w:pPr>
    </w:p>
    <w:p w:rsidRPr="008031E4" w:rsidR="008031E4" w:rsidP="008031E4" w:rsidRDefault="008031E4" w14:paraId="0C259D88" w14:textId="36445259">
      <w:pPr>
        <w:spacing w:line="360" w:lineRule="auto"/>
        <w:ind w:firstLine="720"/>
        <w:rPr>
          <w:rFonts w:ascii="Book Antiqua" w:hAnsi="Book Antiqua"/>
          <w:szCs w:val="24"/>
        </w:rPr>
      </w:pPr>
      <w:r w:rsidRPr="008031E4">
        <w:rPr>
          <w:rFonts w:ascii="Book Antiqua" w:hAnsi="Book Antiqua"/>
          <w:szCs w:val="24"/>
        </w:rPr>
        <w:t xml:space="preserve">I have electronically served all </w:t>
      </w:r>
      <w:proofErr w:type="gramStart"/>
      <w:r w:rsidRPr="008031E4">
        <w:rPr>
          <w:rFonts w:ascii="Book Antiqua" w:hAnsi="Book Antiqua"/>
          <w:szCs w:val="24"/>
        </w:rPr>
        <w:t>persons</w:t>
      </w:r>
      <w:proofErr w:type="gramEnd"/>
      <w:r w:rsidRPr="008031E4">
        <w:rPr>
          <w:rFonts w:ascii="Book Antiqua" w:hAnsi="Book Antiqua"/>
          <w:szCs w:val="24"/>
        </w:rPr>
        <w:t xml:space="preserve"> on the attached official service list who have provided an e-mail address for </w:t>
      </w:r>
      <w:r>
        <w:rPr>
          <w:rFonts w:ascii="Book Antiqua" w:hAnsi="Book Antiqua"/>
          <w:szCs w:val="24"/>
        </w:rPr>
        <w:t>K.24-06-003.</w:t>
      </w:r>
    </w:p>
    <w:p w:rsidRPr="008031E4" w:rsidR="008031E4" w:rsidP="008031E4" w:rsidRDefault="008031E4" w14:paraId="1A1930EB" w14:textId="77777777">
      <w:pPr>
        <w:spacing w:line="360" w:lineRule="auto"/>
        <w:ind w:firstLine="720"/>
        <w:rPr>
          <w:rFonts w:ascii="Book Antiqua" w:hAnsi="Book Antiqua"/>
          <w:szCs w:val="24"/>
        </w:rPr>
      </w:pPr>
      <w:r w:rsidRPr="008031E4">
        <w:rPr>
          <w:rFonts w:ascii="Book Antiqua" w:hAnsi="Book Antiqua"/>
          <w:szCs w:val="24"/>
        </w:rPr>
        <w:t>Upon confirmation of this document’s acceptance for filing, I will cause a copy of the filed document to be served by U.S. mail on all parties listed in the “Party” category of the official service list for whom no e-mail address is provided.</w:t>
      </w:r>
    </w:p>
    <w:p w:rsidRPr="008031E4" w:rsidR="008031E4" w:rsidP="008031E4" w:rsidRDefault="008031E4" w14:paraId="537657EC" w14:textId="4AB7BB3B">
      <w:pPr>
        <w:spacing w:line="360" w:lineRule="auto"/>
        <w:ind w:firstLine="720"/>
        <w:rPr>
          <w:rFonts w:ascii="Book Antiqua" w:hAnsi="Book Antiqua"/>
          <w:szCs w:val="24"/>
        </w:rPr>
      </w:pPr>
      <w:r w:rsidRPr="008031E4">
        <w:rPr>
          <w:rFonts w:ascii="Book Antiqua" w:hAnsi="Book Antiqua"/>
          <w:szCs w:val="24"/>
        </w:rPr>
        <w:t xml:space="preserve">Dated </w:t>
      </w:r>
      <w:r>
        <w:rPr>
          <w:rFonts w:ascii="Book Antiqua" w:hAnsi="Book Antiqua"/>
          <w:szCs w:val="24"/>
        </w:rPr>
        <w:t>February 6</w:t>
      </w:r>
      <w:r w:rsidRPr="008031E4">
        <w:rPr>
          <w:rFonts w:ascii="Book Antiqua" w:hAnsi="Book Antiqua"/>
          <w:szCs w:val="24"/>
        </w:rPr>
        <w:t>, 2025, at San Francisco, California.</w:t>
      </w:r>
    </w:p>
    <w:p w:rsidRPr="008031E4" w:rsidR="008031E4" w:rsidP="008031E4" w:rsidRDefault="008031E4" w14:paraId="7E17ED8B" w14:textId="77777777">
      <w:pPr>
        <w:rPr>
          <w:rFonts w:ascii="Book Antiqua" w:hAnsi="Book Antiqua"/>
          <w:szCs w:val="24"/>
        </w:rPr>
      </w:pPr>
    </w:p>
    <w:tbl>
      <w:tblPr>
        <w:tblW w:w="8928" w:type="dxa"/>
        <w:tblLayout w:type="fixed"/>
        <w:tblLook w:val="0000" w:firstRow="0" w:lastRow="0" w:firstColumn="0" w:lastColumn="0" w:noHBand="0" w:noVBand="0"/>
      </w:tblPr>
      <w:tblGrid>
        <w:gridCol w:w="4248"/>
        <w:gridCol w:w="4680"/>
      </w:tblGrid>
      <w:tr w:rsidRPr="008031E4" w:rsidR="008031E4" w:rsidTr="008F7E3E" w14:paraId="7FA6B948" w14:textId="77777777">
        <w:tc>
          <w:tcPr>
            <w:tcW w:w="4248" w:type="dxa"/>
          </w:tcPr>
          <w:p w:rsidRPr="008031E4" w:rsidR="008031E4" w:rsidP="008F7E3E" w:rsidRDefault="008031E4" w14:paraId="7700F484" w14:textId="77777777">
            <w:pPr>
              <w:jc w:val="center"/>
              <w:rPr>
                <w:rFonts w:ascii="Book Antiqua" w:hAnsi="Book Antiqua"/>
                <w:szCs w:val="24"/>
              </w:rPr>
            </w:pPr>
            <w:r w:rsidRPr="008031E4">
              <w:rPr>
                <w:rFonts w:ascii="Book Antiqua" w:hAnsi="Book Antiqua"/>
                <w:szCs w:val="24"/>
              </w:rPr>
              <w:t xml:space="preserve">             </w:t>
            </w:r>
          </w:p>
        </w:tc>
        <w:tc>
          <w:tcPr>
            <w:tcW w:w="4680" w:type="dxa"/>
            <w:tcBorders>
              <w:bottom w:val="single" w:color="auto" w:sz="4" w:space="0"/>
            </w:tcBorders>
          </w:tcPr>
          <w:p w:rsidRPr="008031E4" w:rsidR="008031E4" w:rsidP="008F7E3E" w:rsidRDefault="008031E4" w14:paraId="7AB15214" w14:textId="77777777">
            <w:pPr>
              <w:jc w:val="center"/>
              <w:rPr>
                <w:rFonts w:ascii="Book Antiqua" w:hAnsi="Book Antiqua"/>
                <w:szCs w:val="24"/>
              </w:rPr>
            </w:pPr>
            <w:r w:rsidRPr="008031E4">
              <w:rPr>
                <w:rFonts w:ascii="Book Antiqua" w:hAnsi="Book Antiqua"/>
                <w:szCs w:val="24"/>
              </w:rPr>
              <w:t>/s</w:t>
            </w:r>
            <w:proofErr w:type="gramStart"/>
            <w:r w:rsidRPr="008031E4">
              <w:rPr>
                <w:rFonts w:ascii="Book Antiqua" w:hAnsi="Book Antiqua"/>
                <w:szCs w:val="24"/>
              </w:rPr>
              <w:t>/  SHANE</w:t>
            </w:r>
            <w:proofErr w:type="gramEnd"/>
            <w:r w:rsidRPr="008031E4">
              <w:rPr>
                <w:rFonts w:ascii="Book Antiqua" w:hAnsi="Book Antiqua"/>
                <w:szCs w:val="24"/>
              </w:rPr>
              <w:t xml:space="preserve"> GUTTO</w:t>
            </w:r>
          </w:p>
        </w:tc>
      </w:tr>
      <w:tr w:rsidRPr="008031E4" w:rsidR="008031E4" w:rsidTr="008F7E3E" w14:paraId="75A288E8" w14:textId="77777777">
        <w:trPr>
          <w:trHeight w:val="345"/>
        </w:trPr>
        <w:tc>
          <w:tcPr>
            <w:tcW w:w="4248" w:type="dxa"/>
          </w:tcPr>
          <w:p w:rsidRPr="008031E4" w:rsidR="008031E4" w:rsidP="008F7E3E" w:rsidRDefault="008031E4" w14:paraId="3A1EEE47" w14:textId="77777777">
            <w:pPr>
              <w:jc w:val="center"/>
              <w:rPr>
                <w:rFonts w:ascii="Book Antiqua" w:hAnsi="Book Antiqua"/>
                <w:szCs w:val="24"/>
              </w:rPr>
            </w:pPr>
          </w:p>
        </w:tc>
        <w:tc>
          <w:tcPr>
            <w:tcW w:w="4680" w:type="dxa"/>
            <w:tcBorders>
              <w:top w:val="single" w:color="auto" w:sz="4" w:space="0"/>
            </w:tcBorders>
          </w:tcPr>
          <w:p w:rsidRPr="008031E4" w:rsidR="008031E4" w:rsidP="008F7E3E" w:rsidRDefault="008031E4" w14:paraId="4FA7DBA8" w14:textId="77777777">
            <w:pPr>
              <w:jc w:val="center"/>
              <w:rPr>
                <w:rFonts w:ascii="Book Antiqua" w:hAnsi="Book Antiqua"/>
                <w:szCs w:val="24"/>
              </w:rPr>
            </w:pPr>
            <w:r w:rsidRPr="008031E4">
              <w:rPr>
                <w:rFonts w:ascii="Book Antiqua" w:hAnsi="Book Antiqua"/>
                <w:szCs w:val="24"/>
              </w:rPr>
              <w:t>Shane Gutto</w:t>
            </w:r>
          </w:p>
        </w:tc>
      </w:tr>
    </w:tbl>
    <w:p w:rsidRPr="00070884" w:rsidR="008031E4" w:rsidP="008031E4" w:rsidRDefault="008031E4" w14:paraId="776B140E" w14:textId="77777777">
      <w:pPr>
        <w:autoSpaceDE w:val="0"/>
        <w:autoSpaceDN w:val="0"/>
        <w:adjustRightInd w:val="0"/>
        <w:jc w:val="center"/>
        <w:rPr>
          <w:rFonts w:ascii="Book Antiqua" w:hAnsi="Book Antiqua" w:cs="Helvetica"/>
          <w:b/>
          <w:bCs/>
          <w:spacing w:val="120"/>
          <w:sz w:val="26"/>
          <w:szCs w:val="26"/>
        </w:rPr>
        <w:sectPr w:rsidRPr="00070884" w:rsidR="008031E4" w:rsidSect="008031E4">
          <w:headerReference w:type="default" r:id="rId18"/>
          <w:footerReference w:type="default" r:id="rId19"/>
          <w:headerReference w:type="first" r:id="rId20"/>
          <w:footerReference w:type="first" r:id="rId21"/>
          <w:pgSz w:w="12240" w:h="15840"/>
          <w:pgMar w:top="1728" w:right="1440" w:bottom="1440" w:left="1440" w:header="720" w:footer="720" w:gutter="0"/>
          <w:pgNumType w:fmt="numberInDash" w:start="2"/>
          <w:cols w:space="720"/>
          <w:titlePg/>
          <w:docGrid w:linePitch="360"/>
        </w:sectPr>
      </w:pPr>
    </w:p>
    <w:p w:rsidRPr="00070884" w:rsidR="008031E4" w:rsidP="008031E4" w:rsidRDefault="008031E4" w14:paraId="61ED4CF4" w14:textId="77777777">
      <w:pPr>
        <w:autoSpaceDE w:val="0"/>
        <w:autoSpaceDN w:val="0"/>
        <w:adjustRightInd w:val="0"/>
        <w:jc w:val="center"/>
        <w:rPr>
          <w:rFonts w:ascii="Book Antiqua" w:hAnsi="Book Antiqua" w:cs="Helvetica"/>
          <w:b/>
          <w:bCs/>
          <w:spacing w:val="120"/>
          <w:sz w:val="26"/>
          <w:szCs w:val="26"/>
        </w:rPr>
        <w:sectPr w:rsidRPr="00070884" w:rsidR="008031E4" w:rsidSect="008031E4">
          <w:headerReference w:type="first" r:id="rId22"/>
          <w:footerReference w:type="first" r:id="rId23"/>
          <w:type w:val="continuous"/>
          <w:pgSz w:w="12240" w:h="15840"/>
          <w:pgMar w:top="1728" w:right="1440" w:bottom="1440" w:left="1440" w:header="720" w:footer="720" w:gutter="0"/>
          <w:pgNumType w:fmt="numberInDash" w:start="1"/>
          <w:cols w:space="720"/>
          <w:titlePg/>
          <w:docGrid w:linePitch="360"/>
        </w:sectPr>
      </w:pPr>
    </w:p>
    <w:p w:rsidRPr="00070884" w:rsidR="008031E4" w:rsidP="008031E4" w:rsidRDefault="008031E4" w14:paraId="67AE0DD2" w14:textId="77777777">
      <w:pPr>
        <w:autoSpaceDE w:val="0"/>
        <w:autoSpaceDN w:val="0"/>
        <w:adjustRightInd w:val="0"/>
        <w:jc w:val="center"/>
        <w:rPr>
          <w:rFonts w:ascii="Arial" w:hAnsi="Arial" w:cs="Arial"/>
          <w:b/>
          <w:bCs/>
          <w:spacing w:val="120"/>
          <w:sz w:val="26"/>
          <w:szCs w:val="26"/>
        </w:rPr>
      </w:pPr>
      <w:r w:rsidRPr="00070884">
        <w:rPr>
          <w:rFonts w:ascii="Arial" w:hAnsi="Arial" w:cs="Arial"/>
          <w:b/>
          <w:bCs/>
          <w:spacing w:val="120"/>
          <w:sz w:val="26"/>
          <w:szCs w:val="26"/>
        </w:rPr>
        <w:lastRenderedPageBreak/>
        <w:t>NOTICE</w:t>
      </w:r>
    </w:p>
    <w:p w:rsidRPr="00070884" w:rsidR="008031E4" w:rsidP="008031E4" w:rsidRDefault="008031E4" w14:paraId="1B5521AF" w14:textId="77777777">
      <w:pPr>
        <w:autoSpaceDE w:val="0"/>
        <w:autoSpaceDN w:val="0"/>
        <w:adjustRightInd w:val="0"/>
        <w:rPr>
          <w:rFonts w:ascii="Helvetica" w:hAnsi="Helvetica" w:cs="Helvetica"/>
          <w:szCs w:val="24"/>
        </w:rPr>
      </w:pPr>
    </w:p>
    <w:p w:rsidRPr="00070884" w:rsidR="008031E4" w:rsidP="008031E4" w:rsidRDefault="008031E4" w14:paraId="2BF9FBBC" w14:textId="77777777">
      <w:pPr>
        <w:tabs>
          <w:tab w:val="left" w:pos="0"/>
        </w:tabs>
        <w:autoSpaceDE w:val="0"/>
        <w:autoSpaceDN w:val="0"/>
        <w:adjustRightInd w:val="0"/>
        <w:ind w:left="720" w:right="1080"/>
        <w:rPr>
          <w:rFonts w:ascii="Arial" w:hAnsi="Arial" w:cs="Arial"/>
          <w:szCs w:val="24"/>
        </w:rPr>
      </w:pPr>
      <w:r w:rsidRPr="00070884">
        <w:rPr>
          <w:rFonts w:ascii="Arial" w:hAnsi="Arial" w:cs="Arial"/>
          <w:szCs w:val="24"/>
        </w:rPr>
        <w:t>Persons should notify the Process Office, Public Utilities Commission, 505 Van Ness Avenue, Room 2000, San Francisco, CA  94102, of any change of address to ensure that they continue to receive documents.  You must indicate the proceeding number on the service list on which your name appears.</w:t>
      </w:r>
    </w:p>
    <w:p w:rsidRPr="00070884" w:rsidR="008031E4" w:rsidP="008031E4" w:rsidRDefault="008031E4" w14:paraId="303B27E0" w14:textId="77777777">
      <w:pPr>
        <w:autoSpaceDE w:val="0"/>
        <w:autoSpaceDN w:val="0"/>
        <w:adjustRightInd w:val="0"/>
        <w:ind w:left="720" w:right="1080"/>
        <w:rPr>
          <w:rFonts w:ascii="Arial" w:hAnsi="Arial" w:cs="Arial"/>
          <w:szCs w:val="24"/>
        </w:rPr>
      </w:pPr>
    </w:p>
    <w:p w:rsidRPr="00070884" w:rsidR="008031E4" w:rsidP="008031E4" w:rsidRDefault="008031E4" w14:paraId="68758846" w14:textId="77777777">
      <w:pPr>
        <w:tabs>
          <w:tab w:val="left" w:pos="0"/>
        </w:tabs>
        <w:autoSpaceDE w:val="0"/>
        <w:autoSpaceDN w:val="0"/>
        <w:adjustRightInd w:val="0"/>
        <w:ind w:left="720" w:right="1080"/>
        <w:rPr>
          <w:rFonts w:ascii="Arial" w:hAnsi="Arial" w:cs="Arial"/>
          <w:szCs w:val="24"/>
        </w:rPr>
      </w:pPr>
      <w:proofErr w:type="gramStart"/>
      <w:r w:rsidRPr="00070884">
        <w:rPr>
          <w:rFonts w:ascii="Arial" w:hAnsi="Arial" w:cs="Arial"/>
          <w:szCs w:val="24"/>
        </w:rPr>
        <w:t xml:space="preserve">* * * * * * * * * * * * * * * * * * * * * * * * * * * * * * * * * * * * * * * * * * * * * </w:t>
      </w:r>
      <w:proofErr w:type="gramEnd"/>
      <w:r w:rsidRPr="00070884">
        <w:rPr>
          <w:rFonts w:ascii="Arial" w:hAnsi="Arial" w:cs="Arial"/>
          <w:szCs w:val="24"/>
        </w:rPr>
        <w:t xml:space="preserve">* </w:t>
      </w:r>
    </w:p>
    <w:p w:rsidRPr="00070884" w:rsidR="008031E4" w:rsidP="008031E4" w:rsidRDefault="008031E4" w14:paraId="7FF9E5B4" w14:textId="77777777">
      <w:pPr>
        <w:tabs>
          <w:tab w:val="left" w:pos="0"/>
        </w:tabs>
        <w:autoSpaceDE w:val="0"/>
        <w:autoSpaceDN w:val="0"/>
        <w:adjustRightInd w:val="0"/>
        <w:ind w:left="720" w:right="1440"/>
        <w:rPr>
          <w:rFonts w:ascii="Arial" w:hAnsi="Arial" w:cs="Arial"/>
          <w:sz w:val="18"/>
          <w:szCs w:val="18"/>
        </w:rPr>
      </w:pPr>
    </w:p>
    <w:p w:rsidRPr="00070884" w:rsidR="008031E4" w:rsidP="008031E4" w:rsidRDefault="008031E4" w14:paraId="30EE2965" w14:textId="77777777">
      <w:pPr>
        <w:tabs>
          <w:tab w:val="left" w:pos="0"/>
        </w:tabs>
        <w:autoSpaceDE w:val="0"/>
        <w:autoSpaceDN w:val="0"/>
        <w:adjustRightInd w:val="0"/>
        <w:ind w:left="720" w:right="900"/>
        <w:rPr>
          <w:rFonts w:ascii="Arial" w:hAnsi="Arial" w:cs="Arial"/>
          <w:szCs w:val="24"/>
        </w:rPr>
      </w:pPr>
      <w:r w:rsidRPr="00070884">
        <w:rPr>
          <w:rFonts w:ascii="Arial" w:hAnsi="Arial" w:cs="Arial"/>
          <w:szCs w:val="24"/>
        </w:rPr>
        <w:t>The Commission’s policy is to schedule hearings (meetings, workshops, etc.) in locations that are accessible to people with disabilities.  To verify that a particular location is accessible, call: Calendar Clerk (415) 703</w:t>
      </w:r>
      <w:r w:rsidRPr="00070884">
        <w:rPr>
          <w:rFonts w:ascii="Arial" w:hAnsi="Arial" w:cs="Arial"/>
          <w:szCs w:val="24"/>
        </w:rPr>
        <w:noBreakHyphen/>
        <w:t>1203.</w:t>
      </w:r>
    </w:p>
    <w:p w:rsidRPr="00070884" w:rsidR="008031E4" w:rsidP="008031E4" w:rsidRDefault="008031E4" w14:paraId="3BB6DD09" w14:textId="77777777">
      <w:pPr>
        <w:tabs>
          <w:tab w:val="left" w:pos="0"/>
        </w:tabs>
        <w:autoSpaceDE w:val="0"/>
        <w:autoSpaceDN w:val="0"/>
        <w:adjustRightInd w:val="0"/>
        <w:ind w:left="720" w:right="900"/>
        <w:rPr>
          <w:rFonts w:ascii="Arial" w:hAnsi="Arial" w:cs="Arial"/>
          <w:szCs w:val="24"/>
        </w:rPr>
      </w:pPr>
    </w:p>
    <w:p w:rsidRPr="00070884" w:rsidR="008031E4" w:rsidP="008031E4" w:rsidRDefault="008031E4" w14:paraId="714A77D6" w14:textId="77777777">
      <w:pPr>
        <w:tabs>
          <w:tab w:val="left" w:pos="0"/>
        </w:tabs>
        <w:autoSpaceDE w:val="0"/>
        <w:autoSpaceDN w:val="0"/>
        <w:adjustRightInd w:val="0"/>
        <w:ind w:left="720" w:right="900"/>
        <w:rPr>
          <w:rFonts w:ascii="Arial" w:hAnsi="Arial" w:cs="Arial"/>
          <w:szCs w:val="24"/>
        </w:rPr>
        <w:sectPr w:rsidRPr="00070884" w:rsidR="008031E4" w:rsidSect="008031E4">
          <w:headerReference w:type="first" r:id="rId24"/>
          <w:footerReference w:type="first" r:id="rId25"/>
          <w:pgSz w:w="12240" w:h="15840"/>
          <w:pgMar w:top="1728" w:right="1440" w:bottom="1440" w:left="1440" w:header="720" w:footer="720" w:gutter="0"/>
          <w:pgNumType w:fmt="numberInDash" w:start="2"/>
          <w:cols w:space="720"/>
          <w:titlePg/>
          <w:docGrid w:linePitch="360"/>
        </w:sectPr>
      </w:pPr>
      <w:r w:rsidRPr="00070884">
        <w:rPr>
          <w:rFonts w:ascii="Arial" w:hAnsi="Arial" w:cs="Arial"/>
          <w:szCs w:val="24"/>
        </w:rPr>
        <w:t>If specialized accommodations for the disabled are needed, e.g., sign language interpreters, those making the arrangements must call the Public Advisor at (415) 703</w:t>
      </w:r>
      <w:r w:rsidRPr="00070884">
        <w:rPr>
          <w:rFonts w:ascii="Arial" w:hAnsi="Arial" w:cs="Arial"/>
          <w:szCs w:val="24"/>
        </w:rPr>
        <w:noBreakHyphen/>
        <w:t>2074 or TDD# (415) 703-2032 five working days in advance of the event</w:t>
      </w:r>
      <w:r>
        <w:rPr>
          <w:rFonts w:ascii="Arial" w:hAnsi="Arial" w:cs="Arial"/>
          <w:szCs w:val="24"/>
        </w:rPr>
        <w:t>.</w:t>
      </w:r>
    </w:p>
    <w:tbl>
      <w:tblPr>
        <w:tblW w:w="0" w:type="auto"/>
        <w:tblInd w:w="-965" w:type="dxa"/>
        <w:tblLayout w:type="fixed"/>
        <w:tblCellMar>
          <w:left w:w="115" w:type="dxa"/>
          <w:right w:w="115" w:type="dxa"/>
        </w:tblCellMar>
        <w:tblLook w:val="0000" w:firstRow="0" w:lastRow="0" w:firstColumn="0" w:lastColumn="0" w:noHBand="0" w:noVBand="0"/>
      </w:tblPr>
      <w:tblGrid>
        <w:gridCol w:w="5400"/>
        <w:gridCol w:w="5400"/>
      </w:tblGrid>
      <w:tr w:rsidR="006B11CD" w:rsidTr="006F6ABF" w14:paraId="4F162D19" w14:textId="77777777">
        <w:tblPrEx>
          <w:tblCellMar>
            <w:top w:w="0" w:type="dxa"/>
            <w:bottom w:w="0" w:type="dxa"/>
          </w:tblCellMar>
        </w:tblPrEx>
        <w:tc>
          <w:tcPr>
            <w:tcW w:w="5400" w:type="dxa"/>
            <w:tcBorders>
              <w:top w:val="nil"/>
              <w:left w:val="nil"/>
              <w:bottom w:val="nil"/>
              <w:right w:val="nil"/>
            </w:tcBorders>
          </w:tcPr>
          <w:p w:rsidR="006B11CD" w:rsidP="006F6ABF" w:rsidRDefault="006B11CD" w14:paraId="049F1C16" w14:textId="43A48295">
            <w:pPr>
              <w:rPr>
                <w:sz w:val="18"/>
                <w:szCs w:val="18"/>
              </w:rPr>
            </w:pPr>
            <w:r>
              <w:rPr>
                <w:b/>
                <w:bCs/>
                <w:sz w:val="18"/>
                <w:szCs w:val="18"/>
              </w:rPr>
              <w:lastRenderedPageBreak/>
              <w:t xml:space="preserve">************** PARTIES ************** </w:t>
            </w:r>
            <w:r>
              <w:rPr>
                <w:sz w:val="18"/>
                <w:szCs w:val="18"/>
              </w:rPr>
              <w:br/>
            </w:r>
            <w:r w:rsidRPr="006B11CD">
              <w:rPr>
                <w:b/>
                <w:bCs/>
                <w:sz w:val="18"/>
                <w:szCs w:val="18"/>
              </w:rPr>
              <w:t>************ SERVICE LIST ***********</w:t>
            </w:r>
            <w:r w:rsidRPr="006B11CD">
              <w:rPr>
                <w:b/>
                <w:bCs/>
                <w:sz w:val="18"/>
                <w:szCs w:val="18"/>
              </w:rPr>
              <w:br/>
              <w:t xml:space="preserve">Last Updated on 06-FEB-2025 by: KB3 </w:t>
            </w:r>
            <w:r w:rsidRPr="006B11CD">
              <w:rPr>
                <w:sz w:val="18"/>
                <w:szCs w:val="18"/>
              </w:rPr>
              <w:br/>
            </w:r>
            <w:r w:rsidRPr="006B11CD">
              <w:rPr>
                <w:b/>
                <w:bCs/>
                <w:sz w:val="18"/>
                <w:szCs w:val="18"/>
              </w:rPr>
              <w:t xml:space="preserve">K2406003 LIST </w:t>
            </w:r>
            <w:r w:rsidRPr="006B11CD">
              <w:rPr>
                <w:sz w:val="18"/>
                <w:szCs w:val="18"/>
              </w:rPr>
              <w:br/>
            </w:r>
            <w:r>
              <w:rPr>
                <w:sz w:val="18"/>
                <w:szCs w:val="18"/>
              </w:rPr>
              <w:br/>
              <w:t xml:space="preserve">Alex Vayner                                  </w:t>
            </w:r>
            <w:r>
              <w:rPr>
                <w:sz w:val="18"/>
                <w:szCs w:val="18"/>
              </w:rPr>
              <w:br/>
              <w:t xml:space="preserve">ALVA LIMOLUX LLC                             </w:t>
            </w:r>
            <w:r>
              <w:rPr>
                <w:sz w:val="18"/>
                <w:szCs w:val="18"/>
              </w:rPr>
              <w:br/>
              <w:t xml:space="preserve">1917 MIDDLEFIELD ROAD                        </w:t>
            </w:r>
            <w:r>
              <w:rPr>
                <w:sz w:val="18"/>
                <w:szCs w:val="18"/>
              </w:rPr>
              <w:br/>
              <w:t xml:space="preserve">REDWOOD CITY CA 94063                        </w:t>
            </w:r>
            <w:r>
              <w:rPr>
                <w:sz w:val="18"/>
                <w:szCs w:val="18"/>
              </w:rPr>
              <w:br/>
              <w:t xml:space="preserve">(415) 846-4919                               </w:t>
            </w:r>
            <w:r>
              <w:rPr>
                <w:sz w:val="18"/>
                <w:szCs w:val="18"/>
              </w:rPr>
              <w:br/>
              <w:t xml:space="preserve">AlVaLimoLux@gmail.com                        </w:t>
            </w:r>
            <w:r>
              <w:rPr>
                <w:sz w:val="18"/>
                <w:szCs w:val="18"/>
              </w:rPr>
              <w:br/>
              <w:t xml:space="preserve">For: Alex Vayner, Alva </w:t>
            </w:r>
            <w:proofErr w:type="spellStart"/>
            <w:r>
              <w:rPr>
                <w:sz w:val="18"/>
                <w:szCs w:val="18"/>
              </w:rPr>
              <w:t>Limolux</w:t>
            </w:r>
            <w:proofErr w:type="spellEnd"/>
            <w:r>
              <w:rPr>
                <w:sz w:val="18"/>
                <w:szCs w:val="18"/>
              </w:rPr>
              <w:t xml:space="preserve"> LLC                                                                                                                                                                                                                                                                                                                                                                                                                                                                                                                                                                                                                                                                                                                                                                                              ____________________________________________</w:t>
            </w:r>
            <w:r>
              <w:rPr>
                <w:sz w:val="18"/>
                <w:szCs w:val="18"/>
              </w:rPr>
              <w:br/>
            </w:r>
            <w:r>
              <w:rPr>
                <w:sz w:val="18"/>
                <w:szCs w:val="18"/>
              </w:rPr>
              <w:br/>
            </w:r>
            <w:r>
              <w:rPr>
                <w:b/>
                <w:bCs/>
                <w:sz w:val="18"/>
                <w:szCs w:val="18"/>
              </w:rPr>
              <w:t xml:space="preserve">********** STATE EMPLOYEE *********** </w:t>
            </w:r>
            <w:r>
              <w:rPr>
                <w:sz w:val="18"/>
                <w:szCs w:val="18"/>
              </w:rPr>
              <w:br/>
            </w:r>
            <w:r>
              <w:rPr>
                <w:sz w:val="18"/>
                <w:szCs w:val="18"/>
              </w:rPr>
              <w:br/>
            </w:r>
            <w:r>
              <w:rPr>
                <w:b/>
                <w:bCs/>
                <w:sz w:val="18"/>
                <w:szCs w:val="18"/>
              </w:rPr>
              <w:t xml:space="preserve">********* INFORMATION ONLY ********** </w:t>
            </w:r>
            <w:r>
              <w:rPr>
                <w:sz w:val="18"/>
                <w:szCs w:val="18"/>
              </w:rPr>
              <w:br/>
            </w:r>
            <w:r>
              <w:rPr>
                <w:sz w:val="18"/>
                <w:szCs w:val="18"/>
              </w:rPr>
              <w:br/>
              <w:t xml:space="preserve">Destiny Graham                               </w:t>
            </w:r>
            <w:r>
              <w:rPr>
                <w:sz w:val="18"/>
                <w:szCs w:val="18"/>
              </w:rPr>
              <w:br/>
              <w:t xml:space="preserve">Consumer Protection and Enforcement Division </w:t>
            </w:r>
            <w:r>
              <w:rPr>
                <w:sz w:val="18"/>
                <w:szCs w:val="18"/>
              </w:rPr>
              <w:br/>
              <w:t xml:space="preserve">505 Van Ness Avenue                          </w:t>
            </w:r>
            <w:r>
              <w:rPr>
                <w:sz w:val="18"/>
                <w:szCs w:val="18"/>
              </w:rPr>
              <w:br/>
              <w:t xml:space="preserve">San Francisco CA 94102 3298                  </w:t>
            </w:r>
            <w:r>
              <w:rPr>
                <w:sz w:val="18"/>
                <w:szCs w:val="18"/>
              </w:rPr>
              <w:br/>
              <w:t xml:space="preserve">(628) 217-1952                               </w:t>
            </w:r>
            <w:r>
              <w:rPr>
                <w:sz w:val="18"/>
                <w:szCs w:val="18"/>
              </w:rPr>
              <w:br/>
              <w:t xml:space="preserve">dgr@cpuc.ca.gov                              </w:t>
            </w:r>
            <w:r>
              <w:rPr>
                <w:sz w:val="18"/>
                <w:szCs w:val="18"/>
              </w:rPr>
              <w:br/>
              <w:t xml:space="preserve">For: CPED                                                                                                                                                                                                                                                                                                                                                                                                                                                                                                                                                                                                                                                                                                                                                                                                                       </w:t>
            </w:r>
            <w:r>
              <w:rPr>
                <w:sz w:val="18"/>
                <w:szCs w:val="18"/>
              </w:rPr>
              <w:br/>
            </w:r>
            <w:r>
              <w:rPr>
                <w:sz w:val="18"/>
                <w:szCs w:val="18"/>
              </w:rPr>
              <w:br/>
              <w:t xml:space="preserve">Shirley Lei                                  </w:t>
            </w:r>
            <w:r>
              <w:rPr>
                <w:sz w:val="18"/>
                <w:szCs w:val="18"/>
              </w:rPr>
              <w:br/>
              <w:t xml:space="preserve">Consumer Protection and Enforcement Division </w:t>
            </w:r>
            <w:r>
              <w:rPr>
                <w:sz w:val="18"/>
                <w:szCs w:val="18"/>
              </w:rPr>
              <w:br/>
              <w:t xml:space="preserve">505 Van Ness Avenue                          </w:t>
            </w:r>
            <w:r>
              <w:rPr>
                <w:sz w:val="18"/>
                <w:szCs w:val="18"/>
              </w:rPr>
              <w:br/>
              <w:t xml:space="preserve">San Francisco CA 94102 3298                  </w:t>
            </w:r>
            <w:r>
              <w:rPr>
                <w:sz w:val="18"/>
                <w:szCs w:val="18"/>
              </w:rPr>
              <w:br/>
              <w:t xml:space="preserve">(415) 703-2447                               </w:t>
            </w:r>
            <w:r>
              <w:rPr>
                <w:sz w:val="18"/>
                <w:szCs w:val="18"/>
              </w:rPr>
              <w:br/>
              <w:t xml:space="preserve">sl6@cpuc.ca.gov                              </w:t>
            </w:r>
            <w:r>
              <w:rPr>
                <w:sz w:val="18"/>
                <w:szCs w:val="18"/>
              </w:rPr>
              <w:br/>
            </w:r>
            <w:r>
              <w:rPr>
                <w:sz w:val="18"/>
                <w:szCs w:val="18"/>
              </w:rPr>
              <w:br/>
              <w:t xml:space="preserve">Rahmon Momoh                                 </w:t>
            </w:r>
            <w:r>
              <w:rPr>
                <w:sz w:val="18"/>
                <w:szCs w:val="18"/>
              </w:rPr>
              <w:br/>
              <w:t xml:space="preserve">Consumer Protection and Enforcement Division </w:t>
            </w:r>
            <w:r>
              <w:rPr>
                <w:sz w:val="18"/>
                <w:szCs w:val="18"/>
              </w:rPr>
              <w:br/>
              <w:t xml:space="preserve">AREA 2-E                                     </w:t>
            </w:r>
            <w:r>
              <w:rPr>
                <w:sz w:val="18"/>
                <w:szCs w:val="18"/>
              </w:rPr>
              <w:br/>
              <w:t xml:space="preserve">505 Van Ness Avenue                          </w:t>
            </w:r>
            <w:r>
              <w:rPr>
                <w:sz w:val="18"/>
                <w:szCs w:val="18"/>
              </w:rPr>
              <w:br/>
              <w:t xml:space="preserve">San Francisco CA 94102 3298                  </w:t>
            </w:r>
            <w:r>
              <w:rPr>
                <w:sz w:val="18"/>
                <w:szCs w:val="18"/>
              </w:rPr>
              <w:br/>
              <w:t xml:space="preserve">(415) 703-1725                               </w:t>
            </w:r>
            <w:r>
              <w:rPr>
                <w:sz w:val="18"/>
                <w:szCs w:val="18"/>
              </w:rPr>
              <w:br/>
              <w:t xml:space="preserve">rmm@cpuc.ca.gov                              </w:t>
            </w:r>
            <w:r>
              <w:rPr>
                <w:sz w:val="18"/>
                <w:szCs w:val="18"/>
              </w:rPr>
              <w:br/>
            </w:r>
            <w:r>
              <w:rPr>
                <w:sz w:val="18"/>
                <w:szCs w:val="18"/>
              </w:rPr>
              <w:br/>
              <w:t xml:space="preserve">Kieuchinh Tran                               </w:t>
            </w:r>
            <w:r>
              <w:rPr>
                <w:sz w:val="18"/>
                <w:szCs w:val="18"/>
              </w:rPr>
              <w:br/>
              <w:t xml:space="preserve">Communications Division                      </w:t>
            </w:r>
            <w:r>
              <w:rPr>
                <w:sz w:val="18"/>
                <w:szCs w:val="18"/>
              </w:rPr>
              <w:br/>
              <w:t xml:space="preserve">300 Capitol Mall                             </w:t>
            </w:r>
            <w:r>
              <w:rPr>
                <w:sz w:val="18"/>
                <w:szCs w:val="18"/>
              </w:rPr>
              <w:br/>
              <w:t xml:space="preserve">Sacramento CA 95814 4309                     </w:t>
            </w:r>
            <w:r>
              <w:rPr>
                <w:sz w:val="18"/>
                <w:szCs w:val="18"/>
              </w:rPr>
              <w:br/>
              <w:t xml:space="preserve">(415) 703-2474                               </w:t>
            </w:r>
            <w:r>
              <w:rPr>
                <w:sz w:val="18"/>
                <w:szCs w:val="18"/>
              </w:rPr>
              <w:br/>
              <w:t xml:space="preserve">ktn@cpuc.ca.gov                              </w:t>
            </w:r>
            <w:r>
              <w:rPr>
                <w:sz w:val="18"/>
                <w:szCs w:val="18"/>
              </w:rPr>
              <w:br/>
            </w:r>
            <w:r>
              <w:rPr>
                <w:sz w:val="18"/>
                <w:szCs w:val="18"/>
              </w:rPr>
              <w:br/>
            </w:r>
          </w:p>
        </w:tc>
        <w:tc>
          <w:tcPr>
            <w:tcW w:w="5400" w:type="dxa"/>
            <w:tcBorders>
              <w:top w:val="nil"/>
              <w:left w:val="nil"/>
              <w:bottom w:val="nil"/>
              <w:right w:val="nil"/>
            </w:tcBorders>
          </w:tcPr>
          <w:p w:rsidR="006B11CD" w:rsidP="006F6ABF" w:rsidRDefault="006B11CD" w14:paraId="67053D86" w14:textId="77777777">
            <w:pPr>
              <w:rPr>
                <w:sz w:val="18"/>
                <w:szCs w:val="18"/>
              </w:rPr>
            </w:pPr>
          </w:p>
        </w:tc>
      </w:tr>
    </w:tbl>
    <w:p w:rsidR="008031E4" w:rsidP="008031E4" w:rsidRDefault="008031E4" w14:paraId="3C095B6A" w14:textId="77777777">
      <w:pPr>
        <w:pStyle w:val="standard"/>
        <w:spacing w:line="240" w:lineRule="auto"/>
      </w:pPr>
    </w:p>
    <w:p w:rsidRPr="009B789A" w:rsidR="00C47C2A" w:rsidRDefault="00C47C2A" w14:paraId="555B93C4" w14:textId="77777777">
      <w:pPr>
        <w:pStyle w:val="standard"/>
        <w:spacing w:line="240" w:lineRule="auto"/>
        <w:rPr>
          <w:rFonts w:ascii="Book Antiqua" w:hAnsi="Book Antiqua"/>
          <w:sz w:val="26"/>
          <w:szCs w:val="26"/>
        </w:rPr>
      </w:pPr>
    </w:p>
    <w:sectPr w:rsidRPr="009B789A" w:rsidR="00C47C2A" w:rsidSect="006B11CD">
      <w:headerReference w:type="first" r:id="rId26"/>
      <w:pgSz w:w="12240" w:h="15840"/>
      <w:pgMar w:top="1440" w:right="1440" w:bottom="1440" w:left="1440" w:header="720" w:footer="720" w:gutter="0"/>
      <w:pgNumType w:fmt="numberInDash"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14CD" w14:textId="77777777" w:rsidR="000B000A" w:rsidRDefault="000B000A">
      <w:r>
        <w:separator/>
      </w:r>
    </w:p>
  </w:endnote>
  <w:endnote w:type="continuationSeparator" w:id="0">
    <w:p w14:paraId="5B9DD333" w14:textId="77777777" w:rsidR="000B000A" w:rsidRDefault="000B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466F" w14:textId="77777777" w:rsidR="00C47C2A" w:rsidRPr="00EF6622" w:rsidRDefault="00C47C2A">
    <w:pPr>
      <w:pStyle w:val="Footer"/>
      <w:rPr>
        <w:rFonts w:ascii="Book Antiqua" w:hAnsi="Book Antiqua"/>
        <w:sz w:val="26"/>
        <w:szCs w:val="26"/>
      </w:rPr>
    </w:pPr>
    <w:r>
      <w:tab/>
    </w:r>
    <w:r w:rsidRPr="00EF6622">
      <w:rPr>
        <w:rFonts w:ascii="Book Antiqua" w:hAnsi="Book Antiqua"/>
        <w:sz w:val="26"/>
        <w:szCs w:val="26"/>
      </w:rPr>
      <w:t xml:space="preserve"> </w:t>
    </w:r>
    <w:r w:rsidRPr="00EF6622">
      <w:rPr>
        <w:rStyle w:val="PageNumber"/>
        <w:rFonts w:ascii="Book Antiqua" w:hAnsi="Book Antiqua"/>
        <w:sz w:val="26"/>
        <w:szCs w:val="26"/>
      </w:rPr>
      <w:fldChar w:fldCharType="begin"/>
    </w:r>
    <w:r w:rsidRPr="00EF6622">
      <w:rPr>
        <w:rStyle w:val="PageNumber"/>
        <w:rFonts w:ascii="Book Antiqua" w:hAnsi="Book Antiqua"/>
        <w:sz w:val="26"/>
        <w:szCs w:val="26"/>
      </w:rPr>
      <w:instrText xml:space="preserve"> PAGE </w:instrText>
    </w:r>
    <w:r w:rsidRPr="00EF6622">
      <w:rPr>
        <w:rStyle w:val="PageNumber"/>
        <w:rFonts w:ascii="Book Antiqua" w:hAnsi="Book Antiqua"/>
        <w:sz w:val="26"/>
        <w:szCs w:val="26"/>
      </w:rPr>
      <w:fldChar w:fldCharType="separate"/>
    </w:r>
    <w:r w:rsidR="00FF004B" w:rsidRPr="00EF6622">
      <w:rPr>
        <w:rStyle w:val="PageNumber"/>
        <w:rFonts w:ascii="Book Antiqua" w:hAnsi="Book Antiqua"/>
        <w:noProof/>
        <w:sz w:val="26"/>
        <w:szCs w:val="26"/>
      </w:rPr>
      <w:t>2</w:t>
    </w:r>
    <w:r w:rsidRPr="00EF6622">
      <w:rPr>
        <w:rStyle w:val="PageNumber"/>
        <w:rFonts w:ascii="Book Antiqua" w:hAnsi="Book Antiqua"/>
        <w:sz w:val="26"/>
        <w:szCs w:val="26"/>
      </w:rPr>
      <w:fldChar w:fldCharType="end"/>
    </w:r>
    <w:r w:rsidRPr="00EF6622">
      <w:rPr>
        <w:rFonts w:ascii="Book Antiqua" w:hAnsi="Book Antiqua"/>
        <w:sz w:val="26"/>
        <w:szCs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3414" w14:textId="77777777" w:rsidR="008031E4" w:rsidRDefault="008031E4">
    <w:pPr>
      <w:pStyle w:val="Footer"/>
    </w:pPr>
    <w:r w:rsidRPr="002C471D">
      <w:rPr>
        <w:sz w:val="16"/>
        <w:szCs w:val="16"/>
      </w:rPr>
      <w:t>556313245</w:t>
    </w:r>
    <w:r>
      <w:tab/>
    </w:r>
    <w:r>
      <w:fldChar w:fldCharType="begin"/>
    </w:r>
    <w:r>
      <w:instrText xml:space="preserve"> PAGE   \* MERGEFORMAT </w:instrText>
    </w:r>
    <w:r>
      <w:fldChar w:fldCharType="separate"/>
    </w:r>
    <w:r>
      <w:rPr>
        <w:noProof/>
      </w:rPr>
      <w:t>2</w:t>
    </w:r>
    <w:r>
      <w:rPr>
        <w:noProof/>
      </w:rPr>
      <w:fldChar w:fldCharType="end"/>
    </w:r>
  </w:p>
  <w:p w14:paraId="0D8EA20F" w14:textId="77777777" w:rsidR="008031E4" w:rsidRDefault="00803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C1FE" w14:textId="77777777" w:rsidR="008031E4" w:rsidRPr="00070884" w:rsidRDefault="008031E4">
    <w:pPr>
      <w:pStyle w:val="Footer"/>
      <w:jc w:val="center"/>
      <w:rPr>
        <w:rFonts w:ascii="Book Antiqua" w:hAnsi="Book Antiqua"/>
      </w:rPr>
    </w:pPr>
    <w:r w:rsidRPr="00070884">
      <w:rPr>
        <w:rFonts w:ascii="Book Antiqua" w:hAnsi="Book Antiqua"/>
      </w:rPr>
      <w:fldChar w:fldCharType="begin"/>
    </w:r>
    <w:r w:rsidRPr="00070884">
      <w:rPr>
        <w:rFonts w:ascii="Book Antiqua" w:hAnsi="Book Antiqua"/>
      </w:rPr>
      <w:instrText xml:space="preserve"> PAGE   \* MERGEFORMAT </w:instrText>
    </w:r>
    <w:r w:rsidRPr="00070884">
      <w:rPr>
        <w:rFonts w:ascii="Book Antiqua" w:hAnsi="Book Antiqua"/>
      </w:rPr>
      <w:fldChar w:fldCharType="separate"/>
    </w:r>
    <w:r w:rsidRPr="00070884">
      <w:rPr>
        <w:rFonts w:ascii="Book Antiqua" w:hAnsi="Book Antiqua"/>
        <w:noProof/>
      </w:rPr>
      <w:t>2</w:t>
    </w:r>
    <w:r w:rsidRPr="00070884">
      <w:rPr>
        <w:rFonts w:ascii="Book Antiqua" w:hAnsi="Book Antiqu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88CA" w14:textId="77777777" w:rsidR="008031E4" w:rsidRPr="00AF0F82" w:rsidRDefault="008031E4">
    <w:pPr>
      <w:pStyle w:val="Footer"/>
      <w:tabs>
        <w:tab w:val="clear" w:pos="4320"/>
        <w:tab w:val="clear" w:pos="8640"/>
        <w:tab w:val="right" w:pos="9360"/>
      </w:tabs>
      <w:ind w:left="648"/>
      <w:jc w:val="center"/>
      <w:rPr>
        <w:rFonts w:ascii="Book Antiqua" w:hAnsi="Book Antiqua"/>
      </w:rPr>
    </w:pPr>
    <w:r w:rsidRPr="00AF0F82">
      <w:rPr>
        <w:rFonts w:ascii="Book Antiqua" w:hAnsi="Book Antiqua"/>
      </w:rPr>
      <w:t>- 1 -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1D2B" w14:textId="77777777" w:rsidR="008031E4" w:rsidRDefault="008031E4">
    <w:pPr>
      <w:pStyle w:val="Footer"/>
    </w:pPr>
    <w:r>
      <w:fldChar w:fldCharType="begin"/>
    </w:r>
    <w:r>
      <w:instrText xml:space="preserve"> PAGE   \* MERGEFORMAT </w:instrText>
    </w:r>
    <w:r>
      <w:fldChar w:fldCharType="separate"/>
    </w:r>
    <w:r>
      <w:rPr>
        <w:noProof/>
      </w:rPr>
      <w:t>- 1 -</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25F8" w14:textId="77777777" w:rsidR="008031E4" w:rsidRPr="00AF0F82" w:rsidRDefault="008031E4">
    <w:pPr>
      <w:pStyle w:val="Footer"/>
      <w:jc w:val="center"/>
      <w:rPr>
        <w:rFonts w:ascii="Book Antiqua" w:hAnsi="Book Antiqua"/>
      </w:rPr>
    </w:pPr>
    <w:r w:rsidRPr="00AF0F82">
      <w:rPr>
        <w:rFonts w:ascii="Book Antiqua" w:hAnsi="Book Antiqua"/>
      </w:rPr>
      <w:fldChar w:fldCharType="begin"/>
    </w:r>
    <w:r w:rsidRPr="00AF0F82">
      <w:rPr>
        <w:rFonts w:ascii="Book Antiqua" w:hAnsi="Book Antiqua"/>
      </w:rPr>
      <w:instrText xml:space="preserve"> PAGE   \* MERGEFORMAT </w:instrText>
    </w:r>
    <w:r w:rsidRPr="00AF0F82">
      <w:rPr>
        <w:rFonts w:ascii="Book Antiqua" w:hAnsi="Book Antiqua"/>
      </w:rPr>
      <w:fldChar w:fldCharType="separate"/>
    </w:r>
    <w:r w:rsidRPr="00AF0F82">
      <w:rPr>
        <w:rFonts w:ascii="Book Antiqua" w:hAnsi="Book Antiqua"/>
        <w:noProof/>
      </w:rPr>
      <w:t>- 2 -</w:t>
    </w:r>
    <w:r w:rsidRPr="00AF0F82">
      <w:rPr>
        <w:rFonts w:ascii="Book Antiqua" w:hAnsi="Book Antiqu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3AFC" w14:textId="77777777" w:rsidR="000B000A" w:rsidRDefault="000B000A">
      <w:r>
        <w:separator/>
      </w:r>
    </w:p>
  </w:footnote>
  <w:footnote w:type="continuationSeparator" w:id="0">
    <w:p w14:paraId="0EB9C084" w14:textId="77777777" w:rsidR="000B000A" w:rsidRDefault="000B000A">
      <w:r>
        <w:continuationSeparator/>
      </w:r>
    </w:p>
  </w:footnote>
  <w:footnote w:id="1">
    <w:p w14:paraId="6C0BBE1D" w14:textId="77777777" w:rsidR="00E16208" w:rsidRPr="00255677" w:rsidRDefault="00E16208" w:rsidP="00A624A0">
      <w:pPr>
        <w:pStyle w:val="FootnoteText"/>
        <w:rPr>
          <w:rFonts w:ascii="Book Antiqua" w:hAnsi="Book Antiqua"/>
        </w:rPr>
      </w:pPr>
      <w:r w:rsidRPr="00255677">
        <w:rPr>
          <w:rStyle w:val="FootnoteReference"/>
          <w:rFonts w:ascii="Book Antiqua" w:hAnsi="Book Antiqua"/>
        </w:rPr>
        <w:footnoteRef/>
      </w:r>
      <w:r w:rsidRPr="00255677">
        <w:rPr>
          <w:rFonts w:ascii="Book Antiqua" w:hAnsi="Book Antiqua"/>
        </w:rPr>
        <w:t xml:space="preserve"> </w:t>
      </w:r>
      <w:r w:rsidRPr="00255677">
        <w:rPr>
          <w:rFonts w:ascii="Book Antiqua" w:hAnsi="Book Antiqua"/>
          <w:sz w:val="22"/>
          <w:szCs w:val="22"/>
        </w:rPr>
        <w:t>A public version of the Confidential Compliance filing was also filed in this proceeding.</w:t>
      </w:r>
    </w:p>
  </w:footnote>
  <w:footnote w:id="2">
    <w:p w14:paraId="198947BD" w14:textId="77777777" w:rsidR="00A45E5A" w:rsidRPr="00255677" w:rsidRDefault="00A45E5A" w:rsidP="00B170BB">
      <w:pPr>
        <w:pStyle w:val="FootnoteText"/>
        <w:spacing w:after="120"/>
        <w:rPr>
          <w:rFonts w:ascii="Book Antiqua" w:hAnsi="Book Antiqua"/>
          <w:sz w:val="22"/>
          <w:szCs w:val="22"/>
        </w:rPr>
      </w:pPr>
      <w:r w:rsidRPr="00255677">
        <w:rPr>
          <w:rStyle w:val="FootnoteReference"/>
          <w:rFonts w:ascii="Book Antiqua" w:hAnsi="Book Antiqua"/>
        </w:rPr>
        <w:footnoteRef/>
      </w:r>
      <w:r w:rsidRPr="00255677">
        <w:rPr>
          <w:rFonts w:ascii="Book Antiqua" w:hAnsi="Book Antiqua"/>
        </w:rPr>
        <w:t xml:space="preserve"> </w:t>
      </w:r>
      <w:r w:rsidR="00A90E83" w:rsidRPr="00255677">
        <w:rPr>
          <w:rFonts w:ascii="Book Antiqua" w:hAnsi="Book Antiqua"/>
          <w:i/>
          <w:iCs/>
        </w:rPr>
        <w:t xml:space="preserve">See, </w:t>
      </w:r>
      <w:r w:rsidRPr="00255677">
        <w:rPr>
          <w:rFonts w:ascii="Book Antiqua" w:hAnsi="Book Antiqua"/>
          <w:sz w:val="22"/>
          <w:szCs w:val="22"/>
        </w:rPr>
        <w:t xml:space="preserve">Compliance Filing of the Consumer Protection and Enforcement Division (Compliance Filing) for Citation No. T.24-05-008, Attachment </w:t>
      </w:r>
      <w:r w:rsidR="00D77FAF" w:rsidRPr="00255677">
        <w:rPr>
          <w:rFonts w:ascii="Book Antiqua" w:hAnsi="Book Antiqua"/>
          <w:sz w:val="22"/>
          <w:szCs w:val="22"/>
        </w:rPr>
        <w:t>1</w:t>
      </w:r>
      <w:r w:rsidRPr="00255677">
        <w:rPr>
          <w:rFonts w:ascii="Book Antiqua" w:hAnsi="Book Antiqua"/>
          <w:sz w:val="22"/>
          <w:szCs w:val="22"/>
        </w:rPr>
        <w:t>.</w:t>
      </w:r>
    </w:p>
  </w:footnote>
  <w:footnote w:id="3">
    <w:p w14:paraId="4291D209" w14:textId="77777777" w:rsidR="00563885" w:rsidRDefault="00563885">
      <w:pPr>
        <w:pStyle w:val="FootnoteText"/>
      </w:pPr>
      <w:r w:rsidRPr="00255677">
        <w:rPr>
          <w:rStyle w:val="FootnoteReference"/>
          <w:rFonts w:ascii="Book Antiqua" w:hAnsi="Book Antiqua"/>
        </w:rPr>
        <w:footnoteRef/>
      </w:r>
      <w:r w:rsidRPr="00255677">
        <w:rPr>
          <w:rFonts w:ascii="Book Antiqua" w:hAnsi="Book Antiqua"/>
        </w:rPr>
        <w:t xml:space="preserve"> </w:t>
      </w:r>
      <w:r w:rsidR="00A90E83" w:rsidRPr="00255677">
        <w:rPr>
          <w:rFonts w:ascii="Book Antiqua" w:hAnsi="Book Antiqua"/>
          <w:sz w:val="22"/>
          <w:szCs w:val="22"/>
        </w:rPr>
        <w:t>Ibid</w:t>
      </w:r>
      <w:r w:rsidRPr="00255677">
        <w:rPr>
          <w:rFonts w:ascii="Book Antiqua" w:hAnsi="Book Antiqua"/>
          <w:sz w:val="22"/>
          <w:szCs w:val="22"/>
        </w:rPr>
        <w:t>.</w:t>
      </w:r>
    </w:p>
  </w:footnote>
  <w:footnote w:id="4">
    <w:p w14:paraId="6F337BD5" w14:textId="77777777" w:rsidR="00640429" w:rsidRPr="00255677" w:rsidRDefault="00640429" w:rsidP="00B170BB">
      <w:pPr>
        <w:pStyle w:val="FootnoteText"/>
        <w:spacing w:after="120"/>
        <w:rPr>
          <w:rFonts w:ascii="Book Antiqua" w:hAnsi="Book Antiqua"/>
        </w:rPr>
      </w:pPr>
      <w:r w:rsidRPr="00255677">
        <w:rPr>
          <w:rStyle w:val="FootnoteReference"/>
          <w:rFonts w:ascii="Book Antiqua" w:hAnsi="Book Antiqua"/>
        </w:rPr>
        <w:footnoteRef/>
      </w:r>
      <w:r w:rsidRPr="00255677">
        <w:rPr>
          <w:rFonts w:ascii="Book Antiqua" w:hAnsi="Book Antiqua"/>
        </w:rPr>
        <w:t xml:space="preserve"> </w:t>
      </w:r>
      <w:r w:rsidRPr="00255677">
        <w:rPr>
          <w:rFonts w:ascii="Book Antiqua" w:hAnsi="Book Antiqua"/>
          <w:sz w:val="22"/>
          <w:szCs w:val="22"/>
        </w:rPr>
        <w:t>Transcript, at 33.</w:t>
      </w:r>
    </w:p>
  </w:footnote>
  <w:footnote w:id="5">
    <w:p w14:paraId="25228F0B" w14:textId="77777777" w:rsidR="00854B81" w:rsidRPr="00255677" w:rsidRDefault="00854B81" w:rsidP="00B170BB">
      <w:pPr>
        <w:pStyle w:val="FootnoteText"/>
        <w:spacing w:after="120"/>
        <w:rPr>
          <w:rFonts w:ascii="Book Antiqua" w:hAnsi="Book Antiqua"/>
        </w:rPr>
      </w:pPr>
      <w:r w:rsidRPr="00255677">
        <w:rPr>
          <w:rStyle w:val="FootnoteReference"/>
          <w:rFonts w:ascii="Book Antiqua" w:hAnsi="Book Antiqua"/>
        </w:rPr>
        <w:footnoteRef/>
      </w:r>
      <w:r w:rsidRPr="00255677">
        <w:rPr>
          <w:rFonts w:ascii="Book Antiqua" w:hAnsi="Book Antiqua"/>
        </w:rPr>
        <w:t xml:space="preserve"> </w:t>
      </w:r>
      <w:r w:rsidRPr="00255677">
        <w:rPr>
          <w:rFonts w:ascii="Book Antiqua" w:hAnsi="Book Antiqua"/>
          <w:sz w:val="22"/>
          <w:szCs w:val="22"/>
        </w:rPr>
        <w:t>Transcript, at 16.</w:t>
      </w:r>
    </w:p>
  </w:footnote>
  <w:footnote w:id="6">
    <w:p w14:paraId="39D66BCB" w14:textId="77777777" w:rsidR="00854B81" w:rsidRDefault="00854B81" w:rsidP="00B170BB">
      <w:pPr>
        <w:pStyle w:val="FootnoteText"/>
        <w:spacing w:after="120"/>
      </w:pPr>
      <w:r w:rsidRPr="00255677">
        <w:rPr>
          <w:rStyle w:val="FootnoteReference"/>
          <w:rFonts w:ascii="Book Antiqua" w:hAnsi="Book Antiqua"/>
        </w:rPr>
        <w:footnoteRef/>
      </w:r>
      <w:r w:rsidRPr="00255677">
        <w:rPr>
          <w:rFonts w:ascii="Book Antiqua" w:hAnsi="Book Antiqua"/>
        </w:rPr>
        <w:t xml:space="preserve"> </w:t>
      </w:r>
      <w:r w:rsidRPr="00255677">
        <w:rPr>
          <w:rFonts w:ascii="Book Antiqua" w:hAnsi="Book Antiqua"/>
          <w:sz w:val="22"/>
          <w:szCs w:val="22"/>
        </w:rPr>
        <w:t>Transcript, at 16.</w:t>
      </w:r>
    </w:p>
  </w:footnote>
  <w:footnote w:id="7">
    <w:p w14:paraId="71F21991" w14:textId="77777777" w:rsidR="007168D6" w:rsidRDefault="007168D6">
      <w:pPr>
        <w:pStyle w:val="FootnoteText"/>
      </w:pPr>
      <w:r>
        <w:rPr>
          <w:rStyle w:val="FootnoteReference"/>
        </w:rPr>
        <w:footnoteRef/>
      </w:r>
      <w:r>
        <w:t xml:space="preserve"> </w:t>
      </w:r>
      <w:r w:rsidRPr="00255677">
        <w:rPr>
          <w:rFonts w:ascii="Book Antiqua" w:hAnsi="Book Antiqua"/>
          <w:iCs/>
          <w:sz w:val="20"/>
        </w:rPr>
        <w:t>Hearing Transcript at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F4D5" w14:textId="77777777" w:rsidR="00C47C2A" w:rsidRDefault="00C47C2A">
    <w:pPr>
      <w:pStyle w:val="Header"/>
      <w:rPr>
        <w:b/>
        <w:szCs w:val="24"/>
      </w:rPr>
    </w:pPr>
    <w:r>
      <w:t>Resolution ALJ-</w:t>
    </w:r>
    <w:proofErr w:type="gramStart"/>
    <w:r w:rsidR="00B170BB">
      <w:t>475</w:t>
    </w:r>
    <w:r>
      <w:t xml:space="preserve">  </w:t>
    </w:r>
    <w:r>
      <w:rPr>
        <w:szCs w:val="24"/>
      </w:rPr>
      <w:t>ALJ</w:t>
    </w:r>
    <w:proofErr w:type="gramEnd"/>
    <w:r>
      <w:rPr>
        <w:szCs w:val="24"/>
      </w:rPr>
      <w:t>/</w:t>
    </w:r>
    <w:r w:rsidR="00B170BB">
      <w:rPr>
        <w:szCs w:val="24"/>
      </w:rPr>
      <w:t>KK3/</w:t>
    </w:r>
    <w:proofErr w:type="spellStart"/>
    <w:r w:rsidR="00B170BB">
      <w:rPr>
        <w:szCs w:val="24"/>
      </w:rPr>
      <w:t>sgu</w:t>
    </w:r>
    <w:proofErr w:type="spellEnd"/>
    <w:r>
      <w:rPr>
        <w:szCs w:val="24"/>
      </w:rPr>
      <w:tab/>
    </w:r>
    <w:r>
      <w:rPr>
        <w:szCs w:val="24"/>
      </w:rPr>
      <w:tab/>
    </w:r>
    <w:r>
      <w:rPr>
        <w:b/>
        <w:szCs w:val="24"/>
      </w:rPr>
      <w:t>DRAFT</w:t>
    </w:r>
  </w:p>
  <w:p w14:paraId="1DDA621A" w14:textId="77777777" w:rsidR="00C47C2A" w:rsidRDefault="00C47C2A">
    <w:pPr>
      <w:pStyle w:val="Header"/>
    </w:pPr>
  </w:p>
  <w:p w14:paraId="5DF2474D" w14:textId="77777777" w:rsidR="00C47C2A" w:rsidRDefault="00C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801E" w14:textId="77777777" w:rsidR="00C47C2A" w:rsidRPr="00EF6622" w:rsidRDefault="00C47C2A">
    <w:pPr>
      <w:pStyle w:val="Header"/>
      <w:rPr>
        <w:b/>
        <w:sz w:val="26"/>
        <w:szCs w:val="26"/>
      </w:rPr>
    </w:pPr>
  </w:p>
  <w:p w14:paraId="6C84CB2C" w14:textId="77777777" w:rsidR="00C47C2A" w:rsidRDefault="00C47C2A">
    <w:pPr>
      <w:pStyle w:val="Header"/>
      <w:rPr>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DDCF" w14:textId="77777777" w:rsidR="008031E4" w:rsidRPr="00EF6622" w:rsidRDefault="008031E4" w:rsidP="00B170BB">
    <w:pPr>
      <w:pStyle w:val="Header"/>
      <w:tabs>
        <w:tab w:val="clear" w:pos="8640"/>
        <w:tab w:val="right" w:pos="9360"/>
      </w:tabs>
      <w:rPr>
        <w:b/>
        <w:sz w:val="26"/>
        <w:szCs w:val="26"/>
      </w:rPr>
    </w:pPr>
    <w:r w:rsidRPr="00EF6622">
      <w:rPr>
        <w:sz w:val="26"/>
        <w:szCs w:val="26"/>
      </w:rPr>
      <w:t>ALJ/</w:t>
    </w:r>
    <w:r>
      <w:rPr>
        <w:sz w:val="26"/>
        <w:szCs w:val="26"/>
      </w:rPr>
      <w:t>KK3/</w:t>
    </w:r>
    <w:proofErr w:type="spellStart"/>
    <w:r>
      <w:rPr>
        <w:sz w:val="26"/>
        <w:szCs w:val="26"/>
      </w:rPr>
      <w:t>sgu</w:t>
    </w:r>
    <w:proofErr w:type="spellEnd"/>
    <w:r w:rsidRPr="00EF6622">
      <w:rPr>
        <w:sz w:val="26"/>
        <w:szCs w:val="26"/>
      </w:rPr>
      <w:tab/>
    </w:r>
    <w:r w:rsidRPr="00EF6622">
      <w:rPr>
        <w:b/>
        <w:sz w:val="26"/>
        <w:szCs w:val="26"/>
      </w:rPr>
      <w:t>DRAFT</w:t>
    </w:r>
    <w:r w:rsidRPr="00EF6622">
      <w:rPr>
        <w:b/>
        <w:sz w:val="26"/>
        <w:szCs w:val="26"/>
      </w:rPr>
      <w:tab/>
      <w:t>Agenda ID #</w:t>
    </w:r>
    <w:r>
      <w:rPr>
        <w:b/>
        <w:sz w:val="26"/>
        <w:szCs w:val="26"/>
      </w:rPr>
      <w:t>23304</w:t>
    </w:r>
  </w:p>
  <w:p w14:paraId="301E4304" w14:textId="77777777" w:rsidR="008031E4" w:rsidRPr="00EF6622" w:rsidRDefault="008031E4">
    <w:pPr>
      <w:pStyle w:val="Header"/>
      <w:rPr>
        <w:b/>
        <w:sz w:val="26"/>
        <w:szCs w:val="26"/>
      </w:rPr>
    </w:pPr>
  </w:p>
  <w:p w14:paraId="13FDAAC0" w14:textId="77777777" w:rsidR="008031E4" w:rsidRDefault="008031E4">
    <w:pPr>
      <w:pStyle w:val="Header"/>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D576" w14:textId="77777777" w:rsidR="008031E4" w:rsidRPr="00E7690F" w:rsidRDefault="008031E4">
    <w:pPr>
      <w:jc w:val="center"/>
    </w:pPr>
    <w:r w:rsidRPr="00E7690F">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B42C" w14:textId="77777777" w:rsidR="008031E4" w:rsidRDefault="008031E4">
    <w:pPr>
      <w:pStyle w:val="Header"/>
      <w:rPr>
        <w:b/>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FEE1A" w14:textId="77777777" w:rsidR="008031E4" w:rsidRDefault="008031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69B8" w14:textId="63A6C64A" w:rsidR="008031E4" w:rsidRPr="00CE262E" w:rsidRDefault="008031E4" w:rsidP="00CE262E">
    <w:pPr>
      <w:pStyle w:val="Header"/>
    </w:pPr>
    <w:r>
      <w:t>Resolution ALJ-</w:t>
    </w:r>
    <w:proofErr w:type="gramStart"/>
    <w:r>
      <w:t xml:space="preserve">475  </w:t>
    </w:r>
    <w:r>
      <w:rPr>
        <w:szCs w:val="24"/>
      </w:rPr>
      <w:t>ALJ</w:t>
    </w:r>
    <w:proofErr w:type="gramEnd"/>
    <w:r>
      <w:rPr>
        <w:szCs w:val="24"/>
      </w:rPr>
      <w:t>/KK3/</w:t>
    </w:r>
    <w:proofErr w:type="spellStart"/>
    <w:r>
      <w:rPr>
        <w:szCs w:val="24"/>
      </w:rPr>
      <w:t>sgu</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CF0E" w14:textId="77777777" w:rsidR="008031E4" w:rsidRPr="00CE262E" w:rsidRDefault="008031E4" w:rsidP="008031E4">
    <w:pPr>
      <w:pStyle w:val="Header"/>
    </w:pPr>
    <w:r>
      <w:t>Resolution ALJ-</w:t>
    </w:r>
    <w:proofErr w:type="gramStart"/>
    <w:r>
      <w:t xml:space="preserve">475  </w:t>
    </w:r>
    <w:r>
      <w:rPr>
        <w:szCs w:val="24"/>
      </w:rPr>
      <w:t>ALJ</w:t>
    </w:r>
    <w:proofErr w:type="gramEnd"/>
    <w:r>
      <w:rPr>
        <w:szCs w:val="24"/>
      </w:rPr>
      <w:t>/KK3/</w:t>
    </w:r>
    <w:proofErr w:type="spellStart"/>
    <w:r>
      <w:rPr>
        <w:szCs w:val="24"/>
      </w:rPr>
      <w:t>sgu</w:t>
    </w:r>
    <w:proofErr w:type="spellEnd"/>
  </w:p>
  <w:p w14:paraId="32CD8228" w14:textId="1A40BDDF" w:rsidR="00923853" w:rsidRPr="007F6A57" w:rsidRDefault="00000000" w:rsidP="00717823">
    <w:pPr>
      <w:pStyle w:val="Header"/>
      <w:tabs>
        <w:tab w:val="clear" w:pos="4320"/>
        <w:tab w:val="clear" w:pos="8640"/>
        <w:tab w:val="center" w:pos="4680"/>
        <w:tab w:val="right" w:pos="9360"/>
      </w:tabs>
      <w:rPr>
        <w:b/>
        <w:szCs w:val="24"/>
      </w:rPr>
    </w:pPr>
    <w:r w:rsidRPr="007F6A57">
      <w:rPr>
        <w:szCs w:val="24"/>
      </w:rPr>
      <w:tab/>
    </w:r>
    <w:r>
      <w:rPr>
        <w:b/>
        <w:szCs w:val="24"/>
      </w:rPr>
      <w:tab/>
    </w:r>
  </w:p>
  <w:p w14:paraId="11070ACE" w14:textId="77777777" w:rsidR="00923853" w:rsidRPr="00717823" w:rsidRDefault="00923853" w:rsidP="00717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7DC0"/>
    <w:multiLevelType w:val="hybridMultilevel"/>
    <w:tmpl w:val="F37A382E"/>
    <w:lvl w:ilvl="0" w:tplc="8568470C">
      <w:start w:val="1"/>
      <w:numFmt w:val="decimal"/>
      <w:lvlText w:val="%1."/>
      <w:lvlJc w:val="left"/>
      <w:pPr>
        <w:ind w:left="102" w:hanging="353"/>
      </w:pPr>
      <w:rPr>
        <w:rFonts w:ascii="Book Antiqua" w:eastAsia="Book Antiqua" w:hAnsi="Book Antiqua" w:cs="Book Antiqua" w:hint="default"/>
        <w:b w:val="0"/>
        <w:bCs w:val="0"/>
        <w:i w:val="0"/>
        <w:iCs w:val="0"/>
        <w:spacing w:val="0"/>
        <w:w w:val="100"/>
        <w:sz w:val="24"/>
        <w:szCs w:val="24"/>
        <w:lang w:val="en-US" w:eastAsia="en-US" w:bidi="ar-SA"/>
      </w:rPr>
    </w:lvl>
    <w:lvl w:ilvl="1" w:tplc="0A7CA06A">
      <w:numFmt w:val="bullet"/>
      <w:lvlText w:val="•"/>
      <w:lvlJc w:val="left"/>
      <w:pPr>
        <w:ind w:left="1048" w:hanging="353"/>
      </w:pPr>
      <w:rPr>
        <w:rFonts w:hint="default"/>
        <w:lang w:val="en-US" w:eastAsia="en-US" w:bidi="ar-SA"/>
      </w:rPr>
    </w:lvl>
    <w:lvl w:ilvl="2" w:tplc="A89E5D90">
      <w:numFmt w:val="bullet"/>
      <w:lvlText w:val="•"/>
      <w:lvlJc w:val="left"/>
      <w:pPr>
        <w:ind w:left="1996" w:hanging="353"/>
      </w:pPr>
      <w:rPr>
        <w:rFonts w:hint="default"/>
        <w:lang w:val="en-US" w:eastAsia="en-US" w:bidi="ar-SA"/>
      </w:rPr>
    </w:lvl>
    <w:lvl w:ilvl="3" w:tplc="DC72AF70">
      <w:numFmt w:val="bullet"/>
      <w:lvlText w:val="•"/>
      <w:lvlJc w:val="left"/>
      <w:pPr>
        <w:ind w:left="2944" w:hanging="353"/>
      </w:pPr>
      <w:rPr>
        <w:rFonts w:hint="default"/>
        <w:lang w:val="en-US" w:eastAsia="en-US" w:bidi="ar-SA"/>
      </w:rPr>
    </w:lvl>
    <w:lvl w:ilvl="4" w:tplc="09881746">
      <w:numFmt w:val="bullet"/>
      <w:lvlText w:val="•"/>
      <w:lvlJc w:val="left"/>
      <w:pPr>
        <w:ind w:left="3892" w:hanging="353"/>
      </w:pPr>
      <w:rPr>
        <w:rFonts w:hint="default"/>
        <w:lang w:val="en-US" w:eastAsia="en-US" w:bidi="ar-SA"/>
      </w:rPr>
    </w:lvl>
    <w:lvl w:ilvl="5" w:tplc="583A1084">
      <w:numFmt w:val="bullet"/>
      <w:lvlText w:val="•"/>
      <w:lvlJc w:val="left"/>
      <w:pPr>
        <w:ind w:left="4840" w:hanging="353"/>
      </w:pPr>
      <w:rPr>
        <w:rFonts w:hint="default"/>
        <w:lang w:val="en-US" w:eastAsia="en-US" w:bidi="ar-SA"/>
      </w:rPr>
    </w:lvl>
    <w:lvl w:ilvl="6" w:tplc="1616CB58">
      <w:numFmt w:val="bullet"/>
      <w:lvlText w:val="•"/>
      <w:lvlJc w:val="left"/>
      <w:pPr>
        <w:ind w:left="5788" w:hanging="353"/>
      </w:pPr>
      <w:rPr>
        <w:rFonts w:hint="default"/>
        <w:lang w:val="en-US" w:eastAsia="en-US" w:bidi="ar-SA"/>
      </w:rPr>
    </w:lvl>
    <w:lvl w:ilvl="7" w:tplc="AACCD286">
      <w:numFmt w:val="bullet"/>
      <w:lvlText w:val="•"/>
      <w:lvlJc w:val="left"/>
      <w:pPr>
        <w:ind w:left="6736" w:hanging="353"/>
      </w:pPr>
      <w:rPr>
        <w:rFonts w:hint="default"/>
        <w:lang w:val="en-US" w:eastAsia="en-US" w:bidi="ar-SA"/>
      </w:rPr>
    </w:lvl>
    <w:lvl w:ilvl="8" w:tplc="FE34AB00">
      <w:numFmt w:val="bullet"/>
      <w:lvlText w:val="•"/>
      <w:lvlJc w:val="left"/>
      <w:pPr>
        <w:ind w:left="7684" w:hanging="353"/>
      </w:pPr>
      <w:rPr>
        <w:rFonts w:hint="default"/>
        <w:lang w:val="en-US" w:eastAsia="en-US" w:bidi="ar-SA"/>
      </w:rPr>
    </w:lvl>
  </w:abstractNum>
  <w:abstractNum w:abstractNumId="1" w15:restartNumberingAfterBreak="0">
    <w:nsid w:val="2CB317D5"/>
    <w:multiLevelType w:val="hybridMultilevel"/>
    <w:tmpl w:val="94AE3A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972EC5"/>
    <w:multiLevelType w:val="hybridMultilevel"/>
    <w:tmpl w:val="ED86BEFA"/>
    <w:lvl w:ilvl="0" w:tplc="FFFFFFFF">
      <w:start w:val="1"/>
      <w:numFmt w:val="upperLetter"/>
      <w:lvlText w:val="%1."/>
      <w:lvlJc w:val="left"/>
      <w:pPr>
        <w:ind w:left="823" w:hanging="353"/>
      </w:pPr>
      <w:rPr>
        <w:rFonts w:hint="default"/>
        <w:spacing w:val="0"/>
        <w:w w:val="100"/>
        <w:lang w:val="en-US" w:eastAsia="en-US" w:bidi="ar-SA"/>
      </w:rPr>
    </w:lvl>
    <w:lvl w:ilvl="1" w:tplc="FFFFFFFF">
      <w:numFmt w:val="bullet"/>
      <w:lvlText w:val="•"/>
      <w:lvlJc w:val="left"/>
      <w:pPr>
        <w:ind w:left="1696" w:hanging="353"/>
      </w:pPr>
      <w:rPr>
        <w:rFonts w:hint="default"/>
        <w:lang w:val="en-US" w:eastAsia="en-US" w:bidi="ar-SA"/>
      </w:rPr>
    </w:lvl>
    <w:lvl w:ilvl="2" w:tplc="FFFFFFFF">
      <w:numFmt w:val="bullet"/>
      <w:lvlText w:val="•"/>
      <w:lvlJc w:val="left"/>
      <w:pPr>
        <w:ind w:left="2572" w:hanging="353"/>
      </w:pPr>
      <w:rPr>
        <w:rFonts w:hint="default"/>
        <w:lang w:val="en-US" w:eastAsia="en-US" w:bidi="ar-SA"/>
      </w:rPr>
    </w:lvl>
    <w:lvl w:ilvl="3" w:tplc="FFFFFFFF">
      <w:numFmt w:val="bullet"/>
      <w:lvlText w:val="•"/>
      <w:lvlJc w:val="left"/>
      <w:pPr>
        <w:ind w:left="3448" w:hanging="353"/>
      </w:pPr>
      <w:rPr>
        <w:rFonts w:hint="default"/>
        <w:lang w:val="en-US" w:eastAsia="en-US" w:bidi="ar-SA"/>
      </w:rPr>
    </w:lvl>
    <w:lvl w:ilvl="4" w:tplc="FFFFFFFF">
      <w:numFmt w:val="bullet"/>
      <w:lvlText w:val="•"/>
      <w:lvlJc w:val="left"/>
      <w:pPr>
        <w:ind w:left="4324" w:hanging="353"/>
      </w:pPr>
      <w:rPr>
        <w:rFonts w:hint="default"/>
        <w:lang w:val="en-US" w:eastAsia="en-US" w:bidi="ar-SA"/>
      </w:rPr>
    </w:lvl>
    <w:lvl w:ilvl="5" w:tplc="FFFFFFFF">
      <w:numFmt w:val="bullet"/>
      <w:lvlText w:val="•"/>
      <w:lvlJc w:val="left"/>
      <w:pPr>
        <w:ind w:left="5200" w:hanging="353"/>
      </w:pPr>
      <w:rPr>
        <w:rFonts w:hint="default"/>
        <w:lang w:val="en-US" w:eastAsia="en-US" w:bidi="ar-SA"/>
      </w:rPr>
    </w:lvl>
    <w:lvl w:ilvl="6" w:tplc="FFFFFFFF">
      <w:numFmt w:val="bullet"/>
      <w:lvlText w:val="•"/>
      <w:lvlJc w:val="left"/>
      <w:pPr>
        <w:ind w:left="6076" w:hanging="353"/>
      </w:pPr>
      <w:rPr>
        <w:rFonts w:hint="default"/>
        <w:lang w:val="en-US" w:eastAsia="en-US" w:bidi="ar-SA"/>
      </w:rPr>
    </w:lvl>
    <w:lvl w:ilvl="7" w:tplc="FFFFFFFF">
      <w:numFmt w:val="bullet"/>
      <w:lvlText w:val="•"/>
      <w:lvlJc w:val="left"/>
      <w:pPr>
        <w:ind w:left="6952" w:hanging="353"/>
      </w:pPr>
      <w:rPr>
        <w:rFonts w:hint="default"/>
        <w:lang w:val="en-US" w:eastAsia="en-US" w:bidi="ar-SA"/>
      </w:rPr>
    </w:lvl>
    <w:lvl w:ilvl="8" w:tplc="FFFFFFFF">
      <w:numFmt w:val="bullet"/>
      <w:lvlText w:val="•"/>
      <w:lvlJc w:val="left"/>
      <w:pPr>
        <w:ind w:left="7828" w:hanging="353"/>
      </w:pPr>
      <w:rPr>
        <w:rFonts w:hint="default"/>
        <w:lang w:val="en-US" w:eastAsia="en-US" w:bidi="ar-SA"/>
      </w:rPr>
    </w:lvl>
  </w:abstractNum>
  <w:abstractNum w:abstractNumId="3" w15:restartNumberingAfterBreak="0">
    <w:nsid w:val="3885759F"/>
    <w:multiLevelType w:val="hybridMultilevel"/>
    <w:tmpl w:val="8626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E4F88"/>
    <w:multiLevelType w:val="hybridMultilevel"/>
    <w:tmpl w:val="92065E66"/>
    <w:lvl w:ilvl="0" w:tplc="E6AA93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B14BD5"/>
    <w:multiLevelType w:val="hybridMultilevel"/>
    <w:tmpl w:val="02A6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51EFE"/>
    <w:multiLevelType w:val="hybridMultilevel"/>
    <w:tmpl w:val="2F460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D34D7"/>
    <w:multiLevelType w:val="hybridMultilevel"/>
    <w:tmpl w:val="BA8C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C3FFC"/>
    <w:multiLevelType w:val="hybridMultilevel"/>
    <w:tmpl w:val="E360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F14D2"/>
    <w:multiLevelType w:val="hybridMultilevel"/>
    <w:tmpl w:val="ED86BEFA"/>
    <w:lvl w:ilvl="0" w:tplc="31E22192">
      <w:start w:val="1"/>
      <w:numFmt w:val="upperLetter"/>
      <w:lvlText w:val="%1."/>
      <w:lvlJc w:val="left"/>
      <w:pPr>
        <w:ind w:left="823" w:hanging="353"/>
      </w:pPr>
      <w:rPr>
        <w:rFonts w:hint="default"/>
        <w:spacing w:val="0"/>
        <w:w w:val="100"/>
        <w:lang w:val="en-US" w:eastAsia="en-US" w:bidi="ar-SA"/>
      </w:rPr>
    </w:lvl>
    <w:lvl w:ilvl="1" w:tplc="3BA6A212">
      <w:numFmt w:val="bullet"/>
      <w:lvlText w:val="•"/>
      <w:lvlJc w:val="left"/>
      <w:pPr>
        <w:ind w:left="1696" w:hanging="353"/>
      </w:pPr>
      <w:rPr>
        <w:rFonts w:hint="default"/>
        <w:lang w:val="en-US" w:eastAsia="en-US" w:bidi="ar-SA"/>
      </w:rPr>
    </w:lvl>
    <w:lvl w:ilvl="2" w:tplc="04988A6E">
      <w:numFmt w:val="bullet"/>
      <w:lvlText w:val="•"/>
      <w:lvlJc w:val="left"/>
      <w:pPr>
        <w:ind w:left="2572" w:hanging="353"/>
      </w:pPr>
      <w:rPr>
        <w:rFonts w:hint="default"/>
        <w:lang w:val="en-US" w:eastAsia="en-US" w:bidi="ar-SA"/>
      </w:rPr>
    </w:lvl>
    <w:lvl w:ilvl="3" w:tplc="2FC63462">
      <w:numFmt w:val="bullet"/>
      <w:lvlText w:val="•"/>
      <w:lvlJc w:val="left"/>
      <w:pPr>
        <w:ind w:left="3448" w:hanging="353"/>
      </w:pPr>
      <w:rPr>
        <w:rFonts w:hint="default"/>
        <w:lang w:val="en-US" w:eastAsia="en-US" w:bidi="ar-SA"/>
      </w:rPr>
    </w:lvl>
    <w:lvl w:ilvl="4" w:tplc="F550A9FA">
      <w:numFmt w:val="bullet"/>
      <w:lvlText w:val="•"/>
      <w:lvlJc w:val="left"/>
      <w:pPr>
        <w:ind w:left="4324" w:hanging="353"/>
      </w:pPr>
      <w:rPr>
        <w:rFonts w:hint="default"/>
        <w:lang w:val="en-US" w:eastAsia="en-US" w:bidi="ar-SA"/>
      </w:rPr>
    </w:lvl>
    <w:lvl w:ilvl="5" w:tplc="64E873BE">
      <w:numFmt w:val="bullet"/>
      <w:lvlText w:val="•"/>
      <w:lvlJc w:val="left"/>
      <w:pPr>
        <w:ind w:left="5200" w:hanging="353"/>
      </w:pPr>
      <w:rPr>
        <w:rFonts w:hint="default"/>
        <w:lang w:val="en-US" w:eastAsia="en-US" w:bidi="ar-SA"/>
      </w:rPr>
    </w:lvl>
    <w:lvl w:ilvl="6" w:tplc="9C7E0A14">
      <w:numFmt w:val="bullet"/>
      <w:lvlText w:val="•"/>
      <w:lvlJc w:val="left"/>
      <w:pPr>
        <w:ind w:left="6076" w:hanging="353"/>
      </w:pPr>
      <w:rPr>
        <w:rFonts w:hint="default"/>
        <w:lang w:val="en-US" w:eastAsia="en-US" w:bidi="ar-SA"/>
      </w:rPr>
    </w:lvl>
    <w:lvl w:ilvl="7" w:tplc="0AD019A8">
      <w:numFmt w:val="bullet"/>
      <w:lvlText w:val="•"/>
      <w:lvlJc w:val="left"/>
      <w:pPr>
        <w:ind w:left="6952" w:hanging="353"/>
      </w:pPr>
      <w:rPr>
        <w:rFonts w:hint="default"/>
        <w:lang w:val="en-US" w:eastAsia="en-US" w:bidi="ar-SA"/>
      </w:rPr>
    </w:lvl>
    <w:lvl w:ilvl="8" w:tplc="86A029CA">
      <w:numFmt w:val="bullet"/>
      <w:lvlText w:val="•"/>
      <w:lvlJc w:val="left"/>
      <w:pPr>
        <w:ind w:left="7828" w:hanging="353"/>
      </w:pPr>
      <w:rPr>
        <w:rFonts w:hint="default"/>
        <w:lang w:val="en-US" w:eastAsia="en-US" w:bidi="ar-SA"/>
      </w:rPr>
    </w:lvl>
  </w:abstractNum>
  <w:abstractNum w:abstractNumId="10" w15:restartNumberingAfterBreak="0">
    <w:nsid w:val="7C57797B"/>
    <w:multiLevelType w:val="hybridMultilevel"/>
    <w:tmpl w:val="732A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795861">
    <w:abstractNumId w:val="4"/>
  </w:num>
  <w:num w:numId="2" w16cid:durableId="1616404950">
    <w:abstractNumId w:val="8"/>
  </w:num>
  <w:num w:numId="3" w16cid:durableId="683476126">
    <w:abstractNumId w:val="3"/>
  </w:num>
  <w:num w:numId="4" w16cid:durableId="1257860255">
    <w:abstractNumId w:val="10"/>
  </w:num>
  <w:num w:numId="5" w16cid:durableId="1900699915">
    <w:abstractNumId w:val="9"/>
  </w:num>
  <w:num w:numId="6" w16cid:durableId="801457720">
    <w:abstractNumId w:val="2"/>
  </w:num>
  <w:num w:numId="7" w16cid:durableId="62139685">
    <w:abstractNumId w:val="6"/>
  </w:num>
  <w:num w:numId="8" w16cid:durableId="716702572">
    <w:abstractNumId w:val="7"/>
  </w:num>
  <w:num w:numId="9" w16cid:durableId="1870298440">
    <w:abstractNumId w:val="1"/>
  </w:num>
  <w:num w:numId="10" w16cid:durableId="2040202629">
    <w:abstractNumId w:val="0"/>
  </w:num>
  <w:num w:numId="11" w16cid:durableId="1608393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F9"/>
    <w:rsid w:val="00005A51"/>
    <w:rsid w:val="00024380"/>
    <w:rsid w:val="00025503"/>
    <w:rsid w:val="000274DE"/>
    <w:rsid w:val="00030BA3"/>
    <w:rsid w:val="00034C01"/>
    <w:rsid w:val="00037925"/>
    <w:rsid w:val="00041C0A"/>
    <w:rsid w:val="000A4E49"/>
    <w:rsid w:val="000B000A"/>
    <w:rsid w:val="000F1BB0"/>
    <w:rsid w:val="00105F1A"/>
    <w:rsid w:val="00155A9A"/>
    <w:rsid w:val="00156AF4"/>
    <w:rsid w:val="0019188C"/>
    <w:rsid w:val="002103EA"/>
    <w:rsid w:val="0024647B"/>
    <w:rsid w:val="00255677"/>
    <w:rsid w:val="0025605B"/>
    <w:rsid w:val="00293C57"/>
    <w:rsid w:val="00296B48"/>
    <w:rsid w:val="002C471D"/>
    <w:rsid w:val="002D5FD1"/>
    <w:rsid w:val="002E6A76"/>
    <w:rsid w:val="003C67B1"/>
    <w:rsid w:val="004628F9"/>
    <w:rsid w:val="00472C68"/>
    <w:rsid w:val="004831E5"/>
    <w:rsid w:val="00484276"/>
    <w:rsid w:val="00491D84"/>
    <w:rsid w:val="00494AF0"/>
    <w:rsid w:val="004E5E1F"/>
    <w:rsid w:val="004E7748"/>
    <w:rsid w:val="004F3C61"/>
    <w:rsid w:val="00552742"/>
    <w:rsid w:val="00563885"/>
    <w:rsid w:val="005A0CBC"/>
    <w:rsid w:val="005A4B77"/>
    <w:rsid w:val="005B0CBB"/>
    <w:rsid w:val="005C33CA"/>
    <w:rsid w:val="005C6A35"/>
    <w:rsid w:val="006013C6"/>
    <w:rsid w:val="00632004"/>
    <w:rsid w:val="00640429"/>
    <w:rsid w:val="00641855"/>
    <w:rsid w:val="00655B0B"/>
    <w:rsid w:val="00690800"/>
    <w:rsid w:val="006A220A"/>
    <w:rsid w:val="006B11CD"/>
    <w:rsid w:val="006F21B9"/>
    <w:rsid w:val="007112D4"/>
    <w:rsid w:val="007168D6"/>
    <w:rsid w:val="00735B5C"/>
    <w:rsid w:val="00747B05"/>
    <w:rsid w:val="00760409"/>
    <w:rsid w:val="007721F8"/>
    <w:rsid w:val="00790787"/>
    <w:rsid w:val="00792147"/>
    <w:rsid w:val="007D76B9"/>
    <w:rsid w:val="007F37D4"/>
    <w:rsid w:val="008012D1"/>
    <w:rsid w:val="008031E4"/>
    <w:rsid w:val="00827B2F"/>
    <w:rsid w:val="00854B81"/>
    <w:rsid w:val="00855A5E"/>
    <w:rsid w:val="008B6F04"/>
    <w:rsid w:val="008C26BE"/>
    <w:rsid w:val="008C3ACC"/>
    <w:rsid w:val="008C777A"/>
    <w:rsid w:val="00905FE6"/>
    <w:rsid w:val="00923853"/>
    <w:rsid w:val="009A04C3"/>
    <w:rsid w:val="009A7A31"/>
    <w:rsid w:val="009B789A"/>
    <w:rsid w:val="009E5E16"/>
    <w:rsid w:val="009F1FE2"/>
    <w:rsid w:val="009F2A29"/>
    <w:rsid w:val="009F4DDD"/>
    <w:rsid w:val="00A45E5A"/>
    <w:rsid w:val="00A624A0"/>
    <w:rsid w:val="00A90E83"/>
    <w:rsid w:val="00AD4DD8"/>
    <w:rsid w:val="00B04E68"/>
    <w:rsid w:val="00B170BB"/>
    <w:rsid w:val="00B259DB"/>
    <w:rsid w:val="00B60789"/>
    <w:rsid w:val="00B778C1"/>
    <w:rsid w:val="00BA33CF"/>
    <w:rsid w:val="00BA36EF"/>
    <w:rsid w:val="00C078A1"/>
    <w:rsid w:val="00C40156"/>
    <w:rsid w:val="00C47C2A"/>
    <w:rsid w:val="00C5447F"/>
    <w:rsid w:val="00C64183"/>
    <w:rsid w:val="00C64448"/>
    <w:rsid w:val="00C85090"/>
    <w:rsid w:val="00C8751F"/>
    <w:rsid w:val="00C94CA3"/>
    <w:rsid w:val="00CA5DCC"/>
    <w:rsid w:val="00CB590C"/>
    <w:rsid w:val="00D0406C"/>
    <w:rsid w:val="00D25650"/>
    <w:rsid w:val="00D77FAF"/>
    <w:rsid w:val="00D818B9"/>
    <w:rsid w:val="00DA6F50"/>
    <w:rsid w:val="00DC4C92"/>
    <w:rsid w:val="00DE079B"/>
    <w:rsid w:val="00E16208"/>
    <w:rsid w:val="00E2430D"/>
    <w:rsid w:val="00E65018"/>
    <w:rsid w:val="00EA08BA"/>
    <w:rsid w:val="00EC29FD"/>
    <w:rsid w:val="00EC7EA2"/>
    <w:rsid w:val="00EE46CA"/>
    <w:rsid w:val="00EF6622"/>
    <w:rsid w:val="00F45F2B"/>
    <w:rsid w:val="00FC0794"/>
    <w:rsid w:val="00FC769C"/>
    <w:rsid w:val="00FE3F38"/>
    <w:rsid w:val="00F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A25C1"/>
  <w15:chartTrackingRefBased/>
  <w15:docId w15:val="{5DDEC0E5-43B0-451F-A98F-00FFE7EE1A9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paragraph" w:styleId="Heading1">
    <w:name w:val="heading 1"/>
    <w:basedOn w:val="Normal"/>
    <w:next w:val="Normal"/>
    <w:link w:val="Heading1Char"/>
    <w:qFormat/>
    <w:rsid w:val="00472C68"/>
    <w:pPr>
      <w:keepNext/>
      <w:spacing w:before="240" w:after="60"/>
      <w:outlineLvl w:val="0"/>
    </w:pPr>
    <w:rPr>
      <w:rFonts w:ascii="Aptos Display" w:hAnsi="Aptos Display"/>
      <w:b/>
      <w:bCs/>
      <w:kern w:val="32"/>
      <w:sz w:val="32"/>
      <w:szCs w:val="32"/>
    </w:rPr>
  </w:style>
  <w:style w:type="paragraph" w:styleId="Heading2">
    <w:name w:val="heading 2"/>
    <w:basedOn w:val="Normal"/>
    <w:link w:val="Heading2Char"/>
    <w:uiPriority w:val="9"/>
    <w:unhideWhenUsed/>
    <w:qFormat/>
    <w:rsid w:val="00472C68"/>
    <w:pPr>
      <w:widowControl w:val="0"/>
      <w:autoSpaceDE w:val="0"/>
      <w:autoSpaceDN w:val="0"/>
      <w:ind w:left="821" w:hanging="351"/>
      <w:outlineLvl w:val="1"/>
    </w:pPr>
    <w:rPr>
      <w:rFonts w:ascii="Book Antiqua" w:eastAsia="Book Antiqua" w:hAnsi="Book Antiqua" w:cs="Book Antiqua"/>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Revision">
    <w:name w:val="Revision"/>
    <w:hidden/>
    <w:uiPriority w:val="99"/>
    <w:semiHidden/>
    <w:rsid w:val="008C3ACC"/>
    <w:rPr>
      <w:rFonts w:ascii="Palatino" w:hAnsi="Palatino"/>
      <w:sz w:val="24"/>
    </w:rPr>
  </w:style>
  <w:style w:type="character" w:styleId="Hyperlink">
    <w:name w:val="Hyperlink"/>
    <w:unhideWhenUsed/>
    <w:rsid w:val="004E5E1F"/>
    <w:rPr>
      <w:color w:val="0000FF"/>
      <w:u w:val="single"/>
    </w:rPr>
  </w:style>
  <w:style w:type="character" w:customStyle="1" w:styleId="FootnoteTextChar">
    <w:name w:val="Footnote Text Char"/>
    <w:link w:val="FootnoteText"/>
    <w:semiHidden/>
    <w:rsid w:val="004E5E1F"/>
    <w:rPr>
      <w:rFonts w:ascii="Palatino" w:hAnsi="Palatino"/>
      <w:sz w:val="24"/>
    </w:rPr>
  </w:style>
  <w:style w:type="paragraph" w:styleId="BodyText">
    <w:name w:val="Body Text"/>
    <w:basedOn w:val="Normal"/>
    <w:link w:val="BodyTextChar"/>
    <w:uiPriority w:val="1"/>
    <w:qFormat/>
    <w:rsid w:val="00472C68"/>
    <w:pPr>
      <w:widowControl w:val="0"/>
      <w:autoSpaceDE w:val="0"/>
      <w:autoSpaceDN w:val="0"/>
    </w:pPr>
    <w:rPr>
      <w:rFonts w:ascii="Book Antiqua" w:eastAsia="Book Antiqua" w:hAnsi="Book Antiqua" w:cs="Book Antiqua"/>
      <w:szCs w:val="24"/>
    </w:rPr>
  </w:style>
  <w:style w:type="character" w:customStyle="1" w:styleId="BodyTextChar">
    <w:name w:val="Body Text Char"/>
    <w:link w:val="BodyText"/>
    <w:uiPriority w:val="1"/>
    <w:rsid w:val="00472C68"/>
    <w:rPr>
      <w:rFonts w:ascii="Book Antiqua" w:eastAsia="Book Antiqua" w:hAnsi="Book Antiqua" w:cs="Book Antiqua"/>
      <w:sz w:val="24"/>
      <w:szCs w:val="24"/>
    </w:rPr>
  </w:style>
  <w:style w:type="character" w:customStyle="1" w:styleId="Heading2Char">
    <w:name w:val="Heading 2 Char"/>
    <w:link w:val="Heading2"/>
    <w:uiPriority w:val="9"/>
    <w:rsid w:val="00472C68"/>
    <w:rPr>
      <w:rFonts w:ascii="Book Antiqua" w:eastAsia="Book Antiqua" w:hAnsi="Book Antiqua" w:cs="Book Antiqua"/>
      <w:b/>
      <w:bCs/>
      <w:sz w:val="24"/>
      <w:szCs w:val="24"/>
    </w:rPr>
  </w:style>
  <w:style w:type="character" w:customStyle="1" w:styleId="Heading1Char">
    <w:name w:val="Heading 1 Char"/>
    <w:link w:val="Heading1"/>
    <w:rsid w:val="00472C68"/>
    <w:rPr>
      <w:rFonts w:ascii="Aptos Display" w:eastAsia="Times New Roman" w:hAnsi="Aptos Display" w:cs="Times New Roman"/>
      <w:b/>
      <w:bCs/>
      <w:kern w:val="32"/>
      <w:sz w:val="32"/>
      <w:szCs w:val="32"/>
    </w:rPr>
  </w:style>
  <w:style w:type="paragraph" w:styleId="ListParagraph">
    <w:name w:val="List Paragraph"/>
    <w:basedOn w:val="Normal"/>
    <w:uiPriority w:val="1"/>
    <w:qFormat/>
    <w:rsid w:val="008B6F04"/>
    <w:pPr>
      <w:ind w:left="720"/>
    </w:pPr>
  </w:style>
  <w:style w:type="character" w:styleId="CommentReference">
    <w:name w:val="annotation reference"/>
    <w:rsid w:val="009F4DDD"/>
    <w:rPr>
      <w:sz w:val="16"/>
      <w:szCs w:val="16"/>
    </w:rPr>
  </w:style>
  <w:style w:type="paragraph" w:styleId="CommentText">
    <w:name w:val="annotation text"/>
    <w:basedOn w:val="Normal"/>
    <w:link w:val="CommentTextChar"/>
    <w:rsid w:val="009F4DDD"/>
    <w:rPr>
      <w:sz w:val="20"/>
    </w:rPr>
  </w:style>
  <w:style w:type="character" w:customStyle="1" w:styleId="CommentTextChar">
    <w:name w:val="Comment Text Char"/>
    <w:link w:val="CommentText"/>
    <w:rsid w:val="009F4DDD"/>
    <w:rPr>
      <w:rFonts w:ascii="Palatino" w:hAnsi="Palatino"/>
    </w:rPr>
  </w:style>
  <w:style w:type="paragraph" w:styleId="CommentSubject">
    <w:name w:val="annotation subject"/>
    <w:basedOn w:val="CommentText"/>
    <w:next w:val="CommentText"/>
    <w:link w:val="CommentSubjectChar"/>
    <w:rsid w:val="009F4DDD"/>
    <w:rPr>
      <w:b/>
      <w:bCs/>
    </w:rPr>
  </w:style>
  <w:style w:type="character" w:customStyle="1" w:styleId="CommentSubjectChar">
    <w:name w:val="Comment Subject Char"/>
    <w:link w:val="CommentSubject"/>
    <w:rsid w:val="009F4DDD"/>
    <w:rPr>
      <w:rFonts w:ascii="Palatino" w:hAnsi="Palatino"/>
      <w:b/>
      <w:bCs/>
    </w:rPr>
  </w:style>
  <w:style w:type="character" w:customStyle="1" w:styleId="FooterChar">
    <w:name w:val="Footer Char"/>
    <w:link w:val="Footer"/>
    <w:uiPriority w:val="99"/>
    <w:rsid w:val="00B170BB"/>
    <w:rPr>
      <w:rFonts w:ascii="Palatino" w:hAnsi="Palatino"/>
      <w:sz w:val="24"/>
    </w:rPr>
  </w:style>
  <w:style w:type="paragraph" w:customStyle="1" w:styleId="Default">
    <w:name w:val="Default"/>
    <w:rsid w:val="008031E4"/>
    <w:pPr>
      <w:autoSpaceDE w:val="0"/>
      <w:autoSpaceDN w:val="0"/>
      <w:adjustRightInd w:val="0"/>
    </w:pPr>
    <w:rPr>
      <w:rFonts w:ascii="Book Antiqua" w:eastAsia="Calibri" w:hAnsi="Book Antiqua" w:cs="Book Antiqua"/>
      <w:color w:val="000000"/>
      <w:sz w:val="24"/>
      <w:szCs w:val="24"/>
    </w:rPr>
  </w:style>
  <w:style w:type="character" w:customStyle="1" w:styleId="HeaderChar">
    <w:name w:val="Header Char"/>
    <w:basedOn w:val="DefaultParagraphFont"/>
    <w:link w:val="Header"/>
    <w:rsid w:val="008031E4"/>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 w:id="1561206328">
      <w:bodyDiv w:val="1"/>
      <w:marLeft w:val="0"/>
      <w:marRight w:val="0"/>
      <w:marTop w:val="0"/>
      <w:marBottom w:val="0"/>
      <w:divBdr>
        <w:top w:val="none" w:sz="0" w:space="0" w:color="auto"/>
        <w:left w:val="none" w:sz="0" w:space="0" w:color="auto"/>
        <w:bottom w:val="none" w:sz="0" w:space="0" w:color="auto"/>
        <w:right w:val="none" w:sz="0" w:space="0" w:color="auto"/>
      </w:divBdr>
      <w:divsChild>
        <w:div w:id="557519530">
          <w:marLeft w:val="0"/>
          <w:marRight w:val="0"/>
          <w:marTop w:val="0"/>
          <w:marBottom w:val="0"/>
          <w:divBdr>
            <w:top w:val="none" w:sz="0" w:space="0" w:color="auto"/>
            <w:left w:val="none" w:sz="0" w:space="0" w:color="auto"/>
            <w:bottom w:val="none" w:sz="0" w:space="0" w:color="auto"/>
            <w:right w:val="none" w:sz="0" w:space="0" w:color="auto"/>
          </w:divBdr>
        </w:div>
        <w:div w:id="1690571418">
          <w:marLeft w:val="0"/>
          <w:marRight w:val="0"/>
          <w:marTop w:val="0"/>
          <w:marBottom w:val="0"/>
          <w:divBdr>
            <w:top w:val="none" w:sz="0" w:space="0" w:color="auto"/>
            <w:left w:val="none" w:sz="0" w:space="0" w:color="auto"/>
            <w:bottom w:val="none" w:sz="0" w:space="0" w:color="auto"/>
            <w:right w:val="none" w:sz="0" w:space="0" w:color="auto"/>
          </w:divBdr>
          <w:divsChild>
            <w:div w:id="852299930">
              <w:marLeft w:val="0"/>
              <w:marRight w:val="0"/>
              <w:marTop w:val="0"/>
              <w:marBottom w:val="0"/>
              <w:divBdr>
                <w:top w:val="none" w:sz="0" w:space="0" w:color="auto"/>
                <w:left w:val="none" w:sz="0" w:space="0" w:color="auto"/>
                <w:bottom w:val="none" w:sz="0" w:space="0" w:color="auto"/>
                <w:right w:val="none" w:sz="0" w:space="0" w:color="auto"/>
              </w:divBdr>
              <w:divsChild>
                <w:div w:id="1719430907">
                  <w:marLeft w:val="0"/>
                  <w:marRight w:val="0"/>
                  <w:marTop w:val="0"/>
                  <w:marBottom w:val="0"/>
                  <w:divBdr>
                    <w:top w:val="none" w:sz="0" w:space="0" w:color="auto"/>
                    <w:left w:val="none" w:sz="0" w:space="0" w:color="auto"/>
                    <w:bottom w:val="none" w:sz="0" w:space="0" w:color="auto"/>
                    <w:right w:val="none" w:sz="0" w:space="0" w:color="auto"/>
                  </w:divBdr>
                  <w:divsChild>
                    <w:div w:id="515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peter.wercinski@cpuc.ca.gov"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cpuc.ca.gov/SearchRes.aspx?DocTypeID=9&amp;Latest=1"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7e321c-44a6-4cb5-81f0-0bfd95ece253">
      <Terms xmlns="http://schemas.microsoft.com/office/infopath/2007/PartnerControls"/>
    </lcf76f155ced4ddcb4097134ff3c332f>
    <TaxCatchAll xmlns="40c2bee6-72d2-4c4b-bbf2-19a97524882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C9FE-79EF-49E9-9068-34E9CCBBFFE5}">
  <ds:schemaRefs>
    <ds:schemaRef ds:uri="http://schemas.microsoft.com/office/2006/metadata/properties"/>
    <ds:schemaRef ds:uri="http://schemas.microsoft.com/office/infopath/2007/PartnerControls"/>
    <ds:schemaRef ds:uri="ef7e321c-44a6-4cb5-81f0-0bfd95ece253"/>
    <ds:schemaRef ds:uri="40c2bee6-72d2-4c4b-bbf2-19a975248824"/>
  </ds:schemaRefs>
</ds:datastoreItem>
</file>

<file path=customXml/itemProps2.xml><?xml version="1.0" encoding="utf-8"?>
<ds:datastoreItem xmlns:ds="http://schemas.openxmlformats.org/officeDocument/2006/customXml" ds:itemID="{10CE2945-4A97-44CB-98F9-A39DB101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7D2AD-52FD-4B64-AA1C-06D9C698F2E8}">
  <ds:schemaRefs>
    <ds:schemaRef ds:uri="http://schemas.microsoft.com/sharepoint/v3/contenttype/forms"/>
  </ds:schemaRefs>
</ds:datastoreItem>
</file>

<file path=customXml/itemProps4.xml><?xml version="1.0" encoding="utf-8"?>
<ds:datastoreItem xmlns:ds="http://schemas.openxmlformats.org/officeDocument/2006/customXml" ds:itemID="{88D131DB-0DEA-4492-9FD3-3B3E5248382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2548</ap:Words>
  <ap:Characters>14524</ap:Characters>
  <ap:Application>Microsoft Office Word</ap:Application>
  <ap:DocSecurity>0</ap:DocSecurity>
  <ap:Lines>121</ap:Lines>
  <ap:Paragraphs>34</ap:Paragraphs>
  <ap:ScaleCrop>false</ap:ScaleCrop>
  <ap:HeadingPairs>
    <vt:vector baseType="variant" size="2">
      <vt:variant>
        <vt:lpstr>Title</vt:lpstr>
      </vt:variant>
      <vt:variant>
        <vt:i4>1</vt:i4>
      </vt:variant>
    </vt:vector>
  </ap:HeadingPairs>
  <ap:TitlesOfParts>
    <vt:vector baseType="lpstr" size="1">
      <vt:lpstr>_</vt:lpstr>
    </vt:vector>
  </ap:TitlesOfParts>
  <ap:Manager/>
  <ap:Company/>
  <ap:LinksUpToDate>false</ap:LinksUpToDate>
  <ap:CharactersWithSpaces>17038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2008-07-18T20:41:00Z</cp:lastPrinted>
  <dcterms:created xsi:type="dcterms:W3CDTF">2025-02-06T10:25:38Z</dcterms:created>
  <dcterms:modified xsi:type="dcterms:W3CDTF">2025-02-06T10:25:38Z</dcterms:modified>
</cp:coreProperties>
</file>