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3223F2" w:rsidRDefault="008F2AAE" w14:paraId="3CD56B6F" w14:textId="746E6B4B">
      <w:pPr>
        <w:tabs>
          <w:tab w:val="center" w:pos="4320"/>
          <w:tab w:val="right" w:pos="9360"/>
        </w:tabs>
        <w:spacing w:line="240" w:lineRule="auto"/>
        <w:ind w:firstLine="0"/>
        <w:rPr>
          <w:b/>
        </w:rPr>
      </w:pPr>
      <w:r>
        <w:t>COM</w:t>
      </w:r>
      <w:r w:rsidR="004F5101">
        <w:t>/KDL/jnf</w:t>
      </w:r>
      <w:r w:rsidR="007E0FEE">
        <w:tab/>
      </w:r>
      <w:r w:rsidR="00DA7B5D">
        <w:tab/>
      </w:r>
      <w:r w:rsidR="00D13705">
        <w:rPr>
          <w:b/>
        </w:rPr>
        <w:t>Date of Issuance 2/</w:t>
      </w:r>
      <w:r w:rsidR="001A4CC9">
        <w:rPr>
          <w:b/>
        </w:rPr>
        <w:t>7</w:t>
      </w:r>
      <w:r w:rsidR="00D13705">
        <w:rPr>
          <w:b/>
        </w:rPr>
        <w:t>/2025</w:t>
      </w:r>
    </w:p>
    <w:p w:rsidR="003223F2" w:rsidP="00D13705" w:rsidRDefault="003223F2" w14:paraId="0EE813CC" w14:textId="77777777">
      <w:pPr>
        <w:spacing w:line="240" w:lineRule="auto"/>
        <w:ind w:firstLine="0"/>
        <w:jc w:val="right"/>
        <w:rPr>
          <w:b/>
          <w:bCs/>
        </w:rPr>
      </w:pPr>
    </w:p>
    <w:p w:rsidRPr="003223F2" w:rsidR="00D13705" w:rsidP="00D13705" w:rsidRDefault="00D13705" w14:paraId="3F3A9BF6" w14:textId="77777777">
      <w:pPr>
        <w:spacing w:line="240" w:lineRule="auto"/>
        <w:ind w:firstLine="0"/>
        <w:jc w:val="right"/>
        <w:rPr>
          <w:b/>
          <w:bCs/>
        </w:rPr>
      </w:pPr>
    </w:p>
    <w:p w:rsidRPr="003223F2" w:rsidR="00DA7B5D" w:rsidP="004F5101" w:rsidRDefault="00DA7B5D" w14:paraId="784C2A2F" w14:textId="632F319F">
      <w:pPr>
        <w:spacing w:line="276" w:lineRule="auto"/>
        <w:ind w:left="1080" w:hanging="1080"/>
      </w:pPr>
      <w:r>
        <w:t>Decision</w:t>
      </w:r>
      <w:r w:rsidR="00D13705">
        <w:t> 25-01-055  January 30, 2025</w:t>
      </w:r>
    </w:p>
    <w:p w:rsidR="00DA7B5D" w:rsidP="004F5101" w:rsidRDefault="00DA7B5D" w14:paraId="1CFB4C4E" w14:textId="77777777">
      <w:pPr>
        <w:ind w:firstLine="0"/>
        <w:rPr>
          <w:u w:val="single"/>
        </w:rPr>
      </w:pPr>
    </w:p>
    <w:p w:rsidR="00DA7B5D" w:rsidP="00BB0243" w:rsidRDefault="00DA7B5D" w14:paraId="6FAB104B"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109D03C9"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40676822" w14:textId="77777777">
        <w:trPr>
          <w:jc w:val="center"/>
        </w:trPr>
        <w:tc>
          <w:tcPr>
            <w:tcW w:w="5040" w:type="dxa"/>
            <w:tcBorders>
              <w:top w:val="nil"/>
              <w:left w:val="nil"/>
              <w:bottom w:val="single" w:color="auto" w:sz="4" w:space="0"/>
              <w:right w:val="single" w:color="auto" w:sz="4" w:space="0"/>
            </w:tcBorders>
          </w:tcPr>
          <w:p w:rsidR="00DA7B5D" w:rsidP="00C10B5F" w:rsidRDefault="004F5101" w14:paraId="72A6F748" w14:textId="77777777">
            <w:pPr>
              <w:spacing w:line="240" w:lineRule="auto"/>
              <w:ind w:firstLine="0"/>
              <w:rPr>
                <w:rFonts w:cs="Arial"/>
                <w:szCs w:val="26"/>
              </w:rPr>
            </w:pPr>
            <w:r w:rsidRPr="004F5101">
              <w:rPr>
                <w:rFonts w:cs="Arial"/>
                <w:szCs w:val="26"/>
              </w:rPr>
              <w:t>Order Instituting Rulemaking to Update and Amend Commission General Order 131-D.</w:t>
            </w:r>
          </w:p>
          <w:p w:rsidRPr="00DA7B5D" w:rsidR="004F5101" w:rsidP="00C10B5F" w:rsidRDefault="004F5101" w14:paraId="0A696704" w14:textId="77777777">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911924" w14:paraId="08A1C0A0" w14:textId="77777777">
            <w:pPr>
              <w:spacing w:line="240" w:lineRule="auto"/>
              <w:ind w:firstLine="0"/>
              <w:jc w:val="center"/>
              <w:rPr>
                <w:rFonts w:cs="Arial"/>
                <w:szCs w:val="26"/>
              </w:rPr>
            </w:pPr>
            <w:r>
              <w:rPr>
                <w:rFonts w:cs="Arial"/>
                <w:szCs w:val="26"/>
              </w:rPr>
              <w:t>Rulemaking</w:t>
            </w:r>
            <w:r w:rsidR="00286AA0">
              <w:rPr>
                <w:rFonts w:cs="Arial"/>
                <w:szCs w:val="26"/>
              </w:rPr>
              <w:t> </w:t>
            </w:r>
            <w:r>
              <w:rPr>
                <w:rFonts w:cs="Arial"/>
                <w:szCs w:val="26"/>
              </w:rPr>
              <w:t>2</w:t>
            </w:r>
            <w:r w:rsidR="00925F1A">
              <w:rPr>
                <w:rFonts w:cs="Arial"/>
                <w:szCs w:val="26"/>
              </w:rPr>
              <w:t>3</w:t>
            </w:r>
            <w:r>
              <w:rPr>
                <w:rFonts w:cs="Arial"/>
                <w:szCs w:val="26"/>
              </w:rPr>
              <w:t>-</w:t>
            </w:r>
            <w:r w:rsidR="00774D88">
              <w:rPr>
                <w:rFonts w:cs="Arial"/>
                <w:szCs w:val="26"/>
              </w:rPr>
              <w:t>0</w:t>
            </w:r>
            <w:r w:rsidR="00925F1A">
              <w:rPr>
                <w:rFonts w:cs="Arial"/>
                <w:szCs w:val="26"/>
              </w:rPr>
              <w:t>5</w:t>
            </w:r>
            <w:r>
              <w:rPr>
                <w:rFonts w:cs="Arial"/>
                <w:szCs w:val="26"/>
              </w:rPr>
              <w:t>-0</w:t>
            </w:r>
            <w:r w:rsidR="00925F1A">
              <w:rPr>
                <w:rFonts w:cs="Arial"/>
                <w:szCs w:val="26"/>
              </w:rPr>
              <w:t>18</w:t>
            </w:r>
          </w:p>
        </w:tc>
      </w:tr>
    </w:tbl>
    <w:p w:rsidR="00DA7B5D" w:rsidP="008F0116" w:rsidRDefault="00DA7B5D" w14:paraId="5A12A80F" w14:textId="77777777">
      <w:pPr>
        <w:spacing w:line="240" w:lineRule="auto"/>
        <w:ind w:firstLine="0"/>
        <w:rPr>
          <w:rFonts w:ascii="Arial" w:hAnsi="Arial" w:cs="Arial"/>
          <w:sz w:val="24"/>
          <w:szCs w:val="24"/>
        </w:rPr>
      </w:pPr>
    </w:p>
    <w:p w:rsidR="00DA7B5D" w:rsidP="008F0116" w:rsidRDefault="00DA7B5D" w14:paraId="18C61AC6" w14:textId="77777777">
      <w:pPr>
        <w:spacing w:line="240" w:lineRule="auto"/>
        <w:ind w:firstLine="0"/>
        <w:rPr>
          <w:rFonts w:ascii="Arial" w:hAnsi="Arial" w:cs="Arial"/>
          <w:sz w:val="24"/>
          <w:szCs w:val="24"/>
        </w:rPr>
      </w:pPr>
    </w:p>
    <w:p w:rsidR="004F5101" w:rsidP="003A40EC" w:rsidRDefault="003A40EC" w14:paraId="02FDD0CF" w14:textId="77777777">
      <w:pPr>
        <w:pStyle w:val="Dummy"/>
        <w:jc w:val="center"/>
      </w:pPr>
      <w:bookmarkStart w:name="_Toc177327837" w:id="0"/>
      <w:bookmarkStart w:name="_Toc177721463" w:id="1"/>
      <w:bookmarkStart w:name="_Toc177721539" w:id="2"/>
      <w:bookmarkStart w:name="_Toc177741134" w:id="3"/>
      <w:bookmarkStart w:name="_Toc189738486" w:id="4"/>
      <w:bookmarkStart w:name="_Hlk169457051" w:id="5"/>
      <w:r>
        <w:t>DECISION ADOPTING GENERAL ORDER</w:t>
      </w:r>
      <w:r w:rsidR="00286AA0">
        <w:t> </w:t>
      </w:r>
      <w:r>
        <w:t>131</w:t>
      </w:r>
      <w:r w:rsidR="00286AA0">
        <w:noBreakHyphen/>
      </w:r>
      <w:bookmarkEnd w:id="0"/>
      <w:r>
        <w:t>E</w:t>
      </w:r>
      <w:bookmarkEnd w:id="1"/>
      <w:bookmarkEnd w:id="2"/>
      <w:bookmarkEnd w:id="3"/>
      <w:bookmarkEnd w:id="4"/>
    </w:p>
    <w:p w:rsidRPr="00286AA0" w:rsidR="00286AA0" w:rsidP="00286AA0" w:rsidRDefault="00286AA0" w14:paraId="5E40557C" w14:textId="77777777">
      <w:pPr>
        <w:sectPr w:rsidRPr="00286AA0" w:rsidR="00286AA0" w:rsidSect="004F5101">
          <w:headerReference w:type="default" r:id="rId12"/>
          <w:footerReference w:type="default" r:id="rId13"/>
          <w:footerReference w:type="first" r:id="rId14"/>
          <w:pgSz w:w="12240" w:h="15840"/>
          <w:pgMar w:top="1728" w:right="1440" w:bottom="1440" w:left="1440" w:header="720" w:footer="720" w:gutter="0"/>
          <w:pgNumType w:start="1"/>
          <w:cols w:space="720"/>
          <w:titlePg/>
          <w:docGrid w:linePitch="360"/>
        </w:sectPr>
      </w:pPr>
    </w:p>
    <w:p w:rsidRPr="001E2A62" w:rsidR="004F5101" w:rsidP="004F5101" w:rsidRDefault="004F5101" w14:paraId="651C7068" w14:textId="77777777">
      <w:pPr>
        <w:pStyle w:val="Main"/>
        <w:rPr>
          <w:rFonts w:ascii="Book Antiqua" w:hAnsi="Book Antiqua"/>
        </w:rPr>
      </w:pPr>
      <w:r w:rsidRPr="001E2A62">
        <w:rPr>
          <w:rFonts w:ascii="Book Antiqua" w:hAnsi="Book Antiqua"/>
        </w:rPr>
        <w:lastRenderedPageBreak/>
        <w:t>TABLE OF CONTENTS</w:t>
      </w:r>
    </w:p>
    <w:p w:rsidRPr="00D50119" w:rsidR="004F5101" w:rsidP="003B5D07" w:rsidRDefault="004F5101" w14:paraId="0F112804" w14:textId="77777777">
      <w:pPr>
        <w:tabs>
          <w:tab w:val="left" w:pos="990"/>
          <w:tab w:val="right" w:pos="9360"/>
        </w:tabs>
        <w:ind w:firstLine="0"/>
      </w:pPr>
      <w:r w:rsidRPr="00D50119">
        <w:rPr>
          <w:b/>
        </w:rPr>
        <w:t>Title</w:t>
      </w:r>
      <w:r>
        <w:tab/>
      </w:r>
      <w:r w:rsidR="003E7B36">
        <w:tab/>
      </w:r>
      <w:r w:rsidRPr="00D50119">
        <w:rPr>
          <w:b/>
        </w:rPr>
        <w:t>Page</w:t>
      </w:r>
    </w:p>
    <w:sdt>
      <w:sdtPr>
        <w:rPr>
          <w:rFonts w:cstheme="minorBidi"/>
        </w:rPr>
        <w:id w:val="1755060737"/>
        <w:docPartObj>
          <w:docPartGallery w:val="Table of Contents"/>
          <w:docPartUnique/>
        </w:docPartObj>
      </w:sdtPr>
      <w:sdtEndPr/>
      <w:sdtContent>
        <w:p w:rsidR="00D13705" w:rsidRDefault="0097342F" w14:paraId="14011AE1" w14:textId="1766094E">
          <w:pPr>
            <w:pStyle w:val="TOC1"/>
            <w:tabs>
              <w:tab w:val="right" w:leader="dot" w:pos="9350"/>
            </w:tabs>
            <w:rPr>
              <w:rFonts w:asciiTheme="minorHAnsi" w:hAnsiTheme="minorHAnsi" w:cstheme="minorBidi"/>
              <w:noProof/>
              <w:kern w:val="2"/>
              <w:sz w:val="24"/>
              <w:szCs w:val="24"/>
              <w14:ligatures w14:val="standardContextual"/>
            </w:rPr>
          </w:pPr>
          <w:r>
            <w:fldChar w:fldCharType="begin"/>
          </w:r>
          <w:r w:rsidR="00E40677">
            <w:instrText>TOC \o "1-3" \z \u \h</w:instrText>
          </w:r>
          <w:r>
            <w:fldChar w:fldCharType="separate"/>
          </w:r>
          <w:hyperlink w:history="1" w:anchor="_Toc189738486">
            <w:r w:rsidRPr="00D53FDA" w:rsidR="00D13705">
              <w:rPr>
                <w:rStyle w:val="Hyperlink"/>
                <w:noProof/>
              </w:rPr>
              <w:t>DECISION ADOPTING GENERAL ORDER 131</w:t>
            </w:r>
            <w:r w:rsidRPr="00D53FDA" w:rsidR="00D13705">
              <w:rPr>
                <w:rStyle w:val="Hyperlink"/>
                <w:noProof/>
              </w:rPr>
              <w:noBreakHyphen/>
              <w:t>E</w:t>
            </w:r>
            <w:r w:rsidR="00D13705">
              <w:rPr>
                <w:noProof/>
                <w:webHidden/>
              </w:rPr>
              <w:tab/>
            </w:r>
            <w:r w:rsidR="00D13705">
              <w:rPr>
                <w:noProof/>
                <w:webHidden/>
              </w:rPr>
              <w:fldChar w:fldCharType="begin"/>
            </w:r>
            <w:r w:rsidR="00D13705">
              <w:rPr>
                <w:noProof/>
                <w:webHidden/>
              </w:rPr>
              <w:instrText xml:space="preserve"> PAGEREF _Toc189738486 \h </w:instrText>
            </w:r>
            <w:r w:rsidR="00D13705">
              <w:rPr>
                <w:noProof/>
                <w:webHidden/>
              </w:rPr>
            </w:r>
            <w:r w:rsidR="00D13705">
              <w:rPr>
                <w:noProof/>
                <w:webHidden/>
              </w:rPr>
              <w:fldChar w:fldCharType="separate"/>
            </w:r>
            <w:r w:rsidR="00D13705">
              <w:rPr>
                <w:noProof/>
                <w:webHidden/>
              </w:rPr>
              <w:t>1</w:t>
            </w:r>
            <w:r w:rsidR="00D13705">
              <w:rPr>
                <w:noProof/>
                <w:webHidden/>
              </w:rPr>
              <w:fldChar w:fldCharType="end"/>
            </w:r>
          </w:hyperlink>
        </w:p>
        <w:p w:rsidR="00D13705" w:rsidRDefault="00D13705" w14:paraId="0970D700" w14:textId="1AD8EB9B">
          <w:pPr>
            <w:pStyle w:val="TOC1"/>
            <w:tabs>
              <w:tab w:val="right" w:leader="dot" w:pos="9350"/>
            </w:tabs>
            <w:rPr>
              <w:rFonts w:asciiTheme="minorHAnsi" w:hAnsiTheme="minorHAnsi" w:cstheme="minorBidi"/>
              <w:noProof/>
              <w:kern w:val="2"/>
              <w:sz w:val="24"/>
              <w:szCs w:val="24"/>
              <w14:ligatures w14:val="standardContextual"/>
            </w:rPr>
          </w:pPr>
          <w:hyperlink w:history="1" w:anchor="_Toc189738487">
            <w:r w:rsidRPr="00D53FDA">
              <w:rPr>
                <w:rStyle w:val="Hyperlink"/>
                <w:noProof/>
              </w:rPr>
              <w:t>Summary</w:t>
            </w:r>
            <w:r>
              <w:rPr>
                <w:noProof/>
                <w:webHidden/>
              </w:rPr>
              <w:tab/>
            </w:r>
            <w:r>
              <w:rPr>
                <w:noProof/>
                <w:webHidden/>
              </w:rPr>
              <w:fldChar w:fldCharType="begin"/>
            </w:r>
            <w:r>
              <w:rPr>
                <w:noProof/>
                <w:webHidden/>
              </w:rPr>
              <w:instrText xml:space="preserve"> PAGEREF _Toc189738487 \h </w:instrText>
            </w:r>
            <w:r>
              <w:rPr>
                <w:noProof/>
                <w:webHidden/>
              </w:rPr>
            </w:r>
            <w:r>
              <w:rPr>
                <w:noProof/>
                <w:webHidden/>
              </w:rPr>
              <w:fldChar w:fldCharType="separate"/>
            </w:r>
            <w:r>
              <w:rPr>
                <w:noProof/>
                <w:webHidden/>
              </w:rPr>
              <w:t>2</w:t>
            </w:r>
            <w:r>
              <w:rPr>
                <w:noProof/>
                <w:webHidden/>
              </w:rPr>
              <w:fldChar w:fldCharType="end"/>
            </w:r>
          </w:hyperlink>
        </w:p>
        <w:p w:rsidR="00D13705" w:rsidRDefault="00D13705" w14:paraId="48F4C363" w14:textId="16344994">
          <w:pPr>
            <w:pStyle w:val="TOC1"/>
            <w:tabs>
              <w:tab w:val="right" w:leader="dot" w:pos="9350"/>
            </w:tabs>
            <w:rPr>
              <w:rFonts w:asciiTheme="minorHAnsi" w:hAnsiTheme="minorHAnsi" w:cstheme="minorBidi"/>
              <w:noProof/>
              <w:kern w:val="2"/>
              <w:sz w:val="24"/>
              <w:szCs w:val="24"/>
              <w14:ligatures w14:val="standardContextual"/>
            </w:rPr>
          </w:pPr>
          <w:hyperlink w:history="1" w:anchor="_Toc189738488">
            <w:r w:rsidRPr="00D53FDA">
              <w:rPr>
                <w:rStyle w:val="Hyperlink"/>
                <w:noProof/>
              </w:rPr>
              <w:t>1.</w:t>
            </w:r>
            <w:r>
              <w:rPr>
                <w:rFonts w:asciiTheme="minorHAnsi" w:hAnsiTheme="minorHAnsi" w:cstheme="minorBidi"/>
                <w:noProof/>
                <w:kern w:val="2"/>
                <w:sz w:val="24"/>
                <w:szCs w:val="24"/>
                <w14:ligatures w14:val="standardContextual"/>
              </w:rPr>
              <w:tab/>
            </w:r>
            <w:r w:rsidRPr="00D53FDA">
              <w:rPr>
                <w:rStyle w:val="Hyperlink"/>
                <w:noProof/>
              </w:rPr>
              <w:t>Procedural Background</w:t>
            </w:r>
            <w:r>
              <w:rPr>
                <w:noProof/>
                <w:webHidden/>
              </w:rPr>
              <w:tab/>
            </w:r>
            <w:r>
              <w:rPr>
                <w:noProof/>
                <w:webHidden/>
              </w:rPr>
              <w:fldChar w:fldCharType="begin"/>
            </w:r>
            <w:r>
              <w:rPr>
                <w:noProof/>
                <w:webHidden/>
              </w:rPr>
              <w:instrText xml:space="preserve"> PAGEREF _Toc189738488 \h </w:instrText>
            </w:r>
            <w:r>
              <w:rPr>
                <w:noProof/>
                <w:webHidden/>
              </w:rPr>
            </w:r>
            <w:r>
              <w:rPr>
                <w:noProof/>
                <w:webHidden/>
              </w:rPr>
              <w:fldChar w:fldCharType="separate"/>
            </w:r>
            <w:r>
              <w:rPr>
                <w:noProof/>
                <w:webHidden/>
              </w:rPr>
              <w:t>3</w:t>
            </w:r>
            <w:r>
              <w:rPr>
                <w:noProof/>
                <w:webHidden/>
              </w:rPr>
              <w:fldChar w:fldCharType="end"/>
            </w:r>
          </w:hyperlink>
        </w:p>
        <w:p w:rsidR="00D13705" w:rsidRDefault="00D13705" w14:paraId="70F88321" w14:textId="399D31F9">
          <w:pPr>
            <w:pStyle w:val="TOC1"/>
            <w:tabs>
              <w:tab w:val="right" w:leader="dot" w:pos="9350"/>
            </w:tabs>
            <w:rPr>
              <w:rFonts w:asciiTheme="minorHAnsi" w:hAnsiTheme="minorHAnsi" w:cstheme="minorBidi"/>
              <w:noProof/>
              <w:kern w:val="2"/>
              <w:sz w:val="24"/>
              <w:szCs w:val="24"/>
              <w14:ligatures w14:val="standardContextual"/>
            </w:rPr>
          </w:pPr>
          <w:hyperlink w:history="1" w:anchor="_Toc189738489">
            <w:r w:rsidRPr="00D53FDA">
              <w:rPr>
                <w:rStyle w:val="Hyperlink"/>
                <w:noProof/>
              </w:rPr>
              <w:t>2.</w:t>
            </w:r>
            <w:r>
              <w:rPr>
                <w:rFonts w:asciiTheme="minorHAnsi" w:hAnsiTheme="minorHAnsi" w:cstheme="minorBidi"/>
                <w:noProof/>
                <w:kern w:val="2"/>
                <w:sz w:val="24"/>
                <w:szCs w:val="24"/>
                <w14:ligatures w14:val="standardContextual"/>
              </w:rPr>
              <w:tab/>
            </w:r>
            <w:r w:rsidRPr="00D53FDA">
              <w:rPr>
                <w:rStyle w:val="Hyperlink"/>
                <w:noProof/>
              </w:rPr>
              <w:t>Submission Date</w:t>
            </w:r>
            <w:r>
              <w:rPr>
                <w:noProof/>
                <w:webHidden/>
              </w:rPr>
              <w:tab/>
            </w:r>
            <w:r>
              <w:rPr>
                <w:noProof/>
                <w:webHidden/>
              </w:rPr>
              <w:fldChar w:fldCharType="begin"/>
            </w:r>
            <w:r>
              <w:rPr>
                <w:noProof/>
                <w:webHidden/>
              </w:rPr>
              <w:instrText xml:space="preserve"> PAGEREF _Toc189738489 \h </w:instrText>
            </w:r>
            <w:r>
              <w:rPr>
                <w:noProof/>
                <w:webHidden/>
              </w:rPr>
            </w:r>
            <w:r>
              <w:rPr>
                <w:noProof/>
                <w:webHidden/>
              </w:rPr>
              <w:fldChar w:fldCharType="separate"/>
            </w:r>
            <w:r>
              <w:rPr>
                <w:noProof/>
                <w:webHidden/>
              </w:rPr>
              <w:t>10</w:t>
            </w:r>
            <w:r>
              <w:rPr>
                <w:noProof/>
                <w:webHidden/>
              </w:rPr>
              <w:fldChar w:fldCharType="end"/>
            </w:r>
          </w:hyperlink>
        </w:p>
        <w:p w:rsidR="00D13705" w:rsidRDefault="00D13705" w14:paraId="08CB84D9" w14:textId="471D07F6">
          <w:pPr>
            <w:pStyle w:val="TOC1"/>
            <w:tabs>
              <w:tab w:val="right" w:leader="dot" w:pos="9350"/>
            </w:tabs>
            <w:rPr>
              <w:rFonts w:asciiTheme="minorHAnsi" w:hAnsiTheme="minorHAnsi" w:cstheme="minorBidi"/>
              <w:noProof/>
              <w:kern w:val="2"/>
              <w:sz w:val="24"/>
              <w:szCs w:val="24"/>
              <w14:ligatures w14:val="standardContextual"/>
            </w:rPr>
          </w:pPr>
          <w:hyperlink w:history="1" w:anchor="_Toc189738490">
            <w:r w:rsidRPr="00D53FDA">
              <w:rPr>
                <w:rStyle w:val="Hyperlink"/>
                <w:noProof/>
              </w:rPr>
              <w:t>3.</w:t>
            </w:r>
            <w:r>
              <w:rPr>
                <w:rFonts w:asciiTheme="minorHAnsi" w:hAnsiTheme="minorHAnsi" w:cstheme="minorBidi"/>
                <w:noProof/>
                <w:kern w:val="2"/>
                <w:sz w:val="24"/>
                <w:szCs w:val="24"/>
                <w14:ligatures w14:val="standardContextual"/>
              </w:rPr>
              <w:tab/>
            </w:r>
            <w:r w:rsidRPr="00D53FDA">
              <w:rPr>
                <w:rStyle w:val="Hyperlink"/>
                <w:noProof/>
              </w:rPr>
              <w:t>Current Regulatory Framework</w:t>
            </w:r>
            <w:r>
              <w:rPr>
                <w:noProof/>
                <w:webHidden/>
              </w:rPr>
              <w:tab/>
            </w:r>
            <w:r>
              <w:rPr>
                <w:noProof/>
                <w:webHidden/>
              </w:rPr>
              <w:fldChar w:fldCharType="begin"/>
            </w:r>
            <w:r>
              <w:rPr>
                <w:noProof/>
                <w:webHidden/>
              </w:rPr>
              <w:instrText xml:space="preserve"> PAGEREF _Toc189738490 \h </w:instrText>
            </w:r>
            <w:r>
              <w:rPr>
                <w:noProof/>
                <w:webHidden/>
              </w:rPr>
            </w:r>
            <w:r>
              <w:rPr>
                <w:noProof/>
                <w:webHidden/>
              </w:rPr>
              <w:fldChar w:fldCharType="separate"/>
            </w:r>
            <w:r>
              <w:rPr>
                <w:noProof/>
                <w:webHidden/>
              </w:rPr>
              <w:t>10</w:t>
            </w:r>
            <w:r>
              <w:rPr>
                <w:noProof/>
                <w:webHidden/>
              </w:rPr>
              <w:fldChar w:fldCharType="end"/>
            </w:r>
          </w:hyperlink>
        </w:p>
        <w:p w:rsidR="00D13705" w:rsidRDefault="00D13705" w14:paraId="02B4360D" w14:textId="40CB228B">
          <w:pPr>
            <w:pStyle w:val="TOC2"/>
            <w:tabs>
              <w:tab w:val="right" w:leader="dot" w:pos="9350"/>
            </w:tabs>
            <w:rPr>
              <w:rFonts w:asciiTheme="minorHAnsi" w:hAnsiTheme="minorHAnsi" w:cstheme="minorBidi"/>
              <w:noProof/>
              <w:kern w:val="2"/>
              <w:sz w:val="24"/>
              <w:szCs w:val="24"/>
              <w14:ligatures w14:val="standardContextual"/>
            </w:rPr>
          </w:pPr>
          <w:hyperlink w:history="1" w:anchor="_Toc189738491">
            <w:r w:rsidRPr="00D53FDA">
              <w:rPr>
                <w:rStyle w:val="Hyperlink"/>
                <w:noProof/>
              </w:rPr>
              <w:t>3.1.</w:t>
            </w:r>
            <w:r>
              <w:rPr>
                <w:rFonts w:asciiTheme="minorHAnsi" w:hAnsiTheme="minorHAnsi" w:cstheme="minorBidi"/>
                <w:noProof/>
                <w:kern w:val="2"/>
                <w:sz w:val="24"/>
                <w:szCs w:val="24"/>
                <w14:ligatures w14:val="standardContextual"/>
              </w:rPr>
              <w:tab/>
            </w:r>
            <w:r w:rsidRPr="00D53FDA">
              <w:rPr>
                <w:rStyle w:val="Hyperlink"/>
                <w:noProof/>
              </w:rPr>
              <w:t>GO 131-D</w:t>
            </w:r>
            <w:r>
              <w:rPr>
                <w:noProof/>
                <w:webHidden/>
              </w:rPr>
              <w:tab/>
            </w:r>
            <w:r>
              <w:rPr>
                <w:noProof/>
                <w:webHidden/>
              </w:rPr>
              <w:fldChar w:fldCharType="begin"/>
            </w:r>
            <w:r>
              <w:rPr>
                <w:noProof/>
                <w:webHidden/>
              </w:rPr>
              <w:instrText xml:space="preserve"> PAGEREF _Toc189738491 \h </w:instrText>
            </w:r>
            <w:r>
              <w:rPr>
                <w:noProof/>
                <w:webHidden/>
              </w:rPr>
            </w:r>
            <w:r>
              <w:rPr>
                <w:noProof/>
                <w:webHidden/>
              </w:rPr>
              <w:fldChar w:fldCharType="separate"/>
            </w:r>
            <w:r>
              <w:rPr>
                <w:noProof/>
                <w:webHidden/>
              </w:rPr>
              <w:t>10</w:t>
            </w:r>
            <w:r>
              <w:rPr>
                <w:noProof/>
                <w:webHidden/>
              </w:rPr>
              <w:fldChar w:fldCharType="end"/>
            </w:r>
          </w:hyperlink>
        </w:p>
        <w:p w:rsidR="00D13705" w:rsidRDefault="00D13705" w14:paraId="568A538F" w14:textId="142866AB">
          <w:pPr>
            <w:pStyle w:val="TOC2"/>
            <w:tabs>
              <w:tab w:val="right" w:leader="dot" w:pos="9350"/>
            </w:tabs>
            <w:rPr>
              <w:rFonts w:asciiTheme="minorHAnsi" w:hAnsiTheme="minorHAnsi" w:cstheme="minorBidi"/>
              <w:noProof/>
              <w:kern w:val="2"/>
              <w:sz w:val="24"/>
              <w:szCs w:val="24"/>
              <w14:ligatures w14:val="standardContextual"/>
            </w:rPr>
          </w:pPr>
          <w:hyperlink w:history="1" w:anchor="_Toc189738492">
            <w:r w:rsidRPr="00D53FDA">
              <w:rPr>
                <w:rStyle w:val="Hyperlink"/>
                <w:noProof/>
              </w:rPr>
              <w:t>3.2.</w:t>
            </w:r>
            <w:r>
              <w:rPr>
                <w:rFonts w:asciiTheme="minorHAnsi" w:hAnsiTheme="minorHAnsi" w:cstheme="minorBidi"/>
                <w:noProof/>
                <w:kern w:val="2"/>
                <w:sz w:val="24"/>
                <w:szCs w:val="24"/>
                <w14:ligatures w14:val="standardContextual"/>
              </w:rPr>
              <w:tab/>
            </w:r>
            <w:r w:rsidRPr="00D53FDA">
              <w:rPr>
                <w:rStyle w:val="Hyperlink"/>
                <w:noProof/>
              </w:rPr>
              <w:t>Certificate of Public Convenience and Necessity (CPCN)</w:t>
            </w:r>
            <w:r>
              <w:rPr>
                <w:noProof/>
                <w:webHidden/>
              </w:rPr>
              <w:tab/>
            </w:r>
            <w:r>
              <w:rPr>
                <w:noProof/>
                <w:webHidden/>
              </w:rPr>
              <w:fldChar w:fldCharType="begin"/>
            </w:r>
            <w:r>
              <w:rPr>
                <w:noProof/>
                <w:webHidden/>
              </w:rPr>
              <w:instrText xml:space="preserve"> PAGEREF _Toc189738492 \h </w:instrText>
            </w:r>
            <w:r>
              <w:rPr>
                <w:noProof/>
                <w:webHidden/>
              </w:rPr>
            </w:r>
            <w:r>
              <w:rPr>
                <w:noProof/>
                <w:webHidden/>
              </w:rPr>
              <w:fldChar w:fldCharType="separate"/>
            </w:r>
            <w:r>
              <w:rPr>
                <w:noProof/>
                <w:webHidden/>
              </w:rPr>
              <w:t>11</w:t>
            </w:r>
            <w:r>
              <w:rPr>
                <w:noProof/>
                <w:webHidden/>
              </w:rPr>
              <w:fldChar w:fldCharType="end"/>
            </w:r>
          </w:hyperlink>
        </w:p>
        <w:p w:rsidR="00D13705" w:rsidRDefault="00D13705" w14:paraId="13B46FB1" w14:textId="4109174C">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9738493">
            <w:r w:rsidRPr="00D53FDA">
              <w:rPr>
                <w:rStyle w:val="Hyperlink"/>
                <w:noProof/>
              </w:rPr>
              <w:t>3.2.1.</w:t>
            </w:r>
            <w:r>
              <w:rPr>
                <w:rFonts w:asciiTheme="minorHAnsi" w:hAnsiTheme="minorHAnsi" w:cstheme="minorBidi"/>
                <w:noProof/>
                <w:kern w:val="2"/>
                <w:sz w:val="24"/>
                <w:szCs w:val="24"/>
                <w14:ligatures w14:val="standardContextual"/>
              </w:rPr>
              <w:tab/>
            </w:r>
            <w:r w:rsidRPr="00D53FDA">
              <w:rPr>
                <w:rStyle w:val="Hyperlink"/>
                <w:noProof/>
              </w:rPr>
              <w:t>Permit to Construct</w:t>
            </w:r>
            <w:r w:rsidRPr="00D53FDA">
              <w:rPr>
                <w:rStyle w:val="Hyperlink"/>
                <w:bCs/>
                <w:noProof/>
              </w:rPr>
              <w:t xml:space="preserve"> (PTC)</w:t>
            </w:r>
            <w:r>
              <w:rPr>
                <w:noProof/>
                <w:webHidden/>
              </w:rPr>
              <w:tab/>
            </w:r>
            <w:r>
              <w:rPr>
                <w:noProof/>
                <w:webHidden/>
              </w:rPr>
              <w:fldChar w:fldCharType="begin"/>
            </w:r>
            <w:r>
              <w:rPr>
                <w:noProof/>
                <w:webHidden/>
              </w:rPr>
              <w:instrText xml:space="preserve"> PAGEREF _Toc189738493 \h </w:instrText>
            </w:r>
            <w:r>
              <w:rPr>
                <w:noProof/>
                <w:webHidden/>
              </w:rPr>
            </w:r>
            <w:r>
              <w:rPr>
                <w:noProof/>
                <w:webHidden/>
              </w:rPr>
              <w:fldChar w:fldCharType="separate"/>
            </w:r>
            <w:r>
              <w:rPr>
                <w:noProof/>
                <w:webHidden/>
              </w:rPr>
              <w:t>12</w:t>
            </w:r>
            <w:r>
              <w:rPr>
                <w:noProof/>
                <w:webHidden/>
              </w:rPr>
              <w:fldChar w:fldCharType="end"/>
            </w:r>
          </w:hyperlink>
        </w:p>
        <w:p w:rsidR="00D13705" w:rsidRDefault="00D13705" w14:paraId="0C2DA282" w14:textId="0B29E06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9738494">
            <w:r w:rsidRPr="00D53FDA">
              <w:rPr>
                <w:rStyle w:val="Hyperlink"/>
                <w:noProof/>
              </w:rPr>
              <w:t>3.2.2.</w:t>
            </w:r>
            <w:r>
              <w:rPr>
                <w:rFonts w:asciiTheme="minorHAnsi" w:hAnsiTheme="minorHAnsi" w:cstheme="minorBidi"/>
                <w:noProof/>
                <w:kern w:val="2"/>
                <w:sz w:val="24"/>
                <w:szCs w:val="24"/>
                <w14:ligatures w14:val="standardContextual"/>
              </w:rPr>
              <w:tab/>
            </w:r>
            <w:r w:rsidRPr="00D53FDA">
              <w:rPr>
                <w:rStyle w:val="Hyperlink"/>
                <w:noProof/>
              </w:rPr>
              <w:t>Authorization of Electric Distribution Lines and Other Substations</w:t>
            </w:r>
            <w:r>
              <w:rPr>
                <w:noProof/>
                <w:webHidden/>
              </w:rPr>
              <w:tab/>
            </w:r>
            <w:r>
              <w:rPr>
                <w:noProof/>
                <w:webHidden/>
              </w:rPr>
              <w:fldChar w:fldCharType="begin"/>
            </w:r>
            <w:r>
              <w:rPr>
                <w:noProof/>
                <w:webHidden/>
              </w:rPr>
              <w:instrText xml:space="preserve"> PAGEREF _Toc189738494 \h </w:instrText>
            </w:r>
            <w:r>
              <w:rPr>
                <w:noProof/>
                <w:webHidden/>
              </w:rPr>
            </w:r>
            <w:r>
              <w:rPr>
                <w:noProof/>
                <w:webHidden/>
              </w:rPr>
              <w:fldChar w:fldCharType="separate"/>
            </w:r>
            <w:r>
              <w:rPr>
                <w:noProof/>
                <w:webHidden/>
              </w:rPr>
              <w:t>14</w:t>
            </w:r>
            <w:r>
              <w:rPr>
                <w:noProof/>
                <w:webHidden/>
              </w:rPr>
              <w:fldChar w:fldCharType="end"/>
            </w:r>
          </w:hyperlink>
        </w:p>
        <w:p w:rsidR="00D13705" w:rsidRDefault="00D13705" w14:paraId="4DC01A76" w14:textId="75123BD0">
          <w:pPr>
            <w:pStyle w:val="TOC2"/>
            <w:tabs>
              <w:tab w:val="right" w:leader="dot" w:pos="9350"/>
            </w:tabs>
            <w:rPr>
              <w:rFonts w:asciiTheme="minorHAnsi" w:hAnsiTheme="minorHAnsi" w:cstheme="minorBidi"/>
              <w:noProof/>
              <w:kern w:val="2"/>
              <w:sz w:val="24"/>
              <w:szCs w:val="24"/>
              <w14:ligatures w14:val="standardContextual"/>
            </w:rPr>
          </w:pPr>
          <w:hyperlink w:history="1" w:anchor="_Toc189738495">
            <w:r w:rsidRPr="00D53FDA">
              <w:rPr>
                <w:rStyle w:val="Hyperlink"/>
                <w:noProof/>
              </w:rPr>
              <w:t>3.3.</w:t>
            </w:r>
            <w:r>
              <w:rPr>
                <w:rFonts w:asciiTheme="minorHAnsi" w:hAnsiTheme="minorHAnsi" w:cstheme="minorBidi"/>
                <w:noProof/>
                <w:kern w:val="2"/>
                <w:sz w:val="24"/>
                <w:szCs w:val="24"/>
                <w14:ligatures w14:val="standardContextual"/>
              </w:rPr>
              <w:tab/>
            </w:r>
            <w:r w:rsidRPr="00D53FDA">
              <w:rPr>
                <w:rStyle w:val="Hyperlink"/>
                <w:noProof/>
              </w:rPr>
              <w:t>CEQA Overview</w:t>
            </w:r>
            <w:r>
              <w:rPr>
                <w:noProof/>
                <w:webHidden/>
              </w:rPr>
              <w:tab/>
            </w:r>
            <w:r>
              <w:rPr>
                <w:noProof/>
                <w:webHidden/>
              </w:rPr>
              <w:fldChar w:fldCharType="begin"/>
            </w:r>
            <w:r>
              <w:rPr>
                <w:noProof/>
                <w:webHidden/>
              </w:rPr>
              <w:instrText xml:space="preserve"> PAGEREF _Toc189738495 \h </w:instrText>
            </w:r>
            <w:r>
              <w:rPr>
                <w:noProof/>
                <w:webHidden/>
              </w:rPr>
            </w:r>
            <w:r>
              <w:rPr>
                <w:noProof/>
                <w:webHidden/>
              </w:rPr>
              <w:fldChar w:fldCharType="separate"/>
            </w:r>
            <w:r>
              <w:rPr>
                <w:noProof/>
                <w:webHidden/>
              </w:rPr>
              <w:t>14</w:t>
            </w:r>
            <w:r>
              <w:rPr>
                <w:noProof/>
                <w:webHidden/>
              </w:rPr>
              <w:fldChar w:fldCharType="end"/>
            </w:r>
          </w:hyperlink>
        </w:p>
        <w:p w:rsidR="00D13705" w:rsidRDefault="00D13705" w14:paraId="5DC3F469" w14:textId="79CDC9EF">
          <w:pPr>
            <w:pStyle w:val="TOC2"/>
            <w:tabs>
              <w:tab w:val="right" w:leader="dot" w:pos="9350"/>
            </w:tabs>
            <w:rPr>
              <w:rFonts w:asciiTheme="minorHAnsi" w:hAnsiTheme="minorHAnsi" w:cstheme="minorBidi"/>
              <w:noProof/>
              <w:kern w:val="2"/>
              <w:sz w:val="24"/>
              <w:szCs w:val="24"/>
              <w14:ligatures w14:val="standardContextual"/>
            </w:rPr>
          </w:pPr>
          <w:hyperlink w:history="1" w:anchor="_Toc189738496">
            <w:r w:rsidRPr="00D53FDA">
              <w:rPr>
                <w:rStyle w:val="Hyperlink"/>
                <w:noProof/>
              </w:rPr>
              <w:t>3.4.</w:t>
            </w:r>
            <w:r>
              <w:rPr>
                <w:rFonts w:asciiTheme="minorHAnsi" w:hAnsiTheme="minorHAnsi" w:cstheme="minorBidi"/>
                <w:noProof/>
                <w:kern w:val="2"/>
                <w:sz w:val="24"/>
                <w:szCs w:val="24"/>
                <w14:ligatures w14:val="standardContextual"/>
              </w:rPr>
              <w:tab/>
            </w:r>
            <w:r w:rsidRPr="00D53FDA">
              <w:rPr>
                <w:rStyle w:val="Hyperlink"/>
                <w:noProof/>
              </w:rPr>
              <w:t>Commission Rule 2.4</w:t>
            </w:r>
            <w:r>
              <w:rPr>
                <w:noProof/>
                <w:webHidden/>
              </w:rPr>
              <w:tab/>
            </w:r>
            <w:r>
              <w:rPr>
                <w:noProof/>
                <w:webHidden/>
              </w:rPr>
              <w:fldChar w:fldCharType="begin"/>
            </w:r>
            <w:r>
              <w:rPr>
                <w:noProof/>
                <w:webHidden/>
              </w:rPr>
              <w:instrText xml:space="preserve"> PAGEREF _Toc189738496 \h </w:instrText>
            </w:r>
            <w:r>
              <w:rPr>
                <w:noProof/>
                <w:webHidden/>
              </w:rPr>
            </w:r>
            <w:r>
              <w:rPr>
                <w:noProof/>
                <w:webHidden/>
              </w:rPr>
              <w:fldChar w:fldCharType="separate"/>
            </w:r>
            <w:r>
              <w:rPr>
                <w:noProof/>
                <w:webHidden/>
              </w:rPr>
              <w:t>17</w:t>
            </w:r>
            <w:r>
              <w:rPr>
                <w:noProof/>
                <w:webHidden/>
              </w:rPr>
              <w:fldChar w:fldCharType="end"/>
            </w:r>
          </w:hyperlink>
        </w:p>
        <w:p w:rsidR="00D13705" w:rsidRDefault="00D13705" w14:paraId="41844E4A" w14:textId="7676AC8D">
          <w:pPr>
            <w:pStyle w:val="TOC2"/>
            <w:tabs>
              <w:tab w:val="right" w:leader="dot" w:pos="9350"/>
            </w:tabs>
            <w:rPr>
              <w:rFonts w:asciiTheme="minorHAnsi" w:hAnsiTheme="minorHAnsi" w:cstheme="minorBidi"/>
              <w:noProof/>
              <w:kern w:val="2"/>
              <w:sz w:val="24"/>
              <w:szCs w:val="24"/>
              <w14:ligatures w14:val="standardContextual"/>
            </w:rPr>
          </w:pPr>
          <w:hyperlink w:history="1" w:anchor="_Toc189738497">
            <w:r w:rsidRPr="00D53FDA">
              <w:rPr>
                <w:rStyle w:val="Hyperlink"/>
                <w:noProof/>
              </w:rPr>
              <w:t>3.5.</w:t>
            </w:r>
            <w:r>
              <w:rPr>
                <w:rFonts w:asciiTheme="minorHAnsi" w:hAnsiTheme="minorHAnsi" w:cstheme="minorBidi"/>
                <w:noProof/>
                <w:kern w:val="2"/>
                <w:sz w:val="24"/>
                <w:szCs w:val="24"/>
                <w14:ligatures w14:val="standardContextual"/>
              </w:rPr>
              <w:tab/>
            </w:r>
            <w:r w:rsidRPr="00D53FDA">
              <w:rPr>
                <w:rStyle w:val="Hyperlink"/>
                <w:noProof/>
              </w:rPr>
              <w:t>Commission’s Bifurcated Review Process</w:t>
            </w:r>
            <w:r>
              <w:rPr>
                <w:noProof/>
                <w:webHidden/>
              </w:rPr>
              <w:tab/>
            </w:r>
            <w:r>
              <w:rPr>
                <w:noProof/>
                <w:webHidden/>
              </w:rPr>
              <w:fldChar w:fldCharType="begin"/>
            </w:r>
            <w:r>
              <w:rPr>
                <w:noProof/>
                <w:webHidden/>
              </w:rPr>
              <w:instrText xml:space="preserve"> PAGEREF _Toc189738497 \h </w:instrText>
            </w:r>
            <w:r>
              <w:rPr>
                <w:noProof/>
                <w:webHidden/>
              </w:rPr>
            </w:r>
            <w:r>
              <w:rPr>
                <w:noProof/>
                <w:webHidden/>
              </w:rPr>
              <w:fldChar w:fldCharType="separate"/>
            </w:r>
            <w:r>
              <w:rPr>
                <w:noProof/>
                <w:webHidden/>
              </w:rPr>
              <w:t>19</w:t>
            </w:r>
            <w:r>
              <w:rPr>
                <w:noProof/>
                <w:webHidden/>
              </w:rPr>
              <w:fldChar w:fldCharType="end"/>
            </w:r>
          </w:hyperlink>
        </w:p>
        <w:p w:rsidR="00D13705" w:rsidRDefault="00D13705" w14:paraId="0BBC472D" w14:textId="6411D1D8">
          <w:pPr>
            <w:pStyle w:val="TOC1"/>
            <w:tabs>
              <w:tab w:val="right" w:leader="dot" w:pos="9350"/>
            </w:tabs>
            <w:rPr>
              <w:rFonts w:asciiTheme="minorHAnsi" w:hAnsiTheme="minorHAnsi" w:cstheme="minorBidi"/>
              <w:noProof/>
              <w:kern w:val="2"/>
              <w:sz w:val="24"/>
              <w:szCs w:val="24"/>
              <w14:ligatures w14:val="standardContextual"/>
            </w:rPr>
          </w:pPr>
          <w:hyperlink w:history="1" w:anchor="_Toc189738498">
            <w:r w:rsidRPr="00D53FDA">
              <w:rPr>
                <w:rStyle w:val="Hyperlink"/>
                <w:noProof/>
              </w:rPr>
              <w:t>4.</w:t>
            </w:r>
            <w:r>
              <w:rPr>
                <w:rFonts w:asciiTheme="minorHAnsi" w:hAnsiTheme="minorHAnsi" w:cstheme="minorBidi"/>
                <w:noProof/>
                <w:kern w:val="2"/>
                <w:sz w:val="24"/>
                <w:szCs w:val="24"/>
                <w14:ligatures w14:val="standardContextual"/>
              </w:rPr>
              <w:tab/>
            </w:r>
            <w:r w:rsidRPr="00D53FDA">
              <w:rPr>
                <w:rStyle w:val="Hyperlink"/>
                <w:noProof/>
              </w:rPr>
              <w:t>Issues Before the Commission</w:t>
            </w:r>
            <w:r>
              <w:rPr>
                <w:noProof/>
                <w:webHidden/>
              </w:rPr>
              <w:tab/>
            </w:r>
            <w:r>
              <w:rPr>
                <w:noProof/>
                <w:webHidden/>
              </w:rPr>
              <w:fldChar w:fldCharType="begin"/>
            </w:r>
            <w:r>
              <w:rPr>
                <w:noProof/>
                <w:webHidden/>
              </w:rPr>
              <w:instrText xml:space="preserve"> PAGEREF _Toc189738498 \h </w:instrText>
            </w:r>
            <w:r>
              <w:rPr>
                <w:noProof/>
                <w:webHidden/>
              </w:rPr>
            </w:r>
            <w:r>
              <w:rPr>
                <w:noProof/>
                <w:webHidden/>
              </w:rPr>
              <w:fldChar w:fldCharType="separate"/>
            </w:r>
            <w:r>
              <w:rPr>
                <w:noProof/>
                <w:webHidden/>
              </w:rPr>
              <w:t>20</w:t>
            </w:r>
            <w:r>
              <w:rPr>
                <w:noProof/>
                <w:webHidden/>
              </w:rPr>
              <w:fldChar w:fldCharType="end"/>
            </w:r>
          </w:hyperlink>
        </w:p>
        <w:p w:rsidR="00D13705" w:rsidRDefault="00D13705" w14:paraId="5103381A" w14:textId="75B4058B">
          <w:pPr>
            <w:pStyle w:val="TOC1"/>
            <w:tabs>
              <w:tab w:val="right" w:leader="dot" w:pos="9350"/>
            </w:tabs>
            <w:rPr>
              <w:rFonts w:asciiTheme="minorHAnsi" w:hAnsiTheme="minorHAnsi" w:cstheme="minorBidi"/>
              <w:noProof/>
              <w:kern w:val="2"/>
              <w:sz w:val="24"/>
              <w:szCs w:val="24"/>
              <w14:ligatures w14:val="standardContextual"/>
            </w:rPr>
          </w:pPr>
          <w:hyperlink w:history="1" w:anchor="_Toc189738499">
            <w:r w:rsidRPr="00D53FDA">
              <w:rPr>
                <w:rStyle w:val="Hyperlink"/>
                <w:rFonts w:cs="Arial" w:eastAsiaTheme="minorHAnsi"/>
                <w:bCs/>
                <w:noProof/>
              </w:rPr>
              <w:t>5.</w:t>
            </w:r>
            <w:r>
              <w:rPr>
                <w:rFonts w:asciiTheme="minorHAnsi" w:hAnsiTheme="minorHAnsi" w:cstheme="minorBidi"/>
                <w:noProof/>
                <w:kern w:val="2"/>
                <w:sz w:val="24"/>
                <w:szCs w:val="24"/>
                <w14:ligatures w14:val="standardContextual"/>
              </w:rPr>
              <w:tab/>
            </w:r>
            <w:r w:rsidRPr="00D53FDA">
              <w:rPr>
                <w:rStyle w:val="Hyperlink"/>
                <w:rFonts w:cs="Arial"/>
                <w:bCs/>
                <w:noProof/>
              </w:rPr>
              <w:t>Process Acceleration</w:t>
            </w:r>
            <w:r>
              <w:rPr>
                <w:noProof/>
                <w:webHidden/>
              </w:rPr>
              <w:tab/>
            </w:r>
            <w:r>
              <w:rPr>
                <w:noProof/>
                <w:webHidden/>
              </w:rPr>
              <w:fldChar w:fldCharType="begin"/>
            </w:r>
            <w:r>
              <w:rPr>
                <w:noProof/>
                <w:webHidden/>
              </w:rPr>
              <w:instrText xml:space="preserve"> PAGEREF _Toc189738499 \h </w:instrText>
            </w:r>
            <w:r>
              <w:rPr>
                <w:noProof/>
                <w:webHidden/>
              </w:rPr>
            </w:r>
            <w:r>
              <w:rPr>
                <w:noProof/>
                <w:webHidden/>
              </w:rPr>
              <w:fldChar w:fldCharType="separate"/>
            </w:r>
            <w:r>
              <w:rPr>
                <w:noProof/>
                <w:webHidden/>
              </w:rPr>
              <w:t>20</w:t>
            </w:r>
            <w:r>
              <w:rPr>
                <w:noProof/>
                <w:webHidden/>
              </w:rPr>
              <w:fldChar w:fldCharType="end"/>
            </w:r>
          </w:hyperlink>
        </w:p>
        <w:p w:rsidR="00D13705" w:rsidRDefault="00D13705" w14:paraId="038C247A" w14:textId="67C20D7B">
          <w:pPr>
            <w:pStyle w:val="TOC2"/>
            <w:tabs>
              <w:tab w:val="right" w:leader="dot" w:pos="9350"/>
            </w:tabs>
            <w:rPr>
              <w:rFonts w:asciiTheme="minorHAnsi" w:hAnsiTheme="minorHAnsi" w:cstheme="minorBidi"/>
              <w:noProof/>
              <w:kern w:val="2"/>
              <w:sz w:val="24"/>
              <w:szCs w:val="24"/>
              <w14:ligatures w14:val="standardContextual"/>
            </w:rPr>
          </w:pPr>
          <w:hyperlink w:history="1" w:anchor="_Toc189738500">
            <w:r w:rsidRPr="00D53FDA">
              <w:rPr>
                <w:rStyle w:val="Hyperlink"/>
                <w:noProof/>
              </w:rPr>
              <w:t>5.1.</w:t>
            </w:r>
            <w:r>
              <w:rPr>
                <w:rFonts w:asciiTheme="minorHAnsi" w:hAnsiTheme="minorHAnsi" w:cstheme="minorBidi"/>
                <w:noProof/>
                <w:kern w:val="2"/>
                <w:sz w:val="24"/>
                <w:szCs w:val="24"/>
                <w14:ligatures w14:val="standardContextual"/>
              </w:rPr>
              <w:tab/>
            </w:r>
            <w:r w:rsidRPr="00D53FDA">
              <w:rPr>
                <w:rStyle w:val="Hyperlink"/>
                <w:noProof/>
              </w:rPr>
              <w:t>Overview of Current GO 131-D Process</w:t>
            </w:r>
            <w:r>
              <w:rPr>
                <w:noProof/>
                <w:webHidden/>
              </w:rPr>
              <w:tab/>
            </w:r>
            <w:r>
              <w:rPr>
                <w:noProof/>
                <w:webHidden/>
              </w:rPr>
              <w:fldChar w:fldCharType="begin"/>
            </w:r>
            <w:r>
              <w:rPr>
                <w:noProof/>
                <w:webHidden/>
              </w:rPr>
              <w:instrText xml:space="preserve"> PAGEREF _Toc189738500 \h </w:instrText>
            </w:r>
            <w:r>
              <w:rPr>
                <w:noProof/>
                <w:webHidden/>
              </w:rPr>
            </w:r>
            <w:r>
              <w:rPr>
                <w:noProof/>
                <w:webHidden/>
              </w:rPr>
              <w:fldChar w:fldCharType="separate"/>
            </w:r>
            <w:r>
              <w:rPr>
                <w:noProof/>
                <w:webHidden/>
              </w:rPr>
              <w:t>21</w:t>
            </w:r>
            <w:r>
              <w:rPr>
                <w:noProof/>
                <w:webHidden/>
              </w:rPr>
              <w:fldChar w:fldCharType="end"/>
            </w:r>
          </w:hyperlink>
        </w:p>
        <w:p w:rsidR="00D13705" w:rsidRDefault="00D13705" w14:paraId="3260066E" w14:textId="6E55F072">
          <w:pPr>
            <w:pStyle w:val="TOC2"/>
            <w:tabs>
              <w:tab w:val="right" w:leader="dot" w:pos="9350"/>
            </w:tabs>
            <w:rPr>
              <w:rFonts w:asciiTheme="minorHAnsi" w:hAnsiTheme="minorHAnsi" w:cstheme="minorBidi"/>
              <w:noProof/>
              <w:kern w:val="2"/>
              <w:sz w:val="24"/>
              <w:szCs w:val="24"/>
              <w14:ligatures w14:val="standardContextual"/>
            </w:rPr>
          </w:pPr>
          <w:hyperlink w:history="1" w:anchor="_Toc189738501">
            <w:r w:rsidRPr="00D53FDA">
              <w:rPr>
                <w:rStyle w:val="Hyperlink"/>
                <w:noProof/>
              </w:rPr>
              <w:t>5.2.</w:t>
            </w:r>
            <w:r>
              <w:rPr>
                <w:rFonts w:asciiTheme="minorHAnsi" w:hAnsiTheme="minorHAnsi" w:cstheme="minorBidi"/>
                <w:noProof/>
                <w:kern w:val="2"/>
                <w:sz w:val="24"/>
                <w:szCs w:val="24"/>
                <w14:ligatures w14:val="standardContextual"/>
              </w:rPr>
              <w:tab/>
            </w:r>
            <w:r w:rsidRPr="00D53FDA">
              <w:rPr>
                <w:rStyle w:val="Hyperlink"/>
                <w:noProof/>
              </w:rPr>
              <w:t>Acceleration of Rule 2.4(b) Related Process</w:t>
            </w:r>
            <w:r>
              <w:rPr>
                <w:noProof/>
                <w:webHidden/>
              </w:rPr>
              <w:tab/>
            </w:r>
            <w:r>
              <w:rPr>
                <w:noProof/>
                <w:webHidden/>
              </w:rPr>
              <w:fldChar w:fldCharType="begin"/>
            </w:r>
            <w:r>
              <w:rPr>
                <w:noProof/>
                <w:webHidden/>
              </w:rPr>
              <w:instrText xml:space="preserve"> PAGEREF _Toc189738501 \h </w:instrText>
            </w:r>
            <w:r>
              <w:rPr>
                <w:noProof/>
                <w:webHidden/>
              </w:rPr>
            </w:r>
            <w:r>
              <w:rPr>
                <w:noProof/>
                <w:webHidden/>
              </w:rPr>
              <w:fldChar w:fldCharType="separate"/>
            </w:r>
            <w:r>
              <w:rPr>
                <w:noProof/>
                <w:webHidden/>
              </w:rPr>
              <w:t>25</w:t>
            </w:r>
            <w:r>
              <w:rPr>
                <w:noProof/>
                <w:webHidden/>
              </w:rPr>
              <w:fldChar w:fldCharType="end"/>
            </w:r>
          </w:hyperlink>
        </w:p>
        <w:p w:rsidR="00D13705" w:rsidRDefault="00D13705" w14:paraId="28E386F3" w14:textId="501CE769">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9738502">
            <w:r w:rsidRPr="00D53FDA">
              <w:rPr>
                <w:rStyle w:val="Hyperlink"/>
                <w:noProof/>
              </w:rPr>
              <w:t>5.2.2</w:t>
            </w:r>
            <w:r>
              <w:rPr>
                <w:rFonts w:asciiTheme="minorHAnsi" w:hAnsiTheme="minorHAnsi" w:cstheme="minorBidi"/>
                <w:noProof/>
                <w:kern w:val="2"/>
                <w:sz w:val="24"/>
                <w:szCs w:val="24"/>
                <w14:ligatures w14:val="standardContextual"/>
              </w:rPr>
              <w:tab/>
            </w:r>
            <w:r w:rsidRPr="00D53FDA">
              <w:rPr>
                <w:rStyle w:val="Hyperlink"/>
                <w:noProof/>
              </w:rPr>
              <w:t>Adoption of Proposals</w:t>
            </w:r>
            <w:r>
              <w:rPr>
                <w:noProof/>
                <w:webHidden/>
              </w:rPr>
              <w:tab/>
            </w:r>
            <w:r>
              <w:rPr>
                <w:noProof/>
                <w:webHidden/>
              </w:rPr>
              <w:fldChar w:fldCharType="begin"/>
            </w:r>
            <w:r>
              <w:rPr>
                <w:noProof/>
                <w:webHidden/>
              </w:rPr>
              <w:instrText xml:space="preserve"> PAGEREF _Toc189738502 \h </w:instrText>
            </w:r>
            <w:r>
              <w:rPr>
                <w:noProof/>
                <w:webHidden/>
              </w:rPr>
            </w:r>
            <w:r>
              <w:rPr>
                <w:noProof/>
                <w:webHidden/>
              </w:rPr>
              <w:fldChar w:fldCharType="separate"/>
            </w:r>
            <w:r>
              <w:rPr>
                <w:noProof/>
                <w:webHidden/>
              </w:rPr>
              <w:t>32</w:t>
            </w:r>
            <w:r>
              <w:rPr>
                <w:noProof/>
                <w:webHidden/>
              </w:rPr>
              <w:fldChar w:fldCharType="end"/>
            </w:r>
          </w:hyperlink>
        </w:p>
        <w:p w:rsidR="00D13705" w:rsidRDefault="00D13705" w14:paraId="3BBCDBB7" w14:textId="5F7DC3FD">
          <w:pPr>
            <w:pStyle w:val="TOC2"/>
            <w:tabs>
              <w:tab w:val="right" w:leader="dot" w:pos="9350"/>
            </w:tabs>
            <w:rPr>
              <w:rFonts w:asciiTheme="minorHAnsi" w:hAnsiTheme="minorHAnsi" w:cstheme="minorBidi"/>
              <w:noProof/>
              <w:kern w:val="2"/>
              <w:sz w:val="24"/>
              <w:szCs w:val="24"/>
              <w14:ligatures w14:val="standardContextual"/>
            </w:rPr>
          </w:pPr>
          <w:hyperlink w:history="1" w:anchor="_Toc189738503">
            <w:r w:rsidRPr="00D53FDA">
              <w:rPr>
                <w:rStyle w:val="Hyperlink"/>
                <w:noProof/>
              </w:rPr>
              <w:t>5.3</w:t>
            </w:r>
            <w:r>
              <w:rPr>
                <w:rFonts w:asciiTheme="minorHAnsi" w:hAnsiTheme="minorHAnsi" w:cstheme="minorBidi"/>
                <w:noProof/>
                <w:kern w:val="2"/>
                <w:sz w:val="24"/>
                <w:szCs w:val="24"/>
                <w14:ligatures w14:val="standardContextual"/>
              </w:rPr>
              <w:tab/>
            </w:r>
            <w:r w:rsidRPr="00D53FDA">
              <w:rPr>
                <w:rStyle w:val="Hyperlink"/>
                <w:noProof/>
              </w:rPr>
              <w:t>Acceleration of Commission’s CEQA Review</w:t>
            </w:r>
            <w:r>
              <w:rPr>
                <w:noProof/>
                <w:webHidden/>
              </w:rPr>
              <w:tab/>
            </w:r>
            <w:r>
              <w:rPr>
                <w:noProof/>
                <w:webHidden/>
              </w:rPr>
              <w:fldChar w:fldCharType="begin"/>
            </w:r>
            <w:r>
              <w:rPr>
                <w:noProof/>
                <w:webHidden/>
              </w:rPr>
              <w:instrText xml:space="preserve"> PAGEREF _Toc189738503 \h </w:instrText>
            </w:r>
            <w:r>
              <w:rPr>
                <w:noProof/>
                <w:webHidden/>
              </w:rPr>
            </w:r>
            <w:r>
              <w:rPr>
                <w:noProof/>
                <w:webHidden/>
              </w:rPr>
              <w:fldChar w:fldCharType="separate"/>
            </w:r>
            <w:r>
              <w:rPr>
                <w:noProof/>
                <w:webHidden/>
              </w:rPr>
              <w:t>36</w:t>
            </w:r>
            <w:r>
              <w:rPr>
                <w:noProof/>
                <w:webHidden/>
              </w:rPr>
              <w:fldChar w:fldCharType="end"/>
            </w:r>
          </w:hyperlink>
        </w:p>
        <w:p w:rsidR="00D13705" w:rsidRDefault="00D13705" w14:paraId="5745C13D" w14:textId="69BC1257">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9738504">
            <w:r w:rsidRPr="00D53FDA">
              <w:rPr>
                <w:rStyle w:val="Hyperlink"/>
                <w:noProof/>
              </w:rPr>
              <w:t>5.3.1</w:t>
            </w:r>
            <w:r>
              <w:rPr>
                <w:rFonts w:asciiTheme="minorHAnsi" w:hAnsiTheme="minorHAnsi" w:cstheme="minorBidi"/>
                <w:noProof/>
                <w:kern w:val="2"/>
                <w:sz w:val="24"/>
                <w:szCs w:val="24"/>
                <w14:ligatures w14:val="standardContextual"/>
              </w:rPr>
              <w:tab/>
            </w:r>
            <w:r w:rsidRPr="00D53FDA">
              <w:rPr>
                <w:rStyle w:val="Hyperlink"/>
                <w:noProof/>
              </w:rPr>
              <w:t>Proposals and Party Positions</w:t>
            </w:r>
            <w:r>
              <w:rPr>
                <w:noProof/>
                <w:webHidden/>
              </w:rPr>
              <w:tab/>
            </w:r>
            <w:r>
              <w:rPr>
                <w:noProof/>
                <w:webHidden/>
              </w:rPr>
              <w:fldChar w:fldCharType="begin"/>
            </w:r>
            <w:r>
              <w:rPr>
                <w:noProof/>
                <w:webHidden/>
              </w:rPr>
              <w:instrText xml:space="preserve"> PAGEREF _Toc189738504 \h </w:instrText>
            </w:r>
            <w:r>
              <w:rPr>
                <w:noProof/>
                <w:webHidden/>
              </w:rPr>
            </w:r>
            <w:r>
              <w:rPr>
                <w:noProof/>
                <w:webHidden/>
              </w:rPr>
              <w:fldChar w:fldCharType="separate"/>
            </w:r>
            <w:r>
              <w:rPr>
                <w:noProof/>
                <w:webHidden/>
              </w:rPr>
              <w:t>37</w:t>
            </w:r>
            <w:r>
              <w:rPr>
                <w:noProof/>
                <w:webHidden/>
              </w:rPr>
              <w:fldChar w:fldCharType="end"/>
            </w:r>
          </w:hyperlink>
        </w:p>
        <w:p w:rsidR="00D13705" w:rsidRDefault="00D13705" w14:paraId="2A131F1F" w14:textId="4F33577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9738505">
            <w:r w:rsidRPr="00D53FDA">
              <w:rPr>
                <w:rStyle w:val="Hyperlink"/>
                <w:noProof/>
              </w:rPr>
              <w:t>5.3.2</w:t>
            </w:r>
            <w:r>
              <w:rPr>
                <w:rFonts w:asciiTheme="minorHAnsi" w:hAnsiTheme="minorHAnsi" w:cstheme="minorBidi"/>
                <w:noProof/>
                <w:kern w:val="2"/>
                <w:sz w:val="24"/>
                <w:szCs w:val="24"/>
                <w14:ligatures w14:val="standardContextual"/>
              </w:rPr>
              <w:tab/>
            </w:r>
            <w:r w:rsidRPr="00D53FDA">
              <w:rPr>
                <w:rStyle w:val="Hyperlink"/>
                <w:noProof/>
              </w:rPr>
              <w:t>Adoption of Proposals</w:t>
            </w:r>
            <w:r>
              <w:rPr>
                <w:noProof/>
                <w:webHidden/>
              </w:rPr>
              <w:tab/>
            </w:r>
            <w:r>
              <w:rPr>
                <w:noProof/>
                <w:webHidden/>
              </w:rPr>
              <w:fldChar w:fldCharType="begin"/>
            </w:r>
            <w:r>
              <w:rPr>
                <w:noProof/>
                <w:webHidden/>
              </w:rPr>
              <w:instrText xml:space="preserve"> PAGEREF _Toc189738505 \h </w:instrText>
            </w:r>
            <w:r>
              <w:rPr>
                <w:noProof/>
                <w:webHidden/>
              </w:rPr>
            </w:r>
            <w:r>
              <w:rPr>
                <w:noProof/>
                <w:webHidden/>
              </w:rPr>
              <w:fldChar w:fldCharType="separate"/>
            </w:r>
            <w:r>
              <w:rPr>
                <w:noProof/>
                <w:webHidden/>
              </w:rPr>
              <w:t>46</w:t>
            </w:r>
            <w:r>
              <w:rPr>
                <w:noProof/>
                <w:webHidden/>
              </w:rPr>
              <w:fldChar w:fldCharType="end"/>
            </w:r>
          </w:hyperlink>
        </w:p>
        <w:p w:rsidR="00D13705" w:rsidRDefault="00D13705" w14:paraId="3A9DB98F" w14:textId="413B23B3">
          <w:pPr>
            <w:pStyle w:val="TOC3"/>
            <w:tabs>
              <w:tab w:val="left" w:pos="1296"/>
              <w:tab w:val="right" w:leader="dot" w:pos="9350"/>
            </w:tabs>
            <w:rPr>
              <w:rFonts w:asciiTheme="minorHAnsi" w:hAnsiTheme="minorHAnsi" w:cstheme="minorBidi"/>
              <w:noProof/>
              <w:kern w:val="2"/>
              <w:sz w:val="24"/>
              <w:szCs w:val="24"/>
              <w14:ligatures w14:val="standardContextual"/>
            </w:rPr>
          </w:pPr>
          <w:hyperlink w:history="1" w:anchor="_Toc189738506">
            <w:r w:rsidRPr="00D53FDA">
              <w:rPr>
                <w:rStyle w:val="Hyperlink"/>
                <w:noProof/>
              </w:rPr>
              <w:t>5.3.3</w:t>
            </w:r>
            <w:r>
              <w:rPr>
                <w:rFonts w:asciiTheme="minorHAnsi" w:hAnsiTheme="minorHAnsi" w:cstheme="minorBidi"/>
                <w:noProof/>
                <w:kern w:val="2"/>
                <w:sz w:val="24"/>
                <w:szCs w:val="24"/>
                <w14:ligatures w14:val="standardContextual"/>
              </w:rPr>
              <w:tab/>
            </w:r>
            <w:r w:rsidRPr="00D53FDA">
              <w:rPr>
                <w:rStyle w:val="Hyperlink"/>
                <w:noProof/>
              </w:rPr>
              <w:t>Disposition of Other Proposals</w:t>
            </w:r>
            <w:r>
              <w:rPr>
                <w:noProof/>
                <w:webHidden/>
              </w:rPr>
              <w:tab/>
            </w:r>
            <w:r>
              <w:rPr>
                <w:noProof/>
                <w:webHidden/>
              </w:rPr>
              <w:fldChar w:fldCharType="begin"/>
            </w:r>
            <w:r>
              <w:rPr>
                <w:noProof/>
                <w:webHidden/>
              </w:rPr>
              <w:instrText xml:space="preserve"> PAGEREF _Toc189738506 \h </w:instrText>
            </w:r>
            <w:r>
              <w:rPr>
                <w:noProof/>
                <w:webHidden/>
              </w:rPr>
            </w:r>
            <w:r>
              <w:rPr>
                <w:noProof/>
                <w:webHidden/>
              </w:rPr>
              <w:fldChar w:fldCharType="separate"/>
            </w:r>
            <w:r>
              <w:rPr>
                <w:noProof/>
                <w:webHidden/>
              </w:rPr>
              <w:t>48</w:t>
            </w:r>
            <w:r>
              <w:rPr>
                <w:noProof/>
                <w:webHidden/>
              </w:rPr>
              <w:fldChar w:fldCharType="end"/>
            </w:r>
          </w:hyperlink>
        </w:p>
        <w:p w:rsidR="00D13705" w:rsidRDefault="00D13705" w14:paraId="4FE47FDC" w14:textId="2C2B1E7B">
          <w:pPr>
            <w:pStyle w:val="TOC1"/>
            <w:tabs>
              <w:tab w:val="right" w:leader="dot" w:pos="9350"/>
            </w:tabs>
            <w:rPr>
              <w:rFonts w:asciiTheme="minorHAnsi" w:hAnsiTheme="minorHAnsi" w:cstheme="minorBidi"/>
              <w:noProof/>
              <w:kern w:val="2"/>
              <w:sz w:val="24"/>
              <w:szCs w:val="24"/>
              <w14:ligatures w14:val="standardContextual"/>
            </w:rPr>
          </w:pPr>
          <w:hyperlink w:history="1" w:anchor="_Toc189738507">
            <w:r w:rsidRPr="00D53FDA">
              <w:rPr>
                <w:rStyle w:val="Hyperlink"/>
                <w:noProof/>
              </w:rPr>
              <w:t>6.</w:t>
            </w:r>
            <w:r>
              <w:rPr>
                <w:rFonts w:asciiTheme="minorHAnsi" w:hAnsiTheme="minorHAnsi" w:cstheme="minorBidi"/>
                <w:noProof/>
                <w:kern w:val="2"/>
                <w:sz w:val="24"/>
                <w:szCs w:val="24"/>
                <w14:ligatures w14:val="standardContextual"/>
              </w:rPr>
              <w:tab/>
            </w:r>
            <w:r w:rsidRPr="00D53FDA">
              <w:rPr>
                <w:rStyle w:val="Hyperlink"/>
                <w:bCs/>
                <w:noProof/>
              </w:rPr>
              <w:t>Rebuttable Presumption in Favor of CAISO Transmission Plan</w:t>
            </w:r>
            <w:r w:rsidRPr="00D53FDA">
              <w:rPr>
                <w:rStyle w:val="Hyperlink"/>
                <w:noProof/>
              </w:rPr>
              <w:t xml:space="preserve"> Findings</w:t>
            </w:r>
            <w:r>
              <w:rPr>
                <w:noProof/>
                <w:webHidden/>
              </w:rPr>
              <w:tab/>
            </w:r>
            <w:r>
              <w:rPr>
                <w:noProof/>
                <w:webHidden/>
              </w:rPr>
              <w:fldChar w:fldCharType="begin"/>
            </w:r>
            <w:r>
              <w:rPr>
                <w:noProof/>
                <w:webHidden/>
              </w:rPr>
              <w:instrText xml:space="preserve"> PAGEREF _Toc189738507 \h </w:instrText>
            </w:r>
            <w:r>
              <w:rPr>
                <w:noProof/>
                <w:webHidden/>
              </w:rPr>
            </w:r>
            <w:r>
              <w:rPr>
                <w:noProof/>
                <w:webHidden/>
              </w:rPr>
              <w:fldChar w:fldCharType="separate"/>
            </w:r>
            <w:r>
              <w:rPr>
                <w:noProof/>
                <w:webHidden/>
              </w:rPr>
              <w:t>50</w:t>
            </w:r>
            <w:r>
              <w:rPr>
                <w:noProof/>
                <w:webHidden/>
              </w:rPr>
              <w:fldChar w:fldCharType="end"/>
            </w:r>
          </w:hyperlink>
        </w:p>
        <w:p w:rsidR="00D13705" w:rsidRDefault="00D13705" w14:paraId="0C09FDC1" w14:textId="5DE26884">
          <w:pPr>
            <w:pStyle w:val="TOC1"/>
            <w:tabs>
              <w:tab w:val="right" w:leader="dot" w:pos="9350"/>
            </w:tabs>
            <w:rPr>
              <w:rFonts w:asciiTheme="minorHAnsi" w:hAnsiTheme="minorHAnsi" w:cstheme="minorBidi"/>
              <w:noProof/>
              <w:kern w:val="2"/>
              <w:sz w:val="24"/>
              <w:szCs w:val="24"/>
              <w14:ligatures w14:val="standardContextual"/>
            </w:rPr>
          </w:pPr>
          <w:hyperlink w:history="1" w:anchor="_Toc189738508">
            <w:r w:rsidRPr="00D53FDA">
              <w:rPr>
                <w:rStyle w:val="Hyperlink"/>
                <w:bCs/>
                <w:noProof/>
              </w:rPr>
              <w:t>7.</w:t>
            </w:r>
            <w:r>
              <w:rPr>
                <w:rFonts w:asciiTheme="minorHAnsi" w:hAnsiTheme="minorHAnsi" w:cstheme="minorBidi"/>
                <w:noProof/>
                <w:kern w:val="2"/>
                <w:sz w:val="24"/>
                <w:szCs w:val="24"/>
                <w14:ligatures w14:val="standardContextual"/>
              </w:rPr>
              <w:tab/>
            </w:r>
            <w:r w:rsidRPr="00D53FDA">
              <w:rPr>
                <w:rStyle w:val="Hyperlink"/>
                <w:noProof/>
              </w:rPr>
              <w:t>Terms and CPCN and PTC Exemptions</w:t>
            </w:r>
            <w:r>
              <w:rPr>
                <w:noProof/>
                <w:webHidden/>
              </w:rPr>
              <w:tab/>
            </w:r>
            <w:r>
              <w:rPr>
                <w:noProof/>
                <w:webHidden/>
              </w:rPr>
              <w:fldChar w:fldCharType="begin"/>
            </w:r>
            <w:r>
              <w:rPr>
                <w:noProof/>
                <w:webHidden/>
              </w:rPr>
              <w:instrText xml:space="preserve"> PAGEREF _Toc189738508 \h </w:instrText>
            </w:r>
            <w:r>
              <w:rPr>
                <w:noProof/>
                <w:webHidden/>
              </w:rPr>
            </w:r>
            <w:r>
              <w:rPr>
                <w:noProof/>
                <w:webHidden/>
              </w:rPr>
              <w:fldChar w:fldCharType="separate"/>
            </w:r>
            <w:r>
              <w:rPr>
                <w:noProof/>
                <w:webHidden/>
              </w:rPr>
              <w:t>61</w:t>
            </w:r>
            <w:r>
              <w:rPr>
                <w:noProof/>
                <w:webHidden/>
              </w:rPr>
              <w:fldChar w:fldCharType="end"/>
            </w:r>
          </w:hyperlink>
        </w:p>
        <w:p w:rsidR="00D13705" w:rsidRDefault="00D13705" w14:paraId="76589EFD" w14:textId="4BCA594D">
          <w:pPr>
            <w:pStyle w:val="TOC2"/>
            <w:tabs>
              <w:tab w:val="right" w:leader="dot" w:pos="9350"/>
            </w:tabs>
            <w:rPr>
              <w:rFonts w:asciiTheme="minorHAnsi" w:hAnsiTheme="minorHAnsi" w:cstheme="minorBidi"/>
              <w:noProof/>
              <w:kern w:val="2"/>
              <w:sz w:val="24"/>
              <w:szCs w:val="24"/>
              <w14:ligatures w14:val="standardContextual"/>
            </w:rPr>
          </w:pPr>
          <w:hyperlink w:history="1" w:anchor="_Toc189738509">
            <w:r w:rsidRPr="00D53FDA">
              <w:rPr>
                <w:rStyle w:val="Hyperlink"/>
                <w:noProof/>
              </w:rPr>
              <w:t>7.1.</w:t>
            </w:r>
            <w:r>
              <w:rPr>
                <w:rFonts w:asciiTheme="minorHAnsi" w:hAnsiTheme="minorHAnsi" w:cstheme="minorBidi"/>
                <w:noProof/>
                <w:kern w:val="2"/>
                <w:sz w:val="24"/>
                <w:szCs w:val="24"/>
                <w14:ligatures w14:val="standardContextual"/>
              </w:rPr>
              <w:tab/>
            </w:r>
            <w:r w:rsidRPr="00D53FDA">
              <w:rPr>
                <w:rStyle w:val="Hyperlink"/>
                <w:noProof/>
              </w:rPr>
              <w:t>Definition of Existing Electrical Transmission Facility</w:t>
            </w:r>
            <w:r>
              <w:rPr>
                <w:noProof/>
                <w:webHidden/>
              </w:rPr>
              <w:tab/>
            </w:r>
            <w:r>
              <w:rPr>
                <w:noProof/>
                <w:webHidden/>
              </w:rPr>
              <w:fldChar w:fldCharType="begin"/>
            </w:r>
            <w:r>
              <w:rPr>
                <w:noProof/>
                <w:webHidden/>
              </w:rPr>
              <w:instrText xml:space="preserve"> PAGEREF _Toc189738509 \h </w:instrText>
            </w:r>
            <w:r>
              <w:rPr>
                <w:noProof/>
                <w:webHidden/>
              </w:rPr>
            </w:r>
            <w:r>
              <w:rPr>
                <w:noProof/>
                <w:webHidden/>
              </w:rPr>
              <w:fldChar w:fldCharType="separate"/>
            </w:r>
            <w:r>
              <w:rPr>
                <w:noProof/>
                <w:webHidden/>
              </w:rPr>
              <w:t>64</w:t>
            </w:r>
            <w:r>
              <w:rPr>
                <w:noProof/>
                <w:webHidden/>
              </w:rPr>
              <w:fldChar w:fldCharType="end"/>
            </w:r>
          </w:hyperlink>
        </w:p>
        <w:p w:rsidR="00D13705" w:rsidRDefault="00D13705" w14:paraId="40D853DC" w14:textId="7FDBDC4A">
          <w:pPr>
            <w:pStyle w:val="TOC2"/>
            <w:tabs>
              <w:tab w:val="right" w:leader="dot" w:pos="9350"/>
            </w:tabs>
            <w:rPr>
              <w:rFonts w:asciiTheme="minorHAnsi" w:hAnsiTheme="minorHAnsi" w:cstheme="minorBidi"/>
              <w:noProof/>
              <w:kern w:val="2"/>
              <w:sz w:val="24"/>
              <w:szCs w:val="24"/>
              <w14:ligatures w14:val="standardContextual"/>
            </w:rPr>
          </w:pPr>
          <w:hyperlink w:history="1" w:anchor="_Toc189738510">
            <w:r w:rsidRPr="00D53FDA">
              <w:rPr>
                <w:rStyle w:val="Hyperlink"/>
                <w:noProof/>
              </w:rPr>
              <w:t>7.2.</w:t>
            </w:r>
            <w:r>
              <w:rPr>
                <w:rFonts w:asciiTheme="minorHAnsi" w:hAnsiTheme="minorHAnsi" w:cstheme="minorBidi"/>
                <w:noProof/>
                <w:kern w:val="2"/>
                <w:sz w:val="24"/>
                <w:szCs w:val="24"/>
                <w14:ligatures w14:val="standardContextual"/>
              </w:rPr>
              <w:tab/>
            </w:r>
            <w:r w:rsidRPr="00D53FDA">
              <w:rPr>
                <w:rStyle w:val="Hyperlink"/>
                <w:noProof/>
              </w:rPr>
              <w:t>Definition of Extension, Expansion, Upgrade, and Modification</w:t>
            </w:r>
            <w:r>
              <w:rPr>
                <w:noProof/>
                <w:webHidden/>
              </w:rPr>
              <w:tab/>
            </w:r>
            <w:r>
              <w:rPr>
                <w:noProof/>
                <w:webHidden/>
              </w:rPr>
              <w:fldChar w:fldCharType="begin"/>
            </w:r>
            <w:r>
              <w:rPr>
                <w:noProof/>
                <w:webHidden/>
              </w:rPr>
              <w:instrText xml:space="preserve"> PAGEREF _Toc189738510 \h </w:instrText>
            </w:r>
            <w:r>
              <w:rPr>
                <w:noProof/>
                <w:webHidden/>
              </w:rPr>
            </w:r>
            <w:r>
              <w:rPr>
                <w:noProof/>
                <w:webHidden/>
              </w:rPr>
              <w:fldChar w:fldCharType="separate"/>
            </w:r>
            <w:r>
              <w:rPr>
                <w:noProof/>
                <w:webHidden/>
              </w:rPr>
              <w:t>66</w:t>
            </w:r>
            <w:r>
              <w:rPr>
                <w:noProof/>
                <w:webHidden/>
              </w:rPr>
              <w:fldChar w:fldCharType="end"/>
            </w:r>
          </w:hyperlink>
        </w:p>
        <w:p w:rsidR="00D13705" w:rsidRDefault="00D13705" w14:paraId="4615F3D1" w14:textId="142AF683">
          <w:pPr>
            <w:pStyle w:val="TOC2"/>
            <w:tabs>
              <w:tab w:val="right" w:leader="dot" w:pos="9350"/>
            </w:tabs>
            <w:rPr>
              <w:rFonts w:asciiTheme="minorHAnsi" w:hAnsiTheme="minorHAnsi" w:cstheme="minorBidi"/>
              <w:noProof/>
              <w:kern w:val="2"/>
              <w:sz w:val="24"/>
              <w:szCs w:val="24"/>
              <w14:ligatures w14:val="standardContextual"/>
            </w:rPr>
          </w:pPr>
          <w:hyperlink w:history="1" w:anchor="_Toc189738511">
            <w:r w:rsidRPr="00D53FDA">
              <w:rPr>
                <w:rStyle w:val="Hyperlink"/>
                <w:noProof/>
              </w:rPr>
              <w:t>7.3.</w:t>
            </w:r>
            <w:r>
              <w:rPr>
                <w:rFonts w:asciiTheme="minorHAnsi" w:hAnsiTheme="minorHAnsi" w:cstheme="minorBidi"/>
                <w:noProof/>
                <w:kern w:val="2"/>
                <w:sz w:val="24"/>
                <w:szCs w:val="24"/>
                <w14:ligatures w14:val="standardContextual"/>
              </w:rPr>
              <w:tab/>
            </w:r>
            <w:r w:rsidRPr="00D53FDA">
              <w:rPr>
                <w:rStyle w:val="Hyperlink"/>
                <w:noProof/>
              </w:rPr>
              <w:t>Definition of Equivalent Facilities or Structures</w:t>
            </w:r>
            <w:r>
              <w:rPr>
                <w:noProof/>
                <w:webHidden/>
              </w:rPr>
              <w:tab/>
            </w:r>
            <w:r>
              <w:rPr>
                <w:noProof/>
                <w:webHidden/>
              </w:rPr>
              <w:fldChar w:fldCharType="begin"/>
            </w:r>
            <w:r>
              <w:rPr>
                <w:noProof/>
                <w:webHidden/>
              </w:rPr>
              <w:instrText xml:space="preserve"> PAGEREF _Toc189738511 \h </w:instrText>
            </w:r>
            <w:r>
              <w:rPr>
                <w:noProof/>
                <w:webHidden/>
              </w:rPr>
            </w:r>
            <w:r>
              <w:rPr>
                <w:noProof/>
                <w:webHidden/>
              </w:rPr>
              <w:fldChar w:fldCharType="separate"/>
            </w:r>
            <w:r>
              <w:rPr>
                <w:noProof/>
                <w:webHidden/>
              </w:rPr>
              <w:t>74</w:t>
            </w:r>
            <w:r>
              <w:rPr>
                <w:noProof/>
                <w:webHidden/>
              </w:rPr>
              <w:fldChar w:fldCharType="end"/>
            </w:r>
          </w:hyperlink>
        </w:p>
        <w:p w:rsidR="00D13705" w:rsidRDefault="00D13705" w14:paraId="53376B0C" w14:textId="695F8AAF">
          <w:pPr>
            <w:pStyle w:val="TOC2"/>
            <w:tabs>
              <w:tab w:val="right" w:leader="dot" w:pos="9350"/>
            </w:tabs>
            <w:rPr>
              <w:rFonts w:asciiTheme="minorHAnsi" w:hAnsiTheme="minorHAnsi" w:cstheme="minorBidi"/>
              <w:noProof/>
              <w:kern w:val="2"/>
              <w:sz w:val="24"/>
              <w:szCs w:val="24"/>
              <w14:ligatures w14:val="standardContextual"/>
            </w:rPr>
          </w:pPr>
          <w:hyperlink w:history="1" w:anchor="_Toc189738512">
            <w:r w:rsidRPr="00D53FDA">
              <w:rPr>
                <w:rStyle w:val="Hyperlink"/>
                <w:noProof/>
              </w:rPr>
              <w:t>7.4.</w:t>
            </w:r>
            <w:r>
              <w:rPr>
                <w:rFonts w:asciiTheme="minorHAnsi" w:hAnsiTheme="minorHAnsi" w:cstheme="minorBidi"/>
                <w:noProof/>
                <w:kern w:val="2"/>
                <w:sz w:val="24"/>
                <w:szCs w:val="24"/>
                <w14:ligatures w14:val="standardContextual"/>
              </w:rPr>
              <w:tab/>
            </w:r>
            <w:r w:rsidRPr="00D53FDA">
              <w:rPr>
                <w:rStyle w:val="Hyperlink"/>
                <w:noProof/>
              </w:rPr>
              <w:t>Definition of Accessories</w:t>
            </w:r>
            <w:r>
              <w:rPr>
                <w:noProof/>
                <w:webHidden/>
              </w:rPr>
              <w:tab/>
            </w:r>
            <w:r>
              <w:rPr>
                <w:noProof/>
                <w:webHidden/>
              </w:rPr>
              <w:fldChar w:fldCharType="begin"/>
            </w:r>
            <w:r>
              <w:rPr>
                <w:noProof/>
                <w:webHidden/>
              </w:rPr>
              <w:instrText xml:space="preserve"> PAGEREF _Toc189738512 \h </w:instrText>
            </w:r>
            <w:r>
              <w:rPr>
                <w:noProof/>
                <w:webHidden/>
              </w:rPr>
            </w:r>
            <w:r>
              <w:rPr>
                <w:noProof/>
                <w:webHidden/>
              </w:rPr>
              <w:fldChar w:fldCharType="separate"/>
            </w:r>
            <w:r>
              <w:rPr>
                <w:noProof/>
                <w:webHidden/>
              </w:rPr>
              <w:t>77</w:t>
            </w:r>
            <w:r>
              <w:rPr>
                <w:noProof/>
                <w:webHidden/>
              </w:rPr>
              <w:fldChar w:fldCharType="end"/>
            </w:r>
          </w:hyperlink>
        </w:p>
        <w:p w:rsidR="00D13705" w:rsidRDefault="00D13705" w14:paraId="10128833" w14:textId="4BD96C69">
          <w:pPr>
            <w:pStyle w:val="TOC2"/>
            <w:tabs>
              <w:tab w:val="right" w:leader="dot" w:pos="9350"/>
            </w:tabs>
            <w:rPr>
              <w:rFonts w:asciiTheme="minorHAnsi" w:hAnsiTheme="minorHAnsi" w:cstheme="minorBidi"/>
              <w:noProof/>
              <w:kern w:val="2"/>
              <w:sz w:val="24"/>
              <w:szCs w:val="24"/>
              <w14:ligatures w14:val="standardContextual"/>
            </w:rPr>
          </w:pPr>
          <w:hyperlink w:history="1" w:anchor="_Toc189738513">
            <w:r w:rsidRPr="00D53FDA">
              <w:rPr>
                <w:rStyle w:val="Hyperlink"/>
                <w:noProof/>
              </w:rPr>
              <w:t>7.5.</w:t>
            </w:r>
            <w:r>
              <w:rPr>
                <w:rFonts w:asciiTheme="minorHAnsi" w:hAnsiTheme="minorHAnsi" w:cstheme="minorBidi"/>
                <w:noProof/>
                <w:kern w:val="2"/>
                <w:sz w:val="24"/>
                <w:szCs w:val="24"/>
                <w14:ligatures w14:val="standardContextual"/>
              </w:rPr>
              <w:tab/>
            </w:r>
            <w:r w:rsidRPr="00D53FDA">
              <w:rPr>
                <w:rStyle w:val="Hyperlink"/>
                <w:noProof/>
              </w:rPr>
              <w:t>PTC Exemption “f” Clarification</w:t>
            </w:r>
            <w:r>
              <w:rPr>
                <w:noProof/>
                <w:webHidden/>
              </w:rPr>
              <w:tab/>
            </w:r>
            <w:r>
              <w:rPr>
                <w:noProof/>
                <w:webHidden/>
              </w:rPr>
              <w:fldChar w:fldCharType="begin"/>
            </w:r>
            <w:r>
              <w:rPr>
                <w:noProof/>
                <w:webHidden/>
              </w:rPr>
              <w:instrText xml:space="preserve"> PAGEREF _Toc189738513 \h </w:instrText>
            </w:r>
            <w:r>
              <w:rPr>
                <w:noProof/>
                <w:webHidden/>
              </w:rPr>
            </w:r>
            <w:r>
              <w:rPr>
                <w:noProof/>
                <w:webHidden/>
              </w:rPr>
              <w:fldChar w:fldCharType="separate"/>
            </w:r>
            <w:r>
              <w:rPr>
                <w:noProof/>
                <w:webHidden/>
              </w:rPr>
              <w:t>83</w:t>
            </w:r>
            <w:r>
              <w:rPr>
                <w:noProof/>
                <w:webHidden/>
              </w:rPr>
              <w:fldChar w:fldCharType="end"/>
            </w:r>
          </w:hyperlink>
        </w:p>
        <w:p w:rsidR="00D13705" w:rsidRDefault="00D13705" w14:paraId="31FFC207" w14:textId="7ABB654F">
          <w:pPr>
            <w:pStyle w:val="TOC2"/>
            <w:tabs>
              <w:tab w:val="right" w:leader="dot" w:pos="9350"/>
            </w:tabs>
            <w:rPr>
              <w:rFonts w:asciiTheme="minorHAnsi" w:hAnsiTheme="minorHAnsi" w:cstheme="minorBidi"/>
              <w:noProof/>
              <w:kern w:val="2"/>
              <w:sz w:val="24"/>
              <w:szCs w:val="24"/>
              <w14:ligatures w14:val="standardContextual"/>
            </w:rPr>
          </w:pPr>
          <w:hyperlink w:history="1" w:anchor="_Toc189738514">
            <w:r w:rsidRPr="00D53FDA">
              <w:rPr>
                <w:rStyle w:val="Hyperlink"/>
                <w:noProof/>
              </w:rPr>
              <w:t>7.6.</w:t>
            </w:r>
            <w:r>
              <w:rPr>
                <w:rFonts w:asciiTheme="minorHAnsi" w:hAnsiTheme="minorHAnsi" w:cstheme="minorBidi"/>
                <w:noProof/>
                <w:kern w:val="2"/>
                <w:sz w:val="24"/>
                <w:szCs w:val="24"/>
                <w14:ligatures w14:val="standardContextual"/>
              </w:rPr>
              <w:tab/>
            </w:r>
            <w:r w:rsidRPr="00D53FDA">
              <w:rPr>
                <w:rStyle w:val="Hyperlink"/>
                <w:noProof/>
              </w:rPr>
              <w:t>PTC Exemption “g” Clarification</w:t>
            </w:r>
            <w:r>
              <w:rPr>
                <w:noProof/>
                <w:webHidden/>
              </w:rPr>
              <w:tab/>
            </w:r>
            <w:r>
              <w:rPr>
                <w:noProof/>
                <w:webHidden/>
              </w:rPr>
              <w:fldChar w:fldCharType="begin"/>
            </w:r>
            <w:r>
              <w:rPr>
                <w:noProof/>
                <w:webHidden/>
              </w:rPr>
              <w:instrText xml:space="preserve"> PAGEREF _Toc189738514 \h </w:instrText>
            </w:r>
            <w:r>
              <w:rPr>
                <w:noProof/>
                <w:webHidden/>
              </w:rPr>
            </w:r>
            <w:r>
              <w:rPr>
                <w:noProof/>
                <w:webHidden/>
              </w:rPr>
              <w:fldChar w:fldCharType="separate"/>
            </w:r>
            <w:r>
              <w:rPr>
                <w:noProof/>
                <w:webHidden/>
              </w:rPr>
              <w:t>86</w:t>
            </w:r>
            <w:r>
              <w:rPr>
                <w:noProof/>
                <w:webHidden/>
              </w:rPr>
              <w:fldChar w:fldCharType="end"/>
            </w:r>
          </w:hyperlink>
        </w:p>
        <w:p w:rsidR="00D13705" w:rsidRDefault="00D13705" w14:paraId="3BC3548B" w14:textId="268E91CA">
          <w:pPr>
            <w:pStyle w:val="TOC2"/>
            <w:tabs>
              <w:tab w:val="right" w:leader="dot" w:pos="9350"/>
            </w:tabs>
            <w:rPr>
              <w:rFonts w:asciiTheme="minorHAnsi" w:hAnsiTheme="minorHAnsi" w:cstheme="minorBidi"/>
              <w:noProof/>
              <w:kern w:val="2"/>
              <w:sz w:val="24"/>
              <w:szCs w:val="24"/>
              <w14:ligatures w14:val="standardContextual"/>
            </w:rPr>
          </w:pPr>
          <w:hyperlink w:history="1" w:anchor="_Toc189738515">
            <w:r w:rsidRPr="00D53FDA">
              <w:rPr>
                <w:rStyle w:val="Hyperlink"/>
                <w:noProof/>
              </w:rPr>
              <w:t>7.7.</w:t>
            </w:r>
            <w:r>
              <w:rPr>
                <w:rFonts w:asciiTheme="minorHAnsi" w:hAnsiTheme="minorHAnsi" w:cstheme="minorBidi"/>
                <w:noProof/>
                <w:kern w:val="2"/>
                <w:sz w:val="24"/>
                <w:szCs w:val="24"/>
                <w14:ligatures w14:val="standardContextual"/>
              </w:rPr>
              <w:tab/>
            </w:r>
            <w:r w:rsidRPr="00D53FDA">
              <w:rPr>
                <w:rStyle w:val="Hyperlink"/>
                <w:noProof/>
              </w:rPr>
              <w:t>PTC Exemption “h” Clarification</w:t>
            </w:r>
            <w:r>
              <w:rPr>
                <w:noProof/>
                <w:webHidden/>
              </w:rPr>
              <w:tab/>
            </w:r>
            <w:r>
              <w:rPr>
                <w:noProof/>
                <w:webHidden/>
              </w:rPr>
              <w:fldChar w:fldCharType="begin"/>
            </w:r>
            <w:r>
              <w:rPr>
                <w:noProof/>
                <w:webHidden/>
              </w:rPr>
              <w:instrText xml:space="preserve"> PAGEREF _Toc189738515 \h </w:instrText>
            </w:r>
            <w:r>
              <w:rPr>
                <w:noProof/>
                <w:webHidden/>
              </w:rPr>
            </w:r>
            <w:r>
              <w:rPr>
                <w:noProof/>
                <w:webHidden/>
              </w:rPr>
              <w:fldChar w:fldCharType="separate"/>
            </w:r>
            <w:r>
              <w:rPr>
                <w:noProof/>
                <w:webHidden/>
              </w:rPr>
              <w:t>91</w:t>
            </w:r>
            <w:r>
              <w:rPr>
                <w:noProof/>
                <w:webHidden/>
              </w:rPr>
              <w:fldChar w:fldCharType="end"/>
            </w:r>
          </w:hyperlink>
        </w:p>
        <w:p w:rsidR="00D13705" w:rsidRDefault="00D13705" w14:paraId="4F8F35B5" w14:textId="2233AF04">
          <w:pPr>
            <w:pStyle w:val="TOC2"/>
            <w:tabs>
              <w:tab w:val="right" w:leader="dot" w:pos="9350"/>
            </w:tabs>
            <w:rPr>
              <w:rFonts w:asciiTheme="minorHAnsi" w:hAnsiTheme="minorHAnsi" w:cstheme="minorBidi"/>
              <w:noProof/>
              <w:kern w:val="2"/>
              <w:sz w:val="24"/>
              <w:szCs w:val="24"/>
              <w14:ligatures w14:val="standardContextual"/>
            </w:rPr>
          </w:pPr>
          <w:hyperlink w:history="1" w:anchor="_Toc189738516">
            <w:r w:rsidRPr="00D53FDA">
              <w:rPr>
                <w:rStyle w:val="Hyperlink"/>
                <w:noProof/>
              </w:rPr>
              <w:t>7.8.</w:t>
            </w:r>
            <w:r>
              <w:rPr>
                <w:rFonts w:asciiTheme="minorHAnsi" w:hAnsiTheme="minorHAnsi" w:cstheme="minorBidi"/>
                <w:noProof/>
                <w:kern w:val="2"/>
                <w:sz w:val="24"/>
                <w:szCs w:val="24"/>
                <w14:ligatures w14:val="standardContextual"/>
              </w:rPr>
              <w:tab/>
            </w:r>
            <w:r w:rsidRPr="00D53FDA">
              <w:rPr>
                <w:rStyle w:val="Hyperlink"/>
                <w:noProof/>
              </w:rPr>
              <w:t>Substation Modification Exemption</w:t>
            </w:r>
            <w:r>
              <w:rPr>
                <w:noProof/>
                <w:webHidden/>
              </w:rPr>
              <w:tab/>
            </w:r>
            <w:r>
              <w:rPr>
                <w:noProof/>
                <w:webHidden/>
              </w:rPr>
              <w:fldChar w:fldCharType="begin"/>
            </w:r>
            <w:r>
              <w:rPr>
                <w:noProof/>
                <w:webHidden/>
              </w:rPr>
              <w:instrText xml:space="preserve"> PAGEREF _Toc189738516 \h </w:instrText>
            </w:r>
            <w:r>
              <w:rPr>
                <w:noProof/>
                <w:webHidden/>
              </w:rPr>
            </w:r>
            <w:r>
              <w:rPr>
                <w:noProof/>
                <w:webHidden/>
              </w:rPr>
              <w:fldChar w:fldCharType="separate"/>
            </w:r>
            <w:r>
              <w:rPr>
                <w:noProof/>
                <w:webHidden/>
              </w:rPr>
              <w:t>95</w:t>
            </w:r>
            <w:r>
              <w:rPr>
                <w:noProof/>
                <w:webHidden/>
              </w:rPr>
              <w:fldChar w:fldCharType="end"/>
            </w:r>
          </w:hyperlink>
        </w:p>
        <w:p w:rsidR="00D13705" w:rsidRDefault="00D13705" w14:paraId="440C3918" w14:textId="71BD0DA9">
          <w:pPr>
            <w:pStyle w:val="TOC2"/>
            <w:tabs>
              <w:tab w:val="right" w:leader="dot" w:pos="9350"/>
            </w:tabs>
            <w:rPr>
              <w:rFonts w:asciiTheme="minorHAnsi" w:hAnsiTheme="minorHAnsi" w:cstheme="minorBidi"/>
              <w:noProof/>
              <w:kern w:val="2"/>
              <w:sz w:val="24"/>
              <w:szCs w:val="24"/>
              <w14:ligatures w14:val="standardContextual"/>
            </w:rPr>
          </w:pPr>
          <w:hyperlink w:history="1" w:anchor="_Toc189738517">
            <w:r w:rsidRPr="00D53FDA">
              <w:rPr>
                <w:rStyle w:val="Hyperlink"/>
                <w:noProof/>
              </w:rPr>
              <w:t>7.9.</w:t>
            </w:r>
            <w:r>
              <w:rPr>
                <w:rFonts w:asciiTheme="minorHAnsi" w:hAnsiTheme="minorHAnsi" w:cstheme="minorBidi"/>
                <w:noProof/>
                <w:kern w:val="2"/>
                <w:sz w:val="24"/>
                <w:szCs w:val="24"/>
                <w14:ligatures w14:val="standardContextual"/>
              </w:rPr>
              <w:tab/>
            </w:r>
            <w:r w:rsidRPr="00D53FDA">
              <w:rPr>
                <w:rStyle w:val="Hyperlink"/>
                <w:noProof/>
              </w:rPr>
              <w:t>Terms “Substation” and “Switchyard”</w:t>
            </w:r>
            <w:r>
              <w:rPr>
                <w:noProof/>
                <w:webHidden/>
              </w:rPr>
              <w:tab/>
            </w:r>
            <w:r>
              <w:rPr>
                <w:noProof/>
                <w:webHidden/>
              </w:rPr>
              <w:fldChar w:fldCharType="begin"/>
            </w:r>
            <w:r>
              <w:rPr>
                <w:noProof/>
                <w:webHidden/>
              </w:rPr>
              <w:instrText xml:space="preserve"> PAGEREF _Toc189738517 \h </w:instrText>
            </w:r>
            <w:r>
              <w:rPr>
                <w:noProof/>
                <w:webHidden/>
              </w:rPr>
            </w:r>
            <w:r>
              <w:rPr>
                <w:noProof/>
                <w:webHidden/>
              </w:rPr>
              <w:fldChar w:fldCharType="separate"/>
            </w:r>
            <w:r>
              <w:rPr>
                <w:noProof/>
                <w:webHidden/>
              </w:rPr>
              <w:t>98</w:t>
            </w:r>
            <w:r>
              <w:rPr>
                <w:noProof/>
                <w:webHidden/>
              </w:rPr>
              <w:fldChar w:fldCharType="end"/>
            </w:r>
          </w:hyperlink>
        </w:p>
        <w:p w:rsidR="00D13705" w:rsidRDefault="00D13705" w14:paraId="23F72D7B" w14:textId="1448B1A4">
          <w:pPr>
            <w:pStyle w:val="TOC2"/>
            <w:tabs>
              <w:tab w:val="left" w:pos="1296"/>
              <w:tab w:val="right" w:leader="dot" w:pos="9350"/>
            </w:tabs>
            <w:rPr>
              <w:rFonts w:asciiTheme="minorHAnsi" w:hAnsiTheme="minorHAnsi" w:cstheme="minorBidi"/>
              <w:noProof/>
              <w:kern w:val="2"/>
              <w:sz w:val="24"/>
              <w:szCs w:val="24"/>
              <w14:ligatures w14:val="standardContextual"/>
            </w:rPr>
          </w:pPr>
          <w:hyperlink w:history="1" w:anchor="_Toc189738518">
            <w:r w:rsidRPr="00D53FDA">
              <w:rPr>
                <w:rStyle w:val="Hyperlink"/>
                <w:noProof/>
              </w:rPr>
              <w:t>7.10.</w:t>
            </w:r>
            <w:r>
              <w:rPr>
                <w:rFonts w:asciiTheme="minorHAnsi" w:hAnsiTheme="minorHAnsi" w:cstheme="minorBidi"/>
                <w:noProof/>
                <w:kern w:val="2"/>
                <w:sz w:val="24"/>
                <w:szCs w:val="24"/>
                <w14:ligatures w14:val="standardContextual"/>
              </w:rPr>
              <w:tab/>
            </w:r>
            <w:r w:rsidRPr="00D53FDA">
              <w:rPr>
                <w:rStyle w:val="Hyperlink"/>
                <w:noProof/>
              </w:rPr>
              <w:t>Deletion of Permit Exemption “a”</w:t>
            </w:r>
            <w:r>
              <w:rPr>
                <w:noProof/>
                <w:webHidden/>
              </w:rPr>
              <w:tab/>
            </w:r>
            <w:r>
              <w:rPr>
                <w:noProof/>
                <w:webHidden/>
              </w:rPr>
              <w:fldChar w:fldCharType="begin"/>
            </w:r>
            <w:r>
              <w:rPr>
                <w:noProof/>
                <w:webHidden/>
              </w:rPr>
              <w:instrText xml:space="preserve"> PAGEREF _Toc189738518 \h </w:instrText>
            </w:r>
            <w:r>
              <w:rPr>
                <w:noProof/>
                <w:webHidden/>
              </w:rPr>
            </w:r>
            <w:r>
              <w:rPr>
                <w:noProof/>
                <w:webHidden/>
              </w:rPr>
              <w:fldChar w:fldCharType="separate"/>
            </w:r>
            <w:r>
              <w:rPr>
                <w:noProof/>
                <w:webHidden/>
              </w:rPr>
              <w:t>99</w:t>
            </w:r>
            <w:r>
              <w:rPr>
                <w:noProof/>
                <w:webHidden/>
              </w:rPr>
              <w:fldChar w:fldCharType="end"/>
            </w:r>
          </w:hyperlink>
        </w:p>
        <w:p w:rsidR="00D13705" w:rsidRDefault="00D13705" w14:paraId="5C988067" w14:textId="623AF47A">
          <w:pPr>
            <w:pStyle w:val="TOC1"/>
            <w:tabs>
              <w:tab w:val="right" w:leader="dot" w:pos="9350"/>
            </w:tabs>
            <w:rPr>
              <w:rFonts w:asciiTheme="minorHAnsi" w:hAnsiTheme="minorHAnsi" w:cstheme="minorBidi"/>
              <w:noProof/>
              <w:kern w:val="2"/>
              <w:sz w:val="24"/>
              <w:szCs w:val="24"/>
              <w14:ligatures w14:val="standardContextual"/>
            </w:rPr>
          </w:pPr>
          <w:hyperlink w:history="1" w:anchor="_Toc189738519">
            <w:r w:rsidRPr="00D53FDA">
              <w:rPr>
                <w:rStyle w:val="Hyperlink"/>
                <w:bCs/>
                <w:noProof/>
              </w:rPr>
              <w:t>8.</w:t>
            </w:r>
            <w:r>
              <w:rPr>
                <w:rFonts w:asciiTheme="minorHAnsi" w:hAnsiTheme="minorHAnsi" w:cstheme="minorBidi"/>
                <w:noProof/>
                <w:kern w:val="2"/>
                <w:sz w:val="24"/>
                <w:szCs w:val="24"/>
                <w14:ligatures w14:val="standardContextual"/>
              </w:rPr>
              <w:tab/>
            </w:r>
            <w:r w:rsidRPr="00D53FDA">
              <w:rPr>
                <w:rStyle w:val="Hyperlink"/>
                <w:bCs/>
                <w:noProof/>
              </w:rPr>
              <w:t>Reporting Requirements</w:t>
            </w:r>
            <w:r>
              <w:rPr>
                <w:noProof/>
                <w:webHidden/>
              </w:rPr>
              <w:tab/>
            </w:r>
            <w:r>
              <w:rPr>
                <w:noProof/>
                <w:webHidden/>
              </w:rPr>
              <w:fldChar w:fldCharType="begin"/>
            </w:r>
            <w:r>
              <w:rPr>
                <w:noProof/>
                <w:webHidden/>
              </w:rPr>
              <w:instrText xml:space="preserve"> PAGEREF _Toc189738519 \h </w:instrText>
            </w:r>
            <w:r>
              <w:rPr>
                <w:noProof/>
                <w:webHidden/>
              </w:rPr>
            </w:r>
            <w:r>
              <w:rPr>
                <w:noProof/>
                <w:webHidden/>
              </w:rPr>
              <w:fldChar w:fldCharType="separate"/>
            </w:r>
            <w:r>
              <w:rPr>
                <w:noProof/>
                <w:webHidden/>
              </w:rPr>
              <w:t>100</w:t>
            </w:r>
            <w:r>
              <w:rPr>
                <w:noProof/>
                <w:webHidden/>
              </w:rPr>
              <w:fldChar w:fldCharType="end"/>
            </w:r>
          </w:hyperlink>
        </w:p>
        <w:p w:rsidR="00D13705" w:rsidRDefault="00D13705" w14:paraId="6182DC83" w14:textId="7CDC6810">
          <w:pPr>
            <w:pStyle w:val="TOC1"/>
            <w:tabs>
              <w:tab w:val="right" w:leader="dot" w:pos="9350"/>
            </w:tabs>
            <w:rPr>
              <w:rFonts w:asciiTheme="minorHAnsi" w:hAnsiTheme="minorHAnsi" w:cstheme="minorBidi"/>
              <w:noProof/>
              <w:kern w:val="2"/>
              <w:sz w:val="24"/>
              <w:szCs w:val="24"/>
              <w14:ligatures w14:val="standardContextual"/>
            </w:rPr>
          </w:pPr>
          <w:hyperlink w:history="1" w:anchor="_Toc189738520">
            <w:r w:rsidRPr="00D53FDA">
              <w:rPr>
                <w:rStyle w:val="Hyperlink"/>
                <w:noProof/>
              </w:rPr>
              <w:t>9.</w:t>
            </w:r>
            <w:r>
              <w:rPr>
                <w:rFonts w:asciiTheme="minorHAnsi" w:hAnsiTheme="minorHAnsi" w:cstheme="minorBidi"/>
                <w:noProof/>
                <w:kern w:val="2"/>
                <w:sz w:val="24"/>
                <w:szCs w:val="24"/>
                <w14:ligatures w14:val="standardContextual"/>
              </w:rPr>
              <w:tab/>
            </w:r>
            <w:r w:rsidRPr="00D53FDA">
              <w:rPr>
                <w:rStyle w:val="Hyperlink"/>
                <w:noProof/>
              </w:rPr>
              <w:t>Advice Letter Protest Process</w:t>
            </w:r>
            <w:r>
              <w:rPr>
                <w:noProof/>
                <w:webHidden/>
              </w:rPr>
              <w:tab/>
            </w:r>
            <w:r>
              <w:rPr>
                <w:noProof/>
                <w:webHidden/>
              </w:rPr>
              <w:fldChar w:fldCharType="begin"/>
            </w:r>
            <w:r>
              <w:rPr>
                <w:noProof/>
                <w:webHidden/>
              </w:rPr>
              <w:instrText xml:space="preserve"> PAGEREF _Toc189738520 \h </w:instrText>
            </w:r>
            <w:r>
              <w:rPr>
                <w:noProof/>
                <w:webHidden/>
              </w:rPr>
            </w:r>
            <w:r>
              <w:rPr>
                <w:noProof/>
                <w:webHidden/>
              </w:rPr>
              <w:fldChar w:fldCharType="separate"/>
            </w:r>
            <w:r>
              <w:rPr>
                <w:noProof/>
                <w:webHidden/>
              </w:rPr>
              <w:t>107</w:t>
            </w:r>
            <w:r>
              <w:rPr>
                <w:noProof/>
                <w:webHidden/>
              </w:rPr>
              <w:fldChar w:fldCharType="end"/>
            </w:r>
          </w:hyperlink>
        </w:p>
        <w:p w:rsidR="00D13705" w:rsidRDefault="00D13705" w14:paraId="74527969" w14:textId="392484F6">
          <w:pPr>
            <w:pStyle w:val="TOC1"/>
            <w:tabs>
              <w:tab w:val="right" w:leader="dot" w:pos="9350"/>
            </w:tabs>
            <w:rPr>
              <w:rFonts w:asciiTheme="minorHAnsi" w:hAnsiTheme="minorHAnsi" w:cstheme="minorBidi"/>
              <w:noProof/>
              <w:kern w:val="2"/>
              <w:sz w:val="24"/>
              <w:szCs w:val="24"/>
              <w14:ligatures w14:val="standardContextual"/>
            </w:rPr>
          </w:pPr>
          <w:hyperlink w:history="1" w:anchor="_Toc189738521">
            <w:r w:rsidRPr="00D53FDA">
              <w:rPr>
                <w:rStyle w:val="Hyperlink"/>
                <w:noProof/>
              </w:rPr>
              <w:t>10.</w:t>
            </w:r>
            <w:r>
              <w:rPr>
                <w:rFonts w:asciiTheme="minorHAnsi" w:hAnsiTheme="minorHAnsi" w:cstheme="minorBidi"/>
                <w:noProof/>
                <w:kern w:val="2"/>
                <w:sz w:val="24"/>
                <w:szCs w:val="24"/>
                <w14:ligatures w14:val="standardContextual"/>
              </w:rPr>
              <w:tab/>
            </w:r>
            <w:r w:rsidRPr="00D53FDA">
              <w:rPr>
                <w:rStyle w:val="Hyperlink"/>
                <w:noProof/>
              </w:rPr>
              <w:t>Permitting of Battery Storage Facilities</w:t>
            </w:r>
            <w:r>
              <w:rPr>
                <w:noProof/>
                <w:webHidden/>
              </w:rPr>
              <w:tab/>
            </w:r>
            <w:r>
              <w:rPr>
                <w:noProof/>
                <w:webHidden/>
              </w:rPr>
              <w:fldChar w:fldCharType="begin"/>
            </w:r>
            <w:r>
              <w:rPr>
                <w:noProof/>
                <w:webHidden/>
              </w:rPr>
              <w:instrText xml:space="preserve"> PAGEREF _Toc189738521 \h </w:instrText>
            </w:r>
            <w:r>
              <w:rPr>
                <w:noProof/>
                <w:webHidden/>
              </w:rPr>
            </w:r>
            <w:r>
              <w:rPr>
                <w:noProof/>
                <w:webHidden/>
              </w:rPr>
              <w:fldChar w:fldCharType="separate"/>
            </w:r>
            <w:r>
              <w:rPr>
                <w:noProof/>
                <w:webHidden/>
              </w:rPr>
              <w:t>111</w:t>
            </w:r>
            <w:r>
              <w:rPr>
                <w:noProof/>
                <w:webHidden/>
              </w:rPr>
              <w:fldChar w:fldCharType="end"/>
            </w:r>
          </w:hyperlink>
        </w:p>
        <w:p w:rsidR="00D13705" w:rsidRDefault="00D13705" w14:paraId="1B089999" w14:textId="0C5BFC37">
          <w:pPr>
            <w:pStyle w:val="TOC1"/>
            <w:tabs>
              <w:tab w:val="right" w:leader="dot" w:pos="9350"/>
            </w:tabs>
            <w:rPr>
              <w:rFonts w:asciiTheme="minorHAnsi" w:hAnsiTheme="minorHAnsi" w:cstheme="minorBidi"/>
              <w:noProof/>
              <w:kern w:val="2"/>
              <w:sz w:val="24"/>
              <w:szCs w:val="24"/>
              <w14:ligatures w14:val="standardContextual"/>
            </w:rPr>
          </w:pPr>
          <w:hyperlink w:history="1" w:anchor="_Toc189738522">
            <w:r w:rsidRPr="00D53FDA">
              <w:rPr>
                <w:rStyle w:val="Hyperlink"/>
                <w:noProof/>
              </w:rPr>
              <w:t>11.</w:t>
            </w:r>
            <w:r>
              <w:rPr>
                <w:rFonts w:asciiTheme="minorHAnsi" w:hAnsiTheme="minorHAnsi" w:cstheme="minorBidi"/>
                <w:noProof/>
                <w:kern w:val="2"/>
                <w:sz w:val="24"/>
                <w:szCs w:val="24"/>
                <w14:ligatures w14:val="standardContextual"/>
              </w:rPr>
              <w:tab/>
            </w:r>
            <w:r w:rsidRPr="00D53FDA">
              <w:rPr>
                <w:rStyle w:val="Hyperlink"/>
                <w:noProof/>
              </w:rPr>
              <w:t>ROW Sharing Between Incumbent and Non-Incumbent Utilities</w:t>
            </w:r>
            <w:r>
              <w:rPr>
                <w:noProof/>
                <w:webHidden/>
              </w:rPr>
              <w:tab/>
            </w:r>
            <w:r>
              <w:rPr>
                <w:noProof/>
                <w:webHidden/>
              </w:rPr>
              <w:fldChar w:fldCharType="begin"/>
            </w:r>
            <w:r>
              <w:rPr>
                <w:noProof/>
                <w:webHidden/>
              </w:rPr>
              <w:instrText xml:space="preserve"> PAGEREF _Toc189738522 \h </w:instrText>
            </w:r>
            <w:r>
              <w:rPr>
                <w:noProof/>
                <w:webHidden/>
              </w:rPr>
            </w:r>
            <w:r>
              <w:rPr>
                <w:noProof/>
                <w:webHidden/>
              </w:rPr>
              <w:fldChar w:fldCharType="separate"/>
            </w:r>
            <w:r>
              <w:rPr>
                <w:noProof/>
                <w:webHidden/>
              </w:rPr>
              <w:t>115</w:t>
            </w:r>
            <w:r>
              <w:rPr>
                <w:noProof/>
                <w:webHidden/>
              </w:rPr>
              <w:fldChar w:fldCharType="end"/>
            </w:r>
          </w:hyperlink>
        </w:p>
        <w:p w:rsidR="00D13705" w:rsidRDefault="00D13705" w14:paraId="33F93E27" w14:textId="7150F246">
          <w:pPr>
            <w:pStyle w:val="TOC1"/>
            <w:tabs>
              <w:tab w:val="right" w:leader="dot" w:pos="9350"/>
            </w:tabs>
            <w:rPr>
              <w:rFonts w:asciiTheme="minorHAnsi" w:hAnsiTheme="minorHAnsi" w:cstheme="minorBidi"/>
              <w:noProof/>
              <w:kern w:val="2"/>
              <w:sz w:val="24"/>
              <w:szCs w:val="24"/>
              <w14:ligatures w14:val="standardContextual"/>
            </w:rPr>
          </w:pPr>
          <w:hyperlink w:history="1" w:anchor="_Toc189738523">
            <w:r w:rsidRPr="00D53FDA">
              <w:rPr>
                <w:rStyle w:val="Hyperlink"/>
                <w:noProof/>
              </w:rPr>
              <w:t>12.</w:t>
            </w:r>
            <w:r>
              <w:rPr>
                <w:rFonts w:asciiTheme="minorHAnsi" w:hAnsiTheme="minorHAnsi" w:cstheme="minorBidi"/>
                <w:noProof/>
                <w:kern w:val="2"/>
                <w:sz w:val="24"/>
                <w:szCs w:val="24"/>
                <w14:ligatures w14:val="standardContextual"/>
              </w:rPr>
              <w:tab/>
            </w:r>
            <w:r w:rsidRPr="00D53FDA">
              <w:rPr>
                <w:rStyle w:val="Hyperlink"/>
                <w:noProof/>
              </w:rPr>
              <w:t>Adoption of GO 131-E</w:t>
            </w:r>
            <w:r>
              <w:rPr>
                <w:noProof/>
                <w:webHidden/>
              </w:rPr>
              <w:tab/>
            </w:r>
            <w:r>
              <w:rPr>
                <w:noProof/>
                <w:webHidden/>
              </w:rPr>
              <w:fldChar w:fldCharType="begin"/>
            </w:r>
            <w:r>
              <w:rPr>
                <w:noProof/>
                <w:webHidden/>
              </w:rPr>
              <w:instrText xml:space="preserve"> PAGEREF _Toc189738523 \h </w:instrText>
            </w:r>
            <w:r>
              <w:rPr>
                <w:noProof/>
                <w:webHidden/>
              </w:rPr>
            </w:r>
            <w:r>
              <w:rPr>
                <w:noProof/>
                <w:webHidden/>
              </w:rPr>
              <w:fldChar w:fldCharType="separate"/>
            </w:r>
            <w:r>
              <w:rPr>
                <w:noProof/>
                <w:webHidden/>
              </w:rPr>
              <w:t>120</w:t>
            </w:r>
            <w:r>
              <w:rPr>
                <w:noProof/>
                <w:webHidden/>
              </w:rPr>
              <w:fldChar w:fldCharType="end"/>
            </w:r>
          </w:hyperlink>
        </w:p>
        <w:p w:rsidR="00D13705" w:rsidRDefault="00D13705" w14:paraId="7BD22127" w14:textId="4AA4699F">
          <w:pPr>
            <w:pStyle w:val="TOC1"/>
            <w:tabs>
              <w:tab w:val="right" w:leader="dot" w:pos="9350"/>
            </w:tabs>
            <w:rPr>
              <w:rFonts w:asciiTheme="minorHAnsi" w:hAnsiTheme="minorHAnsi" w:cstheme="minorBidi"/>
              <w:noProof/>
              <w:kern w:val="2"/>
              <w:sz w:val="24"/>
              <w:szCs w:val="24"/>
              <w14:ligatures w14:val="standardContextual"/>
            </w:rPr>
          </w:pPr>
          <w:hyperlink w:history="1" w:anchor="_Toc189738524">
            <w:r w:rsidRPr="00D53FDA">
              <w:rPr>
                <w:rStyle w:val="Hyperlink"/>
                <w:rFonts w:cs="Arial"/>
                <w:noProof/>
              </w:rPr>
              <w:t>13.</w:t>
            </w:r>
            <w:r>
              <w:rPr>
                <w:rFonts w:asciiTheme="minorHAnsi" w:hAnsiTheme="minorHAnsi" w:cstheme="minorBidi"/>
                <w:noProof/>
                <w:kern w:val="2"/>
                <w:sz w:val="24"/>
                <w:szCs w:val="24"/>
                <w14:ligatures w14:val="standardContextual"/>
              </w:rPr>
              <w:tab/>
            </w:r>
            <w:r w:rsidRPr="00D53FDA">
              <w:rPr>
                <w:rStyle w:val="Hyperlink"/>
                <w:noProof/>
              </w:rPr>
              <w:t>Comments on Proposed Decision</w:t>
            </w:r>
            <w:r>
              <w:rPr>
                <w:noProof/>
                <w:webHidden/>
              </w:rPr>
              <w:tab/>
            </w:r>
            <w:r>
              <w:rPr>
                <w:noProof/>
                <w:webHidden/>
              </w:rPr>
              <w:fldChar w:fldCharType="begin"/>
            </w:r>
            <w:r>
              <w:rPr>
                <w:noProof/>
                <w:webHidden/>
              </w:rPr>
              <w:instrText xml:space="preserve"> PAGEREF _Toc189738524 \h </w:instrText>
            </w:r>
            <w:r>
              <w:rPr>
                <w:noProof/>
                <w:webHidden/>
              </w:rPr>
            </w:r>
            <w:r>
              <w:rPr>
                <w:noProof/>
                <w:webHidden/>
              </w:rPr>
              <w:fldChar w:fldCharType="separate"/>
            </w:r>
            <w:r>
              <w:rPr>
                <w:noProof/>
                <w:webHidden/>
              </w:rPr>
              <w:t>120</w:t>
            </w:r>
            <w:r>
              <w:rPr>
                <w:noProof/>
                <w:webHidden/>
              </w:rPr>
              <w:fldChar w:fldCharType="end"/>
            </w:r>
          </w:hyperlink>
        </w:p>
        <w:p w:rsidR="00D13705" w:rsidRDefault="00D13705" w14:paraId="474EBDD8" w14:textId="004C6435">
          <w:pPr>
            <w:pStyle w:val="TOC1"/>
            <w:tabs>
              <w:tab w:val="right" w:leader="dot" w:pos="9350"/>
            </w:tabs>
            <w:rPr>
              <w:rFonts w:asciiTheme="minorHAnsi" w:hAnsiTheme="minorHAnsi" w:cstheme="minorBidi"/>
              <w:noProof/>
              <w:kern w:val="2"/>
              <w:sz w:val="24"/>
              <w:szCs w:val="24"/>
              <w14:ligatures w14:val="standardContextual"/>
            </w:rPr>
          </w:pPr>
          <w:hyperlink w:history="1" w:anchor="_Toc189738525">
            <w:r w:rsidRPr="00D53FDA">
              <w:rPr>
                <w:rStyle w:val="Hyperlink"/>
                <w:bCs/>
                <w:noProof/>
              </w:rPr>
              <w:t>14.</w:t>
            </w:r>
            <w:r>
              <w:rPr>
                <w:rFonts w:asciiTheme="minorHAnsi" w:hAnsiTheme="minorHAnsi" w:cstheme="minorBidi"/>
                <w:noProof/>
                <w:kern w:val="2"/>
                <w:sz w:val="24"/>
                <w:szCs w:val="24"/>
                <w14:ligatures w14:val="standardContextual"/>
              </w:rPr>
              <w:tab/>
            </w:r>
            <w:r w:rsidRPr="00D53FDA">
              <w:rPr>
                <w:rStyle w:val="Hyperlink"/>
                <w:bCs/>
                <w:noProof/>
              </w:rPr>
              <w:t xml:space="preserve">Assignment of </w:t>
            </w:r>
            <w:r w:rsidRPr="00D53FDA">
              <w:rPr>
                <w:rStyle w:val="Hyperlink"/>
                <w:noProof/>
              </w:rPr>
              <w:t>Proceeding</w:t>
            </w:r>
            <w:r>
              <w:rPr>
                <w:noProof/>
                <w:webHidden/>
              </w:rPr>
              <w:tab/>
            </w:r>
            <w:r>
              <w:rPr>
                <w:noProof/>
                <w:webHidden/>
              </w:rPr>
              <w:fldChar w:fldCharType="begin"/>
            </w:r>
            <w:r>
              <w:rPr>
                <w:noProof/>
                <w:webHidden/>
              </w:rPr>
              <w:instrText xml:space="preserve"> PAGEREF _Toc189738525 \h </w:instrText>
            </w:r>
            <w:r>
              <w:rPr>
                <w:noProof/>
                <w:webHidden/>
              </w:rPr>
            </w:r>
            <w:r>
              <w:rPr>
                <w:noProof/>
                <w:webHidden/>
              </w:rPr>
              <w:fldChar w:fldCharType="separate"/>
            </w:r>
            <w:r>
              <w:rPr>
                <w:noProof/>
                <w:webHidden/>
              </w:rPr>
              <w:t>127</w:t>
            </w:r>
            <w:r>
              <w:rPr>
                <w:noProof/>
                <w:webHidden/>
              </w:rPr>
              <w:fldChar w:fldCharType="end"/>
            </w:r>
          </w:hyperlink>
        </w:p>
        <w:p w:rsidR="00D13705" w:rsidRDefault="00D13705" w14:paraId="32D5D7DE" w14:textId="20513C0D">
          <w:pPr>
            <w:pStyle w:val="TOC1"/>
            <w:tabs>
              <w:tab w:val="right" w:leader="dot" w:pos="9350"/>
            </w:tabs>
            <w:rPr>
              <w:rFonts w:asciiTheme="minorHAnsi" w:hAnsiTheme="minorHAnsi" w:cstheme="minorBidi"/>
              <w:noProof/>
              <w:kern w:val="2"/>
              <w:sz w:val="24"/>
              <w:szCs w:val="24"/>
              <w14:ligatures w14:val="standardContextual"/>
            </w:rPr>
          </w:pPr>
          <w:hyperlink w:history="1" w:anchor="_Toc189738526">
            <w:r w:rsidRPr="00D53FDA">
              <w:rPr>
                <w:rStyle w:val="Hyperlink"/>
                <w:noProof/>
              </w:rPr>
              <w:t>Findings of Fact</w:t>
            </w:r>
            <w:r>
              <w:rPr>
                <w:noProof/>
                <w:webHidden/>
              </w:rPr>
              <w:tab/>
            </w:r>
            <w:r>
              <w:rPr>
                <w:noProof/>
                <w:webHidden/>
              </w:rPr>
              <w:fldChar w:fldCharType="begin"/>
            </w:r>
            <w:r>
              <w:rPr>
                <w:noProof/>
                <w:webHidden/>
              </w:rPr>
              <w:instrText xml:space="preserve"> PAGEREF _Toc189738526 \h </w:instrText>
            </w:r>
            <w:r>
              <w:rPr>
                <w:noProof/>
                <w:webHidden/>
              </w:rPr>
            </w:r>
            <w:r>
              <w:rPr>
                <w:noProof/>
                <w:webHidden/>
              </w:rPr>
              <w:fldChar w:fldCharType="separate"/>
            </w:r>
            <w:r>
              <w:rPr>
                <w:noProof/>
                <w:webHidden/>
              </w:rPr>
              <w:t>127</w:t>
            </w:r>
            <w:r>
              <w:rPr>
                <w:noProof/>
                <w:webHidden/>
              </w:rPr>
              <w:fldChar w:fldCharType="end"/>
            </w:r>
          </w:hyperlink>
        </w:p>
        <w:p w:rsidR="00D13705" w:rsidRDefault="00D13705" w14:paraId="50C735AA" w14:textId="7FA3E151">
          <w:pPr>
            <w:pStyle w:val="TOC1"/>
            <w:tabs>
              <w:tab w:val="right" w:leader="dot" w:pos="9350"/>
            </w:tabs>
            <w:rPr>
              <w:rFonts w:asciiTheme="minorHAnsi" w:hAnsiTheme="minorHAnsi" w:cstheme="minorBidi"/>
              <w:noProof/>
              <w:kern w:val="2"/>
              <w:sz w:val="24"/>
              <w:szCs w:val="24"/>
              <w14:ligatures w14:val="standardContextual"/>
            </w:rPr>
          </w:pPr>
          <w:hyperlink w:history="1" w:anchor="_Toc189738527">
            <w:r w:rsidRPr="00D53FDA">
              <w:rPr>
                <w:rStyle w:val="Hyperlink"/>
                <w:noProof/>
              </w:rPr>
              <w:t>Conclusions of Law</w:t>
            </w:r>
            <w:r>
              <w:rPr>
                <w:noProof/>
                <w:webHidden/>
              </w:rPr>
              <w:tab/>
            </w:r>
            <w:r>
              <w:rPr>
                <w:noProof/>
                <w:webHidden/>
              </w:rPr>
              <w:fldChar w:fldCharType="begin"/>
            </w:r>
            <w:r>
              <w:rPr>
                <w:noProof/>
                <w:webHidden/>
              </w:rPr>
              <w:instrText xml:space="preserve"> PAGEREF _Toc189738527 \h </w:instrText>
            </w:r>
            <w:r>
              <w:rPr>
                <w:noProof/>
                <w:webHidden/>
              </w:rPr>
            </w:r>
            <w:r>
              <w:rPr>
                <w:noProof/>
                <w:webHidden/>
              </w:rPr>
              <w:fldChar w:fldCharType="separate"/>
            </w:r>
            <w:r>
              <w:rPr>
                <w:noProof/>
                <w:webHidden/>
              </w:rPr>
              <w:t>135</w:t>
            </w:r>
            <w:r>
              <w:rPr>
                <w:noProof/>
                <w:webHidden/>
              </w:rPr>
              <w:fldChar w:fldCharType="end"/>
            </w:r>
          </w:hyperlink>
        </w:p>
        <w:p w:rsidR="00D13705" w:rsidRDefault="00D13705" w14:paraId="0562A8AE" w14:textId="3F574410">
          <w:pPr>
            <w:pStyle w:val="TOC1"/>
            <w:tabs>
              <w:tab w:val="right" w:leader="dot" w:pos="9350"/>
            </w:tabs>
            <w:rPr>
              <w:rFonts w:asciiTheme="minorHAnsi" w:hAnsiTheme="minorHAnsi" w:cstheme="minorBidi"/>
              <w:noProof/>
              <w:kern w:val="2"/>
              <w:sz w:val="24"/>
              <w:szCs w:val="24"/>
              <w14:ligatures w14:val="standardContextual"/>
            </w:rPr>
          </w:pPr>
          <w:hyperlink w:history="1" w:anchor="_Toc189738528">
            <w:r w:rsidRPr="00D53FDA">
              <w:rPr>
                <w:rStyle w:val="Hyperlink"/>
                <w:noProof/>
              </w:rPr>
              <w:t>ORDER</w:t>
            </w:r>
            <w:r>
              <w:rPr>
                <w:noProof/>
                <w:webHidden/>
              </w:rPr>
              <w:tab/>
            </w:r>
            <w:r>
              <w:rPr>
                <w:noProof/>
                <w:webHidden/>
              </w:rPr>
              <w:fldChar w:fldCharType="begin"/>
            </w:r>
            <w:r>
              <w:rPr>
                <w:noProof/>
                <w:webHidden/>
              </w:rPr>
              <w:instrText xml:space="preserve"> PAGEREF _Toc189738528 \h </w:instrText>
            </w:r>
            <w:r>
              <w:rPr>
                <w:noProof/>
                <w:webHidden/>
              </w:rPr>
            </w:r>
            <w:r>
              <w:rPr>
                <w:noProof/>
                <w:webHidden/>
              </w:rPr>
              <w:fldChar w:fldCharType="separate"/>
            </w:r>
            <w:r>
              <w:rPr>
                <w:noProof/>
                <w:webHidden/>
              </w:rPr>
              <w:t>139</w:t>
            </w:r>
            <w:r>
              <w:rPr>
                <w:noProof/>
                <w:webHidden/>
              </w:rPr>
              <w:fldChar w:fldCharType="end"/>
            </w:r>
          </w:hyperlink>
        </w:p>
        <w:p w:rsidRPr="00D9331F" w:rsidR="0097342F" w:rsidP="003E7B36" w:rsidRDefault="0097342F" w14:paraId="11D1F72B" w14:textId="34EDE098">
          <w:pPr>
            <w:pStyle w:val="TOC1"/>
            <w:tabs>
              <w:tab w:val="right" w:leader="dot" w:pos="9345"/>
            </w:tabs>
            <w:ind w:left="0" w:firstLine="0"/>
            <w:rPr>
              <w:rStyle w:val="Hyperlink"/>
              <w:noProof/>
              <w:kern w:val="2"/>
              <w:sz w:val="20"/>
              <w:szCs w:val="20"/>
              <w14:ligatures w14:val="standardContextual"/>
            </w:rPr>
          </w:pPr>
          <w:r>
            <w:fldChar w:fldCharType="end"/>
          </w:r>
        </w:p>
      </w:sdtContent>
    </w:sdt>
    <w:p w:rsidR="005E29DB" w:rsidP="004F5101" w:rsidRDefault="005E29DB" w14:paraId="3F03EEDC" w14:textId="77777777">
      <w:pPr>
        <w:spacing w:line="240" w:lineRule="auto"/>
        <w:ind w:firstLine="0"/>
      </w:pPr>
      <w:r w:rsidRPr="00286AA0">
        <w:rPr>
          <w:b/>
          <w:bCs/>
        </w:rPr>
        <w:t>Attachment A:</w:t>
      </w:r>
      <w:r w:rsidR="00D36AAC">
        <w:rPr>
          <w:b/>
          <w:bCs/>
        </w:rPr>
        <w:t>  </w:t>
      </w:r>
      <w:r w:rsidR="00A3192B">
        <w:t>General Order 131-D</w:t>
      </w:r>
      <w:r w:rsidR="00517A3E">
        <w:t xml:space="preserve"> (</w:t>
      </w:r>
      <w:r w:rsidR="00FC4ECE">
        <w:t>Redline</w:t>
      </w:r>
      <w:r w:rsidR="002021B6">
        <w:t>d</w:t>
      </w:r>
      <w:r w:rsidR="00671989">
        <w:t>)</w:t>
      </w:r>
    </w:p>
    <w:p w:rsidRPr="00E40677" w:rsidR="00E40677" w:rsidP="009922DF" w:rsidRDefault="005E29DB" w14:paraId="14EF3748" w14:textId="77777777">
      <w:pPr>
        <w:ind w:firstLine="0"/>
        <w:sectPr w:rsidRPr="00E40677" w:rsidR="00E40677" w:rsidSect="004F5101">
          <w:headerReference w:type="first" r:id="rId15"/>
          <w:footerReference w:type="first" r:id="rId16"/>
          <w:pgSz w:w="12240" w:h="15840"/>
          <w:pgMar w:top="1728" w:right="1440" w:bottom="1440" w:left="1440" w:header="720" w:footer="720" w:gutter="0"/>
          <w:pgNumType w:fmt="lowerRoman" w:start="1"/>
          <w:cols w:space="720"/>
          <w:titlePg/>
          <w:docGrid w:linePitch="360"/>
        </w:sectPr>
      </w:pPr>
      <w:r w:rsidRPr="00286AA0">
        <w:rPr>
          <w:b/>
          <w:bCs/>
        </w:rPr>
        <w:t xml:space="preserve">Attachment </w:t>
      </w:r>
      <w:r w:rsidRPr="00286AA0" w:rsidR="00136D00">
        <w:rPr>
          <w:b/>
          <w:bCs/>
        </w:rPr>
        <w:t>B:</w:t>
      </w:r>
      <w:r w:rsidR="00D36AAC">
        <w:rPr>
          <w:b/>
          <w:bCs/>
        </w:rPr>
        <w:t>  </w:t>
      </w:r>
      <w:r w:rsidR="00597E53">
        <w:t>General Order 131-E</w:t>
      </w:r>
    </w:p>
    <w:p w:rsidR="00FD01AB" w:rsidP="00D36AAC" w:rsidRDefault="00FD01AB" w14:paraId="382871F7" w14:textId="77777777">
      <w:pPr>
        <w:pStyle w:val="Main"/>
        <w:spacing w:after="120"/>
      </w:pPr>
      <w:bookmarkStart w:name="_Toc8123714" w:id="6"/>
      <w:bookmarkStart w:name="_Toc141799143" w:id="7"/>
      <w:bookmarkEnd w:id="5"/>
      <w:r>
        <w:lastRenderedPageBreak/>
        <w:t xml:space="preserve">DECISION ADOPTING </w:t>
      </w:r>
      <w:r w:rsidR="00925F1A">
        <w:t>GENERAL ORDER 131-</w:t>
      </w:r>
      <w:r w:rsidR="000E2DD2">
        <w:t>E</w:t>
      </w:r>
    </w:p>
    <w:p w:rsidRPr="00946849" w:rsidR="00946849" w:rsidP="00946849" w:rsidRDefault="005A148C" w14:paraId="02A8DC0A" w14:textId="77777777">
      <w:pPr>
        <w:pStyle w:val="Dummy"/>
      </w:pPr>
      <w:bookmarkStart w:name="_Toc189738487" w:id="8"/>
      <w:r>
        <w:t>Summary</w:t>
      </w:r>
      <w:bookmarkEnd w:id="6"/>
      <w:bookmarkEnd w:id="7"/>
      <w:bookmarkEnd w:id="8"/>
      <w:r w:rsidR="00946849">
        <w:t xml:space="preserve"> </w:t>
      </w:r>
    </w:p>
    <w:p w:rsidR="00D94BB1" w:rsidP="00474AE8" w:rsidRDefault="005A148C" w14:paraId="230E0DCD" w14:textId="77777777">
      <w:pPr>
        <w:pStyle w:val="Standard"/>
      </w:pPr>
      <w:r>
        <w:t>Th</w:t>
      </w:r>
      <w:r w:rsidR="00E7733F">
        <w:t xml:space="preserve">is decision </w:t>
      </w:r>
      <w:r w:rsidR="009922DF">
        <w:t>resolves</w:t>
      </w:r>
      <w:r w:rsidR="00C651A8">
        <w:t xml:space="preserve"> the outstanding </w:t>
      </w:r>
      <w:r w:rsidR="00351579">
        <w:t>P</w:t>
      </w:r>
      <w:r w:rsidR="00C651A8">
        <w:t>hase 2 issues</w:t>
      </w:r>
      <w:r w:rsidR="00E7733F">
        <w:t xml:space="preserve"> </w:t>
      </w:r>
      <w:r w:rsidR="00522ACE">
        <w:t xml:space="preserve">and </w:t>
      </w:r>
      <w:r w:rsidR="00774D88">
        <w:t>adopts</w:t>
      </w:r>
      <w:r w:rsidR="00C651A8">
        <w:t xml:space="preserve"> </w:t>
      </w:r>
      <w:r w:rsidR="000E2DD2">
        <w:t xml:space="preserve">General Order </w:t>
      </w:r>
      <w:r w:rsidR="00A94473">
        <w:t xml:space="preserve">(GO) </w:t>
      </w:r>
      <w:r w:rsidR="000E2DD2">
        <w:t xml:space="preserve">131-E, </w:t>
      </w:r>
      <w:r w:rsidR="00897EE4">
        <w:t xml:space="preserve">attached to this decision as Attachment </w:t>
      </w:r>
      <w:r w:rsidR="00863E2D">
        <w:t>B</w:t>
      </w:r>
      <w:r w:rsidR="00305840">
        <w:t xml:space="preserve">. </w:t>
      </w:r>
      <w:r w:rsidR="00863E2D">
        <w:t>Attachment A</w:t>
      </w:r>
      <w:r w:rsidR="00FB7BEE">
        <w:t xml:space="preserve"> to this decision is </w:t>
      </w:r>
      <w:r w:rsidR="003B5D07">
        <w:t>GO </w:t>
      </w:r>
      <w:r w:rsidR="00FB7BEE">
        <w:t xml:space="preserve">131-D, </w:t>
      </w:r>
      <w:r w:rsidR="0095017B">
        <w:t xml:space="preserve">which is redlined to </w:t>
      </w:r>
      <w:r w:rsidR="003F4A88">
        <w:t>reflect the revisions we adopt</w:t>
      </w:r>
      <w:r w:rsidR="00344BA9">
        <w:t xml:space="preserve"> today. </w:t>
      </w:r>
    </w:p>
    <w:p w:rsidR="00A94473" w:rsidP="00FF5CC2" w:rsidRDefault="003B5D07" w14:paraId="6D3444B8" w14:textId="77777777">
      <w:pPr>
        <w:pStyle w:val="Standard"/>
      </w:pPr>
      <w:r>
        <w:t>GO </w:t>
      </w:r>
      <w:r w:rsidR="003B1CAE">
        <w:t xml:space="preserve">131-E </w:t>
      </w:r>
      <w:r w:rsidR="00A94473">
        <w:t xml:space="preserve">requires </w:t>
      </w:r>
      <w:r w:rsidR="002E59B8">
        <w:t xml:space="preserve">an </w:t>
      </w:r>
      <w:r w:rsidR="00A94473">
        <w:t>early pre</w:t>
      </w:r>
      <w:r w:rsidR="00C76BF7">
        <w:t>-</w:t>
      </w:r>
      <w:r w:rsidR="00A94473">
        <w:t xml:space="preserve">filing coordination process </w:t>
      </w:r>
      <w:r w:rsidR="002E59B8">
        <w:t xml:space="preserve">and provides applicants with the opportunity to prepare and submit </w:t>
      </w:r>
      <w:r w:rsidR="00850081">
        <w:t xml:space="preserve">draft version of </w:t>
      </w:r>
      <w:r w:rsidR="002E59B8">
        <w:t xml:space="preserve">California Environmental Quality Act (CEQA) documents in lieu of the </w:t>
      </w:r>
      <w:r w:rsidRPr="7290220E" w:rsidR="283EC37F">
        <w:t>Proponent's</w:t>
      </w:r>
      <w:r w:rsidR="002E59B8">
        <w:t xml:space="preserve"> Environmental Assessment (PEA) </w:t>
      </w:r>
      <w:r w:rsidR="00A94473">
        <w:t xml:space="preserve">to help </w:t>
      </w:r>
      <w:r w:rsidR="003B1CAE">
        <w:t>accelerat</w:t>
      </w:r>
      <w:r w:rsidR="00A94473">
        <w:t>e</w:t>
      </w:r>
      <w:r w:rsidR="003B1CAE">
        <w:t xml:space="preserve"> the processing time for the Certificate of Public Convenience (CPCN) and Permit to Construct (PTC) applications.</w:t>
      </w:r>
      <w:r w:rsidR="00A94473">
        <w:t xml:space="preserve"> </w:t>
      </w:r>
      <w:r w:rsidR="0040704A">
        <w:t>To</w:t>
      </w:r>
      <w:r w:rsidR="003B1CAE">
        <w:t xml:space="preserve"> </w:t>
      </w:r>
      <w:r w:rsidR="00AB4D9C">
        <w:t xml:space="preserve">continue </w:t>
      </w:r>
      <w:r w:rsidR="00A94473">
        <w:t>explor</w:t>
      </w:r>
      <w:r w:rsidR="0040704A">
        <w:t xml:space="preserve">ation of methods that </w:t>
      </w:r>
      <w:r w:rsidR="003B1CAE">
        <w:t xml:space="preserve">streamline the </w:t>
      </w:r>
      <w:r w:rsidR="00AB4D9C">
        <w:t xml:space="preserve">Commission’s </w:t>
      </w:r>
      <w:r w:rsidR="003B1CAE">
        <w:t xml:space="preserve">review and approval </w:t>
      </w:r>
      <w:r w:rsidR="00AB4D9C">
        <w:t>process for</w:t>
      </w:r>
      <w:r w:rsidR="003B1CAE">
        <w:t xml:space="preserve"> PTC and CPCN projects, this decision </w:t>
      </w:r>
      <w:r w:rsidR="00A94473">
        <w:t xml:space="preserve">also </w:t>
      </w:r>
      <w:r w:rsidR="003B1CAE">
        <w:t>adopt</w:t>
      </w:r>
      <w:r w:rsidR="00A94473">
        <w:t>s</w:t>
      </w:r>
      <w:r w:rsidR="003B1CAE">
        <w:t xml:space="preserve"> a pilot </w:t>
      </w:r>
      <w:r w:rsidR="00A94473">
        <w:t xml:space="preserve">to </w:t>
      </w:r>
      <w:r w:rsidR="00CE08D4">
        <w:t xml:space="preserve">further study ways to streamline </w:t>
      </w:r>
      <w:r w:rsidR="00A94473">
        <w:t>the existing CEQA review process at the Commission</w:t>
      </w:r>
      <w:r w:rsidR="00AB4D9C">
        <w:t xml:space="preserve"> and instruct</w:t>
      </w:r>
      <w:r w:rsidR="00CE08D4">
        <w:t>s</w:t>
      </w:r>
      <w:r w:rsidR="00AB4D9C">
        <w:t xml:space="preserve"> </w:t>
      </w:r>
      <w:r w:rsidR="006664D9">
        <w:t xml:space="preserve">the Commission’s Energy Division </w:t>
      </w:r>
      <w:r w:rsidRPr="036B4084" w:rsidR="798AEE70">
        <w:t>staff</w:t>
      </w:r>
      <w:r w:rsidR="00AB4D9C">
        <w:t xml:space="preserve"> </w:t>
      </w:r>
      <w:r w:rsidR="00A94473">
        <w:t xml:space="preserve">to report on the results of this pilot review by compliance filing on </w:t>
      </w:r>
      <w:r w:rsidR="13175DAD">
        <w:t>December 1</w:t>
      </w:r>
      <w:r w:rsidR="00A94473">
        <w:t xml:space="preserve"> </w:t>
      </w:r>
      <w:r w:rsidR="43C4E4F1">
        <w:t xml:space="preserve">of </w:t>
      </w:r>
      <w:r w:rsidR="00A94473">
        <w:t xml:space="preserve">every even year starting with </w:t>
      </w:r>
      <w:r w:rsidR="014F7379">
        <w:t>December 1</w:t>
      </w:r>
      <w:r w:rsidR="00A94473">
        <w:t xml:space="preserve"> </w:t>
      </w:r>
      <w:r w:rsidR="00850081">
        <w:t>of</w:t>
      </w:r>
      <w:r w:rsidR="00A94473">
        <w:t xml:space="preserve"> 2026</w:t>
      </w:r>
      <w:r w:rsidR="00441B0F">
        <w:t>,</w:t>
      </w:r>
      <w:r w:rsidR="00AB4D9C">
        <w:t xml:space="preserve"> to this docket</w:t>
      </w:r>
      <w:r w:rsidR="00A94473">
        <w:t xml:space="preserve">.  </w:t>
      </w:r>
    </w:p>
    <w:p w:rsidR="00AB4D9C" w:rsidRDefault="3ABB6189" w14:paraId="093D301F" w14:textId="77777777">
      <w:pPr>
        <w:pStyle w:val="Standard"/>
      </w:pPr>
      <w:r>
        <w:t>T</w:t>
      </w:r>
      <w:r w:rsidR="5D97BE55">
        <w:t xml:space="preserve">his decision adopts </w:t>
      </w:r>
      <w:r w:rsidR="1A9DE329">
        <w:t xml:space="preserve">revisions </w:t>
      </w:r>
      <w:r w:rsidR="5D97BE55">
        <w:t>to</w:t>
      </w:r>
      <w:r w:rsidR="1A9DE329">
        <w:t xml:space="preserve"> </w:t>
      </w:r>
      <w:r w:rsidR="003B5D07">
        <w:t>GO </w:t>
      </w:r>
      <w:r w:rsidR="1A9DE329">
        <w:t>131-D</w:t>
      </w:r>
      <w:r w:rsidR="006BE938">
        <w:t xml:space="preserve">, as reflected in </w:t>
      </w:r>
      <w:r w:rsidR="003B5D07">
        <w:t>GO </w:t>
      </w:r>
      <w:r w:rsidR="006BE938">
        <w:t xml:space="preserve">131-E, </w:t>
      </w:r>
      <w:r w:rsidR="5D97BE55">
        <w:t>including language</w:t>
      </w:r>
      <w:r w:rsidR="1A9DE329">
        <w:t xml:space="preserve"> incorporat</w:t>
      </w:r>
      <w:r w:rsidR="5D97BE55">
        <w:t>ing</w:t>
      </w:r>
      <w:r w:rsidR="1A9DE329">
        <w:t xml:space="preserve"> </w:t>
      </w:r>
      <w:r w:rsidR="00441B0F">
        <w:t xml:space="preserve">Assembly </w:t>
      </w:r>
      <w:r w:rsidR="1A9DE329">
        <w:t>B</w:t>
      </w:r>
      <w:r w:rsidR="00441B0F">
        <w:t>ill</w:t>
      </w:r>
      <w:r w:rsidR="1A9DE329">
        <w:t xml:space="preserve"> </w:t>
      </w:r>
      <w:r w:rsidR="000C613E">
        <w:t xml:space="preserve">(AB) </w:t>
      </w:r>
      <w:r w:rsidR="1A9DE329">
        <w:t xml:space="preserve">1373 provisions that the Commission shall establish </w:t>
      </w:r>
      <w:r w:rsidR="79EF248D">
        <w:t xml:space="preserve">a </w:t>
      </w:r>
      <w:r w:rsidR="1A9DE329">
        <w:t>rebuttable presumption in favor of the C</w:t>
      </w:r>
      <w:r w:rsidR="00441B0F">
        <w:t xml:space="preserve">alifornia </w:t>
      </w:r>
      <w:r w:rsidR="1A9DE329">
        <w:t>I</w:t>
      </w:r>
      <w:r w:rsidR="00441B0F">
        <w:t xml:space="preserve">ndependent </w:t>
      </w:r>
      <w:r w:rsidR="1A9DE329">
        <w:t>S</w:t>
      </w:r>
      <w:r w:rsidR="00441B0F">
        <w:t xml:space="preserve">ystem </w:t>
      </w:r>
      <w:r w:rsidR="1A9DE329">
        <w:t>O</w:t>
      </w:r>
      <w:r w:rsidR="00441B0F">
        <w:t>perator</w:t>
      </w:r>
      <w:r w:rsidR="000C613E">
        <w:t>’s</w:t>
      </w:r>
      <w:r w:rsidR="1A9DE329">
        <w:t xml:space="preserve"> </w:t>
      </w:r>
      <w:r w:rsidR="5A44C2C4">
        <w:t>(CAISO)</w:t>
      </w:r>
      <w:r w:rsidR="1A9DE329">
        <w:t xml:space="preserve"> need evaluation when </w:t>
      </w:r>
      <w:r w:rsidR="5231D452">
        <w:t xml:space="preserve">considering </w:t>
      </w:r>
      <w:r w:rsidR="1A9DE329">
        <w:t xml:space="preserve">the issuance of a CPCN for a proposed transmission project, given that the project meets certain criteria specified in Public Utilities Code </w:t>
      </w:r>
      <w:r w:rsidR="00DC14AC">
        <w:t>Section </w:t>
      </w:r>
      <w:r w:rsidR="1A9DE329">
        <w:t>1001.1.</w:t>
      </w:r>
      <w:r w:rsidR="79EF248D">
        <w:t xml:space="preserve"> This decision also adopts </w:t>
      </w:r>
      <w:r w:rsidR="003B5D07">
        <w:t>GO </w:t>
      </w:r>
      <w:r w:rsidR="79EF248D">
        <w:t xml:space="preserve">131-E requirements that reflect AB </w:t>
      </w:r>
      <w:r w:rsidR="02A6F4F0">
        <w:t>2292</w:t>
      </w:r>
      <w:r w:rsidR="79EF248D">
        <w:t xml:space="preserve"> provisions </w:t>
      </w:r>
      <w:r w:rsidR="00E35C2E">
        <w:t xml:space="preserve">regarding </w:t>
      </w:r>
      <w:r w:rsidR="79EF248D">
        <w:t xml:space="preserve">the Commission’s consideration of transmission project alternatives during the Commission’s review of proposed project applications. </w:t>
      </w:r>
    </w:p>
    <w:p w:rsidR="003B1CAE" w:rsidP="00474AE8" w:rsidRDefault="000C613E" w14:paraId="0B6BD0AF" w14:textId="77777777">
      <w:pPr>
        <w:pStyle w:val="Standard"/>
      </w:pPr>
      <w:r>
        <w:lastRenderedPageBreak/>
        <w:t>In addition, t</w:t>
      </w:r>
      <w:r w:rsidR="003B1CAE">
        <w:t>h</w:t>
      </w:r>
      <w:r>
        <w:t>is</w:t>
      </w:r>
      <w:r w:rsidR="003B1CAE">
        <w:t xml:space="preserve"> decision makes </w:t>
      </w:r>
      <w:r>
        <w:t xml:space="preserve">other </w:t>
      </w:r>
      <w:r w:rsidR="003B1CAE">
        <w:t xml:space="preserve">necessary </w:t>
      </w:r>
      <w:r w:rsidR="00151CD2">
        <w:t xml:space="preserve">updates and </w:t>
      </w:r>
      <w:r w:rsidR="00FF5CC2">
        <w:t>clarifications</w:t>
      </w:r>
      <w:r w:rsidR="003B1CAE">
        <w:t xml:space="preserve"> to </w:t>
      </w:r>
      <w:r w:rsidR="003B5D07">
        <w:t>GO </w:t>
      </w:r>
      <w:r w:rsidR="003B1CAE">
        <w:t xml:space="preserve">131-D, </w:t>
      </w:r>
      <w:r w:rsidR="00FF5CC2">
        <w:t>as</w:t>
      </w:r>
      <w:r w:rsidR="003B1CAE">
        <w:t xml:space="preserve"> reflected in </w:t>
      </w:r>
      <w:r>
        <w:t xml:space="preserve">the attached </w:t>
      </w:r>
      <w:r w:rsidR="003B5D07">
        <w:t>GO </w:t>
      </w:r>
      <w:r w:rsidR="003B1CAE">
        <w:t>131-E</w:t>
      </w:r>
      <w:r w:rsidR="00FF5CC2">
        <w:t>,</w:t>
      </w:r>
      <w:r w:rsidR="003B1CAE">
        <w:t xml:space="preserve"> including</w:t>
      </w:r>
      <w:r w:rsidR="00151CD2">
        <w:t>:</w:t>
      </w:r>
      <w:r w:rsidR="003B1CAE">
        <w:t xml:space="preserve"> (1) updating and clarifying various terms, definitions and exemptions</w:t>
      </w:r>
      <w:r w:rsidR="00151CD2">
        <w:t>;</w:t>
      </w:r>
      <w:r w:rsidR="003B1CAE">
        <w:t xml:space="preserve"> (</w:t>
      </w:r>
      <w:r w:rsidR="00CE08D4">
        <w:t>2</w:t>
      </w:r>
      <w:r w:rsidR="003B1CAE">
        <w:t xml:space="preserve">) consolidating </w:t>
      </w:r>
      <w:r w:rsidR="000D215E">
        <w:t>electric and magnetic fields (EMF)</w:t>
      </w:r>
      <w:r w:rsidR="003B1CAE">
        <w:t xml:space="preserve"> application requirements within existing application requirements</w:t>
      </w:r>
      <w:r w:rsidR="00151CD2">
        <w:t>;</w:t>
      </w:r>
      <w:r w:rsidR="003B1CAE">
        <w:t xml:space="preserve"> (3) </w:t>
      </w:r>
      <w:r w:rsidR="00151CD2">
        <w:t xml:space="preserve">updating reporting </w:t>
      </w:r>
      <w:r w:rsidR="00CE08D4">
        <w:t xml:space="preserve">requirements including </w:t>
      </w:r>
      <w:r w:rsidR="003B1CAE">
        <w:t>the list of financial information that must be reported by electric public utilities to the Commission</w:t>
      </w:r>
      <w:r w:rsidR="0040704A">
        <w:t>;</w:t>
      </w:r>
      <w:r w:rsidR="00151CD2">
        <w:t xml:space="preserve"> </w:t>
      </w:r>
      <w:r w:rsidR="003B1CAE">
        <w:t>(4) align</w:t>
      </w:r>
      <w:r w:rsidR="00151CD2">
        <w:t xml:space="preserve">ing of </w:t>
      </w:r>
      <w:r w:rsidR="003B5D07">
        <w:t>GO </w:t>
      </w:r>
      <w:r w:rsidR="00151CD2">
        <w:t xml:space="preserve">language </w:t>
      </w:r>
      <w:r w:rsidR="003B1CAE">
        <w:t>with GO-96 B that specifies rules for dispos</w:t>
      </w:r>
      <w:r>
        <w:t>itions</w:t>
      </w:r>
      <w:r w:rsidR="003B1CAE">
        <w:t xml:space="preserve"> of advice letters</w:t>
      </w:r>
      <w:r w:rsidR="0040704A">
        <w:t>; and (5) requiring protests of Commission Executive Director disposition</w:t>
      </w:r>
      <w:r w:rsidR="00D6272D">
        <w:t>s</w:t>
      </w:r>
      <w:r w:rsidR="0040704A">
        <w:t xml:space="preserve"> of advice letters that gr</w:t>
      </w:r>
      <w:r w:rsidR="00D6272D">
        <w:t>ant PTC exemptions</w:t>
      </w:r>
      <w:r w:rsidR="0040704A">
        <w:t xml:space="preserve"> to be addressed through applications for rehearing</w:t>
      </w:r>
      <w:r w:rsidR="00D6272D">
        <w:t xml:space="preserve"> pursuant to AB 551.</w:t>
      </w:r>
    </w:p>
    <w:p w:rsidR="00A94473" w:rsidP="00A94473" w:rsidRDefault="003B1CAE" w14:paraId="42317EA0" w14:textId="77777777">
      <w:pPr>
        <w:pStyle w:val="Standard"/>
      </w:pPr>
      <w:r>
        <w:t xml:space="preserve">All redlined revisions to </w:t>
      </w:r>
      <w:r w:rsidR="003B5D07">
        <w:t>GO </w:t>
      </w:r>
      <w:r>
        <w:t xml:space="preserve">131-D, as reflected in Attachment A, and as discussed in this decision, </w:t>
      </w:r>
      <w:r w:rsidR="00FF5CC2">
        <w:t>are</w:t>
      </w:r>
      <w:r>
        <w:t xml:space="preserve"> adopted. </w:t>
      </w:r>
      <w:r w:rsidR="003B5D07">
        <w:t>GO </w:t>
      </w:r>
      <w:r>
        <w:t>131-E, Attachment B to this decision, replace</w:t>
      </w:r>
      <w:r w:rsidR="00FF5CC2">
        <w:t>s</w:t>
      </w:r>
      <w:r>
        <w:t xml:space="preserve"> and supersede</w:t>
      </w:r>
      <w:r w:rsidR="00FF5CC2">
        <w:t>s</w:t>
      </w:r>
      <w:r>
        <w:t xml:space="preserve"> </w:t>
      </w:r>
      <w:r w:rsidR="003B5D07">
        <w:t>GO </w:t>
      </w:r>
      <w:r>
        <w:t>131-D</w:t>
      </w:r>
      <w:r w:rsidR="00FF5CC2">
        <w:t xml:space="preserve">, effective </w:t>
      </w:r>
      <w:r w:rsidR="00AA5E9D">
        <w:t xml:space="preserve">upon </w:t>
      </w:r>
      <w:r w:rsidR="003511C4">
        <w:t>issuance of this decision</w:t>
      </w:r>
      <w:r>
        <w:t>.</w:t>
      </w:r>
    </w:p>
    <w:p w:rsidR="005A4EB8" w:rsidP="00FF5CC2" w:rsidRDefault="005A4EB8" w14:paraId="7FD38AAD" w14:textId="77777777">
      <w:pPr>
        <w:pStyle w:val="Standard"/>
      </w:pPr>
      <w:r w:rsidRPr="005A4EB8">
        <w:t>This proceeding is closed.</w:t>
      </w:r>
    </w:p>
    <w:p w:rsidRPr="00121089" w:rsidR="005A148C" w:rsidP="008153EC" w:rsidRDefault="009F534E" w14:paraId="717C04C8" w14:textId="77777777">
      <w:pPr>
        <w:pStyle w:val="Heading1"/>
      </w:pPr>
      <w:bookmarkStart w:name="_Toc8123715" w:id="9"/>
      <w:bookmarkStart w:name="_Toc141799144" w:id="10"/>
      <w:bookmarkStart w:name="_Toc189738488" w:id="11"/>
      <w:r>
        <w:t xml:space="preserve">Procedural </w:t>
      </w:r>
      <w:r w:rsidRPr="00121089" w:rsidR="002C7FE9">
        <w:t>Background</w:t>
      </w:r>
      <w:bookmarkEnd w:id="9"/>
      <w:bookmarkEnd w:id="10"/>
      <w:bookmarkEnd w:id="11"/>
    </w:p>
    <w:p w:rsidR="00816E40" w:rsidP="00B9175D" w:rsidRDefault="00FD01AB" w14:paraId="3DD06943" w14:textId="77777777">
      <w:pPr>
        <w:pStyle w:val="Standard"/>
      </w:pPr>
      <w:r>
        <w:t xml:space="preserve">On </w:t>
      </w:r>
      <w:r w:rsidR="001221A3">
        <w:t>May</w:t>
      </w:r>
      <w:r w:rsidR="00C57F04">
        <w:t xml:space="preserve"> 23, 2023</w:t>
      </w:r>
      <w:r w:rsidR="007D2027">
        <w:t xml:space="preserve">, the California Public Utilities Commission (Commission) </w:t>
      </w:r>
      <w:r w:rsidR="00490F4B">
        <w:t>issued</w:t>
      </w:r>
      <w:r w:rsidR="007D2027">
        <w:t xml:space="preserve"> an Order Instituting Rulemaking (OIR)</w:t>
      </w:r>
      <w:r w:rsidR="007D05BA">
        <w:t>, Rulemaking (R.) 2</w:t>
      </w:r>
      <w:r w:rsidR="00C57F04">
        <w:t>3</w:t>
      </w:r>
      <w:r w:rsidR="007D05BA">
        <w:t>-0</w:t>
      </w:r>
      <w:r w:rsidR="00C57F04">
        <w:t>5</w:t>
      </w:r>
      <w:r w:rsidR="007D05BA">
        <w:t>-0</w:t>
      </w:r>
      <w:r w:rsidR="00C57F04">
        <w:t>18</w:t>
      </w:r>
      <w:r w:rsidR="007D05BA">
        <w:t>,</w:t>
      </w:r>
      <w:r w:rsidR="007D2027">
        <w:t xml:space="preserve"> to </w:t>
      </w:r>
      <w:r w:rsidR="00C57F04">
        <w:t xml:space="preserve">update and clarify General Order (GO) 131-D pursuant to </w:t>
      </w:r>
      <w:r w:rsidRPr="00C57F04" w:rsidR="00C57F04">
        <w:t>Senate Bill (SB) 529 (Hertzberg</w:t>
      </w:r>
      <w:r w:rsidR="005648E6">
        <w:t>),</w:t>
      </w:r>
      <w:r w:rsidRPr="00C57F04" w:rsidR="00C57F04">
        <w:t xml:space="preserve"> Stats. 2022, </w:t>
      </w:r>
      <w:proofErr w:type="spellStart"/>
      <w:r w:rsidR="003544BA">
        <w:t>c</w:t>
      </w:r>
      <w:r w:rsidRPr="00C57F04" w:rsidR="00C57F04">
        <w:t>h.</w:t>
      </w:r>
      <w:proofErr w:type="spellEnd"/>
      <w:r w:rsidRPr="00C57F04" w:rsidR="00C57F04">
        <w:t xml:space="preserve"> 357</w:t>
      </w:r>
      <w:r w:rsidR="003544BA">
        <w:t>,</w:t>
      </w:r>
      <w:r w:rsidRPr="00C57F04" w:rsidR="00C57F04">
        <w:t xml:space="preserve"> </w:t>
      </w:r>
      <w:r w:rsidR="00583B08">
        <w:t>and</w:t>
      </w:r>
      <w:r w:rsidR="001C4FC1">
        <w:t xml:space="preserve"> </w:t>
      </w:r>
      <w:r w:rsidR="00F23DEC">
        <w:t xml:space="preserve">also </w:t>
      </w:r>
      <w:r w:rsidR="00CE08D4">
        <w:t xml:space="preserve">to </w:t>
      </w:r>
      <w:r w:rsidR="00F23DEC">
        <w:t xml:space="preserve">make </w:t>
      </w:r>
      <w:r w:rsidR="00F51873">
        <w:t xml:space="preserve">other clarifications and updates to </w:t>
      </w:r>
      <w:r w:rsidR="003B5D07">
        <w:t>GO </w:t>
      </w:r>
      <w:r w:rsidR="000C613E">
        <w:t>131-D</w:t>
      </w:r>
      <w:r w:rsidR="00447393">
        <w:t>,</w:t>
      </w:r>
      <w:r w:rsidR="005E6359">
        <w:t xml:space="preserve"> </w:t>
      </w:r>
      <w:r w:rsidR="001C4FC1">
        <w:t>as</w:t>
      </w:r>
      <w:r w:rsidR="00583B08">
        <w:t xml:space="preserve"> </w:t>
      </w:r>
      <w:r w:rsidR="001C4FC1">
        <w:t>ne</w:t>
      </w:r>
      <w:r w:rsidR="00447393">
        <w:t>cessary</w:t>
      </w:r>
      <w:r w:rsidR="00583B08">
        <w:t xml:space="preserve">. </w:t>
      </w:r>
      <w:r w:rsidR="001C4FC1">
        <w:t xml:space="preserve"> </w:t>
      </w:r>
    </w:p>
    <w:p w:rsidR="007D2027" w:rsidP="00B9175D" w:rsidRDefault="00583B08" w14:paraId="7F630BDF" w14:textId="77777777">
      <w:pPr>
        <w:pStyle w:val="Standard"/>
      </w:pPr>
      <w:r>
        <w:t>E</w:t>
      </w:r>
      <w:r w:rsidR="00C57F04">
        <w:t>nacted on January 1, 2023</w:t>
      </w:r>
      <w:r w:rsidR="001C4FC1">
        <w:t>,</w:t>
      </w:r>
      <w:r w:rsidR="00C57F04">
        <w:t xml:space="preserve"> </w:t>
      </w:r>
      <w:r w:rsidR="00DC14AC">
        <w:t>SB </w:t>
      </w:r>
      <w:r w:rsidR="00C57F04">
        <w:t>529</w:t>
      </w:r>
      <w:r w:rsidRPr="00C57F04" w:rsidR="00C57F04">
        <w:t xml:space="preserve"> added Public Utilities (Pub. Util.) Code </w:t>
      </w:r>
      <w:r w:rsidR="00DC14AC">
        <w:t>Section </w:t>
      </w:r>
      <w:r w:rsidRPr="00C57F04" w:rsidR="00C57F04">
        <w:t>56</w:t>
      </w:r>
      <w:r w:rsidR="00C57F04">
        <w:t xml:space="preserve">4 </w:t>
      </w:r>
      <w:r w:rsidR="00D834C1">
        <w:t xml:space="preserve">which </w:t>
      </w:r>
      <w:r w:rsidR="0059710D">
        <w:t xml:space="preserve">required amendments to </w:t>
      </w:r>
      <w:r w:rsidR="003B5D07">
        <w:t>GO </w:t>
      </w:r>
      <w:r w:rsidR="0059710D">
        <w:t>131-D as follows:</w:t>
      </w:r>
    </w:p>
    <w:p w:rsidR="00084678" w:rsidP="00CE20A7" w:rsidRDefault="00C57F04" w14:paraId="15CB76BB" w14:textId="77777777">
      <w:pPr>
        <w:pStyle w:val="Standard"/>
        <w:spacing w:after="180" w:line="240" w:lineRule="auto"/>
        <w:ind w:left="720" w:right="1080" w:firstLine="0"/>
        <w:rPr>
          <w:szCs w:val="26"/>
        </w:rPr>
      </w:pPr>
      <w:r w:rsidRPr="00C57F04">
        <w:rPr>
          <w:szCs w:val="26"/>
        </w:rPr>
        <w:t>By January 1, 2024, the Commission shall update General Order</w:t>
      </w:r>
      <w:r w:rsidR="00D642E3">
        <w:rPr>
          <w:szCs w:val="26"/>
        </w:rPr>
        <w:t> </w:t>
      </w:r>
      <w:r w:rsidRPr="00C57F04">
        <w:rPr>
          <w:szCs w:val="26"/>
        </w:rPr>
        <w:t xml:space="preserve">131-D to authorize each public utility electrical corporation to use the permit-to-construct process or claim an exemption under </w:t>
      </w:r>
      <w:r w:rsidR="00DC14AC">
        <w:rPr>
          <w:szCs w:val="26"/>
        </w:rPr>
        <w:t>Section </w:t>
      </w:r>
      <w:r w:rsidRPr="00C57F04">
        <w:rPr>
          <w:szCs w:val="26"/>
        </w:rPr>
        <w:t xml:space="preserve">III(B) of that general order to seek approval to construct an extension, expansion, upgrade, or other modification to its existing electrical transmission facilities, including electric </w:t>
      </w:r>
      <w:r w:rsidRPr="00C57F04">
        <w:rPr>
          <w:szCs w:val="26"/>
        </w:rPr>
        <w:lastRenderedPageBreak/>
        <w:t>transmission lines and substations within existing transmission easements, rights of way, or franchise agreements, irrespective of whether the electrical transmission facility is above a 200-kilovolt voltage level</w:t>
      </w:r>
      <w:r w:rsidR="00D07A13">
        <w:rPr>
          <w:szCs w:val="26"/>
        </w:rPr>
        <w:t>.</w:t>
      </w:r>
    </w:p>
    <w:p w:rsidR="00C57F04" w:rsidP="00084678" w:rsidRDefault="0059710D" w14:paraId="39969C35" w14:textId="77777777">
      <w:pPr>
        <w:pStyle w:val="Standard"/>
        <w:rPr>
          <w:szCs w:val="26"/>
        </w:rPr>
      </w:pPr>
      <w:r>
        <w:rPr>
          <w:szCs w:val="26"/>
        </w:rPr>
        <w:t xml:space="preserve">Further, </w:t>
      </w:r>
      <w:r w:rsidR="00DC14AC">
        <w:rPr>
          <w:szCs w:val="26"/>
        </w:rPr>
        <w:t>SB </w:t>
      </w:r>
      <w:r w:rsidRPr="00C57F04" w:rsidR="00C57F04">
        <w:rPr>
          <w:szCs w:val="26"/>
        </w:rPr>
        <w:t xml:space="preserve">529 </w:t>
      </w:r>
      <w:r>
        <w:rPr>
          <w:szCs w:val="26"/>
        </w:rPr>
        <w:t xml:space="preserve">modified </w:t>
      </w:r>
      <w:r w:rsidR="00DC14AC">
        <w:rPr>
          <w:szCs w:val="26"/>
        </w:rPr>
        <w:t>Section </w:t>
      </w:r>
      <w:r w:rsidRPr="00C57F04" w:rsidR="00C57F04">
        <w:rPr>
          <w:szCs w:val="26"/>
        </w:rPr>
        <w:t xml:space="preserve">(b) of Pub. Util. Code </w:t>
      </w:r>
      <w:r w:rsidR="00DC14AC">
        <w:rPr>
          <w:szCs w:val="26"/>
        </w:rPr>
        <w:t>Section </w:t>
      </w:r>
      <w:r w:rsidRPr="00C57F04" w:rsidR="00C57F04">
        <w:rPr>
          <w:szCs w:val="26"/>
        </w:rPr>
        <w:t xml:space="preserve">1001 to read as follows: </w:t>
      </w:r>
    </w:p>
    <w:p w:rsidR="00084678" w:rsidP="00CE20A7" w:rsidRDefault="00C57F04" w14:paraId="61F3608A" w14:textId="77777777">
      <w:pPr>
        <w:pStyle w:val="Standard"/>
        <w:spacing w:after="180" w:line="240" w:lineRule="auto"/>
        <w:ind w:left="720" w:right="1080" w:firstLine="0"/>
        <w:rPr>
          <w:szCs w:val="26"/>
        </w:rPr>
      </w:pPr>
      <w:r w:rsidRPr="00C57F04">
        <w:rPr>
          <w:szCs w:val="26"/>
        </w:rPr>
        <w:t>The extension, expansion, upgrade, or other modification of an existing electrical transmission facility, including transmission lines and substations, does not require a certificate that the present or future public convenience and necessity requires or will require its construction</w:t>
      </w:r>
      <w:r w:rsidR="00D07A13">
        <w:rPr>
          <w:szCs w:val="26"/>
        </w:rPr>
        <w:t>.</w:t>
      </w:r>
    </w:p>
    <w:p w:rsidR="00695D2D" w:rsidP="005C1464" w:rsidRDefault="005C1464" w14:paraId="50CB6C51" w14:textId="77777777">
      <w:pPr>
        <w:pStyle w:val="Standard"/>
      </w:pPr>
      <w:r>
        <w:t xml:space="preserve">The OIR included two draft versions of </w:t>
      </w:r>
      <w:r w:rsidR="003B5D07">
        <w:t>GO </w:t>
      </w:r>
      <w:r>
        <w:t>131-E, including Attachment A</w:t>
      </w:r>
      <w:r w:rsidR="004A6CF4">
        <w:t xml:space="preserve"> </w:t>
      </w:r>
      <w:r w:rsidR="6CC0A744">
        <w:t>which</w:t>
      </w:r>
      <w:r>
        <w:t xml:space="preserve"> propose</w:t>
      </w:r>
      <w:r w:rsidR="00BD7647">
        <w:t>d</w:t>
      </w:r>
      <w:r>
        <w:t xml:space="preserve"> amendments to </w:t>
      </w:r>
      <w:r w:rsidR="003B5D07">
        <w:t>GO </w:t>
      </w:r>
      <w:r>
        <w:t xml:space="preserve">131-D solely to conform to the requirements of </w:t>
      </w:r>
      <w:r w:rsidR="00DC14AC">
        <w:t>SB </w:t>
      </w:r>
      <w:r>
        <w:t>529</w:t>
      </w:r>
      <w:r w:rsidR="00BD7647">
        <w:t xml:space="preserve">, and </w:t>
      </w:r>
      <w:r>
        <w:t>Attachment B</w:t>
      </w:r>
      <w:r w:rsidR="00BD7647">
        <w:t xml:space="preserve"> </w:t>
      </w:r>
      <w:r w:rsidR="005FCEB9">
        <w:t>which</w:t>
      </w:r>
      <w:r w:rsidR="00E7242F">
        <w:t xml:space="preserve"> </w:t>
      </w:r>
      <w:r>
        <w:t>include</w:t>
      </w:r>
      <w:r w:rsidR="00F20530">
        <w:t>d</w:t>
      </w:r>
      <w:r>
        <w:t xml:space="preserve"> </w:t>
      </w:r>
      <w:r w:rsidR="00175956">
        <w:t xml:space="preserve">other </w:t>
      </w:r>
      <w:r>
        <w:t>proposed</w:t>
      </w:r>
      <w:r w:rsidR="00F20530">
        <w:t xml:space="preserve"> modifications</w:t>
      </w:r>
      <w:r>
        <w:t xml:space="preserve"> </w:t>
      </w:r>
      <w:r w:rsidR="0064156A">
        <w:t xml:space="preserve">to </w:t>
      </w:r>
      <w:r w:rsidR="003B5D07">
        <w:t>GO </w:t>
      </w:r>
      <w:r>
        <w:t>131-D</w:t>
      </w:r>
      <w:r w:rsidR="00695D2D">
        <w:t xml:space="preserve">. </w:t>
      </w:r>
    </w:p>
    <w:p w:rsidR="001E6BBD" w:rsidP="00084678" w:rsidRDefault="005824EE" w14:paraId="270745A1" w14:textId="77777777">
      <w:pPr>
        <w:pStyle w:val="Standard"/>
        <w:rPr>
          <w:highlight w:val="yellow"/>
        </w:rPr>
      </w:pPr>
      <w:r>
        <w:t>In</w:t>
      </w:r>
      <w:r w:rsidR="00695D2D">
        <w:t xml:space="preserve"> June </w:t>
      </w:r>
      <w:r w:rsidR="007313F2">
        <w:t>of</w:t>
      </w:r>
      <w:r w:rsidR="00695D2D">
        <w:t xml:space="preserve"> 2023, Rural County Representatives of California (RCRC)</w:t>
      </w:r>
      <w:r w:rsidR="00ED31DE">
        <w:t>,</w:t>
      </w:r>
      <w:r w:rsidR="00695D2D">
        <w:t xml:space="preserve"> the Acton Town Council</w:t>
      </w:r>
      <w:r w:rsidR="00ED31DE">
        <w:t>,</w:t>
      </w:r>
      <w:r w:rsidR="00695D2D">
        <w:t xml:space="preserve"> Clean Coalition; American Clean Power – California (</w:t>
      </w:r>
      <w:r w:rsidR="505B3B55">
        <w:t>ACP</w:t>
      </w:r>
      <w:r w:rsidR="00695D2D">
        <w:t>)</w:t>
      </w:r>
      <w:r w:rsidR="00ED31DE">
        <w:t>,</w:t>
      </w:r>
      <w:r w:rsidR="00695D2D">
        <w:t xml:space="preserve"> Pacific Gas and Electric Company (PG&amp;E)</w:t>
      </w:r>
      <w:r w:rsidR="00ED31DE">
        <w:t>,</w:t>
      </w:r>
      <w:r w:rsidR="00695D2D">
        <w:t xml:space="preserve"> California Farm Bureau Federation (Farm Bureau)</w:t>
      </w:r>
      <w:r w:rsidR="00ED31DE">
        <w:t>,</w:t>
      </w:r>
      <w:r w:rsidR="00695D2D">
        <w:t xml:space="preserve"> the Protect Our Communities Foundation (PCF)</w:t>
      </w:r>
      <w:r w:rsidR="00ED31DE">
        <w:t>,</w:t>
      </w:r>
      <w:r w:rsidR="00695D2D">
        <w:t xml:space="preserve"> Coalition of California Utility Employees (CUE)</w:t>
      </w:r>
      <w:r w:rsidR="00ED31DE">
        <w:t>,</w:t>
      </w:r>
      <w:r w:rsidR="00695D2D">
        <w:t xml:space="preserve"> Environmental Defense Fund (EDF)</w:t>
      </w:r>
      <w:r w:rsidR="00ED31DE">
        <w:t>,</w:t>
      </w:r>
      <w:r w:rsidR="00695D2D">
        <w:t xml:space="preserve"> California Energy Storage Alliance</w:t>
      </w:r>
      <w:r w:rsidR="006714A3">
        <w:t xml:space="preserve"> (CESA)</w:t>
      </w:r>
      <w:r w:rsidR="00ED31DE">
        <w:t>,</w:t>
      </w:r>
      <w:r w:rsidDel="001E6BBD" w:rsidR="00695D2D">
        <w:t xml:space="preserve"> </w:t>
      </w:r>
      <w:r w:rsidR="00695D2D">
        <w:t>San Diego Gas &amp; Electric Company (SDG&amp;E)</w:t>
      </w:r>
      <w:r w:rsidR="001E6BBD">
        <w:t>,</w:t>
      </w:r>
      <w:r w:rsidR="00695D2D">
        <w:t xml:space="preserve"> Defenders of Wildlife</w:t>
      </w:r>
      <w:r w:rsidR="006714A3">
        <w:t xml:space="preserve"> (DOW)</w:t>
      </w:r>
      <w:r w:rsidR="001E6BBD">
        <w:t>,</w:t>
      </w:r>
      <w:r w:rsidR="00695D2D">
        <w:t xml:space="preserve"> the Public Advocates Office (Cal Advocates)</w:t>
      </w:r>
      <w:r w:rsidR="001E6BBD">
        <w:t>,</w:t>
      </w:r>
      <w:r w:rsidR="00695D2D">
        <w:t xml:space="preserve"> Southern California Edison Company (SCE)</w:t>
      </w:r>
      <w:r w:rsidR="001E6BBD">
        <w:t>,</w:t>
      </w:r>
      <w:r w:rsidR="00695D2D">
        <w:t xml:space="preserve"> Large-Scale Solar Association</w:t>
      </w:r>
      <w:r w:rsidR="001E6BBD">
        <w:t>,</w:t>
      </w:r>
      <w:r w:rsidR="00695D2D">
        <w:t xml:space="preserve"> LS Power Grid California, LLC (LS</w:t>
      </w:r>
      <w:r w:rsidR="009662BD">
        <w:t>PGC</w:t>
      </w:r>
      <w:r w:rsidR="00695D2D">
        <w:t>)</w:t>
      </w:r>
      <w:r w:rsidR="001E6BBD">
        <w:t>,</w:t>
      </w:r>
      <w:r w:rsidR="00695D2D">
        <w:t xml:space="preserve"> California Independent System Operator Corporation (CAISO)</w:t>
      </w:r>
      <w:r w:rsidR="001E6BBD">
        <w:t>,</w:t>
      </w:r>
      <w:r w:rsidR="00695D2D">
        <w:t xml:space="preserve"> Center for Energy Efficiency and Renewable Technologies (CEERT)</w:t>
      </w:r>
      <w:r w:rsidR="001E6BBD">
        <w:t>,</w:t>
      </w:r>
      <w:r w:rsidR="00695D2D">
        <w:t xml:space="preserve"> REV Renewables</w:t>
      </w:r>
      <w:r w:rsidR="001E6BBD">
        <w:t>,</w:t>
      </w:r>
      <w:r w:rsidR="00695D2D">
        <w:t xml:space="preserve"> </w:t>
      </w:r>
      <w:r w:rsidR="003A5EF2">
        <w:t xml:space="preserve">LLC, </w:t>
      </w:r>
      <w:r w:rsidR="00695D2D">
        <w:t>Independent Energy Producers Association (IEP)</w:t>
      </w:r>
      <w:r w:rsidR="001E6BBD">
        <w:t xml:space="preserve">, </w:t>
      </w:r>
      <w:r w:rsidR="00695D2D">
        <w:t>and the City of Long Beach, California</w:t>
      </w:r>
      <w:r w:rsidR="001E786F">
        <w:t xml:space="preserve"> (City of Long Beach)</w:t>
      </w:r>
      <w:r w:rsidR="00695D2D">
        <w:t xml:space="preserve">, a municipal corporation acting by and through its Board of Harbor </w:t>
      </w:r>
      <w:r w:rsidR="00695D2D">
        <w:lastRenderedPageBreak/>
        <w:t>Commissioners</w:t>
      </w:r>
      <w:r w:rsidR="001E786F">
        <w:t>,</w:t>
      </w:r>
      <w:r w:rsidR="00695D2D">
        <w:t xml:space="preserve"> filed opening comments on the OIR.</w:t>
      </w:r>
      <w:r w:rsidR="007313F2">
        <w:t xml:space="preserve"> </w:t>
      </w:r>
      <w:r w:rsidR="00873030">
        <w:t xml:space="preserve">Joint opening comments </w:t>
      </w:r>
      <w:r w:rsidR="00835AB6">
        <w:t xml:space="preserve">to the OIR </w:t>
      </w:r>
      <w:r w:rsidR="00873030">
        <w:t xml:space="preserve">were filed by </w:t>
      </w:r>
      <w:r w:rsidR="001E6BBD">
        <w:t>Liberty Utilities LLC</w:t>
      </w:r>
      <w:r w:rsidR="001E786F">
        <w:t xml:space="preserve"> (</w:t>
      </w:r>
      <w:proofErr w:type="spellStart"/>
      <w:r w:rsidR="001E786F">
        <w:t>CalPeco</w:t>
      </w:r>
      <w:proofErr w:type="spellEnd"/>
      <w:r w:rsidR="001E786F">
        <w:t xml:space="preserve"> Electric)</w:t>
      </w:r>
      <w:r w:rsidR="001E6BBD">
        <w:t xml:space="preserve">, PacifiCorp, and Bear Valley Electric Service, Inc. (collectively, California Association of Small and Multi-Jurisdictional Utilities (CASMU)) </w:t>
      </w:r>
      <w:r w:rsidR="00873030">
        <w:t xml:space="preserve">as well as </w:t>
      </w:r>
      <w:r w:rsidR="001E6BBD">
        <w:t xml:space="preserve">Trans Bay Cable LLC, Horizon West Transmission, LLC, and </w:t>
      </w:r>
      <w:proofErr w:type="spellStart"/>
      <w:r w:rsidR="001E6BBD">
        <w:t>GridLiance</w:t>
      </w:r>
      <w:proofErr w:type="spellEnd"/>
      <w:r w:rsidR="001E6BBD">
        <w:t xml:space="preserve"> West LLC (collectively, Transmission Owners)</w:t>
      </w:r>
      <w:r w:rsidR="001E786F">
        <w:t>.</w:t>
      </w:r>
    </w:p>
    <w:p w:rsidR="00695D2D" w:rsidP="00084678" w:rsidRDefault="00BD54CE" w14:paraId="5D070209" w14:textId="77777777">
      <w:pPr>
        <w:pStyle w:val="Standard"/>
      </w:pPr>
      <w:r>
        <w:t xml:space="preserve">In </w:t>
      </w:r>
      <w:r w:rsidR="00695D2D">
        <w:t xml:space="preserve">July </w:t>
      </w:r>
      <w:r>
        <w:t>of</w:t>
      </w:r>
      <w:r w:rsidR="00695D2D">
        <w:t xml:space="preserve"> 2023, LS</w:t>
      </w:r>
      <w:r w:rsidR="00F86101">
        <w:t xml:space="preserve">PGC, </w:t>
      </w:r>
      <w:r w:rsidR="00695D2D">
        <w:t>Cal Advocates</w:t>
      </w:r>
      <w:r w:rsidR="00873030">
        <w:t>,</w:t>
      </w:r>
      <w:r w:rsidR="00695D2D">
        <w:t xml:space="preserve"> PG&amp;E</w:t>
      </w:r>
      <w:r w:rsidR="00873030">
        <w:t>,</w:t>
      </w:r>
      <w:r w:rsidR="00695D2D">
        <w:t xml:space="preserve"> </w:t>
      </w:r>
      <w:r w:rsidR="00815CFC">
        <w:t>ACP</w:t>
      </w:r>
      <w:r w:rsidR="00873030">
        <w:t>,</w:t>
      </w:r>
      <w:r w:rsidR="00695D2D">
        <w:t xml:space="preserve"> the Acton Town Council</w:t>
      </w:r>
      <w:r w:rsidR="00873030">
        <w:t>,</w:t>
      </w:r>
      <w:r w:rsidR="00695D2D">
        <w:t xml:space="preserve"> EDF</w:t>
      </w:r>
      <w:r w:rsidR="00873030">
        <w:t>,</w:t>
      </w:r>
      <w:r w:rsidR="00695D2D">
        <w:t xml:space="preserve"> SDG&amp;E</w:t>
      </w:r>
      <w:r w:rsidR="00873030">
        <w:t>,</w:t>
      </w:r>
      <w:r w:rsidR="00695D2D">
        <w:t xml:space="preserve"> Farm Bureau</w:t>
      </w:r>
      <w:r w:rsidR="00873030">
        <w:t>,</w:t>
      </w:r>
      <w:r w:rsidR="00695D2D">
        <w:t xml:space="preserve"> CEERT</w:t>
      </w:r>
      <w:r w:rsidR="00873030">
        <w:t>,</w:t>
      </w:r>
      <w:r w:rsidR="00695D2D">
        <w:t xml:space="preserve"> CAISO</w:t>
      </w:r>
      <w:r w:rsidR="00873030">
        <w:t>,</w:t>
      </w:r>
      <w:r w:rsidR="00695D2D">
        <w:t xml:space="preserve"> SCE</w:t>
      </w:r>
      <w:r w:rsidR="00873030">
        <w:t>,</w:t>
      </w:r>
      <w:r w:rsidR="00695D2D">
        <w:t xml:space="preserve"> Large-Scale Solar Association</w:t>
      </w:r>
      <w:r w:rsidR="00873030">
        <w:t>,</w:t>
      </w:r>
      <w:r w:rsidR="00695D2D">
        <w:t xml:space="preserve"> Transmission Owners</w:t>
      </w:r>
      <w:r w:rsidR="00873030">
        <w:t>,</w:t>
      </w:r>
      <w:r w:rsidR="00695D2D">
        <w:t xml:space="preserve"> and IEP filed reply comments.</w:t>
      </w:r>
    </w:p>
    <w:p w:rsidR="00695D2D" w:rsidP="00084678" w:rsidRDefault="5BC31654" w14:paraId="70E5F739" w14:textId="77777777">
      <w:pPr>
        <w:pStyle w:val="Standard"/>
      </w:pPr>
      <w:r>
        <w:t xml:space="preserve">On July 31, 2023, the assigned Commissioner issued a Scoping Memo and Ruling (Scoping Memo) </w:t>
      </w:r>
      <w:r w:rsidR="2FE108F8">
        <w:t>that identified</w:t>
      </w:r>
      <w:r>
        <w:t xml:space="preserve"> </w:t>
      </w:r>
      <w:r w:rsidR="745B6B84">
        <w:t xml:space="preserve">the issues in the </w:t>
      </w:r>
      <w:r w:rsidR="2FE108F8">
        <w:t>scop</w:t>
      </w:r>
      <w:r w:rsidR="745B6B84">
        <w:t>e of this rulemaking</w:t>
      </w:r>
      <w:r w:rsidR="2FE108F8">
        <w:t xml:space="preserve"> </w:t>
      </w:r>
      <w:r>
        <w:t xml:space="preserve">and </w:t>
      </w:r>
      <w:r w:rsidR="7F0CBB47">
        <w:t xml:space="preserve">set </w:t>
      </w:r>
      <w:r>
        <w:t>the proceeding</w:t>
      </w:r>
      <w:r w:rsidR="2FE108F8">
        <w:t xml:space="preserve"> schedule</w:t>
      </w:r>
      <w:r>
        <w:t xml:space="preserve">. The Scoping Memo determined that </w:t>
      </w:r>
      <w:r w:rsidR="2909D1BE">
        <w:t xml:space="preserve">issues in the </w:t>
      </w:r>
      <w:r w:rsidR="2FE108F8">
        <w:t>scop</w:t>
      </w:r>
      <w:r w:rsidR="2909D1BE">
        <w:t xml:space="preserve">e of </w:t>
      </w:r>
      <w:r w:rsidR="2FE108F8">
        <w:t>th</w:t>
      </w:r>
      <w:r w:rsidR="2909D1BE">
        <w:t>is</w:t>
      </w:r>
      <w:r>
        <w:t xml:space="preserve"> </w:t>
      </w:r>
      <w:r w:rsidR="2FE108F8">
        <w:t xml:space="preserve">rulemaking </w:t>
      </w:r>
      <w:r w:rsidR="2909D1BE">
        <w:t>w</w:t>
      </w:r>
      <w:r>
        <w:t xml:space="preserve">ould be </w:t>
      </w:r>
      <w:r w:rsidR="2909D1BE">
        <w:t xml:space="preserve">examined </w:t>
      </w:r>
      <w:r w:rsidR="2FE108F8">
        <w:t xml:space="preserve">in </w:t>
      </w:r>
      <w:r>
        <w:t xml:space="preserve">two phases. Phase 1 </w:t>
      </w:r>
      <w:r w:rsidR="2FE108F8">
        <w:t>would</w:t>
      </w:r>
      <w:r>
        <w:t xml:space="preserve"> </w:t>
      </w:r>
      <w:r w:rsidR="2FE108F8">
        <w:t>consider</w:t>
      </w:r>
      <w:r>
        <w:t xml:space="preserve"> </w:t>
      </w:r>
      <w:r w:rsidR="003B5D07">
        <w:t>GO </w:t>
      </w:r>
      <w:r>
        <w:t xml:space="preserve">131-D </w:t>
      </w:r>
      <w:r w:rsidR="2FE108F8">
        <w:t xml:space="preserve">amendments </w:t>
      </w:r>
      <w:r>
        <w:t xml:space="preserve">necessary to conform it to </w:t>
      </w:r>
      <w:r w:rsidR="00DC14AC">
        <w:t>SB </w:t>
      </w:r>
      <w:r>
        <w:t>529</w:t>
      </w:r>
      <w:r w:rsidR="2FE108F8">
        <w:t xml:space="preserve"> requirements</w:t>
      </w:r>
      <w:r>
        <w:t xml:space="preserve"> and updat</w:t>
      </w:r>
      <w:r w:rsidR="2FE108F8">
        <w:t>es to</w:t>
      </w:r>
      <w:r>
        <w:t xml:space="preserve"> outdated references</w:t>
      </w:r>
      <w:r w:rsidR="2FE108F8">
        <w:t xml:space="preserve">. </w:t>
      </w:r>
      <w:r>
        <w:t xml:space="preserve">Phase 2 </w:t>
      </w:r>
      <w:r w:rsidR="2FE108F8">
        <w:t>would</w:t>
      </w:r>
      <w:r>
        <w:t xml:space="preserve"> </w:t>
      </w:r>
      <w:r w:rsidR="2FE108F8">
        <w:t>consider</w:t>
      </w:r>
      <w:r>
        <w:t xml:space="preserve"> all other </w:t>
      </w:r>
      <w:r w:rsidR="12E8FA75">
        <w:t>outstanding</w:t>
      </w:r>
      <w:r>
        <w:t xml:space="preserve"> </w:t>
      </w:r>
      <w:r w:rsidR="003B5D07">
        <w:t>GO </w:t>
      </w:r>
      <w:r>
        <w:t>131-D</w:t>
      </w:r>
      <w:r w:rsidR="2FE108F8">
        <w:t xml:space="preserve"> amendments</w:t>
      </w:r>
      <w:r>
        <w:t xml:space="preserve">, </w:t>
      </w:r>
      <w:r w:rsidR="6F7033E4">
        <w:t>that were</w:t>
      </w:r>
      <w:r w:rsidR="560886FB">
        <w:t xml:space="preserve"> </w:t>
      </w:r>
      <w:r w:rsidR="0654A727">
        <w:t>proposed</w:t>
      </w:r>
      <w:r w:rsidR="4D35D097">
        <w:t xml:space="preserve"> in</w:t>
      </w:r>
      <w:r w:rsidR="2FE108F8">
        <w:t xml:space="preserve"> </w:t>
      </w:r>
      <w:r w:rsidR="6F7033E4">
        <w:t xml:space="preserve">OIR </w:t>
      </w:r>
      <w:r w:rsidR="2FE108F8">
        <w:t>Attachment A and Attachment B</w:t>
      </w:r>
      <w:r>
        <w:t xml:space="preserve"> and by parti</w:t>
      </w:r>
      <w:r w:rsidR="2FE108F8">
        <w:t>es</w:t>
      </w:r>
      <w:r w:rsidR="57293BA7">
        <w:t xml:space="preserve"> in this proceeding</w:t>
      </w:r>
      <w:r w:rsidR="55AF22D9">
        <w:t xml:space="preserve">. Further, </w:t>
      </w:r>
      <w:r w:rsidR="3BAC0718">
        <w:t xml:space="preserve">the Phase 2 schedule </w:t>
      </w:r>
      <w:r w:rsidR="50F8BB02">
        <w:t>specified</w:t>
      </w:r>
      <w:r w:rsidR="69822BED">
        <w:t xml:space="preserve"> that </w:t>
      </w:r>
      <w:r w:rsidR="50F8BB02">
        <w:t xml:space="preserve">the </w:t>
      </w:r>
      <w:r w:rsidR="7172D6EE">
        <w:t>Commission</w:t>
      </w:r>
      <w:r w:rsidR="50F8BB02">
        <w:t>’s Energy Division</w:t>
      </w:r>
      <w:r w:rsidR="7172D6EE">
        <w:t xml:space="preserve"> Staff (Staff) </w:t>
      </w:r>
      <w:r w:rsidR="3CF48C3C">
        <w:t>would issue a Staff Proposal on</w:t>
      </w:r>
      <w:r w:rsidR="7172D6EE">
        <w:t xml:space="preserve"> the</w:t>
      </w:r>
      <w:r w:rsidR="57293BA7">
        <w:t xml:space="preserve"> Phase 2 issue</w:t>
      </w:r>
      <w:r w:rsidR="7172D6EE">
        <w:t>s</w:t>
      </w:r>
      <w:r w:rsidR="3A02B9B8">
        <w:t xml:space="preserve"> by </w:t>
      </w:r>
      <w:r w:rsidR="54BA2061">
        <w:t xml:space="preserve">the </w:t>
      </w:r>
      <w:r w:rsidR="3A02B9B8">
        <w:t>first quarter of 2024</w:t>
      </w:r>
      <w:r w:rsidR="7172D6EE">
        <w:t>.</w:t>
      </w:r>
      <w:r w:rsidR="7EAF2397">
        <w:t xml:space="preserve"> </w:t>
      </w:r>
    </w:p>
    <w:p w:rsidR="00335F70" w:rsidP="00084678" w:rsidRDefault="0034116D" w14:paraId="414A2B63" w14:textId="77777777">
      <w:pPr>
        <w:pStyle w:val="Standard"/>
      </w:pPr>
      <w:r>
        <w:t xml:space="preserve">On September 23, 2023, </w:t>
      </w:r>
      <w:r w:rsidR="001631AC">
        <w:t>SCE</w:t>
      </w:r>
      <w:r w:rsidRPr="001631AC" w:rsidR="001631AC">
        <w:t xml:space="preserve">, </w:t>
      </w:r>
      <w:r w:rsidR="001631AC">
        <w:t>PG&amp;E</w:t>
      </w:r>
      <w:r w:rsidRPr="001631AC" w:rsidR="001631AC">
        <w:t xml:space="preserve">, and </w:t>
      </w:r>
      <w:r w:rsidR="001631AC">
        <w:t>SDG&amp;E</w:t>
      </w:r>
      <w:r w:rsidR="00335F70">
        <w:t xml:space="preserve"> (Moving Parties)</w:t>
      </w:r>
      <w:r w:rsidR="00D636E5">
        <w:t xml:space="preserve"> </w:t>
      </w:r>
      <w:r w:rsidR="001631AC">
        <w:t xml:space="preserve">filed a </w:t>
      </w:r>
      <w:r>
        <w:t>Joint</w:t>
      </w:r>
      <w:r w:rsidRPr="0034116D">
        <w:t xml:space="preserve"> </w:t>
      </w:r>
      <w:r>
        <w:t xml:space="preserve">Motion </w:t>
      </w:r>
      <w:r w:rsidR="00713E4C">
        <w:t xml:space="preserve">seeking to </w:t>
      </w:r>
      <w:r w:rsidR="00E85C01">
        <w:t>m</w:t>
      </w:r>
      <w:r>
        <w:t>odif</w:t>
      </w:r>
      <w:r w:rsidR="00E85C01">
        <w:t>y</w:t>
      </w:r>
      <w:r>
        <w:t xml:space="preserve"> the </w:t>
      </w:r>
      <w:r w:rsidRPr="0034116D">
        <w:t>S</w:t>
      </w:r>
      <w:r>
        <w:t>coping</w:t>
      </w:r>
      <w:r w:rsidRPr="0034116D">
        <w:t xml:space="preserve"> M</w:t>
      </w:r>
      <w:r>
        <w:t>emo</w:t>
      </w:r>
      <w:r w:rsidRPr="0034116D">
        <w:t xml:space="preserve"> </w:t>
      </w:r>
      <w:r w:rsidR="00A5687D">
        <w:t xml:space="preserve">schedule </w:t>
      </w:r>
      <w:r>
        <w:t>and</w:t>
      </w:r>
      <w:r w:rsidRPr="0034116D">
        <w:t xml:space="preserve"> </w:t>
      </w:r>
      <w:r w:rsidR="00A5687D">
        <w:t>to set a</w:t>
      </w:r>
      <w:r>
        <w:t>side</w:t>
      </w:r>
      <w:r w:rsidR="00A5687D">
        <w:t xml:space="preserve"> submission of the Phase 1 </w:t>
      </w:r>
      <w:r w:rsidR="00262A4A">
        <w:t xml:space="preserve">record to consider </w:t>
      </w:r>
      <w:r w:rsidR="006C5A3D">
        <w:t xml:space="preserve">the </w:t>
      </w:r>
      <w:r w:rsidR="00A2697F">
        <w:t>Moving P</w:t>
      </w:r>
      <w:r w:rsidR="00262A4A">
        <w:t xml:space="preserve">arties’ </w:t>
      </w:r>
      <w:r w:rsidRPr="0034116D">
        <w:t>S</w:t>
      </w:r>
      <w:r w:rsidR="001631AC">
        <w:t>ettlement</w:t>
      </w:r>
      <w:r w:rsidRPr="0034116D">
        <w:t xml:space="preserve"> </w:t>
      </w:r>
      <w:r w:rsidR="003D5D96">
        <w:t>Agreement</w:t>
      </w:r>
      <w:r w:rsidR="001631AC">
        <w:t>.</w:t>
      </w:r>
      <w:r w:rsidR="0072589C">
        <w:rPr>
          <w:rStyle w:val="FootnoteReference"/>
        </w:rPr>
        <w:footnoteReference w:id="2"/>
      </w:r>
    </w:p>
    <w:p w:rsidR="006E09A6" w:rsidP="00BC632C" w:rsidRDefault="00335F70" w14:paraId="556F3B2C" w14:textId="77777777">
      <w:pPr>
        <w:pStyle w:val="Standard"/>
      </w:pPr>
      <w:r>
        <w:lastRenderedPageBreak/>
        <w:t>On September 2</w:t>
      </w:r>
      <w:r w:rsidR="00CD7137">
        <w:t>9</w:t>
      </w:r>
      <w:r>
        <w:t>, 2023, the</w:t>
      </w:r>
      <w:r w:rsidR="004A24CB">
        <w:t xml:space="preserve"> </w:t>
      </w:r>
      <w:r>
        <w:t xml:space="preserve">Moving Parties filed a </w:t>
      </w:r>
      <w:r w:rsidRPr="007F63A4" w:rsidR="007F63A4">
        <w:t xml:space="preserve">Joint Motion </w:t>
      </w:r>
      <w:r w:rsidRPr="007F63A4" w:rsidR="00BC632C">
        <w:t>for</w:t>
      </w:r>
      <w:r w:rsidRPr="007F63A4" w:rsidR="007F63A4">
        <w:t xml:space="preserve"> Adoption </w:t>
      </w:r>
      <w:r>
        <w:t xml:space="preserve">of the </w:t>
      </w:r>
      <w:r w:rsidRPr="007F63A4" w:rsidR="007F63A4">
        <w:t xml:space="preserve">Phase 1 Settlement Agreement, (Settlement </w:t>
      </w:r>
      <w:r>
        <w:t>Agreement)</w:t>
      </w:r>
      <w:r w:rsidR="00206984">
        <w:t xml:space="preserve"> on behalf of </w:t>
      </w:r>
      <w:r w:rsidR="004A6CF4">
        <w:t>some of the parties to this proceeding (</w:t>
      </w:r>
      <w:r w:rsidR="00206984">
        <w:t>Sett</w:t>
      </w:r>
      <w:r w:rsidR="00873097">
        <w:t>ling Parties</w:t>
      </w:r>
      <w:r w:rsidR="004A6CF4">
        <w:t>)</w:t>
      </w:r>
      <w:r>
        <w:t>.</w:t>
      </w:r>
      <w:r w:rsidR="00010EF4">
        <w:rPr>
          <w:rStyle w:val="FootnoteReference"/>
        </w:rPr>
        <w:footnoteReference w:id="3"/>
      </w:r>
      <w:r>
        <w:t xml:space="preserve"> The Settlement Agreement pr</w:t>
      </w:r>
      <w:r w:rsidRPr="00335F70">
        <w:t xml:space="preserve">oposed </w:t>
      </w:r>
      <w:r>
        <w:t>r</w:t>
      </w:r>
      <w:r w:rsidRPr="00335F70">
        <w:t xml:space="preserve">evisions </w:t>
      </w:r>
      <w:r w:rsidR="00EB32DE">
        <w:t xml:space="preserve">to </w:t>
      </w:r>
      <w:r w:rsidR="003B5D07">
        <w:t>GO </w:t>
      </w:r>
      <w:r w:rsidR="00EB32DE">
        <w:t xml:space="preserve">131-D that </w:t>
      </w:r>
      <w:r w:rsidR="006539E0">
        <w:t>relate to</w:t>
      </w:r>
      <w:r w:rsidR="004C6316">
        <w:t xml:space="preserve"> (1) </w:t>
      </w:r>
      <w:r w:rsidR="00DC14AC">
        <w:t>SB </w:t>
      </w:r>
      <w:r w:rsidRPr="00335F70">
        <w:t>529</w:t>
      </w:r>
      <w:r w:rsidR="004C6316">
        <w:t xml:space="preserve"> implementation</w:t>
      </w:r>
      <w:r>
        <w:t>;</w:t>
      </w:r>
      <w:r w:rsidR="004C6316">
        <w:t xml:space="preserve"> (2) a</w:t>
      </w:r>
      <w:r w:rsidRPr="00335F70">
        <w:t>pplicant-</w:t>
      </w:r>
      <w:r w:rsidR="004C6316">
        <w:t>p</w:t>
      </w:r>
      <w:r w:rsidRPr="00335F70">
        <w:t>repared</w:t>
      </w:r>
      <w:r>
        <w:t xml:space="preserve"> </w:t>
      </w:r>
      <w:r w:rsidRPr="4C8F5654" w:rsidR="000602AB">
        <w:t>California Environmental Quality Act</w:t>
      </w:r>
      <w:r w:rsidRPr="00DD4FD4" w:rsidR="000602AB">
        <w:rPr>
          <w:rStyle w:val="FootnoteReference"/>
        </w:rPr>
        <w:footnoteReference w:id="4"/>
      </w:r>
      <w:r w:rsidRPr="4C8F5654" w:rsidR="000602AB">
        <w:t xml:space="preserve"> (</w:t>
      </w:r>
      <w:r w:rsidRPr="4C8F5654">
        <w:t>CEQA</w:t>
      </w:r>
      <w:r w:rsidRPr="4C8F5654" w:rsidR="000602AB">
        <w:t>)</w:t>
      </w:r>
      <w:r>
        <w:t xml:space="preserve"> </w:t>
      </w:r>
      <w:r w:rsidR="004C6316">
        <w:t>d</w:t>
      </w:r>
      <w:r w:rsidRPr="00335F70">
        <w:t>ocuments</w:t>
      </w:r>
      <w:r>
        <w:t>;</w:t>
      </w:r>
      <w:r w:rsidR="004C6316">
        <w:t xml:space="preserve"> (3) r</w:t>
      </w:r>
      <w:r w:rsidRPr="00335F70">
        <w:t xml:space="preserve">ecognition of CAISO </w:t>
      </w:r>
      <w:r w:rsidR="004C6316">
        <w:t>t</w:t>
      </w:r>
      <w:r w:rsidRPr="00335F70">
        <w:t xml:space="preserve">ransmission </w:t>
      </w:r>
      <w:r w:rsidR="004C6316">
        <w:t>p</w:t>
      </w:r>
      <w:r w:rsidRPr="00335F70">
        <w:t xml:space="preserve">lanning </w:t>
      </w:r>
      <w:r w:rsidR="004C6316">
        <w:t>f</w:t>
      </w:r>
      <w:r w:rsidRPr="00335F70">
        <w:t>indings</w:t>
      </w:r>
      <w:r>
        <w:t xml:space="preserve">; </w:t>
      </w:r>
      <w:r w:rsidR="004C6316">
        <w:t xml:space="preserve">(4) </w:t>
      </w:r>
      <w:r w:rsidRPr="00335F70">
        <w:t>C</w:t>
      </w:r>
      <w:r>
        <w:t>ommission</w:t>
      </w:r>
      <w:r w:rsidRPr="00335F70">
        <w:t xml:space="preserve"> CEQA </w:t>
      </w:r>
      <w:r w:rsidR="004C6316">
        <w:t>p</w:t>
      </w:r>
      <w:r w:rsidRPr="00335F70">
        <w:t>rocess</w:t>
      </w:r>
      <w:r w:rsidR="004C6316">
        <w:t xml:space="preserve"> deadlines;</w:t>
      </w:r>
      <w:r w:rsidRPr="00335F70">
        <w:t xml:space="preserve"> </w:t>
      </w:r>
      <w:r w:rsidR="004C6316">
        <w:t>(5) p</w:t>
      </w:r>
      <w:r w:rsidRPr="00335F70">
        <w:t xml:space="preserve">rotest </w:t>
      </w:r>
      <w:r w:rsidR="004C6316">
        <w:t>f</w:t>
      </w:r>
      <w:r w:rsidRPr="00335F70">
        <w:t xml:space="preserve">iling, </w:t>
      </w:r>
      <w:r w:rsidR="004C6316">
        <w:t>p</w:t>
      </w:r>
      <w:r w:rsidRPr="00335F70">
        <w:t xml:space="preserve">rocessing, and </w:t>
      </w:r>
      <w:r w:rsidR="004C6316">
        <w:t>d</w:t>
      </w:r>
      <w:r w:rsidRPr="00335F70">
        <w:t xml:space="preserve">isposition </w:t>
      </w:r>
      <w:r w:rsidR="004C6316">
        <w:t>p</w:t>
      </w:r>
      <w:r w:rsidRPr="00335F70">
        <w:t>rocedures</w:t>
      </w:r>
      <w:r>
        <w:t>;</w:t>
      </w:r>
      <w:r w:rsidRPr="00335F70">
        <w:t xml:space="preserve"> </w:t>
      </w:r>
      <w:r w:rsidR="004C6316">
        <w:t>(6) c</w:t>
      </w:r>
      <w:r w:rsidRPr="00335F70" w:rsidR="004C6316">
        <w:t>larifications</w:t>
      </w:r>
      <w:r w:rsidR="004C6316">
        <w:t xml:space="preserve"> of </w:t>
      </w:r>
      <w:r w:rsidR="003B5D07">
        <w:t>GO </w:t>
      </w:r>
      <w:r w:rsidR="004C6316">
        <w:t>131-D</w:t>
      </w:r>
      <w:r w:rsidR="00630DCA">
        <w:t>,</w:t>
      </w:r>
      <w:r w:rsidR="004C6316">
        <w:t xml:space="preserve"> </w:t>
      </w:r>
      <w:r w:rsidR="00DC14AC">
        <w:t>Section </w:t>
      </w:r>
      <w:r w:rsidR="004C6316">
        <w:t>III.B.1.g</w:t>
      </w:r>
      <w:r w:rsidR="00630DCA">
        <w:t>,</w:t>
      </w:r>
      <w:r w:rsidR="004C6316">
        <w:t xml:space="preserve"> </w:t>
      </w:r>
      <w:r w:rsidRPr="00882786" w:rsidR="00882786">
        <w:t>Permit to Construct (</w:t>
      </w:r>
      <w:r w:rsidR="004C6316">
        <w:t>PTC</w:t>
      </w:r>
      <w:r w:rsidR="00882786">
        <w:t>)</w:t>
      </w:r>
      <w:r w:rsidR="004C6316">
        <w:t xml:space="preserve"> exemption</w:t>
      </w:r>
      <w:r w:rsidRPr="00335F70">
        <w:t xml:space="preserve"> </w:t>
      </w:r>
      <w:r w:rsidR="004C6316">
        <w:t>l</w:t>
      </w:r>
      <w:r w:rsidRPr="00335F70">
        <w:t>anguage</w:t>
      </w:r>
      <w:r>
        <w:t>;</w:t>
      </w:r>
      <w:r w:rsidR="004C6316">
        <w:t xml:space="preserve"> (7) m</w:t>
      </w:r>
      <w:r w:rsidRPr="00335F70">
        <w:t xml:space="preserve">iscellaneous </w:t>
      </w:r>
      <w:r w:rsidR="004C6316">
        <w:t>u</w:t>
      </w:r>
      <w:r w:rsidRPr="00335F70">
        <w:t xml:space="preserve">pdates and </w:t>
      </w:r>
      <w:r w:rsidR="004C6316">
        <w:t>g</w:t>
      </w:r>
      <w:r w:rsidRPr="00335F70">
        <w:t xml:space="preserve">eneral </w:t>
      </w:r>
      <w:r w:rsidR="004C6316">
        <w:t>r</w:t>
      </w:r>
      <w:r w:rsidRPr="00335F70">
        <w:t>eferences</w:t>
      </w:r>
      <w:r w:rsidR="004C6316">
        <w:t>; and (8) i</w:t>
      </w:r>
      <w:r w:rsidRPr="00335F70">
        <w:t>mplement</w:t>
      </w:r>
      <w:r w:rsidR="004C6316">
        <w:t>ation of</w:t>
      </w:r>
      <w:r w:rsidRPr="00335F70">
        <w:t xml:space="preserve"> </w:t>
      </w:r>
      <w:r w:rsidR="004C6316">
        <w:t>n</w:t>
      </w:r>
      <w:r w:rsidRPr="00335F70">
        <w:t xml:space="preserve">ew </w:t>
      </w:r>
      <w:r w:rsidR="004C6316">
        <w:t>l</w:t>
      </w:r>
      <w:r w:rsidRPr="00335F70">
        <w:t>egislation</w:t>
      </w:r>
      <w:r w:rsidR="00BC632C">
        <w:t>, including Assembly Bill (AB) 1373 (Garcia</w:t>
      </w:r>
      <w:r w:rsidR="006539E0">
        <w:t>)</w:t>
      </w:r>
      <w:r w:rsidRPr="00C57F04" w:rsidR="00BC632C">
        <w:t xml:space="preserve"> Stats. 202</w:t>
      </w:r>
      <w:r w:rsidR="00BC632C">
        <w:t>3</w:t>
      </w:r>
      <w:r w:rsidRPr="00C57F04" w:rsidR="00BC632C">
        <w:t xml:space="preserve">, </w:t>
      </w:r>
      <w:proofErr w:type="spellStart"/>
      <w:r w:rsidR="006539E0">
        <w:t>c</w:t>
      </w:r>
      <w:r w:rsidRPr="00C57F04" w:rsidR="00BC632C">
        <w:t>h.</w:t>
      </w:r>
      <w:proofErr w:type="spellEnd"/>
      <w:r w:rsidRPr="00C57F04" w:rsidR="00BC632C">
        <w:t xml:space="preserve"> 3</w:t>
      </w:r>
      <w:r w:rsidR="00BC632C">
        <w:t>6</w:t>
      </w:r>
      <w:r w:rsidRPr="00C57F04" w:rsidR="00BC632C">
        <w:t>7</w:t>
      </w:r>
      <w:r w:rsidR="00BC632C">
        <w:t xml:space="preserve">. </w:t>
      </w:r>
    </w:p>
    <w:p w:rsidRPr="006E09A6" w:rsidR="006E09A6" w:rsidP="006E09A6" w:rsidRDefault="001677B0" w14:paraId="273DE865" w14:textId="77777777">
      <w:pPr>
        <w:pStyle w:val="Standard"/>
      </w:pPr>
      <w:r>
        <w:t>On</w:t>
      </w:r>
      <w:r w:rsidR="006E09A6">
        <w:t xml:space="preserve"> October 7, 2023, Pub. Util. Code</w:t>
      </w:r>
      <w:r w:rsidR="00DE5C5D">
        <w:t xml:space="preserve"> </w:t>
      </w:r>
      <w:r w:rsidR="00DC14AC">
        <w:t>Section </w:t>
      </w:r>
      <w:r w:rsidR="00DE5C5D">
        <w:t>1001,1</w:t>
      </w:r>
      <w:r w:rsidR="006E09A6">
        <w:t xml:space="preserve"> </w:t>
      </w:r>
      <w:r w:rsidR="00397D31">
        <w:t>was modified by AB</w:t>
      </w:r>
      <w:r w:rsidR="004B2E17">
        <w:t> </w:t>
      </w:r>
      <w:r w:rsidR="00397D31">
        <w:t xml:space="preserve">1373 </w:t>
      </w:r>
      <w:r w:rsidR="006E09A6">
        <w:t xml:space="preserve">to read as follows: </w:t>
      </w:r>
    </w:p>
    <w:p w:rsidR="00B84240" w:rsidP="00CE20A7" w:rsidRDefault="006E09A6" w14:paraId="0D092344" w14:textId="77777777">
      <w:pPr>
        <w:pStyle w:val="BlockQuote"/>
      </w:pPr>
      <w:r>
        <w:t>In a proceeding evaluating the issuance of a certificate of public convenience and necessity for a proposed transmission project, the commission shall establish a rebuttable presumption with regard to need for the proposed transmission project in favor of an Independent System Operator governing board-approved need evaluation if all of the following are satisfied:</w:t>
      </w:r>
    </w:p>
    <w:p w:rsidRPr="006E09A6" w:rsidR="006E09A6" w:rsidP="00DC14AC" w:rsidRDefault="006E09A6" w14:paraId="329AA080" w14:textId="77777777">
      <w:pPr>
        <w:pStyle w:val="Standard"/>
        <w:spacing w:after="120" w:line="240" w:lineRule="auto"/>
        <w:ind w:left="1080" w:right="1440" w:hanging="360"/>
        <w:rPr>
          <w:szCs w:val="26"/>
        </w:rPr>
      </w:pPr>
      <w:r w:rsidRPr="006E09A6">
        <w:rPr>
          <w:szCs w:val="26"/>
        </w:rPr>
        <w:t>(a) The Independent System Operator governing board has made explicit findings regarding the need for the proposed transmission project and has determined that the proposed project is the most cost-effective transmission solution.</w:t>
      </w:r>
    </w:p>
    <w:p w:rsidR="006E09A6" w:rsidP="00DC14AC" w:rsidRDefault="006E09A6" w14:paraId="710C1C33" w14:textId="77777777">
      <w:pPr>
        <w:pStyle w:val="Standard"/>
        <w:spacing w:after="120" w:line="240" w:lineRule="auto"/>
        <w:ind w:left="1080" w:right="1440" w:hanging="360"/>
        <w:rPr>
          <w:szCs w:val="26"/>
        </w:rPr>
      </w:pPr>
      <w:r w:rsidRPr="006E09A6">
        <w:rPr>
          <w:szCs w:val="26"/>
        </w:rPr>
        <w:t>(b) The Independent System Operator is a party to the proceeding.</w:t>
      </w:r>
    </w:p>
    <w:p w:rsidRPr="006E09A6" w:rsidR="006E09A6" w:rsidP="00DC14AC" w:rsidRDefault="006E09A6" w14:paraId="78A2B83A" w14:textId="77777777">
      <w:pPr>
        <w:pStyle w:val="Standard"/>
        <w:spacing w:after="120" w:line="240" w:lineRule="auto"/>
        <w:ind w:left="1080" w:right="1440" w:hanging="360"/>
        <w:rPr>
          <w:szCs w:val="26"/>
        </w:rPr>
      </w:pPr>
      <w:r w:rsidRPr="006E09A6">
        <w:rPr>
          <w:szCs w:val="26"/>
        </w:rPr>
        <w:lastRenderedPageBreak/>
        <w:t>(c) The Independent System Operator governing board-approved need evaluation is submitted to the commission within sufficient time to be included within the scope of the proceeding.</w:t>
      </w:r>
    </w:p>
    <w:p w:rsidR="006E09A6" w:rsidP="00DC14AC" w:rsidRDefault="006E09A6" w14:paraId="158271E6" w14:textId="77777777">
      <w:pPr>
        <w:pStyle w:val="Standard"/>
        <w:spacing w:after="120" w:line="240" w:lineRule="auto"/>
        <w:ind w:left="1080" w:right="1440" w:hanging="360"/>
        <w:rPr>
          <w:szCs w:val="26"/>
        </w:rPr>
      </w:pPr>
      <w:r w:rsidRPr="006E09A6">
        <w:rPr>
          <w:szCs w:val="26"/>
        </w:rPr>
        <w:t>(d) There has been no substantial change to the scope, estimated cost, or timeline of the proposed transmission project as approved by the Independent System Operator governing board.</w:t>
      </w:r>
    </w:p>
    <w:p w:rsidR="0034116D" w:rsidP="001631AC" w:rsidRDefault="00DC0A07" w14:paraId="48583C87" w14:textId="77777777">
      <w:pPr>
        <w:pStyle w:val="Standard"/>
      </w:pPr>
      <w:r>
        <w:t>O</w:t>
      </w:r>
      <w:r w:rsidRPr="00DC0A07">
        <w:t xml:space="preserve">n December 14, 2023, </w:t>
      </w:r>
      <w:r>
        <w:t>th</w:t>
      </w:r>
      <w:r w:rsidR="0092167B">
        <w:t>e</w:t>
      </w:r>
      <w:r>
        <w:t xml:space="preserve"> Commission </w:t>
      </w:r>
      <w:r w:rsidR="00984907">
        <w:t>issued</w:t>
      </w:r>
      <w:r w:rsidRPr="00DC0A07">
        <w:t xml:space="preserve"> </w:t>
      </w:r>
      <w:r w:rsidR="0092167B">
        <w:t>its</w:t>
      </w:r>
      <w:r w:rsidR="00710FD0">
        <w:t xml:space="preserve"> </w:t>
      </w:r>
      <w:r w:rsidR="00DB51FF">
        <w:t>Phase 1 Decision (D.)</w:t>
      </w:r>
      <w:r w:rsidR="00DC14AC">
        <w:t> </w:t>
      </w:r>
      <w:r w:rsidR="00DB51FF">
        <w:t>23</w:t>
      </w:r>
      <w:r w:rsidR="00CE20A7">
        <w:noBreakHyphen/>
      </w:r>
      <w:r w:rsidR="00DB51FF">
        <w:t>12-</w:t>
      </w:r>
      <w:r w:rsidR="00F259E5">
        <w:t>035</w:t>
      </w:r>
      <w:r w:rsidR="00E75FA8">
        <w:t xml:space="preserve">, </w:t>
      </w:r>
      <w:r w:rsidR="0092167B">
        <w:t xml:space="preserve">and </w:t>
      </w:r>
      <w:r w:rsidRPr="00DB51FF" w:rsidR="00DB51FF">
        <w:t>adopt</w:t>
      </w:r>
      <w:r w:rsidR="00DB51FF">
        <w:t xml:space="preserve">ed </w:t>
      </w:r>
      <w:r w:rsidR="00BE1E76">
        <w:t xml:space="preserve">several </w:t>
      </w:r>
      <w:r w:rsidR="00E1122C">
        <w:t xml:space="preserve">modifications to </w:t>
      </w:r>
      <w:r w:rsidR="003B5D07">
        <w:t>GO </w:t>
      </w:r>
      <w:r w:rsidRPr="00121251" w:rsidR="00121251">
        <w:t xml:space="preserve">131-D </w:t>
      </w:r>
      <w:r w:rsidR="00121251">
        <w:t xml:space="preserve">to </w:t>
      </w:r>
      <w:r w:rsidR="0004411A">
        <w:t>align its provisions</w:t>
      </w:r>
      <w:r w:rsidR="00121251">
        <w:t xml:space="preserve"> with </w:t>
      </w:r>
      <w:r w:rsidR="00DC14AC">
        <w:t>SB </w:t>
      </w:r>
      <w:r w:rsidR="00DB51FF">
        <w:t>529</w:t>
      </w:r>
      <w:r w:rsidRPr="00DB51FF" w:rsidR="00DB51FF">
        <w:t xml:space="preserve"> </w:t>
      </w:r>
      <w:r w:rsidR="00E1122C">
        <w:t xml:space="preserve">requirements </w:t>
      </w:r>
      <w:r w:rsidRPr="00DB51FF" w:rsidR="00DB51FF">
        <w:t xml:space="preserve">and </w:t>
      </w:r>
      <w:r w:rsidR="000F58BF">
        <w:t xml:space="preserve">make </w:t>
      </w:r>
      <w:r w:rsidR="009F4B5A">
        <w:t xml:space="preserve">a few </w:t>
      </w:r>
      <w:r w:rsidR="000F58BF">
        <w:t xml:space="preserve">updates to </w:t>
      </w:r>
      <w:r w:rsidRPr="00DB51FF" w:rsidR="00DB51FF">
        <w:t>outdated references</w:t>
      </w:r>
      <w:r w:rsidR="009F4B5A">
        <w:t xml:space="preserve"> in </w:t>
      </w:r>
      <w:r w:rsidR="00905672">
        <w:t>it</w:t>
      </w:r>
      <w:r w:rsidR="00E1122C">
        <w:t xml:space="preserve">. </w:t>
      </w:r>
      <w:r w:rsidR="009D592E">
        <w:t xml:space="preserve">In </w:t>
      </w:r>
      <w:r w:rsidR="009F4B5A">
        <w:t>D</w:t>
      </w:r>
      <w:r w:rsidR="00E1122C">
        <w:t>.23-12-</w:t>
      </w:r>
      <w:r w:rsidR="00E53171">
        <w:t>035</w:t>
      </w:r>
      <w:r w:rsidR="009D592E">
        <w:t xml:space="preserve">, the Commission </w:t>
      </w:r>
      <w:r w:rsidR="006C7A5C">
        <w:t>address</w:t>
      </w:r>
      <w:r w:rsidR="00BF3753">
        <w:t>ed the</w:t>
      </w:r>
      <w:r w:rsidR="00FD1391">
        <w:t xml:space="preserve"> Joint Motion for Settlement Agreement</w:t>
      </w:r>
      <w:r w:rsidR="00BF3753">
        <w:t xml:space="preserve"> </w:t>
      </w:r>
      <w:r w:rsidR="00C86961">
        <w:t xml:space="preserve">by </w:t>
      </w:r>
      <w:r w:rsidR="009D592E">
        <w:t>not</w:t>
      </w:r>
      <w:r w:rsidR="00C86961">
        <w:t>ing</w:t>
      </w:r>
      <w:r w:rsidR="009D592E">
        <w:t xml:space="preserve"> </w:t>
      </w:r>
      <w:r w:rsidR="004976E8">
        <w:t xml:space="preserve">that </w:t>
      </w:r>
      <w:r w:rsidR="00124975">
        <w:t xml:space="preserve">issues </w:t>
      </w:r>
      <w:r w:rsidR="00483BB8">
        <w:t xml:space="preserve">addressed in </w:t>
      </w:r>
      <w:r w:rsidR="00612510">
        <w:t xml:space="preserve">the Settlement Agreement </w:t>
      </w:r>
      <w:r w:rsidR="00124975">
        <w:t xml:space="preserve">were </w:t>
      </w:r>
      <w:r w:rsidRPr="00B84240" w:rsidR="00124975">
        <w:t>outside</w:t>
      </w:r>
      <w:r w:rsidR="00124975">
        <w:t xml:space="preserve"> of</w:t>
      </w:r>
      <w:r w:rsidRPr="00B84240" w:rsidR="00124975">
        <w:t xml:space="preserve"> the Phase 1</w:t>
      </w:r>
      <w:r w:rsidR="00124975">
        <w:t xml:space="preserve"> scope</w:t>
      </w:r>
      <w:r w:rsidR="002F6079">
        <w:t xml:space="preserve"> and </w:t>
      </w:r>
      <w:r w:rsidR="00124975">
        <w:t>th</w:t>
      </w:r>
      <w:r w:rsidR="00A801DB">
        <w:t>at the</w:t>
      </w:r>
      <w:r w:rsidR="00124975">
        <w:t xml:space="preserve"> Settlement Agreement </w:t>
      </w:r>
      <w:r w:rsidR="00F84AB4">
        <w:t xml:space="preserve">therefore </w:t>
      </w:r>
      <w:r w:rsidR="00124975">
        <w:t xml:space="preserve">would be </w:t>
      </w:r>
      <w:r w:rsidRPr="00B84240" w:rsidR="00B84240">
        <w:t>considered during Phase 2.</w:t>
      </w:r>
    </w:p>
    <w:p w:rsidR="005706CC" w:rsidP="001631AC" w:rsidRDefault="00DE0AF0" w14:paraId="7C16D4D1" w14:textId="77777777">
      <w:pPr>
        <w:pStyle w:val="Standard"/>
      </w:pPr>
      <w:r>
        <w:t>On December 18, 2023</w:t>
      </w:r>
      <w:r w:rsidR="00620383">
        <w:t>,</w:t>
      </w:r>
      <w:r>
        <w:t xml:space="preserve"> </w:t>
      </w:r>
      <w:r w:rsidR="003A08C9">
        <w:t>the assigned</w:t>
      </w:r>
      <w:r>
        <w:t xml:space="preserve"> Administrative Law Judge (ALJ) </w:t>
      </w:r>
      <w:r w:rsidR="003A08C9">
        <w:t xml:space="preserve">issued a </w:t>
      </w:r>
      <w:r>
        <w:t xml:space="preserve">ruling </w:t>
      </w:r>
      <w:r w:rsidR="00C014F3">
        <w:t xml:space="preserve">(December 18 Ruling) </w:t>
      </w:r>
      <w:r w:rsidR="00076882">
        <w:t xml:space="preserve">and directed the </w:t>
      </w:r>
      <w:r w:rsidR="00E21C3B">
        <w:t xml:space="preserve">parties to file </w:t>
      </w:r>
      <w:r w:rsidR="002F5CC7">
        <w:t>opening and reply</w:t>
      </w:r>
      <w:r>
        <w:t xml:space="preserve"> </w:t>
      </w:r>
      <w:r w:rsidR="002F5CC7">
        <w:t>comments o</w:t>
      </w:r>
      <w:r w:rsidR="00CC0D43">
        <w:t>n</w:t>
      </w:r>
      <w:r>
        <w:t xml:space="preserve"> </w:t>
      </w:r>
      <w:r w:rsidR="00620383">
        <w:t xml:space="preserve">Phase 2 </w:t>
      </w:r>
      <w:r w:rsidR="00E21C3B">
        <w:t>issues</w:t>
      </w:r>
      <w:r w:rsidR="00AE4084">
        <w:t>. The December 18 Ruling als</w:t>
      </w:r>
      <w:r w:rsidR="00766890">
        <w:t xml:space="preserve">o </w:t>
      </w:r>
      <w:r w:rsidR="00E21C3B">
        <w:t>directed the</w:t>
      </w:r>
      <w:r w:rsidR="00766890">
        <w:t xml:space="preserve"> part</w:t>
      </w:r>
      <w:r w:rsidR="00E21C3B">
        <w:t xml:space="preserve">ies to </w:t>
      </w:r>
      <w:r w:rsidR="00FB1FFD">
        <w:t xml:space="preserve">file </w:t>
      </w:r>
      <w:r w:rsidR="00766890">
        <w:t>comment</w:t>
      </w:r>
      <w:r w:rsidR="00FB1FFD">
        <w:t>s</w:t>
      </w:r>
      <w:r w:rsidR="000160F0">
        <w:t xml:space="preserve"> </w:t>
      </w:r>
      <w:r w:rsidR="00FB1FFD">
        <w:t xml:space="preserve">regarding </w:t>
      </w:r>
      <w:r w:rsidR="002530EE">
        <w:t xml:space="preserve">the </w:t>
      </w:r>
      <w:r w:rsidRPr="00F377BE" w:rsidR="00F377BE">
        <w:t>Settlement Agreement</w:t>
      </w:r>
      <w:r w:rsidR="00647D69">
        <w:t xml:space="preserve"> </w:t>
      </w:r>
      <w:r w:rsidR="00A22A61">
        <w:t>and defini</w:t>
      </w:r>
      <w:r w:rsidR="001D52AA">
        <w:t>tion of</w:t>
      </w:r>
      <w:r w:rsidR="00A22A61">
        <w:t xml:space="preserve"> </w:t>
      </w:r>
      <w:r w:rsidR="002530EE">
        <w:t xml:space="preserve">terms </w:t>
      </w:r>
      <w:r w:rsidR="00647D69">
        <w:t xml:space="preserve">in </w:t>
      </w:r>
      <w:r w:rsidR="003B5D07">
        <w:t>GO </w:t>
      </w:r>
      <w:r w:rsidRPr="00F377BE" w:rsidR="00647D69">
        <w:t>131-D</w:t>
      </w:r>
      <w:r w:rsidR="009B4498">
        <w:t xml:space="preserve"> and </w:t>
      </w:r>
      <w:r w:rsidR="005706CC">
        <w:t>Pub. Util. Code</w:t>
      </w:r>
      <w:r w:rsidR="00A22A61">
        <w:t xml:space="preserve"> </w:t>
      </w:r>
      <w:r w:rsidR="00F377BE">
        <w:t>Sections</w:t>
      </w:r>
      <w:r w:rsidRPr="00F377BE" w:rsidR="00F377BE">
        <w:t xml:space="preserve"> 564 and 1001(b)</w:t>
      </w:r>
      <w:r w:rsidR="00620383">
        <w:t xml:space="preserve">. </w:t>
      </w:r>
      <w:r w:rsidR="005706CC">
        <w:t xml:space="preserve"> </w:t>
      </w:r>
    </w:p>
    <w:p w:rsidR="00DE0AF0" w:rsidP="001631AC" w:rsidRDefault="283EDC31" w14:paraId="12EF4499" w14:textId="77777777">
      <w:pPr>
        <w:pStyle w:val="Standard"/>
      </w:pPr>
      <w:r>
        <w:t xml:space="preserve">To </w:t>
      </w:r>
      <w:r w:rsidR="2390413E">
        <w:t>ensure the parties had a</w:t>
      </w:r>
      <w:r w:rsidR="06D70B22">
        <w:t xml:space="preserve">dequate </w:t>
      </w:r>
      <w:r w:rsidR="2390413E">
        <w:t xml:space="preserve">time to prepare and file meaningful comments responsive to the December 18 </w:t>
      </w:r>
      <w:r w:rsidR="06D70B22">
        <w:t>R</w:t>
      </w:r>
      <w:r w:rsidR="2390413E">
        <w:t xml:space="preserve">uling, </w:t>
      </w:r>
      <w:r w:rsidR="06D70B22">
        <w:t>the</w:t>
      </w:r>
      <w:r w:rsidR="28E70231">
        <w:t xml:space="preserve"> </w:t>
      </w:r>
      <w:r w:rsidR="06D70B22">
        <w:t xml:space="preserve">assigned </w:t>
      </w:r>
      <w:r w:rsidR="6F4E9007">
        <w:t xml:space="preserve">ALJ </w:t>
      </w:r>
      <w:r w:rsidR="06D70B22">
        <w:t>issued a</w:t>
      </w:r>
      <w:r w:rsidR="151F335F">
        <w:t>n additional</w:t>
      </w:r>
      <w:r w:rsidR="06D70B22">
        <w:t xml:space="preserve"> </w:t>
      </w:r>
      <w:r w:rsidR="6F4E9007">
        <w:t xml:space="preserve">ruling </w:t>
      </w:r>
      <w:r w:rsidR="2338E4A1">
        <w:t>on</w:t>
      </w:r>
      <w:r>
        <w:t xml:space="preserve"> January 10, 2024</w:t>
      </w:r>
      <w:r w:rsidR="7FCDDBDC">
        <w:t>,</w:t>
      </w:r>
      <w:r w:rsidR="06D70B22">
        <w:t xml:space="preserve"> and</w:t>
      </w:r>
      <w:r w:rsidR="2338E4A1">
        <w:t xml:space="preserve"> </w:t>
      </w:r>
      <w:r w:rsidR="6F4E9007">
        <w:t xml:space="preserve">extended </w:t>
      </w:r>
      <w:r w:rsidR="2338E4A1">
        <w:t xml:space="preserve">the </w:t>
      </w:r>
      <w:r w:rsidR="6F4E9007">
        <w:t xml:space="preserve">deadline </w:t>
      </w:r>
      <w:r w:rsidR="70B86FB7">
        <w:t xml:space="preserve">to </w:t>
      </w:r>
      <w:r w:rsidR="6F4E9007">
        <w:t>fil</w:t>
      </w:r>
      <w:r w:rsidR="70B86FB7">
        <w:t>e</w:t>
      </w:r>
      <w:r w:rsidR="6F4E9007">
        <w:t xml:space="preserve"> opening comments</w:t>
      </w:r>
      <w:r w:rsidR="0FD719F1">
        <w:t xml:space="preserve"> </w:t>
      </w:r>
      <w:r w:rsidR="4449F441">
        <w:t>by February 5, 2024</w:t>
      </w:r>
      <w:r w:rsidR="47CADBB0">
        <w:t>,</w:t>
      </w:r>
      <w:r w:rsidR="4449F441">
        <w:t xml:space="preserve"> and replies by February 26, 2024</w:t>
      </w:r>
      <w:r w:rsidR="6F4E9007">
        <w:t xml:space="preserve">. </w:t>
      </w:r>
    </w:p>
    <w:p w:rsidR="00146D46" w:rsidP="001631AC" w:rsidRDefault="00146D46" w14:paraId="00276000" w14:textId="77777777">
      <w:pPr>
        <w:pStyle w:val="Standard"/>
      </w:pPr>
      <w:r>
        <w:t xml:space="preserve">On January 17, 2024, </w:t>
      </w:r>
      <w:r w:rsidR="00E51AFC">
        <w:t>PCF</w:t>
      </w:r>
      <w:r>
        <w:t xml:space="preserve"> filed an application for rehearing of D.23-12-</w:t>
      </w:r>
      <w:r w:rsidR="00663AD4">
        <w:t>035</w:t>
      </w:r>
      <w:r>
        <w:t>. Tran</w:t>
      </w:r>
      <w:r w:rsidR="00881CE1">
        <w:t>s Bay Cable LLC, PG&amp;E, CUE, LS</w:t>
      </w:r>
      <w:r w:rsidR="006A5340">
        <w:t>PGC</w:t>
      </w:r>
      <w:r w:rsidR="00881CE1">
        <w:t xml:space="preserve">, </w:t>
      </w:r>
      <w:r w:rsidR="002B27E9">
        <w:t>ACP</w:t>
      </w:r>
      <w:r w:rsidR="0077636C">
        <w:t xml:space="preserve">, </w:t>
      </w:r>
      <w:r w:rsidR="008527F3">
        <w:t xml:space="preserve">EDF, </w:t>
      </w:r>
      <w:proofErr w:type="spellStart"/>
      <w:r w:rsidR="003049FC">
        <w:t>GridLiance</w:t>
      </w:r>
      <w:proofErr w:type="spellEnd"/>
      <w:r w:rsidR="003049FC">
        <w:t xml:space="preserve"> West LLC, </w:t>
      </w:r>
      <w:r w:rsidR="009E09BC">
        <w:t xml:space="preserve">SDG&amp;E, SCE, </w:t>
      </w:r>
      <w:r w:rsidR="005150FB">
        <w:t>Large-Scale Solar Association</w:t>
      </w:r>
      <w:r w:rsidR="00571024">
        <w:t>, Horizon West Transmission, LLC, and IEP</w:t>
      </w:r>
      <w:r w:rsidR="00503716">
        <w:t xml:space="preserve"> filed a joint response</w:t>
      </w:r>
      <w:r w:rsidR="00E51AFC">
        <w:t xml:space="preserve"> to PCF’s application for rehearing on </w:t>
      </w:r>
      <w:r w:rsidR="009C3826">
        <w:t xml:space="preserve">February 1, </w:t>
      </w:r>
      <w:r w:rsidR="009C3826">
        <w:lastRenderedPageBreak/>
        <w:t>2024.</w:t>
      </w:r>
      <w:r w:rsidR="00FA1A2B">
        <w:t xml:space="preserve"> On June 20, 2024, D.24-06-026 </w:t>
      </w:r>
      <w:r w:rsidR="004A6CF4">
        <w:t xml:space="preserve">was issued and </w:t>
      </w:r>
      <w:r w:rsidR="00FA1A2B">
        <w:t>denied the application for rehearing.</w:t>
      </w:r>
    </w:p>
    <w:p w:rsidR="008E0A8A" w:rsidP="001E15C1" w:rsidRDefault="009258EF" w14:paraId="019A9F3E" w14:textId="77777777">
      <w:pPr>
        <w:pStyle w:val="Standard"/>
      </w:pPr>
      <w:r>
        <w:t xml:space="preserve">On February </w:t>
      </w:r>
      <w:r w:rsidR="00135DE5">
        <w:t>5</w:t>
      </w:r>
      <w:r w:rsidR="003943AD">
        <w:t>, 2024,</w:t>
      </w:r>
      <w:r w:rsidR="009C3826">
        <w:t xml:space="preserve"> SCE, SDG&amp;E, EDF, City of Long Beach, CUE, PG&amp;E, Sierra Club, </w:t>
      </w:r>
      <w:r w:rsidR="002B27E9">
        <w:t>ACP</w:t>
      </w:r>
      <w:r w:rsidR="00DB7E38">
        <w:t>, The Acton Town Council, CEERT</w:t>
      </w:r>
      <w:r w:rsidR="00682A15">
        <w:t xml:space="preserve">, Large-Scale Solar Association, </w:t>
      </w:r>
      <w:r w:rsidR="00B92CD6">
        <w:t>P</w:t>
      </w:r>
      <w:r w:rsidR="00B530BF">
        <w:t>P</w:t>
      </w:r>
      <w:r w:rsidR="00B92CD6">
        <w:t>CF, C</w:t>
      </w:r>
      <w:r w:rsidR="00D44209">
        <w:t>enter for Biological Diversity</w:t>
      </w:r>
      <w:r w:rsidR="002A1385">
        <w:t xml:space="preserve"> (CBD)</w:t>
      </w:r>
      <w:r w:rsidR="00D44209">
        <w:t xml:space="preserve">, and </w:t>
      </w:r>
      <w:r w:rsidR="00C014F3">
        <w:t>Clean Coalition</w:t>
      </w:r>
      <w:r w:rsidR="00135DE5">
        <w:t xml:space="preserve"> (jointly)</w:t>
      </w:r>
      <w:r w:rsidR="00A521AE">
        <w:t>, and Cal Advocates</w:t>
      </w:r>
      <w:r w:rsidR="00C014F3">
        <w:t xml:space="preserve"> filed opening comments on the December 18 Ruling.</w:t>
      </w:r>
      <w:r w:rsidR="0020481E">
        <w:t xml:space="preserve"> On February 26, 2024, </w:t>
      </w:r>
      <w:r w:rsidRPr="001E15C1" w:rsidR="0020481E">
        <w:t xml:space="preserve">SCE, SDG&amp;E, EDF, </w:t>
      </w:r>
      <w:r w:rsidR="35B002F8">
        <w:t>LSPGC</w:t>
      </w:r>
      <w:r w:rsidRPr="001E15C1" w:rsidR="001E15C1">
        <w:t>,</w:t>
      </w:r>
      <w:r w:rsidRPr="001E15C1" w:rsidR="0020481E">
        <w:t xml:space="preserve"> CUE, PG&amp;E, Sierra Club, </w:t>
      </w:r>
      <w:r w:rsidR="00EB68BB">
        <w:t>ACP</w:t>
      </w:r>
      <w:r w:rsidRPr="001E15C1" w:rsidR="0020481E">
        <w:t xml:space="preserve">, </w:t>
      </w:r>
      <w:r w:rsidRPr="001E15C1" w:rsidR="002A1385">
        <w:t xml:space="preserve">Farm Bureau, RCRC, </w:t>
      </w:r>
      <w:r w:rsidRPr="001E15C1" w:rsidR="0020481E">
        <w:t xml:space="preserve">The Acton Town Council, CEERT, </w:t>
      </w:r>
      <w:proofErr w:type="spellStart"/>
      <w:r w:rsidR="001E15C1">
        <w:t>CalAdvocates</w:t>
      </w:r>
      <w:proofErr w:type="spellEnd"/>
      <w:r w:rsidRPr="001E15C1" w:rsidR="001E15C1">
        <w:t xml:space="preserve">, </w:t>
      </w:r>
      <w:r w:rsidRPr="001E15C1" w:rsidR="0020481E">
        <w:t xml:space="preserve">and </w:t>
      </w:r>
      <w:r w:rsidRPr="001E15C1" w:rsidR="001E15C1">
        <w:t>CAISO</w:t>
      </w:r>
      <w:r w:rsidR="0020481E">
        <w:t xml:space="preserve"> filed </w:t>
      </w:r>
      <w:r w:rsidR="001E15C1">
        <w:t>reply</w:t>
      </w:r>
      <w:r w:rsidR="0020481E">
        <w:t xml:space="preserve"> comments</w:t>
      </w:r>
      <w:r w:rsidR="00D802C7">
        <w:t>.</w:t>
      </w:r>
    </w:p>
    <w:p w:rsidR="001E15C1" w:rsidP="001E15C1" w:rsidRDefault="001E15C1" w14:paraId="23DBCCB1" w14:textId="77777777">
      <w:pPr>
        <w:pStyle w:val="Standard"/>
      </w:pPr>
      <w:r>
        <w:t xml:space="preserve">On May 17, 2024, </w:t>
      </w:r>
      <w:r w:rsidR="002E6191">
        <w:t xml:space="preserve">the assigned </w:t>
      </w:r>
      <w:r>
        <w:t xml:space="preserve">ALJ </w:t>
      </w:r>
      <w:r w:rsidR="002E6191">
        <w:t xml:space="preserve">issued a </w:t>
      </w:r>
      <w:r>
        <w:t>ruling</w:t>
      </w:r>
      <w:r w:rsidR="008518CB">
        <w:t xml:space="preserve"> </w:t>
      </w:r>
      <w:r w:rsidR="00C70E8C">
        <w:t>that included</w:t>
      </w:r>
      <w:r w:rsidDel="008518CB">
        <w:t xml:space="preserve"> </w:t>
      </w:r>
      <w:r w:rsidR="00A126B6">
        <w:t>the</w:t>
      </w:r>
      <w:r w:rsidR="00B36D16">
        <w:t xml:space="preserve"> </w:t>
      </w:r>
      <w:r>
        <w:t xml:space="preserve">Staff Proposal </w:t>
      </w:r>
      <w:r w:rsidR="008E5692">
        <w:t>for R.23-0</w:t>
      </w:r>
      <w:r w:rsidR="00821AAE">
        <w:t>5-018</w:t>
      </w:r>
      <w:r>
        <w:t xml:space="preserve"> Phase 2 </w:t>
      </w:r>
      <w:r w:rsidR="00821AAE">
        <w:t>Updates to General Order 131-D</w:t>
      </w:r>
      <w:r>
        <w:t xml:space="preserve"> (</w:t>
      </w:r>
      <w:r w:rsidR="00A126B6">
        <w:t>Staff Proposal</w:t>
      </w:r>
      <w:r>
        <w:t>)</w:t>
      </w:r>
      <w:r w:rsidR="00C70E8C">
        <w:t>. The ruling</w:t>
      </w:r>
      <w:r w:rsidR="00266A88">
        <w:t xml:space="preserve"> directed parties to file </w:t>
      </w:r>
      <w:r w:rsidRPr="00266A88" w:rsidR="00266A88">
        <w:t xml:space="preserve">opening and reply comments on </w:t>
      </w:r>
      <w:r w:rsidR="00C70E8C">
        <w:t>the Staff Proposal</w:t>
      </w:r>
      <w:r w:rsidDel="00266A88">
        <w:t xml:space="preserve"> </w:t>
      </w:r>
      <w:r>
        <w:t>and noticed a Staff workshop t</w:t>
      </w:r>
      <w:r w:rsidR="007C1B5A">
        <w:t xml:space="preserve">o be </w:t>
      </w:r>
      <w:r>
        <w:t>held on June 3, 2024</w:t>
      </w:r>
      <w:r w:rsidDel="00266A88">
        <w:t>.</w:t>
      </w:r>
    </w:p>
    <w:p w:rsidR="001E15C1" w:rsidP="00C534D7" w:rsidRDefault="00D802C7" w14:paraId="424868DF" w14:textId="77777777">
      <w:pPr>
        <w:pStyle w:val="Standard"/>
      </w:pPr>
      <w:r>
        <w:t xml:space="preserve">On </w:t>
      </w:r>
      <w:r w:rsidR="00C32577">
        <w:t>June 28</w:t>
      </w:r>
      <w:r>
        <w:t>, 2024</w:t>
      </w:r>
      <w:r w:rsidR="00B3372D">
        <w:t>,</w:t>
      </w:r>
      <w:r w:rsidR="00C32577">
        <w:t xml:space="preserve"> and July 1, 2024, </w:t>
      </w:r>
      <w:r>
        <w:t>REV Renewables, D</w:t>
      </w:r>
      <w:r w:rsidR="007B7D65">
        <w:t>OW</w:t>
      </w:r>
      <w:r>
        <w:t xml:space="preserve">, RCRC, SCE, SDG&amp;E, EDF, </w:t>
      </w:r>
      <w:r w:rsidR="00C534D7">
        <w:t xml:space="preserve">IEP, </w:t>
      </w:r>
      <w:r>
        <w:t xml:space="preserve">CUE, PG&amp;E, Sierra Club, </w:t>
      </w:r>
      <w:r w:rsidR="00DE03CA">
        <w:t>ACP</w:t>
      </w:r>
      <w:r>
        <w:t>, The Acton Town Council, CEERT, Large-Scale Solar Association, Trans</w:t>
      </w:r>
      <w:r w:rsidR="00C32577">
        <w:t>mission Owners (jointly)</w:t>
      </w:r>
      <w:r>
        <w:t xml:space="preserve">, </w:t>
      </w:r>
      <w:r w:rsidR="00C32577">
        <w:t xml:space="preserve">Farm Bureau, CAISO, </w:t>
      </w:r>
      <w:r>
        <w:t>C</w:t>
      </w:r>
      <w:r w:rsidR="00C32577">
        <w:t>BD and PCF (jointly)</w:t>
      </w:r>
      <w:r>
        <w:t xml:space="preserve"> and Clean Coalition, and Cal Advocates filed opening comments on the </w:t>
      </w:r>
      <w:r w:rsidR="00C534D7">
        <w:t>Staff Proposal</w:t>
      </w:r>
      <w:r>
        <w:t xml:space="preserve">. On </w:t>
      </w:r>
      <w:r w:rsidR="00C534D7">
        <w:t>July 15</w:t>
      </w:r>
      <w:r>
        <w:t>, 2024</w:t>
      </w:r>
      <w:r w:rsidR="00C534D7">
        <w:t xml:space="preserve">, </w:t>
      </w:r>
      <w:r w:rsidR="0071452A">
        <w:t>DOW</w:t>
      </w:r>
      <w:r w:rsidR="00C534D7">
        <w:t xml:space="preserve">, SCE, SDG&amp;E, EDF, IEP, LS Power Grid LLC, PG&amp;E, Sierra Club, The Acton Town Council, CEERT, Large-Scale Solar Association, Transmission Owners (jointly), CAISO, CBD and PCF (jointly) and Cal Advocates </w:t>
      </w:r>
      <w:r>
        <w:t>filed reply comments</w:t>
      </w:r>
      <w:r w:rsidR="007B3A0F">
        <w:t>.</w:t>
      </w:r>
    </w:p>
    <w:p w:rsidR="00215561" w:rsidP="005B5854" w:rsidRDefault="005B5854" w14:paraId="6EEC0581" w14:textId="77777777">
      <w:pPr>
        <w:pStyle w:val="Standard"/>
      </w:pPr>
      <w:r>
        <w:t xml:space="preserve">On </w:t>
      </w:r>
      <w:r w:rsidR="00B10A8F">
        <w:t>September 20</w:t>
      </w:r>
      <w:r>
        <w:t>, 202</w:t>
      </w:r>
      <w:r w:rsidR="00B10A8F">
        <w:t>4</w:t>
      </w:r>
      <w:r>
        <w:t>,</w:t>
      </w:r>
      <w:r w:rsidRPr="00B52E5D" w:rsidR="00B52E5D">
        <w:t xml:space="preserve"> </w:t>
      </w:r>
      <w:r w:rsidR="00B52E5D">
        <w:t>AB 551 (</w:t>
      </w:r>
      <w:r w:rsidR="00FB5073">
        <w:t>Bennett</w:t>
      </w:r>
      <w:r w:rsidR="00B52E5D">
        <w:t>)</w:t>
      </w:r>
      <w:r w:rsidRPr="00C57F04" w:rsidR="00B52E5D">
        <w:t xml:space="preserve"> Stats. 202</w:t>
      </w:r>
      <w:r w:rsidR="00B52E5D">
        <w:t>4</w:t>
      </w:r>
      <w:r w:rsidRPr="00C57F04" w:rsidR="00B52E5D">
        <w:t xml:space="preserve">, </w:t>
      </w:r>
      <w:proofErr w:type="spellStart"/>
      <w:r w:rsidR="00B52E5D">
        <w:t>c</w:t>
      </w:r>
      <w:r w:rsidRPr="00C57F04" w:rsidR="00B52E5D">
        <w:t>h.</w:t>
      </w:r>
      <w:proofErr w:type="spellEnd"/>
      <w:r w:rsidRPr="00C57F04" w:rsidR="00B52E5D">
        <w:t xml:space="preserve"> </w:t>
      </w:r>
      <w:r w:rsidR="00B52E5D">
        <w:t>299</w:t>
      </w:r>
      <w:r w:rsidR="00DA113B">
        <w:t xml:space="preserve"> amended</w:t>
      </w:r>
      <w:r w:rsidR="005964A5">
        <w:t xml:space="preserve"> </w:t>
      </w:r>
      <w:r w:rsidRPr="0057065F">
        <w:t>Pub. Util. Code</w:t>
      </w:r>
      <w:r w:rsidRPr="002E234A" w:rsidR="008913B0">
        <w:t xml:space="preserve"> </w:t>
      </w:r>
      <w:r w:rsidRPr="002E234A" w:rsidR="00EF4AED">
        <w:t>S</w:t>
      </w:r>
      <w:r w:rsidRPr="002E234A" w:rsidR="00DE5C5D">
        <w:t>ections 311 and 1731</w:t>
      </w:r>
      <w:r w:rsidRPr="00DE5C5D" w:rsidR="00DE5C5D">
        <w:t xml:space="preserve"> </w:t>
      </w:r>
      <w:r w:rsidRPr="00FE5C1C" w:rsidR="00FE5C1C">
        <w:t>prohibit</w:t>
      </w:r>
      <w:r w:rsidR="00EC6CB7">
        <w:t>ing</w:t>
      </w:r>
      <w:r w:rsidRPr="00FE5C1C" w:rsidR="00FE5C1C">
        <w:t xml:space="preserve"> </w:t>
      </w:r>
      <w:r w:rsidR="00EC6CB7">
        <w:t>any</w:t>
      </w:r>
      <w:r w:rsidRPr="00FE5C1C" w:rsidR="00FE5C1C">
        <w:t xml:space="preserve"> cause of action arising out of </w:t>
      </w:r>
      <w:r w:rsidR="008E6E77">
        <w:t>an</w:t>
      </w:r>
      <w:r w:rsidRPr="00FE5C1C" w:rsidR="00FE5C1C">
        <w:t xml:space="preserve"> </w:t>
      </w:r>
      <w:r w:rsidR="0001329F">
        <w:t>E</w:t>
      </w:r>
      <w:r w:rsidRPr="00FE5C1C" w:rsidR="00FE5C1C">
        <w:t xml:space="preserve">xecutive </w:t>
      </w:r>
      <w:r w:rsidR="0001329F">
        <w:t>Di</w:t>
      </w:r>
      <w:r w:rsidRPr="00FE5C1C" w:rsidR="00FE5C1C">
        <w:t>rector</w:t>
      </w:r>
      <w:r w:rsidR="0001329F">
        <w:t>’</w:t>
      </w:r>
      <w:r w:rsidR="001C2DE2">
        <w:t>s</w:t>
      </w:r>
      <w:r w:rsidRPr="00FE5C1C" w:rsidR="00FE5C1C">
        <w:t xml:space="preserve"> disposition of a protest to a notice of proposed construction </w:t>
      </w:r>
      <w:r w:rsidR="001D0FEE">
        <w:t xml:space="preserve">of </w:t>
      </w:r>
      <w:r w:rsidR="00B76953">
        <w:t xml:space="preserve">a transmission </w:t>
      </w:r>
      <w:r w:rsidR="001D0FEE">
        <w:t xml:space="preserve">project that </w:t>
      </w:r>
      <w:r w:rsidR="00857FDF">
        <w:t xml:space="preserve">receives a </w:t>
      </w:r>
      <w:r w:rsidRPr="002E234A" w:rsidR="00B76953">
        <w:t>C</w:t>
      </w:r>
      <w:r w:rsidRPr="002E234A" w:rsidR="000D215E">
        <w:t>ertificate of Public Convenience and Necessity (C</w:t>
      </w:r>
      <w:r w:rsidRPr="002E234A" w:rsidR="00B76953">
        <w:t>PCN</w:t>
      </w:r>
      <w:r w:rsidRPr="002E234A" w:rsidR="000D215E">
        <w:t>)</w:t>
      </w:r>
      <w:r w:rsidR="00B76953">
        <w:t xml:space="preserve"> or PTC </w:t>
      </w:r>
      <w:r w:rsidR="00857FDF">
        <w:t xml:space="preserve">exemption </w:t>
      </w:r>
      <w:r w:rsidRPr="00FE5C1C" w:rsidR="00FE5C1C">
        <w:t xml:space="preserve">from accruing in any court to any entity or </w:t>
      </w:r>
      <w:r w:rsidRPr="00FE5C1C" w:rsidR="00FE5C1C">
        <w:lastRenderedPageBreak/>
        <w:t xml:space="preserve">person unless </w:t>
      </w:r>
      <w:r w:rsidR="0056745B">
        <w:t>said</w:t>
      </w:r>
      <w:r w:rsidR="00C63D28">
        <w:t xml:space="preserve"> entity or</w:t>
      </w:r>
      <w:r w:rsidR="0056745B">
        <w:t xml:space="preserve"> person </w:t>
      </w:r>
      <w:r w:rsidRPr="00FE5C1C" w:rsidR="00FE5C1C">
        <w:t>file</w:t>
      </w:r>
      <w:r w:rsidR="00EB144D">
        <w:t>s</w:t>
      </w:r>
      <w:r w:rsidRPr="00FE5C1C" w:rsidR="00FE5C1C">
        <w:t xml:space="preserve"> a </w:t>
      </w:r>
      <w:r w:rsidR="00952668">
        <w:t xml:space="preserve">rehearing </w:t>
      </w:r>
      <w:r w:rsidRPr="00FE5C1C" w:rsidR="00FE5C1C">
        <w:t>application within 10 days after the</w:t>
      </w:r>
      <w:r w:rsidR="000C3271">
        <w:t xml:space="preserve"> </w:t>
      </w:r>
      <w:r w:rsidRPr="00FE5C1C" w:rsidR="00FE5C1C">
        <w:t>disposition</w:t>
      </w:r>
      <w:r w:rsidR="000C3271">
        <w:t xml:space="preserve"> </w:t>
      </w:r>
      <w:r w:rsidR="00896C7C">
        <w:t>has been</w:t>
      </w:r>
      <w:r w:rsidR="000C3271">
        <w:t xml:space="preserve"> issued</w:t>
      </w:r>
      <w:r w:rsidRPr="00FE5C1C" w:rsidR="00FE5C1C">
        <w:t>. The bill require</w:t>
      </w:r>
      <w:r w:rsidR="00F05757">
        <w:t>s</w:t>
      </w:r>
      <w:r w:rsidRPr="00FE5C1C" w:rsidR="00FE5C1C">
        <w:t xml:space="preserve"> the </w:t>
      </w:r>
      <w:r w:rsidR="00D22B76">
        <w:t>C</w:t>
      </w:r>
      <w:r w:rsidRPr="00FE5C1C" w:rsidR="00FE5C1C">
        <w:t xml:space="preserve">ommission to issue </w:t>
      </w:r>
      <w:r w:rsidR="00AA6DA9">
        <w:t>a</w:t>
      </w:r>
      <w:r w:rsidRPr="00FE5C1C" w:rsidR="00FE5C1C">
        <w:t xml:space="preserve"> decision and order on rehearing within 90 days after the filing of that application. </w:t>
      </w:r>
    </w:p>
    <w:p w:rsidRPr="006E09A6" w:rsidR="005B5854" w:rsidP="005B5854" w:rsidRDefault="008913B0" w14:paraId="6F9C258A" w14:textId="77777777">
      <w:pPr>
        <w:pStyle w:val="Standard"/>
      </w:pPr>
      <w:r>
        <w:t xml:space="preserve">Further, AB </w:t>
      </w:r>
      <w:r w:rsidR="00382B8B">
        <w:t xml:space="preserve">551 </w:t>
      </w:r>
      <w:r w:rsidR="00F66E6D">
        <w:t>added</w:t>
      </w:r>
      <w:r w:rsidR="00F01904">
        <w:t xml:space="preserve"> </w:t>
      </w:r>
      <w:r w:rsidRPr="002E234A" w:rsidR="00F01904">
        <w:t>Pub. Util. Code</w:t>
      </w:r>
      <w:r w:rsidRPr="002E234A" w:rsidR="00246BB5">
        <w:t xml:space="preserve"> </w:t>
      </w:r>
      <w:r w:rsidR="00DC14AC">
        <w:t>Section </w:t>
      </w:r>
      <w:r w:rsidRPr="002E234A" w:rsidR="00246BB5">
        <w:t xml:space="preserve">1002.4 </w:t>
      </w:r>
      <w:r w:rsidRPr="002E234A" w:rsidR="005B5854">
        <w:t>to</w:t>
      </w:r>
      <w:r w:rsidR="005B5854">
        <w:t xml:space="preserve"> read as follows: </w:t>
      </w:r>
    </w:p>
    <w:p w:rsidRPr="002E234A" w:rsidR="00E5213D" w:rsidP="00DC14AC" w:rsidRDefault="00E5213D" w14:paraId="54590CC1" w14:textId="77777777">
      <w:pPr>
        <w:pStyle w:val="Standard"/>
        <w:tabs>
          <w:tab w:val="left" w:pos="1170"/>
        </w:tabs>
        <w:spacing w:after="120" w:line="240" w:lineRule="auto"/>
        <w:ind w:left="1170" w:right="1440" w:hanging="450"/>
      </w:pPr>
      <w:r w:rsidRPr="002E234A">
        <w:t>(a)</w:t>
      </w:r>
      <w:r w:rsidR="002B7E0D">
        <w:tab/>
      </w:r>
      <w:r w:rsidRPr="002E234A">
        <w:t xml:space="preserve">The </w:t>
      </w:r>
      <w:r w:rsidRPr="002E234A" w:rsidR="008628D9">
        <w:t>Co</w:t>
      </w:r>
      <w:r w:rsidRPr="002E234A">
        <w:t>mmission may, by resolution, adopt successor guidelines to the commission’s Guidelines for Energy Project Applications Requiring CEQA Compliance: Pre-filing and Proponent’s Environmental Assessments (November 2019) at a publicly noticed meeting to address its receipt and review of and actions on applications for the construction of electrical transmission facilities subject to its regulatory jurisdiction. These guidelines shall be designed to mitigate ratepayer costs, lessen the uncertainty of the submittal process, and improve the commission’s review process by increasing applicant understanding of applicable requirements with the intent of advancing the timely resolution of the construction of the facilities and efficient disposition of the applications.</w:t>
      </w:r>
    </w:p>
    <w:p w:rsidRPr="002E234A" w:rsidR="00E5213D" w:rsidP="00DC14AC" w:rsidRDefault="00E5213D" w14:paraId="774B180F" w14:textId="77777777">
      <w:pPr>
        <w:pStyle w:val="Standard"/>
        <w:tabs>
          <w:tab w:val="left" w:pos="1170"/>
        </w:tabs>
        <w:spacing w:after="120" w:line="240" w:lineRule="auto"/>
        <w:ind w:left="1170" w:right="1440" w:hanging="450"/>
      </w:pPr>
      <w:r w:rsidRPr="002E234A">
        <w:t>(b)</w:t>
      </w:r>
      <w:r w:rsidRPr="002E234A" w:rsidR="00246BB5">
        <w:tab/>
      </w:r>
      <w:r w:rsidRPr="002E234A">
        <w:t xml:space="preserve">To the extent there is a conflict or inconsistency between the content in the guidelines adopted or revised pursuant to this section and a commission </w:t>
      </w:r>
      <w:r w:rsidRPr="00EF4AED">
        <w:t>rule of practice or procedure addressing the completeness of applications for electrical transmission facilities, the guidelines shall prevail.</w:t>
      </w:r>
    </w:p>
    <w:p w:rsidRPr="002E234A" w:rsidR="00E5213D" w:rsidP="00DC14AC" w:rsidRDefault="00E5213D" w14:paraId="16E6F063" w14:textId="77777777">
      <w:pPr>
        <w:pStyle w:val="Standard"/>
        <w:tabs>
          <w:tab w:val="left" w:pos="1170"/>
        </w:tabs>
        <w:spacing w:after="120" w:line="240" w:lineRule="auto"/>
        <w:ind w:left="1170" w:right="1440" w:hanging="450"/>
      </w:pPr>
      <w:r w:rsidRPr="002E234A">
        <w:t>(c)</w:t>
      </w:r>
      <w:r w:rsidRPr="002E234A" w:rsidR="00246BB5">
        <w:tab/>
      </w:r>
      <w:r w:rsidRPr="002E234A">
        <w:t>The guidelines adopted pursuant to this section shall supersede the commission’s Guidelines for Energy Project Applications Requiring CEQA Compliance: Pre-filing and Proponent’s Environmental Assessments (November 2019), unless the guidelines adopted pursuant to this section specify otherwise.</w:t>
      </w:r>
    </w:p>
    <w:p w:rsidRPr="002E234A" w:rsidR="00E5213D" w:rsidP="00DC14AC" w:rsidRDefault="00E5213D" w14:paraId="34A0C009" w14:textId="77777777">
      <w:pPr>
        <w:pStyle w:val="Standard"/>
        <w:tabs>
          <w:tab w:val="left" w:pos="1170"/>
        </w:tabs>
        <w:spacing w:after="120" w:line="240" w:lineRule="auto"/>
        <w:ind w:left="1170" w:right="1440" w:hanging="450"/>
      </w:pPr>
      <w:r w:rsidRPr="002E234A">
        <w:t>(d)</w:t>
      </w:r>
      <w:r w:rsidRPr="002E234A" w:rsidR="00246BB5">
        <w:tab/>
      </w:r>
      <w:r w:rsidRPr="002E234A">
        <w:t xml:space="preserve">Notwithstanding any other law, guidelines adopted pursuant to this section are exempt from the requirements of Chapter 3.5 (commencing with </w:t>
      </w:r>
      <w:r w:rsidR="00DC14AC">
        <w:t>Section </w:t>
      </w:r>
      <w:r w:rsidRPr="002E234A">
        <w:t>11340) of Part 1 of Division 3 of Title 2 of the Government Code.</w:t>
      </w:r>
    </w:p>
    <w:p w:rsidR="00E5213D" w:rsidP="00DC14AC" w:rsidRDefault="00E5213D" w14:paraId="15F3EA58" w14:textId="77777777">
      <w:pPr>
        <w:pStyle w:val="Standard"/>
        <w:tabs>
          <w:tab w:val="left" w:pos="1170"/>
        </w:tabs>
        <w:spacing w:after="120" w:line="240" w:lineRule="auto"/>
        <w:ind w:left="1170" w:right="1440" w:hanging="450"/>
        <w:rPr>
          <w:szCs w:val="26"/>
        </w:rPr>
      </w:pPr>
      <w:r w:rsidRPr="002E234A">
        <w:lastRenderedPageBreak/>
        <w:t>(e)</w:t>
      </w:r>
      <w:r w:rsidRPr="002E234A" w:rsidR="00246BB5">
        <w:rPr>
          <w:szCs w:val="26"/>
        </w:rPr>
        <w:tab/>
      </w:r>
      <w:r w:rsidRPr="002E234A">
        <w:t>For purposes of this section, “electrical transmission facilities” means electrical generation facilities, transmission, power, and distribution line facilities, and substations, as described in commission General Order No. 131-D, as it may be amended from time to time.</w:t>
      </w:r>
    </w:p>
    <w:p w:rsidR="007B3A0F" w:rsidP="00A87EF9" w:rsidRDefault="00491F28" w14:paraId="4971F9F9" w14:textId="77777777">
      <w:pPr>
        <w:pStyle w:val="Standard"/>
      </w:pPr>
      <w:r>
        <w:t>On September 27, 2024,</w:t>
      </w:r>
      <w:r w:rsidRPr="00B52E5D">
        <w:t xml:space="preserve"> </w:t>
      </w:r>
      <w:r>
        <w:t>AB 2292 (</w:t>
      </w:r>
      <w:r w:rsidRPr="0096481B" w:rsidR="0096481B">
        <w:t>Petrie-Norris</w:t>
      </w:r>
      <w:r>
        <w:t>)</w:t>
      </w:r>
      <w:r w:rsidRPr="00C57F04">
        <w:t xml:space="preserve"> Stats. 202</w:t>
      </w:r>
      <w:r>
        <w:t>4</w:t>
      </w:r>
      <w:r w:rsidRPr="00C57F04">
        <w:t xml:space="preserve">, </w:t>
      </w:r>
      <w:proofErr w:type="spellStart"/>
      <w:r>
        <w:t>c</w:t>
      </w:r>
      <w:r w:rsidRPr="00C57F04">
        <w:t>h.</w:t>
      </w:r>
      <w:proofErr w:type="spellEnd"/>
      <w:r w:rsidRPr="00C57F04">
        <w:t xml:space="preserve"> </w:t>
      </w:r>
      <w:r w:rsidR="00BE5257">
        <w:t>70</w:t>
      </w:r>
      <w:r>
        <w:t xml:space="preserve">9 </w:t>
      </w:r>
      <w:r w:rsidR="00BE5257">
        <w:t xml:space="preserve">repealed </w:t>
      </w:r>
      <w:r w:rsidRPr="002E234A" w:rsidR="0098690C">
        <w:t>Pub</w:t>
      </w:r>
      <w:r w:rsidRPr="002E234A" w:rsidR="00D95C78">
        <w:t>.</w:t>
      </w:r>
      <w:r w:rsidRPr="002E234A" w:rsidR="0098690C">
        <w:t xml:space="preserve"> Util</w:t>
      </w:r>
      <w:r w:rsidRPr="002E234A" w:rsidR="00D95C78">
        <w:t>.</w:t>
      </w:r>
      <w:r w:rsidRPr="002E234A" w:rsidR="0098690C">
        <w:t xml:space="preserve"> Code</w:t>
      </w:r>
      <w:r w:rsidRPr="002E234A" w:rsidR="00246BB5">
        <w:t xml:space="preserve"> </w:t>
      </w:r>
      <w:r w:rsidR="00DC14AC">
        <w:t>Section </w:t>
      </w:r>
      <w:r w:rsidRPr="002E234A" w:rsidR="00246BB5">
        <w:t>1002.3</w:t>
      </w:r>
      <w:r w:rsidR="1214DBCC">
        <w:t>, which</w:t>
      </w:r>
      <w:r w:rsidR="008F3575">
        <w:t xml:space="preserve"> requir</w:t>
      </w:r>
      <w:r w:rsidR="04AF4C6E">
        <w:t>ed</w:t>
      </w:r>
      <w:r w:rsidRPr="008F3575" w:rsidR="008F3575">
        <w:t xml:space="preserve"> </w:t>
      </w:r>
      <w:r w:rsidR="008F3575">
        <w:t xml:space="preserve">that </w:t>
      </w:r>
      <w:r w:rsidRPr="008F3575" w:rsidR="008F3575">
        <w:t xml:space="preserve">the </w:t>
      </w:r>
      <w:r w:rsidR="008F3575">
        <w:t>C</w:t>
      </w:r>
      <w:r w:rsidRPr="008F3575" w:rsidR="008F3575">
        <w:t>ommission consider cost-effective alternatives</w:t>
      </w:r>
      <w:r w:rsidRPr="007A65AA" w:rsidR="007A65AA">
        <w:t> that meet the need for an efficient, reliable, and affordable supply of electricity, including demand-side alternatives such as targeted energy efficiency, ultraclean distributed generation, as defined, and other demand reduction resources</w:t>
      </w:r>
      <w:r w:rsidR="00D26305">
        <w:t xml:space="preserve"> </w:t>
      </w:r>
      <w:r w:rsidR="00CB0798">
        <w:t xml:space="preserve">when </w:t>
      </w:r>
      <w:r w:rsidRPr="00CB0798" w:rsidR="00CB0798">
        <w:t xml:space="preserve">considering </w:t>
      </w:r>
      <w:r w:rsidR="5DC801FE">
        <w:t xml:space="preserve">a </w:t>
      </w:r>
      <w:r w:rsidR="00CB0798">
        <w:t>CPCN</w:t>
      </w:r>
      <w:r w:rsidR="00132075">
        <w:t xml:space="preserve"> application</w:t>
      </w:r>
      <w:r w:rsidR="00CB0798">
        <w:t xml:space="preserve"> </w:t>
      </w:r>
      <w:r w:rsidRPr="00CB0798" w:rsidR="00CB0798">
        <w:t>for a</w:t>
      </w:r>
      <w:r w:rsidR="007A65AA">
        <w:t xml:space="preserve"> proposed</w:t>
      </w:r>
      <w:r w:rsidRPr="00CB0798" w:rsidR="00CB0798">
        <w:t xml:space="preserve"> electric transmission</w:t>
      </w:r>
      <w:r w:rsidR="007A65AA">
        <w:t xml:space="preserve"> facility</w:t>
      </w:r>
      <w:r w:rsidR="00CB0798">
        <w:t>.</w:t>
      </w:r>
    </w:p>
    <w:p w:rsidR="00683B2C" w:rsidP="008153EC" w:rsidRDefault="00683B2C" w14:paraId="348FB4A7" w14:textId="77777777">
      <w:pPr>
        <w:pStyle w:val="Heading1"/>
      </w:pPr>
      <w:bookmarkStart w:name="_Toc141799150" w:id="12"/>
      <w:bookmarkStart w:name="_Toc189738489" w:id="13"/>
      <w:r>
        <w:t>Submission Date</w:t>
      </w:r>
      <w:bookmarkEnd w:id="12"/>
      <w:bookmarkEnd w:id="13"/>
    </w:p>
    <w:p w:rsidR="00683B2C" w:rsidP="006E6574" w:rsidRDefault="00683B2C" w14:paraId="0812336D" w14:textId="77777777">
      <w:pPr>
        <w:pStyle w:val="Standard"/>
      </w:pPr>
      <w:r w:rsidRPr="0076248D">
        <w:t>Th</w:t>
      </w:r>
      <w:r w:rsidRPr="008148CF" w:rsidR="00D40EC9">
        <w:t>e Phase 2</w:t>
      </w:r>
      <w:r w:rsidRPr="00FF0265" w:rsidDel="000D3DD1">
        <w:t xml:space="preserve"> </w:t>
      </w:r>
      <w:r w:rsidRPr="00FF0265">
        <w:t xml:space="preserve">was submitted on </w:t>
      </w:r>
      <w:r w:rsidR="00A62DE2">
        <w:t>Ju</w:t>
      </w:r>
      <w:r w:rsidR="00124975">
        <w:t>ly</w:t>
      </w:r>
      <w:r w:rsidR="00A62DE2">
        <w:t xml:space="preserve"> </w:t>
      </w:r>
      <w:r w:rsidR="0095574F">
        <w:t>1</w:t>
      </w:r>
      <w:r w:rsidR="00124975">
        <w:t>5</w:t>
      </w:r>
      <w:r w:rsidR="00AF62B3">
        <w:t>, 202</w:t>
      </w:r>
      <w:r w:rsidR="00E85812">
        <w:t>4</w:t>
      </w:r>
      <w:r w:rsidR="00AF62B3">
        <w:t xml:space="preserve">, </w:t>
      </w:r>
      <w:r w:rsidRPr="00FF0265">
        <w:t xml:space="preserve">upon </w:t>
      </w:r>
      <w:r w:rsidR="00AF62B3">
        <w:t>part</w:t>
      </w:r>
      <w:r w:rsidR="001D0AE5">
        <w:t>ies</w:t>
      </w:r>
      <w:r w:rsidRPr="00FF0265">
        <w:t xml:space="preserve"> filing</w:t>
      </w:r>
      <w:r w:rsidR="00AF62B3">
        <w:t xml:space="preserve"> </w:t>
      </w:r>
      <w:r w:rsidDel="001B2F22" w:rsidR="00AF62B3">
        <w:t>of</w:t>
      </w:r>
      <w:r w:rsidDel="001B2F22" w:rsidR="00E85812">
        <w:t xml:space="preserve"> </w:t>
      </w:r>
      <w:r w:rsidR="00E85812">
        <w:t xml:space="preserve">reply </w:t>
      </w:r>
      <w:r w:rsidR="00AF62B3">
        <w:t xml:space="preserve">comments on </w:t>
      </w:r>
      <w:r w:rsidR="00E85812">
        <w:t>the</w:t>
      </w:r>
      <w:r w:rsidR="00DE0AF0">
        <w:t xml:space="preserve"> </w:t>
      </w:r>
      <w:r w:rsidR="00124975">
        <w:t>Staff Proposal</w:t>
      </w:r>
      <w:r w:rsidR="00E85812">
        <w:t>.</w:t>
      </w:r>
    </w:p>
    <w:p w:rsidR="001462BB" w:rsidP="008153EC" w:rsidRDefault="00C07653" w14:paraId="3D4B9E63" w14:textId="77777777">
      <w:pPr>
        <w:pStyle w:val="Heading1"/>
      </w:pPr>
      <w:bookmarkStart w:name="_Toc177325700" w:id="14"/>
      <w:bookmarkStart w:name="_Toc177326693" w:id="15"/>
      <w:bookmarkStart w:name="_Toc177327476" w:id="16"/>
      <w:bookmarkStart w:name="_Toc177327608" w:id="17"/>
      <w:bookmarkStart w:name="_Toc177327842" w:id="18"/>
      <w:bookmarkStart w:name="_Toc177325701" w:id="19"/>
      <w:bookmarkStart w:name="_Toc177326694" w:id="20"/>
      <w:bookmarkStart w:name="_Toc177327477" w:id="21"/>
      <w:bookmarkStart w:name="_Toc177327609" w:id="22"/>
      <w:bookmarkStart w:name="_Toc177327843" w:id="23"/>
      <w:bookmarkStart w:name="_Toc177325702" w:id="24"/>
      <w:bookmarkStart w:name="_Toc177326695" w:id="25"/>
      <w:bookmarkStart w:name="_Toc177327478" w:id="26"/>
      <w:bookmarkStart w:name="_Toc177327610" w:id="27"/>
      <w:bookmarkStart w:name="_Toc177327844" w:id="28"/>
      <w:bookmarkStart w:name="_Toc177325703" w:id="29"/>
      <w:bookmarkStart w:name="_Toc177326696" w:id="30"/>
      <w:bookmarkStart w:name="_Toc177327479" w:id="31"/>
      <w:bookmarkStart w:name="_Toc177327611" w:id="32"/>
      <w:bookmarkStart w:name="_Toc177327845" w:id="33"/>
      <w:bookmarkStart w:name="_Toc177325704" w:id="34"/>
      <w:bookmarkStart w:name="_Toc177326697" w:id="35"/>
      <w:bookmarkStart w:name="_Toc177327480" w:id="36"/>
      <w:bookmarkStart w:name="_Toc177327612" w:id="37"/>
      <w:bookmarkStart w:name="_Toc177327846" w:id="38"/>
      <w:bookmarkStart w:name="_Toc177325705" w:id="39"/>
      <w:bookmarkStart w:name="_Toc177326698" w:id="40"/>
      <w:bookmarkStart w:name="_Toc177327481" w:id="41"/>
      <w:bookmarkStart w:name="_Toc177327613" w:id="42"/>
      <w:bookmarkStart w:name="_Toc177327847" w:id="43"/>
      <w:bookmarkStart w:name="_Toc177325706" w:id="44"/>
      <w:bookmarkStart w:name="_Toc177326699" w:id="45"/>
      <w:bookmarkStart w:name="_Toc177327482" w:id="46"/>
      <w:bookmarkStart w:name="_Toc177327614" w:id="47"/>
      <w:bookmarkStart w:name="_Toc177327848" w:id="48"/>
      <w:bookmarkStart w:name="_Toc177325707" w:id="49"/>
      <w:bookmarkStart w:name="_Toc177326700" w:id="50"/>
      <w:bookmarkStart w:name="_Toc177327483" w:id="51"/>
      <w:bookmarkStart w:name="_Toc177327615" w:id="52"/>
      <w:bookmarkStart w:name="_Toc177327849" w:id="53"/>
      <w:bookmarkStart w:name="_Toc177325708" w:id="54"/>
      <w:bookmarkStart w:name="_Toc177326701" w:id="55"/>
      <w:bookmarkStart w:name="_Toc177327484" w:id="56"/>
      <w:bookmarkStart w:name="_Toc177327616" w:id="57"/>
      <w:bookmarkStart w:name="_Toc177327850" w:id="58"/>
      <w:bookmarkStart w:name="_Toc177325709" w:id="59"/>
      <w:bookmarkStart w:name="_Toc177326702" w:id="60"/>
      <w:bookmarkStart w:name="_Toc177327485" w:id="61"/>
      <w:bookmarkStart w:name="_Toc177327617" w:id="62"/>
      <w:bookmarkStart w:name="_Toc177327851" w:id="63"/>
      <w:bookmarkStart w:name="_Toc177325710" w:id="64"/>
      <w:bookmarkStart w:name="_Toc177326703" w:id="65"/>
      <w:bookmarkStart w:name="_Toc177327486" w:id="66"/>
      <w:bookmarkStart w:name="_Toc177327618" w:id="67"/>
      <w:bookmarkStart w:name="_Toc177327852" w:id="68"/>
      <w:bookmarkStart w:name="_Toc177325711" w:id="69"/>
      <w:bookmarkStart w:name="_Toc177326704" w:id="70"/>
      <w:bookmarkStart w:name="_Toc177327487" w:id="71"/>
      <w:bookmarkStart w:name="_Toc177327619" w:id="72"/>
      <w:bookmarkStart w:name="_Toc177327853" w:id="73"/>
      <w:bookmarkStart w:name="_Toc177325712" w:id="74"/>
      <w:bookmarkStart w:name="_Toc177326705" w:id="75"/>
      <w:bookmarkStart w:name="_Toc177327488" w:id="76"/>
      <w:bookmarkStart w:name="_Toc177327620" w:id="77"/>
      <w:bookmarkStart w:name="_Toc177327854" w:id="78"/>
      <w:bookmarkStart w:name="_Toc189738490" w:id="7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Current </w:t>
      </w:r>
      <w:r w:rsidRPr="008153EC" w:rsidR="001E2100">
        <w:t>Regulatory</w:t>
      </w:r>
      <w:r w:rsidR="001E2100">
        <w:t xml:space="preserve"> Framework</w:t>
      </w:r>
      <w:bookmarkEnd w:id="79"/>
    </w:p>
    <w:p w:rsidRPr="00415B46" w:rsidR="00415B46" w:rsidP="008153EC" w:rsidRDefault="003B5D07" w14:paraId="190801E0" w14:textId="77777777">
      <w:pPr>
        <w:pStyle w:val="Heading2"/>
      </w:pPr>
      <w:bookmarkStart w:name="_Toc177325409" w:id="80"/>
      <w:bookmarkStart w:name="_Toc177325714" w:id="81"/>
      <w:bookmarkStart w:name="_Toc177326707" w:id="82"/>
      <w:bookmarkStart w:name="_Toc177327490" w:id="83"/>
      <w:bookmarkStart w:name="_Toc177327622" w:id="84"/>
      <w:bookmarkStart w:name="_Toc177327856" w:id="85"/>
      <w:bookmarkStart w:name="_Toc177325410" w:id="86"/>
      <w:bookmarkStart w:name="_Toc177325715" w:id="87"/>
      <w:bookmarkStart w:name="_Toc177326708" w:id="88"/>
      <w:bookmarkStart w:name="_Toc177327491" w:id="89"/>
      <w:bookmarkStart w:name="_Toc177327623" w:id="90"/>
      <w:bookmarkStart w:name="_Toc177327857" w:id="91"/>
      <w:bookmarkStart w:name="_Toc189738491" w:id="92"/>
      <w:bookmarkEnd w:id="80"/>
      <w:bookmarkEnd w:id="81"/>
      <w:bookmarkEnd w:id="82"/>
      <w:bookmarkEnd w:id="83"/>
      <w:bookmarkEnd w:id="84"/>
      <w:bookmarkEnd w:id="85"/>
      <w:bookmarkEnd w:id="86"/>
      <w:bookmarkEnd w:id="87"/>
      <w:bookmarkEnd w:id="88"/>
      <w:bookmarkEnd w:id="89"/>
      <w:bookmarkEnd w:id="90"/>
      <w:bookmarkEnd w:id="91"/>
      <w:r>
        <w:t>GO </w:t>
      </w:r>
      <w:r w:rsidRPr="008153EC" w:rsidR="0095732A">
        <w:t>131</w:t>
      </w:r>
      <w:r w:rsidR="0095732A">
        <w:t>-D</w:t>
      </w:r>
      <w:bookmarkEnd w:id="92"/>
    </w:p>
    <w:p w:rsidRPr="003B1CAE" w:rsidR="001E5819" w:rsidP="001E5819" w:rsidRDefault="003B5D07" w14:paraId="633CB3E8" w14:textId="77777777">
      <w:pPr>
        <w:pStyle w:val="Standard"/>
      </w:pPr>
      <w:r>
        <w:t>GO </w:t>
      </w:r>
      <w:r w:rsidRPr="003B1CAE" w:rsidR="001E5819">
        <w:t>131-D</w:t>
      </w:r>
      <w:r w:rsidRPr="003B1CAE" w:rsidR="00195EA8">
        <w:t xml:space="preserve">, most recently amended by </w:t>
      </w:r>
      <w:r w:rsidRPr="003B1CAE" w:rsidR="00DD4427">
        <w:t>D.23-12-</w:t>
      </w:r>
      <w:r w:rsidR="00663AD4">
        <w:t>035</w:t>
      </w:r>
      <w:r w:rsidRPr="003B1CAE" w:rsidR="00DD4427">
        <w:t xml:space="preserve">, </w:t>
      </w:r>
      <w:r w:rsidRPr="003B1CAE" w:rsidR="00905672">
        <w:t xml:space="preserve">is currently </w:t>
      </w:r>
      <w:r w:rsidRPr="003B1CAE" w:rsidR="00195EA8">
        <w:t>in effect and</w:t>
      </w:r>
      <w:r w:rsidRPr="003B1CAE" w:rsidR="001E5819">
        <w:t xml:space="preserve"> </w:t>
      </w:r>
      <w:r w:rsidRPr="003B1CAE" w:rsidR="0078068B">
        <w:t>reflects the</w:t>
      </w:r>
      <w:r w:rsidRPr="003B1CAE" w:rsidR="001E5819">
        <w:t xml:space="preserve"> Commission’s </w:t>
      </w:r>
      <w:r w:rsidR="004A6CF4">
        <w:t xml:space="preserve">current </w:t>
      </w:r>
      <w:r w:rsidRPr="003B1CAE" w:rsidR="001E5819">
        <w:t>rules for the planning and construction of electric generation resources; transmission, power, or distribution lines; and electric substations located in California</w:t>
      </w:r>
      <w:r w:rsidRPr="003B1CAE" w:rsidR="00DB0E4D">
        <w:t xml:space="preserve"> </w:t>
      </w:r>
      <w:r w:rsidRPr="003B1CAE" w:rsidR="005A7C4C">
        <w:t xml:space="preserve">- </w:t>
      </w:r>
      <w:r w:rsidRPr="003B1CAE" w:rsidR="49C22315">
        <w:t>including</w:t>
      </w:r>
      <w:r w:rsidRPr="003B1CAE" w:rsidR="00C22EBC">
        <w:t xml:space="preserve"> </w:t>
      </w:r>
      <w:r w:rsidRPr="002E234A" w:rsidR="00C22EBC">
        <w:t>CEQA</w:t>
      </w:r>
      <w:r w:rsidRPr="003B1CAE" w:rsidR="6F837A7D">
        <w:t xml:space="preserve"> compliance</w:t>
      </w:r>
      <w:r w:rsidRPr="003B1CAE" w:rsidR="001E5819">
        <w:t xml:space="preserve">. </w:t>
      </w:r>
    </w:p>
    <w:p w:rsidR="002A3271" w:rsidP="00753274" w:rsidRDefault="003B5D07" w14:paraId="2ACEBAB4" w14:textId="77777777">
      <w:pPr>
        <w:pStyle w:val="Standard"/>
        <w:rPr>
          <w:szCs w:val="26"/>
        </w:rPr>
      </w:pPr>
      <w:r>
        <w:rPr>
          <w:szCs w:val="26"/>
        </w:rPr>
        <w:t>GO </w:t>
      </w:r>
      <w:r w:rsidRPr="00F56BE0" w:rsidR="00607646">
        <w:rPr>
          <w:szCs w:val="26"/>
        </w:rPr>
        <w:t>131-D</w:t>
      </w:r>
      <w:r w:rsidRPr="00F56BE0" w:rsidR="00EF4AED">
        <w:rPr>
          <w:szCs w:val="26"/>
        </w:rPr>
        <w:t>,</w:t>
      </w:r>
      <w:r w:rsidRPr="00F56BE0" w:rsidR="00EF4AED">
        <w:t xml:space="preserve"> </w:t>
      </w:r>
      <w:r w:rsidR="00DC14AC">
        <w:t>Section </w:t>
      </w:r>
      <w:r w:rsidRPr="002E234A" w:rsidR="00EF4AED">
        <w:t>III</w:t>
      </w:r>
      <w:r w:rsidR="00EF4AED">
        <w:rPr>
          <w:szCs w:val="26"/>
        </w:rPr>
        <w:t>,</w:t>
      </w:r>
      <w:r w:rsidRPr="003B1CAE" w:rsidR="00607646">
        <w:rPr>
          <w:szCs w:val="26"/>
        </w:rPr>
        <w:t xml:space="preserve"> identifies three</w:t>
      </w:r>
      <w:r w:rsidRPr="003B1CAE" w:rsidR="00A156FC">
        <w:rPr>
          <w:szCs w:val="26"/>
        </w:rPr>
        <w:t xml:space="preserve"> </w:t>
      </w:r>
      <w:r w:rsidRPr="00F56BE0" w:rsidR="000D215E">
        <w:rPr>
          <w:szCs w:val="26"/>
        </w:rPr>
        <w:t xml:space="preserve">review </w:t>
      </w:r>
      <w:r w:rsidRPr="00F56BE0" w:rsidR="00EF4AED">
        <w:rPr>
          <w:szCs w:val="26"/>
        </w:rPr>
        <w:t>processes</w:t>
      </w:r>
      <w:r w:rsidRPr="002E234A" w:rsidR="00EF4AED">
        <w:t xml:space="preserve"> for</w:t>
      </w:r>
      <w:r w:rsidRPr="003B1CAE" w:rsidR="00245D9C">
        <w:rPr>
          <w:szCs w:val="26"/>
        </w:rPr>
        <w:t xml:space="preserve"> </w:t>
      </w:r>
      <w:r w:rsidR="007B6D20">
        <w:rPr>
          <w:szCs w:val="26"/>
        </w:rPr>
        <w:t>authorizing</w:t>
      </w:r>
      <w:r w:rsidRPr="003B1CAE" w:rsidR="00825C7E">
        <w:rPr>
          <w:szCs w:val="26"/>
        </w:rPr>
        <w:t xml:space="preserve"> </w:t>
      </w:r>
      <w:r w:rsidRPr="003B1CAE" w:rsidR="002D7C44">
        <w:rPr>
          <w:szCs w:val="26"/>
        </w:rPr>
        <w:t>e</w:t>
      </w:r>
      <w:r w:rsidRPr="003B1CAE" w:rsidR="00607646">
        <w:rPr>
          <w:szCs w:val="26"/>
        </w:rPr>
        <w:t xml:space="preserve">lectrical </w:t>
      </w:r>
      <w:r w:rsidRPr="003B1CAE" w:rsidR="00645BE5">
        <w:rPr>
          <w:szCs w:val="26"/>
        </w:rPr>
        <w:t xml:space="preserve">generation resource and </w:t>
      </w:r>
      <w:r w:rsidRPr="003B1CAE" w:rsidR="00607646">
        <w:rPr>
          <w:szCs w:val="26"/>
        </w:rPr>
        <w:t>infrastructure projects</w:t>
      </w:r>
      <w:r w:rsidRPr="003B1CAE" w:rsidR="008225F4">
        <w:rPr>
          <w:szCs w:val="26"/>
        </w:rPr>
        <w:t xml:space="preserve">, as </w:t>
      </w:r>
      <w:r w:rsidRPr="003B1CAE" w:rsidR="0007034D">
        <w:rPr>
          <w:szCs w:val="26"/>
        </w:rPr>
        <w:t>not</w:t>
      </w:r>
      <w:r w:rsidRPr="003B1CAE" w:rsidR="008225F4">
        <w:rPr>
          <w:szCs w:val="26"/>
        </w:rPr>
        <w:t>ed below,</w:t>
      </w:r>
      <w:r w:rsidRPr="003B1CAE" w:rsidR="00607646">
        <w:rPr>
          <w:szCs w:val="26"/>
        </w:rPr>
        <w:t xml:space="preserve"> that are</w:t>
      </w:r>
      <w:r w:rsidRPr="001462BB" w:rsidR="00607646">
        <w:rPr>
          <w:szCs w:val="26"/>
        </w:rPr>
        <w:t xml:space="preserve"> subject to C</w:t>
      </w:r>
      <w:r w:rsidR="00607646">
        <w:rPr>
          <w:szCs w:val="26"/>
        </w:rPr>
        <w:t>ommission</w:t>
      </w:r>
      <w:r w:rsidR="003969ED">
        <w:rPr>
          <w:szCs w:val="26"/>
        </w:rPr>
        <w:t xml:space="preserve"> </w:t>
      </w:r>
      <w:r w:rsidR="00607646">
        <w:rPr>
          <w:szCs w:val="26"/>
        </w:rPr>
        <w:t>jurisdiction</w:t>
      </w:r>
      <w:r w:rsidRPr="001462BB" w:rsidR="00607646">
        <w:rPr>
          <w:szCs w:val="26"/>
        </w:rPr>
        <w:t xml:space="preserve"> </w:t>
      </w:r>
      <w:r w:rsidR="006E3EB2">
        <w:rPr>
          <w:szCs w:val="26"/>
        </w:rPr>
        <w:t>along with</w:t>
      </w:r>
      <w:r w:rsidR="000D215E">
        <w:rPr>
          <w:szCs w:val="26"/>
        </w:rPr>
        <w:t xml:space="preserve"> </w:t>
      </w:r>
      <w:r w:rsidR="00C22EE4">
        <w:rPr>
          <w:szCs w:val="26"/>
        </w:rPr>
        <w:t xml:space="preserve">applicable </w:t>
      </w:r>
      <w:r w:rsidRPr="001462BB" w:rsidR="00607646">
        <w:rPr>
          <w:szCs w:val="26"/>
        </w:rPr>
        <w:t>noticing requirements</w:t>
      </w:r>
      <w:r w:rsidR="00C22EE4">
        <w:rPr>
          <w:szCs w:val="26"/>
        </w:rPr>
        <w:t>, if any</w:t>
      </w:r>
      <w:r w:rsidRPr="001462BB" w:rsidR="00607646">
        <w:rPr>
          <w:szCs w:val="26"/>
        </w:rPr>
        <w:t xml:space="preserve">. </w:t>
      </w:r>
    </w:p>
    <w:p w:rsidRPr="006E035D" w:rsidR="00630471" w:rsidP="008153EC" w:rsidRDefault="00630471" w14:paraId="57DD42B0" w14:textId="77777777">
      <w:pPr>
        <w:pStyle w:val="Heading2"/>
      </w:pPr>
      <w:bookmarkStart w:name="_Toc189738492" w:id="93"/>
      <w:r w:rsidRPr="006E035D">
        <w:lastRenderedPageBreak/>
        <w:t>Certificate of Public Convenience and Necessity (CPCN)</w:t>
      </w:r>
      <w:bookmarkEnd w:id="93"/>
    </w:p>
    <w:p w:rsidR="00D56713" w:rsidP="00630471" w:rsidRDefault="00995138" w14:paraId="5E5435B9" w14:textId="77777777">
      <w:pPr>
        <w:pStyle w:val="Standard"/>
        <w:rPr>
          <w:szCs w:val="26"/>
        </w:rPr>
      </w:pPr>
      <w:r w:rsidRPr="003B1CAE">
        <w:rPr>
          <w:szCs w:val="26"/>
          <w:shd w:val="clear" w:color="auto" w:fill="FFFFFF" w:themeFill="background1"/>
        </w:rPr>
        <w:t>The f</w:t>
      </w:r>
      <w:r w:rsidRPr="003B1CAE" w:rsidR="00616AD5">
        <w:rPr>
          <w:szCs w:val="26"/>
          <w:shd w:val="clear" w:color="auto" w:fill="FFFFFF" w:themeFill="background1"/>
        </w:rPr>
        <w:t>irst</w:t>
      </w:r>
      <w:r w:rsidRPr="003B1CAE">
        <w:rPr>
          <w:szCs w:val="26"/>
          <w:shd w:val="clear" w:color="auto" w:fill="FFFFFF" w:themeFill="background1"/>
        </w:rPr>
        <w:t xml:space="preserve"> </w:t>
      </w:r>
      <w:r w:rsidRPr="00F56BE0" w:rsidR="0064152D">
        <w:rPr>
          <w:szCs w:val="26"/>
          <w:shd w:val="clear" w:color="auto" w:fill="FFFFFF" w:themeFill="background1"/>
        </w:rPr>
        <w:t>process</w:t>
      </w:r>
      <w:r w:rsidR="0064152D">
        <w:rPr>
          <w:szCs w:val="26"/>
          <w:shd w:val="clear" w:color="auto" w:fill="FFFFFF" w:themeFill="background1"/>
        </w:rPr>
        <w:t xml:space="preserve"> </w:t>
      </w:r>
      <w:r w:rsidRPr="003B1CAE" w:rsidR="00616AD5">
        <w:rPr>
          <w:szCs w:val="26"/>
          <w:shd w:val="clear" w:color="auto" w:fill="FFFFFF" w:themeFill="background1"/>
        </w:rPr>
        <w:t xml:space="preserve">is </w:t>
      </w:r>
      <w:r w:rsidRPr="003B1CAE" w:rsidR="00072EB5">
        <w:rPr>
          <w:szCs w:val="26"/>
          <w:shd w:val="clear" w:color="auto" w:fill="FFFFFF" w:themeFill="background1"/>
        </w:rPr>
        <w:t xml:space="preserve">the </w:t>
      </w:r>
      <w:r w:rsidRPr="003B1CAE" w:rsidR="00616AD5">
        <w:rPr>
          <w:szCs w:val="26"/>
          <w:shd w:val="clear" w:color="auto" w:fill="FFFFFF" w:themeFill="background1"/>
        </w:rPr>
        <w:t>CPCN application</w:t>
      </w:r>
      <w:r w:rsidRPr="003B1CAE" w:rsidR="00072EB5">
        <w:rPr>
          <w:szCs w:val="26"/>
          <w:shd w:val="clear" w:color="auto" w:fill="FFFFFF" w:themeFill="background1"/>
        </w:rPr>
        <w:t xml:space="preserve"> process</w:t>
      </w:r>
      <w:r w:rsidRPr="003B1CAE" w:rsidR="00616AD5">
        <w:rPr>
          <w:szCs w:val="26"/>
          <w:shd w:val="clear" w:color="auto" w:fill="FFFFFF" w:themeFill="background1"/>
        </w:rPr>
        <w:t xml:space="preserve">. </w:t>
      </w:r>
      <w:r w:rsidRPr="003B1CAE" w:rsidR="00A05EB0">
        <w:rPr>
          <w:szCs w:val="26"/>
          <w:shd w:val="clear" w:color="auto" w:fill="FFFFFF" w:themeFill="background1"/>
        </w:rPr>
        <w:t>Pursuant</w:t>
      </w:r>
      <w:r w:rsidR="00A05EB0">
        <w:rPr>
          <w:szCs w:val="26"/>
        </w:rPr>
        <w:t xml:space="preserve"> to </w:t>
      </w:r>
      <w:r w:rsidRPr="00F56BE0" w:rsidR="00A05EB0">
        <w:rPr>
          <w:szCs w:val="26"/>
        </w:rPr>
        <w:t>Pub</w:t>
      </w:r>
      <w:r w:rsidRPr="00F56BE0" w:rsidR="00D95C78">
        <w:rPr>
          <w:szCs w:val="26"/>
        </w:rPr>
        <w:t>.</w:t>
      </w:r>
      <w:r w:rsidRPr="00F56BE0" w:rsidR="00A05EB0">
        <w:rPr>
          <w:szCs w:val="26"/>
        </w:rPr>
        <w:t xml:space="preserve"> Util</w:t>
      </w:r>
      <w:r w:rsidRPr="00F56BE0" w:rsidR="00D95C78">
        <w:rPr>
          <w:szCs w:val="26"/>
        </w:rPr>
        <w:t>.</w:t>
      </w:r>
      <w:r w:rsidR="00A05EB0">
        <w:rPr>
          <w:szCs w:val="26"/>
        </w:rPr>
        <w:t xml:space="preserve"> Code </w:t>
      </w:r>
      <w:r w:rsidR="00DC14AC">
        <w:rPr>
          <w:szCs w:val="26"/>
        </w:rPr>
        <w:t>Section </w:t>
      </w:r>
      <w:r w:rsidR="00A05EB0">
        <w:rPr>
          <w:szCs w:val="26"/>
        </w:rPr>
        <w:t xml:space="preserve">1001, </w:t>
      </w:r>
      <w:bookmarkStart w:name="_Hlk177309544" w:id="94"/>
      <w:r w:rsidR="003B5D07">
        <w:rPr>
          <w:szCs w:val="26"/>
        </w:rPr>
        <w:t>GO </w:t>
      </w:r>
      <w:r w:rsidR="00D56713">
        <w:rPr>
          <w:szCs w:val="26"/>
        </w:rPr>
        <w:t xml:space="preserve">131-D, </w:t>
      </w:r>
      <w:r w:rsidR="00DC14AC">
        <w:rPr>
          <w:szCs w:val="26"/>
        </w:rPr>
        <w:t>Section </w:t>
      </w:r>
      <w:r w:rsidR="00D56713">
        <w:rPr>
          <w:szCs w:val="26"/>
        </w:rPr>
        <w:t>III</w:t>
      </w:r>
      <w:r w:rsidR="00147878">
        <w:rPr>
          <w:szCs w:val="26"/>
        </w:rPr>
        <w:t>.</w:t>
      </w:r>
      <w:r w:rsidR="005D6FF3">
        <w:rPr>
          <w:szCs w:val="26"/>
        </w:rPr>
        <w:t>A</w:t>
      </w:r>
      <w:r w:rsidR="00D56713">
        <w:rPr>
          <w:szCs w:val="26"/>
        </w:rPr>
        <w:t>, provides:</w:t>
      </w:r>
      <w:bookmarkEnd w:id="94"/>
    </w:p>
    <w:p w:rsidR="00630471" w:rsidP="002B7E0D" w:rsidRDefault="00630471" w14:paraId="5F9DE79A" w14:textId="77777777">
      <w:pPr>
        <w:pStyle w:val="BlockQuote"/>
        <w:spacing w:after="180"/>
      </w:pPr>
      <w:r>
        <w:t xml:space="preserve">No electric public utility shall begin construction in this state of any new electric generating plant having </w:t>
      </w:r>
      <w:r w:rsidR="003B27BB">
        <w:t xml:space="preserve">in </w:t>
      </w:r>
      <w:r>
        <w:t>aggregate a net capacity available at the busbar in excess of 50 megawatts (MW), or of the modification, alteration, or addition to an existing electric generating plant that results in a 50 MW or more net increase in the electric generating capacity available at the busbar of the existing plant, or of major electric transmission line facilities which are designed for immediate or eventual operation at 200 kV or more (except for the replacement of existing power line facilities or supporting structures with equivalent facilities or structures, the minor relocation of existing power line facilities, the conversion of existing overhead lines to underground, or the placing of new or additional conductors, insulators, or their accessories on or replacement of supporting structures already built) without this Commission’s having first found that said facilities are necessary to promote the safety, health, comfort, and convenience of the public, and that they are required by the public convenience and necessity.</w:t>
      </w:r>
    </w:p>
    <w:p w:rsidR="007D0E0A" w:rsidP="002B7E0D" w:rsidRDefault="003B5D07" w14:paraId="47CAE047" w14:textId="77777777">
      <w:pPr>
        <w:pStyle w:val="Standard"/>
        <w:keepNext/>
        <w:rPr>
          <w:szCs w:val="26"/>
        </w:rPr>
      </w:pPr>
      <w:r>
        <w:rPr>
          <w:szCs w:val="26"/>
        </w:rPr>
        <w:t>GO </w:t>
      </w:r>
      <w:r w:rsidR="007D0E0A">
        <w:rPr>
          <w:szCs w:val="26"/>
        </w:rPr>
        <w:t xml:space="preserve">131-D, </w:t>
      </w:r>
      <w:r w:rsidR="00DC14AC">
        <w:rPr>
          <w:szCs w:val="26"/>
        </w:rPr>
        <w:t>Section </w:t>
      </w:r>
      <w:r w:rsidR="007D0E0A">
        <w:rPr>
          <w:szCs w:val="26"/>
        </w:rPr>
        <w:t>III.</w:t>
      </w:r>
      <w:r w:rsidR="00AB49CA">
        <w:rPr>
          <w:szCs w:val="26"/>
        </w:rPr>
        <w:t>A</w:t>
      </w:r>
      <w:r w:rsidR="009A36B2">
        <w:rPr>
          <w:szCs w:val="26"/>
        </w:rPr>
        <w:t>,</w:t>
      </w:r>
      <w:r w:rsidR="007D0E0A">
        <w:rPr>
          <w:szCs w:val="26"/>
        </w:rPr>
        <w:t xml:space="preserve"> also authoriz</w:t>
      </w:r>
      <w:r w:rsidR="00C528F9">
        <w:rPr>
          <w:szCs w:val="26"/>
        </w:rPr>
        <w:t xml:space="preserve">es </w:t>
      </w:r>
      <w:r w:rsidR="00A0338C">
        <w:rPr>
          <w:szCs w:val="26"/>
        </w:rPr>
        <w:t>a</w:t>
      </w:r>
      <w:r w:rsidRPr="007D0E0A" w:rsidR="007D0E0A">
        <w:rPr>
          <w:szCs w:val="26"/>
        </w:rPr>
        <w:t>n electric public utility</w:t>
      </w:r>
      <w:r w:rsidR="007D0E0A">
        <w:rPr>
          <w:szCs w:val="26"/>
        </w:rPr>
        <w:t>:</w:t>
      </w:r>
    </w:p>
    <w:p w:rsidR="008225F4" w:rsidP="002B7E0D" w:rsidRDefault="007D0E0A" w14:paraId="4D0ADBC2" w14:textId="77777777">
      <w:pPr>
        <w:pStyle w:val="BlockQuote"/>
        <w:spacing w:after="180"/>
      </w:pPr>
      <w:r>
        <w:t xml:space="preserve">… </w:t>
      </w:r>
      <w:r w:rsidRPr="00630471" w:rsidR="00630471">
        <w:t xml:space="preserve">to file a permit to construct application or claim an exemption under </w:t>
      </w:r>
      <w:r w:rsidR="00DC14AC">
        <w:t>Section </w:t>
      </w:r>
      <w:r w:rsidRPr="00630471" w:rsidR="00630471">
        <w:t>III.B to construct an extension, expansion, upgrade, or other modification to an electric public utility’s existing electrical transmission facilities, including electric transmission lines and substations within existing transmission easements, rights of way, or franchise agreements, irrespective of whether the electrical transmission facility is above a 200-kV voltage level.</w:t>
      </w:r>
    </w:p>
    <w:p w:rsidR="009243C4" w:rsidP="00474AE8" w:rsidRDefault="226BF32A" w14:paraId="349D84C2" w14:textId="77777777">
      <w:pPr>
        <w:pStyle w:val="Standard"/>
      </w:pPr>
      <w:r w:rsidRPr="064A553F">
        <w:t xml:space="preserve">Before </w:t>
      </w:r>
      <w:r w:rsidRPr="00050286" w:rsidR="000D215E">
        <w:t>granting</w:t>
      </w:r>
      <w:r w:rsidRPr="00050286">
        <w:t xml:space="preserve"> a CPCN,</w:t>
      </w:r>
      <w:r w:rsidRPr="00050286" w:rsidR="00297078">
        <w:rPr>
          <w:rStyle w:val="FootnoteReference"/>
        </w:rPr>
        <w:footnoteReference w:id="5"/>
      </w:r>
      <w:r w:rsidRPr="00050286">
        <w:t xml:space="preserve"> </w:t>
      </w:r>
      <w:r>
        <w:t xml:space="preserve"> the Commission must find that proposed facilities are necessary for “</w:t>
      </w:r>
      <w:r w:rsidRPr="00831397">
        <w:t xml:space="preserve">the present or future public convenience and </w:t>
      </w:r>
      <w:r w:rsidRPr="00831397">
        <w:lastRenderedPageBreak/>
        <w:t>necessity require or will require its construction</w:t>
      </w:r>
      <w:r>
        <w:t>.”</w:t>
      </w:r>
      <w:r w:rsidR="00297078">
        <w:rPr>
          <w:rStyle w:val="FootnoteReference"/>
        </w:rPr>
        <w:footnoteReference w:id="6"/>
      </w:r>
      <w:r>
        <w:t xml:space="preserve"> </w:t>
      </w:r>
      <w:bookmarkStart w:name="_Hlk177312462" w:id="95"/>
      <w:r>
        <w:t>In</w:t>
      </w:r>
      <w:r w:rsidR="1DD86DBE">
        <w:t xml:space="preserve"> revi</w:t>
      </w:r>
      <w:r w:rsidR="3765FBA3">
        <w:t>e</w:t>
      </w:r>
      <w:r w:rsidR="1DD86DBE">
        <w:t>wing</w:t>
      </w:r>
      <w:r>
        <w:t xml:space="preserve"> a CPCN application, the </w:t>
      </w:r>
      <w:bookmarkStart w:name="_Hlk177314648" w:id="96"/>
      <w:r>
        <w:t xml:space="preserve">Commission considers project need, </w:t>
      </w:r>
      <w:r w:rsidR="556743FC">
        <w:t xml:space="preserve">the </w:t>
      </w:r>
      <w:r w:rsidRPr="00A627EA" w:rsidR="5B194EE9">
        <w:t>maximum prudent and reasonable cost of the project (if approved)</w:t>
      </w:r>
      <w:r>
        <w:t>,</w:t>
      </w:r>
      <w:r w:rsidR="009243C4">
        <w:rPr>
          <w:rStyle w:val="FootnoteReference"/>
        </w:rPr>
        <w:footnoteReference w:id="7"/>
      </w:r>
      <w:r>
        <w:t xml:space="preserve"> </w:t>
      </w:r>
      <w:r w:rsidRPr="00A627EA" w:rsidR="5B194EE9">
        <w:t>community values</w:t>
      </w:r>
      <w:r w:rsidR="5B194EE9">
        <w:t>,</w:t>
      </w:r>
      <w:r w:rsidR="00A627EA">
        <w:rPr>
          <w:rStyle w:val="FootnoteReference"/>
        </w:rPr>
        <w:footnoteReference w:id="8"/>
      </w:r>
      <w:r w:rsidR="5B194EE9">
        <w:t xml:space="preserve"> </w:t>
      </w:r>
      <w:r w:rsidRPr="008A05DF" w:rsidR="5C99A409">
        <w:t>electric and magnetic fields (</w:t>
      </w:r>
      <w:r w:rsidR="5C99A409">
        <w:t>EMF</w:t>
      </w:r>
      <w:r w:rsidRPr="008A05DF" w:rsidR="5C99A409">
        <w:t>)</w:t>
      </w:r>
      <w:r w:rsidR="5C99A409">
        <w:t xml:space="preserve"> </w:t>
      </w:r>
      <w:r w:rsidR="63119CFA">
        <w:t>issue</w:t>
      </w:r>
      <w:r w:rsidR="040145EA">
        <w:t>s</w:t>
      </w:r>
      <w:r w:rsidR="25A33ED4">
        <w:t>,</w:t>
      </w:r>
      <w:r w:rsidR="00623374">
        <w:rPr>
          <w:rStyle w:val="FootnoteReference"/>
        </w:rPr>
        <w:footnoteReference w:id="9"/>
      </w:r>
      <w:r w:rsidR="25A33ED4">
        <w:t xml:space="preserve"> </w:t>
      </w:r>
      <w:r>
        <w:t>and environmental impacts</w:t>
      </w:r>
      <w:r w:rsidR="19D44A31">
        <w:t>, feasible mitigation measures and project alternative</w:t>
      </w:r>
      <w:r w:rsidR="3B60D98D">
        <w:t>s</w:t>
      </w:r>
      <w:r w:rsidR="19D44A31">
        <w:t xml:space="preserve"> </w:t>
      </w:r>
      <w:r>
        <w:t>pursuant to CEQA.</w:t>
      </w:r>
      <w:r w:rsidR="00297078">
        <w:rPr>
          <w:rStyle w:val="FootnoteReference"/>
        </w:rPr>
        <w:footnoteReference w:id="10"/>
      </w:r>
      <w:r w:rsidRPr="00B72CB3">
        <w:t xml:space="preserve"> </w:t>
      </w:r>
      <w:bookmarkEnd w:id="95"/>
    </w:p>
    <w:p w:rsidRPr="006E035D" w:rsidR="00630471" w:rsidP="00DC14AC" w:rsidRDefault="00630471" w14:paraId="19FAD3CE" w14:textId="77777777">
      <w:pPr>
        <w:pStyle w:val="Heading3"/>
      </w:pPr>
      <w:bookmarkStart w:name="_Toc189738493" w:id="97"/>
      <w:bookmarkEnd w:id="96"/>
      <w:r w:rsidRPr="006E035D">
        <w:t>Permit to Construct</w:t>
      </w:r>
      <w:r w:rsidR="00DA09F4">
        <w:rPr>
          <w:bCs/>
        </w:rPr>
        <w:t xml:space="preserve"> (PTC)</w:t>
      </w:r>
      <w:bookmarkEnd w:id="97"/>
    </w:p>
    <w:p w:rsidR="00DA09F4" w:rsidP="00630471" w:rsidRDefault="00BE3742" w14:paraId="469C4AB2" w14:textId="77777777">
      <w:pPr>
        <w:pStyle w:val="Standard"/>
        <w:rPr>
          <w:szCs w:val="26"/>
        </w:rPr>
      </w:pPr>
      <w:r>
        <w:rPr>
          <w:szCs w:val="26"/>
        </w:rPr>
        <w:t>The s</w:t>
      </w:r>
      <w:r w:rsidR="00616AD5">
        <w:rPr>
          <w:szCs w:val="26"/>
        </w:rPr>
        <w:t>econd</w:t>
      </w:r>
      <w:r w:rsidRPr="00616AD5" w:rsidR="00616AD5">
        <w:rPr>
          <w:szCs w:val="26"/>
        </w:rPr>
        <w:t xml:space="preserve"> </w:t>
      </w:r>
      <w:r w:rsidRPr="00050286" w:rsidR="0064152D">
        <w:rPr>
          <w:szCs w:val="26"/>
        </w:rPr>
        <w:t>process</w:t>
      </w:r>
      <w:r w:rsidRPr="00050286" w:rsidR="0064152D">
        <w:t xml:space="preserve"> </w:t>
      </w:r>
      <w:r w:rsidRPr="00616AD5" w:rsidR="00616AD5">
        <w:rPr>
          <w:szCs w:val="26"/>
        </w:rPr>
        <w:t xml:space="preserve">is the </w:t>
      </w:r>
      <w:r w:rsidR="00E00468">
        <w:rPr>
          <w:szCs w:val="26"/>
        </w:rPr>
        <w:t xml:space="preserve">PTC </w:t>
      </w:r>
      <w:r w:rsidRPr="00616AD5" w:rsidR="00616AD5">
        <w:rPr>
          <w:szCs w:val="26"/>
        </w:rPr>
        <w:t>application</w:t>
      </w:r>
      <w:r>
        <w:rPr>
          <w:szCs w:val="26"/>
        </w:rPr>
        <w:t xml:space="preserve"> process</w:t>
      </w:r>
      <w:r w:rsidRPr="00616AD5" w:rsidR="00616AD5">
        <w:rPr>
          <w:szCs w:val="26"/>
        </w:rPr>
        <w:t xml:space="preserve">. </w:t>
      </w:r>
      <w:r w:rsidR="003B5D07">
        <w:rPr>
          <w:szCs w:val="26"/>
        </w:rPr>
        <w:t>GO </w:t>
      </w:r>
      <w:r w:rsidRPr="00DA09F4" w:rsidR="00DA09F4">
        <w:rPr>
          <w:szCs w:val="26"/>
        </w:rPr>
        <w:t xml:space="preserve">131-D, </w:t>
      </w:r>
      <w:r w:rsidR="00DC14AC">
        <w:rPr>
          <w:szCs w:val="26"/>
        </w:rPr>
        <w:t>Section </w:t>
      </w:r>
      <w:r w:rsidRPr="00DA09F4" w:rsidR="00DA09F4">
        <w:rPr>
          <w:szCs w:val="26"/>
        </w:rPr>
        <w:t>III.</w:t>
      </w:r>
      <w:r w:rsidR="001E0766">
        <w:rPr>
          <w:szCs w:val="26"/>
        </w:rPr>
        <w:t>B</w:t>
      </w:r>
      <w:r w:rsidRPr="00DA09F4" w:rsidR="00DA09F4">
        <w:rPr>
          <w:szCs w:val="26"/>
        </w:rPr>
        <w:t>, provides</w:t>
      </w:r>
      <w:r w:rsidR="006E3D5D">
        <w:rPr>
          <w:szCs w:val="26"/>
        </w:rPr>
        <w:t xml:space="preserve">, </w:t>
      </w:r>
      <w:r w:rsidRPr="006E035D" w:rsidR="006E3D5D">
        <w:rPr>
          <w:i/>
          <w:szCs w:val="26"/>
        </w:rPr>
        <w:t>inter al</w:t>
      </w:r>
      <w:r w:rsidRPr="006E035D" w:rsidR="005A5841">
        <w:rPr>
          <w:i/>
          <w:szCs w:val="26"/>
        </w:rPr>
        <w:t>ia</w:t>
      </w:r>
      <w:r w:rsidRPr="00DA09F4" w:rsidR="00DA09F4">
        <w:rPr>
          <w:szCs w:val="26"/>
        </w:rPr>
        <w:t>:</w:t>
      </w:r>
    </w:p>
    <w:p w:rsidR="00630471" w:rsidP="002B7E0D" w:rsidRDefault="00630471" w14:paraId="74EA65BA" w14:textId="77777777">
      <w:pPr>
        <w:pStyle w:val="BlockQuote"/>
        <w:spacing w:after="180"/>
      </w:pPr>
      <w:r w:rsidRPr="00630471">
        <w:t>No electric public utility shall begin construction in this state of any electric power line facilities or substations which are designed for immediate or eventual operation at any voltage between 50 kV and 200</w:t>
      </w:r>
      <w:r w:rsidR="00C528F9">
        <w:t xml:space="preserve"> </w:t>
      </w:r>
      <w:r w:rsidRPr="00630471">
        <w:t>kV or new or upgraded substations with high side voltage exceeding 50 kV without this Commission having first authorized the construction of said facilities by issuance of a permit to construct in accordance with the provisions of Sections IX.B, X, and XI.B of this General Order</w:t>
      </w:r>
      <w:r w:rsidR="006E3D5D">
        <w:t>….</w:t>
      </w:r>
    </w:p>
    <w:p w:rsidR="00630471" w:rsidP="004B2E17" w:rsidRDefault="00AF0274" w14:paraId="5F4D9352" w14:textId="77777777">
      <w:pPr>
        <w:pStyle w:val="Standard"/>
        <w:ind w:right="-90"/>
      </w:pPr>
      <w:r w:rsidRPr="055295A2">
        <w:lastRenderedPageBreak/>
        <w:t xml:space="preserve">While </w:t>
      </w:r>
      <w:r w:rsidR="003B5D07">
        <w:t>GO </w:t>
      </w:r>
      <w:r w:rsidRPr="055295A2">
        <w:t>131-D imposes certain noticing requirements for PTC applications,</w:t>
      </w:r>
      <w:r w:rsidRPr="055295A2">
        <w:rPr>
          <w:rStyle w:val="FootnoteReference"/>
        </w:rPr>
        <w:footnoteReference w:id="11"/>
      </w:r>
      <w:r>
        <w:rPr>
          <w:szCs w:val="26"/>
        </w:rPr>
        <w:t xml:space="preserve"> </w:t>
      </w:r>
      <w:r w:rsidRPr="055295A2" w:rsidR="00780205">
        <w:t xml:space="preserve">such </w:t>
      </w:r>
      <w:r w:rsidRPr="055295A2" w:rsidR="00630471">
        <w:t>notice</w:t>
      </w:r>
      <w:r w:rsidRPr="055295A2" w:rsidR="00780205">
        <w:t xml:space="preserve"> i</w:t>
      </w:r>
      <w:r w:rsidRPr="055295A2" w:rsidR="00630471">
        <w:t xml:space="preserve">s not required for the construction of projects that are statutorily or categorically exempt pursuant to </w:t>
      </w:r>
      <w:r w:rsidR="00EF3912">
        <w:t xml:space="preserve">the </w:t>
      </w:r>
      <w:r w:rsidRPr="055295A2" w:rsidR="00A1321E">
        <w:t>CEQA</w:t>
      </w:r>
      <w:r w:rsidR="00780205">
        <w:rPr>
          <w:szCs w:val="26"/>
        </w:rPr>
        <w:t xml:space="preserve"> </w:t>
      </w:r>
      <w:r w:rsidRPr="055295A2" w:rsidR="00630471">
        <w:t>Guidelines.</w:t>
      </w:r>
      <w:r w:rsidRPr="055295A2" w:rsidR="00BA0A1A">
        <w:rPr>
          <w:rStyle w:val="FootnoteReference"/>
        </w:rPr>
        <w:footnoteReference w:id="12"/>
      </w:r>
      <w:r w:rsidRPr="00630471" w:rsidR="00630471">
        <w:rPr>
          <w:szCs w:val="26"/>
        </w:rPr>
        <w:t xml:space="preserve"> </w:t>
      </w:r>
      <w:r w:rsidR="003B5D07">
        <w:t>GO</w:t>
      </w:r>
      <w:r w:rsidR="004B2E17">
        <w:t> </w:t>
      </w:r>
      <w:r w:rsidRPr="00765FA4" w:rsidR="00EF3912">
        <w:t>131-D, III.B.2</w:t>
      </w:r>
      <w:r w:rsidR="00EF3912">
        <w:t xml:space="preserve"> stipulates that t</w:t>
      </w:r>
      <w:r w:rsidRPr="055295A2" w:rsidR="009B0659">
        <w:t>hese exemptions do not apply when: (a) there is</w:t>
      </w:r>
      <w:r w:rsidRPr="055295A2" w:rsidR="099F00AA">
        <w:t xml:space="preserve"> a</w:t>
      </w:r>
      <w:r w:rsidRPr="055295A2" w:rsidR="009B0659">
        <w:t xml:space="preserve"> reasonable possibility that the activity may impact an environmental resource of hazardous or critical concern where designated, precisely mapped and officially adopted pursuant to law by federal, state, or local agencies; or (b) the cumulative impact of successive projects of the same type in the same place, over time, is significant; or (c) there is a reasonable possibility that the activity will have a significant effect on the environment due to unusual circumstances.</w:t>
      </w:r>
      <w:r w:rsidRPr="055295A2" w:rsidR="00765FA4">
        <w:rPr>
          <w:rStyle w:val="FootnoteReference"/>
        </w:rPr>
        <w:footnoteReference w:id="13"/>
      </w:r>
      <w:r w:rsidRPr="009B0659" w:rsidR="009B0659">
        <w:rPr>
          <w:szCs w:val="26"/>
        </w:rPr>
        <w:t xml:space="preserve"> </w:t>
      </w:r>
      <w:r w:rsidRPr="055295A2" w:rsidR="00780205">
        <w:t xml:space="preserve">Moreover, </w:t>
      </w:r>
      <w:r w:rsidRPr="055295A2" w:rsidR="00BA0A1A">
        <w:t>i</w:t>
      </w:r>
      <w:r w:rsidRPr="055295A2" w:rsidR="00630471">
        <w:t>f</w:t>
      </w:r>
      <w:r w:rsidR="004B2E17">
        <w:t> </w:t>
      </w:r>
      <w:r w:rsidRPr="055295A2" w:rsidR="00630471">
        <w:t xml:space="preserve">a protest of </w:t>
      </w:r>
      <w:r w:rsidRPr="055295A2" w:rsidR="00BA0A1A">
        <w:t xml:space="preserve">a claimed </w:t>
      </w:r>
      <w:r w:rsidRPr="055295A2" w:rsidR="00630471">
        <w:t>exempt</w:t>
      </w:r>
      <w:r w:rsidRPr="055295A2" w:rsidR="00BA0A1A">
        <w:t xml:space="preserve">ion </w:t>
      </w:r>
      <w:r w:rsidRPr="055295A2" w:rsidR="00630471">
        <w:t>is timely filed,</w:t>
      </w:r>
      <w:r w:rsidRPr="055295A2" w:rsidR="00BA0A1A">
        <w:rPr>
          <w:rStyle w:val="FootnoteReference"/>
        </w:rPr>
        <w:footnoteReference w:id="14"/>
      </w:r>
      <w:r w:rsidRPr="055295A2" w:rsidR="00630471">
        <w:t xml:space="preserve"> construction may not commence until the Executive Director or Commission has issued a final determination.</w:t>
      </w:r>
    </w:p>
    <w:p w:rsidRPr="00D62572" w:rsidR="00380EB7" w:rsidP="00474AE8" w:rsidRDefault="00DC69E6" w14:paraId="3E198948" w14:textId="77777777">
      <w:pPr>
        <w:pStyle w:val="Standard"/>
      </w:pPr>
      <w:r>
        <w:t>T</w:t>
      </w:r>
      <w:r w:rsidR="0094044B">
        <w:t>he Commission</w:t>
      </w:r>
      <w:r>
        <w:t>’s review of PTC</w:t>
      </w:r>
      <w:r w:rsidR="004D310E">
        <w:t xml:space="preserve"> applications is more limited, as compared to CPCN </w:t>
      </w:r>
      <w:r w:rsidRPr="000A7F2E" w:rsidR="004D310E">
        <w:t>application</w:t>
      </w:r>
      <w:r w:rsidRPr="00341716" w:rsidR="0078255A">
        <w:t>s</w:t>
      </w:r>
      <w:r w:rsidRPr="000A7F2E" w:rsidR="004D310E">
        <w:t>.</w:t>
      </w:r>
      <w:r w:rsidR="004D310E">
        <w:t xml:space="preserve"> The Commission </w:t>
      </w:r>
      <w:r w:rsidR="00380EB7">
        <w:t xml:space="preserve">will </w:t>
      </w:r>
      <w:r w:rsidR="0094044B">
        <w:t>consider project need,</w:t>
      </w:r>
      <w:r w:rsidR="003C06FF">
        <w:t xml:space="preserve"> potential</w:t>
      </w:r>
      <w:r w:rsidR="0094044B">
        <w:t xml:space="preserve"> EMF </w:t>
      </w:r>
      <w:r w:rsidR="003C06FF">
        <w:t>exposure</w:t>
      </w:r>
      <w:r w:rsidR="0094044B">
        <w:t>,</w:t>
      </w:r>
      <w:r w:rsidR="0094044B">
        <w:rPr>
          <w:rStyle w:val="FootnoteReference"/>
        </w:rPr>
        <w:footnoteReference w:id="15"/>
      </w:r>
      <w:r w:rsidR="0094044B">
        <w:t xml:space="preserve"> and environmental impacts, feasible mitigation measures and project alternative</w:t>
      </w:r>
      <w:r w:rsidR="00EF3912">
        <w:t>s</w:t>
      </w:r>
      <w:r w:rsidR="0094044B">
        <w:t xml:space="preserve"> pursuant to CEQA.</w:t>
      </w:r>
      <w:r w:rsidR="0094044B">
        <w:rPr>
          <w:rStyle w:val="FootnoteReference"/>
        </w:rPr>
        <w:footnoteReference w:id="16"/>
      </w:r>
      <w:r w:rsidRPr="00B72CB3" w:rsidR="0094044B">
        <w:t xml:space="preserve"> </w:t>
      </w:r>
    </w:p>
    <w:p w:rsidRPr="00790106" w:rsidR="00630471" w:rsidP="00DC14AC" w:rsidRDefault="009D21A3" w14:paraId="74B4567C" w14:textId="77777777">
      <w:pPr>
        <w:pStyle w:val="Heading3"/>
      </w:pPr>
      <w:bookmarkStart w:name="_Toc189738494" w:id="98"/>
      <w:r>
        <w:lastRenderedPageBreak/>
        <w:t>Authorization of</w:t>
      </w:r>
      <w:r w:rsidRPr="00790106" w:rsidR="00752CB9">
        <w:t xml:space="preserve"> </w:t>
      </w:r>
      <w:r w:rsidRPr="00790106" w:rsidR="00630471">
        <w:t>Electric Distribution Lines and Other Substations</w:t>
      </w:r>
      <w:bookmarkEnd w:id="98"/>
    </w:p>
    <w:p w:rsidR="001E0766" w:rsidP="00630471" w:rsidRDefault="007B6D20" w14:paraId="4566D041" w14:textId="77777777">
      <w:pPr>
        <w:pStyle w:val="Standard"/>
      </w:pPr>
      <w:r>
        <w:t>The t</w:t>
      </w:r>
      <w:r w:rsidR="00F147DF">
        <w:t xml:space="preserve">hird </w:t>
      </w:r>
      <w:r w:rsidRPr="00341716" w:rsidR="0078255A">
        <w:t>process</w:t>
      </w:r>
      <w:r w:rsidRPr="000A7F2E" w:rsidR="0078255A">
        <w:t xml:space="preserve"> </w:t>
      </w:r>
      <w:r w:rsidRPr="000A7F2E" w:rsidR="00F147DF">
        <w:t xml:space="preserve">is </w:t>
      </w:r>
      <w:r w:rsidRPr="00341716" w:rsidR="0078255A">
        <w:t>for</w:t>
      </w:r>
      <w:r w:rsidRPr="000A7F2E" w:rsidR="0078255A">
        <w:t xml:space="preserve"> </w:t>
      </w:r>
      <w:r w:rsidR="00A026E5">
        <w:t>distribution lines and other substations</w:t>
      </w:r>
      <w:r w:rsidR="00AA35C7">
        <w:t xml:space="preserve"> which do not require Commission’s review</w:t>
      </w:r>
      <w:r w:rsidR="00F147DF">
        <w:t xml:space="preserve">. </w:t>
      </w:r>
      <w:r w:rsidR="003B5D07">
        <w:t>GO </w:t>
      </w:r>
      <w:r w:rsidR="001E0766">
        <w:t xml:space="preserve">131-D, </w:t>
      </w:r>
      <w:r w:rsidR="00DC14AC">
        <w:t>Section </w:t>
      </w:r>
      <w:r w:rsidR="001E0766">
        <w:t>III.C, provides:</w:t>
      </w:r>
    </w:p>
    <w:p w:rsidR="001E0766" w:rsidP="002B7E0D" w:rsidRDefault="00630471" w14:paraId="1450152C" w14:textId="77777777">
      <w:pPr>
        <w:pStyle w:val="BlockQuote"/>
        <w:spacing w:after="180"/>
      </w:pPr>
      <w:r w:rsidRPr="00630471">
        <w:t xml:space="preserve">The construction of electric distribution (under 50 kV) line facilities, or substations with a high side voltage under 50 kV, or substation modification projects which increase the voltage of an existing substation to the voltage for which the substation has been previously rated within the existing substation boundaries, does not require the issuance of a CPCN or permit by this Commission nor discretionary permits or approvals by local governments. </w:t>
      </w:r>
    </w:p>
    <w:p w:rsidR="00630471" w:rsidP="00474AE8" w:rsidRDefault="00630471" w14:paraId="5F48FE5E" w14:textId="77777777">
      <w:pPr>
        <w:pStyle w:val="Standard"/>
        <w:rPr>
          <w:szCs w:val="26"/>
        </w:rPr>
      </w:pPr>
      <w:r w:rsidRPr="00630471">
        <w:rPr>
          <w:szCs w:val="26"/>
        </w:rPr>
        <w:t>However, th</w:t>
      </w:r>
      <w:r w:rsidR="00893F43">
        <w:rPr>
          <w:szCs w:val="26"/>
        </w:rPr>
        <w:t>is section still requires the</w:t>
      </w:r>
      <w:r w:rsidRPr="00630471">
        <w:rPr>
          <w:szCs w:val="26"/>
        </w:rPr>
        <w:t xml:space="preserve"> utility </w:t>
      </w:r>
      <w:r w:rsidR="00893F43">
        <w:rPr>
          <w:szCs w:val="26"/>
        </w:rPr>
        <w:t>to</w:t>
      </w:r>
      <w:r w:rsidRPr="00630471">
        <w:rPr>
          <w:szCs w:val="26"/>
        </w:rPr>
        <w:t xml:space="preserve"> first communicate with, and obtain the input of, local authorities regarding land use matters and obtain any non-discretionary local permits required for the construction and operation of these projects.</w:t>
      </w:r>
    </w:p>
    <w:p w:rsidR="004D2FE7" w:rsidP="008153EC" w:rsidRDefault="004D2FE7" w14:paraId="0E533DA2" w14:textId="77777777">
      <w:pPr>
        <w:pStyle w:val="Heading2"/>
      </w:pPr>
      <w:bookmarkStart w:name="_Toc177325412" w:id="99"/>
      <w:bookmarkStart w:name="_Toc177325717" w:id="100"/>
      <w:bookmarkStart w:name="_Toc177326710" w:id="101"/>
      <w:bookmarkStart w:name="_Toc177327493" w:id="102"/>
      <w:bookmarkStart w:name="_Toc177327625" w:id="103"/>
      <w:bookmarkStart w:name="_Toc177327859" w:id="104"/>
      <w:bookmarkStart w:name="_Toc177325413" w:id="105"/>
      <w:bookmarkStart w:name="_Toc177325718" w:id="106"/>
      <w:bookmarkStart w:name="_Toc177326711" w:id="107"/>
      <w:bookmarkStart w:name="_Toc177327494" w:id="108"/>
      <w:bookmarkStart w:name="_Toc177327626" w:id="109"/>
      <w:bookmarkStart w:name="_Toc177327860" w:id="110"/>
      <w:bookmarkStart w:name="_Toc177325414" w:id="111"/>
      <w:bookmarkStart w:name="_Toc177325719" w:id="112"/>
      <w:bookmarkStart w:name="_Toc177326712" w:id="113"/>
      <w:bookmarkStart w:name="_Toc177327495" w:id="114"/>
      <w:bookmarkStart w:name="_Toc177327627" w:id="115"/>
      <w:bookmarkStart w:name="_Toc177327861" w:id="116"/>
      <w:bookmarkStart w:name="_Toc177325415" w:id="117"/>
      <w:bookmarkStart w:name="_Toc177325720" w:id="118"/>
      <w:bookmarkStart w:name="_Toc177326713" w:id="119"/>
      <w:bookmarkStart w:name="_Toc177327496" w:id="120"/>
      <w:bookmarkStart w:name="_Toc177327628" w:id="121"/>
      <w:bookmarkStart w:name="_Toc177327862" w:id="122"/>
      <w:bookmarkStart w:name="_Toc177325416" w:id="123"/>
      <w:bookmarkStart w:name="_Toc177325721" w:id="124"/>
      <w:bookmarkStart w:name="_Toc177326714" w:id="125"/>
      <w:bookmarkStart w:name="_Toc177327497" w:id="126"/>
      <w:bookmarkStart w:name="_Toc177327629" w:id="127"/>
      <w:bookmarkStart w:name="_Toc177327863" w:id="128"/>
      <w:bookmarkStart w:name="_Toc189738495" w:id="129"/>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CEQA Overview</w:t>
      </w:r>
      <w:bookmarkEnd w:id="129"/>
    </w:p>
    <w:p w:rsidRPr="00623066" w:rsidR="005A1226" w:rsidP="00B85AC4" w:rsidRDefault="002B4991" w14:paraId="2A702F64" w14:textId="77777777">
      <w:pPr>
        <w:pStyle w:val="Standard"/>
      </w:pPr>
      <w:r w:rsidRPr="00623066">
        <w:t>T</w:t>
      </w:r>
      <w:r w:rsidRPr="00623066" w:rsidR="005A1226">
        <w:t>his</w:t>
      </w:r>
      <w:r w:rsidRPr="00341716" w:rsidR="005A1226">
        <w:t xml:space="preserve"> decision does not </w:t>
      </w:r>
      <w:r w:rsidRPr="00623066" w:rsidR="005A1226">
        <w:t xml:space="preserve">alter or otherwise modify any CEQA requirements. </w:t>
      </w:r>
      <w:r w:rsidR="005D535E">
        <w:t>To provide context, w</w:t>
      </w:r>
      <w:r w:rsidRPr="00623066" w:rsidR="002A5EC2">
        <w:t>e</w:t>
      </w:r>
      <w:r w:rsidRPr="00341716" w:rsidDel="005A1226" w:rsidR="00B94801">
        <w:t xml:space="preserve"> now provide an </w:t>
      </w:r>
      <w:r w:rsidRPr="00341716" w:rsidR="00B94801">
        <w:t xml:space="preserve">overview of CEQA requirements which the Commission must </w:t>
      </w:r>
      <w:r w:rsidRPr="00623066">
        <w:t>follow before</w:t>
      </w:r>
      <w:r w:rsidRPr="00341716">
        <w:t xml:space="preserve"> </w:t>
      </w:r>
      <w:r w:rsidRPr="00341716" w:rsidR="00B94801">
        <w:t>issuing CPCNs or PTCs</w:t>
      </w:r>
      <w:r w:rsidRPr="00623066" w:rsidR="00B94801">
        <w:t xml:space="preserve">. </w:t>
      </w:r>
    </w:p>
    <w:p w:rsidRPr="00B85AC4" w:rsidR="00FC294E" w:rsidP="00B85AC4" w:rsidRDefault="437EAE4A" w14:paraId="2CD6EA5E" w14:textId="77777777">
      <w:pPr>
        <w:pStyle w:val="Standard"/>
      </w:pPr>
      <w:r w:rsidRPr="00341716">
        <w:t>CEQA</w:t>
      </w:r>
      <w:r>
        <w:t xml:space="preserve"> generally requires </w:t>
      </w:r>
      <w:r w:rsidR="2271140B">
        <w:t>Cali</w:t>
      </w:r>
      <w:r w:rsidR="32A8F624">
        <w:t xml:space="preserve">fornia </w:t>
      </w:r>
      <w:r w:rsidR="6FA90DE2">
        <w:t>state and local</w:t>
      </w:r>
      <w:r w:rsidRPr="00201BFD" w:rsidR="1A4C70E0">
        <w:t xml:space="preserve"> agencies</w:t>
      </w:r>
      <w:r w:rsidR="2DFFD6FF">
        <w:t xml:space="preserve"> (public agencies)</w:t>
      </w:r>
      <w:r w:rsidR="32A8F624">
        <w:t>, including the Commission,</w:t>
      </w:r>
      <w:r w:rsidRPr="00201BFD" w:rsidR="1A4C70E0">
        <w:t xml:space="preserve"> to inform decision makers </w:t>
      </w:r>
      <w:r>
        <w:t>a</w:t>
      </w:r>
      <w:r w:rsidRPr="00201BFD" w:rsidR="1695A6DC">
        <w:t xml:space="preserve">nd the public about potential environmental impacts </w:t>
      </w:r>
      <w:r w:rsidR="309E6710">
        <w:t xml:space="preserve">attributed to </w:t>
      </w:r>
      <w:r w:rsidRPr="00201BFD" w:rsidR="1695A6DC">
        <w:t>proposed projects, and to reduce those impacts to the extent feasible.</w:t>
      </w:r>
      <w:r w:rsidRPr="00623066" w:rsidR="0043574B">
        <w:rPr>
          <w:rStyle w:val="FootnoteReference"/>
        </w:rPr>
        <w:footnoteReference w:id="17"/>
      </w:r>
      <w:r w:rsidRPr="00623066" w:rsidR="428C35C4">
        <w:rPr>
          <w:vertAlign w:val="superscript"/>
        </w:rPr>
        <w:t>,</w:t>
      </w:r>
      <w:r w:rsidRPr="00623066" w:rsidR="00B50CD3">
        <w:rPr>
          <w:rStyle w:val="FootnoteReference"/>
        </w:rPr>
        <w:footnoteReference w:id="18"/>
      </w:r>
      <w:r w:rsidR="5C17CB79">
        <w:t xml:space="preserve"> </w:t>
      </w:r>
      <w:r w:rsidRPr="007B5CD1" w:rsidR="1A501AFE">
        <w:t>Under CEQA,</w:t>
      </w:r>
      <w:r w:rsidRPr="007B5CD1" w:rsidR="2F572B73">
        <w:t xml:space="preserve"> </w:t>
      </w:r>
      <w:r w:rsidRPr="007B5CD1" w:rsidR="0B34F56C">
        <w:t xml:space="preserve">public </w:t>
      </w:r>
      <w:r w:rsidRPr="007B5CD1" w:rsidR="72855BD4">
        <w:t xml:space="preserve">agencies </w:t>
      </w:r>
      <w:r w:rsidRPr="007B5CD1" w:rsidR="3340DC88">
        <w:t xml:space="preserve">must </w:t>
      </w:r>
      <w:r w:rsidRPr="007B5CD1" w:rsidR="72855BD4">
        <w:t xml:space="preserve">not approve </w:t>
      </w:r>
      <w:r w:rsidRPr="007B5CD1" w:rsidR="3340DC88">
        <w:t xml:space="preserve">a </w:t>
      </w:r>
      <w:r w:rsidRPr="007B5CD1" w:rsidR="72855BD4">
        <w:t xml:space="preserve">project as proposed if there are feasible alternatives or </w:t>
      </w:r>
      <w:r w:rsidRPr="007B5CD1" w:rsidR="72855BD4">
        <w:lastRenderedPageBreak/>
        <w:t xml:space="preserve">mitigation measures available </w:t>
      </w:r>
      <w:r w:rsidRPr="007B5CD1" w:rsidR="4419B0D1">
        <w:t xml:space="preserve">that </w:t>
      </w:r>
      <w:r w:rsidRPr="007B5CD1" w:rsidR="72855BD4">
        <w:t xml:space="preserve">would substantially lessen any significant environmental effects of such </w:t>
      </w:r>
      <w:r w:rsidRPr="007B5CD1" w:rsidR="3E55FA42">
        <w:t xml:space="preserve">a </w:t>
      </w:r>
      <w:r w:rsidRPr="007B5CD1" w:rsidR="72855BD4">
        <w:t>project.</w:t>
      </w:r>
      <w:r w:rsidRPr="007B5CD1" w:rsidR="00176AF6">
        <w:rPr>
          <w:rStyle w:val="FootnoteReference"/>
        </w:rPr>
        <w:footnoteReference w:id="19"/>
      </w:r>
    </w:p>
    <w:p w:rsidR="00B144EC" w:rsidP="00B144EC" w:rsidRDefault="00C5235E" w14:paraId="4BE9E639" w14:textId="77777777">
      <w:pPr>
        <w:pStyle w:val="Standard"/>
      </w:pPr>
      <w:r>
        <w:t xml:space="preserve">Public Resources </w:t>
      </w:r>
      <w:r w:rsidR="008C0E5B">
        <w:t>(</w:t>
      </w:r>
      <w:r w:rsidRPr="00341716" w:rsidR="516D1B8D">
        <w:t>P</w:t>
      </w:r>
      <w:r w:rsidRPr="00341716" w:rsidR="124C9344">
        <w:t xml:space="preserve">ub. </w:t>
      </w:r>
      <w:r w:rsidRPr="00341716" w:rsidR="516D1B8D">
        <w:t>R</w:t>
      </w:r>
      <w:r w:rsidRPr="00341716" w:rsidR="124C9344">
        <w:t>es.</w:t>
      </w:r>
      <w:r w:rsidR="00025373">
        <w:t>)</w:t>
      </w:r>
      <w:r w:rsidRPr="00341716" w:rsidR="124C9344">
        <w:t xml:space="preserve"> </w:t>
      </w:r>
      <w:r w:rsidRPr="00341716" w:rsidR="516D1B8D">
        <w:t>C</w:t>
      </w:r>
      <w:r w:rsidRPr="00341716" w:rsidR="124C9344">
        <w:t>ode</w:t>
      </w:r>
      <w:r w:rsidRPr="00341716" w:rsidR="516D1B8D">
        <w:t xml:space="preserve"> </w:t>
      </w:r>
      <w:r w:rsidR="00DC14AC">
        <w:t>Section </w:t>
      </w:r>
      <w:r w:rsidRPr="00341716" w:rsidR="70432A5C">
        <w:t>21065</w:t>
      </w:r>
      <w:r w:rsidRPr="00623066" w:rsidR="313249B6">
        <w:t xml:space="preserve"> defines</w:t>
      </w:r>
      <w:r w:rsidRPr="00341716" w:rsidR="70432A5C">
        <w:t xml:space="preserve"> a “project" as</w:t>
      </w:r>
      <w:r w:rsidR="70432A5C">
        <w:t xml:space="preserve"> </w:t>
      </w:r>
      <w:r w:rsidR="366A6EFC">
        <w:t xml:space="preserve">the </w:t>
      </w:r>
      <w:r w:rsidR="70432A5C">
        <w:t xml:space="preserve">"whole </w:t>
      </w:r>
      <w:r w:rsidR="366A6EFC">
        <w:t xml:space="preserve">of an </w:t>
      </w:r>
      <w:r w:rsidR="70432A5C">
        <w:t xml:space="preserve">action" subject to a public agency's discretionary funding or approval that has the potential to either (1) cause a direct physical change in the environment or (2) cause a reasonably foreseeable indirect physical change in the environment. "Projects" include </w:t>
      </w:r>
      <w:r w:rsidR="006F5B49">
        <w:t xml:space="preserve">a </w:t>
      </w:r>
      <w:r w:rsidR="70432A5C">
        <w:t xml:space="preserve">discretionary activity by a public agency, a private activity that receives any public funding, or activities that involve the public agency's issuance of a discretionary approval and </w:t>
      </w:r>
      <w:r w:rsidR="4F654D49">
        <w:t>are</w:t>
      </w:r>
      <w:r w:rsidR="70432A5C">
        <w:t xml:space="preserve"> not statutorily or categorically exempt from CEQA.</w:t>
      </w:r>
      <w:r w:rsidR="0FD12311">
        <w:t xml:space="preserve"> </w:t>
      </w:r>
    </w:p>
    <w:p w:rsidR="00327BA4" w:rsidP="001B2E91" w:rsidRDefault="05A273E1" w14:paraId="6731FCE2" w14:textId="77777777">
      <w:pPr>
        <w:pStyle w:val="Standard"/>
      </w:pPr>
      <w:r>
        <w:t xml:space="preserve">Pursuant to CEQA, </w:t>
      </w:r>
      <w:r w:rsidR="5838BF24">
        <w:t>p</w:t>
      </w:r>
      <w:r>
        <w:t xml:space="preserve">rojects can qualify for statutory exemptions </w:t>
      </w:r>
      <w:r w:rsidR="4816565E">
        <w:t>under</w:t>
      </w:r>
      <w:r>
        <w:t xml:space="preserve"> Article 18 of the CEQA Guidelines,</w:t>
      </w:r>
      <w:r w:rsidR="00327BA4">
        <w:rPr>
          <w:rStyle w:val="FootnoteReference"/>
        </w:rPr>
        <w:footnoteReference w:id="20"/>
      </w:r>
      <w:r>
        <w:t xml:space="preserve"> or categorical exemptions </w:t>
      </w:r>
      <w:r w:rsidR="00945D49">
        <w:t>under</w:t>
      </w:r>
      <w:r>
        <w:t xml:space="preserve"> Article 19 of the CEQA Guidelines.</w:t>
      </w:r>
      <w:r w:rsidR="00327BA4">
        <w:rPr>
          <w:rStyle w:val="FootnoteReference"/>
        </w:rPr>
        <w:footnoteReference w:id="21"/>
      </w:r>
      <w:r>
        <w:t xml:space="preserve"> </w:t>
      </w:r>
      <w:r w:rsidRPr="00327BA4">
        <w:t xml:space="preserve">Statutory exemptions are created by the Legislature. </w:t>
      </w:r>
      <w:r>
        <w:t>Statutory exemptions include “ministerial projects.”</w:t>
      </w:r>
      <w:r w:rsidR="0071792B">
        <w:rPr>
          <w:rStyle w:val="FootnoteReference"/>
        </w:rPr>
        <w:footnoteReference w:id="22"/>
      </w:r>
      <w:r>
        <w:t xml:space="preserve"> Ministerial projects are projects that involve </w:t>
      </w:r>
      <w:r w:rsidR="064347C4">
        <w:t>government decisions involving little or no personal judgement</w:t>
      </w:r>
      <w:r w:rsidR="0071792B">
        <w:rPr>
          <w:rStyle w:val="FootnoteReference"/>
        </w:rPr>
        <w:footnoteReference w:id="23"/>
      </w:r>
      <w:r w:rsidR="064347C4">
        <w:t xml:space="preserve"> and </w:t>
      </w:r>
      <w:r>
        <w:t>are determined by each public agency as part of its implementing regulations or on a case-by-case basis</w:t>
      </w:r>
      <w:r w:rsidR="064347C4">
        <w:t>.</w:t>
      </w:r>
      <w:r>
        <w:t xml:space="preserve"> </w:t>
      </w:r>
      <w:r w:rsidR="064347C4">
        <w:t>Categorical exemptions include a list of classes of projects which have been determined not to have a significant effect on the environment.</w:t>
      </w:r>
      <w:r w:rsidR="0071792B">
        <w:rPr>
          <w:rStyle w:val="FootnoteReference"/>
        </w:rPr>
        <w:footnoteReference w:id="24"/>
      </w:r>
      <w:r w:rsidR="064347C4">
        <w:t xml:space="preserve"> </w:t>
      </w:r>
      <w:r w:rsidR="09A5809B">
        <w:t xml:space="preserve">The </w:t>
      </w:r>
      <w:r w:rsidRPr="00623066" w:rsidR="064347C4">
        <w:t>CEQA Guidelines</w:t>
      </w:r>
      <w:r w:rsidRPr="00945D49" w:rsidR="313249B6">
        <w:t xml:space="preserve"> also set out</w:t>
      </w:r>
      <w:r w:rsidRPr="00623066" w:rsidR="313249B6">
        <w:t xml:space="preserve"> </w:t>
      </w:r>
      <w:r w:rsidR="064347C4">
        <w:t xml:space="preserve">certain </w:t>
      </w:r>
      <w:r w:rsidR="064347C4">
        <w:lastRenderedPageBreak/>
        <w:t>conditions that trigger exceptions to categorical exemptions triggering full CEQA review.</w:t>
      </w:r>
      <w:r w:rsidR="0071792B">
        <w:rPr>
          <w:rStyle w:val="FootnoteReference"/>
        </w:rPr>
        <w:footnoteReference w:id="25"/>
      </w:r>
    </w:p>
    <w:p w:rsidR="00532ACF" w:rsidP="001C381B" w:rsidRDefault="0046231D" w14:paraId="03BF64B0" w14:textId="77777777">
      <w:pPr>
        <w:pStyle w:val="Standard"/>
      </w:pPr>
      <w:r>
        <w:t>An initial study</w:t>
      </w:r>
      <w:r w:rsidR="00746DE3">
        <w:t xml:space="preserve"> (IS)</w:t>
      </w:r>
      <w:r>
        <w:t xml:space="preserve"> is </w:t>
      </w:r>
      <w:r w:rsidR="00FA2326">
        <w:t>a preliminary analysis</w:t>
      </w:r>
      <w:r w:rsidR="00095172">
        <w:t xml:space="preserve"> </w:t>
      </w:r>
      <w:r w:rsidR="73E68E0D">
        <w:t xml:space="preserve">conducted </w:t>
      </w:r>
      <w:r w:rsidR="00095172">
        <w:t>to</w:t>
      </w:r>
      <w:r w:rsidR="001F1B8C">
        <w:t xml:space="preserve"> determine if there </w:t>
      </w:r>
      <w:r w:rsidR="00DD0B6F">
        <w:t>are</w:t>
      </w:r>
      <w:r w:rsidR="001F1B8C">
        <w:t xml:space="preserve"> significant e</w:t>
      </w:r>
      <w:r w:rsidR="00AC57A7">
        <w:t xml:space="preserve">ffects on the environment </w:t>
      </w:r>
      <w:r w:rsidR="001F1B8C">
        <w:t xml:space="preserve">associated with </w:t>
      </w:r>
      <w:r w:rsidR="00095172">
        <w:t>a</w:t>
      </w:r>
      <w:r w:rsidR="001F1B8C">
        <w:t xml:space="preserve"> project</w:t>
      </w:r>
      <w:r>
        <w:t xml:space="preserve"> </w:t>
      </w:r>
      <w:r w:rsidR="00572A13">
        <w:t>if</w:t>
      </w:r>
      <w:r w:rsidR="001F1B8C">
        <w:t xml:space="preserve"> it is </w:t>
      </w:r>
      <w:r w:rsidR="00DD0B6F">
        <w:t xml:space="preserve">not exempt </w:t>
      </w:r>
      <w:r w:rsidR="008B3699">
        <w:t xml:space="preserve">from </w:t>
      </w:r>
      <w:r w:rsidR="00BF5F4F">
        <w:t>CEQA</w:t>
      </w:r>
      <w:r w:rsidR="008D6EE0">
        <w:t>.</w:t>
      </w:r>
      <w:r w:rsidR="008D6EE0">
        <w:rPr>
          <w:rStyle w:val="FootnoteReference"/>
        </w:rPr>
        <w:footnoteReference w:id="26"/>
      </w:r>
      <w:r w:rsidR="001C381B">
        <w:t xml:space="preserve"> </w:t>
      </w:r>
      <w:r w:rsidR="00F6392D">
        <w:t xml:space="preserve">Public </w:t>
      </w:r>
      <w:r w:rsidR="005C7789">
        <w:t>agencies t</w:t>
      </w:r>
      <w:r w:rsidR="008B4B20">
        <w:t>hat h</w:t>
      </w:r>
      <w:r w:rsidR="005C7789">
        <w:t>ave primary jurisdiction</w:t>
      </w:r>
      <w:r w:rsidR="00645F96">
        <w:t xml:space="preserve"> over the project</w:t>
      </w:r>
      <w:r w:rsidR="00746DE3">
        <w:t xml:space="preserve"> </w:t>
      </w:r>
      <w:r w:rsidR="00904A3C">
        <w:t>serve as l</w:t>
      </w:r>
      <w:r w:rsidR="008B4B20">
        <w:t>ead agencies</w:t>
      </w:r>
      <w:r w:rsidR="00BF5F9A">
        <w:t xml:space="preserve"> that </w:t>
      </w:r>
      <w:r w:rsidR="00DC251D">
        <w:t>are tasked with performing these studies</w:t>
      </w:r>
      <w:r w:rsidR="00BF5F9A">
        <w:t>.</w:t>
      </w:r>
      <w:r w:rsidR="00141EC4">
        <w:rPr>
          <w:rStyle w:val="FootnoteReference"/>
        </w:rPr>
        <w:footnoteReference w:id="27"/>
      </w:r>
      <w:r w:rsidR="004B391B">
        <w:t xml:space="preserve"> </w:t>
      </w:r>
    </w:p>
    <w:p w:rsidR="00867018" w:rsidP="00831AB7" w:rsidRDefault="0197071A" w14:paraId="60866DB5" w14:textId="77777777">
      <w:pPr>
        <w:pStyle w:val="Standard"/>
        <w:ind w:firstLine="0"/>
      </w:pPr>
      <w:r>
        <w:t xml:space="preserve">Based on </w:t>
      </w:r>
      <w:r w:rsidR="1DC0163A">
        <w:t>the IS analysis</w:t>
      </w:r>
      <w:r w:rsidR="2142BC08">
        <w:t xml:space="preserve">, a </w:t>
      </w:r>
      <w:r w:rsidR="64FD9E29">
        <w:t>l</w:t>
      </w:r>
      <w:r w:rsidRPr="00AB3B23" w:rsidR="36AFA4E4">
        <w:t xml:space="preserve">ead agency </w:t>
      </w:r>
      <w:r w:rsidR="2142BC08">
        <w:t xml:space="preserve">may </w:t>
      </w:r>
      <w:r w:rsidR="52AD5530">
        <w:t>draft</w:t>
      </w:r>
      <w:r w:rsidR="2142BC08">
        <w:t xml:space="preserve"> </w:t>
      </w:r>
      <w:r w:rsidRPr="00AB3B23" w:rsidR="36AFA4E4">
        <w:t xml:space="preserve">a </w:t>
      </w:r>
      <w:r w:rsidR="2F1DB7EA">
        <w:t>negative declaration (</w:t>
      </w:r>
      <w:r w:rsidRPr="00AB3B23" w:rsidR="36AFA4E4">
        <w:t>ND</w:t>
      </w:r>
      <w:r w:rsidR="735CA0D2">
        <w:t>),</w:t>
      </w:r>
      <w:r w:rsidRPr="004378EA" w:rsidR="4FAC8D35">
        <w:rPr>
          <w:rStyle w:val="FootnoteReference"/>
        </w:rPr>
        <w:t xml:space="preserve"> </w:t>
      </w:r>
      <w:r w:rsidR="53CD3EAB">
        <w:t>a written statement that a</w:t>
      </w:r>
      <w:r w:rsidR="2DC3808A">
        <w:t xml:space="preserve">n </w:t>
      </w:r>
      <w:r w:rsidR="53CD3EAB">
        <w:t>Environmental Impact Report (EIR)</w:t>
      </w:r>
      <w:r w:rsidR="2142BC08">
        <w:t xml:space="preserve"> is </w:t>
      </w:r>
      <w:r w:rsidR="53CD3EAB">
        <w:t>not req</w:t>
      </w:r>
      <w:r w:rsidR="2C4A5C4F">
        <w:t>uired</w:t>
      </w:r>
      <w:r w:rsidR="039FDC2D">
        <w:t xml:space="preserve"> to </w:t>
      </w:r>
      <w:r w:rsidR="5ABA052E">
        <w:t>evaluate</w:t>
      </w:r>
      <w:r w:rsidR="039FDC2D">
        <w:t xml:space="preserve"> a proposed project </w:t>
      </w:r>
      <w:r w:rsidR="5A795F26">
        <w:t xml:space="preserve">that </w:t>
      </w:r>
      <w:r w:rsidR="491C0B7C">
        <w:t xml:space="preserve">may have </w:t>
      </w:r>
      <w:r w:rsidR="1845E930">
        <w:t xml:space="preserve">significant </w:t>
      </w:r>
      <w:r w:rsidRPr="00AB3B23" w:rsidR="1845E930">
        <w:t>e</w:t>
      </w:r>
      <w:r w:rsidR="1845E930">
        <w:t>ffects on the environment</w:t>
      </w:r>
      <w:r w:rsidR="5A795F26">
        <w:t>.</w:t>
      </w:r>
      <w:r w:rsidR="009B36A2">
        <w:rPr>
          <w:rStyle w:val="FootnoteReference"/>
        </w:rPr>
        <w:footnoteReference w:id="28"/>
      </w:r>
      <w:r w:rsidR="41DB1423">
        <w:t xml:space="preserve"> </w:t>
      </w:r>
    </w:p>
    <w:p w:rsidR="00D54867" w:rsidP="00476421" w:rsidRDefault="00AA0970" w14:paraId="202B9452" w14:textId="77777777">
      <w:pPr>
        <w:pStyle w:val="Standard"/>
      </w:pPr>
      <w:r w:rsidRPr="00474AE8">
        <w:rPr>
          <w:szCs w:val="26"/>
        </w:rPr>
        <w:t>A</w:t>
      </w:r>
      <w:r w:rsidRPr="00474AE8" w:rsidR="00ED7765">
        <w:rPr>
          <w:szCs w:val="26"/>
        </w:rPr>
        <w:t>lternatively</w:t>
      </w:r>
      <w:r w:rsidR="00ED7765">
        <w:t>, a</w:t>
      </w:r>
      <w:r w:rsidR="00B06C9E">
        <w:t xml:space="preserve"> mitigated n</w:t>
      </w:r>
      <w:r w:rsidR="00C6741C">
        <w:t>egative declaration (</w:t>
      </w:r>
      <w:r w:rsidRPr="00AB3B23" w:rsidR="00AB3B23">
        <w:t>MND</w:t>
      </w:r>
      <w:r w:rsidR="00C6741C">
        <w:t>)</w:t>
      </w:r>
      <w:r w:rsidRPr="00AB3B23" w:rsidR="00AB3B23">
        <w:t xml:space="preserve"> is prepared when an </w:t>
      </w:r>
      <w:r w:rsidR="00C6741C">
        <w:t>IS</w:t>
      </w:r>
      <w:r w:rsidRPr="00AB3B23" w:rsidR="00AB3B23">
        <w:t xml:space="preserve"> identifie</w:t>
      </w:r>
      <w:r>
        <w:t>s</w:t>
      </w:r>
      <w:r w:rsidRPr="00AB3B23" w:rsidR="00AB3B23">
        <w:t xml:space="preserve"> </w:t>
      </w:r>
      <w:r w:rsidR="00684D1B">
        <w:t xml:space="preserve">that </w:t>
      </w:r>
      <w:r w:rsidR="003675B1">
        <w:t xml:space="preserve">a </w:t>
      </w:r>
      <w:r w:rsidR="00684D1B">
        <w:t>project may impose</w:t>
      </w:r>
      <w:r w:rsidR="009445FA">
        <w:t xml:space="preserve"> </w:t>
      </w:r>
      <w:r w:rsidRPr="00AB3B23" w:rsidR="00AB3B23">
        <w:t>potential</w:t>
      </w:r>
      <w:r w:rsidR="00684D1B">
        <w:t>ly</w:t>
      </w:r>
      <w:r w:rsidRPr="00AB3B23" w:rsidR="00AB3B23">
        <w:t xml:space="preserve"> significant effects on the environment, but </w:t>
      </w:r>
      <w:r w:rsidR="002D2550">
        <w:t>an</w:t>
      </w:r>
      <w:r w:rsidR="00187B0D">
        <w:t xml:space="preserve"> applicant</w:t>
      </w:r>
      <w:r w:rsidR="002D2550">
        <w:t xml:space="preserve"> </w:t>
      </w:r>
      <w:r w:rsidR="00187B0D">
        <w:t>re</w:t>
      </w:r>
      <w:r w:rsidR="00D60C06">
        <w:t>vise</w:t>
      </w:r>
      <w:r w:rsidR="002D2550">
        <w:t>s</w:t>
      </w:r>
      <w:r w:rsidR="00D60C06">
        <w:t xml:space="preserve"> or agree</w:t>
      </w:r>
      <w:r w:rsidR="002D2550">
        <w:t>s</w:t>
      </w:r>
      <w:r w:rsidR="00D60C06">
        <w:t xml:space="preserve"> to </w:t>
      </w:r>
      <w:r w:rsidR="00AA6092">
        <w:t xml:space="preserve">a </w:t>
      </w:r>
      <w:r w:rsidRPr="00AB3B23" w:rsidR="00AB3B23">
        <w:t>project plan or proposal</w:t>
      </w:r>
      <w:r w:rsidR="009F3E64">
        <w:t xml:space="preserve"> that</w:t>
      </w:r>
      <w:r w:rsidR="00632726">
        <w:t xml:space="preserve"> mitigates these effects</w:t>
      </w:r>
      <w:r w:rsidR="00934681">
        <w:t xml:space="preserve"> before the</w:t>
      </w:r>
      <w:r w:rsidR="002A0289">
        <w:t xml:space="preserve"> </w:t>
      </w:r>
      <w:r w:rsidR="00934681">
        <w:t>IS</w:t>
      </w:r>
      <w:r w:rsidRPr="00AB3B23" w:rsidR="00934681">
        <w:t xml:space="preserve"> </w:t>
      </w:r>
      <w:r w:rsidR="002A0289">
        <w:t xml:space="preserve">and ND </w:t>
      </w:r>
      <w:r w:rsidRPr="00AB3B23" w:rsidR="00934681">
        <w:t>are released for public review</w:t>
      </w:r>
      <w:r w:rsidR="00CD05DF">
        <w:t>. The M</w:t>
      </w:r>
      <w:r w:rsidR="00934681">
        <w:t xml:space="preserve">ND must </w:t>
      </w:r>
      <w:r w:rsidR="00CE3694">
        <w:t>clearl</w:t>
      </w:r>
      <w:r w:rsidR="0017508C">
        <w:t>y</w:t>
      </w:r>
      <w:r w:rsidR="00CE3694">
        <w:t xml:space="preserve"> </w:t>
      </w:r>
      <w:r w:rsidR="0017508C">
        <w:t xml:space="preserve">show </w:t>
      </w:r>
      <w:r w:rsidR="003F6A59">
        <w:t>that</w:t>
      </w:r>
      <w:r w:rsidR="0017508C">
        <w:t xml:space="preserve"> </w:t>
      </w:r>
      <w:r w:rsidR="00B263F2">
        <w:t xml:space="preserve">(1) </w:t>
      </w:r>
      <w:r w:rsidR="00EA1FD7">
        <w:t xml:space="preserve">the project </w:t>
      </w:r>
      <w:r w:rsidR="00A81A1B">
        <w:t>plan or proposal would mitigate or avoid</w:t>
      </w:r>
      <w:r w:rsidR="004904A4">
        <w:t xml:space="preserve"> </w:t>
      </w:r>
      <w:r w:rsidRPr="00AB3B23" w:rsidR="00540C86">
        <w:t>significant effect</w:t>
      </w:r>
      <w:r w:rsidR="00F03B0F">
        <w:t>s</w:t>
      </w:r>
      <w:r w:rsidRPr="00AB3B23" w:rsidR="00540C86">
        <w:t xml:space="preserve"> on the environment</w:t>
      </w:r>
      <w:r w:rsidR="00EC1BAA">
        <w:t>;</w:t>
      </w:r>
      <w:r w:rsidR="00F03B0F">
        <w:t xml:space="preserve"> and</w:t>
      </w:r>
      <w:r w:rsidRPr="00AB3B23" w:rsidR="00AB3B23">
        <w:t xml:space="preserve"> </w:t>
      </w:r>
      <w:r w:rsidR="00B263F2">
        <w:t xml:space="preserve">(2) </w:t>
      </w:r>
      <w:r w:rsidRPr="00AB3B23" w:rsidR="00AB3B23">
        <w:t>there is no substantial evidence in light of the whole record before the public agency that the project, as revised, may have a significant effect on the environment</w:t>
      </w:r>
      <w:r w:rsidR="00DD62B1">
        <w:t>.</w:t>
      </w:r>
      <w:r w:rsidR="00DD62B1">
        <w:rPr>
          <w:rStyle w:val="FootnoteReference"/>
        </w:rPr>
        <w:footnoteReference w:id="29"/>
      </w:r>
      <w:r w:rsidRPr="00AB3B23" w:rsidR="00AB3B23">
        <w:t xml:space="preserve"> </w:t>
      </w:r>
      <w:r w:rsidR="007A0951">
        <w:t xml:space="preserve">If </w:t>
      </w:r>
      <w:r w:rsidR="00D54867">
        <w:t xml:space="preserve">there is evidence to the contrary, an </w:t>
      </w:r>
      <w:r w:rsidR="006E4648">
        <w:t>EIR is prep</w:t>
      </w:r>
      <w:r w:rsidR="00307F1B">
        <w:t>ared</w:t>
      </w:r>
      <w:r w:rsidR="00D54867">
        <w:t>.</w:t>
      </w:r>
    </w:p>
    <w:p w:rsidR="00D831EA" w:rsidP="0092224B" w:rsidRDefault="19714535" w14:paraId="42E5BFEB" w14:textId="77777777">
      <w:pPr>
        <w:pStyle w:val="Standard"/>
      </w:pPr>
      <w:r>
        <w:lastRenderedPageBreak/>
        <w:t xml:space="preserve">In </w:t>
      </w:r>
      <w:r w:rsidR="51D418AC">
        <w:t>consult</w:t>
      </w:r>
      <w:r>
        <w:t>ation</w:t>
      </w:r>
      <w:r w:rsidR="51D418AC">
        <w:t xml:space="preserve"> with </w:t>
      </w:r>
      <w:r w:rsidR="025F050A">
        <w:t xml:space="preserve">the project applicant, </w:t>
      </w:r>
      <w:r w:rsidR="51D418AC">
        <w:t xml:space="preserve">other agencies, </w:t>
      </w:r>
      <w:r w:rsidR="025F050A">
        <w:t xml:space="preserve">and </w:t>
      </w:r>
      <w:r w:rsidR="51D418AC">
        <w:t xml:space="preserve">the public, </w:t>
      </w:r>
      <w:r w:rsidR="025F050A">
        <w:t>the lead agency must</w:t>
      </w:r>
      <w:r w:rsidR="51D418AC">
        <w:t xml:space="preserve"> </w:t>
      </w:r>
      <w:r w:rsidR="5AB9524F">
        <w:t>determine the scope</w:t>
      </w:r>
      <w:r w:rsidR="025F050A">
        <w:t xml:space="preserve"> of the EIR.</w:t>
      </w:r>
      <w:r w:rsidR="00D74CF6">
        <w:rPr>
          <w:rStyle w:val="FootnoteReference"/>
        </w:rPr>
        <w:footnoteReference w:id="30"/>
      </w:r>
      <w:r w:rsidR="5AB9524F">
        <w:t xml:space="preserve"> </w:t>
      </w:r>
      <w:r w:rsidR="2D82107C">
        <w:t>Subsequently</w:t>
      </w:r>
      <w:r w:rsidR="0C9376B9">
        <w:t>, a draft EIR is prepared</w:t>
      </w:r>
      <w:r w:rsidR="29F70116">
        <w:t xml:space="preserve"> by the lead</w:t>
      </w:r>
      <w:r w:rsidRPr="00275048" w:rsidR="7AF8B4FB">
        <w:t xml:space="preserve"> agency</w:t>
      </w:r>
      <w:r w:rsidR="29F70116">
        <w:t>.</w:t>
      </w:r>
      <w:r w:rsidRPr="00275048" w:rsidR="7AF8B4FB">
        <w:t xml:space="preserve"> </w:t>
      </w:r>
      <w:r w:rsidR="5BA3080C">
        <w:t>The lead</w:t>
      </w:r>
      <w:r w:rsidRPr="00275048" w:rsidR="7AF8B4FB">
        <w:t xml:space="preserve"> agency</w:t>
      </w:r>
      <w:r w:rsidR="12FCA6C5">
        <w:t xml:space="preserve"> </w:t>
      </w:r>
      <w:r w:rsidRPr="00275048" w:rsidR="7AF8B4FB">
        <w:t>reviews</w:t>
      </w:r>
      <w:r w:rsidR="3E83C8BE">
        <w:t xml:space="preserve"> the draft EIR </w:t>
      </w:r>
      <w:r w:rsidR="33E60068">
        <w:t>to</w:t>
      </w:r>
      <w:r w:rsidRPr="00275048" w:rsidR="7AF8B4FB">
        <w:t xml:space="preserve"> </w:t>
      </w:r>
      <w:r w:rsidR="4F2A5527">
        <w:t xml:space="preserve">evaluate </w:t>
      </w:r>
      <w:r w:rsidR="1DC97559">
        <w:t xml:space="preserve">environmental impacts and </w:t>
      </w:r>
      <w:r w:rsidR="33E60068">
        <w:t xml:space="preserve">consider </w:t>
      </w:r>
      <w:r w:rsidR="1DC97559">
        <w:t>mitigation measures</w:t>
      </w:r>
      <w:r w:rsidRPr="00275048" w:rsidR="7AF8B4FB">
        <w:t xml:space="preserve">. The draft EIR must be released for public comment for at least </w:t>
      </w:r>
      <w:r w:rsidR="58BFF177">
        <w:t>45</w:t>
      </w:r>
      <w:r w:rsidRPr="00275048" w:rsidR="58BFF177">
        <w:t xml:space="preserve"> </w:t>
      </w:r>
      <w:r w:rsidRPr="00275048" w:rsidR="7AF8B4FB">
        <w:t>days but no more than 60 days, unless there are unusual circumstances.</w:t>
      </w:r>
      <w:r w:rsidR="00FF0458">
        <w:rPr>
          <w:rStyle w:val="FootnoteReference"/>
        </w:rPr>
        <w:footnoteReference w:id="31"/>
      </w:r>
      <w:r w:rsidRPr="00275048" w:rsidR="7AF8B4FB">
        <w:t xml:space="preserve"> </w:t>
      </w:r>
      <w:r w:rsidR="13624496">
        <w:t xml:space="preserve">The </w:t>
      </w:r>
      <w:r w:rsidR="4A96E33F">
        <w:t>f</w:t>
      </w:r>
      <w:r w:rsidRPr="002F473A" w:rsidR="559409CE">
        <w:t>inal EIR</w:t>
      </w:r>
      <w:r w:rsidR="2AABC4B0">
        <w:t xml:space="preserve"> reflects public </w:t>
      </w:r>
      <w:r w:rsidRPr="00DF11EC" w:rsidR="2AABC4B0">
        <w:t>comment</w:t>
      </w:r>
      <w:r w:rsidRPr="00DF11EC" w:rsidR="00A54C4F">
        <w:t>s</w:t>
      </w:r>
      <w:r w:rsidRPr="00DF11EC" w:rsidR="66102C29">
        <w:t xml:space="preserve"> and </w:t>
      </w:r>
      <w:r w:rsidRPr="00DF11EC" w:rsidR="2AABC4B0">
        <w:t>the lead agency’s response</w:t>
      </w:r>
      <w:r w:rsidRPr="00DF11EC" w:rsidR="00A54C4F">
        <w:t>s</w:t>
      </w:r>
      <w:r w:rsidRPr="00DF11EC" w:rsidR="2AABC4B0">
        <w:t xml:space="preserve"> to</w:t>
      </w:r>
      <w:r w:rsidR="00205A11">
        <w:t xml:space="preserve"> </w:t>
      </w:r>
      <w:r w:rsidR="00AB6519">
        <w:t xml:space="preserve">comments </w:t>
      </w:r>
      <w:r w:rsidRPr="00CE1D49" w:rsidR="2617A23F">
        <w:t>regarding</w:t>
      </w:r>
      <w:r w:rsidRPr="00CE1D49" w:rsidR="00D82796">
        <w:t xml:space="preserve"> </w:t>
      </w:r>
      <w:r w:rsidRPr="00CE1D49" w:rsidR="7333670D">
        <w:t>potentially</w:t>
      </w:r>
      <w:r w:rsidR="00D82796">
        <w:t xml:space="preserve"> significant environmental </w:t>
      </w:r>
      <w:r w:rsidR="67DA1F76">
        <w:t>issues</w:t>
      </w:r>
      <w:r w:rsidR="591463CF">
        <w:t>.</w:t>
      </w:r>
      <w:r w:rsidR="0072491B">
        <w:rPr>
          <w:rStyle w:val="FootnoteReference"/>
        </w:rPr>
        <w:footnoteReference w:id="32"/>
      </w:r>
    </w:p>
    <w:p w:rsidR="00FE3E97" w:rsidP="008153EC" w:rsidRDefault="006C6C65" w14:paraId="030061B5" w14:textId="77777777">
      <w:pPr>
        <w:pStyle w:val="Heading2"/>
      </w:pPr>
      <w:bookmarkStart w:name="_Toc189738496" w:id="131"/>
      <w:r>
        <w:t>Com</w:t>
      </w:r>
      <w:r w:rsidR="003B757F">
        <w:t xml:space="preserve">mission </w:t>
      </w:r>
      <w:r w:rsidR="00386963">
        <w:t>Rule</w:t>
      </w:r>
      <w:r w:rsidR="00D84C94">
        <w:t xml:space="preserve"> 2.4</w:t>
      </w:r>
      <w:bookmarkEnd w:id="131"/>
    </w:p>
    <w:p w:rsidR="00FA408C" w:rsidP="00DD63CB" w:rsidRDefault="00022C1D" w14:paraId="40B10D3C" w14:textId="77777777">
      <w:pPr>
        <w:pStyle w:val="Standard"/>
      </w:pPr>
      <w:r>
        <w:t xml:space="preserve">The Commission must </w:t>
      </w:r>
      <w:r w:rsidR="00A8727C">
        <w:t>a</w:t>
      </w:r>
      <w:r w:rsidR="00657097">
        <w:t>dopt</w:t>
      </w:r>
      <w:r w:rsidR="00A8727C">
        <w:t xml:space="preserve"> </w:t>
      </w:r>
      <w:r>
        <w:t xml:space="preserve">an </w:t>
      </w:r>
      <w:r w:rsidRPr="003E35B9">
        <w:t>N</w:t>
      </w:r>
      <w:r>
        <w:t xml:space="preserve">D or </w:t>
      </w:r>
      <w:r w:rsidRPr="003E35B9">
        <w:t>MN</w:t>
      </w:r>
      <w:r w:rsidR="00BB0E05">
        <w:t xml:space="preserve">D, </w:t>
      </w:r>
      <w:r>
        <w:t xml:space="preserve">or certify an </w:t>
      </w:r>
      <w:r w:rsidRPr="003E35B9">
        <w:t>EIR</w:t>
      </w:r>
      <w:r w:rsidR="00657097">
        <w:t>, as applicable,</w:t>
      </w:r>
      <w:r>
        <w:t xml:space="preserve"> </w:t>
      </w:r>
      <w:r w:rsidR="00617C60">
        <w:t>before</w:t>
      </w:r>
      <w:r w:rsidR="00F31A41">
        <w:t xml:space="preserve"> </w:t>
      </w:r>
      <w:r w:rsidR="00617C60">
        <w:t>approving</w:t>
      </w:r>
      <w:r w:rsidR="00C06A17">
        <w:t xml:space="preserve"> </w:t>
      </w:r>
      <w:r w:rsidRPr="00CE1D49" w:rsidR="00A54C4F">
        <w:t xml:space="preserve">a </w:t>
      </w:r>
      <w:r w:rsidRPr="00CE1D49" w:rsidR="00C06A17">
        <w:t xml:space="preserve">CPCN or PTC </w:t>
      </w:r>
      <w:r w:rsidRPr="00CE1D49" w:rsidR="001975D3">
        <w:t xml:space="preserve">for </w:t>
      </w:r>
      <w:r w:rsidRPr="00CE1D49" w:rsidR="00A54C4F">
        <w:t xml:space="preserve">a </w:t>
      </w:r>
      <w:r w:rsidRPr="00CE1D49" w:rsidR="00C06A17">
        <w:t xml:space="preserve">project </w:t>
      </w:r>
      <w:r w:rsidRPr="00CE1D49" w:rsidR="0070627D">
        <w:t xml:space="preserve">that </w:t>
      </w:r>
      <w:r w:rsidRPr="00CE1D49" w:rsidR="00A54C4F">
        <w:t>is</w:t>
      </w:r>
      <w:r w:rsidR="00A54C4F">
        <w:t xml:space="preserve"> </w:t>
      </w:r>
      <w:r w:rsidR="0070627D">
        <w:t>not</w:t>
      </w:r>
      <w:r w:rsidR="00C06A17">
        <w:t xml:space="preserve"> statutor</w:t>
      </w:r>
      <w:r w:rsidR="0070627D">
        <w:t>il</w:t>
      </w:r>
      <w:r w:rsidR="0012451C">
        <w:t>y</w:t>
      </w:r>
      <w:r w:rsidR="00C06A17">
        <w:t xml:space="preserve"> or categorical</w:t>
      </w:r>
      <w:r w:rsidR="0070627D">
        <w:t>ly</w:t>
      </w:r>
      <w:r w:rsidR="00C06A17">
        <w:t xml:space="preserve"> exempt from CEQA.</w:t>
      </w:r>
      <w:r w:rsidR="00FA408C">
        <w:t xml:space="preserve"> </w:t>
      </w:r>
      <w:r w:rsidRPr="00CE1D49" w:rsidR="00FC4E30">
        <w:t>Rule 2.4</w:t>
      </w:r>
      <w:r w:rsidRPr="00CE1D49" w:rsidR="00D64E24">
        <w:t xml:space="preserve"> </w:t>
      </w:r>
      <w:r w:rsidRPr="00CE1D49" w:rsidR="00FC4E30">
        <w:t xml:space="preserve">of the </w:t>
      </w:r>
      <w:r w:rsidRPr="00CE1D49" w:rsidR="002A28D5">
        <w:t>C</w:t>
      </w:r>
      <w:r w:rsidRPr="00CE1D49" w:rsidR="0050370F">
        <w:t xml:space="preserve">ommission </w:t>
      </w:r>
      <w:r w:rsidRPr="00CE1D49" w:rsidR="002A28D5">
        <w:t xml:space="preserve">Rules of Practice and Procedure </w:t>
      </w:r>
      <w:r w:rsidRPr="00CE1D49" w:rsidR="008608B5">
        <w:t xml:space="preserve">(Rules) </w:t>
      </w:r>
      <w:r w:rsidRPr="00343377" w:rsidR="00DD63CB">
        <w:t>sets out</w:t>
      </w:r>
      <w:r w:rsidRPr="00CE1D49" w:rsidR="00DD63CB">
        <w:t xml:space="preserve"> </w:t>
      </w:r>
      <w:r w:rsidRPr="00CE1D49" w:rsidR="00EA2890">
        <w:t>Commi</w:t>
      </w:r>
      <w:r w:rsidRPr="00CE1D49" w:rsidR="005C27E3">
        <w:t xml:space="preserve">ssion </w:t>
      </w:r>
      <w:r w:rsidRPr="00343377" w:rsidR="00DD63CB">
        <w:t>rules</w:t>
      </w:r>
      <w:r w:rsidRPr="00CE1D49" w:rsidR="00DD63CB">
        <w:t xml:space="preserve"> </w:t>
      </w:r>
      <w:r w:rsidR="00833C73">
        <w:t xml:space="preserve">directing </w:t>
      </w:r>
      <w:r w:rsidR="00A84C08">
        <w:t>project applicants</w:t>
      </w:r>
      <w:r w:rsidRPr="00CE1D49" w:rsidR="00DD63CB">
        <w:t xml:space="preserve"> to </w:t>
      </w:r>
      <w:r w:rsidR="006179A6">
        <w:t xml:space="preserve">comply </w:t>
      </w:r>
      <w:r w:rsidRPr="002A28D5" w:rsidR="002A28D5">
        <w:t xml:space="preserve">with </w:t>
      </w:r>
      <w:r w:rsidRPr="00CE1D49" w:rsidR="00DD63CB">
        <w:t xml:space="preserve">CEQA and </w:t>
      </w:r>
      <w:r w:rsidR="00553AFC">
        <w:t xml:space="preserve">the </w:t>
      </w:r>
      <w:r w:rsidRPr="00CE1D49" w:rsidR="00DD63CB">
        <w:t>CEQA Guidelines</w:t>
      </w:r>
      <w:r w:rsidR="009B0AFE">
        <w:t xml:space="preserve"> </w:t>
      </w:r>
      <w:r w:rsidR="00C63F05">
        <w:t xml:space="preserve">when </w:t>
      </w:r>
      <w:r w:rsidR="009B0AFE">
        <w:t>fil</w:t>
      </w:r>
      <w:r w:rsidR="00C63F05">
        <w:t>ing</w:t>
      </w:r>
      <w:r w:rsidR="009B0AFE">
        <w:t xml:space="preserve"> applications</w:t>
      </w:r>
      <w:r w:rsidRPr="00CE1D49" w:rsidR="002A28D5">
        <w:t>.</w:t>
      </w:r>
      <w:r w:rsidRPr="00CE1D49" w:rsidR="00E00477">
        <w:rPr>
          <w:rStyle w:val="FootnoteReference"/>
        </w:rPr>
        <w:footnoteReference w:id="33"/>
      </w:r>
      <w:r w:rsidR="00CE3C76">
        <w:t xml:space="preserve"> </w:t>
      </w:r>
      <w:r w:rsidRPr="00CE1D49" w:rsidR="002A54D8">
        <w:t>Rule 2.4(b</w:t>
      </w:r>
      <w:r w:rsidRPr="00343377" w:rsidR="002A54D8">
        <w:t>)</w:t>
      </w:r>
      <w:r w:rsidRPr="00343377" w:rsidR="00A54C4F">
        <w:t xml:space="preserve"> requires that</w:t>
      </w:r>
      <w:r w:rsidRPr="00CE1D49" w:rsidR="002A54D8">
        <w:t xml:space="preserve"> </w:t>
      </w:r>
      <w:r w:rsidRPr="002A28D5" w:rsidR="0027747D">
        <w:t>application</w:t>
      </w:r>
      <w:r w:rsidR="00F0694F">
        <w:t>s</w:t>
      </w:r>
      <w:r w:rsidRPr="002A28D5" w:rsidR="0027747D">
        <w:t xml:space="preserve"> </w:t>
      </w:r>
      <w:r w:rsidRPr="002A28D5" w:rsidR="00A30813">
        <w:t>for</w:t>
      </w:r>
      <w:r w:rsidR="00A30813">
        <w:t xml:space="preserve"> </w:t>
      </w:r>
      <w:r w:rsidRPr="002A28D5" w:rsidR="00A30813">
        <w:t>project</w:t>
      </w:r>
      <w:r w:rsidR="00A30813">
        <w:t>s</w:t>
      </w:r>
      <w:r w:rsidRPr="002A28D5" w:rsidR="00A30813">
        <w:t xml:space="preserve"> that </w:t>
      </w:r>
      <w:r w:rsidR="00A30813">
        <w:t>are</w:t>
      </w:r>
      <w:r w:rsidRPr="002A28D5" w:rsidR="00A30813">
        <w:t xml:space="preserve"> not statutorily or categorically exempt from </w:t>
      </w:r>
      <w:r w:rsidR="00A30813">
        <w:t xml:space="preserve">CEQA </w:t>
      </w:r>
      <w:r w:rsidR="00F7528C">
        <w:t xml:space="preserve">must include a </w:t>
      </w:r>
      <w:r w:rsidRPr="002A28D5" w:rsidR="00F7528C">
        <w:t>Proponent’s Environmental Assessment (PEA</w:t>
      </w:r>
      <w:r w:rsidR="00B544E2">
        <w:t>),</w:t>
      </w:r>
      <w:r w:rsidRPr="002A28D5" w:rsidR="00F7528C">
        <w:t xml:space="preserve"> prepared in accordance with the Commission’s Guidelines for Energy Project Applications Requiring CEQA Compliance</w:t>
      </w:r>
      <w:r w:rsidR="00D275C3">
        <w:t xml:space="preserve"> (PEA Guidelines).</w:t>
      </w:r>
      <w:r w:rsidR="007E71A9">
        <w:rPr>
          <w:rStyle w:val="FootnoteReference"/>
        </w:rPr>
        <w:footnoteReference w:id="34"/>
      </w:r>
      <w:r w:rsidRPr="001C0CAB" w:rsidR="00B86667">
        <w:rPr>
          <w:vertAlign w:val="superscript"/>
        </w:rPr>
        <w:t>,</w:t>
      </w:r>
      <w:r w:rsidR="00414890">
        <w:rPr>
          <w:rStyle w:val="FootnoteReference"/>
        </w:rPr>
        <w:footnoteReference w:id="35"/>
      </w:r>
      <w:r w:rsidR="00817350">
        <w:t xml:space="preserve"> Th</w:t>
      </w:r>
      <w:r w:rsidR="002F1DE7">
        <w:t xml:space="preserve">e PEA Guidelines </w:t>
      </w:r>
      <w:r w:rsidR="001B795A">
        <w:t xml:space="preserve">provide </w:t>
      </w:r>
      <w:r w:rsidR="00E167AC">
        <w:t>direction</w:t>
      </w:r>
      <w:r w:rsidR="00BC4B2F">
        <w:t xml:space="preserve"> </w:t>
      </w:r>
      <w:r w:rsidRPr="002F1DE7" w:rsidR="00BC4B2F">
        <w:t xml:space="preserve">to </w:t>
      </w:r>
      <w:r w:rsidRPr="002F1DE7" w:rsidR="00BC4B2F">
        <w:lastRenderedPageBreak/>
        <w:t>applicants, C</w:t>
      </w:r>
      <w:r w:rsidR="00BC4B2F">
        <w:t>ommission</w:t>
      </w:r>
      <w:r w:rsidRPr="002F1DE7" w:rsidR="00BC4B2F">
        <w:t xml:space="preserve"> staff, and </w:t>
      </w:r>
      <w:r w:rsidRPr="007B5CD1" w:rsidR="00BC4B2F">
        <w:t>outside</w:t>
      </w:r>
      <w:r w:rsidRPr="002F1DE7" w:rsidR="00BC4B2F">
        <w:t xml:space="preserve"> consultants</w:t>
      </w:r>
      <w:r w:rsidR="00E167AC">
        <w:t xml:space="preserve"> </w:t>
      </w:r>
      <w:r w:rsidR="00B743D0">
        <w:t xml:space="preserve">about </w:t>
      </w:r>
      <w:r w:rsidR="00E167AC">
        <w:t xml:space="preserve">the type and detail of </w:t>
      </w:r>
      <w:r w:rsidRPr="002F1DE7" w:rsidR="002F1DE7">
        <w:t>information</w:t>
      </w:r>
      <w:r w:rsidR="005F6412">
        <w:t xml:space="preserve"> </w:t>
      </w:r>
      <w:r w:rsidR="0018690D">
        <w:t xml:space="preserve">to be </w:t>
      </w:r>
      <w:r w:rsidR="00501558">
        <w:t xml:space="preserve">included </w:t>
      </w:r>
      <w:r w:rsidR="00013077">
        <w:t xml:space="preserve">in </w:t>
      </w:r>
      <w:r w:rsidR="00965D3F">
        <w:t xml:space="preserve">a </w:t>
      </w:r>
      <w:r w:rsidR="00013077">
        <w:t xml:space="preserve">project </w:t>
      </w:r>
      <w:r w:rsidR="00AF3F2C">
        <w:t xml:space="preserve">application </w:t>
      </w:r>
      <w:r w:rsidR="004C3641">
        <w:t xml:space="preserve">to </w:t>
      </w:r>
      <w:r w:rsidR="00CA6F13">
        <w:t>expeditiousl</w:t>
      </w:r>
      <w:r w:rsidR="00965D3F">
        <w:t>y</w:t>
      </w:r>
      <w:r w:rsidRPr="002F1DE7" w:rsidR="002F1DE7">
        <w:t xml:space="preserve"> and efficiently deem </w:t>
      </w:r>
      <w:r w:rsidR="00021F5D">
        <w:t>th</w:t>
      </w:r>
      <w:r w:rsidR="00DD77C0">
        <w:t xml:space="preserve">e application </w:t>
      </w:r>
      <w:r w:rsidRPr="002F1DE7" w:rsidR="002F1DE7">
        <w:t>complete.</w:t>
      </w:r>
      <w:r w:rsidR="00231C08">
        <w:rPr>
          <w:rStyle w:val="FootnoteReference"/>
        </w:rPr>
        <w:footnoteReference w:id="36"/>
      </w:r>
      <w:r w:rsidR="00E65DDB">
        <w:t xml:space="preserve"> </w:t>
      </w:r>
    </w:p>
    <w:p w:rsidR="00DC7744" w:rsidP="00E91F3D" w:rsidRDefault="007F3A4E" w14:paraId="63557E47" w14:textId="77777777">
      <w:pPr>
        <w:pStyle w:val="Standard"/>
      </w:pPr>
      <w:r>
        <w:t xml:space="preserve">The CEQA Guidelines </w:t>
      </w:r>
      <w:r w:rsidRPr="00A7478E">
        <w:t xml:space="preserve">direct </w:t>
      </w:r>
      <w:r w:rsidR="00913B6D">
        <w:t>public agen</w:t>
      </w:r>
      <w:r w:rsidR="00F13901">
        <w:t xml:space="preserve">cies </w:t>
      </w:r>
      <w:r w:rsidR="003A7C6C">
        <w:t>on how to</w:t>
      </w:r>
      <w:r w:rsidR="00FD54DE">
        <w:t xml:space="preserve"> determin</w:t>
      </w:r>
      <w:r w:rsidR="003A7C6C">
        <w:t>e</w:t>
      </w:r>
      <w:r w:rsidRPr="00A7478E">
        <w:t xml:space="preserve"> </w:t>
      </w:r>
      <w:r>
        <w:t>if</w:t>
      </w:r>
      <w:r w:rsidRPr="00A7478E">
        <w:t xml:space="preserve"> an EIR, MND, or ND should be prepared</w:t>
      </w:r>
      <w:r w:rsidR="00665FBD">
        <w:t>.</w:t>
      </w:r>
      <w:r>
        <w:rPr>
          <w:rStyle w:val="FootnoteReference"/>
        </w:rPr>
        <w:footnoteReference w:id="37"/>
      </w:r>
      <w:r w:rsidR="00C81594">
        <w:t xml:space="preserve"> </w:t>
      </w:r>
      <w:r w:rsidR="00120991">
        <w:t>Specifically</w:t>
      </w:r>
      <w:r w:rsidR="00C81594">
        <w:t xml:space="preserve">, the </w:t>
      </w:r>
      <w:r w:rsidRPr="00A7478E" w:rsidR="00DC7744">
        <w:t xml:space="preserve">CEQA </w:t>
      </w:r>
      <w:r w:rsidR="00DC7744">
        <w:t xml:space="preserve">Guidelines </w:t>
      </w:r>
      <w:r w:rsidR="00EB324C">
        <w:t>s</w:t>
      </w:r>
      <w:r w:rsidR="00FE15D3">
        <w:t>pecif</w:t>
      </w:r>
      <w:r w:rsidR="00EB324C">
        <w:t>y</w:t>
      </w:r>
      <w:r w:rsidR="00FE15D3">
        <w:t xml:space="preserve"> </w:t>
      </w:r>
      <w:r w:rsidR="00DA3BB6">
        <w:t>th</w:t>
      </w:r>
      <w:r w:rsidR="006C4D7A">
        <w:t>at</w:t>
      </w:r>
      <w:r w:rsidR="00DA3BB6">
        <w:t xml:space="preserve"> public agencies have</w:t>
      </w:r>
      <w:r w:rsidR="00FE15D3">
        <w:t xml:space="preserve"> 3</w:t>
      </w:r>
      <w:r w:rsidR="00E021EA">
        <w:t>0</w:t>
      </w:r>
      <w:r w:rsidR="00DA3BB6">
        <w:t xml:space="preserve"> days</w:t>
      </w:r>
      <w:r w:rsidR="003B11A5">
        <w:t xml:space="preserve"> after receipt of </w:t>
      </w:r>
      <w:r w:rsidR="00857A87">
        <w:t xml:space="preserve">project </w:t>
      </w:r>
      <w:r w:rsidR="003B11A5">
        <w:t>applications</w:t>
      </w:r>
      <w:r w:rsidR="00DA3BB6">
        <w:t xml:space="preserve"> to </w:t>
      </w:r>
      <w:r w:rsidR="00BF4977">
        <w:t>determine</w:t>
      </w:r>
      <w:r w:rsidR="00C72E8D">
        <w:t xml:space="preserve"> </w:t>
      </w:r>
      <w:r w:rsidR="0024538E">
        <w:t xml:space="preserve">(1) </w:t>
      </w:r>
      <w:r w:rsidR="00686F8A">
        <w:t xml:space="preserve">if </w:t>
      </w:r>
      <w:r w:rsidR="00C72E8D">
        <w:t>they</w:t>
      </w:r>
      <w:r w:rsidR="00BF4977">
        <w:t xml:space="preserve"> are complete</w:t>
      </w:r>
      <w:r w:rsidR="009D2268">
        <w:t>,</w:t>
      </w:r>
      <w:r w:rsidR="002434FA">
        <w:rPr>
          <w:rStyle w:val="FootnoteReference"/>
        </w:rPr>
        <w:footnoteReference w:id="38"/>
      </w:r>
      <w:r w:rsidR="00EE38BC">
        <w:t xml:space="preserve"> and</w:t>
      </w:r>
      <w:r w:rsidR="0024538E">
        <w:t xml:space="preserve"> </w:t>
      </w:r>
      <w:r w:rsidR="00E1390E">
        <w:t>(2)</w:t>
      </w:r>
      <w:r w:rsidR="00686F8A">
        <w:t xml:space="preserve"> if</w:t>
      </w:r>
      <w:r w:rsidR="00F16DE5">
        <w:t xml:space="preserve"> an ND, MND, or EIR will be prepared</w:t>
      </w:r>
      <w:r w:rsidRPr="004F0012" w:rsidR="00236C6C">
        <w:t>.</w:t>
      </w:r>
      <w:r w:rsidRPr="004F0012" w:rsidR="0024538E">
        <w:rPr>
          <w:rStyle w:val="FootnoteReference"/>
        </w:rPr>
        <w:footnoteReference w:id="39"/>
      </w:r>
      <w:r w:rsidRPr="004F0012" w:rsidR="007574FC">
        <w:t xml:space="preserve"> </w:t>
      </w:r>
      <w:r w:rsidRPr="004F0012" w:rsidR="00592906">
        <w:t xml:space="preserve">CEQA </w:t>
      </w:r>
      <w:r w:rsidRPr="004F0012" w:rsidR="00DD63CB">
        <w:t xml:space="preserve">Guidelines </w:t>
      </w:r>
      <w:r w:rsidR="00DC14AC">
        <w:t>Section </w:t>
      </w:r>
      <w:r w:rsidRPr="004F0012" w:rsidR="00592906">
        <w:t>15060</w:t>
      </w:r>
      <w:r w:rsidRPr="004F0012" w:rsidR="00DD63CB">
        <w:t xml:space="preserve"> provides that </w:t>
      </w:r>
      <w:r w:rsidR="00592906">
        <w:t>l</w:t>
      </w:r>
      <w:r w:rsidR="00C8113C">
        <w:t xml:space="preserve">ead agencies </w:t>
      </w:r>
      <w:r w:rsidR="00592906">
        <w:t xml:space="preserve">have </w:t>
      </w:r>
      <w:r w:rsidR="000E0BC3">
        <w:t xml:space="preserve">the </w:t>
      </w:r>
      <w:r w:rsidR="00C8113C">
        <w:t xml:space="preserve">authority to </w:t>
      </w:r>
      <w:r w:rsidR="005E6160">
        <w:t>request additional information</w:t>
      </w:r>
      <w:r w:rsidR="00FB499B">
        <w:t xml:space="preserve"> or explanation from the applicant</w:t>
      </w:r>
      <w:r w:rsidR="00B53CA4">
        <w:t xml:space="preserve"> to deem a project application complete</w:t>
      </w:r>
      <w:r w:rsidR="00F51C86">
        <w:t xml:space="preserve">. </w:t>
      </w:r>
      <w:r w:rsidR="00F456E1">
        <w:t xml:space="preserve">If the </w:t>
      </w:r>
      <w:r w:rsidR="00F51C86">
        <w:t xml:space="preserve">lead agency and applicant </w:t>
      </w:r>
      <w:r w:rsidR="00CA6F8D">
        <w:t xml:space="preserve">agree, the </w:t>
      </w:r>
      <w:r w:rsidR="00C8113C">
        <w:t>30-day deadline</w:t>
      </w:r>
      <w:r w:rsidR="00C226AE">
        <w:t xml:space="preserve"> </w:t>
      </w:r>
      <w:r w:rsidR="00A96588">
        <w:t>can be extended by</w:t>
      </w:r>
      <w:r w:rsidR="00B5370B">
        <w:t xml:space="preserve"> 15 </w:t>
      </w:r>
      <w:r w:rsidR="0037025F">
        <w:t>days</w:t>
      </w:r>
      <w:r w:rsidR="00C8113C">
        <w:t xml:space="preserve"> </w:t>
      </w:r>
      <w:r w:rsidR="00A96588">
        <w:t xml:space="preserve">to collect </w:t>
      </w:r>
      <w:r w:rsidR="002F5BBD">
        <w:t xml:space="preserve">additional information </w:t>
      </w:r>
      <w:r w:rsidR="00A96588">
        <w:t>t</w:t>
      </w:r>
      <w:r w:rsidR="00FA5B99">
        <w:t>o conduct an environmental evaluation of the project.</w:t>
      </w:r>
      <w:r w:rsidR="00FA5B99">
        <w:rPr>
          <w:rStyle w:val="FootnoteReference"/>
        </w:rPr>
        <w:footnoteReference w:id="40"/>
      </w:r>
    </w:p>
    <w:p w:rsidR="00514CFF" w:rsidP="00F332A3" w:rsidRDefault="00AE37CD" w14:paraId="61DA6593" w14:textId="77777777">
      <w:pPr>
        <w:pStyle w:val="Standard"/>
      </w:pPr>
      <w:r w:rsidRPr="00663737">
        <w:t xml:space="preserve">A specific type of </w:t>
      </w:r>
      <w:r w:rsidRPr="00663737" w:rsidR="00146450">
        <w:t xml:space="preserve">CEQA document </w:t>
      </w:r>
      <w:r w:rsidRPr="00663737">
        <w:t>(</w:t>
      </w:r>
      <w:r w:rsidRPr="005D3AB1">
        <w:rPr>
          <w:i/>
          <w:iCs/>
        </w:rPr>
        <w:t>e.g</w:t>
      </w:r>
      <w:r w:rsidRPr="00663737">
        <w:t>.</w:t>
      </w:r>
      <w:r w:rsidR="00665A06">
        <w:t>,</w:t>
      </w:r>
      <w:r w:rsidRPr="00663737">
        <w:t xml:space="preserve"> ND, MND, or EIR) is</w:t>
      </w:r>
      <w:r w:rsidRPr="00663737" w:rsidR="00146450">
        <w:t xml:space="preserve"> </w:t>
      </w:r>
      <w:r w:rsidRPr="00663737">
        <w:t xml:space="preserve">not necessarily used to </w:t>
      </w:r>
      <w:r w:rsidR="00AA26D4">
        <w:t xml:space="preserve">issue a </w:t>
      </w:r>
      <w:r w:rsidRPr="00663737" w:rsidR="00913B6D">
        <w:t xml:space="preserve">CPCN </w:t>
      </w:r>
      <w:r w:rsidRPr="00663737">
        <w:t>or</w:t>
      </w:r>
      <w:r w:rsidRPr="00663737" w:rsidR="00913B6D">
        <w:t xml:space="preserve"> PTC</w:t>
      </w:r>
      <w:r w:rsidR="007608E0">
        <w:t xml:space="preserve"> as requested in an application</w:t>
      </w:r>
      <w:r w:rsidRPr="00663737">
        <w:t>. Rather, the</w:t>
      </w:r>
      <w:r w:rsidRPr="00663737" w:rsidR="00913B6D">
        <w:t xml:space="preserve"> appropriate level of CEQA review is determined by each project’s details and impacts</w:t>
      </w:r>
      <w:r w:rsidRPr="00DD63CB" w:rsidR="00236C6C">
        <w:t>,</w:t>
      </w:r>
      <w:r w:rsidRPr="00DD63CB">
        <w:t xml:space="preserve"> </w:t>
      </w:r>
      <w:r w:rsidRPr="004F0012" w:rsidR="00DD63CB">
        <w:t xml:space="preserve">irrespective of </w:t>
      </w:r>
      <w:r w:rsidRPr="004F0012" w:rsidR="00F17091">
        <w:t>whether</w:t>
      </w:r>
      <w:r w:rsidRPr="004F0012">
        <w:t xml:space="preserve"> the</w:t>
      </w:r>
      <w:r w:rsidRPr="004F0012" w:rsidR="00913B6D">
        <w:t xml:space="preserve"> </w:t>
      </w:r>
      <w:r w:rsidRPr="004F0012" w:rsidR="00DD63CB">
        <w:t xml:space="preserve">application is for </w:t>
      </w:r>
      <w:r w:rsidR="00F276D4">
        <w:t xml:space="preserve">a </w:t>
      </w:r>
      <w:r w:rsidRPr="004F0012" w:rsidR="00DD63CB">
        <w:t>CPCN or PTC</w:t>
      </w:r>
      <w:r w:rsidRPr="004F0012" w:rsidR="00913B6D">
        <w:t>.</w:t>
      </w:r>
      <w:r w:rsidRPr="0037404C" w:rsidR="00913B6D">
        <w:t xml:space="preserve"> </w:t>
      </w:r>
    </w:p>
    <w:p w:rsidR="00E343CE" w:rsidP="00F332A3" w:rsidRDefault="2C35986A" w14:paraId="127794F1" w14:textId="77777777">
      <w:pPr>
        <w:pStyle w:val="Standard"/>
      </w:pPr>
      <w:r>
        <w:t>Historically</w:t>
      </w:r>
      <w:r w:rsidR="5428C6B5">
        <w:t xml:space="preserve">, </w:t>
      </w:r>
      <w:r w:rsidR="34B7CE27">
        <w:t xml:space="preserve">CPCN </w:t>
      </w:r>
      <w:r w:rsidR="5428C6B5">
        <w:t>application</w:t>
      </w:r>
      <w:r w:rsidR="41354FCA">
        <w:t xml:space="preserve">s </w:t>
      </w:r>
      <w:r>
        <w:t>tend</w:t>
      </w:r>
      <w:r w:rsidR="00E343CE">
        <w:t>ed</w:t>
      </w:r>
      <w:r>
        <w:t xml:space="preserve"> to </w:t>
      </w:r>
      <w:r w:rsidR="4CA64315">
        <w:t>involve</w:t>
      </w:r>
      <w:r w:rsidR="34B7CE27">
        <w:t xml:space="preserve"> </w:t>
      </w:r>
      <w:r w:rsidR="00E343CE">
        <w:t xml:space="preserve">larger </w:t>
      </w:r>
      <w:r w:rsidR="34B7CE27">
        <w:t xml:space="preserve">higher-voltage projects </w:t>
      </w:r>
      <w:r w:rsidR="00E343CE">
        <w:t>with</w:t>
      </w:r>
      <w:r w:rsidR="00627372">
        <w:t xml:space="preserve"> </w:t>
      </w:r>
      <w:r w:rsidR="34B7CE27">
        <w:t>cross jurisdictional boundaries</w:t>
      </w:r>
      <w:r w:rsidR="00E343CE">
        <w:t xml:space="preserve"> and/or</w:t>
      </w:r>
      <w:r w:rsidDel="008213EA" w:rsidR="34B7CE27">
        <w:t xml:space="preserve"> </w:t>
      </w:r>
      <w:r w:rsidR="34B7CE27">
        <w:t>impact</w:t>
      </w:r>
      <w:r w:rsidR="00E343CE">
        <w:t>s</w:t>
      </w:r>
      <w:r w:rsidR="34B7CE27">
        <w:t xml:space="preserve"> </w:t>
      </w:r>
      <w:r w:rsidR="00E343CE">
        <w:t xml:space="preserve">on </w:t>
      </w:r>
      <w:r w:rsidR="34B7CE27">
        <w:t>more resource areas</w:t>
      </w:r>
      <w:r w:rsidR="000B22FB">
        <w:t>, and</w:t>
      </w:r>
      <w:r w:rsidR="728B4461">
        <w:t xml:space="preserve"> </w:t>
      </w:r>
      <w:r w:rsidR="003924B3">
        <w:t>therefore</w:t>
      </w:r>
      <w:r w:rsidR="003278D5">
        <w:t>,</w:t>
      </w:r>
      <w:r w:rsidRPr="003278D5" w:rsidR="003924B3">
        <w:t xml:space="preserve"> </w:t>
      </w:r>
      <w:r w:rsidRPr="003278D5" w:rsidR="00D00B54">
        <w:t>ha</w:t>
      </w:r>
      <w:r w:rsidR="00E343CE">
        <w:t>d</w:t>
      </w:r>
      <w:r w:rsidRPr="003278D5" w:rsidR="00D00B54">
        <w:t xml:space="preserve"> </w:t>
      </w:r>
      <w:r w:rsidR="34B7CE27">
        <w:t xml:space="preserve">a greater potential for significant environmental </w:t>
      </w:r>
      <w:r w:rsidR="34B7CE27">
        <w:lastRenderedPageBreak/>
        <w:t>impacts. As such, the C</w:t>
      </w:r>
      <w:r w:rsidR="7D37EA07">
        <w:t>ommission</w:t>
      </w:r>
      <w:r w:rsidR="34B7CE27">
        <w:t xml:space="preserve"> has historically been more likely </w:t>
      </w:r>
      <w:r w:rsidRPr="003278D5" w:rsidR="34B7CE27">
        <w:t xml:space="preserve">to </w:t>
      </w:r>
      <w:r w:rsidRPr="003278D5" w:rsidR="4FD9819A">
        <w:t xml:space="preserve">have </w:t>
      </w:r>
      <w:r w:rsidRPr="003278D5" w:rsidR="34B7CE27">
        <w:t>prepare</w:t>
      </w:r>
      <w:r w:rsidRPr="003278D5" w:rsidR="4FD9819A">
        <w:t>d</w:t>
      </w:r>
      <w:r w:rsidRPr="003278D5" w:rsidR="34B7CE27">
        <w:t xml:space="preserve"> EIR</w:t>
      </w:r>
      <w:r w:rsidRPr="003278D5" w:rsidR="4FD9819A">
        <w:t>s</w:t>
      </w:r>
      <w:r w:rsidR="34B7CE27">
        <w:t xml:space="preserve"> for </w:t>
      </w:r>
      <w:r w:rsidRPr="003278D5" w:rsidR="4FD9819A">
        <w:t>such</w:t>
      </w:r>
      <w:r w:rsidR="4FD9819A">
        <w:t xml:space="preserve"> </w:t>
      </w:r>
      <w:r w:rsidR="34B7CE27">
        <w:t>CPCN projects</w:t>
      </w:r>
      <w:r w:rsidR="00F73543">
        <w:t>.</w:t>
      </w:r>
      <w:r w:rsidR="41354FCA">
        <w:t xml:space="preserve"> </w:t>
      </w:r>
    </w:p>
    <w:p w:rsidR="00E31E0A" w:rsidP="00F332A3" w:rsidRDefault="00E343CE" w14:paraId="1099A18B" w14:textId="77777777">
      <w:pPr>
        <w:pStyle w:val="Standard"/>
      </w:pPr>
      <w:r>
        <w:t xml:space="preserve">Historically, </w:t>
      </w:r>
      <w:r w:rsidR="41354FCA">
        <w:t>PTC applications</w:t>
      </w:r>
      <w:r w:rsidR="4CA64315">
        <w:t xml:space="preserve"> </w:t>
      </w:r>
      <w:r w:rsidR="3B51D12C">
        <w:t>tend</w:t>
      </w:r>
      <w:r>
        <w:t>ed</w:t>
      </w:r>
      <w:r w:rsidR="3B51D12C">
        <w:t xml:space="preserve"> to </w:t>
      </w:r>
      <w:r w:rsidR="2C35986A">
        <w:t xml:space="preserve">involve </w:t>
      </w:r>
      <w:r w:rsidR="3B51D12C">
        <w:t>lower</w:t>
      </w:r>
      <w:r w:rsidR="4CA64315">
        <w:t xml:space="preserve">-voltage projects that </w:t>
      </w:r>
      <w:r>
        <w:t>we</w:t>
      </w:r>
      <w:r w:rsidR="17758AFC">
        <w:t xml:space="preserve">re </w:t>
      </w:r>
      <w:r w:rsidR="3B51D12C">
        <w:t>more limited</w:t>
      </w:r>
      <w:r w:rsidR="2EBB00A7">
        <w:t xml:space="preserve"> in scope and impacts</w:t>
      </w:r>
      <w:r w:rsidR="036F072A">
        <w:t xml:space="preserve">; thus, PTC applications </w:t>
      </w:r>
      <w:r w:rsidR="79B3E625">
        <w:t xml:space="preserve">have more often resulted in </w:t>
      </w:r>
      <w:r w:rsidRPr="003278D5" w:rsidR="34B7CE27">
        <w:t>MND</w:t>
      </w:r>
      <w:r w:rsidRPr="003278D5" w:rsidR="4FD9819A">
        <w:t>s</w:t>
      </w:r>
      <w:r w:rsidRPr="003278D5" w:rsidR="34B7CE27">
        <w:t xml:space="preserve"> or ND</w:t>
      </w:r>
      <w:r w:rsidRPr="003278D5" w:rsidR="4FD9819A">
        <w:t>s</w:t>
      </w:r>
      <w:r w:rsidRPr="003278D5" w:rsidR="34B7CE27">
        <w:t>.</w:t>
      </w:r>
      <w:r w:rsidR="34B7CE27">
        <w:t xml:space="preserve"> However, depending on factors such as environmental setting</w:t>
      </w:r>
      <w:r w:rsidR="5698A7F4">
        <w:t xml:space="preserve"> and</w:t>
      </w:r>
      <w:r w:rsidR="34B7CE27">
        <w:t xml:space="preserve"> initial evaluation of potential impacts, </w:t>
      </w:r>
      <w:r>
        <w:t xml:space="preserve">some </w:t>
      </w:r>
      <w:r w:rsidR="34B7CE27">
        <w:t>projects that qualif</w:t>
      </w:r>
      <w:r>
        <w:t>ied</w:t>
      </w:r>
      <w:r w:rsidR="34B7CE27">
        <w:t xml:space="preserve"> </w:t>
      </w:r>
      <w:r>
        <w:t xml:space="preserve">for </w:t>
      </w:r>
      <w:r w:rsidR="34B7CE27">
        <w:t>PTC</w:t>
      </w:r>
      <w:r>
        <w:t xml:space="preserve">s sometimes </w:t>
      </w:r>
      <w:r w:rsidR="34B7CE27">
        <w:t>still require</w:t>
      </w:r>
      <w:r>
        <w:t>d</w:t>
      </w:r>
      <w:r w:rsidR="34B7CE27">
        <w:t xml:space="preserve"> EIR</w:t>
      </w:r>
      <w:r>
        <w:t>s</w:t>
      </w:r>
      <w:r w:rsidR="00180854">
        <w:t xml:space="preserve">, and </w:t>
      </w:r>
      <w:r>
        <w:t xml:space="preserve">some </w:t>
      </w:r>
      <w:r w:rsidR="00180854">
        <w:t>projects that qualif</w:t>
      </w:r>
      <w:r>
        <w:t xml:space="preserve">ied </w:t>
      </w:r>
      <w:r w:rsidR="00180854">
        <w:t>for CPCN</w:t>
      </w:r>
      <w:r>
        <w:t>s</w:t>
      </w:r>
      <w:r w:rsidR="00180854">
        <w:t xml:space="preserve"> </w:t>
      </w:r>
      <w:r>
        <w:t xml:space="preserve">sometimes </w:t>
      </w:r>
      <w:r w:rsidR="00180854">
        <w:t>require MND</w:t>
      </w:r>
      <w:r>
        <w:t>s</w:t>
      </w:r>
      <w:r w:rsidR="00180854">
        <w:t xml:space="preserve"> or ND</w:t>
      </w:r>
      <w:r>
        <w:t>s</w:t>
      </w:r>
      <w:r w:rsidR="00180854">
        <w:t>.</w:t>
      </w:r>
    </w:p>
    <w:p w:rsidR="00FC5D82" w:rsidP="00CA7520" w:rsidRDefault="005302F1" w14:paraId="70D7099D" w14:textId="77777777">
      <w:pPr>
        <w:pStyle w:val="Standard"/>
      </w:pPr>
      <w:r>
        <w:t>If the final EIR</w:t>
      </w:r>
      <w:r w:rsidRPr="002F473A" w:rsidR="002F473A">
        <w:t xml:space="preserve"> identifies significant environmental impact</w:t>
      </w:r>
      <w:r w:rsidR="00766C77">
        <w:t xml:space="preserve"> or </w:t>
      </w:r>
      <w:r w:rsidRPr="002F473A" w:rsidR="002F473A">
        <w:t>impacts</w:t>
      </w:r>
      <w:r w:rsidR="00766C77">
        <w:t xml:space="preserve"> that cannot be lessen</w:t>
      </w:r>
      <w:r w:rsidR="00236C6C">
        <w:t>ed</w:t>
      </w:r>
      <w:r w:rsidR="00766C77">
        <w:t xml:space="preserve"> to below </w:t>
      </w:r>
      <w:r w:rsidR="002B2780">
        <w:t xml:space="preserve">the </w:t>
      </w:r>
      <w:r w:rsidR="00766C77">
        <w:t xml:space="preserve">significant </w:t>
      </w:r>
      <w:r w:rsidR="002B2780">
        <w:t xml:space="preserve">impact </w:t>
      </w:r>
      <w:r w:rsidR="00766C77">
        <w:t>level</w:t>
      </w:r>
      <w:r w:rsidRPr="002F473A" w:rsidR="002F473A">
        <w:t xml:space="preserve">, </w:t>
      </w:r>
      <w:r>
        <w:t>the</w:t>
      </w:r>
      <w:r w:rsidRPr="002F473A" w:rsidR="002F473A">
        <w:t xml:space="preserve"> C</w:t>
      </w:r>
      <w:r w:rsidR="00C55F6F">
        <w:t>ommission</w:t>
      </w:r>
      <w:r w:rsidRPr="002F473A" w:rsidR="002F473A">
        <w:t xml:space="preserve"> </w:t>
      </w:r>
      <w:r w:rsidR="004512E9">
        <w:t xml:space="preserve">may </w:t>
      </w:r>
      <w:r w:rsidR="002B2780">
        <w:t xml:space="preserve">still </w:t>
      </w:r>
      <w:r w:rsidRPr="002F473A" w:rsidR="002F473A">
        <w:t>determine that project</w:t>
      </w:r>
      <w:r w:rsidR="00503124">
        <w:t xml:space="preserve"> approval</w:t>
      </w:r>
      <w:r w:rsidRPr="002F473A" w:rsidR="002F473A">
        <w:t xml:space="preserve"> </w:t>
      </w:r>
      <w:r w:rsidR="00503124">
        <w:t>serves</w:t>
      </w:r>
      <w:r w:rsidRPr="002F473A" w:rsidR="002F473A">
        <w:t xml:space="preserve"> the public interest</w:t>
      </w:r>
      <w:r w:rsidR="004512E9">
        <w:t xml:space="preserve"> </w:t>
      </w:r>
      <w:r w:rsidR="00A527BF">
        <w:t xml:space="preserve">and </w:t>
      </w:r>
      <w:r w:rsidRPr="002F473A" w:rsidR="002F473A">
        <w:t xml:space="preserve">certify the </w:t>
      </w:r>
      <w:r w:rsidR="007327F7">
        <w:t>EIR</w:t>
      </w:r>
      <w:r w:rsidR="00D24C14">
        <w:t xml:space="preserve">. </w:t>
      </w:r>
      <w:r w:rsidR="00236C6C">
        <w:t>In this circumstance, t</w:t>
      </w:r>
      <w:r w:rsidR="00D24C14">
        <w:t>he Commission’s certif</w:t>
      </w:r>
      <w:r w:rsidR="005F65A4">
        <w:t>ication of the CEQA</w:t>
      </w:r>
      <w:r w:rsidR="00D24C14">
        <w:t xml:space="preserve"> </w:t>
      </w:r>
      <w:r w:rsidR="005F65A4">
        <w:t xml:space="preserve">document </w:t>
      </w:r>
      <w:r w:rsidR="00236C6C">
        <w:t xml:space="preserve">must be </w:t>
      </w:r>
      <w:r w:rsidR="00A527BF">
        <w:t>supported by a</w:t>
      </w:r>
      <w:r w:rsidRPr="002F473A" w:rsidR="002F473A">
        <w:t xml:space="preserve"> statement of overriding considerations</w:t>
      </w:r>
      <w:r w:rsidR="00AF5E7C">
        <w:t xml:space="preserve"> that provides a rationale</w:t>
      </w:r>
      <w:r w:rsidRPr="002F473A" w:rsidR="002F473A">
        <w:t xml:space="preserve"> </w:t>
      </w:r>
      <w:r w:rsidR="003D2F7D">
        <w:t xml:space="preserve">for </w:t>
      </w:r>
      <w:r w:rsidRPr="002F473A" w:rsidR="002F473A">
        <w:t>why the project should be approved despite the environmental impacts.</w:t>
      </w:r>
      <w:r w:rsidR="003D2F7D">
        <w:rPr>
          <w:rStyle w:val="FootnoteReference"/>
        </w:rPr>
        <w:footnoteReference w:id="41"/>
      </w:r>
    </w:p>
    <w:p w:rsidR="00894C78" w:rsidP="008153EC" w:rsidRDefault="00297B97" w14:paraId="0498CE1D" w14:textId="77777777">
      <w:pPr>
        <w:pStyle w:val="Heading2"/>
      </w:pPr>
      <w:bookmarkStart w:name="_Toc189738497" w:id="132"/>
      <w:r>
        <w:t xml:space="preserve">Commission’s Bifurcated </w:t>
      </w:r>
      <w:r w:rsidR="00AF5168">
        <w:t xml:space="preserve">Review </w:t>
      </w:r>
      <w:r>
        <w:t>Process</w:t>
      </w:r>
      <w:bookmarkEnd w:id="132"/>
      <w:r>
        <w:t xml:space="preserve"> </w:t>
      </w:r>
    </w:p>
    <w:p w:rsidR="003C36AC" w:rsidP="00474AE8" w:rsidRDefault="003C36AC" w14:paraId="7527EE99" w14:textId="77777777">
      <w:pPr>
        <w:pStyle w:val="Standard"/>
      </w:pPr>
      <w:r w:rsidRPr="0037404C">
        <w:t>The C</w:t>
      </w:r>
      <w:r>
        <w:t xml:space="preserve">ommission </w:t>
      </w:r>
      <w:r w:rsidRPr="005B5FE6" w:rsidR="00A351F3">
        <w:t>typically</w:t>
      </w:r>
      <w:r w:rsidR="00A351F3">
        <w:t xml:space="preserve"> </w:t>
      </w:r>
      <w:r w:rsidRPr="0037404C">
        <w:t xml:space="preserve">reviews CPCN </w:t>
      </w:r>
      <w:r>
        <w:t xml:space="preserve">and PTC </w:t>
      </w:r>
      <w:r w:rsidRPr="0037404C">
        <w:t xml:space="preserve">applications under two parallel but largely bifurcated processes: an environmental review pursuant to CEQA, and a review of </w:t>
      </w:r>
      <w:r>
        <w:t>formal proceeding issues, such as public convenience and necessity,</w:t>
      </w:r>
      <w:r>
        <w:rPr>
          <w:rStyle w:val="FootnoteReference"/>
        </w:rPr>
        <w:footnoteReference w:id="42"/>
      </w:r>
      <w:r>
        <w:t xml:space="preserve"> </w:t>
      </w:r>
      <w:r w:rsidRPr="00A627EA">
        <w:t>maximum prudent and reasonable cost of the project (if approved)</w:t>
      </w:r>
      <w:r>
        <w:t>,</w:t>
      </w:r>
      <w:r>
        <w:rPr>
          <w:rStyle w:val="FootnoteReference"/>
        </w:rPr>
        <w:footnoteReference w:id="43"/>
      </w:r>
      <w:r>
        <w:t xml:space="preserve"> </w:t>
      </w:r>
      <w:r w:rsidRPr="00A627EA">
        <w:t>community values</w:t>
      </w:r>
      <w:r>
        <w:t>,</w:t>
      </w:r>
      <w:r>
        <w:rPr>
          <w:rStyle w:val="FootnoteReference"/>
        </w:rPr>
        <w:footnoteReference w:id="44"/>
      </w:r>
      <w:r>
        <w:t xml:space="preserve"> and </w:t>
      </w:r>
      <w:r w:rsidRPr="00663737">
        <w:t>EMF issue</w:t>
      </w:r>
      <w:r w:rsidRPr="00663737" w:rsidR="00236C6C">
        <w:t>s</w:t>
      </w:r>
      <w:r>
        <w:t>.</w:t>
      </w:r>
      <w:r>
        <w:rPr>
          <w:rStyle w:val="FootnoteReference"/>
        </w:rPr>
        <w:footnoteReference w:id="45"/>
      </w:r>
      <w:r w:rsidRPr="00B72CB3">
        <w:t xml:space="preserve"> </w:t>
      </w:r>
    </w:p>
    <w:p w:rsidRPr="00014D67" w:rsidR="00530692" w:rsidP="00CE20A7" w:rsidRDefault="00530692" w14:paraId="17F9490A" w14:textId="77777777">
      <w:pPr>
        <w:pStyle w:val="Heading1"/>
      </w:pPr>
      <w:bookmarkStart w:name="_Toc189738498" w:id="133"/>
      <w:r w:rsidRPr="00014D67">
        <w:lastRenderedPageBreak/>
        <w:t>Issues Before the Commission</w:t>
      </w:r>
      <w:bookmarkEnd w:id="133"/>
    </w:p>
    <w:p w:rsidRPr="00014D67" w:rsidR="00530692" w:rsidP="00014D67" w:rsidRDefault="00530692" w14:paraId="5173B603" w14:textId="77777777">
      <w:pPr>
        <w:pStyle w:val="Standard"/>
      </w:pPr>
      <w:r w:rsidRPr="005B5FE6">
        <w:t xml:space="preserve">Outstanding Phase 2 issues in this proceeding are </w:t>
      </w:r>
      <w:r w:rsidRPr="005B5FE6" w:rsidR="00C372E5">
        <w:t>whether</w:t>
      </w:r>
      <w:r w:rsidRPr="005B5FE6">
        <w:t xml:space="preserve"> the Commission </w:t>
      </w:r>
      <w:r w:rsidRPr="005B5FE6" w:rsidR="00C372E5">
        <w:t xml:space="preserve">should </w:t>
      </w:r>
      <w:r w:rsidRPr="005B5FE6">
        <w:t xml:space="preserve">further modify </w:t>
      </w:r>
      <w:r w:rsidR="003B5D07">
        <w:t>GO </w:t>
      </w:r>
      <w:r w:rsidRPr="005B5FE6">
        <w:t>131-D to:</w:t>
      </w:r>
      <w:r w:rsidRPr="005B5FE6" w:rsidR="00A351F3">
        <w:t xml:space="preserve">         </w:t>
      </w:r>
    </w:p>
    <w:p w:rsidRPr="00014D67" w:rsidR="00530692" w:rsidP="002B7E0D" w:rsidRDefault="00530692" w14:paraId="5F1A5F77" w14:textId="77777777">
      <w:pPr>
        <w:pStyle w:val="Standard"/>
        <w:numPr>
          <w:ilvl w:val="7"/>
          <w:numId w:val="2"/>
        </w:numPr>
        <w:spacing w:after="120" w:line="240" w:lineRule="auto"/>
        <w:ind w:right="1440"/>
        <w:rPr>
          <w:szCs w:val="26"/>
        </w:rPr>
      </w:pPr>
      <w:r w:rsidRPr="00014D67">
        <w:rPr>
          <w:szCs w:val="26"/>
        </w:rPr>
        <w:t xml:space="preserve">Reflect changes in Commission Rules and other regulations that have occurred since </w:t>
      </w:r>
      <w:r w:rsidR="003B5D07">
        <w:rPr>
          <w:szCs w:val="26"/>
        </w:rPr>
        <w:t>GO </w:t>
      </w:r>
      <w:r w:rsidRPr="00014D67">
        <w:rPr>
          <w:szCs w:val="26"/>
        </w:rPr>
        <w:t>131-D was last modified in 1995</w:t>
      </w:r>
      <w:r w:rsidR="00584DBC">
        <w:rPr>
          <w:szCs w:val="26"/>
        </w:rPr>
        <w:t>;</w:t>
      </w:r>
      <w:r w:rsidRPr="00014D67">
        <w:rPr>
          <w:szCs w:val="26"/>
        </w:rPr>
        <w:t xml:space="preserve"> </w:t>
      </w:r>
    </w:p>
    <w:p w:rsidRPr="00014D67" w:rsidR="00530692" w:rsidP="002B7E0D" w:rsidRDefault="00530692" w14:paraId="11CD31EC" w14:textId="77777777">
      <w:pPr>
        <w:pStyle w:val="Standard"/>
        <w:numPr>
          <w:ilvl w:val="7"/>
          <w:numId w:val="2"/>
        </w:numPr>
        <w:spacing w:after="120" w:line="240" w:lineRule="auto"/>
        <w:ind w:right="1440"/>
        <w:rPr>
          <w:szCs w:val="26"/>
        </w:rPr>
      </w:pPr>
      <w:r w:rsidRPr="00014D67">
        <w:rPr>
          <w:szCs w:val="26"/>
        </w:rPr>
        <w:t>Provide the Commission with better cost information for electrical infrastructure projects</w:t>
      </w:r>
      <w:r w:rsidR="00584DBC">
        <w:rPr>
          <w:szCs w:val="26"/>
        </w:rPr>
        <w:t>;</w:t>
      </w:r>
    </w:p>
    <w:p w:rsidRPr="00014D67" w:rsidR="00530692" w:rsidP="002B7E0D" w:rsidRDefault="00530692" w14:paraId="0800EE79" w14:textId="77777777">
      <w:pPr>
        <w:pStyle w:val="Standard"/>
        <w:numPr>
          <w:ilvl w:val="7"/>
          <w:numId w:val="2"/>
        </w:numPr>
        <w:spacing w:after="120" w:line="240" w:lineRule="auto"/>
        <w:ind w:right="1440"/>
        <w:rPr>
          <w:szCs w:val="26"/>
        </w:rPr>
      </w:pPr>
      <w:r w:rsidRPr="00014D67">
        <w:rPr>
          <w:szCs w:val="26"/>
        </w:rPr>
        <w:t>Create a process for permitting battery storage projects</w:t>
      </w:r>
      <w:r w:rsidR="00584DBC">
        <w:rPr>
          <w:szCs w:val="26"/>
        </w:rPr>
        <w:t>;</w:t>
      </w:r>
      <w:r w:rsidRPr="00014D67">
        <w:rPr>
          <w:szCs w:val="26"/>
        </w:rPr>
        <w:t xml:space="preserve"> </w:t>
      </w:r>
    </w:p>
    <w:p w:rsidRPr="00014D67" w:rsidR="00530692" w:rsidP="002B7E0D" w:rsidRDefault="00530692" w14:paraId="26C9533A" w14:textId="77777777">
      <w:pPr>
        <w:pStyle w:val="Standard"/>
        <w:numPr>
          <w:ilvl w:val="7"/>
          <w:numId w:val="2"/>
        </w:numPr>
        <w:spacing w:after="120" w:line="240" w:lineRule="auto"/>
        <w:ind w:right="1440"/>
        <w:rPr>
          <w:szCs w:val="26"/>
        </w:rPr>
      </w:pPr>
      <w:r w:rsidRPr="00014D67">
        <w:rPr>
          <w:szCs w:val="26"/>
        </w:rPr>
        <w:t>Respond to requests from resource agencies for the Commission to serve as the lead agency pursuant to the California Environmental Quality Act (CEQA) for all electric infrastructure projects requiring discretionary permits</w:t>
      </w:r>
      <w:r w:rsidR="00584DBC">
        <w:rPr>
          <w:szCs w:val="26"/>
        </w:rPr>
        <w:t>;</w:t>
      </w:r>
    </w:p>
    <w:p w:rsidRPr="00014D67" w:rsidR="00530692" w:rsidP="002B7E0D" w:rsidRDefault="00530692" w14:paraId="148AA58D" w14:textId="77777777">
      <w:pPr>
        <w:pStyle w:val="Standard"/>
        <w:numPr>
          <w:ilvl w:val="7"/>
          <w:numId w:val="2"/>
        </w:numPr>
        <w:spacing w:after="120" w:line="240" w:lineRule="auto"/>
        <w:ind w:right="1440"/>
        <w:rPr>
          <w:szCs w:val="26"/>
        </w:rPr>
      </w:pPr>
      <w:r w:rsidRPr="00014D67">
        <w:rPr>
          <w:szCs w:val="26"/>
        </w:rPr>
        <w:t xml:space="preserve">Increase cost transparency for projects subject to </w:t>
      </w:r>
      <w:r w:rsidR="003B5D07">
        <w:rPr>
          <w:szCs w:val="26"/>
        </w:rPr>
        <w:t>GO </w:t>
      </w:r>
      <w:r w:rsidRPr="00014D67">
        <w:rPr>
          <w:szCs w:val="26"/>
        </w:rPr>
        <w:t>131-D</w:t>
      </w:r>
      <w:r w:rsidR="00584DBC">
        <w:rPr>
          <w:szCs w:val="26"/>
        </w:rPr>
        <w:t>;</w:t>
      </w:r>
      <w:r w:rsidRPr="00014D67">
        <w:rPr>
          <w:szCs w:val="26"/>
        </w:rPr>
        <w:t xml:space="preserve"> </w:t>
      </w:r>
    </w:p>
    <w:p w:rsidRPr="00014D67" w:rsidR="00530692" w:rsidP="002B7E0D" w:rsidRDefault="00530692" w14:paraId="25FDBEA8" w14:textId="77777777">
      <w:pPr>
        <w:pStyle w:val="Standard"/>
        <w:numPr>
          <w:ilvl w:val="7"/>
          <w:numId w:val="2"/>
        </w:numPr>
        <w:spacing w:after="120" w:line="240" w:lineRule="auto"/>
        <w:ind w:right="1440"/>
        <w:rPr>
          <w:szCs w:val="26"/>
        </w:rPr>
      </w:pPr>
      <w:r w:rsidRPr="00014D67">
        <w:rPr>
          <w:szCs w:val="26"/>
        </w:rPr>
        <w:t>Provide better notice to local governments of projects in their locality</w:t>
      </w:r>
      <w:r w:rsidR="00584DBC">
        <w:rPr>
          <w:szCs w:val="26"/>
        </w:rPr>
        <w:t>;</w:t>
      </w:r>
    </w:p>
    <w:p w:rsidRPr="00014D67" w:rsidR="00530692" w:rsidP="002B7E0D" w:rsidRDefault="00530692" w14:paraId="128801DC" w14:textId="77777777">
      <w:pPr>
        <w:pStyle w:val="Standard"/>
        <w:numPr>
          <w:ilvl w:val="7"/>
          <w:numId w:val="2"/>
        </w:numPr>
        <w:spacing w:after="120" w:line="240" w:lineRule="auto"/>
        <w:ind w:right="1440"/>
        <w:rPr>
          <w:szCs w:val="26"/>
        </w:rPr>
      </w:pPr>
      <w:r w:rsidRPr="00014D67">
        <w:rPr>
          <w:szCs w:val="26"/>
        </w:rPr>
        <w:t xml:space="preserve">Better align </w:t>
      </w:r>
      <w:r w:rsidR="003B5D07">
        <w:rPr>
          <w:szCs w:val="26"/>
        </w:rPr>
        <w:t>GO </w:t>
      </w:r>
      <w:r w:rsidRPr="00014D67">
        <w:rPr>
          <w:szCs w:val="26"/>
        </w:rPr>
        <w:t xml:space="preserve">131-D with </w:t>
      </w:r>
      <w:r w:rsidR="003B5D07">
        <w:rPr>
          <w:szCs w:val="26"/>
        </w:rPr>
        <w:t>GO </w:t>
      </w:r>
      <w:r w:rsidRPr="00014D67">
        <w:rPr>
          <w:szCs w:val="26"/>
        </w:rPr>
        <w:t>96-B</w:t>
      </w:r>
      <w:r w:rsidR="00584DBC">
        <w:rPr>
          <w:szCs w:val="26"/>
        </w:rPr>
        <w:t>; and</w:t>
      </w:r>
    </w:p>
    <w:p w:rsidRPr="00014D67" w:rsidR="00530692" w:rsidP="002B7E0D" w:rsidRDefault="00530692" w14:paraId="06BC0BB3" w14:textId="77777777">
      <w:pPr>
        <w:pStyle w:val="Standard"/>
        <w:numPr>
          <w:ilvl w:val="7"/>
          <w:numId w:val="2"/>
        </w:numPr>
        <w:spacing w:after="180" w:line="240" w:lineRule="auto"/>
        <w:ind w:right="1440"/>
        <w:rPr>
          <w:szCs w:val="26"/>
        </w:rPr>
      </w:pPr>
      <w:r w:rsidRPr="00014D67">
        <w:rPr>
          <w:szCs w:val="26"/>
        </w:rPr>
        <w:t xml:space="preserve">Adopt other changes to </w:t>
      </w:r>
      <w:r w:rsidR="003B5D07">
        <w:rPr>
          <w:szCs w:val="26"/>
        </w:rPr>
        <w:t>GO </w:t>
      </w:r>
      <w:r w:rsidRPr="00014D67">
        <w:rPr>
          <w:szCs w:val="26"/>
        </w:rPr>
        <w:t>131-D as needed</w:t>
      </w:r>
    </w:p>
    <w:p w:rsidRPr="001E5819" w:rsidR="0076191E" w:rsidP="00530692" w:rsidRDefault="00530692" w14:paraId="77197D08" w14:textId="77777777">
      <w:pPr>
        <w:pStyle w:val="Standard"/>
        <w:rPr>
          <w:szCs w:val="26"/>
        </w:rPr>
      </w:pPr>
      <w:r w:rsidRPr="00014D67">
        <w:rPr>
          <w:szCs w:val="26"/>
        </w:rPr>
        <w:t xml:space="preserve">Moreover, the Scoping Memo clarified that Phase 2 shall “consider all other changes to </w:t>
      </w:r>
      <w:r w:rsidR="003B5D07">
        <w:rPr>
          <w:szCs w:val="26"/>
        </w:rPr>
        <w:t>GO </w:t>
      </w:r>
      <w:r w:rsidRPr="00014D67">
        <w:rPr>
          <w:szCs w:val="26"/>
        </w:rPr>
        <w:t>131-D, including the changes proposed in attachments to the OIR, and changes proposed by parties in comments on the OIR, and any additional changes that may be proposed by Commission staff or parties</w:t>
      </w:r>
      <w:r w:rsidR="00584DBC">
        <w:rPr>
          <w:szCs w:val="26"/>
        </w:rPr>
        <w:t>”</w:t>
      </w:r>
      <w:r w:rsidRPr="00014D67">
        <w:rPr>
          <w:szCs w:val="26"/>
        </w:rPr>
        <w:t xml:space="preserve"> during the course of th</w:t>
      </w:r>
      <w:r w:rsidR="00584DBC">
        <w:rPr>
          <w:szCs w:val="26"/>
        </w:rPr>
        <w:t>is proceeding</w:t>
      </w:r>
      <w:r w:rsidRPr="00014D67">
        <w:rPr>
          <w:szCs w:val="26"/>
        </w:rPr>
        <w:t>.</w:t>
      </w:r>
      <w:r w:rsidRPr="00014D67">
        <w:rPr>
          <w:rStyle w:val="FootnoteReference"/>
          <w:szCs w:val="26"/>
        </w:rPr>
        <w:footnoteReference w:id="46"/>
      </w:r>
    </w:p>
    <w:p w:rsidRPr="00B62A0B" w:rsidR="00C92570" w:rsidP="00B62A0B" w:rsidRDefault="00C92570" w14:paraId="27DEA627" w14:textId="77777777">
      <w:pPr>
        <w:pStyle w:val="Heading1"/>
        <w:rPr>
          <w:rStyle w:val="Heading1Char"/>
          <w:rFonts w:cs="Arial" w:eastAsiaTheme="minorHAnsi"/>
          <w:b/>
          <w:bCs/>
          <w:szCs w:val="26"/>
        </w:rPr>
      </w:pPr>
      <w:bookmarkStart w:name="_Toc189738499" w:id="134"/>
      <w:r w:rsidRPr="00B62A0B">
        <w:rPr>
          <w:rStyle w:val="Heading1Char"/>
          <w:rFonts w:cs="Arial"/>
          <w:b/>
          <w:bCs/>
          <w:szCs w:val="26"/>
        </w:rPr>
        <w:t>Process</w:t>
      </w:r>
      <w:r w:rsidR="00B62A0B">
        <w:rPr>
          <w:rStyle w:val="Heading1Char"/>
          <w:rFonts w:cs="Arial"/>
          <w:b/>
          <w:bCs/>
          <w:szCs w:val="26"/>
        </w:rPr>
        <w:t xml:space="preserve"> Acceleration</w:t>
      </w:r>
      <w:bookmarkEnd w:id="134"/>
    </w:p>
    <w:p w:rsidRPr="005E582E" w:rsidR="00C92570" w:rsidP="00014D67" w:rsidRDefault="00EF2725" w14:paraId="2398DE97" w14:textId="77777777">
      <w:pPr>
        <w:pStyle w:val="Standard"/>
      </w:pPr>
      <w:r>
        <w:t xml:space="preserve">First and foremost, we examine </w:t>
      </w:r>
      <w:r w:rsidR="00F57DF0">
        <w:t>ways to accelerate our process</w:t>
      </w:r>
      <w:r w:rsidR="0041735E">
        <w:t>es</w:t>
      </w:r>
      <w:r w:rsidR="00F57DF0">
        <w:t xml:space="preserve"> where feasible. </w:t>
      </w:r>
      <w:r w:rsidR="00B03F60">
        <w:t>T</w:t>
      </w:r>
      <w:r w:rsidR="00C92570">
        <w:t xml:space="preserve">he Commission and permit applicants currently engage in a multi-step process to </w:t>
      </w:r>
      <w:r w:rsidR="00232D08">
        <w:t>evaluate</w:t>
      </w:r>
      <w:r w:rsidR="00C92570">
        <w:t xml:space="preserve"> proposed projects and adopt or certify the appropriate CEQA </w:t>
      </w:r>
      <w:r w:rsidR="00C92570">
        <w:lastRenderedPageBreak/>
        <w:t xml:space="preserve">documents, culminating in the issuance of a CPCN or PTC. </w:t>
      </w:r>
      <w:r w:rsidR="007924C0">
        <w:t xml:space="preserve">A streamlined approach to permitting of </w:t>
      </w:r>
      <w:r w:rsidR="006105B1">
        <w:t xml:space="preserve">infrastructure </w:t>
      </w:r>
      <w:r w:rsidR="007924C0">
        <w:t xml:space="preserve">projects is especially important in light of the need to meet </w:t>
      </w:r>
      <w:r w:rsidR="00DC14AC">
        <w:t>SB </w:t>
      </w:r>
      <w:r w:rsidR="007924C0">
        <w:t xml:space="preserve">100 mandates that target the reduction of greenhouse gas emissions. </w:t>
      </w:r>
    </w:p>
    <w:p w:rsidR="00C92570" w:rsidP="00C92570" w:rsidRDefault="00C92570" w14:paraId="3AA01814" w14:textId="77777777">
      <w:pPr>
        <w:pStyle w:val="Standard"/>
      </w:pPr>
      <w:r>
        <w:t>There is also agreement from the legislature as confirmed by recent legislation (</w:t>
      </w:r>
      <w:r w:rsidRPr="005D3AB1">
        <w:rPr>
          <w:i/>
          <w:iCs/>
        </w:rPr>
        <w:t>e.g.</w:t>
      </w:r>
      <w:r w:rsidR="001A4FDC">
        <w:t>,</w:t>
      </w:r>
      <w:r>
        <w:t xml:space="preserve"> AB 1373) and parties to this proceeding, as shown by Settlement Agreement and other party proposals, that we must strive to streamline th</w:t>
      </w:r>
      <w:r w:rsidR="00E6765F">
        <w:t>e infrastructure permitting</w:t>
      </w:r>
      <w:r>
        <w:t xml:space="preserve"> process to </w:t>
      </w:r>
      <w:r w:rsidR="00407DFE">
        <w:t>accelerate</w:t>
      </w:r>
      <w:r>
        <w:t xml:space="preserve"> the issuance of CPCNs and PTCs</w:t>
      </w:r>
      <w:r w:rsidRPr="005B5FE6" w:rsidR="00A351F3">
        <w:t>, where feasible</w:t>
      </w:r>
      <w:r>
        <w:t xml:space="preserve">. </w:t>
      </w:r>
    </w:p>
    <w:p w:rsidR="00C92570" w:rsidP="00C92570" w:rsidRDefault="55308E52" w14:paraId="2AC88D36" w14:textId="77777777">
      <w:pPr>
        <w:pStyle w:val="Standard"/>
      </w:pPr>
      <w:r>
        <w:t>As discussed below, we examine the current process</w:t>
      </w:r>
      <w:r w:rsidR="077F69E8">
        <w:t>es</w:t>
      </w:r>
      <w:r>
        <w:t>, various proposals to expedite the Commission’s Rule 2.4(b) process and CEQA review process and adopt proposals, where prudent, to accelerate the processing time for the CPCNs and PTC applications. The proposals we adopt below include early and diligent project applicant coordination with Staff, a pilot to</w:t>
      </w:r>
      <w:r w:rsidR="0CF386BD">
        <w:t xml:space="preserve"> assess how to streamline the </w:t>
      </w:r>
      <w:r w:rsidR="32366401">
        <w:t>Commission</w:t>
      </w:r>
      <w:r w:rsidR="4F0805A7">
        <w:t>’s process</w:t>
      </w:r>
      <w:r w:rsidR="32366401">
        <w:t xml:space="preserve"> to review and approv</w:t>
      </w:r>
      <w:r w:rsidR="76F8468B">
        <w:t xml:space="preserve">e </w:t>
      </w:r>
      <w:r w:rsidR="136DFFF4">
        <w:t xml:space="preserve">permit applications, </w:t>
      </w:r>
      <w:r>
        <w:t xml:space="preserve">and other </w:t>
      </w:r>
      <w:r w:rsidR="592487D6">
        <w:t xml:space="preserve">steps to accelerate the </w:t>
      </w:r>
      <w:r>
        <w:t xml:space="preserve">CEQA </w:t>
      </w:r>
      <w:r w:rsidR="217A0B10">
        <w:t>process through adoption of Staff and party</w:t>
      </w:r>
      <w:r>
        <w:t xml:space="preserve"> proposals</w:t>
      </w:r>
      <w:r w:rsidR="217A0B10">
        <w:t xml:space="preserve">. </w:t>
      </w:r>
    </w:p>
    <w:p w:rsidR="00C92570" w:rsidP="008153EC" w:rsidRDefault="00C92570" w14:paraId="6ADE1134" w14:textId="77777777">
      <w:pPr>
        <w:pStyle w:val="Heading2"/>
      </w:pPr>
      <w:bookmarkStart w:name="_Toc189738500" w:id="135"/>
      <w:r w:rsidRPr="004F6FEC">
        <w:t xml:space="preserve">Overview of Current </w:t>
      </w:r>
      <w:r w:rsidR="003B5D07">
        <w:t>GO </w:t>
      </w:r>
      <w:r w:rsidRPr="004F6FEC">
        <w:t>131-D Process</w:t>
      </w:r>
      <w:bookmarkEnd w:id="135"/>
    </w:p>
    <w:p w:rsidRPr="00F80367" w:rsidR="00C92570" w:rsidP="00C92570" w:rsidRDefault="00C92570" w14:paraId="6446E7C2" w14:textId="77777777">
      <w:pPr>
        <w:pStyle w:val="Standard"/>
      </w:pPr>
      <w:r w:rsidRPr="00F80367">
        <w:t xml:space="preserve">We </w:t>
      </w:r>
      <w:r>
        <w:t>examine</w:t>
      </w:r>
      <w:r w:rsidRPr="00F80367">
        <w:t xml:space="preserve"> the </w:t>
      </w:r>
      <w:r w:rsidRPr="00823F9F" w:rsidR="00DB0DF6">
        <w:t>Commission’s</w:t>
      </w:r>
      <w:r w:rsidR="00DB0DF6">
        <w:t xml:space="preserve"> </w:t>
      </w:r>
      <w:r w:rsidRPr="00F80367">
        <w:t xml:space="preserve">current </w:t>
      </w:r>
      <w:r w:rsidRPr="00823F9F">
        <w:t>process</w:t>
      </w:r>
      <w:r w:rsidRPr="00823F9F" w:rsidR="00DB0DF6">
        <w:t>es</w:t>
      </w:r>
      <w:r w:rsidR="007B5A52">
        <w:t>,</w:t>
      </w:r>
      <w:r>
        <w:t xml:space="preserve"> starting from</w:t>
      </w:r>
      <w:r w:rsidR="004102DF">
        <w:t xml:space="preserve"> the</w:t>
      </w:r>
      <w:r>
        <w:t xml:space="preserve"> pre-filing planning stage.</w:t>
      </w:r>
    </w:p>
    <w:p w:rsidR="00584DBC" w:rsidP="004F6FEC" w:rsidRDefault="00C92570" w14:paraId="0F35DEA9" w14:textId="77777777">
      <w:pPr>
        <w:pStyle w:val="Standard"/>
      </w:pPr>
      <w:r w:rsidRPr="0041735E">
        <w:rPr>
          <w:b/>
          <w:i/>
          <w:u w:val="single"/>
        </w:rPr>
        <w:t>Pre-filing Stage</w:t>
      </w:r>
      <w:r>
        <w:t xml:space="preserve">: </w:t>
      </w:r>
      <w:r w:rsidR="008561B3">
        <w:t xml:space="preserve">It </w:t>
      </w:r>
      <w:r w:rsidR="00F52944">
        <w:t xml:space="preserve">is important to note that </w:t>
      </w:r>
      <w:r w:rsidRPr="000468E8">
        <w:t xml:space="preserve">the </w:t>
      </w:r>
      <w:r w:rsidR="00584DBC">
        <w:t xml:space="preserve">overall </w:t>
      </w:r>
      <w:r w:rsidRPr="000468E8">
        <w:t xml:space="preserve">timeline </w:t>
      </w:r>
      <w:r w:rsidRPr="0076248D">
        <w:t>to develop</w:t>
      </w:r>
      <w:r w:rsidRPr="000468E8">
        <w:t xml:space="preserve"> </w:t>
      </w:r>
      <w:r w:rsidR="00F52944">
        <w:t xml:space="preserve">electric </w:t>
      </w:r>
      <w:r w:rsidRPr="000468E8">
        <w:t xml:space="preserve">transmission </w:t>
      </w:r>
      <w:r w:rsidRPr="0076248D">
        <w:t>projects is lengthy and protracted</w:t>
      </w:r>
      <w:r w:rsidRPr="000468E8">
        <w:t xml:space="preserve">. </w:t>
      </w:r>
      <w:r w:rsidRPr="0076248D">
        <w:t>According to Cal Advocates’ analysis</w:t>
      </w:r>
      <w:r w:rsidRPr="00823F9F" w:rsidR="000B40FA">
        <w:t xml:space="preserve">, </w:t>
      </w:r>
      <w:r w:rsidR="008A69C1">
        <w:t xml:space="preserve">looking at a </w:t>
      </w:r>
      <w:r w:rsidRPr="003B34E0" w:rsidR="000B40FA">
        <w:t>sampling of seven past CPCN projects</w:t>
      </w:r>
      <w:r w:rsidRPr="003B34E0">
        <w:t>,</w:t>
      </w:r>
      <w:r w:rsidRPr="0076248D">
        <w:t xml:space="preserve"> the average time required to </w:t>
      </w:r>
      <w:r w:rsidR="004A0F22">
        <w:t>plan, permit, and construct</w:t>
      </w:r>
      <w:r w:rsidRPr="0076248D">
        <w:t xml:space="preserve"> </w:t>
      </w:r>
      <w:r w:rsidRPr="003B34E0" w:rsidR="000B40FA">
        <w:t>a</w:t>
      </w:r>
      <w:r w:rsidRPr="00823F9F" w:rsidR="000B40FA">
        <w:t xml:space="preserve"> </w:t>
      </w:r>
      <w:r w:rsidRPr="00823F9F">
        <w:t xml:space="preserve">CPCN </w:t>
      </w:r>
      <w:r w:rsidRPr="003B34E0">
        <w:t>project</w:t>
      </w:r>
      <w:r w:rsidRPr="00823F9F">
        <w:t xml:space="preserve"> (</w:t>
      </w:r>
      <w:r w:rsidRPr="0076248D">
        <w:t>i.e., 200 kV or greater) was 11 years and nine months</w:t>
      </w:r>
      <w:r w:rsidR="008A69C1">
        <w:t xml:space="preserve">. </w:t>
      </w:r>
      <w:r w:rsidR="00F635CA">
        <w:t>While examining a</w:t>
      </w:r>
      <w:r w:rsidRPr="000B40FA" w:rsidR="000B40FA">
        <w:t xml:space="preserve"> sampl</w:t>
      </w:r>
      <w:r w:rsidR="00584DBC">
        <w:t>ing</w:t>
      </w:r>
      <w:r w:rsidRPr="000B40FA" w:rsidR="000B40FA">
        <w:t xml:space="preserve"> of seven past </w:t>
      </w:r>
      <w:r w:rsidR="000B40FA">
        <w:t>PTC p</w:t>
      </w:r>
      <w:r w:rsidRPr="000B40FA" w:rsidR="000B40FA">
        <w:t>rojects</w:t>
      </w:r>
      <w:r w:rsidRPr="0076248D">
        <w:t xml:space="preserve">, </w:t>
      </w:r>
      <w:r w:rsidR="004D0D53">
        <w:t xml:space="preserve">Cal Advocates determined that </w:t>
      </w:r>
      <w:r w:rsidRPr="0076248D">
        <w:t xml:space="preserve">the average time required to </w:t>
      </w:r>
      <w:r w:rsidRPr="0076248D">
        <w:lastRenderedPageBreak/>
        <w:t xml:space="preserve">develop </w:t>
      </w:r>
      <w:r w:rsidRPr="00823F9F" w:rsidR="000B40FA">
        <w:t>a</w:t>
      </w:r>
      <w:r w:rsidR="000B40FA">
        <w:t xml:space="preserve"> </w:t>
      </w:r>
      <w:r w:rsidRPr="0076248D">
        <w:t xml:space="preserve">PTC </w:t>
      </w:r>
      <w:r w:rsidRPr="00823F9F">
        <w:t>project</w:t>
      </w:r>
      <w:r w:rsidRPr="0076248D">
        <w:t xml:space="preserve"> (i.e., 50 kV-200 kV) was 10 years and three months.</w:t>
      </w:r>
      <w:r w:rsidRPr="0076248D">
        <w:rPr>
          <w:rStyle w:val="FootnoteReference"/>
        </w:rPr>
        <w:footnoteReference w:id="47"/>
      </w:r>
      <w:r w:rsidRPr="005A5AD0">
        <w:t xml:space="preserve"> </w:t>
      </w:r>
      <w:r w:rsidRPr="0076248D">
        <w:t>In this study, Cal Advocates also found that</w:t>
      </w:r>
      <w:r w:rsidR="00912073">
        <w:t xml:space="preserve"> on average</w:t>
      </w:r>
      <w:r w:rsidR="007867E2">
        <w:t>,</w:t>
      </w:r>
      <w:r w:rsidRPr="0076248D">
        <w:t xml:space="preserve"> utilities file CPCN applications at the Commission four years after project approval in the CAISO </w:t>
      </w:r>
      <w:r w:rsidRPr="0076248D" w:rsidR="2DBAB89E">
        <w:t>Transmission Planning Process (</w:t>
      </w:r>
      <w:r w:rsidRPr="00823F9F">
        <w:t>TPP</w:t>
      </w:r>
      <w:r w:rsidRPr="000E3A71" w:rsidR="5756B2A2">
        <w:t>)</w:t>
      </w:r>
      <w:proofErr w:type="gramStart"/>
      <w:r>
        <w:t xml:space="preserve"> </w:t>
      </w:r>
      <w:r w:rsidRPr="0076248D">
        <w:t>which</w:t>
      </w:r>
      <w:proofErr w:type="gramEnd"/>
      <w:r w:rsidRPr="0076248D">
        <w:t xml:space="preserve"> extends the timeline even further.</w:t>
      </w:r>
      <w:r w:rsidRPr="0076248D">
        <w:rPr>
          <w:rStyle w:val="FootnoteReference"/>
        </w:rPr>
        <w:footnoteReference w:id="48"/>
      </w:r>
      <w:r w:rsidRPr="000468E8">
        <w:t xml:space="preserve"> </w:t>
      </w:r>
    </w:p>
    <w:p w:rsidRPr="000468E8" w:rsidR="00C92570" w:rsidP="004F6FEC" w:rsidRDefault="00574C0C" w14:paraId="20ABC36D" w14:textId="77777777">
      <w:pPr>
        <w:pStyle w:val="Standard"/>
      </w:pPr>
      <w:r>
        <w:t xml:space="preserve">The PEA Guidelines </w:t>
      </w:r>
      <w:r w:rsidRPr="004213CB" w:rsidR="000B40FA">
        <w:t>includes</w:t>
      </w:r>
      <w:r w:rsidRPr="00823F9F">
        <w:t xml:space="preserve"> Pre-filing Guidelines</w:t>
      </w:r>
      <w:r w:rsidRPr="00BF0196" w:rsidR="00BF0196">
        <w:rPr>
          <w:rStyle w:val="FootnoteReference"/>
        </w:rPr>
        <w:footnoteReference w:id="49"/>
      </w:r>
      <w:r w:rsidRPr="00823F9F" w:rsidR="00CE6202">
        <w:t xml:space="preserve"> </w:t>
      </w:r>
      <w:r w:rsidR="00737B85">
        <w:t>that</w:t>
      </w:r>
      <w:r w:rsidR="004213CB">
        <w:t xml:space="preserve"> sets forth</w:t>
      </w:r>
      <w:r w:rsidR="00590640">
        <w:t xml:space="preserve"> </w:t>
      </w:r>
      <w:r w:rsidR="00E12027">
        <w:t xml:space="preserve">the </w:t>
      </w:r>
      <w:r w:rsidRPr="00E4750F" w:rsidR="00CE6202">
        <w:t xml:space="preserve">process for </w:t>
      </w:r>
      <w:r w:rsidR="00CE6202">
        <w:t>CPCN and PTC a</w:t>
      </w:r>
      <w:r w:rsidRPr="00E4750F" w:rsidR="00CE6202">
        <w:t>pplicants</w:t>
      </w:r>
      <w:r w:rsidR="00CE6202">
        <w:t xml:space="preserve"> to voluntarily </w:t>
      </w:r>
      <w:r w:rsidRPr="00E4750F" w:rsidR="00CE6202">
        <w:t>engage with Staff</w:t>
      </w:r>
      <w:r w:rsidR="00CE6202">
        <w:t xml:space="preserve"> on a variety of topics prior to submission of the PE</w:t>
      </w:r>
      <w:r w:rsidRPr="00BF0196" w:rsidR="00CE6202">
        <w:t>A</w:t>
      </w:r>
      <w:r w:rsidRPr="00BF0196">
        <w:t>.</w:t>
      </w:r>
      <w:r w:rsidR="00CE6202">
        <w:t xml:space="preserve"> </w:t>
      </w:r>
      <w:r w:rsidRPr="00BF0196" w:rsidR="00CE6202">
        <w:t>Pre-Filing Guidelines</w:t>
      </w:r>
      <w:r w:rsidRPr="00BF0196" w:rsidR="000B40FA">
        <w:t xml:space="preserve"> also requires that</w:t>
      </w:r>
      <w:r w:rsidRPr="00D519D0" w:rsidR="00CE6202">
        <w:t xml:space="preserve"> </w:t>
      </w:r>
      <w:r w:rsidR="00CE6202">
        <w:t>“s</w:t>
      </w:r>
      <w:r w:rsidRPr="00D519D0" w:rsidR="00CE6202">
        <w:t>uccessful projects will commence Pre-filing Consultation no less than six months prior to application filing at the C</w:t>
      </w:r>
      <w:r w:rsidR="00CE6202">
        <w:t>ommission.”</w:t>
      </w:r>
      <w:r w:rsidR="00CE6202">
        <w:rPr>
          <w:rStyle w:val="FootnoteReference"/>
        </w:rPr>
        <w:footnoteReference w:id="50"/>
      </w:r>
    </w:p>
    <w:p w:rsidR="00C92570" w:rsidP="00C92570" w:rsidRDefault="00C92570" w14:paraId="7874F1C1" w14:textId="77777777">
      <w:pPr>
        <w:pStyle w:val="Standard"/>
      </w:pPr>
      <w:r w:rsidRPr="00F80367">
        <w:rPr>
          <w:b/>
          <w:bCs/>
          <w:i/>
          <w:iCs/>
          <w:u w:val="single"/>
        </w:rPr>
        <w:t>At the time of filing</w:t>
      </w:r>
      <w:r>
        <w:t xml:space="preserve">:  Rule 2.4(b) requires that CPCN and PTC </w:t>
      </w:r>
      <w:r w:rsidRPr="00536910">
        <w:t>application</w:t>
      </w:r>
      <w:r>
        <w:t xml:space="preserve">s </w:t>
      </w:r>
      <w:r w:rsidRPr="00536910">
        <w:t>shall</w:t>
      </w:r>
      <w:r>
        <w:t xml:space="preserve"> </w:t>
      </w:r>
      <w:r w:rsidRPr="00536910">
        <w:t xml:space="preserve">include a </w:t>
      </w:r>
      <w:r w:rsidR="00180DFE">
        <w:t>P</w:t>
      </w:r>
      <w:r w:rsidR="00DB0DF6">
        <w:t>EA</w:t>
      </w:r>
      <w:r w:rsidRPr="00536910">
        <w:t xml:space="preserve"> prepared in accordance with the</w:t>
      </w:r>
      <w:r>
        <w:t xml:space="preserve"> PEA Guidelines. </w:t>
      </w:r>
      <w:r w:rsidR="00CD77B8">
        <w:t>T</w:t>
      </w:r>
      <w:r>
        <w:t xml:space="preserve">he </w:t>
      </w:r>
      <w:r w:rsidRPr="00536910">
        <w:t xml:space="preserve">PEA </w:t>
      </w:r>
      <w:r>
        <w:t xml:space="preserve">Guidelines </w:t>
      </w:r>
      <w:r w:rsidRPr="00823958">
        <w:t>outline require</w:t>
      </w:r>
      <w:r>
        <w:t>ments</w:t>
      </w:r>
      <w:r w:rsidRPr="00823958">
        <w:t xml:space="preserve"> for all PEAs</w:t>
      </w:r>
      <w:r>
        <w:t xml:space="preserve"> </w:t>
      </w:r>
      <w:r w:rsidRPr="00823958">
        <w:t>and include each of the chapters and sections</w:t>
      </w:r>
      <w:r>
        <w:t xml:space="preserve"> </w:t>
      </w:r>
      <w:r w:rsidRPr="00823958">
        <w:t>found in typical C</w:t>
      </w:r>
      <w:r>
        <w:t>ommission-drafted</w:t>
      </w:r>
      <w:r w:rsidRPr="00823958">
        <w:t xml:space="preserve"> EIRs</w:t>
      </w:r>
      <w:r>
        <w:t>.</w:t>
      </w:r>
      <w:r w:rsidRPr="00D519D0">
        <w:t xml:space="preserve"> </w:t>
      </w:r>
      <w:r>
        <w:t xml:space="preserve">Further, Rule 2.4(b) requires that </w:t>
      </w:r>
      <w:r w:rsidRPr="00C60375">
        <w:t>PEA</w:t>
      </w:r>
      <w:r>
        <w:t>s “</w:t>
      </w:r>
      <w:r w:rsidRPr="00C60375">
        <w:t>shall include all information and studies required under the Commission's Information and Criteria</w:t>
      </w:r>
      <w:r>
        <w:t xml:space="preserve"> </w:t>
      </w:r>
      <w:r w:rsidRPr="00C60375">
        <w:t>List adopted pursuant to Chapter 1200 of the Statutes of 1977 (Government Code Sections 65940</w:t>
      </w:r>
      <w:r>
        <w:t xml:space="preserve"> </w:t>
      </w:r>
      <w:r w:rsidRPr="00C60375">
        <w:t>through 65942)</w:t>
      </w:r>
      <w:r>
        <w:t>.”</w:t>
      </w:r>
      <w:r>
        <w:rPr>
          <w:rStyle w:val="FootnoteReference"/>
        </w:rPr>
        <w:footnoteReference w:id="51"/>
      </w:r>
    </w:p>
    <w:p w:rsidR="00C92570" w:rsidP="00C92570" w:rsidRDefault="550816FC" w14:paraId="396B6C0E" w14:textId="77777777">
      <w:pPr>
        <w:pStyle w:val="Standard"/>
      </w:pPr>
      <w:r w:rsidRPr="064A553F">
        <w:rPr>
          <w:b/>
          <w:bCs/>
          <w:i/>
          <w:iCs/>
          <w:u w:val="single"/>
        </w:rPr>
        <w:lastRenderedPageBreak/>
        <w:t>After filing:</w:t>
      </w:r>
      <w:r>
        <w:t xml:space="preserve">  When the CPCN or PTC applications are filed, Staff must review the filing to identify deficiencies</w:t>
      </w:r>
      <w:r w:rsidR="554BF17D">
        <w:t>,</w:t>
      </w:r>
      <w:r>
        <w:t xml:space="preserve"> and utilities must correct</w:t>
      </w:r>
      <w:r w:rsidR="00C92570">
        <w:t xml:space="preserve"> </w:t>
      </w:r>
      <w:r w:rsidR="3C670086">
        <w:t xml:space="preserve">the identified </w:t>
      </w:r>
      <w:r>
        <w:t xml:space="preserve">deficiencies in their applications before they are deemed complete. Due to the complexity of many of these projects, Staff </w:t>
      </w:r>
      <w:r w:rsidR="1E78B6C8">
        <w:t xml:space="preserve">conducts a </w:t>
      </w:r>
      <w:r>
        <w:t>review</w:t>
      </w:r>
      <w:r w:rsidR="1E78B6C8">
        <w:t xml:space="preserve"> of the</w:t>
      </w:r>
      <w:r>
        <w:t xml:space="preserve"> detailed data and information in CPCN and PTC applications,</w:t>
      </w:r>
      <w:r w:rsidR="00C92570">
        <w:rPr>
          <w:rStyle w:val="FootnoteReference"/>
        </w:rPr>
        <w:footnoteReference w:id="52"/>
      </w:r>
      <w:r>
        <w:t xml:space="preserve"> </w:t>
      </w:r>
      <w:r w:rsidR="15FD53A2">
        <w:t xml:space="preserve">including </w:t>
      </w:r>
      <w:r>
        <w:t xml:space="preserve">strategies to </w:t>
      </w:r>
      <w:r w:rsidR="3388AE25">
        <w:t xml:space="preserve">avoid or minimize </w:t>
      </w:r>
      <w:r>
        <w:t>environmental impacts and reduce EMF exposure.</w:t>
      </w:r>
      <w:r w:rsidR="00C92570">
        <w:rPr>
          <w:rStyle w:val="FootnoteReference"/>
        </w:rPr>
        <w:footnoteReference w:id="53"/>
      </w:r>
      <w:r>
        <w:t xml:space="preserve"> If deficiencies are found, Staff is required to </w:t>
      </w:r>
      <w:r w:rsidRPr="00FF28D8">
        <w:t>notify the utility</w:t>
      </w:r>
      <w:r>
        <w:t xml:space="preserve"> applicant</w:t>
      </w:r>
      <w:r w:rsidRPr="00FF28D8">
        <w:t xml:space="preserve"> in writing </w:t>
      </w:r>
      <w:r>
        <w:t>about them</w:t>
      </w:r>
      <w:r w:rsidRPr="00FF28D8">
        <w:t xml:space="preserve"> within 30 days</w:t>
      </w:r>
      <w:r>
        <w:t>.</w:t>
      </w:r>
      <w:r w:rsidR="00C92570">
        <w:rPr>
          <w:rStyle w:val="FootnoteReference"/>
        </w:rPr>
        <w:footnoteReference w:id="54"/>
      </w:r>
      <w:r w:rsidRPr="00FF28D8">
        <w:t xml:space="preserve"> </w:t>
      </w:r>
    </w:p>
    <w:p w:rsidR="00C92570" w:rsidP="00C92570" w:rsidRDefault="00C92570" w14:paraId="691D2123" w14:textId="77777777">
      <w:pPr>
        <w:pStyle w:val="Standard"/>
      </w:pPr>
      <w:r>
        <w:t xml:space="preserve">Utilities must then correct the identified deficiencies in CPCN applications </w:t>
      </w:r>
      <w:r w:rsidRPr="00FF28D8">
        <w:t>within 60 days</w:t>
      </w:r>
      <w:r>
        <w:t xml:space="preserve"> of notification, while those found in PTC applications must be corrected within</w:t>
      </w:r>
      <w:r w:rsidRPr="00FF28D8">
        <w:t xml:space="preserve"> 30</w:t>
      </w:r>
      <w:r>
        <w:t xml:space="preserve"> </w:t>
      </w:r>
      <w:r w:rsidRPr="00FF28D8">
        <w:t>days</w:t>
      </w:r>
      <w:r>
        <w:t>, unless a</w:t>
      </w:r>
      <w:r w:rsidRPr="00FF28D8">
        <w:t xml:space="preserve"> writ</w:t>
      </w:r>
      <w:r>
        <w:t>ten explanation is provided to request an extension</w:t>
      </w:r>
      <w:r w:rsidRPr="00FF28D8">
        <w:t xml:space="preserve">. </w:t>
      </w:r>
      <w:r>
        <w:t xml:space="preserve">For some applications, Staff’s identification of application deficiencies and revisions and utility development of corrective action is an iterative process that may entail multiple rounds of Staff review and oversight. In some cases, Staff may also need to send additional </w:t>
      </w:r>
      <w:r w:rsidRPr="00AD3DEF">
        <w:t xml:space="preserve">deficiency letters </w:t>
      </w:r>
      <w:r>
        <w:t xml:space="preserve">to request further </w:t>
      </w:r>
      <w:r w:rsidRPr="00AD3DEF">
        <w:t xml:space="preserve">revisions to correct </w:t>
      </w:r>
      <w:r>
        <w:t>initial</w:t>
      </w:r>
      <w:r w:rsidRPr="00AD3DEF">
        <w:t xml:space="preserve"> deficiencies </w:t>
      </w:r>
      <w:r>
        <w:t>and/</w:t>
      </w:r>
      <w:r w:rsidRPr="00AD3DEF">
        <w:t>or new</w:t>
      </w:r>
      <w:r>
        <w:t xml:space="preserve"> </w:t>
      </w:r>
      <w:r w:rsidRPr="00AD3DEF">
        <w:t xml:space="preserve">deficiencies </w:t>
      </w:r>
      <w:r>
        <w:t xml:space="preserve">arising </w:t>
      </w:r>
      <w:r w:rsidRPr="00AD3DEF">
        <w:t>from the</w:t>
      </w:r>
      <w:r>
        <w:t>se</w:t>
      </w:r>
      <w:r w:rsidRPr="00AD3DEF">
        <w:t xml:space="preserve"> </w:t>
      </w:r>
      <w:r w:rsidRPr="00AD3DEF">
        <w:lastRenderedPageBreak/>
        <w:t>correcti</w:t>
      </w:r>
      <w:r>
        <w:t>ons. When an application is deemed complete, Staff</w:t>
      </w:r>
      <w:r w:rsidRPr="00FF28D8">
        <w:t xml:space="preserve"> must</w:t>
      </w:r>
      <w:r>
        <w:t xml:space="preserve"> then </w:t>
      </w:r>
      <w:r w:rsidRPr="00FF28D8">
        <w:t>determine</w:t>
      </w:r>
      <w:r>
        <w:t xml:space="preserve"> whether</w:t>
      </w:r>
      <w:r w:rsidRPr="00FF28D8">
        <w:t xml:space="preserve"> CEQA appli</w:t>
      </w:r>
      <w:r>
        <w:t>es</w:t>
      </w:r>
      <w:r w:rsidRPr="00FF28D8">
        <w:t>, and if so, whether an EIR or MND/ND has been or will be prepared.</w:t>
      </w:r>
    </w:p>
    <w:p w:rsidRPr="000468E8" w:rsidR="00C92570" w:rsidP="00474AE8" w:rsidRDefault="00C92570" w14:paraId="1D8D2391" w14:textId="77777777">
      <w:pPr>
        <w:pStyle w:val="Standard"/>
      </w:pPr>
      <w:r w:rsidRPr="000468E8">
        <w:t>We recognize that</w:t>
      </w:r>
      <w:r w:rsidRPr="000468E8" w:rsidDel="00DB0DF6">
        <w:t xml:space="preserve"> </w:t>
      </w:r>
      <w:r w:rsidRPr="000468E8">
        <w:t xml:space="preserve">CEQA Guidelines </w:t>
      </w:r>
      <w:r w:rsidRPr="00DB0DF6" w:rsidR="00DB0DF6">
        <w:t>Sections 15107 and 15108</w:t>
      </w:r>
      <w:r w:rsidRPr="000468E8">
        <w:t xml:space="preserve"> require that MNDs and NDs must be completed within 180 days of deeming an application complete with the option to extend for an additional 90 days (resulting in a total of 270 days) and that EIRs must be completed within one year of deeming an application complete, with the option to extend this timeline by an additional 90</w:t>
      </w:r>
      <w:r w:rsidR="007017DF">
        <w:t> </w:t>
      </w:r>
      <w:r w:rsidRPr="000468E8">
        <w:t xml:space="preserve">days (resulting in a total of 455 days). </w:t>
      </w:r>
    </w:p>
    <w:p w:rsidRPr="000468E8" w:rsidR="00C92570" w:rsidP="00474AE8" w:rsidRDefault="550816FC" w14:paraId="4A9A4213" w14:textId="77777777">
      <w:pPr>
        <w:pStyle w:val="Standard"/>
      </w:pPr>
      <w:r w:rsidRPr="000468E8">
        <w:t xml:space="preserve">However, </w:t>
      </w:r>
      <w:r w:rsidR="00105487">
        <w:t>Staff explains</w:t>
      </w:r>
      <w:r w:rsidR="009D25B3">
        <w:t xml:space="preserve"> in the Staff Proposal</w:t>
      </w:r>
      <w:r w:rsidR="00105487">
        <w:t xml:space="preserve"> that </w:t>
      </w:r>
      <w:r w:rsidRPr="000468E8">
        <w:t xml:space="preserve">during the review of CPCN or PTC applications, several other factors, in addition to the </w:t>
      </w:r>
      <w:r w:rsidRPr="0076248D">
        <w:t>lengthy</w:t>
      </w:r>
      <w:r w:rsidRPr="000468E8">
        <w:t xml:space="preserve"> iterative process of application deficiency identifications and corrections, </w:t>
      </w:r>
      <w:r w:rsidR="00A211FF">
        <w:t xml:space="preserve">can </w:t>
      </w:r>
      <w:r w:rsidRPr="000468E8">
        <w:t>also contribute to delays</w:t>
      </w:r>
      <w:r w:rsidR="00304ABA">
        <w:t xml:space="preserve">. These </w:t>
      </w:r>
      <w:r w:rsidR="00C71F8F">
        <w:t>include</w:t>
      </w:r>
      <w:r w:rsidRPr="000468E8" w:rsidR="4F29F693">
        <w:t xml:space="preserve"> but</w:t>
      </w:r>
      <w:r w:rsidR="72331A49">
        <w:t xml:space="preserve"> </w:t>
      </w:r>
      <w:r w:rsidR="00C71F8F">
        <w:t>are</w:t>
      </w:r>
      <w:r w:rsidR="1E849468">
        <w:t xml:space="preserve"> not</w:t>
      </w:r>
      <w:r>
        <w:t xml:space="preserve"> </w:t>
      </w:r>
      <w:r w:rsidRPr="000468E8">
        <w:t>limited to addressing public concern</w:t>
      </w:r>
      <w:r w:rsidR="009164F7">
        <w:t>s</w:t>
      </w:r>
      <w:r w:rsidRPr="000468E8">
        <w:t xml:space="preserve"> through outreach efforts, </w:t>
      </w:r>
      <w:r w:rsidR="00CC2AEC">
        <w:t xml:space="preserve">or </w:t>
      </w:r>
      <w:r w:rsidRPr="000468E8">
        <w:t>consultation</w:t>
      </w:r>
      <w:r w:rsidRPr="000468E8" w:rsidR="7108F1EC">
        <w:t>;</w:t>
      </w:r>
      <w:r w:rsidRPr="000468E8">
        <w:t xml:space="preserve"> consideration and coordination of permitting processes of other State or federal agencies</w:t>
      </w:r>
      <w:r w:rsidRPr="000468E8" w:rsidR="51550941">
        <w:t>;</w:t>
      </w:r>
      <w:r w:rsidRPr="000468E8">
        <w:t xml:space="preserve"> and changes in technology or electric demand that may require the analysis </w:t>
      </w:r>
      <w:r w:rsidRPr="0076248D">
        <w:t>of additional project alternatives</w:t>
      </w:r>
      <w:r w:rsidRPr="000468E8">
        <w:t xml:space="preserve">. To emphasize this point, </w:t>
      </w:r>
      <w:r w:rsidR="003A629C">
        <w:t xml:space="preserve">as detailed in the PEA Guidelines, </w:t>
      </w:r>
      <w:r w:rsidRPr="000468E8">
        <w:t>Staff’s examination of 108 applications filed with the Commission between 1996 and 2019 revealed that on average the Commission issued decisions for EIR projects within 29 months (approximately 870 days) of application filing. For MNDs, the Commission issued decisions within 19 months (approximately 570 days) of application filing.</w:t>
      </w:r>
      <w:r w:rsidRPr="000468E8" w:rsidR="00C92570">
        <w:rPr>
          <w:rStyle w:val="FootnoteReference"/>
        </w:rPr>
        <w:footnoteReference w:id="55"/>
      </w:r>
      <w:r w:rsidRPr="000468E8">
        <w:t xml:space="preserve">  </w:t>
      </w:r>
    </w:p>
    <w:p w:rsidRPr="000468E8" w:rsidR="004F6FEC" w:rsidP="005D3AB1" w:rsidRDefault="001F293D" w14:paraId="1AE5A8EC" w14:textId="77777777">
      <w:pPr>
        <w:pStyle w:val="Heading2"/>
      </w:pPr>
      <w:bookmarkStart w:name="_Toc189738501" w:id="136"/>
      <w:r>
        <w:lastRenderedPageBreak/>
        <w:t>Acceleration of Rule 2.4(b) Related Process</w:t>
      </w:r>
      <w:bookmarkEnd w:id="136"/>
    </w:p>
    <w:p w:rsidR="001A15A7" w:rsidP="00AB1F4A" w:rsidRDefault="00C92570" w14:paraId="778E2D4A" w14:textId="77777777">
      <w:pPr>
        <w:pStyle w:val="Standard"/>
      </w:pPr>
      <w:bookmarkStart w:name="_Hlk177550988" w:id="137"/>
      <w:r>
        <w:t xml:space="preserve">As discussed below, we have </w:t>
      </w:r>
      <w:r w:rsidR="00990050">
        <w:t xml:space="preserve">summarized and </w:t>
      </w:r>
      <w:r>
        <w:t xml:space="preserve">weighed the parties’ and </w:t>
      </w:r>
      <w:r w:rsidR="00724DB6">
        <w:t>S</w:t>
      </w:r>
      <w:r>
        <w:t xml:space="preserve">taff proposals </w:t>
      </w:r>
      <w:r w:rsidRPr="00DE3157">
        <w:t xml:space="preserve">surrounding </w:t>
      </w:r>
      <w:r w:rsidR="006E130C">
        <w:t xml:space="preserve">the </w:t>
      </w:r>
      <w:r w:rsidRPr="00DE3157">
        <w:t>Rule 2.4(b) process</w:t>
      </w:r>
      <w:r w:rsidR="00261F33">
        <w:t>.</w:t>
      </w:r>
      <w:r w:rsidRPr="00DE3157">
        <w:t xml:space="preserve"> </w:t>
      </w:r>
      <w:r w:rsidRPr="00226BBD" w:rsidR="0024647F">
        <w:t>Accordingly</w:t>
      </w:r>
      <w:r w:rsidRPr="00D80DCD" w:rsidR="0024647F">
        <w:t>, we</w:t>
      </w:r>
      <w:r w:rsidRPr="00D80DCD" w:rsidR="00BC77D2">
        <w:t xml:space="preserve"> </w:t>
      </w:r>
      <w:r w:rsidRPr="00D80DCD">
        <w:t xml:space="preserve">adopt </w:t>
      </w:r>
      <w:r w:rsidRPr="00D80DCD" w:rsidR="00ED7559">
        <w:t xml:space="preserve">Staff Proposal </w:t>
      </w:r>
      <w:r w:rsidR="00DC14AC">
        <w:t>Section </w:t>
      </w:r>
      <w:r w:rsidRPr="00D80DCD" w:rsidR="00ED7559">
        <w:t>3.7,</w:t>
      </w:r>
      <w:r w:rsidRPr="00D80DCD">
        <w:t xml:space="preserve"> Proposal 1, Option 3, as modified, and Staff </w:t>
      </w:r>
      <w:r w:rsidRPr="00D80DCD" w:rsidR="00ED7559">
        <w:t xml:space="preserve">Proposal </w:t>
      </w:r>
      <w:r w:rsidR="00DC14AC">
        <w:t>Section </w:t>
      </w:r>
      <w:r w:rsidRPr="00D80DCD" w:rsidR="00ED7559">
        <w:t xml:space="preserve">3.7, </w:t>
      </w:r>
      <w:r w:rsidRPr="00D80DCD">
        <w:t>Prop</w:t>
      </w:r>
      <w:r w:rsidRPr="00DE3157">
        <w:t>osals 2 and 3, without modification.</w:t>
      </w:r>
    </w:p>
    <w:bookmarkEnd w:id="137"/>
    <w:p w:rsidRPr="007A2EF1" w:rsidR="00C92570" w:rsidP="00D13705" w:rsidRDefault="00C92570" w14:paraId="246C5BA2" w14:textId="77777777">
      <w:pPr>
        <w:pStyle w:val="Standard"/>
        <w:numPr>
          <w:ilvl w:val="2"/>
          <w:numId w:val="18"/>
        </w:numPr>
        <w:ind w:left="1620" w:hanging="900"/>
        <w:rPr>
          <w:rFonts w:ascii="Arial" w:hAnsi="Arial" w:cs="Arial"/>
          <w:b/>
          <w:bCs/>
        </w:rPr>
      </w:pPr>
      <w:r w:rsidRPr="007A2EF1">
        <w:rPr>
          <w:rFonts w:ascii="Arial" w:hAnsi="Arial" w:cs="Arial"/>
          <w:b/>
          <w:bCs/>
        </w:rPr>
        <w:t xml:space="preserve">Proposals </w:t>
      </w:r>
      <w:r>
        <w:rPr>
          <w:rFonts w:ascii="Arial" w:hAnsi="Arial" w:cs="Arial"/>
          <w:b/>
          <w:bCs/>
        </w:rPr>
        <w:t>and Party Positions</w:t>
      </w:r>
    </w:p>
    <w:p w:rsidRPr="00B26C7E" w:rsidR="00C92570" w:rsidP="00C92570" w:rsidRDefault="195C637B" w14:paraId="6C04111E" w14:textId="77777777">
      <w:pPr>
        <w:pStyle w:val="Standard"/>
      </w:pPr>
      <w:r w:rsidRPr="00D80DCD">
        <w:rPr>
          <w:b/>
          <w:i/>
          <w:u w:val="single"/>
        </w:rPr>
        <w:t xml:space="preserve">Settling Parties </w:t>
      </w:r>
      <w:r w:rsidRPr="0EEE0FD3">
        <w:rPr>
          <w:b/>
          <w:bCs/>
          <w:i/>
          <w:iCs/>
          <w:u w:val="single"/>
        </w:rPr>
        <w:t>Proposal:</w:t>
      </w:r>
      <w:r>
        <w:t xml:space="preserve"> </w:t>
      </w:r>
      <w:r w:rsidR="00C629DB">
        <w:t xml:space="preserve"> </w:t>
      </w:r>
      <w:r>
        <w:t xml:space="preserve">Settling Parties propose to amend </w:t>
      </w:r>
      <w:r w:rsidR="003B5D07">
        <w:t>GO </w:t>
      </w:r>
      <w:r w:rsidR="00CD354E">
        <w:t>131-D</w:t>
      </w:r>
      <w:r w:rsidR="00630DCA">
        <w:t>,</w:t>
      </w:r>
      <w:r w:rsidR="00CD354E">
        <w:t xml:space="preserve"> </w:t>
      </w:r>
      <w:r w:rsidR="00DC14AC">
        <w:t>Section </w:t>
      </w:r>
      <w:r>
        <w:t>VIII.A.7</w:t>
      </w:r>
      <w:r w:rsidR="00630DCA">
        <w:t>,</w:t>
      </w:r>
      <w:r>
        <w:t xml:space="preserve"> and create </w:t>
      </w:r>
      <w:r w:rsidR="00C629DB">
        <w:t xml:space="preserve">new </w:t>
      </w:r>
      <w:r>
        <w:t>Section</w:t>
      </w:r>
      <w:r w:rsidR="00C629DB">
        <w:t>s</w:t>
      </w:r>
      <w:r>
        <w:t xml:space="preserve"> IX.C and IX.C.1</w:t>
      </w:r>
      <w:r w:rsidR="0033129D">
        <w:t>.</w:t>
      </w:r>
      <w:r>
        <w:t xml:space="preserve"> </w:t>
      </w:r>
      <w:r w:rsidR="0033129D">
        <w:t>This would</w:t>
      </w:r>
      <w:r w:rsidR="008439D1">
        <w:t xml:space="preserve"> </w:t>
      </w:r>
      <w:r>
        <w:t xml:space="preserve">enable CPCN or PTC applicants to submit a </w:t>
      </w:r>
      <w:r w:rsidR="00C629DB">
        <w:t xml:space="preserve">draft </w:t>
      </w:r>
      <w:r>
        <w:t xml:space="preserve">CEQA document in lieu of </w:t>
      </w:r>
      <w:r w:rsidR="3EAAA571">
        <w:t xml:space="preserve">a </w:t>
      </w:r>
      <w:r>
        <w:t>PEA as required by Rule 2.4(b).</w:t>
      </w:r>
      <w:r w:rsidR="00C92570">
        <w:rPr>
          <w:rStyle w:val="FootnoteReference"/>
        </w:rPr>
        <w:footnoteReference w:id="56"/>
      </w:r>
      <w:r>
        <w:t xml:space="preserve"> Further, the Settling Parties propose </w:t>
      </w:r>
      <w:r w:rsidRPr="00437F9D">
        <w:t xml:space="preserve">the </w:t>
      </w:r>
      <w:r w:rsidRPr="00437F9D" w:rsidR="3EA7CB95">
        <w:t>addition</w:t>
      </w:r>
      <w:r w:rsidRPr="00437F9D">
        <w:t xml:space="preserve"> of</w:t>
      </w:r>
      <w:r w:rsidRPr="00437F9D" w:rsidR="6663607C">
        <w:t xml:space="preserve"> new</w:t>
      </w:r>
      <w:r w:rsidRPr="00437F9D">
        <w:t xml:space="preserve"> </w:t>
      </w:r>
      <w:r>
        <w:t xml:space="preserve">CPCN and PTC </w:t>
      </w:r>
      <w:r w:rsidRPr="00437F9D">
        <w:t>application requirements</w:t>
      </w:r>
      <w:r>
        <w:t>,</w:t>
      </w:r>
      <w:r w:rsidRPr="00437F9D">
        <w:t xml:space="preserve"> pursuant to Government</w:t>
      </w:r>
      <w:r>
        <w:t xml:space="preserve"> </w:t>
      </w:r>
      <w:r w:rsidRPr="00437F9D">
        <w:t xml:space="preserve">Code </w:t>
      </w:r>
      <w:r w:rsidR="00DC14AC">
        <w:t>Section </w:t>
      </w:r>
      <w:r w:rsidRPr="00437F9D">
        <w:t>65940</w:t>
      </w:r>
      <w:r>
        <w:t xml:space="preserve">. </w:t>
      </w:r>
      <w:r w:rsidR="007855D2">
        <w:t xml:space="preserve">Amended </w:t>
      </w:r>
      <w:r w:rsidR="00DC14AC">
        <w:t>Section </w:t>
      </w:r>
      <w:r>
        <w:t xml:space="preserve">VII.A.7, </w:t>
      </w:r>
      <w:r w:rsidR="007855D2">
        <w:t xml:space="preserve">and the addition of </w:t>
      </w:r>
      <w:r w:rsidR="00DC14AC">
        <w:t>Section </w:t>
      </w:r>
      <w:r>
        <w:t xml:space="preserve">IX.C, and </w:t>
      </w:r>
      <w:r w:rsidR="00DC14AC">
        <w:t>Section </w:t>
      </w:r>
      <w:r>
        <w:t>IX.C.1 would also state that Staff may provide the applicant with “…appropriate guidance and assist in the preparation of the draft CEQA document”.</w:t>
      </w:r>
      <w:r w:rsidR="00C92570">
        <w:rPr>
          <w:rStyle w:val="FootnoteReference"/>
        </w:rPr>
        <w:footnoteReference w:id="57"/>
      </w:r>
      <w:r>
        <w:t xml:space="preserve"> According to the Settling Parties, t</w:t>
      </w:r>
      <w:r w:rsidRPr="006B0DDE">
        <w:t xml:space="preserve">his revision would </w:t>
      </w:r>
      <w:r>
        <w:t>eliminate</w:t>
      </w:r>
      <w:r w:rsidRPr="006B0DDE">
        <w:t xml:space="preserve"> the duplicative</w:t>
      </w:r>
      <w:r>
        <w:t xml:space="preserve">, </w:t>
      </w:r>
      <w:r w:rsidRPr="006B0DDE">
        <w:t>time-consuming</w:t>
      </w:r>
      <w:r>
        <w:t>, and e</w:t>
      </w:r>
      <w:r w:rsidRPr="006B0DDE">
        <w:t>xpensive process where</w:t>
      </w:r>
      <w:r>
        <w:t>in</w:t>
      </w:r>
      <w:r w:rsidRPr="006B0DDE">
        <w:t xml:space="preserve"> </w:t>
      </w:r>
      <w:r w:rsidR="00753E8C">
        <w:t xml:space="preserve">the </w:t>
      </w:r>
      <w:r w:rsidRPr="006B0DDE">
        <w:t xml:space="preserve">Commission staff and consultants </w:t>
      </w:r>
      <w:r>
        <w:t xml:space="preserve">that </w:t>
      </w:r>
      <w:r w:rsidRPr="006B0DDE">
        <w:t>prepar</w:t>
      </w:r>
      <w:r>
        <w:t xml:space="preserve">e </w:t>
      </w:r>
      <w:r w:rsidRPr="006B0DDE">
        <w:t>CEQA documents re-</w:t>
      </w:r>
      <w:r>
        <w:t>draft</w:t>
      </w:r>
      <w:r w:rsidRPr="006B0DDE">
        <w:t xml:space="preserve"> </w:t>
      </w:r>
      <w:r w:rsidR="00753E8C">
        <w:t xml:space="preserve">the </w:t>
      </w:r>
      <w:r w:rsidRPr="006B0DDE">
        <w:t>environmental analysis contained in the PEA.</w:t>
      </w:r>
      <w:r w:rsidR="00C92570">
        <w:rPr>
          <w:rStyle w:val="FootnoteReference"/>
        </w:rPr>
        <w:footnoteReference w:id="58"/>
      </w:r>
    </w:p>
    <w:p w:rsidR="00C92570" w:rsidP="00C92570" w:rsidRDefault="00C92570" w14:paraId="73119FBC" w14:textId="77777777">
      <w:pPr>
        <w:pStyle w:val="Standard"/>
      </w:pPr>
      <w:r w:rsidRPr="00B145D5">
        <w:rPr>
          <w:b/>
          <w:bCs/>
          <w:i/>
          <w:iCs/>
          <w:u w:val="single"/>
        </w:rPr>
        <w:t xml:space="preserve">Staff </w:t>
      </w:r>
      <w:r w:rsidR="00E8074A">
        <w:rPr>
          <w:b/>
          <w:bCs/>
          <w:i/>
          <w:iCs/>
          <w:u w:val="single"/>
        </w:rPr>
        <w:t xml:space="preserve">Proposal </w:t>
      </w:r>
      <w:r w:rsidR="00DC14AC">
        <w:rPr>
          <w:b/>
          <w:bCs/>
          <w:i/>
          <w:iCs/>
          <w:u w:val="single"/>
        </w:rPr>
        <w:t>Section </w:t>
      </w:r>
      <w:r w:rsidR="00E8074A">
        <w:rPr>
          <w:b/>
          <w:bCs/>
          <w:i/>
          <w:iCs/>
          <w:u w:val="single"/>
        </w:rPr>
        <w:t xml:space="preserve">3.7, </w:t>
      </w:r>
      <w:r w:rsidRPr="00B145D5">
        <w:rPr>
          <w:b/>
          <w:bCs/>
          <w:i/>
          <w:iCs/>
          <w:u w:val="single"/>
        </w:rPr>
        <w:t>Proposal 1:</w:t>
      </w:r>
      <w:r>
        <w:t xml:space="preserve"> Staff Proposal 1 relates to Rule 2.4(b) and includes three </w:t>
      </w:r>
      <w:r w:rsidR="009635B4">
        <w:t xml:space="preserve">potential </w:t>
      </w:r>
      <w:r>
        <w:t xml:space="preserve">options to amend </w:t>
      </w:r>
      <w:r w:rsidR="003B5D07">
        <w:t>GO </w:t>
      </w:r>
      <w:r>
        <w:t xml:space="preserve">131-D </w:t>
      </w:r>
      <w:r w:rsidR="004C7EA5">
        <w:t>based on</w:t>
      </w:r>
      <w:r>
        <w:t xml:space="preserve"> the Settling Parties’ recommended revisions to streamline the CPCN application process</w:t>
      </w:r>
      <w:r w:rsidR="0069650E">
        <w:t>es</w:t>
      </w:r>
      <w:r w:rsidR="009635B4">
        <w:t xml:space="preserve">. </w:t>
      </w:r>
    </w:p>
    <w:p w:rsidR="009635B4" w:rsidP="009635B4" w:rsidRDefault="009635B4" w14:paraId="0629E89C" w14:textId="77777777">
      <w:pPr>
        <w:pStyle w:val="Standard"/>
      </w:pPr>
      <w:r>
        <w:lastRenderedPageBreak/>
        <w:t>Staff Proposal Section 3.7, Proposal 1, Option 1 would involve accepting the Settling Parties’ recommended revisions to Section VIII.A.7 and proposed new Section IX.C.1:</w:t>
      </w:r>
    </w:p>
    <w:p w:rsidR="00C92570" w:rsidP="002B7E0D" w:rsidRDefault="550816FC" w14:paraId="10CD5F26" w14:textId="77777777">
      <w:pPr>
        <w:pStyle w:val="Standard"/>
        <w:spacing w:after="180" w:line="240" w:lineRule="auto"/>
        <w:ind w:left="720" w:right="1080" w:firstLine="0"/>
      </w:pPr>
      <w:r>
        <w:t xml:space="preserve">In Staff </w:t>
      </w:r>
      <w:r w:rsidR="428ACD6E">
        <w:t xml:space="preserve">Proposal </w:t>
      </w:r>
      <w:r w:rsidR="00DC14AC">
        <w:t>Section </w:t>
      </w:r>
      <w:r w:rsidR="428ACD6E">
        <w:t xml:space="preserve">3.7, </w:t>
      </w:r>
      <w:r>
        <w:t>Proposal 1, Option 1, Staff</w:t>
      </w:r>
      <w:r w:rsidDel="550816FC" w:rsidR="00C92570">
        <w:t xml:space="preserve"> </w:t>
      </w:r>
      <w:r w:rsidR="006D7D18">
        <w:t xml:space="preserve">provided an option for the Commission to accept </w:t>
      </w:r>
      <w:r>
        <w:t xml:space="preserve">the Settling Parties’ recommended </w:t>
      </w:r>
      <w:r w:rsidRPr="00492042">
        <w:t xml:space="preserve">revisions to Sections VIII.A.7 and </w:t>
      </w:r>
      <w:r w:rsidR="00F1342C">
        <w:t xml:space="preserve">recommended language of </w:t>
      </w:r>
      <w:r w:rsidRPr="00492042">
        <w:t xml:space="preserve">IX.C.1 </w:t>
      </w:r>
      <w:r>
        <w:t xml:space="preserve">to </w:t>
      </w:r>
      <w:r w:rsidRPr="00492042">
        <w:t xml:space="preserve">enable </w:t>
      </w:r>
      <w:r>
        <w:t xml:space="preserve">CPCN </w:t>
      </w:r>
      <w:r w:rsidRPr="00492042">
        <w:t>applicants to submit a draft</w:t>
      </w:r>
      <w:r w:rsidRPr="00492042" w:rsidR="1CB10132">
        <w:t xml:space="preserve"> version of a</w:t>
      </w:r>
      <w:r>
        <w:t xml:space="preserve"> </w:t>
      </w:r>
      <w:r w:rsidRPr="00492042">
        <w:t xml:space="preserve">CEQA document </w:t>
      </w:r>
      <w:r>
        <w:t>(i.e.</w:t>
      </w:r>
      <w:r w:rsidR="030DACE5">
        <w:t>, a draft version of an</w:t>
      </w:r>
      <w:r>
        <w:t xml:space="preserve"> ND, MND, EIR, draft </w:t>
      </w:r>
      <w:proofErr w:type="gramStart"/>
      <w:r>
        <w:t>addendum, or</w:t>
      </w:r>
      <w:proofErr w:type="gramEnd"/>
      <w:r>
        <w:t xml:space="preserve"> analysis to support a CEQA exemption) </w:t>
      </w:r>
      <w:r w:rsidRPr="00492042">
        <w:t>in lieu of a PEA</w:t>
      </w:r>
      <w:r>
        <w:t xml:space="preserve">. Pursuant to </w:t>
      </w:r>
      <w:r w:rsidRPr="00437F9D">
        <w:t>Government</w:t>
      </w:r>
      <w:r>
        <w:t xml:space="preserve"> </w:t>
      </w:r>
      <w:r w:rsidRPr="00437F9D">
        <w:t xml:space="preserve">Code </w:t>
      </w:r>
      <w:r w:rsidR="00DC14AC">
        <w:t>Section </w:t>
      </w:r>
      <w:r w:rsidRPr="00437F9D">
        <w:t>65940</w:t>
      </w:r>
      <w:r>
        <w:t xml:space="preserve">, Staff note that Rule 2.4(b) may require amendment to reference submission of a CEQA document in-lieu of a PEA. Further, Staff notes that a </w:t>
      </w:r>
      <w:r w:rsidR="0039421B">
        <w:t xml:space="preserve">new </w:t>
      </w:r>
      <w:r>
        <w:t xml:space="preserve">checklist must be </w:t>
      </w:r>
      <w:r w:rsidR="0039421B">
        <w:t>t</w:t>
      </w:r>
      <w:r w:rsidR="000B757E">
        <w:t xml:space="preserve">o specify </w:t>
      </w:r>
      <w:r>
        <w:t>the detailed</w:t>
      </w:r>
      <w:r w:rsidRPr="00651301">
        <w:t xml:space="preserve"> information that project</w:t>
      </w:r>
      <w:r>
        <w:t xml:space="preserve"> applicants</w:t>
      </w:r>
      <w:r w:rsidR="000B757E">
        <w:t xml:space="preserve"> would need to include in such a document</w:t>
      </w:r>
      <w:r>
        <w:t>.</w:t>
      </w:r>
      <w:r w:rsidR="00C92570">
        <w:rPr>
          <w:rStyle w:val="FootnoteReference"/>
        </w:rPr>
        <w:footnoteReference w:id="59"/>
      </w:r>
      <w:r>
        <w:rPr>
          <w:vertAlign w:val="superscript"/>
        </w:rPr>
        <w:t xml:space="preserve">  </w:t>
      </w:r>
      <w:r>
        <w:t xml:space="preserve"> </w:t>
      </w:r>
    </w:p>
    <w:p w:rsidR="00C92570" w:rsidP="00474AE8" w:rsidRDefault="00421E95" w14:paraId="31C7EA4E" w14:textId="77777777">
      <w:pPr>
        <w:pStyle w:val="Standard"/>
      </w:pPr>
      <w:r>
        <w:t>In</w:t>
      </w:r>
      <w:r w:rsidR="00135BE4">
        <w:t xml:space="preserve"> the Staff Proposal</w:t>
      </w:r>
      <w:r>
        <w:t xml:space="preserve">, </w:t>
      </w:r>
      <w:r w:rsidR="00C92570">
        <w:t>Staff d</w:t>
      </w:r>
      <w:r>
        <w:t>id</w:t>
      </w:r>
      <w:r w:rsidR="00C92570">
        <w:t xml:space="preserve"> not support adoption of </w:t>
      </w:r>
      <w:r w:rsidR="00E96B78">
        <w:t xml:space="preserve">Staff </w:t>
      </w:r>
      <w:r w:rsidR="00C92570">
        <w:t>Proposal</w:t>
      </w:r>
      <w:r w:rsidR="00E96B78">
        <w:t xml:space="preserve"> </w:t>
      </w:r>
      <w:r w:rsidR="00DC14AC">
        <w:t>Section </w:t>
      </w:r>
      <w:r w:rsidR="00E96B78">
        <w:t>3.7</w:t>
      </w:r>
      <w:r w:rsidR="00C92570">
        <w:t>, Proposal 1, Option 1 because it would require the Commission to (1) submit a proposed revision of Rule 2.4 (b) for review by the California Office of Administrative Law (OAL), which could be a prolonged process</w:t>
      </w:r>
      <w:r w:rsidR="00141847">
        <w:t xml:space="preserve">, and </w:t>
      </w:r>
      <w:r w:rsidR="00C92570">
        <w:t xml:space="preserve">(2) create a </w:t>
      </w:r>
      <w:r w:rsidRPr="00B94F75" w:rsidR="00C92570">
        <w:t>separate list (or lists) detailing the application requirements not already</w:t>
      </w:r>
      <w:r w:rsidR="00C92570">
        <w:t xml:space="preserve"> </w:t>
      </w:r>
      <w:r w:rsidRPr="00B94F75" w:rsidR="00C92570">
        <w:t xml:space="preserve">included in </w:t>
      </w:r>
      <w:r w:rsidR="00DC14AC">
        <w:t>Section </w:t>
      </w:r>
      <w:r w:rsidRPr="00B94F75" w:rsidR="00C92570">
        <w:t xml:space="preserve">VIII and IX of </w:t>
      </w:r>
      <w:r w:rsidR="003B5D07">
        <w:t>GO </w:t>
      </w:r>
      <w:r w:rsidRPr="00B94F75" w:rsidR="00C92570">
        <w:t>131-D</w:t>
      </w:r>
      <w:r w:rsidR="00C92570">
        <w:t>.</w:t>
      </w:r>
      <w:r w:rsidR="0041121F">
        <w:t xml:space="preserve"> </w:t>
      </w:r>
      <w:r w:rsidR="00CB2E00">
        <w:t>However,</w:t>
      </w:r>
      <w:r>
        <w:t xml:space="preserve"> </w:t>
      </w:r>
      <w:r w:rsidR="00CB2E00">
        <w:t xml:space="preserve">the enactment of </w:t>
      </w:r>
      <w:r>
        <w:t xml:space="preserve">AB 551 </w:t>
      </w:r>
      <w:r w:rsidR="00CB2E00">
        <w:t>now permits the Commission to adopt amendments to the PEA Guidelines via resolution, which supersedes the OAL review process that was previously required</w:t>
      </w:r>
      <w:r w:rsidR="00E44525">
        <w:t>.</w:t>
      </w:r>
    </w:p>
    <w:p w:rsidR="00141847" w:rsidP="00474AE8" w:rsidRDefault="00141847" w14:paraId="5D748056" w14:textId="77777777">
      <w:pPr>
        <w:pStyle w:val="Standard"/>
      </w:pPr>
      <w:r>
        <w:t xml:space="preserve">Staff </w:t>
      </w:r>
      <w:r w:rsidR="00E8074A">
        <w:t xml:space="preserve">Proposal </w:t>
      </w:r>
      <w:r w:rsidR="00DC14AC">
        <w:t>Section </w:t>
      </w:r>
      <w:r w:rsidR="00E8074A">
        <w:t xml:space="preserve">3.7, </w:t>
      </w:r>
      <w:r>
        <w:t>Proposal 1, Option 2 would comprise the following:</w:t>
      </w:r>
    </w:p>
    <w:p w:rsidR="00C92570" w:rsidP="002B7E0D" w:rsidRDefault="550816FC" w14:paraId="596C4074" w14:textId="77777777">
      <w:pPr>
        <w:pStyle w:val="BlockQuote"/>
        <w:spacing w:after="180"/>
      </w:pPr>
      <w:r>
        <w:t xml:space="preserve">Staff proposes to create a new </w:t>
      </w:r>
      <w:r w:rsidR="00DC14AC">
        <w:t>Section </w:t>
      </w:r>
      <w:r>
        <w:t xml:space="preserve">VIII.B, split current </w:t>
      </w:r>
      <w:r w:rsidR="00DC14AC">
        <w:t>Section </w:t>
      </w:r>
      <w:r>
        <w:t xml:space="preserve">VIII.B into </w:t>
      </w:r>
      <w:r w:rsidR="00DC14AC">
        <w:t>Section </w:t>
      </w:r>
      <w:r>
        <w:t xml:space="preserve">VIII.C, </w:t>
      </w:r>
      <w:r w:rsidR="00DC14AC">
        <w:t>Section </w:t>
      </w:r>
      <w:r>
        <w:t>VIII.D,</w:t>
      </w:r>
      <w:r w:rsidRPr="00245619">
        <w:t xml:space="preserve"> </w:t>
      </w:r>
      <w:r>
        <w:t xml:space="preserve">and </w:t>
      </w:r>
      <w:r w:rsidR="00DC14AC">
        <w:t>Section </w:t>
      </w:r>
      <w:r>
        <w:t xml:space="preserve">VIII.E, and amend </w:t>
      </w:r>
      <w:r w:rsidR="00DC14AC">
        <w:t>Section </w:t>
      </w:r>
      <w:r>
        <w:t>IX. These revisions modify</w:t>
      </w:r>
      <w:r w:rsidR="00C92570">
        <w:t xml:space="preserve"> </w:t>
      </w:r>
      <w:r w:rsidR="00F33969">
        <w:t xml:space="preserve">Staff </w:t>
      </w:r>
      <w:r w:rsidR="00441988">
        <w:t xml:space="preserve">Proposal </w:t>
      </w:r>
      <w:r w:rsidR="00DC14AC">
        <w:lastRenderedPageBreak/>
        <w:t>Section </w:t>
      </w:r>
      <w:r w:rsidR="00441988">
        <w:t>3.7</w:t>
      </w:r>
      <w:r w:rsidR="0019153D">
        <w:t xml:space="preserve"> </w:t>
      </w:r>
      <w:r w:rsidR="00441988">
        <w:t>Proposal 1,</w:t>
      </w:r>
      <w:r>
        <w:t xml:space="preserve"> Option 1 such that (1) a</w:t>
      </w:r>
      <w:r w:rsidR="7918C822">
        <w:t>n applicant-submitted</w:t>
      </w:r>
      <w:r>
        <w:t xml:space="preserve"> draft version of an initial study or EIR can </w:t>
      </w:r>
      <w:r w:rsidR="12E0FE21">
        <w:t xml:space="preserve">be used to prepare </w:t>
      </w:r>
      <w:r>
        <w:t xml:space="preserve">a draft </w:t>
      </w:r>
      <w:r w:rsidRPr="00651301">
        <w:t>CEQA document</w:t>
      </w:r>
      <w:r>
        <w:t xml:space="preserve"> if it </w:t>
      </w:r>
      <w:r w:rsidRPr="00651301">
        <w:t xml:space="preserve">meets specifications of the PEA Guidelines, </w:t>
      </w:r>
      <w:r>
        <w:t>and includes</w:t>
      </w:r>
      <w:r w:rsidRPr="00127915">
        <w:t xml:space="preserve"> substantial evidence for all findings and conclusions, and specific technical studies (</w:t>
      </w:r>
      <w:r w:rsidRPr="005D3AB1">
        <w:rPr>
          <w:i/>
          <w:iCs/>
        </w:rPr>
        <w:t>e.g.</w:t>
      </w:r>
      <w:r w:rsidRPr="00127915">
        <w:t>, biological resource studies, cultural resource studies)</w:t>
      </w:r>
      <w:r>
        <w:t>; and</w:t>
      </w:r>
      <w:r w:rsidRPr="00127915">
        <w:t xml:space="preserve"> </w:t>
      </w:r>
      <w:r>
        <w:t xml:space="preserve">(2) </w:t>
      </w:r>
      <w:r w:rsidRPr="00651301">
        <w:t>the applicant initiates pre-filing</w:t>
      </w:r>
      <w:r>
        <w:t xml:space="preserve"> </w:t>
      </w:r>
      <w:r w:rsidRPr="00651301">
        <w:t xml:space="preserve">consultation with </w:t>
      </w:r>
      <w:r>
        <w:t>Staff</w:t>
      </w:r>
      <w:r w:rsidRPr="00651301">
        <w:t xml:space="preserve"> at least 12 months prior to the filing of the</w:t>
      </w:r>
      <w:r>
        <w:t xml:space="preserve"> CPCN</w:t>
      </w:r>
      <w:r w:rsidRPr="00651301">
        <w:t xml:space="preserve"> application and</w:t>
      </w:r>
      <w:r>
        <w:t xml:space="preserve"> </w:t>
      </w:r>
      <w:r w:rsidRPr="00651301">
        <w:t>provides</w:t>
      </w:r>
      <w:r>
        <w:t xml:space="preserve"> </w:t>
      </w:r>
      <w:r w:rsidR="42437242">
        <w:t xml:space="preserve">the </w:t>
      </w:r>
      <w:r w:rsidRPr="00651301">
        <w:t xml:space="preserve">draft </w:t>
      </w:r>
      <w:r w:rsidRPr="00651301" w:rsidR="4EB14703">
        <w:t xml:space="preserve">version(s) of </w:t>
      </w:r>
      <w:r w:rsidRPr="00651301">
        <w:t>CEQA document(s) during pre-filing.</w:t>
      </w:r>
      <w:r>
        <w:t xml:space="preserve"> Given that draft </w:t>
      </w:r>
      <w:r w:rsidR="00245DC6">
        <w:t>version(s)</w:t>
      </w:r>
      <w:r w:rsidR="761E764A">
        <w:t xml:space="preserve"> of </w:t>
      </w:r>
      <w:r w:rsidR="00245DC6">
        <w:t xml:space="preserve">the </w:t>
      </w:r>
      <w:r>
        <w:t>CEQA documents</w:t>
      </w:r>
      <w:r w:rsidDel="550816FC" w:rsidR="00C92570">
        <w:t xml:space="preserve"> </w:t>
      </w:r>
      <w:r w:rsidR="08F1F38C">
        <w:t xml:space="preserve">would need to </w:t>
      </w:r>
      <w:r w:rsidR="0CD577BA">
        <w:t xml:space="preserve">meet the application criteria </w:t>
      </w:r>
      <w:r w:rsidR="00C92570">
        <w:t>to</w:t>
      </w:r>
      <w:r>
        <w:t xml:space="preserve"> PEA Guidelines, Staff suggest that applicants may not be required to </w:t>
      </w:r>
      <w:r w:rsidRPr="00563803">
        <w:t>develop a separate list of application requirements pursuant to Government Code</w:t>
      </w:r>
      <w:r>
        <w:t xml:space="preserve"> </w:t>
      </w:r>
      <w:r w:rsidR="00DC14AC">
        <w:t>Section </w:t>
      </w:r>
      <w:r w:rsidRPr="00563803">
        <w:t>65940.</w:t>
      </w:r>
      <w:r w:rsidR="00C92570">
        <w:rPr>
          <w:rStyle w:val="FootnoteReference"/>
        </w:rPr>
        <w:footnoteReference w:id="60"/>
      </w:r>
    </w:p>
    <w:p w:rsidR="00C92570" w:rsidP="064A553F" w:rsidRDefault="550816FC" w14:paraId="28F17A7C" w14:textId="77777777">
      <w:pPr>
        <w:pStyle w:val="Standard"/>
      </w:pPr>
      <w:r>
        <w:t xml:space="preserve">Staff notes the benefits of the above </w:t>
      </w:r>
      <w:r w:rsidR="00F33969">
        <w:t xml:space="preserve">Staff Proposal </w:t>
      </w:r>
      <w:r w:rsidR="00DC14AC">
        <w:t>Section </w:t>
      </w:r>
      <w:r w:rsidR="00F33969">
        <w:t xml:space="preserve">3.7, Proposal 1, </w:t>
      </w:r>
      <w:r>
        <w:t>Option 2 because it would require project applicants to</w:t>
      </w:r>
      <w:r w:rsidR="7B2588C2">
        <w:t xml:space="preserve">: </w:t>
      </w:r>
      <w:r>
        <w:t>(1) follow a process that is consistent with CEQA and Commission policy</w:t>
      </w:r>
      <w:r w:rsidR="7B2588C2">
        <w:t>,</w:t>
      </w:r>
      <w:r w:rsidR="00605063">
        <w:t xml:space="preserve"> and</w:t>
      </w:r>
      <w:r>
        <w:t xml:space="preserve"> (2) engage in early consultation with Staff on the draft</w:t>
      </w:r>
      <w:r w:rsidR="3AB7FCE1">
        <w:t xml:space="preserve"> version of a</w:t>
      </w:r>
      <w:r>
        <w:t xml:space="preserve"> CEQA document to minimize deficiencies</w:t>
      </w:r>
      <w:r w:rsidR="64A089E4">
        <w:t>.</w:t>
      </w:r>
      <w:r>
        <w:t xml:space="preserve"> </w:t>
      </w:r>
      <w:r w:rsidR="002E67D9">
        <w:t>S</w:t>
      </w:r>
      <w:r w:rsidR="00DC42DE">
        <w:t xml:space="preserve">taff Proposal </w:t>
      </w:r>
      <w:r w:rsidR="00DC14AC">
        <w:t>Section </w:t>
      </w:r>
      <w:r w:rsidR="00DC42DE">
        <w:t xml:space="preserve">3.7, </w:t>
      </w:r>
      <w:r w:rsidR="00462B6E">
        <w:t>Proposal 1</w:t>
      </w:r>
      <w:r w:rsidR="00FC0C26">
        <w:t xml:space="preserve"> </w:t>
      </w:r>
      <w:r w:rsidR="64A089E4">
        <w:t xml:space="preserve">Option 2 would also authorize applicants to </w:t>
      </w:r>
      <w:r>
        <w:t>submit a draft</w:t>
      </w:r>
      <w:r w:rsidR="515B3296">
        <w:t xml:space="preserve"> version of an</w:t>
      </w:r>
      <w:r>
        <w:t xml:space="preserve"> IS, that </w:t>
      </w:r>
      <w:r w:rsidR="7BD4C769">
        <w:t xml:space="preserve">could be </w:t>
      </w:r>
      <w:r w:rsidRPr="00C6436C" w:rsidR="006601F8">
        <w:t xml:space="preserve">useful for </w:t>
      </w:r>
      <w:r w:rsidR="7BD4C769">
        <w:t xml:space="preserve">Staff in </w:t>
      </w:r>
      <w:r w:rsidR="012F5162">
        <w:t xml:space="preserve">preparing </w:t>
      </w:r>
      <w:r w:rsidR="7BD4C769">
        <w:t>the Commission’s</w:t>
      </w:r>
      <w:r>
        <w:t xml:space="preserve"> </w:t>
      </w:r>
      <w:r w:rsidR="1FADDE71">
        <w:t xml:space="preserve">draft </w:t>
      </w:r>
      <w:r>
        <w:t>IS/MND</w:t>
      </w:r>
      <w:r w:rsidR="019315F0">
        <w:t>,</w:t>
      </w:r>
      <w:r>
        <w:t xml:space="preserve"> IS/ND, or EIR. Staff </w:t>
      </w:r>
      <w:r w:rsidRPr="00C6436C" w:rsidR="00AE53FF">
        <w:t>suggests</w:t>
      </w:r>
      <w:r w:rsidR="44B8AAD5">
        <w:t xml:space="preserve"> </w:t>
      </w:r>
      <w:r>
        <w:t xml:space="preserve">that adopting this technical change would better align with </w:t>
      </w:r>
      <w:r w:rsidR="0A61818D">
        <w:t xml:space="preserve">the </w:t>
      </w:r>
      <w:r>
        <w:t xml:space="preserve">CEQA Guidelines and </w:t>
      </w:r>
      <w:r w:rsidR="64780280">
        <w:t xml:space="preserve">would </w:t>
      </w:r>
      <w:r>
        <w:t xml:space="preserve">clarify that </w:t>
      </w:r>
      <w:r w:rsidR="6372CF2F">
        <w:t>the Commission</w:t>
      </w:r>
      <w:r>
        <w:t>—not the applicant—</w:t>
      </w:r>
      <w:r w:rsidR="7A93A633">
        <w:t>is</w:t>
      </w:r>
      <w:r>
        <w:t xml:space="preserve"> ultimately responsible for circulating </w:t>
      </w:r>
      <w:r w:rsidR="5B42AF59">
        <w:t xml:space="preserve">a </w:t>
      </w:r>
      <w:r>
        <w:t>draft CEQA document to the public.</w:t>
      </w:r>
    </w:p>
    <w:p w:rsidR="00141847" w:rsidP="00474AE8" w:rsidRDefault="00141847" w14:paraId="52F4A071" w14:textId="77777777">
      <w:pPr>
        <w:pStyle w:val="Standard"/>
      </w:pPr>
      <w:r>
        <w:t xml:space="preserve">Staff </w:t>
      </w:r>
      <w:r w:rsidR="00E8074A">
        <w:t xml:space="preserve">Proposal </w:t>
      </w:r>
      <w:r w:rsidR="00DC14AC">
        <w:t>Section </w:t>
      </w:r>
      <w:r w:rsidR="00E8074A">
        <w:t xml:space="preserve">3.7, </w:t>
      </w:r>
      <w:r>
        <w:t xml:space="preserve">Proposal 1, Option </w:t>
      </w:r>
      <w:r w:rsidR="00AC5144">
        <w:t>3</w:t>
      </w:r>
      <w:r>
        <w:t xml:space="preserve"> </w:t>
      </w:r>
      <w:r w:rsidR="00E85A2B">
        <w:t xml:space="preserve">represents a modification of the Settling Parties’ proposed revisions to </w:t>
      </w:r>
      <w:r w:rsidR="003B5D07">
        <w:t>GO </w:t>
      </w:r>
      <w:r w:rsidR="00013250">
        <w:t>131-D</w:t>
      </w:r>
      <w:r w:rsidR="00630DCA">
        <w:t>,</w:t>
      </w:r>
      <w:r w:rsidR="00013250">
        <w:t xml:space="preserve"> Sections VIII and IX</w:t>
      </w:r>
      <w:r w:rsidR="00630DCA">
        <w:t>,</w:t>
      </w:r>
      <w:r w:rsidR="00013250">
        <w:t xml:space="preserve"> as detailed in </w:t>
      </w:r>
      <w:r w:rsidR="00BB4ADA">
        <w:t xml:space="preserve">Staff Proposal </w:t>
      </w:r>
      <w:r w:rsidR="00DC14AC">
        <w:t>Section </w:t>
      </w:r>
      <w:r w:rsidR="00D23BC3">
        <w:t xml:space="preserve">3.7, </w:t>
      </w:r>
      <w:r w:rsidR="00013250">
        <w:t xml:space="preserve">Proposal 1. This </w:t>
      </w:r>
      <w:r w:rsidR="00E15F5B">
        <w:t xml:space="preserve">proposal </w:t>
      </w:r>
      <w:r>
        <w:t>comprise</w:t>
      </w:r>
      <w:r w:rsidR="00E15F5B">
        <w:t>s</w:t>
      </w:r>
      <w:r>
        <w:t xml:space="preserve"> the following:</w:t>
      </w:r>
    </w:p>
    <w:p w:rsidR="00C92570" w:rsidP="002B7E0D" w:rsidRDefault="550816FC" w14:paraId="0DBBEE23" w14:textId="77777777">
      <w:pPr>
        <w:pStyle w:val="BlockQuote"/>
        <w:spacing w:after="180"/>
      </w:pPr>
      <w:r>
        <w:t xml:space="preserve">In Staff Proposal </w:t>
      </w:r>
      <w:r w:rsidR="00DC14AC">
        <w:t>Section </w:t>
      </w:r>
      <w:r w:rsidR="00C240D8">
        <w:t xml:space="preserve">3.7, Proposal </w:t>
      </w:r>
      <w:r>
        <w:t>1, Option 3, Staff would modify</w:t>
      </w:r>
      <w:r w:rsidR="00C92570">
        <w:t xml:space="preserve"> </w:t>
      </w:r>
      <w:r w:rsidR="00D23BC3">
        <w:t xml:space="preserve">Staff Proposal </w:t>
      </w:r>
      <w:r w:rsidR="00DC14AC">
        <w:t>Section </w:t>
      </w:r>
      <w:r w:rsidR="00D23BC3">
        <w:t>3.7, Proposal 1,</w:t>
      </w:r>
      <w:r>
        <w:t xml:space="preserve"> Option 1 to create a </w:t>
      </w:r>
      <w:r>
        <w:lastRenderedPageBreak/>
        <w:t xml:space="preserve">new </w:t>
      </w:r>
      <w:r w:rsidR="00DC14AC">
        <w:t>Section </w:t>
      </w:r>
      <w:r>
        <w:t xml:space="preserve">VIII.A.8, a new </w:t>
      </w:r>
      <w:r w:rsidR="00DC14AC">
        <w:t>Section </w:t>
      </w:r>
      <w:r>
        <w:t xml:space="preserve">VIII.B, split current </w:t>
      </w:r>
      <w:r w:rsidR="00DC14AC">
        <w:t>Section </w:t>
      </w:r>
      <w:r>
        <w:t xml:space="preserve">VIII.B into </w:t>
      </w:r>
      <w:r w:rsidR="00DC14AC">
        <w:t>Section </w:t>
      </w:r>
      <w:r>
        <w:t xml:space="preserve">VIII.C, </w:t>
      </w:r>
      <w:r w:rsidR="00DC14AC">
        <w:t>Section </w:t>
      </w:r>
      <w:r>
        <w:t xml:space="preserve">VIII.D, and </w:t>
      </w:r>
      <w:r w:rsidR="00DC14AC">
        <w:t>Section </w:t>
      </w:r>
      <w:r>
        <w:t xml:space="preserve">VIII.E, and amend </w:t>
      </w:r>
      <w:r w:rsidR="00DC14AC">
        <w:t>Section </w:t>
      </w:r>
      <w:r>
        <w:t>IX. Similar to</w:t>
      </w:r>
      <w:r w:rsidR="00C92570">
        <w:t xml:space="preserve"> </w:t>
      </w:r>
      <w:r w:rsidR="00DC14AC">
        <w:t>Section </w:t>
      </w:r>
      <w:r w:rsidR="00C240D8">
        <w:t>3.7</w:t>
      </w:r>
      <w:r w:rsidR="007F2C80">
        <w:t xml:space="preserve"> </w:t>
      </w:r>
      <w:r w:rsidR="00C240D8">
        <w:t xml:space="preserve">Proposal </w:t>
      </w:r>
      <w:r w:rsidR="00163435">
        <w:t>1,</w:t>
      </w:r>
      <w:r>
        <w:t xml:space="preserve"> Option 2, above, these revisions would specify that (1) a draft version of an initial study or EIR can </w:t>
      </w:r>
      <w:r w:rsidR="2560D722">
        <w:t>be used to inform the preparation of</w:t>
      </w:r>
      <w:r>
        <w:t xml:space="preserve"> a draft CEQA document if it meets specifications of the PEA Guidelines, and includes substantial evidence for all findings and conclusions, and specific technical studies (</w:t>
      </w:r>
      <w:r w:rsidRPr="005D3AB1">
        <w:rPr>
          <w:i/>
          <w:iCs/>
        </w:rPr>
        <w:t>e.g.</w:t>
      </w:r>
      <w:r>
        <w:t xml:space="preserve">, biological resource studies, cultural resource studies); and (2) the applicant initiates pre-filing consultation with Staff at least 12 months prior to the filing of the CPCN application and provides draft CEQA document(s) during pre-filing. </w:t>
      </w:r>
    </w:p>
    <w:p w:rsidR="00C92570" w:rsidP="00C92570" w:rsidRDefault="550816FC" w14:paraId="7DAB7B72" w14:textId="77777777">
      <w:pPr>
        <w:pStyle w:val="Standard"/>
      </w:pPr>
      <w:r>
        <w:t xml:space="preserve">Because </w:t>
      </w:r>
      <w:r w:rsidR="4D1181E7">
        <w:t xml:space="preserve">applicant-submitted </w:t>
      </w:r>
      <w:r>
        <w:t xml:space="preserve">draft </w:t>
      </w:r>
      <w:r w:rsidR="3D6974FC">
        <w:t xml:space="preserve">versions of </w:t>
      </w:r>
      <w:r>
        <w:t xml:space="preserve">CEQA documents </w:t>
      </w:r>
      <w:r w:rsidR="52C8F832">
        <w:t xml:space="preserve">would need to </w:t>
      </w:r>
      <w:r>
        <w:t xml:space="preserve">adhere to the PEA Guidelines, Staff </w:t>
      </w:r>
      <w:r w:rsidR="001664D4">
        <w:t xml:space="preserve">suggest </w:t>
      </w:r>
      <w:r>
        <w:t xml:space="preserve">that </w:t>
      </w:r>
      <w:r w:rsidR="001664D4">
        <w:t xml:space="preserve">the </w:t>
      </w:r>
      <w:r>
        <w:t>adoption</w:t>
      </w:r>
      <w:r w:rsidR="00F73C59">
        <w:t xml:space="preserve"> </w:t>
      </w:r>
      <w:r w:rsidR="00F44986">
        <w:t xml:space="preserve">of </w:t>
      </w:r>
      <w:r w:rsidR="00F73C59">
        <w:t xml:space="preserve">Staff Proposal </w:t>
      </w:r>
      <w:r w:rsidR="00DC14AC">
        <w:t>Section </w:t>
      </w:r>
      <w:r w:rsidR="00F73C59">
        <w:t>3.7, Proposal 1,</w:t>
      </w:r>
      <w:r>
        <w:t xml:space="preserve"> Option 3, above, would not require applicants to </w:t>
      </w:r>
      <w:r w:rsidRPr="00563803">
        <w:t xml:space="preserve">develop a separate list of application requirements pursuant to </w:t>
      </w:r>
      <w:r w:rsidRPr="00691F1D">
        <w:t xml:space="preserve">Government Code </w:t>
      </w:r>
      <w:r w:rsidR="00DC14AC">
        <w:t>Section </w:t>
      </w:r>
      <w:r w:rsidRPr="00691F1D">
        <w:t>65940.</w:t>
      </w:r>
      <w:r w:rsidRPr="00691F1D" w:rsidR="00C92570">
        <w:rPr>
          <w:rStyle w:val="FootnoteReference"/>
        </w:rPr>
        <w:footnoteReference w:id="61"/>
      </w:r>
      <w:r w:rsidRPr="00691F1D">
        <w:t xml:space="preserve"> Unlike the prior options, Staff Proposal </w:t>
      </w:r>
      <w:r w:rsidR="00DC14AC">
        <w:t>Section </w:t>
      </w:r>
      <w:r w:rsidRPr="00691F1D" w:rsidR="00F73C59">
        <w:t xml:space="preserve">3.7, Proposal </w:t>
      </w:r>
      <w:r w:rsidRPr="00691F1D">
        <w:t xml:space="preserve">1, Option 3 would </w:t>
      </w:r>
      <w:r w:rsidRPr="00691F1D" w:rsidR="7CD49B2B">
        <w:t>add new</w:t>
      </w:r>
      <w:r w:rsidRPr="00691F1D" w:rsidDel="1A559989" w:rsidR="00C92570">
        <w:t xml:space="preserve"> </w:t>
      </w:r>
      <w:r w:rsidRPr="00691F1D">
        <w:t>application criteria</w:t>
      </w:r>
      <w:r w:rsidRPr="00691F1D" w:rsidR="1C40F441">
        <w:t xml:space="preserve"> for applicant-prepared draft versions of CEQA documents</w:t>
      </w:r>
      <w:r w:rsidRPr="00691F1D">
        <w:t xml:space="preserve"> directly into the text of </w:t>
      </w:r>
      <w:r w:rsidR="003B5D07">
        <w:t>GO </w:t>
      </w:r>
      <w:r w:rsidRPr="00691F1D" w:rsidR="2BCC9533">
        <w:t>131-E</w:t>
      </w:r>
      <w:r w:rsidRPr="00691F1D" w:rsidR="000C59EA">
        <w:t>. This would</w:t>
      </w:r>
      <w:r w:rsidRPr="00691F1D" w:rsidR="2BCC9533">
        <w:t xml:space="preserve"> </w:t>
      </w:r>
      <w:r w:rsidRPr="00691F1D">
        <w:t>ensure</w:t>
      </w:r>
      <w:r w:rsidRPr="00F27EBC">
        <w:t xml:space="preserve"> that the application</w:t>
      </w:r>
      <w:r>
        <w:t xml:space="preserve"> </w:t>
      </w:r>
      <w:r w:rsidRPr="00F27EBC">
        <w:t xml:space="preserve">requirements are compliant with Government Code </w:t>
      </w:r>
      <w:r w:rsidR="00DC14AC">
        <w:t>Section </w:t>
      </w:r>
      <w:r w:rsidRPr="00F27EBC">
        <w:t>65940</w:t>
      </w:r>
      <w:r>
        <w:t xml:space="preserve"> (</w:t>
      </w:r>
      <w:r w:rsidRPr="005D3AB1">
        <w:rPr>
          <w:i/>
          <w:iCs/>
        </w:rPr>
        <w:t>e.g.</w:t>
      </w:r>
      <w:r w:rsidR="6A3BEB15">
        <w:t>,</w:t>
      </w:r>
      <w:r>
        <w:t xml:space="preserve"> </w:t>
      </w:r>
      <w:r w:rsidR="1B821A3F">
        <w:t xml:space="preserve">the </w:t>
      </w:r>
      <w:r>
        <w:t>draft</w:t>
      </w:r>
      <w:r w:rsidR="25C40C2F">
        <w:t xml:space="preserve"> version of a</w:t>
      </w:r>
      <w:r>
        <w:t xml:space="preserve"> CEQA </w:t>
      </w:r>
      <w:r w:rsidR="2FA46070">
        <w:t xml:space="preserve">document </w:t>
      </w:r>
      <w:r w:rsidRPr="00C50207">
        <w:t>shall provide substantial evidence for all findings and conclusions, and shall include</w:t>
      </w:r>
      <w:r>
        <w:t xml:space="preserve"> </w:t>
      </w:r>
      <w:r w:rsidRPr="00C50207">
        <w:t xml:space="preserve">issue-specific technical studies </w:t>
      </w:r>
      <w:r w:rsidR="1A559989">
        <w:t>[</w:t>
      </w:r>
      <w:r w:rsidRPr="005D3AB1">
        <w:rPr>
          <w:i/>
          <w:iCs/>
        </w:rPr>
        <w:t>e.g.</w:t>
      </w:r>
      <w:r w:rsidRPr="00C50207">
        <w:t>, biological resource studies, cultural resource studies</w:t>
      </w:r>
      <w:r w:rsidR="1A559989">
        <w:t>]</w:t>
      </w:r>
      <w:r w:rsidRPr="00C50207">
        <w:t>).</w:t>
      </w:r>
      <w:r w:rsidR="00C92570">
        <w:rPr>
          <w:rStyle w:val="FootnoteReference"/>
        </w:rPr>
        <w:footnoteReference w:id="62"/>
      </w:r>
      <w:r>
        <w:t xml:space="preserve"> </w:t>
      </w:r>
    </w:p>
    <w:p w:rsidRPr="00822216" w:rsidR="00C92570" w:rsidP="00C92570" w:rsidRDefault="550816FC" w14:paraId="36ABB03D" w14:textId="77777777">
      <w:pPr>
        <w:pStyle w:val="Standard"/>
      </w:pPr>
      <w:r>
        <w:t xml:space="preserve">While Staff cites the </w:t>
      </w:r>
      <w:r w:rsidR="1DA8FDF2">
        <w:t xml:space="preserve">potential </w:t>
      </w:r>
      <w:r>
        <w:t xml:space="preserve">benefits of </w:t>
      </w:r>
      <w:r w:rsidR="06C7F562">
        <w:t xml:space="preserve">Staff Proposal </w:t>
      </w:r>
      <w:r w:rsidR="00DC14AC">
        <w:t>Section </w:t>
      </w:r>
      <w:r w:rsidR="06C7F562">
        <w:t xml:space="preserve">3.7 </w:t>
      </w:r>
      <w:r>
        <w:t xml:space="preserve">Proposal 1, Option 2, </w:t>
      </w:r>
      <w:r w:rsidRPr="000E7FA6">
        <w:t>Staff favors the adoption of</w:t>
      </w:r>
      <w:r w:rsidRPr="000E7FA6" w:rsidR="00F73C59">
        <w:t xml:space="preserve"> </w:t>
      </w:r>
      <w:r w:rsidR="0075040E">
        <w:t xml:space="preserve">Staff Proposal </w:t>
      </w:r>
      <w:r w:rsidR="00DC14AC">
        <w:t>Section </w:t>
      </w:r>
      <w:r w:rsidR="0075040E">
        <w:t>3.7</w:t>
      </w:r>
      <w:r w:rsidR="00E83AD1">
        <w:t>,</w:t>
      </w:r>
      <w:r w:rsidRPr="000E7FA6">
        <w:t xml:space="preserve"> Proposal 1, Option 3, because requiring applicants to prepare and submit draft </w:t>
      </w:r>
      <w:r w:rsidRPr="000E7FA6" w:rsidR="7EBE629E">
        <w:lastRenderedPageBreak/>
        <w:t xml:space="preserve">versions of </w:t>
      </w:r>
      <w:r w:rsidRPr="000E7FA6">
        <w:t>CEQA documents (i.e.</w:t>
      </w:r>
      <w:r w:rsidRPr="000E7FA6" w:rsidR="34040B70">
        <w:t>,</w:t>
      </w:r>
      <w:r w:rsidRPr="000E7FA6">
        <w:t xml:space="preserve"> draft </w:t>
      </w:r>
      <w:r w:rsidRPr="000E7FA6" w:rsidR="6BBD322F">
        <w:t xml:space="preserve">versions of </w:t>
      </w:r>
      <w:r w:rsidRPr="000E7FA6">
        <w:t>initial studies or EIRs) that include contents of the PEA Guidelines in lieu of a PEA would provide Staff and consultants with the necessary information to process the application and prepare the draft CEQA document for public circulation.</w:t>
      </w:r>
      <w:r w:rsidRPr="000E7FA6" w:rsidR="00C92570">
        <w:rPr>
          <w:rStyle w:val="FootnoteReference"/>
        </w:rPr>
        <w:footnoteReference w:id="63"/>
      </w:r>
      <w:r w:rsidR="00890085">
        <w:t xml:space="preserve"> Staff Proposal Section </w:t>
      </w:r>
      <w:r w:rsidR="000A4F1C">
        <w:t xml:space="preserve">3.7, Proposal 1, Option 3 </w:t>
      </w:r>
      <w:r w:rsidR="00871F3A">
        <w:t xml:space="preserve">also </w:t>
      </w:r>
      <w:r w:rsidRPr="00890085" w:rsidR="00890085">
        <w:t>outlines additional necessary specifications for applicant-submitted documents.</w:t>
      </w:r>
    </w:p>
    <w:p w:rsidR="00C92570" w:rsidP="00C92570" w:rsidRDefault="00C068B2" w14:paraId="7394D652" w14:textId="77777777">
      <w:pPr>
        <w:pStyle w:val="Standard"/>
      </w:pPr>
      <w:r>
        <w:rPr>
          <w:b/>
          <w:bCs/>
          <w:i/>
          <w:iCs/>
          <w:u w:val="single"/>
        </w:rPr>
        <w:t xml:space="preserve">Staff Proposal </w:t>
      </w:r>
      <w:r w:rsidR="00DC14AC">
        <w:rPr>
          <w:b/>
          <w:bCs/>
          <w:i/>
          <w:iCs/>
          <w:u w:val="single"/>
        </w:rPr>
        <w:t>Section </w:t>
      </w:r>
      <w:r>
        <w:rPr>
          <w:b/>
          <w:bCs/>
          <w:i/>
          <w:iCs/>
          <w:u w:val="single"/>
        </w:rPr>
        <w:t xml:space="preserve">3.7, </w:t>
      </w:r>
      <w:r w:rsidRPr="00B145D5" w:rsidR="00941818">
        <w:rPr>
          <w:b/>
          <w:bCs/>
          <w:i/>
          <w:iCs/>
          <w:u w:val="single"/>
        </w:rPr>
        <w:t xml:space="preserve">Proposal </w:t>
      </w:r>
      <w:r w:rsidR="00941818">
        <w:rPr>
          <w:b/>
          <w:bCs/>
          <w:i/>
          <w:iCs/>
          <w:u w:val="single"/>
        </w:rPr>
        <w:t>2</w:t>
      </w:r>
      <w:r w:rsidRPr="00B145D5" w:rsidR="00941818">
        <w:rPr>
          <w:b/>
          <w:bCs/>
          <w:i/>
          <w:iCs/>
          <w:u w:val="single"/>
        </w:rPr>
        <w:t>:</w:t>
      </w:r>
      <w:r w:rsidR="00941818">
        <w:t xml:space="preserve"> </w:t>
      </w:r>
      <w:r w:rsidR="00C92570">
        <w:t>Staff</w:t>
      </w:r>
      <w:r w:rsidR="003029C8">
        <w:t xml:space="preserve"> Proposal </w:t>
      </w:r>
      <w:r w:rsidR="00DC14AC">
        <w:t>Section </w:t>
      </w:r>
      <w:r w:rsidR="003029C8">
        <w:t>3.7,</w:t>
      </w:r>
      <w:r w:rsidR="00C92570">
        <w:t xml:space="preserve"> Proposal 2 would delete EMF requirements in </w:t>
      </w:r>
      <w:r w:rsidR="00DC14AC">
        <w:t>Section </w:t>
      </w:r>
      <w:r w:rsidR="00C92570">
        <w:t xml:space="preserve">X in </w:t>
      </w:r>
      <w:r w:rsidR="003B5D07">
        <w:t>GO </w:t>
      </w:r>
      <w:r w:rsidR="00C92570">
        <w:t xml:space="preserve">131-D and place them in the list of CPCN and PTC requirements located in </w:t>
      </w:r>
      <w:r w:rsidRPr="00411644" w:rsidR="00C92570">
        <w:t>Sections VIII.A, IX.A.1, and IX.B.1.</w:t>
      </w:r>
      <w:r w:rsidR="00C92570">
        <w:t xml:space="preserve"> </w:t>
      </w:r>
      <w:r w:rsidRPr="000E7FA6" w:rsidR="00C92570">
        <w:t xml:space="preserve">Staff supports the adoption of </w:t>
      </w:r>
      <w:r w:rsidR="004C74D9">
        <w:t xml:space="preserve">Staff Proposal </w:t>
      </w:r>
      <w:r w:rsidR="00DC14AC">
        <w:t>Section </w:t>
      </w:r>
      <w:r w:rsidR="004C74D9">
        <w:t xml:space="preserve">3.7, </w:t>
      </w:r>
      <w:r w:rsidRPr="000E7FA6" w:rsidR="00C92570">
        <w:t xml:space="preserve">Proposal 2 primarily because incorporation of EMF into the existing list of CPCN and PTC application requirements </w:t>
      </w:r>
      <w:r w:rsidR="00B00638">
        <w:t>is expected to</w:t>
      </w:r>
      <w:r w:rsidRPr="000E7FA6" w:rsidR="00C92570">
        <w:t xml:space="preserve"> provide greater clarity to project applicants.</w:t>
      </w:r>
      <w:r w:rsidRPr="000E7FA6" w:rsidR="00C92570">
        <w:rPr>
          <w:rStyle w:val="FootnoteReference"/>
        </w:rPr>
        <w:footnoteReference w:id="64"/>
      </w:r>
      <w:r w:rsidR="00C92570">
        <w:t xml:space="preserve"> </w:t>
      </w:r>
    </w:p>
    <w:p w:rsidR="00B325DE" w:rsidP="00C92570" w:rsidRDefault="00C068B2" w14:paraId="2FEEF08A" w14:textId="77777777">
      <w:pPr>
        <w:pStyle w:val="Standard"/>
      </w:pPr>
      <w:r>
        <w:rPr>
          <w:b/>
          <w:bCs/>
          <w:i/>
          <w:iCs/>
          <w:u w:val="single"/>
        </w:rPr>
        <w:t xml:space="preserve">Staff Proposal </w:t>
      </w:r>
      <w:r w:rsidR="00DC14AC">
        <w:rPr>
          <w:b/>
          <w:bCs/>
          <w:i/>
          <w:iCs/>
          <w:u w:val="single"/>
        </w:rPr>
        <w:t>Section </w:t>
      </w:r>
      <w:r>
        <w:rPr>
          <w:b/>
          <w:bCs/>
          <w:i/>
          <w:iCs/>
          <w:u w:val="single"/>
        </w:rPr>
        <w:t xml:space="preserve">3.7, </w:t>
      </w:r>
      <w:r w:rsidRPr="00B145D5" w:rsidR="00C92570">
        <w:rPr>
          <w:b/>
          <w:bCs/>
          <w:i/>
          <w:iCs/>
          <w:u w:val="single"/>
        </w:rPr>
        <w:t>Proposal 3:</w:t>
      </w:r>
      <w:r w:rsidR="00C92570">
        <w:t xml:space="preserve"> </w:t>
      </w:r>
      <w:r w:rsidRPr="000228DF" w:rsidR="00C92570">
        <w:t>Pursuant to Rule 2.4 and the PEA Guidelines, Staff</w:t>
      </w:r>
      <w:r w:rsidR="004C74D9">
        <w:t xml:space="preserve"> Proposal </w:t>
      </w:r>
      <w:r w:rsidR="00DC14AC">
        <w:t>Section </w:t>
      </w:r>
      <w:r w:rsidR="004C74D9">
        <w:t>3.7</w:t>
      </w:r>
      <w:r w:rsidR="00260769">
        <w:t>,</w:t>
      </w:r>
      <w:r w:rsidRPr="000228DF" w:rsidR="00C92570">
        <w:t xml:space="preserve"> Proposal 3 would set requirements in </w:t>
      </w:r>
      <w:r w:rsidR="00DC14AC">
        <w:t>Section </w:t>
      </w:r>
      <w:r w:rsidRPr="000228DF" w:rsidR="00C92570">
        <w:t xml:space="preserve">IX.A and IX.B for utilities to </w:t>
      </w:r>
      <w:r w:rsidR="00D26983">
        <w:t xml:space="preserve">provide advance </w:t>
      </w:r>
      <w:r w:rsidRPr="000228DF" w:rsidR="00C92570">
        <w:t xml:space="preserve">notice and </w:t>
      </w:r>
      <w:r w:rsidR="00551303">
        <w:t>initiate pre-filing consultation with Staff</w:t>
      </w:r>
      <w:r w:rsidRPr="000228DF" w:rsidR="00C92570">
        <w:t xml:space="preserve"> </w:t>
      </w:r>
      <w:r w:rsidR="00BE3769">
        <w:t xml:space="preserve">regarding a CPCN or </w:t>
      </w:r>
      <w:r w:rsidRPr="000228DF" w:rsidR="00C92570">
        <w:t xml:space="preserve">PTC application not less than </w:t>
      </w:r>
      <w:r w:rsidR="00D40A6D">
        <w:t>six</w:t>
      </w:r>
      <w:r w:rsidRPr="000228DF" w:rsidR="00C92570">
        <w:t xml:space="preserve"> month</w:t>
      </w:r>
      <w:r w:rsidR="00D40A6D">
        <w:t>s</w:t>
      </w:r>
      <w:r w:rsidRPr="000228DF" w:rsidR="00C92570">
        <w:t xml:space="preserve"> before </w:t>
      </w:r>
      <w:r w:rsidR="00ED04E5">
        <w:t>the filing of a CPCN or PTC application</w:t>
      </w:r>
      <w:r w:rsidR="00AD48A7">
        <w:t xml:space="preserve"> with the Commission</w:t>
      </w:r>
      <w:r w:rsidRPr="000228DF" w:rsidR="00C92570">
        <w:t>.</w:t>
      </w:r>
      <w:r w:rsidRPr="000228DF" w:rsidR="00C92570">
        <w:rPr>
          <w:rStyle w:val="FootnoteReference"/>
        </w:rPr>
        <w:footnoteReference w:id="65"/>
      </w:r>
      <w:r w:rsidRPr="000468E8" w:rsidR="00C92570">
        <w:t xml:space="preserve"> </w:t>
      </w:r>
    </w:p>
    <w:p w:rsidR="00F6022A" w:rsidP="00C92570" w:rsidRDefault="00C92570" w14:paraId="7C8EB592" w14:textId="77777777">
      <w:pPr>
        <w:pStyle w:val="Standard"/>
      </w:pPr>
      <w:r w:rsidRPr="0076248D">
        <w:t xml:space="preserve">Staff </w:t>
      </w:r>
      <w:r w:rsidR="00157AA6">
        <w:t>recommends</w:t>
      </w:r>
      <w:r w:rsidRPr="0076248D">
        <w:t xml:space="preserve"> the adoption of </w:t>
      </w:r>
      <w:r w:rsidR="00260769">
        <w:t xml:space="preserve">Staff </w:t>
      </w:r>
      <w:r w:rsidR="00A87D5E">
        <w:t xml:space="preserve">Proposal </w:t>
      </w:r>
      <w:r w:rsidR="00DC14AC">
        <w:t>Section </w:t>
      </w:r>
      <w:r w:rsidR="00A87D5E">
        <w:t xml:space="preserve">3.7, </w:t>
      </w:r>
      <w:r w:rsidRPr="0076248D">
        <w:t xml:space="preserve">Proposal 3 because various parties </w:t>
      </w:r>
      <w:r w:rsidRPr="007D30AC" w:rsidR="007D30AC">
        <w:t xml:space="preserve">expressed support for an earlier pre-filing review process that may encourage earlier filing of applications that could yield fewer application deficiencies. Further, requiring earlier pre-filing consultation could </w:t>
      </w:r>
      <w:r w:rsidRPr="007D30AC" w:rsidR="007D30AC">
        <w:lastRenderedPageBreak/>
        <w:t xml:space="preserve">facilitate greater coordination between utilities and Staff during the later stages of the project design process. This point is especially important since </w:t>
      </w:r>
      <w:r w:rsidR="00656780">
        <w:t xml:space="preserve">several </w:t>
      </w:r>
      <w:r w:rsidRPr="007D30AC" w:rsidR="007D30AC">
        <w:t>part</w:t>
      </w:r>
      <w:r w:rsidR="00656780">
        <w:t>ies</w:t>
      </w:r>
      <w:r w:rsidRPr="007D30AC" w:rsidR="007D30AC">
        <w:t xml:space="preserve"> </w:t>
      </w:r>
      <w:r w:rsidR="00656780">
        <w:t xml:space="preserve">noted </w:t>
      </w:r>
      <w:r w:rsidRPr="007D30AC" w:rsidR="007D30AC">
        <w:t xml:space="preserve">that the level of design completeness ranges from 30 to 60% for </w:t>
      </w:r>
      <w:r w:rsidR="00656780">
        <w:t xml:space="preserve">CPCN or PTC </w:t>
      </w:r>
      <w:r w:rsidRPr="007D30AC" w:rsidR="007D30AC">
        <w:t>project</w:t>
      </w:r>
      <w:r w:rsidR="00656780">
        <w:t xml:space="preserve"> application</w:t>
      </w:r>
      <w:r w:rsidRPr="007D30AC" w:rsidR="007D30AC">
        <w:t xml:space="preserve">s that are </w:t>
      </w:r>
      <w:r w:rsidR="00656780">
        <w:t>filed</w:t>
      </w:r>
      <w:r w:rsidRPr="007D30AC" w:rsidR="007D30AC">
        <w:t xml:space="preserve"> for review </w:t>
      </w:r>
      <w:r w:rsidR="00656780">
        <w:t>before the Commission</w:t>
      </w:r>
      <w:r w:rsidRPr="007D30AC" w:rsidR="007D30AC">
        <w:t>.</w:t>
      </w:r>
      <w:r w:rsidR="00656780">
        <w:rPr>
          <w:rStyle w:val="FootnoteReference"/>
        </w:rPr>
        <w:footnoteReference w:id="66"/>
      </w:r>
    </w:p>
    <w:p w:rsidR="007D30AC" w:rsidP="007D30AC" w:rsidRDefault="007D30AC" w14:paraId="09D8A145" w14:textId="77777777">
      <w:pPr>
        <w:pStyle w:val="Standard"/>
        <w:ind w:firstLine="0"/>
      </w:pPr>
      <w:r>
        <w:t xml:space="preserve"> </w:t>
      </w:r>
      <w:r>
        <w:tab/>
      </w:r>
      <w:r w:rsidRPr="7718CFD0">
        <w:t xml:space="preserve">Additionally, </w:t>
      </w:r>
      <w:r w:rsidR="00656780">
        <w:t xml:space="preserve">some </w:t>
      </w:r>
      <w:r>
        <w:t>parties</w:t>
      </w:r>
      <w:r w:rsidRPr="7718CFD0">
        <w:t xml:space="preserve"> </w:t>
      </w:r>
      <w:r w:rsidR="00656780">
        <w:t>o</w:t>
      </w:r>
      <w:r w:rsidRPr="7718CFD0">
        <w:t>ppos</w:t>
      </w:r>
      <w:r w:rsidR="00656780">
        <w:t>e</w:t>
      </w:r>
      <w:r w:rsidRPr="0076248D">
        <w:t xml:space="preserve"> requiring utilities to file CPCN or PTC applications within a specified timeframe after a project has received CAISO approval or </w:t>
      </w:r>
      <w:r>
        <w:t xml:space="preserve">within a specified timeframe in relation to the </w:t>
      </w:r>
      <w:r w:rsidRPr="0076248D">
        <w:t>CAISO</w:t>
      </w:r>
      <w:r>
        <w:t xml:space="preserve">-approved project </w:t>
      </w:r>
      <w:r w:rsidRPr="0076248D">
        <w:t>in-service date</w:t>
      </w:r>
      <w:r w:rsidRPr="000468E8">
        <w:t>.</w:t>
      </w:r>
      <w:r w:rsidRPr="000468E8">
        <w:rPr>
          <w:rStyle w:val="FootnoteReference"/>
        </w:rPr>
        <w:footnoteReference w:id="67"/>
      </w:r>
      <w:r w:rsidRPr="000468E8">
        <w:t xml:space="preserve"> </w:t>
      </w:r>
      <w:r>
        <w:t xml:space="preserve"> </w:t>
      </w:r>
      <w:r>
        <w:tab/>
      </w:r>
    </w:p>
    <w:p w:rsidRPr="000468E8" w:rsidR="00C92570" w:rsidP="00C92570" w:rsidRDefault="00C92570" w14:paraId="56AF9806" w14:textId="77777777">
      <w:pPr>
        <w:pStyle w:val="Standard"/>
      </w:pPr>
      <w:r w:rsidRPr="000468E8">
        <w:t xml:space="preserve">To address </w:t>
      </w:r>
      <w:r w:rsidRPr="7718CFD0" w:rsidR="000F32D2">
        <w:t>th</w:t>
      </w:r>
      <w:r w:rsidR="007D30AC">
        <w:t>is concern</w:t>
      </w:r>
      <w:r w:rsidRPr="000468E8">
        <w:t>, Staff propose to require pre-filing consultation for all projects, including CAISO-approved or non-CAISO approved projects.</w:t>
      </w:r>
      <w:r w:rsidRPr="000468E8">
        <w:rPr>
          <w:rStyle w:val="FootnoteReference"/>
        </w:rPr>
        <w:footnoteReference w:id="68"/>
      </w:r>
    </w:p>
    <w:p w:rsidR="00C92570" w:rsidP="00C92570" w:rsidRDefault="00C92570" w14:paraId="296814B8" w14:textId="77777777">
      <w:pPr>
        <w:pStyle w:val="Standard"/>
      </w:pPr>
      <w:r w:rsidRPr="000468E8">
        <w:rPr>
          <w:b/>
          <w:bCs/>
          <w:i/>
          <w:iCs/>
          <w:u w:val="single"/>
        </w:rPr>
        <w:t>Party Positions on Staff Proposals:</w:t>
      </w:r>
      <w:r w:rsidRPr="000468E8">
        <w:t xml:space="preserve"> PG&amp;E does</w:t>
      </w:r>
      <w:r>
        <w:t xml:space="preserve"> not support </w:t>
      </w:r>
      <w:r w:rsidR="0090246E">
        <w:t xml:space="preserve">Staff Proposal </w:t>
      </w:r>
      <w:r w:rsidR="00DC14AC">
        <w:t>Section </w:t>
      </w:r>
      <w:r w:rsidR="0090246E">
        <w:t xml:space="preserve">3.7, </w:t>
      </w:r>
      <w:r>
        <w:t>Proposal 1, Option 2 based on their view that compliance with the PEA Guidelines is burdensome.</w:t>
      </w:r>
      <w:r>
        <w:rPr>
          <w:rStyle w:val="FootnoteReference"/>
        </w:rPr>
        <w:footnoteReference w:id="69"/>
      </w:r>
      <w:r>
        <w:t xml:space="preserve"> </w:t>
      </w:r>
      <w:r w:rsidRPr="00071F2B">
        <w:t xml:space="preserve">IEP opposes </w:t>
      </w:r>
      <w:r w:rsidR="0090246E">
        <w:t xml:space="preserve">Staff Proposal </w:t>
      </w:r>
      <w:r w:rsidR="00DC14AC">
        <w:t>Section </w:t>
      </w:r>
      <w:r w:rsidR="0090246E">
        <w:t xml:space="preserve">3.7 </w:t>
      </w:r>
      <w:r>
        <w:t xml:space="preserve">Proposal 1, </w:t>
      </w:r>
      <w:r w:rsidRPr="00071F2B">
        <w:t>Option 3</w:t>
      </w:r>
      <w:r>
        <w:t>,</w:t>
      </w:r>
      <w:r w:rsidRPr="00071F2B">
        <w:t xml:space="preserve"> </w:t>
      </w:r>
      <w:r>
        <w:t>because in their view it would not streamline the CPCN application process.  Given this,</w:t>
      </w:r>
      <w:r w:rsidRPr="00071F2B">
        <w:t xml:space="preserve"> </w:t>
      </w:r>
      <w:r w:rsidR="00EE0523">
        <w:t xml:space="preserve">IEP </w:t>
      </w:r>
      <w:r w:rsidRPr="00071F2B">
        <w:t xml:space="preserve">supports the </w:t>
      </w:r>
      <w:r>
        <w:t>S</w:t>
      </w:r>
      <w:r w:rsidRPr="00071F2B">
        <w:t xml:space="preserve">ettling </w:t>
      </w:r>
      <w:r>
        <w:t>P</w:t>
      </w:r>
      <w:r w:rsidRPr="00071F2B">
        <w:t>arties’ proposal</w:t>
      </w:r>
      <w:r>
        <w:t xml:space="preserve">, which is reflected in </w:t>
      </w:r>
      <w:r w:rsidR="0090246E">
        <w:t xml:space="preserve">Staff Proposal </w:t>
      </w:r>
      <w:r w:rsidR="00DC14AC">
        <w:t>Section </w:t>
      </w:r>
      <w:r w:rsidR="0090246E">
        <w:t xml:space="preserve">3.7, </w:t>
      </w:r>
      <w:r>
        <w:t xml:space="preserve">Proposal 1, </w:t>
      </w:r>
      <w:r w:rsidRPr="00071F2B">
        <w:t>Option</w:t>
      </w:r>
      <w:r>
        <w:t xml:space="preserve"> </w:t>
      </w:r>
      <w:r w:rsidRPr="00071F2B">
        <w:t>1</w:t>
      </w:r>
      <w:r>
        <w:t>.</w:t>
      </w:r>
      <w:r>
        <w:rPr>
          <w:rStyle w:val="FootnoteReference"/>
        </w:rPr>
        <w:footnoteReference w:id="70"/>
      </w:r>
      <w:r w:rsidRPr="00071F2B">
        <w:t> </w:t>
      </w:r>
    </w:p>
    <w:p w:rsidR="00C92570" w:rsidP="00C92570" w:rsidRDefault="00C92570" w14:paraId="18EF97F6" w14:textId="77777777">
      <w:pPr>
        <w:pStyle w:val="Standard"/>
      </w:pPr>
      <w:r>
        <w:t xml:space="preserve">A </w:t>
      </w:r>
      <w:r w:rsidRPr="00071F2B">
        <w:t xml:space="preserve">range of parties (PG&amp;E, SCE, SDG&amp;E, LSPGC, </w:t>
      </w:r>
      <w:r w:rsidR="001524A1">
        <w:t>Transmission Owners</w:t>
      </w:r>
      <w:r w:rsidRPr="00071F2B">
        <w:t xml:space="preserve">, DOW, Cal Advocates, et al.) </w:t>
      </w:r>
      <w:r>
        <w:t xml:space="preserve">generally </w:t>
      </w:r>
      <w:r w:rsidRPr="00071F2B">
        <w:t xml:space="preserve">support </w:t>
      </w:r>
      <w:r w:rsidR="0090246E">
        <w:t xml:space="preserve">Staff Proposal </w:t>
      </w:r>
      <w:r w:rsidR="00DC14AC">
        <w:t>Section </w:t>
      </w:r>
      <w:r w:rsidR="0090246E">
        <w:t>3.7</w:t>
      </w:r>
      <w:r w:rsidR="0094449E">
        <w:t xml:space="preserve"> </w:t>
      </w:r>
      <w:r>
        <w:t xml:space="preserve">Proposal 1, </w:t>
      </w:r>
      <w:r w:rsidRPr="00071F2B">
        <w:t>Option 3</w:t>
      </w:r>
      <w:r>
        <w:t xml:space="preserve">. PG&amp;E suggests that the 12-month deadline to initiate pre-filing consultation with Staff is rigid, and therefore recommends a more flexible </w:t>
      </w:r>
      <w:r>
        <w:lastRenderedPageBreak/>
        <w:t xml:space="preserve">timeline. SDG&amp;E concurs with PG&amp;E and further recommends that the 12-month deadline should be shortened to </w:t>
      </w:r>
      <w:r w:rsidR="0094449E">
        <w:t>six</w:t>
      </w:r>
      <w:r>
        <w:t xml:space="preserve">-months because </w:t>
      </w:r>
      <w:r w:rsidR="007D4975">
        <w:t>the earlier deadline</w:t>
      </w:r>
      <w:r>
        <w:t xml:space="preserve"> could delay the construction of projects.</w:t>
      </w:r>
      <w:r>
        <w:rPr>
          <w:rStyle w:val="FootnoteReference"/>
        </w:rPr>
        <w:footnoteReference w:id="71"/>
      </w:r>
      <w:r>
        <w:t xml:space="preserve"> LSPGC agrees.</w:t>
      </w:r>
      <w:r>
        <w:rPr>
          <w:rStyle w:val="FootnoteReference"/>
        </w:rPr>
        <w:footnoteReference w:id="72"/>
      </w:r>
    </w:p>
    <w:p w:rsidRPr="005B4200" w:rsidR="00C92570" w:rsidP="00C92570" w:rsidRDefault="00C92570" w14:paraId="3AA565ED" w14:textId="77777777">
      <w:pPr>
        <w:pStyle w:val="Standard"/>
      </w:pPr>
      <w:r>
        <w:t xml:space="preserve">To accommodate their request, </w:t>
      </w:r>
      <w:r w:rsidRPr="005B4200">
        <w:t xml:space="preserve">PG&amp;E, SCE, SDG&amp;E, LSPGC, and </w:t>
      </w:r>
      <w:r w:rsidR="001524A1">
        <w:t>Transmission Owners</w:t>
      </w:r>
      <w:r w:rsidRPr="005B4200">
        <w:t xml:space="preserve"> suggest revising proposed </w:t>
      </w:r>
      <w:r w:rsidR="003B5D07">
        <w:t>GO </w:t>
      </w:r>
      <w:r w:rsidRPr="005B4200">
        <w:t>131-E</w:t>
      </w:r>
      <w:r w:rsidR="00630DCA">
        <w:t>,</w:t>
      </w:r>
      <w:r w:rsidRPr="005B4200">
        <w:t xml:space="preserve"> </w:t>
      </w:r>
      <w:r w:rsidR="00DC14AC">
        <w:t>Section </w:t>
      </w:r>
      <w:r w:rsidRPr="005B4200">
        <w:t>IX.C.1</w:t>
      </w:r>
      <w:r w:rsidR="00630DCA">
        <w:t>,</w:t>
      </w:r>
      <w:r w:rsidRPr="005B4200">
        <w:t xml:space="preserve"> to reduce the 12-month pre-filing requirement to six months “and earlier if reasonably feasible”. PG&amp;E, SCE, SDG&amp;E</w:t>
      </w:r>
      <w:r>
        <w:t xml:space="preserve">, as </w:t>
      </w:r>
      <w:r w:rsidRPr="005B4200">
        <w:t>support</w:t>
      </w:r>
      <w:r>
        <w:t>ed by</w:t>
      </w:r>
      <w:r w:rsidRPr="005B4200">
        <w:t xml:space="preserve"> IEP and other parties</w:t>
      </w:r>
      <w:r>
        <w:t>,</w:t>
      </w:r>
      <w:r w:rsidRPr="005B4200">
        <w:t xml:space="preserve"> suggest </w:t>
      </w:r>
      <w:r>
        <w:t xml:space="preserve">granting </w:t>
      </w:r>
      <w:r w:rsidRPr="005B4200">
        <w:t xml:space="preserve">flexibility to </w:t>
      </w:r>
      <w:r>
        <w:t xml:space="preserve">applicants to </w:t>
      </w:r>
      <w:r w:rsidRPr="005B4200">
        <w:t>“prepare and submit a draft version of an initial study</w:t>
      </w:r>
      <w:r w:rsidRPr="005B4200">
        <w:rPr>
          <w:u w:val="single"/>
        </w:rPr>
        <w:t xml:space="preserve"> (with a draft ND or MND, as appropriate)</w:t>
      </w:r>
      <w:r w:rsidRPr="005B4200">
        <w:t>”.</w:t>
      </w:r>
      <w:r>
        <w:rPr>
          <w:rStyle w:val="FootnoteReference"/>
        </w:rPr>
        <w:footnoteReference w:id="73"/>
      </w:r>
      <w:r w:rsidRPr="005B4200">
        <w:t> </w:t>
      </w:r>
    </w:p>
    <w:p w:rsidR="00C92570" w:rsidP="00C92570" w:rsidRDefault="00C92570" w14:paraId="7643F95B" w14:textId="77777777">
      <w:pPr>
        <w:pStyle w:val="Standard"/>
      </w:pPr>
      <w:r>
        <w:t xml:space="preserve">With respect to </w:t>
      </w:r>
      <w:r w:rsidR="0094449E">
        <w:t xml:space="preserve">Staff Proposal </w:t>
      </w:r>
      <w:r w:rsidR="00DC14AC">
        <w:t>Section </w:t>
      </w:r>
      <w:r w:rsidR="0094449E">
        <w:t xml:space="preserve">3.7 </w:t>
      </w:r>
      <w:r>
        <w:t xml:space="preserve">Proposal 1, Option 2 and </w:t>
      </w:r>
      <w:r w:rsidR="0094449E">
        <w:t xml:space="preserve">Staff Proposal </w:t>
      </w:r>
      <w:r w:rsidR="00DC14AC">
        <w:t>Section </w:t>
      </w:r>
      <w:r w:rsidR="0094449E">
        <w:t>3.7</w:t>
      </w:r>
      <w:r>
        <w:t xml:space="preserve"> Proposal 1, Option 3, </w:t>
      </w:r>
      <w:r w:rsidRPr="005B4200">
        <w:t xml:space="preserve">PG&amp;E, SCE, and SDG&amp;E suggest clarifying that </w:t>
      </w:r>
      <w:r w:rsidR="00DC14AC">
        <w:t>Section </w:t>
      </w:r>
      <w:r w:rsidRPr="005B4200">
        <w:t>IX.C.1.a applies to “</w:t>
      </w:r>
      <w:r w:rsidRPr="005B4200">
        <w:rPr>
          <w:u w:val="single"/>
        </w:rPr>
        <w:t>any required</w:t>
      </w:r>
      <w:r w:rsidRPr="005B4200">
        <w:t xml:space="preserve"> issue-specific technical studies (</w:t>
      </w:r>
      <w:r w:rsidRPr="00E810A5">
        <w:rPr>
          <w:i/>
          <w:iCs/>
        </w:rPr>
        <w:t>e.g.</w:t>
      </w:r>
      <w:r w:rsidRPr="005B4200">
        <w:t>, biological resource studies, cultural resource studies)”. </w:t>
      </w:r>
    </w:p>
    <w:p w:rsidR="00C92570" w:rsidP="00C92570" w:rsidRDefault="00C92570" w14:paraId="28C2041B" w14:textId="77777777">
      <w:pPr>
        <w:pStyle w:val="Standard"/>
      </w:pPr>
      <w:r w:rsidRPr="00F9580D">
        <w:t>PG&amp;E</w:t>
      </w:r>
      <w:r>
        <w:t xml:space="preserve"> does not have any concerns with </w:t>
      </w:r>
      <w:r w:rsidR="00452A66">
        <w:t xml:space="preserve">Staff Proposal </w:t>
      </w:r>
      <w:r w:rsidR="00DC14AC">
        <w:t>Section </w:t>
      </w:r>
      <w:r w:rsidR="00452A66">
        <w:t xml:space="preserve">3.7, </w:t>
      </w:r>
      <w:r>
        <w:t xml:space="preserve">Proposal 2, </w:t>
      </w:r>
      <w:r>
        <w:rPr>
          <w:rStyle w:val="FootnoteReference"/>
        </w:rPr>
        <w:footnoteReference w:id="74"/>
      </w:r>
      <w:r>
        <w:t xml:space="preserve"> while </w:t>
      </w:r>
      <w:r w:rsidRPr="00F9580D">
        <w:t>Cal Advocates</w:t>
      </w:r>
      <w:r>
        <w:t xml:space="preserve"> states that Proposal 2 is a commonsense approach to streamline </w:t>
      </w:r>
      <w:r w:rsidR="003B5D07">
        <w:t>GO </w:t>
      </w:r>
      <w:r>
        <w:t>131-D.</w:t>
      </w:r>
      <w:r>
        <w:rPr>
          <w:rStyle w:val="FootnoteReference"/>
        </w:rPr>
        <w:footnoteReference w:id="75"/>
      </w:r>
    </w:p>
    <w:p w:rsidR="00C92570" w:rsidP="00474AE8" w:rsidRDefault="00C92570" w14:paraId="362456F3" w14:textId="77777777">
      <w:pPr>
        <w:pStyle w:val="Standard"/>
      </w:pPr>
      <w:r w:rsidRPr="00026245">
        <w:t>A range of parties</w:t>
      </w:r>
      <w:r>
        <w:t xml:space="preserve">, including </w:t>
      </w:r>
      <w:r w:rsidRPr="00026245">
        <w:t xml:space="preserve">PG&amp;E, SCE, SDG&amp;E, </w:t>
      </w:r>
      <w:r w:rsidR="001524A1">
        <w:t>Transmission Owners</w:t>
      </w:r>
      <w:r w:rsidRPr="00026245">
        <w:t>, Cal Advocates</w:t>
      </w:r>
      <w:r>
        <w:t>,</w:t>
      </w:r>
      <w:r w:rsidRPr="00026245">
        <w:t xml:space="preserve"> generally support </w:t>
      </w:r>
      <w:r w:rsidR="00452A66">
        <w:t xml:space="preserve">Staff Proposal </w:t>
      </w:r>
      <w:r w:rsidR="00DC14AC">
        <w:t>Section </w:t>
      </w:r>
      <w:r w:rsidR="00452A66">
        <w:t xml:space="preserve">3.7, </w:t>
      </w:r>
      <w:r w:rsidRPr="00026245">
        <w:t>Proposal 3</w:t>
      </w:r>
      <w:r>
        <w:t>.</w:t>
      </w:r>
      <w:r w:rsidRPr="00026245">
        <w:t xml:space="preserve"> Some parties suggest revisions (</w:t>
      </w:r>
      <w:r w:rsidRPr="00E810A5">
        <w:rPr>
          <w:i/>
          <w:iCs/>
        </w:rPr>
        <w:t>e.g.</w:t>
      </w:r>
      <w:r w:rsidRPr="00026245">
        <w:t xml:space="preserve">, </w:t>
      </w:r>
      <w:r w:rsidR="001524A1">
        <w:t>Transmission Owners</w:t>
      </w:r>
      <w:r w:rsidRPr="00026245">
        <w:t>, Cal Advocates). </w:t>
      </w:r>
      <w:r w:rsidR="001524A1">
        <w:t>Transmission Owners</w:t>
      </w:r>
      <w:r w:rsidRPr="00026245">
        <w:t xml:space="preserve"> suggests modifying </w:t>
      </w:r>
      <w:r w:rsidR="00DC14AC">
        <w:t>Section </w:t>
      </w:r>
      <w:r w:rsidRPr="00026245">
        <w:t>IX.A.1.c and IX.B.1.c to state</w:t>
      </w:r>
      <w:r>
        <w:t xml:space="preserve"> that Staff</w:t>
      </w:r>
      <w:r w:rsidRPr="00026245">
        <w:t xml:space="preserve"> shall initiate the process of retaining an environmental </w:t>
      </w:r>
      <w:r w:rsidRPr="00026245">
        <w:lastRenderedPageBreak/>
        <w:t>consultant as soon as possible after the pre-filing consultation so that the consultant is engaged promptly after filing of the application</w:t>
      </w:r>
      <w:r>
        <w:t>.</w:t>
      </w:r>
      <w:r>
        <w:rPr>
          <w:rStyle w:val="FootnoteReference"/>
        </w:rPr>
        <w:footnoteReference w:id="76"/>
      </w:r>
      <w:r w:rsidRPr="00026245">
        <w:t xml:space="preserve"> </w:t>
      </w:r>
    </w:p>
    <w:p w:rsidR="00C92570" w:rsidP="00474AE8" w:rsidRDefault="00C92570" w14:paraId="2B288BA2" w14:textId="77777777">
      <w:pPr>
        <w:pStyle w:val="Standard"/>
      </w:pPr>
      <w:r w:rsidRPr="00026245">
        <w:t xml:space="preserve">Cal Advocates suggests revising </w:t>
      </w:r>
      <w:r w:rsidR="00452A66">
        <w:t xml:space="preserve">Staff Proposal </w:t>
      </w:r>
      <w:r w:rsidR="00DC14AC">
        <w:t>Section </w:t>
      </w:r>
      <w:r w:rsidR="00452A66">
        <w:t>3.7</w:t>
      </w:r>
      <w:r w:rsidR="00CA30A2">
        <w:t>,</w:t>
      </w:r>
      <w:r w:rsidRPr="00026245">
        <w:t xml:space="preserve"> Proposal 3 or using the Phase 2 decision to clarify existing pre-filing procedures and include additional procedures to further expedite the permitting process by enhancing early environmental review, </w:t>
      </w:r>
      <w:r>
        <w:t>that i</w:t>
      </w:r>
      <w:r w:rsidRPr="00026245">
        <w:t>nclud</w:t>
      </w:r>
      <w:r>
        <w:t>e requiring applicants to</w:t>
      </w:r>
      <w:r w:rsidRPr="00026245">
        <w:t>:</w:t>
      </w:r>
      <w:r>
        <w:rPr>
          <w:rStyle w:val="FootnoteReference"/>
        </w:rPr>
        <w:footnoteReference w:id="77"/>
      </w:r>
      <w:r w:rsidRPr="00026245">
        <w:t xml:space="preserve"> </w:t>
      </w:r>
    </w:p>
    <w:p w:rsidR="00C92570" w:rsidP="002B7E0D" w:rsidRDefault="00C92570" w14:paraId="4D819A25" w14:textId="77777777">
      <w:pPr>
        <w:pStyle w:val="Standard"/>
        <w:spacing w:after="120" w:line="240" w:lineRule="auto"/>
        <w:ind w:left="1080" w:right="1440" w:hanging="360"/>
      </w:pPr>
      <w:r w:rsidRPr="00026245">
        <w:t xml:space="preserve">(1) file a “high-level assessment of expected environmental and cultural impacts” of the proposed project and alternatives as part of the pre-filing consultation process, and explicitly determine, as early as possible, the extent to which the project is expected to impact any CEQA resource; </w:t>
      </w:r>
    </w:p>
    <w:p w:rsidR="00C92570" w:rsidP="002B7E0D" w:rsidRDefault="00C92570" w14:paraId="0003648C" w14:textId="77777777">
      <w:pPr>
        <w:pStyle w:val="Standard"/>
        <w:spacing w:after="120" w:line="240" w:lineRule="auto"/>
        <w:ind w:left="1080" w:right="1440" w:hanging="360"/>
      </w:pPr>
      <w:r w:rsidRPr="00026245">
        <w:t>(2) provide conceptual siting and identified impacts to the C</w:t>
      </w:r>
      <w:r w:rsidR="009474A2">
        <w:t>ommission</w:t>
      </w:r>
      <w:r w:rsidRPr="00026245">
        <w:t xml:space="preserve"> as soon as identified, and conduct a preliminary high-level assessment of any large greenfield project’s impacts prior to that project’s consideration in the CAISO </w:t>
      </w:r>
      <w:r w:rsidR="00FC1091">
        <w:t>Transmission Planning Process (</w:t>
      </w:r>
      <w:r w:rsidRPr="00026245">
        <w:t>TPP</w:t>
      </w:r>
      <w:r w:rsidR="00FC1091">
        <w:t>)</w:t>
      </w:r>
      <w:r w:rsidRPr="00026245">
        <w:t xml:space="preserve">; </w:t>
      </w:r>
    </w:p>
    <w:p w:rsidR="00C92570" w:rsidP="002B7E0D" w:rsidRDefault="00C92570" w14:paraId="1D34FFF1" w14:textId="77777777">
      <w:pPr>
        <w:pStyle w:val="Standard"/>
        <w:spacing w:after="120" w:line="240" w:lineRule="auto"/>
        <w:ind w:left="1080" w:right="1440" w:hanging="360"/>
      </w:pPr>
      <w:r w:rsidRPr="00026245">
        <w:t>(3) file a report within 6-12 months of each CAISO transmission plan approval identifying which projects from that transmission plan will require a permit from the C</w:t>
      </w:r>
      <w:r w:rsidR="00BF2144">
        <w:t>ommission</w:t>
      </w:r>
      <w:r w:rsidRPr="00026245">
        <w:t>, including estimated application date and requested permit</w:t>
      </w:r>
      <w:r w:rsidR="00691F1D">
        <w:t xml:space="preserve"> </w:t>
      </w:r>
      <w:r w:rsidRPr="00026245">
        <w:t xml:space="preserve">issuance date; and </w:t>
      </w:r>
    </w:p>
    <w:p w:rsidRPr="00071F2B" w:rsidR="00C92570" w:rsidP="002B7E0D" w:rsidRDefault="00C92570" w14:paraId="154B730F" w14:textId="77777777">
      <w:pPr>
        <w:pStyle w:val="Standard"/>
        <w:spacing w:after="120" w:line="240" w:lineRule="auto"/>
        <w:ind w:left="1080" w:right="1440" w:hanging="360"/>
      </w:pPr>
      <w:r w:rsidRPr="00026245">
        <w:t>(4) submit a project summary, maps and basic GIS data for several preliminarily identified alternatives in addition to the proposed project</w:t>
      </w:r>
      <w:r>
        <w:t xml:space="preserve">, </w:t>
      </w:r>
      <w:r w:rsidRPr="00026245">
        <w:t>as part of the pre-filing consultation</w:t>
      </w:r>
      <w:r>
        <w:t>.</w:t>
      </w:r>
    </w:p>
    <w:p w:rsidRPr="007A2EF1" w:rsidR="00C92570" w:rsidP="00D13705" w:rsidRDefault="008E6B91" w14:paraId="0A89B1B9" w14:textId="77777777">
      <w:pPr>
        <w:pStyle w:val="Heading3"/>
        <w:numPr>
          <w:ilvl w:val="2"/>
          <w:numId w:val="18"/>
        </w:numPr>
      </w:pPr>
      <w:r>
        <w:t xml:space="preserve">    </w:t>
      </w:r>
      <w:bookmarkStart w:name="_Toc189738502" w:id="138"/>
      <w:r w:rsidR="00C92570">
        <w:t xml:space="preserve">Adoption of </w:t>
      </w:r>
      <w:r w:rsidRPr="007A2EF1" w:rsidR="00C92570">
        <w:t>Proposals</w:t>
      </w:r>
      <w:bookmarkEnd w:id="138"/>
      <w:r w:rsidRPr="007A2EF1" w:rsidR="00C92570">
        <w:t xml:space="preserve"> </w:t>
      </w:r>
    </w:p>
    <w:p w:rsidR="00C92570" w:rsidP="003163C0" w:rsidRDefault="000007E2" w14:paraId="5F73C8EE" w14:textId="77777777">
      <w:pPr>
        <w:pStyle w:val="Standard"/>
      </w:pPr>
      <w:r>
        <w:t xml:space="preserve">While </w:t>
      </w:r>
      <w:r w:rsidRPr="000007E2">
        <w:t xml:space="preserve">the enactment of AB 551 now permits the Commission to adopt amendments to the PEA Guidelines via resolution, which supersedes the OAL </w:t>
      </w:r>
      <w:r w:rsidRPr="000007E2">
        <w:lastRenderedPageBreak/>
        <w:t>review process that was previously required</w:t>
      </w:r>
      <w:r w:rsidR="003D6B6D">
        <w:t>,</w:t>
      </w:r>
      <w:r w:rsidRPr="000007E2">
        <w:t xml:space="preserve"> </w:t>
      </w:r>
      <w:r w:rsidR="00C92570">
        <w:t xml:space="preserve">we do not favor </w:t>
      </w:r>
      <w:r w:rsidR="00C068B2">
        <w:t xml:space="preserve">Staff Proposal </w:t>
      </w:r>
      <w:r w:rsidR="00DC14AC">
        <w:t>Section </w:t>
      </w:r>
      <w:r w:rsidR="00C068B2">
        <w:t xml:space="preserve">3.7, </w:t>
      </w:r>
      <w:r w:rsidR="00C92570">
        <w:t>Proposal 1, Option 1.</w:t>
      </w:r>
      <w:r w:rsidR="003D6B6D">
        <w:t xml:space="preserve"> As detailed below, we choose to adopt Section 3.7, Proposal 1, </w:t>
      </w:r>
      <w:r w:rsidRPr="000007E2">
        <w:t xml:space="preserve">Option 3 </w:t>
      </w:r>
      <w:r w:rsidR="003D6B6D">
        <w:t>because it</w:t>
      </w:r>
      <w:r w:rsidRPr="000007E2">
        <w:t xml:space="preserve"> clarifies that applicant-submitted documents would be "draft versions" of CEQA documents, not "draft CEQA documents"</w:t>
      </w:r>
      <w:r w:rsidR="002518F8">
        <w:t xml:space="preserve">, and </w:t>
      </w:r>
      <w:r w:rsidRPr="000007E2">
        <w:t>outlines additional necessary specifications for applicant-submitted documents.</w:t>
      </w:r>
      <w:r w:rsidR="003163C0">
        <w:t xml:space="preserve"> </w:t>
      </w:r>
      <w:r w:rsidR="00C92570">
        <w:t xml:space="preserve">Further, we also agree with Staff that </w:t>
      </w:r>
      <w:r w:rsidR="006B0BA3">
        <w:t xml:space="preserve">if Section 3.7, Proposal 1, Option 1 </w:t>
      </w:r>
      <w:r w:rsidR="00C50F3C">
        <w:t>were to be adopted</w:t>
      </w:r>
      <w:r w:rsidR="00BE3769">
        <w:t>,</w:t>
      </w:r>
      <w:r w:rsidR="00C50F3C">
        <w:t xml:space="preserve"> </w:t>
      </w:r>
      <w:r w:rsidR="00C92570">
        <w:t>a checklist must be created to include detailed project</w:t>
      </w:r>
      <w:r w:rsidRPr="00651301" w:rsidR="00C92570">
        <w:t xml:space="preserve"> information</w:t>
      </w:r>
      <w:r w:rsidR="00C92570">
        <w:t xml:space="preserve"> that corresponds with information currently required in a PEA.</w:t>
      </w:r>
      <w:r w:rsidR="00C92570">
        <w:rPr>
          <w:rStyle w:val="FootnoteReference"/>
        </w:rPr>
        <w:footnoteReference w:id="78"/>
      </w:r>
      <w:r w:rsidR="00C92570">
        <w:rPr>
          <w:vertAlign w:val="superscript"/>
        </w:rPr>
        <w:t xml:space="preserve">  </w:t>
      </w:r>
      <w:r w:rsidR="009F0183">
        <w:t>This is</w:t>
      </w:r>
      <w:r w:rsidR="00C92570">
        <w:t xml:space="preserve"> an additional layer of regulatory process that would </w:t>
      </w:r>
      <w:r w:rsidRPr="00663737" w:rsidR="00C92570">
        <w:t>stall</w:t>
      </w:r>
      <w:r w:rsidR="00C92570">
        <w:t xml:space="preserve"> our current efforts.</w:t>
      </w:r>
    </w:p>
    <w:p w:rsidR="009D1A3C" w:rsidP="003163C0" w:rsidRDefault="009D1A3C" w14:paraId="77F035ED" w14:textId="77777777">
      <w:pPr>
        <w:pStyle w:val="Standard"/>
      </w:pPr>
      <w:r w:rsidRPr="009D1A3C">
        <w:t>However, as mentioned earlier, the enactment of AB 551 now permits the Commission to adopt amendments to the PEA Guidelines through adoption of a resolution. This process would supersede the prior OAL review process.   </w:t>
      </w:r>
    </w:p>
    <w:p w:rsidRPr="000468E8" w:rsidR="00C92570" w:rsidP="00C92570" w:rsidRDefault="00C92570" w14:paraId="5551B6FD" w14:textId="77777777">
      <w:pPr>
        <w:pStyle w:val="Standard"/>
      </w:pPr>
      <w:r w:rsidRPr="000468E8">
        <w:rPr>
          <w:b/>
          <w:bCs/>
          <w:i/>
          <w:iCs/>
          <w:u w:val="single"/>
        </w:rPr>
        <w:t>Adoption of</w:t>
      </w:r>
      <w:r w:rsidR="00C068B2">
        <w:rPr>
          <w:b/>
          <w:bCs/>
          <w:i/>
          <w:iCs/>
          <w:u w:val="single"/>
        </w:rPr>
        <w:t xml:space="preserve"> </w:t>
      </w:r>
      <w:r w:rsidR="008F263A">
        <w:rPr>
          <w:b/>
          <w:bCs/>
          <w:i/>
          <w:iCs/>
          <w:u w:val="single"/>
        </w:rPr>
        <w:t>Staff</w:t>
      </w:r>
      <w:r w:rsidR="00C068B2">
        <w:rPr>
          <w:b/>
          <w:bCs/>
          <w:i/>
          <w:iCs/>
          <w:u w:val="single"/>
        </w:rPr>
        <w:t xml:space="preserve"> Proposal </w:t>
      </w:r>
      <w:r w:rsidR="00DC14AC">
        <w:rPr>
          <w:b/>
          <w:bCs/>
          <w:i/>
          <w:iCs/>
          <w:u w:val="single"/>
        </w:rPr>
        <w:t>Section </w:t>
      </w:r>
      <w:r w:rsidR="00C068B2">
        <w:rPr>
          <w:b/>
          <w:bCs/>
          <w:i/>
          <w:iCs/>
          <w:u w:val="single"/>
        </w:rPr>
        <w:t>3.7,</w:t>
      </w:r>
      <w:r w:rsidRPr="000468E8">
        <w:rPr>
          <w:b/>
          <w:bCs/>
          <w:i/>
          <w:iCs/>
          <w:u w:val="single"/>
        </w:rPr>
        <w:t xml:space="preserve"> Staff Proposal 1, Option 3, With Modification:</w:t>
      </w:r>
      <w:r w:rsidRPr="000468E8">
        <w:t xml:space="preserve"> As supported by a diverse set of parties, including PG&amp;E, SCE, SDG&amp;E, LSPGC, </w:t>
      </w:r>
      <w:r w:rsidR="001524A1">
        <w:t>Transmission Owners</w:t>
      </w:r>
      <w:r w:rsidRPr="000468E8">
        <w:t xml:space="preserve">, DOW, and Cal Advocates, we adopt Staff Proposal 1, Option 3 with modifications, as discussed below. </w:t>
      </w:r>
    </w:p>
    <w:p w:rsidR="00AC34D1" w:rsidP="00C92570" w:rsidRDefault="195C637B" w14:paraId="3AE5E559" w14:textId="77777777">
      <w:pPr>
        <w:pStyle w:val="Standard"/>
      </w:pPr>
      <w:r>
        <w:t xml:space="preserve">In doing so, we stress the </w:t>
      </w:r>
      <w:r w:rsidDel="195C637B" w:rsidR="550816FC">
        <w:t xml:space="preserve">need </w:t>
      </w:r>
      <w:r w:rsidR="13954A6E">
        <w:t>for and importance of</w:t>
      </w:r>
      <w:r>
        <w:t xml:space="preserve"> applicants to initiate early coordination and pre-filing consultation with Staff</w:t>
      </w:r>
      <w:r w:rsidR="33692B59">
        <w:t xml:space="preserve"> </w:t>
      </w:r>
      <w:r>
        <w:t xml:space="preserve">to ensure </w:t>
      </w:r>
      <w:r w:rsidRPr="00696821" w:rsidR="77CEF5FB">
        <w:t>adequate</w:t>
      </w:r>
      <w:r w:rsidR="77CEF5FB">
        <w:t xml:space="preserve"> </w:t>
      </w:r>
      <w:r>
        <w:t xml:space="preserve">coordination </w:t>
      </w:r>
      <w:r w:rsidRPr="00696821" w:rsidR="77CEF5FB">
        <w:t>time before filing an application</w:t>
      </w:r>
      <w:r w:rsidDel="58BDBAEA" w:rsidR="550816FC">
        <w:t xml:space="preserve"> </w:t>
      </w:r>
      <w:r>
        <w:t xml:space="preserve">on the required level of environmental analysis and </w:t>
      </w:r>
      <w:r w:rsidR="1A785CBC">
        <w:t xml:space="preserve">to </w:t>
      </w:r>
      <w:r>
        <w:t>timely initiate a contract with an environment consultant. T</w:t>
      </w:r>
      <w:r w:rsidR="5957482A">
        <w:t>his</w:t>
      </w:r>
      <w:r>
        <w:t xml:space="preserve"> early coordination will </w:t>
      </w:r>
      <w:r w:rsidR="5957482A">
        <w:t xml:space="preserve">be </w:t>
      </w:r>
      <w:r>
        <w:t>especially critical</w:t>
      </w:r>
      <w:r w:rsidR="00AC7661">
        <w:t xml:space="preserve"> when</w:t>
      </w:r>
      <w:r>
        <w:t xml:space="preserve"> applicants  p</w:t>
      </w:r>
      <w:r w:rsidR="4163D479">
        <w:t>repare</w:t>
      </w:r>
      <w:r>
        <w:t xml:space="preserve"> </w:t>
      </w:r>
      <w:r w:rsidR="00AC7661">
        <w:t xml:space="preserve">and submit </w:t>
      </w:r>
      <w:r>
        <w:t xml:space="preserve">a draft version of a CEQA document. </w:t>
      </w:r>
      <w:r w:rsidR="530F489F">
        <w:t>As noted by parties, w</w:t>
      </w:r>
      <w:r w:rsidR="6F911FA3">
        <w:t xml:space="preserve">e </w:t>
      </w:r>
      <w:r>
        <w:t xml:space="preserve">also recognize that </w:t>
      </w:r>
      <w:r w:rsidR="034854C8">
        <w:t>it may not always be feasible for applicants to initiate</w:t>
      </w:r>
      <w:r>
        <w:t xml:space="preserve"> pre-</w:t>
      </w:r>
      <w:r>
        <w:lastRenderedPageBreak/>
        <w:t xml:space="preserve">filing consultation 12 months prior to filing an application. Therefore, we are amenable to </w:t>
      </w:r>
      <w:r w:rsidR="6B3371E0">
        <w:t xml:space="preserve">applicants initiating </w:t>
      </w:r>
      <w:r w:rsidR="3A7927C0">
        <w:t>pre-</w:t>
      </w:r>
      <w:r w:rsidR="5432FDCC">
        <w:t xml:space="preserve">filing </w:t>
      </w:r>
      <w:r w:rsidR="3A7927C0">
        <w:t xml:space="preserve">consultation </w:t>
      </w:r>
      <w:r w:rsidR="2B9E4704">
        <w:t>closer to the application filing date on a case-by-case basis</w:t>
      </w:r>
      <w:r w:rsidR="680A205A">
        <w:t xml:space="preserve">. </w:t>
      </w:r>
      <w:r w:rsidRPr="00696821" w:rsidR="3650AE0A">
        <w:t xml:space="preserve"> </w:t>
      </w:r>
    </w:p>
    <w:p w:rsidRPr="008106CF" w:rsidR="00C92570" w:rsidP="00C92570" w:rsidRDefault="00AC34D1" w14:paraId="209C4E37" w14:textId="77777777">
      <w:pPr>
        <w:pStyle w:val="Standard"/>
      </w:pPr>
      <w:r w:rsidRPr="008675AA">
        <w:t>Balancing these</w:t>
      </w:r>
      <w:r w:rsidR="430B4370">
        <w:t xml:space="preserve"> needs</w:t>
      </w:r>
      <w:r w:rsidR="550816FC">
        <w:t xml:space="preserve">, </w:t>
      </w:r>
      <w:r w:rsidR="16B23C95">
        <w:t xml:space="preserve">we </w:t>
      </w:r>
      <w:r w:rsidR="3A61FB45">
        <w:t>do not adopt</w:t>
      </w:r>
      <w:r w:rsidR="550816FC">
        <w:t xml:space="preserve"> </w:t>
      </w:r>
      <w:r w:rsidR="008B1ECF">
        <w:t xml:space="preserve">Staff Proposal Section 3.7, </w:t>
      </w:r>
      <w:r w:rsidR="550816FC">
        <w:t>Proposal 1, Option 3</w:t>
      </w:r>
      <w:r w:rsidR="1B975317">
        <w:t xml:space="preserve"> as originally proposed</w:t>
      </w:r>
      <w:r w:rsidR="39CDC93A">
        <w:t>. Instead, we</w:t>
      </w:r>
      <w:r w:rsidR="550816FC">
        <w:t xml:space="preserve"> </w:t>
      </w:r>
      <w:r w:rsidR="56DA6115">
        <w:t>require project applicants to in</w:t>
      </w:r>
      <w:r w:rsidR="3F41A4FA">
        <w:t xml:space="preserve">itiate </w:t>
      </w:r>
      <w:r w:rsidR="5F26D104">
        <w:t xml:space="preserve">pre-filing </w:t>
      </w:r>
      <w:r w:rsidR="3F41A4FA">
        <w:t>consul</w:t>
      </w:r>
      <w:r w:rsidR="2B545745">
        <w:t>tation with Sta</w:t>
      </w:r>
      <w:r w:rsidR="735E289A">
        <w:t xml:space="preserve">ff at </w:t>
      </w:r>
      <w:r w:rsidR="1BD992F5">
        <w:t>least</w:t>
      </w:r>
      <w:r w:rsidR="550816FC">
        <w:t xml:space="preserve"> </w:t>
      </w:r>
      <w:r w:rsidR="260EF4BE">
        <w:t xml:space="preserve">six </w:t>
      </w:r>
      <w:r w:rsidR="550816FC">
        <w:t>month</w:t>
      </w:r>
      <w:r w:rsidR="61263EAC">
        <w:t>s</w:t>
      </w:r>
      <w:r w:rsidR="550816FC">
        <w:t xml:space="preserve"> </w:t>
      </w:r>
      <w:r w:rsidR="1BD992F5">
        <w:t>befor</w:t>
      </w:r>
      <w:r w:rsidR="76AC906F">
        <w:t>e filing an application.</w:t>
      </w:r>
      <w:r w:rsidR="338C08CD">
        <w:t xml:space="preserve"> </w:t>
      </w:r>
      <w:r w:rsidR="3FC2A12E">
        <w:t xml:space="preserve">To address </w:t>
      </w:r>
      <w:r w:rsidR="50E052C4">
        <w:t>potential</w:t>
      </w:r>
      <w:r w:rsidR="61263EAC">
        <w:t xml:space="preserve"> c</w:t>
      </w:r>
      <w:r w:rsidR="50E052C4">
        <w:t>oncerns</w:t>
      </w:r>
      <w:r w:rsidR="24497413">
        <w:t xml:space="preserve"> raised by project applicants</w:t>
      </w:r>
      <w:r w:rsidR="61263EAC">
        <w:t>,</w:t>
      </w:r>
      <w:r w:rsidR="38AF3072">
        <w:t xml:space="preserve"> </w:t>
      </w:r>
      <w:r w:rsidR="3E5C084E">
        <w:t>pre-filing</w:t>
      </w:r>
      <w:r w:rsidR="338C08CD">
        <w:t xml:space="preserve"> </w:t>
      </w:r>
      <w:r w:rsidR="0511F415">
        <w:t>consultation</w:t>
      </w:r>
      <w:r w:rsidR="3E5C084E">
        <w:t xml:space="preserve"> may be</w:t>
      </w:r>
      <w:r w:rsidR="270A0C89">
        <w:t xml:space="preserve"> delayed</w:t>
      </w:r>
      <w:r w:rsidR="39F8BEFE">
        <w:t xml:space="preserve"> on a case-by-case basis</w:t>
      </w:r>
      <w:r w:rsidR="270A0C89">
        <w:t xml:space="preserve"> if aut</w:t>
      </w:r>
      <w:r w:rsidR="61263EAC">
        <w:t>horized by Staff in writing</w:t>
      </w:r>
      <w:r w:rsidR="550816FC">
        <w:t xml:space="preserve">. </w:t>
      </w:r>
    </w:p>
    <w:p w:rsidRPr="000468E8" w:rsidR="00C92570" w:rsidP="064A553F" w:rsidRDefault="550816FC" w14:paraId="27716761" w14:textId="77777777">
      <w:pPr>
        <w:pStyle w:val="Standard"/>
      </w:pPr>
      <w:r>
        <w:t xml:space="preserve">As proposed by PG&amp;E, SCE, SDG&amp;E, LSPGC, and </w:t>
      </w:r>
      <w:r w:rsidR="001524A1">
        <w:t>Transmission Owners</w:t>
      </w:r>
      <w:r>
        <w:t xml:space="preserve">, we also modify </w:t>
      </w:r>
      <w:r w:rsidR="00A3439D">
        <w:t xml:space="preserve">Staff Proposal </w:t>
      </w:r>
      <w:r w:rsidR="00DC14AC">
        <w:t>Section </w:t>
      </w:r>
      <w:r w:rsidR="00A3439D">
        <w:t xml:space="preserve">3.7, </w:t>
      </w:r>
      <w:r>
        <w:t xml:space="preserve">Proposal 1, Option 3, by </w:t>
      </w:r>
      <w:r w:rsidR="22AE8730">
        <w:t>revising the</w:t>
      </w:r>
      <w:r>
        <w:t xml:space="preserve"> list of permissible </w:t>
      </w:r>
      <w:r w:rsidR="127D04E8">
        <w:t xml:space="preserve">draft versions of </w:t>
      </w:r>
      <w:r>
        <w:t xml:space="preserve">CEQA document types in </w:t>
      </w:r>
      <w:r w:rsidR="00217414">
        <w:t>Section IX in GO 131-D</w:t>
      </w:r>
      <w:r w:rsidR="00DF0A0B">
        <w:t xml:space="preserve">, as reflected in </w:t>
      </w:r>
      <w:r w:rsidR="00DC14AC">
        <w:t>Section </w:t>
      </w:r>
      <w:r w:rsidR="007D0105">
        <w:t>VII</w:t>
      </w:r>
      <w:r>
        <w:t>.C</w:t>
      </w:r>
      <w:r w:rsidR="007D0105">
        <w:t xml:space="preserve">.1 </w:t>
      </w:r>
      <w:r w:rsidR="00F940ED">
        <w:t>in GO 131-E</w:t>
      </w:r>
      <w:r w:rsidR="00DF0A0B">
        <w:t>,</w:t>
      </w:r>
      <w:r w:rsidR="00F940ED">
        <w:t xml:space="preserve"> </w:t>
      </w:r>
      <w:r>
        <w:t xml:space="preserve">that applicants may prepare and submit </w:t>
      </w:r>
      <w:r w:rsidR="22AE8730">
        <w:t>to include a</w:t>
      </w:r>
      <w:r>
        <w:t xml:space="preserve"> draft version of an initial study, ND, MND, EIR, addendum, or analysis of the applicability of an exemption from CEQA in their applications in lieu of a PEA. </w:t>
      </w:r>
      <w:r w:rsidRPr="00AC321A" w:rsidR="00AC321A">
        <w:t xml:space="preserve">We also make similar conforming changes to Section VI in reference to the submission of draft versions of applicant-prepared CEQA documents for the permitting of generation facilities. </w:t>
      </w:r>
      <w:r>
        <w:t>Our</w:t>
      </w:r>
      <w:r w:rsidDel="550816FC" w:rsidR="00C92570">
        <w:t xml:space="preserve"> </w:t>
      </w:r>
      <w:r w:rsidR="5E15BF57">
        <w:t xml:space="preserve">inclusion </w:t>
      </w:r>
      <w:r>
        <w:t xml:space="preserve">of this broad list of </w:t>
      </w:r>
      <w:r w:rsidR="30A87B08">
        <w:t xml:space="preserve">draft versions of </w:t>
      </w:r>
      <w:r>
        <w:t xml:space="preserve">CEQA documents acknowledges that some applicants may be eager to draft a version of the “MND” or “ND” section of the IS/MND or IS/ND (i.e., the section summarizing the findings and mitigation measures) in addition to the initial study checklist. These draft </w:t>
      </w:r>
      <w:r w:rsidR="45566D4C">
        <w:t xml:space="preserve">versions of </w:t>
      </w:r>
      <w:r>
        <w:t>CEQA documents, however, would be subject to the Commission’s independent review, judgement, and revision</w:t>
      </w:r>
      <w:r w:rsidR="74A60460">
        <w:t xml:space="preserve"> when the Commission prepares its own draft CEQA document </w:t>
      </w:r>
      <w:r w:rsidR="7F91AC88">
        <w:t xml:space="preserve">pursuant to California </w:t>
      </w:r>
      <w:r w:rsidRPr="00313E9D" w:rsidR="256CEAA9">
        <w:t>P</w:t>
      </w:r>
      <w:r w:rsidRPr="00313E9D" w:rsidR="00AC34D1">
        <w:t xml:space="preserve">ub. </w:t>
      </w:r>
      <w:r w:rsidRPr="00313E9D" w:rsidR="256CEAA9">
        <w:t>R</w:t>
      </w:r>
      <w:r w:rsidRPr="00313E9D" w:rsidR="00AC34D1">
        <w:t xml:space="preserve">es. </w:t>
      </w:r>
      <w:r w:rsidRPr="00313E9D" w:rsidR="256CEAA9">
        <w:t>C</w:t>
      </w:r>
      <w:r w:rsidRPr="00313E9D" w:rsidR="00AC34D1">
        <w:t>ode</w:t>
      </w:r>
      <w:r w:rsidRPr="00313E9D" w:rsidR="7F91AC88">
        <w:t xml:space="preserve"> </w:t>
      </w:r>
      <w:r w:rsidR="00DC14AC">
        <w:t>Section </w:t>
      </w:r>
      <w:r w:rsidR="36C89DDC">
        <w:t>21082.1</w:t>
      </w:r>
      <w:r>
        <w:t>.</w:t>
      </w:r>
    </w:p>
    <w:p w:rsidRPr="000468E8" w:rsidR="00C92570" w:rsidRDefault="00AC34D1" w14:paraId="4497AE15" w14:textId="77777777">
      <w:pPr>
        <w:pStyle w:val="Standard"/>
      </w:pPr>
      <w:r w:rsidRPr="00313E9D">
        <w:lastRenderedPageBreak/>
        <w:t>Pub. Res. Code</w:t>
      </w:r>
      <w:r w:rsidRPr="00313E9D" w:rsidR="00805969">
        <w:t xml:space="preserve"> </w:t>
      </w:r>
      <w:r w:rsidR="00DC14AC">
        <w:t>Section </w:t>
      </w:r>
      <w:r w:rsidR="32D57D19">
        <w:t xml:space="preserve">21082.1(a) states that a draft EIR, MND, or ND “shall be prepared directly by, or under contract to, a public agency.” </w:t>
      </w:r>
      <w:r w:rsidRPr="00383FBF">
        <w:t xml:space="preserve">Pub. Res. Code </w:t>
      </w:r>
      <w:r w:rsidR="00DC14AC">
        <w:t>Section </w:t>
      </w:r>
      <w:r w:rsidR="32D57D19">
        <w:t>21082.1(b) provides that a person may submit “information or other comments” to the public agency responsible for preparing a CEQA document, and that the information or other comments “may be submitted in any format, shall be considered by the public agency, and may be included, in whole or in part, in any report or declaration.</w:t>
      </w:r>
      <w:r w:rsidR="00AE603B">
        <w:rPr>
          <w:rStyle w:val="FootnoteReference"/>
        </w:rPr>
        <w:footnoteReference w:id="79"/>
      </w:r>
      <w:r w:rsidR="32D57D19">
        <w:t>"</w:t>
      </w:r>
      <w:r w:rsidR="550816FC">
        <w:t> </w:t>
      </w:r>
      <w:r w:rsidRPr="00140A69" w:rsidR="550816FC">
        <w:t xml:space="preserve">While we approve the submittal of a broad list of draft </w:t>
      </w:r>
      <w:r w:rsidRPr="000468E8" w:rsidR="7FCCFF87">
        <w:t xml:space="preserve">versions of </w:t>
      </w:r>
      <w:r w:rsidRPr="00140A69" w:rsidR="550816FC">
        <w:t xml:space="preserve">CEQA documents in applications, limiting the types of applicant-prepared draft versions of CEQA documents to an initial study or EIR </w:t>
      </w:r>
      <w:r w:rsidRPr="000468E8" w:rsidR="0C2B5A72">
        <w:t xml:space="preserve">as originally proposed by Staff </w:t>
      </w:r>
      <w:r w:rsidRPr="00140A69" w:rsidR="550816FC">
        <w:t xml:space="preserve">would </w:t>
      </w:r>
      <w:r w:rsidR="00002C2A">
        <w:t xml:space="preserve">also </w:t>
      </w:r>
      <w:r w:rsidRPr="00140A69" w:rsidR="550816FC">
        <w:t xml:space="preserve">be consistent with CEQA Guidelines </w:t>
      </w:r>
      <w:r w:rsidR="00DC14AC">
        <w:t>Section </w:t>
      </w:r>
      <w:r w:rsidRPr="00140A69" w:rsidR="550816FC">
        <w:t>15063.</w:t>
      </w:r>
      <w:r w:rsidRPr="000468E8" w:rsidR="550816FC">
        <w:t xml:space="preserve"> </w:t>
      </w:r>
      <w:r w:rsidRPr="00580B2D" w:rsidR="40543733">
        <w:t>We</w:t>
      </w:r>
      <w:r w:rsidRPr="00580B2D" w:rsidR="550816FC">
        <w:t xml:space="preserve"> agree with Staff that an “initial study” is the technical term used for the draft IS/MND or IS/ND prior to the circulation of a draft to the public, and that the document </w:t>
      </w:r>
      <w:r w:rsidR="002E72ED">
        <w:t xml:space="preserve">only </w:t>
      </w:r>
      <w:r w:rsidRPr="00580B2D" w:rsidR="550816FC">
        <w:t xml:space="preserve">would be referred to as an </w:t>
      </w:r>
      <w:r w:rsidR="002E72ED">
        <w:t>IS/</w:t>
      </w:r>
      <w:r w:rsidRPr="00580B2D" w:rsidR="550816FC">
        <w:t xml:space="preserve">MND or </w:t>
      </w:r>
      <w:r w:rsidR="002E72ED">
        <w:t>IS/</w:t>
      </w:r>
      <w:r w:rsidRPr="00580B2D" w:rsidR="550816FC">
        <w:t xml:space="preserve">ND </w:t>
      </w:r>
      <w:r w:rsidRPr="00580B2D" w:rsidR="22AE8730">
        <w:t xml:space="preserve">once </w:t>
      </w:r>
      <w:r w:rsidRPr="00580B2D" w:rsidR="550816FC">
        <w:t xml:space="preserve">Staff circulates the </w:t>
      </w:r>
      <w:r w:rsidRPr="00580B2D" w:rsidR="22AE8730">
        <w:t>document</w:t>
      </w:r>
      <w:r w:rsidRPr="00580B2D" w:rsidR="550816FC">
        <w:t xml:space="preserve"> to the public</w:t>
      </w:r>
      <w:r w:rsidRPr="000468E8" w:rsidR="550816FC">
        <w:t>.</w:t>
      </w:r>
      <w:r w:rsidRPr="000468E8" w:rsidR="00C92570">
        <w:rPr>
          <w:rStyle w:val="FootnoteReference"/>
        </w:rPr>
        <w:footnoteReference w:id="80"/>
      </w:r>
      <w:r w:rsidRPr="000468E8" w:rsidR="550816FC">
        <w:t xml:space="preserve"> </w:t>
      </w:r>
      <w:r w:rsidRPr="00580B2D" w:rsidR="007154F4">
        <w:t>If</w:t>
      </w:r>
      <w:r w:rsidRPr="00494E09" w:rsidR="00DE7A2E">
        <w:t xml:space="preserve"> </w:t>
      </w:r>
      <w:r w:rsidR="00604BAD">
        <w:t>an</w:t>
      </w:r>
      <w:r w:rsidRPr="00494E09" w:rsidR="00DE7A2E">
        <w:t xml:space="preserve"> applicant</w:t>
      </w:r>
      <w:r w:rsidR="00E51489">
        <w:t xml:space="preserve"> </w:t>
      </w:r>
      <w:r w:rsidRPr="00494E09" w:rsidR="00DE7A2E">
        <w:t>prepare</w:t>
      </w:r>
      <w:r w:rsidR="00E51489">
        <w:t xml:space="preserve">s and </w:t>
      </w:r>
      <w:r w:rsidR="00B73650">
        <w:t>submits</w:t>
      </w:r>
      <w:r w:rsidRPr="00494E09" w:rsidR="00DE7A2E">
        <w:t xml:space="preserve"> </w:t>
      </w:r>
      <w:r w:rsidR="001B3266">
        <w:t>a</w:t>
      </w:r>
      <w:r w:rsidRPr="00494E09" w:rsidR="00DE7A2E">
        <w:t xml:space="preserve"> draft </w:t>
      </w:r>
      <w:r w:rsidRPr="00580B2D" w:rsidR="00DE7A2E">
        <w:t>version</w:t>
      </w:r>
      <w:r w:rsidRPr="00494E09" w:rsidR="00DE7A2E">
        <w:t xml:space="preserve"> of the full IS/MND or IS/ND, rather than just the initial study checklist, </w:t>
      </w:r>
      <w:r w:rsidRPr="00BB7B1F" w:rsidR="00DE7A2E">
        <w:t xml:space="preserve">the Commission will subject any such draft </w:t>
      </w:r>
      <w:r w:rsidR="00FE140D">
        <w:t xml:space="preserve">version </w:t>
      </w:r>
      <w:r w:rsidRPr="00BB7B1F" w:rsidR="00DE7A2E">
        <w:t>to its own review and analysis</w:t>
      </w:r>
      <w:r w:rsidR="00DE7A2E">
        <w:t>. A</w:t>
      </w:r>
      <w:r w:rsidRPr="00BB7B1F" w:rsidR="00DE7A2E">
        <w:t xml:space="preserve">ny </w:t>
      </w:r>
      <w:r w:rsidR="00FE140D">
        <w:t>IS/ND</w:t>
      </w:r>
      <w:r w:rsidRPr="00BB7B1F" w:rsidR="00DE7A2E">
        <w:t xml:space="preserve">, </w:t>
      </w:r>
      <w:r w:rsidR="00FE140D">
        <w:t>IS/MND</w:t>
      </w:r>
      <w:r w:rsidRPr="00BB7B1F" w:rsidR="00DE7A2E">
        <w:t xml:space="preserve">, or </w:t>
      </w:r>
      <w:r w:rsidR="00FE140D">
        <w:t>EIR</w:t>
      </w:r>
      <w:r w:rsidRPr="00BB7B1F" w:rsidR="00DE7A2E">
        <w:t xml:space="preserve"> circulated for public review will reflect the Commission’s independent judgmen</w:t>
      </w:r>
      <w:r w:rsidR="00DE7A2E">
        <w:t>t pursuant to CEQA Guidelines Sections</w:t>
      </w:r>
      <w:r w:rsidR="007017DF">
        <w:t> </w:t>
      </w:r>
      <w:r w:rsidR="00DE7A2E">
        <w:t>15063 and 15064 and P</w:t>
      </w:r>
      <w:r w:rsidR="0025545E">
        <w:t xml:space="preserve">ub. Res. Code </w:t>
      </w:r>
      <w:r w:rsidR="00DC14AC">
        <w:t>Section </w:t>
      </w:r>
      <w:r w:rsidRPr="00580B2D" w:rsidR="00DE7A2E">
        <w:t>21082.1.</w:t>
      </w:r>
    </w:p>
    <w:p w:rsidRPr="00691F1D" w:rsidR="00C92570" w:rsidP="00C92570" w:rsidRDefault="00C92570" w14:paraId="09FE3E2A" w14:textId="77777777">
      <w:pPr>
        <w:pStyle w:val="Standard"/>
      </w:pPr>
      <w:r w:rsidRPr="00691F1D">
        <w:t xml:space="preserve">To further modify </w:t>
      </w:r>
      <w:r w:rsidR="008B1ECF">
        <w:t xml:space="preserve">Staff Proposal 3.7, </w:t>
      </w:r>
      <w:r w:rsidRPr="00691F1D">
        <w:t xml:space="preserve">Proposal 1, Option 3, we also accept and adopt the suggestion from PG&amp;E, SCE, and SDG&amp;E to insert “any required” before “issue-specific technical studies” in </w:t>
      </w:r>
      <w:r w:rsidR="00DC14AC">
        <w:t>Section </w:t>
      </w:r>
      <w:r w:rsidRPr="00691F1D" w:rsidR="008C20E3">
        <w:t>VII</w:t>
      </w:r>
      <w:r w:rsidRPr="00691F1D">
        <w:t xml:space="preserve">.C.1.a. Given that the term </w:t>
      </w:r>
      <w:r w:rsidRPr="00691F1D">
        <w:lastRenderedPageBreak/>
        <w:t xml:space="preserve">“issue-specific technical studies” is a nonspecific requirement, we recognize that different projects require various combinations of technical studies. </w:t>
      </w:r>
    </w:p>
    <w:p w:rsidRPr="008106CF" w:rsidR="00C92570" w:rsidP="00C92570" w:rsidRDefault="00C92570" w14:paraId="79A37F43" w14:textId="77777777">
      <w:pPr>
        <w:pStyle w:val="Standard"/>
      </w:pPr>
      <w:r w:rsidRPr="00691F1D">
        <w:t xml:space="preserve">We also adopt language in </w:t>
      </w:r>
      <w:r w:rsidR="00DC14AC">
        <w:t>Section </w:t>
      </w:r>
      <w:r w:rsidRPr="00691F1D" w:rsidR="00507F77">
        <w:t>VII</w:t>
      </w:r>
      <w:r w:rsidRPr="00691F1D">
        <w:t>.C.1.a that</w:t>
      </w:r>
      <w:r w:rsidRPr="008106CF">
        <w:t xml:space="preserve"> identifies Staff and other </w:t>
      </w:r>
      <w:r w:rsidRPr="00125EF7">
        <w:t>C</w:t>
      </w:r>
      <w:r w:rsidRPr="00125EF7" w:rsidR="00F10FC5">
        <w:t>alifornia</w:t>
      </w:r>
      <w:r w:rsidRPr="00125EF7">
        <w:t xml:space="preserve"> agencies, as</w:t>
      </w:r>
      <w:r w:rsidRPr="008106CF">
        <w:t xml:space="preserve"> applicable, as the entities responsible for determining which technical studies are “required” for a particular project. We anticipate that this determination will be made during the required six-month pre-filing consultation period, or earlier in cases where applicants are willing and able to initiate pre-filing consultation prior to the six-month deadline. </w:t>
      </w:r>
    </w:p>
    <w:p w:rsidRPr="000468E8" w:rsidR="00C92570" w:rsidP="00C92570" w:rsidRDefault="00C92570" w14:paraId="10561B6A" w14:textId="77777777">
      <w:pPr>
        <w:pStyle w:val="Standard"/>
      </w:pPr>
      <w:r w:rsidRPr="008106CF">
        <w:rPr>
          <w:b/>
          <w:bCs/>
          <w:i/>
          <w:iCs/>
          <w:u w:val="single"/>
        </w:rPr>
        <w:t xml:space="preserve">Adoption of </w:t>
      </w:r>
      <w:r w:rsidR="00C068B2">
        <w:rPr>
          <w:b/>
          <w:bCs/>
          <w:i/>
          <w:iCs/>
          <w:u w:val="single"/>
        </w:rPr>
        <w:t xml:space="preserve">Staff Proposal </w:t>
      </w:r>
      <w:r w:rsidR="00DC14AC">
        <w:rPr>
          <w:b/>
          <w:bCs/>
          <w:i/>
          <w:iCs/>
          <w:u w:val="single"/>
        </w:rPr>
        <w:t>Section </w:t>
      </w:r>
      <w:r w:rsidR="00C068B2">
        <w:rPr>
          <w:b/>
          <w:bCs/>
          <w:i/>
          <w:iCs/>
          <w:u w:val="single"/>
        </w:rPr>
        <w:t xml:space="preserve">3.7, </w:t>
      </w:r>
      <w:r w:rsidRPr="008106CF">
        <w:rPr>
          <w:b/>
          <w:bCs/>
          <w:i/>
          <w:iCs/>
          <w:u w:val="single"/>
        </w:rPr>
        <w:t>Proposal 2, Without Modification:</w:t>
      </w:r>
      <w:r w:rsidRPr="008106CF">
        <w:t xml:space="preserve"> Based on our review of party comments and given the support of parties</w:t>
      </w:r>
      <w:r w:rsidRPr="00F32468">
        <w:t>, including PG&amp;E and Cal Advocates</w:t>
      </w:r>
      <w:r w:rsidRPr="008106CF">
        <w:t xml:space="preserve">, we adopt Proposal 2 which consolidates EMF application requirements in </w:t>
      </w:r>
      <w:r w:rsidR="003B5D07">
        <w:t>GO </w:t>
      </w:r>
      <w:r w:rsidRPr="008106CF">
        <w:t xml:space="preserve">131-E. This will be accomplished by deleting </w:t>
      </w:r>
      <w:r w:rsidR="00DC14AC">
        <w:t>Section </w:t>
      </w:r>
      <w:r w:rsidRPr="008106CF">
        <w:t xml:space="preserve">X and incorporating the EMF requirements into the existing lists of CPCN and PTC application requirements provided in Sections </w:t>
      </w:r>
      <w:r w:rsidR="007D0105">
        <w:t xml:space="preserve">VII.A.2 and VII.B.2. </w:t>
      </w:r>
      <w:r w:rsidR="001524A1">
        <w:t>in GO 131-E.</w:t>
      </w:r>
    </w:p>
    <w:p w:rsidRPr="000468E8" w:rsidR="00C92570" w:rsidP="00C92570" w:rsidRDefault="00C92570" w14:paraId="52665E8A" w14:textId="77777777">
      <w:pPr>
        <w:pStyle w:val="Standard"/>
      </w:pPr>
      <w:r w:rsidRPr="008106CF">
        <w:rPr>
          <w:b/>
          <w:bCs/>
          <w:i/>
          <w:iCs/>
          <w:u w:val="single"/>
        </w:rPr>
        <w:t>Adoption of Staff Proposal 3, Without Modification:</w:t>
      </w:r>
      <w:r w:rsidRPr="008106CF">
        <w:t xml:space="preserve"> Based on our review of party comments, we adopt Proposal 3 with no additional modifications. As</w:t>
      </w:r>
      <w:r w:rsidRPr="000468E8">
        <w:t xml:space="preserve"> such, we refrain from </w:t>
      </w:r>
      <w:r w:rsidR="004B05B0">
        <w:t>accepting</w:t>
      </w:r>
      <w:r w:rsidRPr="000468E8" w:rsidR="004B05B0">
        <w:t xml:space="preserve"> </w:t>
      </w:r>
      <w:r w:rsidR="001524A1">
        <w:t>Transmission Owners</w:t>
      </w:r>
      <w:r w:rsidRPr="000468E8">
        <w:t xml:space="preserve">’ proposal to create a binding requirement to promptly engage consultants in </w:t>
      </w:r>
      <w:r w:rsidR="003B5D07">
        <w:t>GO </w:t>
      </w:r>
      <w:r w:rsidRPr="000468E8">
        <w:t xml:space="preserve">131-E. At the earliest, Staff </w:t>
      </w:r>
      <w:r w:rsidRPr="00691F1D" w:rsidR="00B36859">
        <w:t>would</w:t>
      </w:r>
      <w:r w:rsidRPr="000468E8">
        <w:t xml:space="preserve"> endeavor to engage consultants when pre-filing consultation begins. Therefore, we will continue to focus on improvement of Staff-level processes to address this issue. </w:t>
      </w:r>
    </w:p>
    <w:p w:rsidR="00C92570" w:rsidP="00D13705" w:rsidRDefault="00C92570" w14:paraId="3C45B457" w14:textId="77777777">
      <w:pPr>
        <w:pStyle w:val="Heading2"/>
        <w:numPr>
          <w:ilvl w:val="1"/>
          <w:numId w:val="18"/>
        </w:numPr>
      </w:pPr>
      <w:bookmarkStart w:name="_Toc189738503" w:id="139"/>
      <w:r>
        <w:t xml:space="preserve">Acceleration of Commission’s </w:t>
      </w:r>
      <w:r w:rsidRPr="001569AC">
        <w:t>CEQA Review</w:t>
      </w:r>
      <w:bookmarkEnd w:id="139"/>
    </w:p>
    <w:p w:rsidR="00C92570" w:rsidP="00C92570" w:rsidRDefault="58BDBAEA" w14:paraId="59245023" w14:textId="77777777">
      <w:pPr>
        <w:pStyle w:val="Standard"/>
      </w:pPr>
      <w:r>
        <w:t xml:space="preserve">As discussed </w:t>
      </w:r>
      <w:r w:rsidRPr="00452759" w:rsidR="00514A07">
        <w:t>and</w:t>
      </w:r>
      <w:r w:rsidRPr="00452759">
        <w:t xml:space="preserve"> </w:t>
      </w:r>
      <w:r w:rsidRPr="00452759" w:rsidR="47F840C6">
        <w:t xml:space="preserve">summarized </w:t>
      </w:r>
      <w:r w:rsidRPr="00452759" w:rsidR="00514A07">
        <w:t>below,</w:t>
      </w:r>
      <w:r w:rsidR="47F840C6">
        <w:t xml:space="preserve"> </w:t>
      </w:r>
      <w:r w:rsidR="00514A07">
        <w:t xml:space="preserve">we have </w:t>
      </w:r>
      <w:r>
        <w:t xml:space="preserve">weighed the parties’ and staff proposals </w:t>
      </w:r>
      <w:r w:rsidRPr="00452759" w:rsidR="47F840C6">
        <w:t>and comments</w:t>
      </w:r>
      <w:r w:rsidR="47F840C6">
        <w:t xml:space="preserve"> </w:t>
      </w:r>
      <w:r>
        <w:t>surrounding acceleration of CEQA review process</w:t>
      </w:r>
      <w:r w:rsidRPr="00452759" w:rsidR="00843A76">
        <w:t>.</w:t>
      </w:r>
      <w:r w:rsidRPr="00452759">
        <w:t xml:space="preserve"> </w:t>
      </w:r>
      <w:r w:rsidR="003E4CC6">
        <w:t>Upon</w:t>
      </w:r>
      <w:r w:rsidR="00BC56AA">
        <w:t xml:space="preserve"> </w:t>
      </w:r>
      <w:r w:rsidR="00617396">
        <w:t>ev</w:t>
      </w:r>
      <w:r w:rsidR="00E313C6">
        <w:t>aluation</w:t>
      </w:r>
      <w:r w:rsidR="0067731D">
        <w:t>,</w:t>
      </w:r>
      <w:r>
        <w:t xml:space="preserve"> we adopt </w:t>
      </w:r>
      <w:r w:rsidR="7EF78A16">
        <w:t xml:space="preserve">Staff Proposal </w:t>
      </w:r>
      <w:r w:rsidR="00DC14AC">
        <w:t>Section </w:t>
      </w:r>
      <w:r w:rsidR="7EF78A16">
        <w:t xml:space="preserve">3.8, </w:t>
      </w:r>
      <w:r>
        <w:t>Proposals 1 and 2 only.</w:t>
      </w:r>
    </w:p>
    <w:p w:rsidRPr="001569AC" w:rsidR="00C92570" w:rsidP="00D13705" w:rsidRDefault="00C92570" w14:paraId="61232315" w14:textId="77777777">
      <w:pPr>
        <w:pStyle w:val="Heading3"/>
        <w:numPr>
          <w:ilvl w:val="2"/>
          <w:numId w:val="18"/>
        </w:numPr>
      </w:pPr>
      <w:bookmarkStart w:name="_Toc189738504" w:id="140"/>
      <w:r>
        <w:lastRenderedPageBreak/>
        <w:t>Proposals and Party Positions</w:t>
      </w:r>
      <w:bookmarkEnd w:id="140"/>
    </w:p>
    <w:p w:rsidRPr="0014288D" w:rsidR="00C92570" w:rsidRDefault="550816FC" w14:paraId="1C05CAB3" w14:textId="77777777">
      <w:pPr>
        <w:pStyle w:val="Standard"/>
      </w:pPr>
      <w:r w:rsidRPr="064A553F">
        <w:rPr>
          <w:b/>
          <w:bCs/>
          <w:i/>
          <w:iCs/>
          <w:u w:val="single"/>
        </w:rPr>
        <w:t>Settling Parties’ Proposal</w:t>
      </w:r>
      <w:r w:rsidRPr="004B2E17">
        <w:rPr>
          <w:b/>
          <w:bCs/>
          <w:i/>
          <w:iCs/>
        </w:rPr>
        <w:t>:</w:t>
      </w:r>
      <w:r w:rsidRPr="0014288D">
        <w:t xml:space="preserve"> </w:t>
      </w:r>
      <w:r w:rsidR="0334CEAA">
        <w:t xml:space="preserve">To accelerate the regulatory process, </w:t>
      </w:r>
      <w:r w:rsidRPr="5AB54E10">
        <w:t xml:space="preserve">Settling Parties propose that the Commission </w:t>
      </w:r>
      <w:r w:rsidR="33518C1E">
        <w:t xml:space="preserve">complete a CEQA review, </w:t>
      </w:r>
      <w:r w:rsidR="01A2C30E">
        <w:t xml:space="preserve">adopt or </w:t>
      </w:r>
      <w:r w:rsidRPr="00F32468">
        <w:t>certify</w:t>
      </w:r>
      <w:r w:rsidRPr="5AB54E10">
        <w:t xml:space="preserve"> the appropriate CEQA document</w:t>
      </w:r>
      <w:r w:rsidR="33518C1E">
        <w:t>,</w:t>
      </w:r>
      <w:r w:rsidRPr="5AB54E10">
        <w:t xml:space="preserve"> and </w:t>
      </w:r>
      <w:r w:rsidR="33518C1E">
        <w:t xml:space="preserve">close </w:t>
      </w:r>
      <w:r w:rsidR="5B3A7B65">
        <w:t xml:space="preserve">a proceeding through </w:t>
      </w:r>
      <w:r w:rsidRPr="5AB54E10">
        <w:t>issu</w:t>
      </w:r>
      <w:r w:rsidR="5B3A7B65">
        <w:t>ance of</w:t>
      </w:r>
      <w:r w:rsidRPr="5AB54E10">
        <w:t xml:space="preserve"> </w:t>
      </w:r>
      <w:r w:rsidRPr="5AB54E10" w:rsidR="6FE3DB6F">
        <w:t xml:space="preserve">a </w:t>
      </w:r>
      <w:r w:rsidR="6E654143">
        <w:t xml:space="preserve">decision that </w:t>
      </w:r>
      <w:r w:rsidR="409B656E">
        <w:t xml:space="preserve">grants a </w:t>
      </w:r>
      <w:r w:rsidRPr="5AB54E10">
        <w:t>CPCN no later than 270 days after an application is deemed complete</w:t>
      </w:r>
      <w:r w:rsidR="6E654143">
        <w:t xml:space="preserve">. </w:t>
      </w:r>
      <w:r w:rsidR="46B62703">
        <w:t>S</w:t>
      </w:r>
      <w:r w:rsidRPr="5AB54E10">
        <w:t xml:space="preserve">ubject to </w:t>
      </w:r>
      <w:r w:rsidR="46B62703">
        <w:t xml:space="preserve">certain </w:t>
      </w:r>
      <w:r w:rsidRPr="5AB54E10">
        <w:t>conditions</w:t>
      </w:r>
      <w:r w:rsidRPr="5AB54E10" w:rsidR="358D11EE">
        <w:t>,</w:t>
      </w:r>
      <w:r w:rsidRPr="5AB54E10">
        <w:t xml:space="preserve"> this deadline may be extended (</w:t>
      </w:r>
      <w:r w:rsidRPr="00BA6DC2">
        <w:rPr>
          <w:i/>
          <w:iCs/>
        </w:rPr>
        <w:t>e.g.</w:t>
      </w:r>
      <w:r w:rsidRPr="5AB54E10" w:rsidR="4A1E97F4">
        <w:t>,</w:t>
      </w:r>
      <w:r w:rsidRPr="5AB54E10">
        <w:t xml:space="preserve"> the Commission is required to recirculate the EIR, substantial changes are required, new substantial evidence is revealed, and upon request from the Department of Fish and Wildlife or the State Water Resources Control Board).</w:t>
      </w:r>
      <w:r w:rsidRPr="00060FA4" w:rsidR="00C92570">
        <w:rPr>
          <w:rStyle w:val="FootnoteReference"/>
        </w:rPr>
        <w:footnoteReference w:id="81"/>
      </w:r>
      <w:r w:rsidRPr="0014288D">
        <w:t xml:space="preserve"> Further, the Settling Parties</w:t>
      </w:r>
      <w:r w:rsidR="087EC4E0">
        <w:t>’</w:t>
      </w:r>
      <w:r w:rsidRPr="0014288D">
        <w:t xml:space="preserve"> proposal would </w:t>
      </w:r>
      <w:r w:rsidRPr="00BA6DC2" w:rsidR="064C33AD">
        <w:t xml:space="preserve">specify </w:t>
      </w:r>
      <w:r w:rsidRPr="00BA6DC2" w:rsidR="25ACA3EF">
        <w:t xml:space="preserve">in </w:t>
      </w:r>
      <w:r w:rsidRPr="00BA6DC2" w:rsidR="003B5D07">
        <w:t>GO </w:t>
      </w:r>
      <w:r w:rsidRPr="00BA6DC2" w:rsidR="25ACA3EF">
        <w:t>131-E</w:t>
      </w:r>
      <w:r w:rsidRPr="003E4CC6" w:rsidR="25ACA3EF">
        <w:rPr>
          <w:u w:val="single"/>
        </w:rPr>
        <w:t xml:space="preserve"> </w:t>
      </w:r>
      <w:r w:rsidRPr="0014288D">
        <w:t>that an application is complete after 30 days, unless the utility applicant is notified of deficiencies.</w:t>
      </w:r>
      <w:r w:rsidRPr="0014288D" w:rsidR="00C92570">
        <w:rPr>
          <w:rStyle w:val="FootnoteReference"/>
        </w:rPr>
        <w:footnoteReference w:id="82"/>
      </w:r>
    </w:p>
    <w:p w:rsidRPr="0014288D" w:rsidR="00C92570" w:rsidP="00C92570" w:rsidRDefault="00C92570" w14:paraId="253E0859" w14:textId="77777777">
      <w:pPr>
        <w:pStyle w:val="Standard"/>
      </w:pPr>
      <w:r w:rsidRPr="0014288D">
        <w:rPr>
          <w:b/>
          <w:bCs/>
          <w:i/>
          <w:iCs/>
          <w:u w:val="single"/>
        </w:rPr>
        <w:t>Cal Advocates’ Proposal</w:t>
      </w:r>
      <w:r w:rsidRPr="004B2E17">
        <w:rPr>
          <w:b/>
          <w:bCs/>
          <w:i/>
          <w:iCs/>
        </w:rPr>
        <w:t>:</w:t>
      </w:r>
      <w:r w:rsidRPr="0014288D">
        <w:t xml:space="preserve"> Cal Advocates proposes that the Commission prioritize the permitting of CAISO-approved policy-driven transmission projects. Cal Advocates claims that prioritizing projects for expedited permitting can help utilities “expediently develop, construct, and place projects into service while bringing the projects that are the most cost-efficient and urgently needed online first.”</w:t>
      </w:r>
      <w:r w:rsidRPr="0014288D">
        <w:rPr>
          <w:rStyle w:val="FootnoteReference"/>
        </w:rPr>
        <w:footnoteReference w:id="83"/>
      </w:r>
    </w:p>
    <w:p w:rsidRPr="0014288D" w:rsidR="00C92570" w:rsidP="00C92570" w:rsidRDefault="7EF78A16" w14:paraId="57D31792" w14:textId="77777777">
      <w:pPr>
        <w:pStyle w:val="Standard"/>
      </w:pPr>
      <w:r w:rsidRPr="0EEE0FD3">
        <w:rPr>
          <w:b/>
          <w:bCs/>
          <w:i/>
          <w:iCs/>
          <w:u w:val="single"/>
        </w:rPr>
        <w:t xml:space="preserve">Staff Proposal </w:t>
      </w:r>
      <w:r w:rsidR="00DC14AC">
        <w:rPr>
          <w:b/>
          <w:bCs/>
          <w:i/>
          <w:iCs/>
          <w:u w:val="single"/>
        </w:rPr>
        <w:t>Section </w:t>
      </w:r>
      <w:r w:rsidRPr="0EEE0FD3">
        <w:rPr>
          <w:b/>
          <w:bCs/>
          <w:i/>
          <w:iCs/>
          <w:u w:val="single"/>
        </w:rPr>
        <w:t xml:space="preserve">3.8, </w:t>
      </w:r>
      <w:r w:rsidRPr="0EEE0FD3" w:rsidR="58BDBAEA">
        <w:rPr>
          <w:b/>
          <w:bCs/>
          <w:i/>
          <w:iCs/>
          <w:u w:val="single"/>
        </w:rPr>
        <w:t>Proposal 1</w:t>
      </w:r>
      <w:r w:rsidRPr="004B2E17" w:rsidR="58BDBAEA">
        <w:rPr>
          <w:b/>
          <w:bCs/>
          <w:i/>
          <w:iCs/>
        </w:rPr>
        <w:t>:</w:t>
      </w:r>
      <w:r w:rsidRPr="008106CF" w:rsidR="58BDBAEA">
        <w:t xml:space="preserve"> Staff</w:t>
      </w:r>
      <w:r w:rsidR="00901B0D">
        <w:t xml:space="preserve"> Proposal </w:t>
      </w:r>
      <w:r w:rsidR="00DC14AC">
        <w:t>Section </w:t>
      </w:r>
      <w:r w:rsidR="00901B0D">
        <w:t>3.8,</w:t>
      </w:r>
      <w:r w:rsidRPr="008106CF" w:rsidR="58BDBAEA">
        <w:t xml:space="preserve"> Proposal 1 would modify Sections IX.B and XVI in </w:t>
      </w:r>
      <w:r w:rsidR="003B5D07">
        <w:t>GO </w:t>
      </w:r>
      <w:r w:rsidRPr="008106CF" w:rsidR="58BDBAEA">
        <w:t xml:space="preserve">131-D and reference the CEQA Guidelines to indicate that Staff would endeavor to complete proposed final MNDs and NDs without Federal agency involvement within 270 days of deeming </w:t>
      </w:r>
      <w:r w:rsidR="46CD5250">
        <w:t xml:space="preserve">a </w:t>
      </w:r>
      <w:r w:rsidRPr="008106CF" w:rsidR="58BDBAEA">
        <w:t xml:space="preserve">PTC or CPCN application complete, and </w:t>
      </w:r>
      <w:r w:rsidR="46CD5250">
        <w:t>p</w:t>
      </w:r>
      <w:r w:rsidRPr="008106CF" w:rsidR="58BDBAEA">
        <w:t xml:space="preserve">roposed </w:t>
      </w:r>
      <w:r w:rsidR="46CD5250">
        <w:t xml:space="preserve">final </w:t>
      </w:r>
      <w:r w:rsidRPr="008106CF" w:rsidR="58BDBAEA">
        <w:t xml:space="preserve">EIRs </w:t>
      </w:r>
      <w:r w:rsidR="46CD5250">
        <w:t xml:space="preserve">without </w:t>
      </w:r>
      <w:r w:rsidR="46CD5250">
        <w:lastRenderedPageBreak/>
        <w:t xml:space="preserve">Federal agency involvement </w:t>
      </w:r>
      <w:r w:rsidRPr="008106CF" w:rsidR="58BDBAEA">
        <w:t>within 455 days</w:t>
      </w:r>
      <w:r w:rsidR="46CD5250">
        <w:t xml:space="preserve"> of deeming an application complete</w:t>
      </w:r>
      <w:r w:rsidRPr="008106CF" w:rsidR="58BDBAEA">
        <w:t xml:space="preserve">. </w:t>
      </w:r>
      <w:r w:rsidR="46CD5250">
        <w:t xml:space="preserve">As an example, </w:t>
      </w:r>
      <w:r w:rsidR="00E770D0">
        <w:t xml:space="preserve">for </w:t>
      </w:r>
      <w:r w:rsidRPr="00F92827" w:rsidR="47F840C6">
        <w:t xml:space="preserve">a </w:t>
      </w:r>
      <w:r w:rsidRPr="00F92827" w:rsidR="58BDBAEA">
        <w:t>project that require</w:t>
      </w:r>
      <w:r w:rsidRPr="00F92827" w:rsidR="47F840C6">
        <w:t>s</w:t>
      </w:r>
      <w:r w:rsidRPr="008106CF" w:rsidR="58BDBAEA">
        <w:t xml:space="preserve"> a PTC </w:t>
      </w:r>
      <w:r w:rsidRPr="00F92827" w:rsidR="58BDBAEA">
        <w:t>qualif</w:t>
      </w:r>
      <w:r w:rsidRPr="00F92827" w:rsidR="47F840C6">
        <w:t>ies</w:t>
      </w:r>
      <w:r w:rsidRPr="008106CF" w:rsidR="58BDBAEA">
        <w:t xml:space="preserve"> for an MND or ND, and </w:t>
      </w:r>
      <w:r w:rsidRPr="00F92827" w:rsidR="58BDBAEA">
        <w:t>ha</w:t>
      </w:r>
      <w:r w:rsidRPr="00F92827" w:rsidR="47F840C6">
        <w:t>s</w:t>
      </w:r>
      <w:r w:rsidRPr="008106CF" w:rsidR="58BDBAEA">
        <w:t xml:space="preserve"> no Federal agency involvement</w:t>
      </w:r>
      <w:r w:rsidRPr="0014288D" w:rsidR="58BDBAEA">
        <w:t xml:space="preserve">, the Commission may </w:t>
      </w:r>
      <w:r w:rsidR="46CD5250">
        <w:t xml:space="preserve">be able to </w:t>
      </w:r>
      <w:r w:rsidRPr="0014288D" w:rsidR="58BDBAEA">
        <w:t>complete CEQA review within 270 days. In this scenario, Staff may prepare an MND or ND only when the initial study indicates there are no significant effects on the environment. An MND or ND could be prepared if potentially significant effects on the environment are identified, subject to project revisions that mitigate significant effects on the environment.</w:t>
      </w:r>
      <w:r w:rsidRPr="0014288D" w:rsidR="00C92570">
        <w:rPr>
          <w:rStyle w:val="FootnoteReference"/>
        </w:rPr>
        <w:footnoteReference w:id="84"/>
      </w:r>
      <w:r w:rsidRPr="0014288D" w:rsidR="58BDBAEA">
        <w:t xml:space="preserve"> </w:t>
      </w:r>
    </w:p>
    <w:p w:rsidRPr="0014288D" w:rsidR="00C92570" w:rsidP="00474AE8" w:rsidRDefault="00C92570" w14:paraId="583C22B1" w14:textId="77777777">
      <w:pPr>
        <w:pStyle w:val="Standard"/>
      </w:pPr>
      <w:r w:rsidRPr="0014288D">
        <w:t xml:space="preserve">Staff </w:t>
      </w:r>
      <w:r w:rsidRPr="0014288D" w:rsidR="00056CD0">
        <w:t>recommend</w:t>
      </w:r>
      <w:r w:rsidRPr="0014288D">
        <w:t xml:space="preserve"> the adoption of its </w:t>
      </w:r>
      <w:r w:rsidRPr="008106CF" w:rsidR="00376065">
        <w:t>Staff</w:t>
      </w:r>
      <w:r w:rsidR="00376065">
        <w:t xml:space="preserve"> Proposal Section 3.8,</w:t>
      </w:r>
      <w:r w:rsidRPr="008106CF" w:rsidR="00376065">
        <w:t xml:space="preserve"> </w:t>
      </w:r>
      <w:r w:rsidRPr="0014288D">
        <w:t xml:space="preserve">Proposal 1 because it would be consistent with the timelines for CEQA document preparation specified in the CEQA Guidelines. Specifically, </w:t>
      </w:r>
      <w:r w:rsidRPr="00F11AB0" w:rsidR="00B21E66">
        <w:t>CEQA Guidelines</w:t>
      </w:r>
      <w:r w:rsidRPr="00B21E66" w:rsidR="00B21E66">
        <w:t xml:space="preserve"> </w:t>
      </w:r>
      <w:r w:rsidR="00DC14AC">
        <w:t>Section </w:t>
      </w:r>
      <w:r w:rsidRPr="0014288D">
        <w:t xml:space="preserve">15107, requires </w:t>
      </w:r>
      <w:r w:rsidR="00620905">
        <w:t xml:space="preserve">MNDs or </w:t>
      </w:r>
      <w:r w:rsidRPr="0014288D">
        <w:t xml:space="preserve">NDs to be completed </w:t>
      </w:r>
      <w:r w:rsidR="00620905">
        <w:t xml:space="preserve">and </w:t>
      </w:r>
      <w:r w:rsidR="00B90073">
        <w:t xml:space="preserve">approved </w:t>
      </w:r>
      <w:r w:rsidRPr="0014288D">
        <w:t xml:space="preserve">within 180 days after a lead agency deems an application complete. </w:t>
      </w:r>
      <w:r w:rsidRPr="00F11AB0" w:rsidR="00B21E66">
        <w:t>CEQA Guidelines</w:t>
      </w:r>
      <w:r w:rsidRPr="00F11AB0" w:rsidDel="00B21E66" w:rsidR="00B21E66">
        <w:t xml:space="preserve"> </w:t>
      </w:r>
      <w:r w:rsidR="00DC14AC">
        <w:t>Section </w:t>
      </w:r>
      <w:r w:rsidRPr="00F11AB0">
        <w:t>15108</w:t>
      </w:r>
      <w:r w:rsidRPr="00F11AB0" w:rsidR="00B21E66">
        <w:t xml:space="preserve"> requires</w:t>
      </w:r>
      <w:r w:rsidRPr="00F11AB0">
        <w:t xml:space="preserve"> the lead agency </w:t>
      </w:r>
      <w:r w:rsidRPr="00F11AB0" w:rsidR="00B21E66">
        <w:t>to</w:t>
      </w:r>
      <w:r w:rsidRPr="0014288D" w:rsidR="00B21E66">
        <w:t xml:space="preserve"> </w:t>
      </w:r>
      <w:r w:rsidRPr="0014288D">
        <w:t xml:space="preserve">complete and certify the final EIR within one year after the date when the lead agency deems the application as complete. </w:t>
      </w:r>
      <w:r w:rsidRPr="0014288D" w:rsidR="00822F8F">
        <w:t>Upon consent of the applicant and lead agency, the one-year time limit may be extended once for a period of not more than 90 days</w:t>
      </w:r>
      <w:r w:rsidR="009A6A5F">
        <w:t>,</w:t>
      </w:r>
      <w:r w:rsidRPr="009A6A5F" w:rsidR="009A6A5F">
        <w:t xml:space="preserve"> </w:t>
      </w:r>
      <w:r w:rsidR="009A6A5F">
        <w:t>for a total of 270 days for MNDs and NDs or a total of 455 days for EIRs</w:t>
      </w:r>
      <w:r w:rsidRPr="0014288D" w:rsidR="00822F8F">
        <w:t>.</w:t>
      </w:r>
      <w:r w:rsidR="00822F8F">
        <w:t xml:space="preserve"> </w:t>
      </w:r>
      <w:r w:rsidRPr="00F11AB0" w:rsidR="00B21E66">
        <w:t>CEQA Guidelines</w:t>
      </w:r>
      <w:r w:rsidRPr="00B21E66" w:rsidR="00B21E66">
        <w:t xml:space="preserve"> </w:t>
      </w:r>
      <w:r w:rsidR="00DC14AC">
        <w:t>Section </w:t>
      </w:r>
      <w:r w:rsidRPr="0014288D">
        <w:t>15109</w:t>
      </w:r>
      <w:r w:rsidR="00822F8F">
        <w:t xml:space="preserve"> also</w:t>
      </w:r>
      <w:r w:rsidRPr="0014288D">
        <w:t xml:space="preserve"> states that an unreasonable delay by an applicant to meet requests from the lead agency required to prepare an ND or an EIR shall suspend the deadlines prescribed in Sections 15107 and 15108 for the period of </w:t>
      </w:r>
      <w:r w:rsidRPr="00F11AB0" w:rsidR="007B7F43">
        <w:t>unreasonable</w:t>
      </w:r>
      <w:r w:rsidRPr="00F11AB0">
        <w:t xml:space="preserve"> delay. </w:t>
      </w:r>
      <w:r w:rsidRPr="00F11AB0" w:rsidR="00B21E66">
        <w:t>CEQA Guidelines</w:t>
      </w:r>
      <w:r w:rsidRPr="00B21E66" w:rsidR="00B21E66">
        <w:t xml:space="preserve"> </w:t>
      </w:r>
      <w:r w:rsidR="00DC14AC">
        <w:t>Section </w:t>
      </w:r>
      <w:r w:rsidRPr="0014288D">
        <w:t xml:space="preserve">15110 </w:t>
      </w:r>
      <w:r w:rsidR="00F11AB0">
        <w:t>further</w:t>
      </w:r>
      <w:r w:rsidR="00B21E66">
        <w:t xml:space="preserve"> </w:t>
      </w:r>
      <w:r w:rsidRPr="0014288D">
        <w:t xml:space="preserve">provides for waivers of the one-year time limit for lead agencies to complete and certify a </w:t>
      </w:r>
      <w:r w:rsidRPr="0014288D">
        <w:lastRenderedPageBreak/>
        <w:t>final EIR or the time limit for lead agencies to complete an ND</w:t>
      </w:r>
      <w:r w:rsidR="00620905">
        <w:t xml:space="preserve"> for projects with Federal involvement</w:t>
      </w:r>
      <w:r w:rsidRPr="0014288D">
        <w:t xml:space="preserve">. </w:t>
      </w:r>
    </w:p>
    <w:p w:rsidRPr="0014288D" w:rsidR="00C92570" w:rsidP="00474AE8" w:rsidRDefault="551608AD" w14:paraId="160BB44C" w14:textId="77777777">
      <w:pPr>
        <w:pStyle w:val="Standard"/>
      </w:pPr>
      <w:r w:rsidRPr="00FE2191">
        <w:rPr>
          <w:b/>
          <w:i/>
          <w:u w:val="single"/>
        </w:rPr>
        <w:t xml:space="preserve">Staff Proposal </w:t>
      </w:r>
      <w:r w:rsidR="00DC14AC">
        <w:rPr>
          <w:b/>
          <w:i/>
          <w:u w:val="single"/>
        </w:rPr>
        <w:t>Section </w:t>
      </w:r>
      <w:r w:rsidRPr="00FE2191">
        <w:rPr>
          <w:b/>
          <w:i/>
          <w:u w:val="single"/>
        </w:rPr>
        <w:t xml:space="preserve">3.8, </w:t>
      </w:r>
      <w:r w:rsidRPr="00FE2191" w:rsidR="55308E52">
        <w:rPr>
          <w:b/>
          <w:i/>
          <w:u w:val="single"/>
        </w:rPr>
        <w:t>Staff Proposal 2</w:t>
      </w:r>
      <w:r w:rsidRPr="004B2E17" w:rsidR="55308E52">
        <w:rPr>
          <w:b/>
          <w:i/>
        </w:rPr>
        <w:t>:</w:t>
      </w:r>
      <w:r w:rsidRPr="00FE2191" w:rsidR="55308E52">
        <w:t xml:space="preserve"> Staff</w:t>
      </w:r>
      <w:r w:rsidR="004A4104">
        <w:t xml:space="preserve"> Proposal </w:t>
      </w:r>
      <w:r w:rsidR="00DC14AC">
        <w:t>Section </w:t>
      </w:r>
      <w:r w:rsidR="004A4104">
        <w:t>3.8,</w:t>
      </w:r>
      <w:r w:rsidRPr="00FE2191" w:rsidR="55308E52">
        <w:t xml:space="preserve"> Proposal 2</w:t>
      </w:r>
      <w:r w:rsidRPr="0014288D" w:rsidR="55308E52">
        <w:t xml:space="preserve"> would establish a pilot program for accelerated CEQA review of </w:t>
      </w:r>
      <w:r w:rsidRPr="0014288D" w:rsidR="48ED6937">
        <w:t>electric transmiss</w:t>
      </w:r>
      <w:r w:rsidRPr="0014288D" w:rsidR="4C189885">
        <w:t>i</w:t>
      </w:r>
      <w:r w:rsidRPr="0014288D" w:rsidR="48ED6937">
        <w:t xml:space="preserve">on </w:t>
      </w:r>
      <w:r w:rsidRPr="0014288D" w:rsidR="55308E52">
        <w:t>projects</w:t>
      </w:r>
      <w:r w:rsidRPr="0014288D" w:rsidR="12B8EDF7">
        <w:t>. Implementation of this pilot program</w:t>
      </w:r>
      <w:r w:rsidRPr="0014288D" w:rsidR="55308E52">
        <w:t xml:space="preserve"> </w:t>
      </w:r>
      <w:r w:rsidRPr="00597DC1" w:rsidR="55308E52">
        <w:t>do</w:t>
      </w:r>
      <w:r w:rsidRPr="0014288D" w:rsidR="1EBD8BA2">
        <w:t>es</w:t>
      </w:r>
      <w:r w:rsidRPr="00597DC1" w:rsidR="55308E52">
        <w:t xml:space="preserve"> not require modifications to </w:t>
      </w:r>
      <w:r w:rsidR="003B5D07">
        <w:t>GO </w:t>
      </w:r>
      <w:r w:rsidRPr="00597DC1" w:rsidR="55308E52">
        <w:t>131-D.</w:t>
      </w:r>
      <w:r w:rsidRPr="0014288D" w:rsidR="55308E52">
        <w:t xml:space="preserve"> </w:t>
      </w:r>
      <w:r w:rsidR="00DA5EAD">
        <w:t xml:space="preserve">Staff Proposal </w:t>
      </w:r>
      <w:r w:rsidR="00DC14AC">
        <w:t>Section </w:t>
      </w:r>
      <w:r w:rsidR="00DA5EAD">
        <w:t xml:space="preserve">3.8, </w:t>
      </w:r>
      <w:r w:rsidRPr="0014288D" w:rsidR="00C92570">
        <w:t xml:space="preserve">Proposal 2 </w:t>
      </w:r>
      <w:r w:rsidRPr="0018559D" w:rsidR="00041744">
        <w:t>envisions</w:t>
      </w:r>
      <w:r w:rsidRPr="007F1705" w:rsidR="55308E52">
        <w:t xml:space="preserve"> </w:t>
      </w:r>
      <w:r w:rsidR="005F5DEA">
        <w:t xml:space="preserve">that </w:t>
      </w:r>
      <w:r w:rsidRPr="0014288D" w:rsidR="55308E52">
        <w:t>Staff initiate</w:t>
      </w:r>
      <w:r w:rsidR="00A53042">
        <w:t>s</w:t>
      </w:r>
      <w:r w:rsidRPr="0014288D" w:rsidR="55308E52">
        <w:t xml:space="preserve"> a pilot that would identify at least two projects where an MND may be completed within 270 days of </w:t>
      </w:r>
      <w:r w:rsidRPr="00F32468" w:rsidR="6DB4999A">
        <w:t>deeming an application complete</w:t>
      </w:r>
      <w:r w:rsidRPr="0014288D" w:rsidR="55308E52">
        <w:t xml:space="preserve">, and at least two projects where an EIR may be </w:t>
      </w:r>
      <w:r w:rsidRPr="0014288D" w:rsidR="0DB28858">
        <w:t xml:space="preserve">completed </w:t>
      </w:r>
      <w:r w:rsidRPr="0014288D" w:rsidR="55308E52">
        <w:t xml:space="preserve">within 455 days of </w:t>
      </w:r>
      <w:r w:rsidRPr="00F32468" w:rsidR="6DB4999A">
        <w:t>deeming an application complete</w:t>
      </w:r>
      <w:r w:rsidRPr="0014288D" w:rsidR="55308E52">
        <w:t xml:space="preserve">. In addition, the pilot would require the enrollment of at least one </w:t>
      </w:r>
      <w:r w:rsidRPr="0014288D" w:rsidDel="00446CA8" w:rsidR="55308E52">
        <w:t>project</w:t>
      </w:r>
      <w:r w:rsidRPr="0014288D" w:rsidR="00446CA8">
        <w:t>,</w:t>
      </w:r>
      <w:r w:rsidRPr="0014288D" w:rsidR="647A7190">
        <w:t xml:space="preserve"> each</w:t>
      </w:r>
      <w:r w:rsidRPr="0014288D" w:rsidR="55308E52">
        <w:t xml:space="preserve"> </w:t>
      </w:r>
      <w:r w:rsidRPr="0014288D" w:rsidR="552B8FFC">
        <w:t xml:space="preserve">proposed </w:t>
      </w:r>
      <w:r w:rsidRPr="0014288D" w:rsidR="55308E52">
        <w:t>by PG&amp;E, SCE, and SDG&amp;E, and inclusion of a mixture</w:t>
      </w:r>
      <w:r w:rsidRPr="0014288D" w:rsidR="6D231D68">
        <w:t xml:space="preserve"> of</w:t>
      </w:r>
      <w:r w:rsidRPr="0014288D" w:rsidR="55308E52">
        <w:t xml:space="preserve"> competitive and non-competitive bid projects. </w:t>
      </w:r>
      <w:r w:rsidR="0058298C">
        <w:t xml:space="preserve">Staff Proposal </w:t>
      </w:r>
      <w:r w:rsidR="00DC14AC">
        <w:t>Section </w:t>
      </w:r>
      <w:r w:rsidR="0058298C">
        <w:t xml:space="preserve">3.8, </w:t>
      </w:r>
      <w:r w:rsidRPr="0014288D" w:rsidR="55308E52">
        <w:t xml:space="preserve">Proposal 2 </w:t>
      </w:r>
      <w:r w:rsidRPr="007F1705" w:rsidR="000511AD">
        <w:t>identifies</w:t>
      </w:r>
      <w:r w:rsidRPr="0014288D" w:rsidR="55308E52">
        <w:t xml:space="preserve"> other potential project selection criteria for the pilot, </w:t>
      </w:r>
      <w:r w:rsidRPr="0014288D" w:rsidR="031B3D7D">
        <w:t>along with</w:t>
      </w:r>
      <w:r w:rsidRPr="0014288D" w:rsidR="55308E52">
        <w:t xml:space="preserve"> metrics that can be used by Staff to track and report pilot success.</w:t>
      </w:r>
      <w:r w:rsidRPr="0014288D" w:rsidR="00C92570">
        <w:rPr>
          <w:rStyle w:val="FootnoteReference"/>
        </w:rPr>
        <w:footnoteReference w:id="85"/>
      </w:r>
    </w:p>
    <w:p w:rsidRPr="0014288D" w:rsidR="00C92570" w:rsidP="00474AE8" w:rsidRDefault="55308E52" w14:paraId="5A1092D6" w14:textId="77777777">
      <w:pPr>
        <w:pStyle w:val="Standard"/>
      </w:pPr>
      <w:r w:rsidRPr="0014288D">
        <w:t>Staff recommends</w:t>
      </w:r>
      <w:r w:rsidRPr="0014288D" w:rsidR="00C92570">
        <w:t xml:space="preserve"> adoption of </w:t>
      </w:r>
      <w:r w:rsidR="00F44BC1">
        <w:t xml:space="preserve">Staff Proposal </w:t>
      </w:r>
      <w:r w:rsidR="00DC14AC">
        <w:t>Section </w:t>
      </w:r>
      <w:r w:rsidR="00F44BC1">
        <w:t>3.8,</w:t>
      </w:r>
      <w:r w:rsidRPr="0014288D">
        <w:t xml:space="preserve"> Proposal 2 because a pilot would serve as a mechanism for continued improvement of the </w:t>
      </w:r>
      <w:r w:rsidR="54C95009">
        <w:t xml:space="preserve">Commission’s </w:t>
      </w:r>
      <w:r w:rsidRPr="0014288D">
        <w:t xml:space="preserve">CEQA review process, satisfy the need to advance the delivery of clean energy resources pursuant to </w:t>
      </w:r>
      <w:r w:rsidR="00DC14AC">
        <w:t>SB </w:t>
      </w:r>
      <w:r w:rsidRPr="0014288D">
        <w:t xml:space="preserve">529, and recognize parties’ urgency to </w:t>
      </w:r>
      <w:r w:rsidR="43A6D700">
        <w:t xml:space="preserve">accelerate </w:t>
      </w:r>
      <w:r w:rsidRPr="0014288D">
        <w:t xml:space="preserve">the CEQA review process for </w:t>
      </w:r>
      <w:r w:rsidRPr="0014288D" w:rsidR="2C87963B">
        <w:t xml:space="preserve">electric transmission </w:t>
      </w:r>
      <w:r w:rsidRPr="0014288D">
        <w:t>projects.</w:t>
      </w:r>
      <w:r w:rsidRPr="0014288D" w:rsidR="00C92570">
        <w:rPr>
          <w:rStyle w:val="FootnoteReference"/>
        </w:rPr>
        <w:footnoteReference w:id="86"/>
      </w:r>
    </w:p>
    <w:p w:rsidRPr="0014288D" w:rsidR="00C92570" w:rsidP="00474AE8" w:rsidRDefault="551608AD" w14:paraId="48DE03AB" w14:textId="77777777">
      <w:pPr>
        <w:pStyle w:val="Standard"/>
      </w:pPr>
      <w:r w:rsidRPr="246727E9">
        <w:rPr>
          <w:b/>
          <w:bCs/>
          <w:i/>
          <w:iCs/>
          <w:u w:val="single"/>
        </w:rPr>
        <w:t xml:space="preserve">Staff Proposal </w:t>
      </w:r>
      <w:r w:rsidR="00DC14AC">
        <w:rPr>
          <w:b/>
          <w:bCs/>
          <w:i/>
          <w:iCs/>
          <w:u w:val="single"/>
        </w:rPr>
        <w:t>Section </w:t>
      </w:r>
      <w:r w:rsidRPr="246727E9">
        <w:rPr>
          <w:b/>
          <w:bCs/>
          <w:i/>
          <w:iCs/>
          <w:u w:val="single"/>
        </w:rPr>
        <w:t xml:space="preserve">3.8, </w:t>
      </w:r>
      <w:r w:rsidRPr="246727E9" w:rsidR="55308E52">
        <w:rPr>
          <w:b/>
          <w:bCs/>
          <w:i/>
          <w:iCs/>
          <w:u w:val="single"/>
        </w:rPr>
        <w:t>Proposal 3</w:t>
      </w:r>
      <w:r w:rsidRPr="004B2E17" w:rsidR="55308E52">
        <w:rPr>
          <w:b/>
          <w:bCs/>
          <w:i/>
          <w:iCs/>
        </w:rPr>
        <w:t>:</w:t>
      </w:r>
      <w:r w:rsidRPr="004B2E17" w:rsidR="00C92570">
        <w:t xml:space="preserve"> </w:t>
      </w:r>
      <w:r w:rsidRPr="0014288D" w:rsidR="00C92570">
        <w:t xml:space="preserve">Staff </w:t>
      </w:r>
      <w:r w:rsidR="005375E4">
        <w:t xml:space="preserve">Proposal </w:t>
      </w:r>
      <w:r w:rsidR="00DC14AC">
        <w:t>Section </w:t>
      </w:r>
      <w:r w:rsidR="005375E4">
        <w:t>3.8</w:t>
      </w:r>
      <w:r w:rsidR="00604824">
        <w:t>,</w:t>
      </w:r>
      <w:r w:rsidRPr="0014288D" w:rsidR="55308E52">
        <w:t xml:space="preserve"> Proposal 3 would amend Sections IX.A and IX.B to require that the Commission determine whether </w:t>
      </w:r>
      <w:r w:rsidRPr="004D15A7" w:rsidR="55308E52">
        <w:t xml:space="preserve">to </w:t>
      </w:r>
      <w:r w:rsidRPr="004D15A7" w:rsidDel="55308E52" w:rsidR="001521DE">
        <w:t xml:space="preserve">adopt </w:t>
      </w:r>
      <w:r w:rsidRPr="004D15A7" w:rsidR="55308E52">
        <w:t xml:space="preserve">or certify the appropriate CEQA document and issue the </w:t>
      </w:r>
      <w:r w:rsidRPr="004D15A7" w:rsidR="55308E52">
        <w:lastRenderedPageBreak/>
        <w:t>requested CPCN or PTC</w:t>
      </w:r>
      <w:r w:rsidRPr="004D15A7" w:rsidR="00670BA9">
        <w:t>,</w:t>
      </w:r>
      <w:r w:rsidRPr="004D15A7" w:rsidR="55308E52">
        <w:t xml:space="preserve"> no later</w:t>
      </w:r>
      <w:r w:rsidRPr="0014288D" w:rsidR="55308E52">
        <w:t xml:space="preserve"> than 270 days after a CPCN or PTC application is deemed complete, as proposed by Settling Parties in the Settlement Agreement.</w:t>
      </w:r>
      <w:r w:rsidRPr="0014288D" w:rsidR="00C92570">
        <w:rPr>
          <w:rStyle w:val="FootnoteReference"/>
        </w:rPr>
        <w:footnoteReference w:id="87"/>
      </w:r>
    </w:p>
    <w:p w:rsidRPr="0014288D" w:rsidR="00C92570" w:rsidP="00474AE8" w:rsidRDefault="55308E52" w14:paraId="083F8E7E" w14:textId="77777777">
      <w:pPr>
        <w:pStyle w:val="Standard"/>
      </w:pPr>
      <w:r w:rsidRPr="0014288D">
        <w:t xml:space="preserve">Staff does not recommend adoption of </w:t>
      </w:r>
      <w:r w:rsidR="00EC7F4A">
        <w:t xml:space="preserve">Staff Proposal </w:t>
      </w:r>
      <w:r w:rsidR="00DC14AC">
        <w:t>Section </w:t>
      </w:r>
      <w:r w:rsidR="00EC7F4A">
        <w:t xml:space="preserve">3.8, </w:t>
      </w:r>
      <w:r w:rsidRPr="0014288D">
        <w:t>Proposal 3 because imposing a 270-day deadline to issue CEQA documents would (1) have no bearing on the time required to complete key elements of</w:t>
      </w:r>
      <w:r w:rsidRPr="0014288D" w:rsidR="2539CB36">
        <w:t xml:space="preserve"> the</w:t>
      </w:r>
      <w:r w:rsidRPr="0014288D">
        <w:t xml:space="preserve"> CEQA process</w:t>
      </w:r>
      <w:r w:rsidRPr="007F1705" w:rsidR="00064FB0">
        <w:t>,</w:t>
      </w:r>
      <w:r w:rsidRPr="0014288D">
        <w:t xml:space="preserve"> (2) be inconsistent with deadlines specified in the CEQA Guidelines to develop draft NDs, MNDs, and EIRs</w:t>
      </w:r>
      <w:r w:rsidRPr="007F1705" w:rsidR="00A72020">
        <w:t>,</w:t>
      </w:r>
      <w:r w:rsidRPr="0014288D">
        <w:t xml:space="preserve"> (3) be challenging</w:t>
      </w:r>
      <w:r w:rsidRPr="0014288D" w:rsidR="29BADA35">
        <w:t xml:space="preserve"> or even infeasible</w:t>
      </w:r>
      <w:r w:rsidRPr="0014288D">
        <w:t xml:space="preserve"> to </w:t>
      </w:r>
      <w:r w:rsidRPr="0014288D" w:rsidR="1251C0B5">
        <w:t xml:space="preserve">consistently </w:t>
      </w:r>
      <w:r w:rsidRPr="0014288D">
        <w:t>meet due to the complexity of issues, and level of controversy associated with projects that may not arise until later in the CEQA review process</w:t>
      </w:r>
      <w:r w:rsidRPr="007F1705" w:rsidR="00A72020">
        <w:t>,</w:t>
      </w:r>
      <w:r w:rsidRPr="0014288D">
        <w:t xml:space="preserve"> (4) threaten the integrity of Commission-issued CEQA documents </w:t>
      </w:r>
      <w:r w:rsidRPr="0014288D" w:rsidR="67DBF4A6">
        <w:t xml:space="preserve">by creating pressure to complete </w:t>
      </w:r>
      <w:r w:rsidRPr="0014288D">
        <w:t>critical steps</w:t>
      </w:r>
      <w:r w:rsidDel="55308E52" w:rsidR="00C92570">
        <w:t xml:space="preserve"> </w:t>
      </w:r>
      <w:r w:rsidRPr="0014288D">
        <w:t>without sufficient and substantial evidence</w:t>
      </w:r>
      <w:r w:rsidRPr="007F1705" w:rsidR="00625093">
        <w:t>,</w:t>
      </w:r>
      <w:r w:rsidRPr="0014288D">
        <w:t xml:space="preserve"> and (5)</w:t>
      </w:r>
      <w:r w:rsidDel="55308E52" w:rsidR="00C92570">
        <w:t xml:space="preserve"> </w:t>
      </w:r>
      <w:r w:rsidRPr="0014288D">
        <w:t xml:space="preserve">constrain scoping of issues, consultation with other agencies and tribes, and public participation. Further, Staff </w:t>
      </w:r>
      <w:r w:rsidRPr="007F1705" w:rsidR="000D6EFA">
        <w:t>not</w:t>
      </w:r>
      <w:r w:rsidRPr="007F1705">
        <w:t>es</w:t>
      </w:r>
      <w:r w:rsidRPr="0014288D">
        <w:t xml:space="preserve"> that </w:t>
      </w:r>
      <w:r w:rsidRPr="0014288D" w:rsidR="595F12AB">
        <w:t xml:space="preserve">while </w:t>
      </w:r>
      <w:r w:rsidRPr="0014288D">
        <w:t xml:space="preserve">deeming an application complete after 30 days unless a utility is notified of deficiencies is consistent with Government Code </w:t>
      </w:r>
      <w:r w:rsidR="00DC14AC">
        <w:t>Section </w:t>
      </w:r>
      <w:r w:rsidRPr="0014288D">
        <w:t xml:space="preserve">65943, </w:t>
      </w:r>
      <w:r w:rsidRPr="0014288D" w:rsidR="45B2FB1D">
        <w:t xml:space="preserve">it is </w:t>
      </w:r>
      <w:r w:rsidRPr="0014288D">
        <w:t xml:space="preserve">implicit in </w:t>
      </w:r>
      <w:r w:rsidR="003B5D07">
        <w:t>GO </w:t>
      </w:r>
      <w:r w:rsidRPr="0014288D">
        <w:t>131-D</w:t>
      </w:r>
      <w:r w:rsidRPr="0014288D" w:rsidR="6519BE6E">
        <w:t xml:space="preserve">, as </w:t>
      </w:r>
      <w:r w:rsidR="003B5D07">
        <w:t>GO </w:t>
      </w:r>
      <w:r w:rsidRPr="0014288D" w:rsidR="6519BE6E">
        <w:t xml:space="preserve">131-D states that the Commission shall issue a decision </w:t>
      </w:r>
      <w:r w:rsidRPr="007F1705" w:rsidR="6519BE6E">
        <w:t>within</w:t>
      </w:r>
      <w:r w:rsidRPr="0014288D" w:rsidR="6519BE6E">
        <w:t xml:space="preserve"> the time limits prescribed by Government Code Sections 65820 </w:t>
      </w:r>
      <w:r w:rsidRPr="007F1705" w:rsidR="6519BE6E">
        <w:rPr>
          <w:i/>
        </w:rPr>
        <w:t>et seq</w:t>
      </w:r>
      <w:r w:rsidRPr="0014288D">
        <w:t>.</w:t>
      </w:r>
      <w:r w:rsidRPr="0014288D" w:rsidR="00C92570">
        <w:rPr>
          <w:rStyle w:val="FootnoteReference"/>
        </w:rPr>
        <w:footnoteReference w:id="88"/>
      </w:r>
    </w:p>
    <w:p w:rsidRPr="0014288D" w:rsidR="00C92570" w:rsidP="00474AE8" w:rsidRDefault="551608AD" w14:paraId="094A234F" w14:textId="77777777">
      <w:pPr>
        <w:pStyle w:val="Standard"/>
      </w:pPr>
      <w:r w:rsidRPr="246727E9">
        <w:rPr>
          <w:b/>
          <w:bCs/>
          <w:i/>
          <w:iCs/>
          <w:u w:val="single"/>
        </w:rPr>
        <w:t xml:space="preserve">Staff Proposal </w:t>
      </w:r>
      <w:r w:rsidR="00DC14AC">
        <w:rPr>
          <w:b/>
          <w:bCs/>
          <w:i/>
          <w:iCs/>
          <w:u w:val="single"/>
        </w:rPr>
        <w:t>Section </w:t>
      </w:r>
      <w:r w:rsidRPr="246727E9">
        <w:rPr>
          <w:b/>
          <w:bCs/>
          <w:i/>
          <w:iCs/>
          <w:u w:val="single"/>
        </w:rPr>
        <w:t xml:space="preserve">3.8, </w:t>
      </w:r>
      <w:r w:rsidRPr="246727E9" w:rsidR="55308E52">
        <w:rPr>
          <w:b/>
          <w:bCs/>
          <w:i/>
          <w:iCs/>
          <w:u w:val="single"/>
        </w:rPr>
        <w:t>Staff Proposal 4</w:t>
      </w:r>
      <w:r w:rsidRPr="004B2E17" w:rsidR="55308E52">
        <w:rPr>
          <w:b/>
          <w:bCs/>
          <w:i/>
          <w:iCs/>
        </w:rPr>
        <w:t>:</w:t>
      </w:r>
      <w:r w:rsidRPr="004B2E17" w:rsidR="00C92570">
        <w:t xml:space="preserve"> </w:t>
      </w:r>
      <w:r w:rsidR="00CA5B2A">
        <w:t xml:space="preserve">Staff Proposal </w:t>
      </w:r>
      <w:r w:rsidR="00DC14AC">
        <w:t>Section </w:t>
      </w:r>
      <w:r w:rsidR="00CA5B2A">
        <w:t xml:space="preserve">3.8, </w:t>
      </w:r>
      <w:r w:rsidR="00D54838">
        <w:t xml:space="preserve">Staff Proposal </w:t>
      </w:r>
      <w:r w:rsidR="00DC14AC">
        <w:t>Section </w:t>
      </w:r>
      <w:r w:rsidR="00D54838">
        <w:t xml:space="preserve">3.8, </w:t>
      </w:r>
      <w:r w:rsidRPr="0014288D" w:rsidR="00C92570">
        <w:t>Staff</w:t>
      </w:r>
      <w:r w:rsidRPr="0014288D" w:rsidR="55308E52">
        <w:t xml:space="preserve"> Proposal 4 would modify </w:t>
      </w:r>
      <w:r w:rsidR="00DC14AC">
        <w:t>Section </w:t>
      </w:r>
      <w:r w:rsidRPr="0014288D" w:rsidR="55308E52">
        <w:t>IX.B to establish a prioritized and expedited permitting process for policy-driven CAISO-approved electrical transmission projects, as proposed by Cal Advocates.</w:t>
      </w:r>
      <w:r w:rsidRPr="0014288D" w:rsidR="00C92570">
        <w:rPr>
          <w:rStyle w:val="FootnoteReference"/>
        </w:rPr>
        <w:footnoteReference w:id="89"/>
      </w:r>
      <w:r w:rsidRPr="0014288D" w:rsidR="55308E52">
        <w:t xml:space="preserve"> Staff </w:t>
      </w:r>
      <w:r w:rsidRPr="0014288D" w:rsidR="55308E52">
        <w:lastRenderedPageBreak/>
        <w:t xml:space="preserve">does not recommend adoption of </w:t>
      </w:r>
      <w:r w:rsidR="00D54838">
        <w:t xml:space="preserve">Staff Proposal </w:t>
      </w:r>
      <w:r w:rsidR="00DC14AC">
        <w:t>Section </w:t>
      </w:r>
      <w:r w:rsidR="00D54838">
        <w:t xml:space="preserve">3.8, </w:t>
      </w:r>
      <w:r w:rsidRPr="0014288D" w:rsidR="55308E52">
        <w:t xml:space="preserve">Proposal 4 at this time because it may delay resolution of key issues raised in Phase 2. However, Staff </w:t>
      </w:r>
      <w:r w:rsidRPr="007F1705" w:rsidR="55308E52">
        <w:t>recommend</w:t>
      </w:r>
      <w:r w:rsidRPr="0014288D" w:rsidR="55308E52">
        <w:t xml:space="preserve"> further consideration of </w:t>
      </w:r>
      <w:r w:rsidR="00192661">
        <w:t xml:space="preserve">Staff Proposal </w:t>
      </w:r>
      <w:r w:rsidR="00DC14AC">
        <w:t>Section </w:t>
      </w:r>
      <w:r w:rsidR="00192661">
        <w:t xml:space="preserve">3.8, </w:t>
      </w:r>
      <w:r w:rsidRPr="0014288D" w:rsidR="55308E52">
        <w:t xml:space="preserve">Proposal 4 in a subsequent </w:t>
      </w:r>
      <w:r w:rsidR="00655F1C">
        <w:t>P</w:t>
      </w:r>
      <w:r w:rsidRPr="0014288D" w:rsidR="00C92570">
        <w:t>hase 3</w:t>
      </w:r>
      <w:r w:rsidRPr="0014288D" w:rsidR="55308E52">
        <w:t xml:space="preserve"> of the instant proceeding or in an alternative regulatory venue.</w:t>
      </w:r>
      <w:r w:rsidRPr="0014288D" w:rsidR="00C92570">
        <w:rPr>
          <w:rStyle w:val="FootnoteReference"/>
        </w:rPr>
        <w:footnoteReference w:id="90"/>
      </w:r>
      <w:r w:rsidRPr="0014288D" w:rsidR="55308E52">
        <w:t xml:space="preserve"> </w:t>
      </w:r>
      <w:r w:rsidRPr="0076248D" w:rsidR="55308E52">
        <w:t xml:space="preserve">Given that some parties </w:t>
      </w:r>
      <w:r w:rsidRPr="0014288D" w:rsidR="3468EA47">
        <w:t xml:space="preserve">oppose </w:t>
      </w:r>
      <w:r w:rsidR="00376065">
        <w:t xml:space="preserve">Staff Proposal Section 3.8, </w:t>
      </w:r>
      <w:r w:rsidRPr="0014288D" w:rsidR="3468EA47">
        <w:t xml:space="preserve">Proposal 4 and </w:t>
      </w:r>
      <w:r w:rsidRPr="008334C7" w:rsidR="55308E52">
        <w:t xml:space="preserve">do </w:t>
      </w:r>
      <w:r w:rsidRPr="0076248D" w:rsidR="55308E52">
        <w:t>not support minimizing the importance of economic or reliability projects, Staff contends that further development of the record is needed to consider an appropriate method to prioritize CAISO-approved projects.</w:t>
      </w:r>
      <w:r w:rsidRPr="0014288D" w:rsidR="55308E52">
        <w:t xml:space="preserve"> </w:t>
      </w:r>
    </w:p>
    <w:p w:rsidRPr="0014288D" w:rsidR="00C92570" w:rsidP="00C92570" w:rsidRDefault="55308E52" w14:paraId="7C3955A1" w14:textId="77777777">
      <w:pPr>
        <w:pStyle w:val="Standard"/>
      </w:pPr>
      <w:r w:rsidRPr="246727E9">
        <w:rPr>
          <w:b/>
          <w:bCs/>
          <w:i/>
          <w:iCs/>
          <w:u w:val="single"/>
        </w:rPr>
        <w:t>Party Positions</w:t>
      </w:r>
      <w:r w:rsidRPr="004B2E17">
        <w:rPr>
          <w:b/>
          <w:bCs/>
          <w:i/>
          <w:iCs/>
        </w:rPr>
        <w:t>:</w:t>
      </w:r>
      <w:r w:rsidRPr="004B2E17">
        <w:t xml:space="preserve"> </w:t>
      </w:r>
      <w:r w:rsidRPr="0014288D">
        <w:t xml:space="preserve">Cal Advocates, CBD, and PCF agree with </w:t>
      </w:r>
      <w:r w:rsidRPr="0014288D" w:rsidR="00C92570">
        <w:t xml:space="preserve">Staff’s determination that </w:t>
      </w:r>
      <w:r w:rsidR="005113A3">
        <w:t xml:space="preserve">Staff Proposal </w:t>
      </w:r>
      <w:r w:rsidR="00DC14AC">
        <w:t>Section </w:t>
      </w:r>
      <w:r w:rsidR="00993D28">
        <w:t>3.8,</w:t>
      </w:r>
      <w:r w:rsidRPr="0014288D">
        <w:t xml:space="preserve"> Proposal 1 is consistent with the time limits for EIR preparation listed in the CEQA Guidelines.</w:t>
      </w:r>
      <w:r w:rsidRPr="0014288D" w:rsidR="00C92570">
        <w:rPr>
          <w:rStyle w:val="FootnoteReference"/>
        </w:rPr>
        <w:footnoteReference w:id="91"/>
      </w:r>
      <w:r w:rsidRPr="0014288D">
        <w:rPr>
          <w:vertAlign w:val="superscript"/>
        </w:rPr>
        <w:t>,</w:t>
      </w:r>
      <w:r w:rsidRPr="0014288D" w:rsidR="00C92570">
        <w:rPr>
          <w:rStyle w:val="FootnoteReference"/>
        </w:rPr>
        <w:footnoteReference w:id="92"/>
      </w:r>
      <w:r w:rsidRPr="0014288D">
        <w:t xml:space="preserve"> RCRC </w:t>
      </w:r>
      <w:r w:rsidR="00417D59">
        <w:t xml:space="preserve">opposes </w:t>
      </w:r>
      <w:r w:rsidR="00993D28">
        <w:t xml:space="preserve">Staff Proposal </w:t>
      </w:r>
      <w:r w:rsidR="00DC14AC">
        <w:t>Section </w:t>
      </w:r>
      <w:r w:rsidR="00993D28">
        <w:t>3.8,</w:t>
      </w:r>
      <w:r w:rsidRPr="0014288D">
        <w:t xml:space="preserve"> Proposal 1 in favor of </w:t>
      </w:r>
      <w:r w:rsidR="00993D28">
        <w:t xml:space="preserve">Staff Proposal </w:t>
      </w:r>
      <w:r w:rsidR="00DC14AC">
        <w:t>Section </w:t>
      </w:r>
      <w:r w:rsidR="00993D28">
        <w:t xml:space="preserve">3.8, </w:t>
      </w:r>
      <w:r w:rsidRPr="0014288D">
        <w:t xml:space="preserve">Proposal 3 which aligns the project review process with </w:t>
      </w:r>
      <w:r w:rsidRPr="00417D59">
        <w:t xml:space="preserve">the CEQA </w:t>
      </w:r>
      <w:r w:rsidRPr="00417D59" w:rsidR="00A24B6B">
        <w:t>G</w:t>
      </w:r>
      <w:r w:rsidRPr="00417D59">
        <w:t>uidelines.</w:t>
      </w:r>
      <w:r w:rsidRPr="0014288D">
        <w:t xml:space="preserve"> As such, RCRC </w:t>
      </w:r>
      <w:r w:rsidRPr="00074570" w:rsidR="0039741A">
        <w:t>contends</w:t>
      </w:r>
      <w:r w:rsidRPr="0014288D">
        <w:t xml:space="preserve"> that ND and MND reviews should be completed with 270 days and that reviews of EIRs </w:t>
      </w:r>
      <w:r w:rsidRPr="00074570" w:rsidR="00454F12">
        <w:t>should</w:t>
      </w:r>
      <w:r w:rsidR="00454F12">
        <w:t xml:space="preserve"> </w:t>
      </w:r>
      <w:r w:rsidRPr="0014288D">
        <w:t>be completed within 455 days, with the possibility for extensions for projects involving federal agency approval.</w:t>
      </w:r>
      <w:r w:rsidRPr="0014288D" w:rsidR="00C92570">
        <w:rPr>
          <w:rStyle w:val="FootnoteReference"/>
        </w:rPr>
        <w:footnoteReference w:id="93"/>
      </w:r>
      <w:r w:rsidRPr="0014288D">
        <w:t xml:space="preserve"> IEP,</w:t>
      </w:r>
      <w:r w:rsidRPr="0014288D" w:rsidR="00C92570">
        <w:rPr>
          <w:rStyle w:val="FootnoteReference"/>
        </w:rPr>
        <w:footnoteReference w:id="94"/>
      </w:r>
      <w:r w:rsidRPr="0014288D">
        <w:t xml:space="preserve"> </w:t>
      </w:r>
      <w:r w:rsidRPr="0014288D">
        <w:lastRenderedPageBreak/>
        <w:t>LSA,</w:t>
      </w:r>
      <w:r w:rsidRPr="0014288D" w:rsidR="00C92570">
        <w:rPr>
          <w:rStyle w:val="FootnoteReference"/>
        </w:rPr>
        <w:footnoteReference w:id="95"/>
      </w:r>
      <w:r w:rsidRPr="0014288D">
        <w:t xml:space="preserve"> CEERT,</w:t>
      </w:r>
      <w:r w:rsidRPr="0014288D" w:rsidR="00C92570">
        <w:rPr>
          <w:rStyle w:val="FootnoteReference"/>
        </w:rPr>
        <w:footnoteReference w:id="96"/>
      </w:r>
      <w:r w:rsidRPr="0014288D">
        <w:t xml:space="preserve"> LSPGC,</w:t>
      </w:r>
      <w:r w:rsidRPr="0014288D" w:rsidR="00C92570">
        <w:rPr>
          <w:rStyle w:val="FootnoteReference"/>
        </w:rPr>
        <w:footnoteReference w:id="97"/>
      </w:r>
      <w:r w:rsidRPr="0014288D">
        <w:t xml:space="preserve"> </w:t>
      </w:r>
      <w:r w:rsidR="001524A1">
        <w:t>Transmission Owners</w:t>
      </w:r>
      <w:r w:rsidRPr="0014288D">
        <w:t>,</w:t>
      </w:r>
      <w:r w:rsidRPr="0014288D" w:rsidR="00C92570">
        <w:rPr>
          <w:rStyle w:val="FootnoteReference"/>
        </w:rPr>
        <w:footnoteReference w:id="98"/>
      </w:r>
      <w:r w:rsidRPr="0014288D">
        <w:t xml:space="preserve"> SDG&amp;E,</w:t>
      </w:r>
      <w:r w:rsidRPr="0014288D" w:rsidR="00C92570">
        <w:rPr>
          <w:rStyle w:val="FootnoteReference"/>
        </w:rPr>
        <w:footnoteReference w:id="99"/>
      </w:r>
      <w:r w:rsidRPr="0014288D">
        <w:t xml:space="preserve"> and SCE</w:t>
      </w:r>
      <w:r w:rsidRPr="0014288D" w:rsidR="00C92570">
        <w:rPr>
          <w:rStyle w:val="FootnoteReference"/>
        </w:rPr>
        <w:footnoteReference w:id="100"/>
      </w:r>
      <w:r w:rsidRPr="0014288D">
        <w:t xml:space="preserve"> oppose </w:t>
      </w:r>
      <w:r w:rsidR="0080354C">
        <w:t xml:space="preserve">Staff Proposal </w:t>
      </w:r>
      <w:r w:rsidR="00DC14AC">
        <w:t>Section </w:t>
      </w:r>
      <w:r w:rsidR="0080354C">
        <w:t xml:space="preserve">3.8, </w:t>
      </w:r>
      <w:r w:rsidRPr="0014288D">
        <w:t xml:space="preserve">Proposal 1 and support </w:t>
      </w:r>
      <w:r w:rsidR="0080354C">
        <w:t xml:space="preserve">Staff Proposal </w:t>
      </w:r>
      <w:r w:rsidR="00DC14AC">
        <w:t>Section </w:t>
      </w:r>
      <w:r w:rsidR="0080354C">
        <w:t xml:space="preserve">3.8, </w:t>
      </w:r>
      <w:r w:rsidRPr="0014288D">
        <w:t>Proposal 3 in alignment with the Settling Parties’ proposal. These parties contend that</w:t>
      </w:r>
      <w:r w:rsidRPr="0014288D" w:rsidR="00C92570">
        <w:t xml:space="preserve"> </w:t>
      </w:r>
      <w:r w:rsidR="0080354C">
        <w:t xml:space="preserve">Staff Proposal </w:t>
      </w:r>
      <w:r w:rsidR="00DC14AC">
        <w:t>Section </w:t>
      </w:r>
      <w:r w:rsidR="0080354C">
        <w:t>3.8,</w:t>
      </w:r>
      <w:r w:rsidRPr="0014288D">
        <w:t xml:space="preserve"> Proposals 1 and 2 do not commit the Commission to meeting a 270-day deadline to complete the CEQA review process.</w:t>
      </w:r>
    </w:p>
    <w:p w:rsidRPr="0014288D" w:rsidR="00C92570" w:rsidP="00C92570" w:rsidRDefault="00C92570" w14:paraId="3E96E9B7" w14:textId="77777777">
      <w:pPr>
        <w:pStyle w:val="Standard"/>
      </w:pPr>
      <w:r w:rsidRPr="0014288D">
        <w:t xml:space="preserve">Cal Advocates and Sierra Club supports </w:t>
      </w:r>
      <w:r w:rsidR="00AC670F">
        <w:t xml:space="preserve">Staff Proposal </w:t>
      </w:r>
      <w:r w:rsidR="00DC14AC">
        <w:t>Section </w:t>
      </w:r>
      <w:r w:rsidR="00AC670F">
        <w:t>3.8,</w:t>
      </w:r>
      <w:r w:rsidRPr="0014288D">
        <w:t xml:space="preserve"> Proposal 2 but suggests that the pilot should focus on CAISO projects that are needed to integrate clean energy resources within 10 years.</w:t>
      </w:r>
      <w:r w:rsidRPr="00D25CC5">
        <w:rPr>
          <w:rStyle w:val="FootnoteReference"/>
        </w:rPr>
        <w:footnoteReference w:id="101"/>
      </w:r>
      <w:r w:rsidRPr="00D25CC5" w:rsidR="00B81B77">
        <w:rPr>
          <w:vertAlign w:val="superscript"/>
        </w:rPr>
        <w:t>,</w:t>
      </w:r>
      <w:r w:rsidRPr="00D25CC5">
        <w:rPr>
          <w:rStyle w:val="FootnoteReference"/>
        </w:rPr>
        <w:footnoteReference w:id="102"/>
      </w:r>
      <w:r w:rsidRPr="0014288D">
        <w:t xml:space="preserve"> </w:t>
      </w:r>
    </w:p>
    <w:p w:rsidRPr="0014288D" w:rsidR="00C92570" w:rsidP="00C92570" w:rsidRDefault="00C92570" w14:paraId="3E90DE6F" w14:textId="77777777">
      <w:pPr>
        <w:pStyle w:val="Standard"/>
      </w:pPr>
      <w:r w:rsidRPr="0014288D">
        <w:t>PG&amp;E</w:t>
      </w:r>
      <w:r w:rsidRPr="0014288D">
        <w:rPr>
          <w:rStyle w:val="FootnoteReference"/>
        </w:rPr>
        <w:footnoteReference w:id="103"/>
      </w:r>
      <w:r w:rsidRPr="0014288D">
        <w:t xml:space="preserve"> and SDG&amp;E </w:t>
      </w:r>
      <w:r w:rsidR="0011681F">
        <w:t xml:space="preserve">oppose </w:t>
      </w:r>
      <w:r w:rsidR="0059198F">
        <w:t xml:space="preserve">Staff Proposal </w:t>
      </w:r>
      <w:r w:rsidR="00DC14AC">
        <w:t>Section </w:t>
      </w:r>
      <w:r w:rsidR="0059198F">
        <w:t>3.8,</w:t>
      </w:r>
      <w:r w:rsidRPr="0014288D">
        <w:t xml:space="preserve"> Proposal 2 as it would redirect Staff resources to focus on a pilot, versus expediting the review of projects that are currently in the project queue.</w:t>
      </w:r>
      <w:r w:rsidRPr="0014288D">
        <w:rPr>
          <w:rStyle w:val="FootnoteReference"/>
        </w:rPr>
        <w:footnoteReference w:id="104"/>
      </w:r>
      <w:r w:rsidRPr="0014288D">
        <w:t xml:space="preserve"> Based on pilot results, CAISO suggests that the Commission should set a firm timeline for CEQA review if it is deemed to be feasible.</w:t>
      </w:r>
      <w:r w:rsidRPr="0014288D">
        <w:rPr>
          <w:rStyle w:val="FootnoteReference"/>
        </w:rPr>
        <w:footnoteReference w:id="105"/>
      </w:r>
      <w:r w:rsidRPr="0014288D">
        <w:t xml:space="preserve"> To consider pilot projects, DOW proposes that pilot applicants should consult with trustee and responsible agency staff (</w:t>
      </w:r>
      <w:r w:rsidRPr="00C02103">
        <w:rPr>
          <w:i/>
          <w:iCs/>
        </w:rPr>
        <w:t>e.g.</w:t>
      </w:r>
      <w:r w:rsidRPr="0014288D">
        <w:t xml:space="preserve">, California Department of Fish and Wildlife) prior to conducting technical studies to identify the correct scope and protocols. If </w:t>
      </w:r>
      <w:r w:rsidR="0059198F">
        <w:t xml:space="preserve">Staff Proposal </w:t>
      </w:r>
      <w:r w:rsidR="00DC14AC">
        <w:t>Section </w:t>
      </w:r>
      <w:r w:rsidR="0059198F">
        <w:t>3.8,</w:t>
      </w:r>
      <w:r w:rsidRPr="0014288D">
        <w:t xml:space="preserve"> Proposal </w:t>
      </w:r>
      <w:r w:rsidRPr="0014288D">
        <w:lastRenderedPageBreak/>
        <w:t>2 is adopted by the Commission, CBD argues that the pilot should feature a transparent project selection and evaluation process subject to stakeholder feedback, and therefore must focus on internal Commission and applicant processes, and not subvert CEQA requirements. ACP suggests that adoption of a pilot is equivalent to business as usual. CEERT believes that considering a pilot versus setting mandatory deadlines to complete a CEQA review is a step backwards.</w:t>
      </w:r>
      <w:r w:rsidRPr="0014288D">
        <w:rPr>
          <w:rStyle w:val="FootnoteReference"/>
        </w:rPr>
        <w:footnoteReference w:id="106"/>
      </w:r>
      <w:r w:rsidRPr="0014288D">
        <w:t xml:space="preserve"> CFBF highlights that current oversight and compliance processes to evaluate and adjust projects (i.e. time spent by CAISO to review projects and utility responses to CAISO directives) provides better opportunities for stakeholders to examine projects than a pilot.</w:t>
      </w:r>
      <w:r w:rsidRPr="0014288D">
        <w:rPr>
          <w:rStyle w:val="FootnoteReference"/>
        </w:rPr>
        <w:footnoteReference w:id="107"/>
      </w:r>
      <w:r w:rsidRPr="0014288D">
        <w:t xml:space="preserve"> </w:t>
      </w:r>
      <w:r w:rsidR="001524A1">
        <w:t>Transmission Owners</w:t>
      </w:r>
      <w:r w:rsidRPr="0014288D">
        <w:t>,</w:t>
      </w:r>
      <w:r w:rsidRPr="0014288D">
        <w:rPr>
          <w:rStyle w:val="FootnoteReference"/>
        </w:rPr>
        <w:footnoteReference w:id="108"/>
      </w:r>
      <w:r w:rsidRPr="0014288D">
        <w:t xml:space="preserve"> SCE,</w:t>
      </w:r>
      <w:r w:rsidRPr="0014288D">
        <w:rPr>
          <w:rStyle w:val="FootnoteReference"/>
        </w:rPr>
        <w:footnoteReference w:id="109"/>
      </w:r>
      <w:r w:rsidRPr="0014288D">
        <w:rPr>
          <w:rStyle w:val="FootnoteReference"/>
        </w:rPr>
        <w:t xml:space="preserve"> </w:t>
      </w:r>
      <w:r w:rsidRPr="0014288D">
        <w:t>and RCRC</w:t>
      </w:r>
      <w:r w:rsidRPr="0014288D">
        <w:rPr>
          <w:rStyle w:val="FootnoteReference"/>
        </w:rPr>
        <w:footnoteReference w:id="110"/>
      </w:r>
      <w:r w:rsidRPr="0014288D">
        <w:t xml:space="preserve"> suggest that a pilot should be designed to identify how to complete complex projects rather than standard projects in a reasonable timeframe.</w:t>
      </w:r>
    </w:p>
    <w:p w:rsidRPr="0014288D" w:rsidR="00C92570" w:rsidP="00C92570" w:rsidRDefault="55308E52" w14:paraId="56B210B4" w14:textId="77777777">
      <w:pPr>
        <w:pStyle w:val="Standard"/>
      </w:pPr>
      <w:r w:rsidRPr="0014288D">
        <w:t xml:space="preserve">Cal Advocates agrees with Staff’s observation that </w:t>
      </w:r>
      <w:r w:rsidR="007E34AA">
        <w:t xml:space="preserve">Staff Proposal </w:t>
      </w:r>
      <w:r w:rsidR="00DC14AC">
        <w:t>Section </w:t>
      </w:r>
      <w:r w:rsidR="007E34AA">
        <w:t xml:space="preserve">3.8, </w:t>
      </w:r>
      <w:r w:rsidRPr="0014288D">
        <w:t>Proposal 3 would be inconsistent with CEQA.</w:t>
      </w:r>
      <w:r w:rsidRPr="0014288D" w:rsidR="00C92570">
        <w:rPr>
          <w:rStyle w:val="FootnoteReference"/>
        </w:rPr>
        <w:footnoteReference w:id="111"/>
      </w:r>
      <w:r w:rsidRPr="0014288D">
        <w:t xml:space="preserve"> CBD states that Proposal 3 should be rejected </w:t>
      </w:r>
      <w:proofErr w:type="gramStart"/>
      <w:r w:rsidRPr="0014288D">
        <w:t xml:space="preserve">because </w:t>
      </w:r>
      <w:r w:rsidRPr="0014288D" w:rsidR="25147C1A">
        <w:t>while</w:t>
      </w:r>
      <w:proofErr w:type="gramEnd"/>
      <w:r w:rsidRPr="0014288D" w:rsidR="25147C1A">
        <w:t xml:space="preserve"> </w:t>
      </w:r>
      <w:r w:rsidRPr="0014288D">
        <w:t xml:space="preserve">it appears to be </w:t>
      </w:r>
      <w:r w:rsidRPr="0014288D" w:rsidR="3EFAA90C">
        <w:t>based in part on</w:t>
      </w:r>
      <w:r w:rsidRPr="0014288D">
        <w:t xml:space="preserve"> </w:t>
      </w:r>
      <w:r w:rsidR="00DC14AC">
        <w:t>SB </w:t>
      </w:r>
      <w:r w:rsidRPr="0014288D">
        <w:t xml:space="preserve">149 (Stats. 2023, Ch. 6), </w:t>
      </w:r>
      <w:r w:rsidRPr="0014288D" w:rsidR="142670C7">
        <w:t xml:space="preserve">which </w:t>
      </w:r>
      <w:r w:rsidRPr="0014288D" w:rsidR="73C45602">
        <w:t xml:space="preserve">requires </w:t>
      </w:r>
      <w:r w:rsidRPr="0014288D">
        <w:t>CEQA reviews to be completed with</w:t>
      </w:r>
      <w:r w:rsidRPr="0014288D" w:rsidR="275F74BB">
        <w:t>in</w:t>
      </w:r>
      <w:r w:rsidRPr="0014288D">
        <w:t xml:space="preserve"> 270 days for certain Governor-approved projects</w:t>
      </w:r>
      <w:r w:rsidRPr="0014288D" w:rsidR="5BFA3262">
        <w:t>, the projects</w:t>
      </w:r>
      <w:r w:rsidRPr="0014288D" w:rsidR="135BB4C6">
        <w:t xml:space="preserve"> and process</w:t>
      </w:r>
      <w:r w:rsidRPr="0014288D" w:rsidR="5BFA3262">
        <w:t xml:space="preserve"> </w:t>
      </w:r>
      <w:r w:rsidRPr="0014288D" w:rsidR="5BFA3262">
        <w:lastRenderedPageBreak/>
        <w:t xml:space="preserve">addressed by </w:t>
      </w:r>
      <w:r w:rsidR="00DC14AC">
        <w:t>SB </w:t>
      </w:r>
      <w:r w:rsidRPr="0014288D" w:rsidR="5BFA3262">
        <w:t>149 differ in</w:t>
      </w:r>
      <w:r w:rsidRPr="0014288D" w:rsidR="1D726306">
        <w:t xml:space="preserve"> important ways from the Commission’s process and the projects subject to </w:t>
      </w:r>
      <w:r w:rsidR="003B5D07">
        <w:t>GO </w:t>
      </w:r>
      <w:r w:rsidRPr="0014288D" w:rsidR="1D726306">
        <w:t>131-D</w:t>
      </w:r>
      <w:r w:rsidRPr="0014288D">
        <w:t>.</w:t>
      </w:r>
      <w:r w:rsidRPr="0014288D" w:rsidR="00C92570">
        <w:rPr>
          <w:rStyle w:val="FootnoteReference"/>
        </w:rPr>
        <w:footnoteReference w:id="112"/>
      </w:r>
      <w:r w:rsidRPr="0014288D">
        <w:rPr>
          <w:vertAlign w:val="superscript"/>
        </w:rPr>
        <w:t>,</w:t>
      </w:r>
      <w:r w:rsidRPr="0014288D" w:rsidR="00C92570">
        <w:rPr>
          <w:rStyle w:val="FootnoteReference"/>
        </w:rPr>
        <w:footnoteReference w:id="113"/>
      </w:r>
      <w:r w:rsidRPr="0014288D">
        <w:t xml:space="preserve"> </w:t>
      </w:r>
    </w:p>
    <w:p w:rsidRPr="0014288D" w:rsidR="00C92570" w:rsidP="004B2E17" w:rsidRDefault="00C92570" w14:paraId="0837B511" w14:textId="77777777">
      <w:pPr>
        <w:pStyle w:val="Standard"/>
        <w:ind w:right="-90"/>
      </w:pPr>
      <w:r w:rsidRPr="0014288D">
        <w:t xml:space="preserve">However, many Settling Parties support </w:t>
      </w:r>
      <w:r w:rsidR="00394599">
        <w:t xml:space="preserve">Staff Proposal </w:t>
      </w:r>
      <w:r w:rsidR="00DC14AC">
        <w:t>Section </w:t>
      </w:r>
      <w:r w:rsidR="00394599">
        <w:t>3.8,</w:t>
      </w:r>
      <w:r w:rsidR="00732786">
        <w:t xml:space="preserve"> </w:t>
      </w:r>
      <w:r w:rsidRPr="0014288D">
        <w:t>Proposal</w:t>
      </w:r>
      <w:r w:rsidR="004B2E17">
        <w:t> </w:t>
      </w:r>
      <w:r w:rsidRPr="0014288D">
        <w:t>3. IEP,</w:t>
      </w:r>
      <w:r w:rsidRPr="0014288D">
        <w:rPr>
          <w:rStyle w:val="FootnoteReference"/>
        </w:rPr>
        <w:footnoteReference w:id="114"/>
      </w:r>
      <w:r w:rsidRPr="0014288D">
        <w:t xml:space="preserve"> CEERT,</w:t>
      </w:r>
      <w:r w:rsidRPr="0014288D">
        <w:rPr>
          <w:rStyle w:val="FootnoteReference"/>
        </w:rPr>
        <w:footnoteReference w:id="115"/>
      </w:r>
      <w:r w:rsidRPr="0014288D">
        <w:t xml:space="preserve"> and SCE,</w:t>
      </w:r>
      <w:r w:rsidRPr="0014288D">
        <w:rPr>
          <w:rStyle w:val="FootnoteReference"/>
        </w:rPr>
        <w:footnoteReference w:id="116"/>
      </w:r>
      <w:r w:rsidRPr="0014288D">
        <w:t xml:space="preserve"> argue that recent legislation (i.e., </w:t>
      </w:r>
      <w:r w:rsidR="00CE6577">
        <w:t>AB 205</w:t>
      </w:r>
      <w:r w:rsidRPr="0014288D">
        <w:t xml:space="preserve">) tasked the </w:t>
      </w:r>
      <w:r w:rsidRPr="0014288D" w:rsidR="31FA848B">
        <w:t>California Energy Commission (</w:t>
      </w:r>
      <w:r w:rsidRPr="0014288D">
        <w:t>CEC</w:t>
      </w:r>
      <w:r w:rsidRPr="0014288D" w:rsidR="0787FF6A">
        <w:t>)</w:t>
      </w:r>
      <w:r w:rsidRPr="0014288D">
        <w:t xml:space="preserve"> with </w:t>
      </w:r>
      <w:r w:rsidRPr="0076248D">
        <w:t>completing CEQA reviews</w:t>
      </w:r>
      <w:r w:rsidRPr="0014288D">
        <w:t xml:space="preserve"> for certain projects (i.e., Governor-certified projects) within 270 days from the date</w:t>
      </w:r>
      <w:r w:rsidR="004B2E17">
        <w:t> </w:t>
      </w:r>
      <w:r w:rsidRPr="0014288D">
        <w:t xml:space="preserve"> an application is deemed complete, which in their view is a reasonable target for the Commission to meet. Further, CEERT claims that the Settlement Agreement includes a provision for the Commission to issue an order if the 270-day timeline for CEQA review must be extended if extenuating circumstances arise.</w:t>
      </w:r>
      <w:r w:rsidRPr="0014288D">
        <w:rPr>
          <w:rStyle w:val="FootnoteReference"/>
        </w:rPr>
        <w:footnoteReference w:id="117"/>
      </w:r>
      <w:r w:rsidRPr="0014288D">
        <w:t xml:space="preserve"> RCRC suggests that an exacting review of data and information submitted in permit applications is not necessary, especially if it prevents the State from meeting its climate and environmental goals.</w:t>
      </w:r>
      <w:r w:rsidRPr="0014288D">
        <w:rPr>
          <w:rStyle w:val="FootnoteReference"/>
        </w:rPr>
        <w:footnoteReference w:id="118"/>
      </w:r>
    </w:p>
    <w:p w:rsidR="00A70BE5" w:rsidP="00C92570" w:rsidRDefault="00C92570" w14:paraId="5C2A0153" w14:textId="77777777">
      <w:pPr>
        <w:pStyle w:val="Standard"/>
      </w:pPr>
      <w:r w:rsidRPr="0014288D">
        <w:t xml:space="preserve">Sierra Club supports </w:t>
      </w:r>
      <w:r w:rsidR="002F4F00">
        <w:t xml:space="preserve">Staff Proposal Section 3.8, </w:t>
      </w:r>
      <w:r w:rsidRPr="0014288D">
        <w:t>Proposal 4 and suggests that prioritizing the permitting of CAISO-approved projects that support the State’s policy goals should be addressed at some point during this rulemaking.</w:t>
      </w:r>
      <w:r w:rsidRPr="0014288D">
        <w:rPr>
          <w:rStyle w:val="FootnoteReference"/>
        </w:rPr>
        <w:footnoteReference w:id="119"/>
      </w:r>
      <w:r w:rsidRPr="0014288D">
        <w:t xml:space="preserve"> </w:t>
      </w:r>
    </w:p>
    <w:p w:rsidRPr="0014288D" w:rsidR="00C92570" w:rsidP="00C92570" w:rsidRDefault="00C92570" w14:paraId="5281B72D" w14:textId="77777777">
      <w:pPr>
        <w:pStyle w:val="Standard"/>
      </w:pPr>
      <w:r w:rsidRPr="0014288D">
        <w:t xml:space="preserve">Many parties recognize that there is a clear issue with network upgrade delays, including CAISO-approved policy-driven projects. ACP </w:t>
      </w:r>
      <w:r w:rsidR="00E8245F">
        <w:t xml:space="preserve">cites </w:t>
      </w:r>
      <w:r w:rsidRPr="0014288D">
        <w:t xml:space="preserve">ongoing </w:t>
      </w:r>
      <w:r w:rsidRPr="0014288D">
        <w:lastRenderedPageBreak/>
        <w:t xml:space="preserve">and extensive delays to in-service dates for network upgrades needed for </w:t>
      </w:r>
      <w:r w:rsidRPr="004E47CB">
        <w:t xml:space="preserve">deliverability and </w:t>
      </w:r>
      <w:r w:rsidRPr="004E47CB" w:rsidR="00F9527C">
        <w:t>renewable energy</w:t>
      </w:r>
      <w:r w:rsidRPr="004E47CB" w:rsidR="007B0900">
        <w:t xml:space="preserve"> </w:t>
      </w:r>
      <w:r w:rsidRPr="004E47CB">
        <w:t>curtailment</w:t>
      </w:r>
      <w:r w:rsidR="00CA0002">
        <w:t xml:space="preserve"> </w:t>
      </w:r>
      <w:r w:rsidRPr="0014288D">
        <w:t>management</w:t>
      </w:r>
      <w:r w:rsidR="00E15229">
        <w:t xml:space="preserve">. ACP </w:t>
      </w:r>
      <w:r w:rsidR="00C77B4C">
        <w:t xml:space="preserve">also </w:t>
      </w:r>
      <w:r w:rsidR="00E15229">
        <w:t xml:space="preserve">points out that </w:t>
      </w:r>
      <w:r w:rsidR="00213A54">
        <w:t xml:space="preserve">the </w:t>
      </w:r>
      <w:r w:rsidRPr="0014288D">
        <w:t xml:space="preserve">State has </w:t>
      </w:r>
      <w:r w:rsidR="00213A54">
        <w:t xml:space="preserve">not developed </w:t>
      </w:r>
      <w:r w:rsidR="007B0900">
        <w:t xml:space="preserve">a </w:t>
      </w:r>
      <w:r w:rsidRPr="0014288D">
        <w:t xml:space="preserve">meaningful solution for these </w:t>
      </w:r>
      <w:r w:rsidRPr="00D44ACD">
        <w:t>delays.</w:t>
      </w:r>
      <w:r w:rsidRPr="00D44ACD" w:rsidR="00FB227F">
        <w:rPr>
          <w:rStyle w:val="FootnoteReference"/>
        </w:rPr>
        <w:footnoteReference w:id="120"/>
      </w:r>
      <w:r w:rsidR="00907DA9">
        <w:t xml:space="preserve"> </w:t>
      </w:r>
    </w:p>
    <w:p w:rsidRPr="0014288D" w:rsidR="00C92570" w:rsidP="008106CF" w:rsidRDefault="00C77B4C" w14:paraId="555D1403" w14:textId="77777777">
      <w:pPr>
        <w:pStyle w:val="Standard"/>
        <w:ind w:firstLine="0"/>
      </w:pPr>
      <w:r>
        <w:t xml:space="preserve">Further, </w:t>
      </w:r>
      <w:r w:rsidRPr="0014288D" w:rsidR="00C92570">
        <w:t xml:space="preserve">ACP cites </w:t>
      </w:r>
      <w:r w:rsidR="000C2A1E">
        <w:t>s</w:t>
      </w:r>
      <w:r w:rsidRPr="0014288D" w:rsidR="00C92570">
        <w:t>upply chain issues, construction sequencing, and reprioritization of capital to focus on wildfire risk mitigation as cont</w:t>
      </w:r>
      <w:r w:rsidR="000C2A1E">
        <w:t xml:space="preserve">inued </w:t>
      </w:r>
      <w:r w:rsidRPr="0014288D" w:rsidR="00C92570">
        <w:t>reasons for network upgrade delays</w:t>
      </w:r>
      <w:r w:rsidR="009F01A6">
        <w:t>.</w:t>
      </w:r>
      <w:r w:rsidR="009F01A6">
        <w:rPr>
          <w:rStyle w:val="FootnoteReference"/>
        </w:rPr>
        <w:footnoteReference w:id="121"/>
      </w:r>
      <w:r w:rsidRPr="0014288D" w:rsidR="00C92570">
        <w:t xml:space="preserve"> </w:t>
      </w:r>
    </w:p>
    <w:p w:rsidRPr="0014288D" w:rsidR="00C92570" w:rsidP="00C92570" w:rsidRDefault="00C92570" w14:paraId="6ED588AF" w14:textId="77777777">
      <w:pPr>
        <w:pStyle w:val="Standard"/>
      </w:pPr>
      <w:r w:rsidRPr="0014288D">
        <w:t xml:space="preserve">However, CUE, EDF, </w:t>
      </w:r>
      <w:r w:rsidR="001524A1">
        <w:t>Transmission Owners</w:t>
      </w:r>
      <w:r w:rsidRPr="0014288D">
        <w:t>, LSPGC, PG&amp;E, RCRC, SCE, and SDG&amp;E disagree that prioritization of policy-driven projects should be considered in a future phase of the proceeding (</w:t>
      </w:r>
      <w:r w:rsidRPr="00C02103">
        <w:rPr>
          <w:i/>
          <w:iCs/>
        </w:rPr>
        <w:t>e.g.</w:t>
      </w:r>
      <w:r w:rsidRPr="0014288D">
        <w:t>, Phase 3). CUE claims this measure would add a procedural layer to the lengthy transmission approval process.</w:t>
      </w:r>
      <w:r w:rsidRPr="0014288D">
        <w:rPr>
          <w:rStyle w:val="FootnoteReference"/>
        </w:rPr>
        <w:footnoteReference w:id="122"/>
      </w:r>
      <w:r w:rsidRPr="0014288D">
        <w:t xml:space="preserve"> EDF argues that </w:t>
      </w:r>
      <w:r w:rsidR="002F4F00">
        <w:t xml:space="preserve">Staff Proposal Section 3.8, </w:t>
      </w:r>
      <w:r w:rsidRPr="0014288D">
        <w:t>Proposal 4 is impractical because it would be difficult to prioritize 21 policy-driven projects and 24 reliability projects specified in CAISO’s 2022-2023 Transmission Plan that directly impact meeting the State’s climate goals.</w:t>
      </w:r>
      <w:r w:rsidRPr="0014288D">
        <w:rPr>
          <w:rStyle w:val="FootnoteReference"/>
        </w:rPr>
        <w:footnoteReference w:id="123"/>
      </w:r>
      <w:r w:rsidRPr="0014288D">
        <w:t xml:space="preserve"> Like EDF, </w:t>
      </w:r>
      <w:r w:rsidR="001524A1">
        <w:t>Transmission Owners</w:t>
      </w:r>
      <w:r w:rsidRPr="0014288D">
        <w:t xml:space="preserve"> explains that reliability-driven projects are equally important in the CAISO’s TPP. As such, </w:t>
      </w:r>
      <w:r w:rsidR="001524A1">
        <w:t>Transmission Owners</w:t>
      </w:r>
      <w:r w:rsidRPr="0014288D">
        <w:t xml:space="preserve"> claims that </w:t>
      </w:r>
      <w:r w:rsidR="002F4F00">
        <w:t xml:space="preserve">Staff Proposal Section 3.8, </w:t>
      </w:r>
      <w:r w:rsidRPr="0014288D">
        <w:t>Proposal 4 inappropriately omits projects driven by reliability or economic benefits and does not address when such projects would be eligible for Commission permitting under this framework.</w:t>
      </w:r>
      <w:r w:rsidRPr="0014288D">
        <w:rPr>
          <w:rStyle w:val="FootnoteReference"/>
        </w:rPr>
        <w:footnoteReference w:id="124"/>
      </w:r>
      <w:r w:rsidRPr="0014288D">
        <w:t xml:space="preserve"> CUE asserts that the State </w:t>
      </w:r>
      <w:r w:rsidRPr="0014288D">
        <w:lastRenderedPageBreak/>
        <w:t>cannot afford to expedite processing some transmission projects at the expense of others.</w:t>
      </w:r>
      <w:r w:rsidRPr="0014288D">
        <w:rPr>
          <w:rStyle w:val="FootnoteReference"/>
        </w:rPr>
        <w:footnoteReference w:id="125"/>
      </w:r>
      <w:r w:rsidRPr="0014288D">
        <w:t xml:space="preserve"> </w:t>
      </w:r>
    </w:p>
    <w:p w:rsidRPr="00DC2B4E" w:rsidR="00C92570" w:rsidP="00D13705" w:rsidRDefault="00C92570" w14:paraId="10E99A5D" w14:textId="77777777">
      <w:pPr>
        <w:pStyle w:val="Heading3"/>
        <w:numPr>
          <w:ilvl w:val="2"/>
          <w:numId w:val="18"/>
        </w:numPr>
      </w:pPr>
      <w:bookmarkStart w:name="_Toc189738505" w:id="141"/>
      <w:r w:rsidRPr="00DC2B4E">
        <w:t>Adoption of Proposals</w:t>
      </w:r>
      <w:bookmarkEnd w:id="141"/>
    </w:p>
    <w:p w:rsidR="00C92570" w:rsidP="00C92570" w:rsidRDefault="00C92570" w14:paraId="6CD38DC4" w14:textId="77777777">
      <w:pPr>
        <w:pStyle w:val="Standard"/>
      </w:pPr>
      <w:r w:rsidRPr="16578F45">
        <w:rPr>
          <w:b/>
          <w:bCs/>
          <w:i/>
          <w:iCs/>
          <w:u w:val="single"/>
        </w:rPr>
        <w:t xml:space="preserve">Adoption of </w:t>
      </w:r>
      <w:r w:rsidRPr="16578F45" w:rsidR="001521DE">
        <w:rPr>
          <w:b/>
          <w:bCs/>
          <w:i/>
          <w:iCs/>
          <w:u w:val="single"/>
        </w:rPr>
        <w:t xml:space="preserve">Staff Proposal </w:t>
      </w:r>
      <w:r w:rsidR="00DC14AC">
        <w:rPr>
          <w:b/>
          <w:bCs/>
          <w:i/>
          <w:iCs/>
          <w:u w:val="single"/>
        </w:rPr>
        <w:t>Section </w:t>
      </w:r>
      <w:r w:rsidRPr="16578F45" w:rsidR="001521DE">
        <w:rPr>
          <w:b/>
          <w:bCs/>
          <w:i/>
          <w:iCs/>
          <w:u w:val="single"/>
        </w:rPr>
        <w:t xml:space="preserve">3.8, </w:t>
      </w:r>
      <w:r w:rsidRPr="16578F45">
        <w:rPr>
          <w:b/>
          <w:bCs/>
          <w:i/>
          <w:iCs/>
          <w:u w:val="single"/>
        </w:rPr>
        <w:t>Proposal 1</w:t>
      </w:r>
      <w:r w:rsidRPr="004B2E17">
        <w:rPr>
          <w:b/>
          <w:bCs/>
          <w:i/>
          <w:iCs/>
        </w:rPr>
        <w:t>:</w:t>
      </w:r>
      <w:r w:rsidRPr="004B2E17">
        <w:t xml:space="preserve"> </w:t>
      </w:r>
      <w:r>
        <w:t xml:space="preserve">We adopt Staff </w:t>
      </w:r>
      <w:r w:rsidR="002F4F00">
        <w:t xml:space="preserve">Proposal Section 3.8, </w:t>
      </w:r>
      <w:r>
        <w:t xml:space="preserve">Proposal 1 which we find would be consistent with </w:t>
      </w:r>
      <w:r w:rsidR="4FDED83A">
        <w:t xml:space="preserve">the </w:t>
      </w:r>
      <w:r>
        <w:t xml:space="preserve">CEQA Guidelines that specify timelines for CEQA document preparation. </w:t>
      </w:r>
    </w:p>
    <w:p w:rsidRPr="00DC2B4E" w:rsidR="00C92570" w:rsidP="00C92570" w:rsidRDefault="00C92570" w14:paraId="0AF289F3" w14:textId="77777777">
      <w:pPr>
        <w:pStyle w:val="Standard"/>
      </w:pPr>
      <w:r>
        <w:t xml:space="preserve">Due to potential unforeseen circumstances that may prolong the review and approval of CEQA documents, including but not limited to additional time required to resolve and correct application deficiencies and address public concerns, we agree with Staff’s observation that the </w:t>
      </w:r>
      <w:r w:rsidRPr="008334C7">
        <w:t xml:space="preserve">timeline to </w:t>
      </w:r>
      <w:r w:rsidR="10B649FF">
        <w:t xml:space="preserve">adopt or </w:t>
      </w:r>
      <w:r w:rsidRPr="008334C7">
        <w:t>certify CEQA</w:t>
      </w:r>
      <w:r>
        <w:t xml:space="preserve"> </w:t>
      </w:r>
      <w:r w:rsidR="640CBA47">
        <w:t xml:space="preserve">documents </w:t>
      </w:r>
      <w:r>
        <w:t xml:space="preserve">should be flexible to accommodate the contingencies. </w:t>
      </w:r>
    </w:p>
    <w:p w:rsidRPr="00DC2B4E" w:rsidR="00C92570" w:rsidRDefault="55308E52" w14:paraId="15A2D891" w14:textId="77777777">
      <w:pPr>
        <w:pStyle w:val="Standard"/>
      </w:pPr>
      <w:r>
        <w:t>The Commission is committed to issuing CPCN and PTC permits for projects as efficiently as possible while maintaining compliance with CEQA. Pursuant to P</w:t>
      </w:r>
      <w:r w:rsidRPr="00CE5257" w:rsidR="00CA3ED5">
        <w:t xml:space="preserve">ub. </w:t>
      </w:r>
      <w:r w:rsidRPr="00CE5257">
        <w:t>R</w:t>
      </w:r>
      <w:r w:rsidRPr="00CE5257" w:rsidR="00CA3ED5">
        <w:t xml:space="preserve">es. </w:t>
      </w:r>
      <w:r w:rsidRPr="00CE5257">
        <w:t>C</w:t>
      </w:r>
      <w:r w:rsidRPr="00CE5257" w:rsidR="00CA3ED5">
        <w:t>ode</w:t>
      </w:r>
      <w:r w:rsidRPr="00CE5257">
        <w:t xml:space="preserve"> </w:t>
      </w:r>
      <w:r w:rsidR="00DC14AC">
        <w:t>Section </w:t>
      </w:r>
      <w:r>
        <w:t xml:space="preserve">21082, Staff ensures that the content of CEQA </w:t>
      </w:r>
      <w:r w:rsidRPr="00CE5257">
        <w:t>documentation</w:t>
      </w:r>
      <w:r w:rsidRPr="00CE5257" w:rsidR="00F469DA">
        <w:t>s</w:t>
      </w:r>
      <w:r>
        <w:t xml:space="preserve"> for projects </w:t>
      </w:r>
      <w:r w:rsidR="00F13F2D">
        <w:t>is</w:t>
      </w:r>
      <w:r>
        <w:t xml:space="preserve"> thorough and</w:t>
      </w:r>
      <w:r w:rsidRPr="00CE5257" w:rsidR="007A0550">
        <w:t xml:space="preserve"> reflect</w:t>
      </w:r>
      <w:r w:rsidR="00414808">
        <w:t xml:space="preserve"> </w:t>
      </w:r>
      <w:r>
        <w:t xml:space="preserve">the Commission’s independent judgement. Further, Staff is required to support its findings through substantial evidence pursuant to </w:t>
      </w:r>
      <w:r w:rsidRPr="00CE5257">
        <w:t>P</w:t>
      </w:r>
      <w:r w:rsidRPr="00CE5257" w:rsidR="004B4B2E">
        <w:t xml:space="preserve">ub. </w:t>
      </w:r>
      <w:r w:rsidRPr="00CE5257">
        <w:t>R</w:t>
      </w:r>
      <w:r w:rsidRPr="00CE5257" w:rsidR="004B4B2E">
        <w:t xml:space="preserve">es. </w:t>
      </w:r>
      <w:r w:rsidRPr="00CE5257">
        <w:t>C</w:t>
      </w:r>
      <w:r w:rsidRPr="00CE5257" w:rsidR="004B4B2E">
        <w:t>ode</w:t>
      </w:r>
      <w:r w:rsidRPr="00CE5257">
        <w:t xml:space="preserve"> </w:t>
      </w:r>
      <w:r w:rsidR="00DC14AC">
        <w:t>Section </w:t>
      </w:r>
      <w:r>
        <w:t xml:space="preserve">21082.2, and meet the legislative intent of CEQA, pursuant to </w:t>
      </w:r>
      <w:r w:rsidRPr="00CE5257">
        <w:t>P</w:t>
      </w:r>
      <w:r w:rsidRPr="00CE5257" w:rsidR="00274900">
        <w:t xml:space="preserve">ub. </w:t>
      </w:r>
      <w:r w:rsidRPr="00CE5257">
        <w:t>R</w:t>
      </w:r>
      <w:r w:rsidRPr="00CE5257" w:rsidR="00274900">
        <w:t xml:space="preserve">es. </w:t>
      </w:r>
      <w:r w:rsidRPr="00CE5257">
        <w:t>C</w:t>
      </w:r>
      <w:r w:rsidRPr="00CE5257" w:rsidR="00274900">
        <w:t>ode</w:t>
      </w:r>
      <w:r w:rsidRPr="00CE5257">
        <w:t xml:space="preserve"> </w:t>
      </w:r>
      <w:r w:rsidRPr="00CE5257" w:rsidR="00825987">
        <w:t>Sections</w:t>
      </w:r>
      <w:r w:rsidRPr="00370F82">
        <w:t xml:space="preserve"> 21000 and </w:t>
      </w:r>
      <w:r>
        <w:t xml:space="preserve">21001. </w:t>
      </w:r>
    </w:p>
    <w:p w:rsidRPr="00DC2B4E" w:rsidR="00C92570" w:rsidP="00C92570" w:rsidRDefault="00C92570" w14:paraId="235AE960" w14:textId="77777777">
      <w:pPr>
        <w:pStyle w:val="Standard"/>
      </w:pPr>
      <w:r w:rsidRPr="00DC2B4E">
        <w:t xml:space="preserve">The Commission also </w:t>
      </w:r>
      <w:r w:rsidRPr="0076248D">
        <w:t>coordinates</w:t>
      </w:r>
      <w:r w:rsidRPr="00DC2B4E">
        <w:t xml:space="preserve"> with multiple stakeholders, including other State and Federal agencies, and the public, during the CEQA review process.</w:t>
      </w:r>
      <w:r w:rsidR="00C36998">
        <w:rPr>
          <w:rStyle w:val="FootnoteReference"/>
        </w:rPr>
        <w:footnoteReference w:id="126"/>
      </w:r>
      <w:r w:rsidRPr="00DC2B4E">
        <w:t xml:space="preserve"> This coordination is critical for the approval of the appropriate CEQA documents. </w:t>
      </w:r>
      <w:r w:rsidRPr="00CE5257" w:rsidR="00BB2DBC">
        <w:t xml:space="preserve">In compliance with </w:t>
      </w:r>
      <w:r w:rsidRPr="00CE5257">
        <w:t>P</w:t>
      </w:r>
      <w:r w:rsidRPr="00CE5257" w:rsidR="003D3C65">
        <w:t xml:space="preserve">ub. </w:t>
      </w:r>
      <w:r w:rsidRPr="00CE5257">
        <w:t>R</w:t>
      </w:r>
      <w:r w:rsidRPr="00CE5257" w:rsidR="003D3C65">
        <w:t xml:space="preserve">es. </w:t>
      </w:r>
      <w:r w:rsidRPr="00CE5257">
        <w:t>C</w:t>
      </w:r>
      <w:r w:rsidRPr="00CE5257" w:rsidR="003D3C65">
        <w:t>ode</w:t>
      </w:r>
      <w:r w:rsidRPr="00CE5257">
        <w:t xml:space="preserve"> </w:t>
      </w:r>
      <w:r w:rsidR="00DC14AC">
        <w:t>Section </w:t>
      </w:r>
      <w:r w:rsidRPr="00DC2B4E">
        <w:t xml:space="preserve">21003.1, Staff provides </w:t>
      </w:r>
      <w:r w:rsidRPr="00DC2B4E">
        <w:lastRenderedPageBreak/>
        <w:t xml:space="preserve">stakeholders, including the public and public agencies, with an opportunity to comment on potential significant </w:t>
      </w:r>
      <w:r w:rsidR="002105B9">
        <w:t xml:space="preserve">environmental </w:t>
      </w:r>
      <w:r w:rsidRPr="00DC2B4E">
        <w:t>effects of a project, its alternatives, and mitigation measures that can substantially reduce them</w:t>
      </w:r>
      <w:r w:rsidR="00F370E2">
        <w:t>,</w:t>
      </w:r>
      <w:r w:rsidRPr="007263BF" w:rsidR="00F370E2">
        <w:rPr>
          <w:rFonts w:cs="Segoe UI"/>
          <w:color w:val="498205"/>
          <w:shd w:val="clear" w:color="auto" w:fill="FFFFFF"/>
        </w:rPr>
        <w:t xml:space="preserve"> </w:t>
      </w:r>
      <w:r w:rsidRPr="007263BF" w:rsidR="00F370E2">
        <w:t>as well as on potentially feasible</w:t>
      </w:r>
      <w:r w:rsidRPr="2D4B4871" w:rsidR="00F370E2">
        <w:t xml:space="preserve"> alternatives to the project</w:t>
      </w:r>
      <w:r w:rsidRPr="00DC2B4E">
        <w:t xml:space="preserve">. Staff would continue to implement an adequate public involvement process as required by CEQA, including </w:t>
      </w:r>
      <w:r w:rsidDel="00C92570">
        <w:t>meaningful</w:t>
      </w:r>
      <w:r w:rsidRPr="00DC2B4E">
        <w:t xml:space="preserve"> tribal consultation as required by </w:t>
      </w:r>
      <w:r w:rsidRPr="0076248D">
        <w:t>AB 52</w:t>
      </w:r>
      <w:r w:rsidRPr="00DC2B4E">
        <w:t xml:space="preserve">. </w:t>
      </w:r>
    </w:p>
    <w:p w:rsidRPr="00DC2B4E" w:rsidR="00C92570" w:rsidP="00C92570" w:rsidRDefault="00C92570" w14:paraId="71B7D247" w14:textId="77777777">
      <w:pPr>
        <w:pStyle w:val="Standard"/>
      </w:pPr>
      <w:r w:rsidRPr="00DC2B4E">
        <w:t xml:space="preserve">Ensuring that the Commission’s project review processes and procedures are consistent with CEQA maximizes the opportunity for the Commission’s CEQA documentation to be used by other State agencies for their permit processes as well. Further, coordination of the CEQA process with NEPA </w:t>
      </w:r>
      <w:r w:rsidRPr="00907ABF">
        <w:t>process</w:t>
      </w:r>
      <w:r w:rsidRPr="00DC2B4E">
        <w:t xml:space="preserve"> implemented by Federal agencies </w:t>
      </w:r>
      <w:r w:rsidRPr="0076248D">
        <w:t xml:space="preserve">maximizes the chance </w:t>
      </w:r>
      <w:r w:rsidRPr="00B21898">
        <w:t xml:space="preserve">that </w:t>
      </w:r>
      <w:r w:rsidRPr="00A20438" w:rsidR="00CC1ECB">
        <w:t>F</w:t>
      </w:r>
      <w:r w:rsidRPr="00B21898">
        <w:t>ederal</w:t>
      </w:r>
      <w:r w:rsidRPr="0076248D">
        <w:t xml:space="preserve"> landowners grant permission for projects to occur on Federal land</w:t>
      </w:r>
      <w:r w:rsidRPr="00DC2B4E">
        <w:t>. </w:t>
      </w:r>
    </w:p>
    <w:p w:rsidRPr="00DC2B4E" w:rsidR="00C92570" w:rsidP="00C92570" w:rsidRDefault="00C92570" w14:paraId="340AD5CB" w14:textId="77777777">
      <w:pPr>
        <w:pStyle w:val="Standard"/>
      </w:pPr>
      <w:r>
        <w:t xml:space="preserve">To comply with legal mandates, ensure a thorough review of the record in each CPCN or PTC application, </w:t>
      </w:r>
      <w:r w:rsidR="0FCF4013">
        <w:t xml:space="preserve">including consideration of </w:t>
      </w:r>
      <w:r>
        <w:t>reasonable project alternatives</w:t>
      </w:r>
      <w:r w:rsidR="3828CC3B">
        <w:t xml:space="preserve"> where applicable</w:t>
      </w:r>
      <w:r>
        <w:t>, we agree with Staff that c</w:t>
      </w:r>
      <w:r w:rsidR="008F4FCA">
        <w:t>ommitting</w:t>
      </w:r>
      <w:r>
        <w:t xml:space="preserve"> to meet a targeted </w:t>
      </w:r>
      <w:r w:rsidR="008F4FCA">
        <w:t xml:space="preserve">270-day </w:t>
      </w:r>
      <w:r>
        <w:t xml:space="preserve">deadline for completing </w:t>
      </w:r>
      <w:r w:rsidR="02E555FC">
        <w:t xml:space="preserve">all </w:t>
      </w:r>
      <w:r>
        <w:t xml:space="preserve">CEQA reviews would not be in the public interest. Therefore, we adopt </w:t>
      </w:r>
      <w:r w:rsidR="00B21898">
        <w:t xml:space="preserve">Staff Proposal Section 3.8, </w:t>
      </w:r>
      <w:r>
        <w:t xml:space="preserve">Staff Proposal 1 which </w:t>
      </w:r>
      <w:r w:rsidR="006A2B76">
        <w:t>modifies GO 131-D</w:t>
      </w:r>
      <w:r w:rsidR="00630DCA">
        <w:t>,</w:t>
      </w:r>
      <w:r w:rsidR="006A2B76">
        <w:t xml:space="preserve"> Section XVI, CEQA Complianc</w:t>
      </w:r>
      <w:r w:rsidR="00B0272F">
        <w:t xml:space="preserve">e. </w:t>
      </w:r>
      <w:r w:rsidR="0035476E">
        <w:t>GO 131-E, Section XII</w:t>
      </w:r>
      <w:r w:rsidR="00747529">
        <w:t>I</w:t>
      </w:r>
      <w:r w:rsidR="0035476E">
        <w:t xml:space="preserve"> will </w:t>
      </w:r>
      <w:r w:rsidR="00DE6539">
        <w:t>include</w:t>
      </w:r>
      <w:r w:rsidR="0035476E">
        <w:t xml:space="preserve"> language that</w:t>
      </w:r>
      <w:r w:rsidR="006A2B76">
        <w:t xml:space="preserve"> outlin</w:t>
      </w:r>
      <w:r w:rsidR="0035476E">
        <w:t>es</w:t>
      </w:r>
      <w:r w:rsidR="006A2B76">
        <w:t xml:space="preserve"> standard CEQA review timeframes </w:t>
      </w:r>
      <w:r w:rsidR="00A42D9D">
        <w:t xml:space="preserve">and deadlines </w:t>
      </w:r>
      <w:r w:rsidR="006A2B76">
        <w:t xml:space="preserve">consistent with </w:t>
      </w:r>
      <w:r w:rsidR="00A42D9D">
        <w:t xml:space="preserve">CEQA and </w:t>
      </w:r>
      <w:r w:rsidR="006A2B76">
        <w:t>the CEQA Guidelines</w:t>
      </w:r>
      <w:r w:rsidR="0035476E">
        <w:t>.</w:t>
      </w:r>
      <w:r w:rsidR="006A2B76">
        <w:t xml:space="preserve"> </w:t>
      </w:r>
      <w:r w:rsidR="00736916">
        <w:t xml:space="preserve">This amendment </w:t>
      </w:r>
      <w:r>
        <w:t>would maintain the consistency of Commission practices and procedures so that adequate time is provided to comply with CEQA, with the understanding that the Commission is also committed to reducing permitting timelines, as feasible.</w:t>
      </w:r>
    </w:p>
    <w:p w:rsidRPr="00FE6EAB" w:rsidR="00C92570" w:rsidP="00C92570" w:rsidRDefault="00C92570" w14:paraId="1EB8AB15" w14:textId="77777777">
      <w:pPr>
        <w:pStyle w:val="Standard"/>
      </w:pPr>
      <w:r w:rsidRPr="00FE6EAB">
        <w:rPr>
          <w:b/>
          <w:bCs/>
          <w:i/>
          <w:iCs/>
          <w:u w:val="single"/>
        </w:rPr>
        <w:t xml:space="preserve">Adoption of </w:t>
      </w:r>
      <w:r w:rsidR="001521DE">
        <w:rPr>
          <w:b/>
          <w:bCs/>
          <w:i/>
          <w:iCs/>
          <w:u w:val="single"/>
        </w:rPr>
        <w:t xml:space="preserve">Staff Proposal </w:t>
      </w:r>
      <w:r w:rsidR="00DC14AC">
        <w:rPr>
          <w:b/>
          <w:bCs/>
          <w:i/>
          <w:iCs/>
          <w:u w:val="single"/>
        </w:rPr>
        <w:t>Section </w:t>
      </w:r>
      <w:r w:rsidR="001521DE">
        <w:rPr>
          <w:b/>
          <w:bCs/>
          <w:i/>
          <w:iCs/>
          <w:u w:val="single"/>
        </w:rPr>
        <w:t xml:space="preserve">3.8, </w:t>
      </w:r>
      <w:r w:rsidRPr="00FE6EAB">
        <w:rPr>
          <w:b/>
          <w:bCs/>
          <w:i/>
          <w:iCs/>
          <w:u w:val="single"/>
        </w:rPr>
        <w:t>Proposal 2</w:t>
      </w:r>
      <w:r w:rsidRPr="004B2E17">
        <w:rPr>
          <w:b/>
          <w:bCs/>
          <w:i/>
          <w:iCs/>
        </w:rPr>
        <w:t>:</w:t>
      </w:r>
      <w:r w:rsidRPr="008106CF">
        <w:rPr>
          <w:b/>
          <w:bCs/>
          <w:i/>
          <w:iCs/>
        </w:rPr>
        <w:t xml:space="preserve"> </w:t>
      </w:r>
      <w:r w:rsidRPr="008106CF">
        <w:t xml:space="preserve">We adopt Staff Proposal </w:t>
      </w:r>
      <w:r w:rsidR="00DC14AC">
        <w:t>Section </w:t>
      </w:r>
      <w:r w:rsidR="00DE496E">
        <w:t xml:space="preserve">3.8, </w:t>
      </w:r>
      <w:r w:rsidRPr="008106CF">
        <w:t xml:space="preserve">Proposal 2 to establish a pilot that will serve as a mechanism to formalize on-going review and analysis of existing project </w:t>
      </w:r>
      <w:r w:rsidRPr="008106CF">
        <w:lastRenderedPageBreak/>
        <w:t xml:space="preserve">permitting practices and procedures. It should be noted that </w:t>
      </w:r>
      <w:r w:rsidR="00685983">
        <w:t xml:space="preserve">the </w:t>
      </w:r>
      <w:r w:rsidRPr="008106CF">
        <w:t>Commission actively and routinely review</w:t>
      </w:r>
      <w:r w:rsidR="00685983">
        <w:t>s</w:t>
      </w:r>
      <w:r w:rsidRPr="008106CF">
        <w:t xml:space="preserve"> its internal CEQA processes for permitting standard or complex projects to identify methods that increase efficiency. Therefore, running a pilot</w:t>
      </w:r>
      <w:r w:rsidRPr="008106CF" w:rsidR="000E1577">
        <w:t xml:space="preserve"> aligns with </w:t>
      </w:r>
      <w:r w:rsidRPr="008106CF">
        <w:t>current Commission practice</w:t>
      </w:r>
      <w:r w:rsidRPr="00907ABF">
        <w:t>.</w:t>
      </w:r>
      <w:r w:rsidRPr="008106CF">
        <w:t xml:space="preserve"> As such, it should not distract the Commission from meeting its </w:t>
      </w:r>
      <w:r w:rsidRPr="00907ABF">
        <w:t>co</w:t>
      </w:r>
      <w:r w:rsidRPr="00907ABF" w:rsidR="00350A66">
        <w:t xml:space="preserve">mmitment </w:t>
      </w:r>
      <w:r w:rsidRPr="008106CF">
        <w:t>to expedite the permitting of projects.</w:t>
      </w:r>
    </w:p>
    <w:p w:rsidRPr="000468E8" w:rsidR="00C92570" w:rsidP="00D13705" w:rsidRDefault="00C92570" w14:paraId="2D881268" w14:textId="77777777">
      <w:pPr>
        <w:pStyle w:val="Heading3"/>
        <w:numPr>
          <w:ilvl w:val="2"/>
          <w:numId w:val="18"/>
        </w:numPr>
      </w:pPr>
      <w:bookmarkStart w:name="_Toc189738506" w:id="142"/>
      <w:r w:rsidRPr="000468E8">
        <w:t>Disposition of Other Proposals</w:t>
      </w:r>
      <w:bookmarkEnd w:id="142"/>
    </w:p>
    <w:p w:rsidRPr="000468E8" w:rsidR="00C92570" w:rsidP="00C92570" w:rsidRDefault="00C92570" w14:paraId="5836E816" w14:textId="77777777">
      <w:pPr>
        <w:pStyle w:val="Standard"/>
      </w:pPr>
      <w:r w:rsidRPr="000468E8">
        <w:t xml:space="preserve">As discussed below, </w:t>
      </w:r>
      <w:r>
        <w:t>w</w:t>
      </w:r>
      <w:r w:rsidRPr="000468E8">
        <w:t xml:space="preserve">e do not adopt Staff </w:t>
      </w:r>
      <w:r w:rsidR="00A84096">
        <w:t xml:space="preserve">Proposal </w:t>
      </w:r>
      <w:r w:rsidR="00DC14AC">
        <w:t>Section </w:t>
      </w:r>
      <w:r w:rsidR="00A84096">
        <w:t xml:space="preserve">3.8, </w:t>
      </w:r>
      <w:r w:rsidRPr="000468E8">
        <w:t>Proposals</w:t>
      </w:r>
      <w:r w:rsidR="004B2E17">
        <w:t> </w:t>
      </w:r>
      <w:r w:rsidRPr="000468E8">
        <w:t>3 and 4</w:t>
      </w:r>
      <w:r>
        <w:t>.</w:t>
      </w:r>
    </w:p>
    <w:p w:rsidRPr="000468E8" w:rsidR="00C92570" w:rsidP="00C92570" w:rsidRDefault="00C92570" w14:paraId="4D7278B2" w14:textId="77777777">
      <w:pPr>
        <w:pStyle w:val="Standard"/>
      </w:pPr>
      <w:r w:rsidRPr="0076248D">
        <w:t>Based on review of recent proceedings</w:t>
      </w:r>
      <w:r w:rsidRPr="000468E8">
        <w:t xml:space="preserve">, the time required to issue a permit for many projects subject to Commission review </w:t>
      </w:r>
      <w:r w:rsidRPr="00907ABF" w:rsidR="006B2FDE">
        <w:t>requiring</w:t>
      </w:r>
      <w:r w:rsidRPr="00907ABF">
        <w:t xml:space="preserve"> an EIR</w:t>
      </w:r>
      <w:r w:rsidRPr="00907ABF" w:rsidR="00B966F0">
        <w:t>,</w:t>
      </w:r>
      <w:r w:rsidRPr="000468E8">
        <w:t xml:space="preserve"> exceeds the 270-day deadline </w:t>
      </w:r>
      <w:r w:rsidRPr="00907ABF" w:rsidR="0090538F">
        <w:t>as proposed</w:t>
      </w:r>
      <w:r w:rsidRPr="000468E8" w:rsidR="0090538F">
        <w:t xml:space="preserve"> </w:t>
      </w:r>
      <w:r w:rsidRPr="000468E8">
        <w:t>by Settling Parties</w:t>
      </w:r>
      <w:r w:rsidRPr="00907ABF">
        <w:t>.</w:t>
      </w:r>
      <w:r w:rsidRPr="000468E8">
        <w:t xml:space="preserve"> Therefore, we reject Staff Proposal </w:t>
      </w:r>
      <w:r w:rsidR="00DC14AC">
        <w:t>Section </w:t>
      </w:r>
      <w:r w:rsidR="00DF5002">
        <w:t xml:space="preserve">3.8, </w:t>
      </w:r>
      <w:r w:rsidRPr="000468E8">
        <w:t xml:space="preserve">Proposal 3. </w:t>
      </w:r>
    </w:p>
    <w:p w:rsidRPr="000468E8" w:rsidR="00C92570" w:rsidP="00C92570" w:rsidRDefault="00C92570" w14:paraId="3B8D234D" w14:textId="77777777">
      <w:pPr>
        <w:pStyle w:val="Standard"/>
      </w:pPr>
      <w:r>
        <w:t>To emphasize this point, transmission line projects that exceed 100 miles are typically</w:t>
      </w:r>
      <w:r w:rsidR="00C37834">
        <w:t xml:space="preserve"> require CEQA</w:t>
      </w:r>
      <w:r>
        <w:t xml:space="preserve"> review by the Commission (</w:t>
      </w:r>
      <w:r w:rsidRPr="00A20438">
        <w:rPr>
          <w:i/>
          <w:iCs/>
        </w:rPr>
        <w:t>e.g.</w:t>
      </w:r>
      <w:r w:rsidR="00665A06">
        <w:t>,</w:t>
      </w:r>
      <w:r>
        <w:t xml:space="preserve"> a new 145-mile, 500</w:t>
      </w:r>
      <w:r w:rsidR="004B2E17">
        <w:t> </w:t>
      </w:r>
      <w:r>
        <w:t xml:space="preserve">kV transmission line that </w:t>
      </w:r>
      <w:r w:rsidR="003D0A2A">
        <w:t xml:space="preserve">would </w:t>
      </w:r>
      <w:r>
        <w:t xml:space="preserve">connect the Imperial Valley substation with </w:t>
      </w:r>
      <w:r w:rsidRPr="00A20438" w:rsidR="0038133C">
        <w:t>a new proposed 500/230-kV substation located north of</w:t>
      </w:r>
      <w:r w:rsidRPr="0038133C" w:rsidR="0038133C">
        <w:t xml:space="preserve"> </w:t>
      </w:r>
      <w:r>
        <w:t>the San Onofre Nuclear Generating Station (SONGS)</w:t>
      </w:r>
      <w:r w:rsidR="00A459EA">
        <w:t>,</w:t>
      </w:r>
      <w:r>
        <w:t xml:space="preserve"> awarded in the 2022-2023 CAISO TPP</w:t>
      </w:r>
      <w:r w:rsidRPr="00907ABF">
        <w:t>.</w:t>
      </w:r>
      <w:r>
        <w:t xml:space="preserve"> In addition, the Imperial Valley-North </w:t>
      </w:r>
      <w:r w:rsidR="006E7F41">
        <w:t xml:space="preserve">of </w:t>
      </w:r>
      <w:r w:rsidR="00C57684">
        <w:t xml:space="preserve">SONGS </w:t>
      </w:r>
      <w:r>
        <w:t xml:space="preserve">project will </w:t>
      </w:r>
      <w:r w:rsidRPr="00907ABF" w:rsidR="008C446F">
        <w:t>also</w:t>
      </w:r>
      <w:r>
        <w:t xml:space="preserve"> involve NEPA review by the Department of Defense (DOD) and will cross numerous local government jurisdictions, California State Park land, and other Federal lands owned by the Bureau of Land Management (BLM) and </w:t>
      </w:r>
      <w:r w:rsidRPr="00907ABF">
        <w:t>U</w:t>
      </w:r>
      <w:r w:rsidRPr="00907ABF" w:rsidR="005A1B99">
        <w:t xml:space="preserve">nited </w:t>
      </w:r>
      <w:r w:rsidRPr="00907ABF">
        <w:t>S</w:t>
      </w:r>
      <w:r w:rsidRPr="00907ABF" w:rsidR="005A1B99">
        <w:t>tates</w:t>
      </w:r>
      <w:r>
        <w:t xml:space="preserve"> Forest Service (USFS). These projects </w:t>
      </w:r>
      <w:r w:rsidRPr="00907ABF" w:rsidR="00817789">
        <w:t>t</w:t>
      </w:r>
      <w:r w:rsidRPr="00907ABF" w:rsidR="00D94CD7">
        <w:t>ypically</w:t>
      </w:r>
      <w:r w:rsidDel="00817789" w:rsidR="00040FE7">
        <w:t xml:space="preserve"> </w:t>
      </w:r>
      <w:r w:rsidR="00040FE7">
        <w:t>traverse multiple jurisdictions, often over long distances</w:t>
      </w:r>
      <w:r>
        <w:t xml:space="preserve">, </w:t>
      </w:r>
      <w:r w:rsidRPr="00907ABF" w:rsidR="00D94CD7">
        <w:t>and</w:t>
      </w:r>
      <w:r w:rsidRPr="00907ABF" w:rsidDel="00C57684">
        <w:t xml:space="preserve"> </w:t>
      </w:r>
      <w:r w:rsidR="00C57684">
        <w:t xml:space="preserve">are expected to require the preparation of </w:t>
      </w:r>
      <w:r>
        <w:t xml:space="preserve">draft EIRs that are circulated by the Commission to the public for a mandatory 30-day public scoping period for the Notice of Preparation and a minimum 45-day public comment period on a </w:t>
      </w:r>
      <w:r>
        <w:lastRenderedPageBreak/>
        <w:t>draft EIR. In total, 75 days of the Settling Parties’ proposed 270-day timeline to issue a permit w</w:t>
      </w:r>
      <w:r w:rsidR="00464371">
        <w:t>ould</w:t>
      </w:r>
      <w:r>
        <w:t xml:space="preserve"> be spent on engagement with the public. </w:t>
      </w:r>
    </w:p>
    <w:p w:rsidRPr="000468E8" w:rsidR="00C92570" w:rsidP="00C92570" w:rsidRDefault="00AF7185" w14:paraId="30900442" w14:textId="77777777">
      <w:pPr>
        <w:pStyle w:val="Standard"/>
      </w:pPr>
      <w:r>
        <w:t>Consequently</w:t>
      </w:r>
      <w:r w:rsidR="00C92570">
        <w:t>, the remaining 195 days</w:t>
      </w:r>
      <w:r w:rsidR="004C5311">
        <w:t xml:space="preserve"> in this timeline,</w:t>
      </w:r>
      <w:r w:rsidR="00C92570">
        <w:t xml:space="preserve"> or approximately six months, would </w:t>
      </w:r>
      <w:r w:rsidR="00950838">
        <w:t>remain</w:t>
      </w:r>
      <w:r w:rsidR="00C92570">
        <w:t xml:space="preserve"> to address additional steps in the CEQA review and permitting process</w:t>
      </w:r>
      <w:r w:rsidR="00950838">
        <w:t>es</w:t>
      </w:r>
      <w:r w:rsidR="00C92570">
        <w:t>, namely preparing the EIR, providing written responses to all public and agency comments, engaging in tribal consultation, and finalizing the Commission’s regulatory process</w:t>
      </w:r>
      <w:r w:rsidR="00950838">
        <w:t>,</w:t>
      </w:r>
      <w:r w:rsidR="00C92570">
        <w:t xml:space="preserve"> up to and including voting on a proposed decision by the Commission. Due to the length of most transmission line projects subject to the Commission’s permitting oversight, Federal, State, and local agencies, and tribes must be consulte</w:t>
      </w:r>
      <w:r w:rsidR="00EB3AE3">
        <w:t xml:space="preserve">d </w:t>
      </w:r>
      <w:r w:rsidR="17EC5DB5">
        <w:t>and</w:t>
      </w:r>
      <w:r w:rsidR="00C92570">
        <w:t xml:space="preserve"> concerns of the vast number of people affected must be addressed</w:t>
      </w:r>
      <w:r w:rsidR="590FC8BA">
        <w:t>.</w:t>
      </w:r>
      <w:r w:rsidR="001E47E6">
        <w:t xml:space="preserve"> G</w:t>
      </w:r>
      <w:r w:rsidR="00F001E3">
        <w:t>i</w:t>
      </w:r>
      <w:r w:rsidR="005D7E2F">
        <w:t>ven th</w:t>
      </w:r>
      <w:r w:rsidR="00047D98">
        <w:t xml:space="preserve">is effort, </w:t>
      </w:r>
      <w:r w:rsidR="00820DAE">
        <w:t xml:space="preserve">added to </w:t>
      </w:r>
      <w:r w:rsidR="00C108BE">
        <w:t>the need to</w:t>
      </w:r>
      <w:r w:rsidR="00C92570">
        <w:t xml:space="preserve"> mitigat</w:t>
      </w:r>
      <w:r w:rsidR="00C108BE">
        <w:t>e</w:t>
      </w:r>
      <w:r w:rsidR="00C92570">
        <w:t xml:space="preserve"> impacts </w:t>
      </w:r>
      <w:r w:rsidR="00A64C19">
        <w:t xml:space="preserve">to </w:t>
      </w:r>
      <w:r w:rsidR="00C92570">
        <w:t>diverse natural resources, the Settling Parties’ 270-day time limit for all CEQA documents processed by the Commission is unrealistic</w:t>
      </w:r>
      <w:r w:rsidR="00DE2E56">
        <w:t xml:space="preserve"> and infeasible</w:t>
      </w:r>
      <w:r w:rsidR="2EF1BD2C">
        <w:t xml:space="preserve">, and </w:t>
      </w:r>
      <w:r w:rsidR="00C92570">
        <w:t>risks compromising the Commission’s ability to comply with CEQA.</w:t>
      </w:r>
    </w:p>
    <w:p w:rsidRPr="000468E8" w:rsidR="00C92570" w:rsidP="00E43D7B" w:rsidRDefault="00C92570" w14:paraId="2000362A" w14:textId="77777777">
      <w:pPr>
        <w:pStyle w:val="Standard"/>
      </w:pPr>
      <w:r w:rsidRPr="000468E8">
        <w:t xml:space="preserve">We do not adopt </w:t>
      </w:r>
      <w:r w:rsidR="00704E6F">
        <w:t xml:space="preserve">Staff Proposal </w:t>
      </w:r>
      <w:r w:rsidR="00DC14AC">
        <w:t>Section </w:t>
      </w:r>
      <w:r w:rsidR="00704E6F">
        <w:t>3.8,</w:t>
      </w:r>
      <w:r w:rsidRPr="000468E8">
        <w:t xml:space="preserve"> Proposal 4 and do not suggest that this issue should be resolved in a later phase of this rulemaking or in an alternate proceeding. </w:t>
      </w:r>
      <w:r w:rsidR="00C13BA8">
        <w:t xml:space="preserve">First, we </w:t>
      </w:r>
      <w:r w:rsidR="00845949">
        <w:t xml:space="preserve">note that </w:t>
      </w:r>
      <w:r w:rsidRPr="000468E8">
        <w:t xml:space="preserve">Cal Advocates’ proposal for reporting the approximate order of proposed projects for the next 10 years would be addressed through proposed revisions to </w:t>
      </w:r>
      <w:r w:rsidR="00DC14AC">
        <w:t>Section </w:t>
      </w:r>
      <w:r w:rsidRPr="000468E8">
        <w:t xml:space="preserve">V of </w:t>
      </w:r>
      <w:r w:rsidR="003B5D07">
        <w:t>GO </w:t>
      </w:r>
      <w:r w:rsidRPr="000468E8">
        <w:t>131-D. In these annual reports, project applicants will be required to report the “Original Planned In-Service Date,” “Current Projected or Actual In-Service Date,” and “Reason for Change in In-Service Date” for planned projects.</w:t>
      </w:r>
    </w:p>
    <w:p w:rsidRPr="000468E8" w:rsidR="00903240" w:rsidP="00C92570" w:rsidRDefault="008110D9" w14:paraId="432AA919" w14:textId="77777777">
      <w:pPr>
        <w:pStyle w:val="Standard"/>
      </w:pPr>
      <w:r>
        <w:t>Second</w:t>
      </w:r>
      <w:r w:rsidRPr="000468E8" w:rsidR="00C92570">
        <w:t xml:space="preserve">, the </w:t>
      </w:r>
      <w:r w:rsidR="00545A83">
        <w:t>Transmission Project Review (</w:t>
      </w:r>
      <w:r w:rsidRPr="000468E8" w:rsidR="00C92570">
        <w:t>TPR</w:t>
      </w:r>
      <w:r w:rsidR="00545A83">
        <w:t>)</w:t>
      </w:r>
      <w:r w:rsidRPr="000468E8" w:rsidR="00C92570">
        <w:t xml:space="preserve"> process required in Resolution E-5252 will examine transmission owners’ planning assumptions, determination and prioritization of needs, and the processes leading to </w:t>
      </w:r>
      <w:r w:rsidRPr="000468E8" w:rsidR="00C92570">
        <w:lastRenderedPageBreak/>
        <w:t xml:space="preserve">transmission solutions and network upgrades. Further analysis of the data collected through the TPR process is needed to better understand the delays in </w:t>
      </w:r>
      <w:r w:rsidR="00B80C68">
        <w:t xml:space="preserve">large transmission projects and </w:t>
      </w:r>
      <w:r w:rsidRPr="000468E8" w:rsidR="00C92570">
        <w:t>network upgrades.</w:t>
      </w:r>
    </w:p>
    <w:p w:rsidRPr="00AB4B9F" w:rsidR="00903240" w:rsidRDefault="550816FC" w14:paraId="56A5F4A1" w14:textId="77777777">
      <w:pPr>
        <w:pStyle w:val="Standard"/>
      </w:pPr>
      <w:r>
        <w:t>W</w:t>
      </w:r>
      <w:r w:rsidR="1D4D3977">
        <w:t>hile we</w:t>
      </w:r>
      <w:r>
        <w:t xml:space="preserve"> </w:t>
      </w:r>
      <w:r w:rsidR="1D4D3977">
        <w:t>choose</w:t>
      </w:r>
      <w:r>
        <w:t xml:space="preserve"> not</w:t>
      </w:r>
      <w:r w:rsidR="1D4D3977">
        <w:t xml:space="preserve"> to</w:t>
      </w:r>
      <w:r>
        <w:t xml:space="preserve"> implement Cal Advocates’ proposal</w:t>
      </w:r>
      <w:r w:rsidRPr="000468E8" w:rsidR="00C92570">
        <w:t xml:space="preserve"> in </w:t>
      </w:r>
      <w:r w:rsidR="003B5D07">
        <w:t>GO </w:t>
      </w:r>
      <w:r w:rsidRPr="000468E8" w:rsidR="00C92570">
        <w:t>131-E</w:t>
      </w:r>
      <w:r w:rsidR="5F41530F">
        <w:t>, we</w:t>
      </w:r>
      <w:r>
        <w:t xml:space="preserve"> do acknowledge the value that it </w:t>
      </w:r>
      <w:r w:rsidR="5A7479BE">
        <w:t>could</w:t>
      </w:r>
      <w:r>
        <w:t xml:space="preserve"> provide to utilities during pre-filing consultation. Similar to </w:t>
      </w:r>
      <w:r w:rsidR="00B21898">
        <w:t xml:space="preserve">the </w:t>
      </w:r>
      <w:r w:rsidR="001524A1">
        <w:t>Transmission Owners</w:t>
      </w:r>
      <w:r w:rsidRPr="002102A7">
        <w:t xml:space="preserve">’ proposal, we </w:t>
      </w:r>
      <w:r w:rsidRPr="002102A7" w:rsidR="00936557">
        <w:t xml:space="preserve">will monitor and review to enhance </w:t>
      </w:r>
      <w:r w:rsidRPr="002102A7" w:rsidR="00D35AF8">
        <w:t>and develop</w:t>
      </w:r>
      <w:r w:rsidRPr="002102A7">
        <w:t xml:space="preserve"> </w:t>
      </w:r>
      <w:r>
        <w:t xml:space="preserve">these processes further at the Staff level. For example, Items 1 and 4 in Cal Advocates’ proposal can be addressed in the draft PEA or draft version of a CEQA document prepared by the applicant, and in </w:t>
      </w:r>
      <w:r w:rsidR="1AF00C13">
        <w:t xml:space="preserve">pre-filing </w:t>
      </w:r>
      <w:r w:rsidRPr="00AB4B9F">
        <w:t xml:space="preserve">consultation between an applicant and Staff on draft versions of these documents. </w:t>
      </w:r>
      <w:r w:rsidRPr="00AB4B9F" w:rsidR="00A51ED2">
        <w:t>As well</w:t>
      </w:r>
      <w:r w:rsidRPr="00AB4B9F">
        <w:t>, the</w:t>
      </w:r>
      <w:r w:rsidRPr="00AB4B9F" w:rsidR="00A51ED2">
        <w:t>y</w:t>
      </w:r>
      <w:r w:rsidRPr="00AB4B9F">
        <w:t xml:space="preserve"> could </w:t>
      </w:r>
      <w:r w:rsidRPr="00AB4B9F" w:rsidR="00A51ED2">
        <w:t xml:space="preserve">also </w:t>
      </w:r>
      <w:r w:rsidRPr="00AB4B9F">
        <w:t xml:space="preserve">be considered for inclusion in future pre-filing consultation procedures developed by Staff. Item 2 in Cal Advocates’ proposal would require utilities to conduct a preliminary high-level assessment of the impact of projects sited on large </w:t>
      </w:r>
      <w:proofErr w:type="spellStart"/>
      <w:r w:rsidRPr="00AB4B9F">
        <w:t>greenfields</w:t>
      </w:r>
      <w:proofErr w:type="spellEnd"/>
      <w:r w:rsidRPr="00AB4B9F" w:rsidR="53DCE2AF">
        <w:t xml:space="preserve"> (i.e., previously undeveloped areas)</w:t>
      </w:r>
      <w:r w:rsidRPr="00AB4B9F">
        <w:t xml:space="preserve"> before they are considered in the CAISO TPP. These assessments would be more appropriately handled outside of th</w:t>
      </w:r>
      <w:r w:rsidRPr="00AB4B9F" w:rsidR="003B51C5">
        <w:t>is instant</w:t>
      </w:r>
      <w:r w:rsidRPr="00AB4B9F">
        <w:t xml:space="preserve"> rulemaking. Finally, Item 3 in Cal Advocates’ proposal </w:t>
      </w:r>
      <w:r w:rsidRPr="00AB4B9F" w:rsidR="009E1CD4">
        <w:t>c</w:t>
      </w:r>
      <w:r w:rsidRPr="00AB4B9F">
        <w:t xml:space="preserve">ould be addressed by proposed revisions to reporting requirements in </w:t>
      </w:r>
      <w:r w:rsidR="003B5D07">
        <w:t>GO </w:t>
      </w:r>
      <w:r w:rsidRPr="00AB4B9F">
        <w:t>131-D</w:t>
      </w:r>
      <w:r w:rsidR="00630DCA">
        <w:t>,</w:t>
      </w:r>
      <w:r w:rsidRPr="00AB4B9F">
        <w:t xml:space="preserve"> </w:t>
      </w:r>
      <w:r w:rsidR="00DC14AC">
        <w:t>Section </w:t>
      </w:r>
      <w:r w:rsidRPr="00AB4B9F">
        <w:t>V</w:t>
      </w:r>
      <w:r w:rsidR="00630DCA">
        <w:t>,</w:t>
      </w:r>
      <w:r w:rsidRPr="00AB4B9F">
        <w:t xml:space="preserve"> and need not be duplicated in </w:t>
      </w:r>
      <w:r w:rsidR="00DC14AC">
        <w:t>Section </w:t>
      </w:r>
      <w:r w:rsidRPr="00AB4B9F">
        <w:t>IX. </w:t>
      </w:r>
    </w:p>
    <w:p w:rsidR="00CE0F0D" w:rsidP="00804F6F" w:rsidRDefault="00CE0F0D" w14:paraId="37A6A872" w14:textId="77777777">
      <w:pPr>
        <w:pStyle w:val="Heading1"/>
      </w:pPr>
      <w:bookmarkStart w:name="_Toc189738507" w:id="143"/>
      <w:bookmarkStart w:name="_Hlk175736420" w:id="144"/>
      <w:r w:rsidRPr="00AB4B9F">
        <w:rPr>
          <w:rStyle w:val="Heading1Char"/>
          <w:b/>
          <w:bCs/>
        </w:rPr>
        <w:t>Rebuttable Presumption in Favor of CAISO Transmission</w:t>
      </w:r>
      <w:r w:rsidRPr="007A09C9">
        <w:rPr>
          <w:rStyle w:val="Heading1Char"/>
          <w:b/>
          <w:bCs/>
        </w:rPr>
        <w:t xml:space="preserve"> Plan</w:t>
      </w:r>
      <w:r w:rsidRPr="00AB6191">
        <w:t xml:space="preserve"> </w:t>
      </w:r>
      <w:r>
        <w:t>Findings</w:t>
      </w:r>
      <w:bookmarkEnd w:id="143"/>
    </w:p>
    <w:bookmarkEnd w:id="144"/>
    <w:p w:rsidR="002102C0" w:rsidP="002102C0" w:rsidRDefault="00C22FDC" w14:paraId="0F98DCBB" w14:textId="77777777">
      <w:pPr>
        <w:pStyle w:val="Standard"/>
      </w:pPr>
      <w:r w:rsidRPr="00AB4B9F">
        <w:t xml:space="preserve">As discussed below, we have summarized and weighed the parties’ and Staff proposals </w:t>
      </w:r>
      <w:r w:rsidRPr="00AB4B9F" w:rsidR="007B172D">
        <w:t xml:space="preserve">concerning </w:t>
      </w:r>
      <w:r w:rsidRPr="00AB4B9F" w:rsidR="005D64A4">
        <w:t>the issue of</w:t>
      </w:r>
      <w:r w:rsidRPr="00AB4B9F" w:rsidR="00152271">
        <w:t xml:space="preserve"> rebuttable presumption in favor of CAISO Transmission Plan find</w:t>
      </w:r>
      <w:r w:rsidRPr="00AB4B9F" w:rsidR="00E85CC9">
        <w:t>ing</w:t>
      </w:r>
      <w:r w:rsidRPr="00AB4B9F" w:rsidR="00152271">
        <w:t>s</w:t>
      </w:r>
      <w:r w:rsidRPr="00AB4B9F">
        <w:t>.</w:t>
      </w:r>
      <w:r>
        <w:t xml:space="preserve"> </w:t>
      </w:r>
      <w:r w:rsidRPr="00DE3157">
        <w:t xml:space="preserve">We review them below in the context of </w:t>
      </w:r>
      <w:r w:rsidR="00831BD7">
        <w:t>AB</w:t>
      </w:r>
      <w:r w:rsidR="001146CB">
        <w:t xml:space="preserve"> 1373</w:t>
      </w:r>
      <w:r w:rsidR="004E4C8E">
        <w:t>, Staff and party proposals and</w:t>
      </w:r>
      <w:r w:rsidR="001146CB">
        <w:t xml:space="preserve"> </w:t>
      </w:r>
      <w:r w:rsidRPr="00DE3157">
        <w:t>comments</w:t>
      </w:r>
      <w:r w:rsidRPr="008106CF">
        <w:t xml:space="preserve">. As discussed, we adopt </w:t>
      </w:r>
      <w:r w:rsidRPr="008106CF" w:rsidR="002102C0">
        <w:t>the</w:t>
      </w:r>
      <w:r w:rsidR="002102C0">
        <w:t xml:space="preserve"> Staff</w:t>
      </w:r>
      <w:r w:rsidR="00E83947">
        <w:t xml:space="preserve"> Proposal </w:t>
      </w:r>
      <w:r w:rsidR="00DC14AC">
        <w:t>Section </w:t>
      </w:r>
      <w:r w:rsidR="00E83947">
        <w:t>3.3, P</w:t>
      </w:r>
      <w:r w:rsidR="000F7BB8">
        <w:t>ro</w:t>
      </w:r>
      <w:r w:rsidR="00CC1100">
        <w:t>p</w:t>
      </w:r>
      <w:r w:rsidR="000F7BB8">
        <w:t>osal</w:t>
      </w:r>
      <w:r w:rsidR="002102C0">
        <w:t xml:space="preserve"> </w:t>
      </w:r>
      <w:r w:rsidR="00110E5B">
        <w:t xml:space="preserve">1 </w:t>
      </w:r>
      <w:r w:rsidR="00E83947">
        <w:t xml:space="preserve">with modifications </w:t>
      </w:r>
      <w:r w:rsidR="002102C0">
        <w:t xml:space="preserve">to add new sections, to be reflected in </w:t>
      </w:r>
      <w:r w:rsidR="003B5D07">
        <w:t>GO </w:t>
      </w:r>
      <w:r w:rsidR="002102C0">
        <w:t>131-E, to comply with AB 1373 provisions as follows:</w:t>
      </w:r>
    </w:p>
    <w:p w:rsidRPr="00CC2FFB" w:rsidR="002102C0" w:rsidP="002B7E0D" w:rsidRDefault="72CDF34F" w14:paraId="7658B810" w14:textId="77777777">
      <w:pPr>
        <w:pStyle w:val="Standard"/>
        <w:numPr>
          <w:ilvl w:val="0"/>
          <w:numId w:val="6"/>
        </w:numPr>
        <w:spacing w:after="120" w:line="240" w:lineRule="auto"/>
        <w:ind w:left="1080" w:right="1440"/>
      </w:pPr>
      <w:r>
        <w:lastRenderedPageBreak/>
        <w:t xml:space="preserve">As </w:t>
      </w:r>
      <w:r w:rsidR="00DC14AC">
        <w:t>Section </w:t>
      </w:r>
      <w:r w:rsidRPr="00FB5B9E" w:rsidR="31F3A37E">
        <w:t>VII</w:t>
      </w:r>
      <w:r>
        <w:t>.C.2</w:t>
      </w:r>
      <w:r w:rsidR="31F3A37E">
        <w:t>.a</w:t>
      </w:r>
      <w:r>
        <w:t xml:space="preserve"> of </w:t>
      </w:r>
      <w:r w:rsidR="003B5D07">
        <w:t>GO </w:t>
      </w:r>
      <w:r w:rsidR="31F3A37E">
        <w:t>131-E that CAISO objectives and purpose for a project approved in the CAISO Transmission Plan sh</w:t>
      </w:r>
      <w:r w:rsidR="388C921A">
        <w:t>all</w:t>
      </w:r>
      <w:r w:rsidR="31F3A37E">
        <w:t xml:space="preserve"> </w:t>
      </w:r>
      <w:r w:rsidR="5C82056C">
        <w:t>form the basis of</w:t>
      </w:r>
      <w:r w:rsidR="31F3A37E">
        <w:t xml:space="preserve"> the statement of objectives in a Commission CEQA document; </w:t>
      </w:r>
    </w:p>
    <w:p w:rsidRPr="00AB4B9F" w:rsidR="00B32BEA" w:rsidP="002B7E0D" w:rsidRDefault="002102C0" w14:paraId="449A3E9D" w14:textId="77777777">
      <w:pPr>
        <w:pStyle w:val="Standard"/>
        <w:numPr>
          <w:ilvl w:val="0"/>
          <w:numId w:val="6"/>
        </w:numPr>
        <w:spacing w:after="120" w:line="240" w:lineRule="auto"/>
        <w:ind w:left="1080" w:right="1440"/>
      </w:pPr>
      <w:r w:rsidRPr="00CC2FFB">
        <w:t xml:space="preserve">As </w:t>
      </w:r>
      <w:r w:rsidR="00DC14AC">
        <w:t>Section </w:t>
      </w:r>
      <w:r w:rsidRPr="00FB5B9E" w:rsidR="00CC2FFB">
        <w:t>VII</w:t>
      </w:r>
      <w:r w:rsidRPr="00CC2FFB">
        <w:t xml:space="preserve">.C.2.b of </w:t>
      </w:r>
      <w:r w:rsidR="003B5D07">
        <w:t>GO </w:t>
      </w:r>
      <w:r w:rsidRPr="00CC2FFB">
        <w:t xml:space="preserve">131-E that incorporates AB 1373 provisions that the Commission shall establish rebuttable presumption in favor of the CAISO need evaluation when </w:t>
      </w:r>
      <w:r w:rsidRPr="00AB4B9F">
        <w:t>evaluating the issuance of a CPCN for a proposed transmission project, given that the project meets certain criteria specified in Pub</w:t>
      </w:r>
      <w:r w:rsidRPr="00AB4B9F" w:rsidR="00D95C78">
        <w:t>.</w:t>
      </w:r>
      <w:r w:rsidRPr="00AB4B9F">
        <w:t xml:space="preserve"> Util</w:t>
      </w:r>
      <w:r w:rsidRPr="00AB4B9F" w:rsidR="00D95C78">
        <w:t>.</w:t>
      </w:r>
      <w:r w:rsidRPr="00AB4B9F">
        <w:t xml:space="preserve"> Code </w:t>
      </w:r>
      <w:r w:rsidR="00DC14AC">
        <w:t>Section </w:t>
      </w:r>
      <w:r w:rsidRPr="00AB4B9F">
        <w:t>1001.1</w:t>
      </w:r>
      <w:r w:rsidRPr="00AB4B9F" w:rsidR="00B32BEA">
        <w:t>; and</w:t>
      </w:r>
    </w:p>
    <w:p w:rsidRPr="00AB4B9F" w:rsidR="0074031E" w:rsidP="002B7E0D" w:rsidRDefault="00B32BEA" w14:paraId="6C60F02A" w14:textId="77777777">
      <w:pPr>
        <w:pStyle w:val="Standard"/>
        <w:numPr>
          <w:ilvl w:val="0"/>
          <w:numId w:val="6"/>
        </w:numPr>
        <w:spacing w:after="180" w:line="240" w:lineRule="auto"/>
        <w:ind w:left="1080" w:right="1440"/>
      </w:pPr>
      <w:r w:rsidRPr="00AB4B9F">
        <w:t xml:space="preserve">As </w:t>
      </w:r>
      <w:r w:rsidR="00DC14AC">
        <w:t>Section </w:t>
      </w:r>
      <w:r w:rsidRPr="00AB4B9F" w:rsidR="00CC2FFB">
        <w:t>VII</w:t>
      </w:r>
      <w:r w:rsidRPr="00AB4B9F">
        <w:t xml:space="preserve">.C.2.c of </w:t>
      </w:r>
      <w:r w:rsidR="003B5D07">
        <w:t>GO </w:t>
      </w:r>
      <w:r w:rsidRPr="00AB4B9F">
        <w:t xml:space="preserve">131-E that the range of reasonable alternatives to the proposed project in an initial draft EIR circulated for public comment may be limited to alternative </w:t>
      </w:r>
      <w:r w:rsidRPr="00AB4B9F" w:rsidR="009D1501">
        <w:t>routes</w:t>
      </w:r>
      <w:r w:rsidRPr="00AB4B9F">
        <w:t xml:space="preserve"> or locations for construction of the relevant CAISO Transmission Plan-approved electric project and the “no action” alternative.</w:t>
      </w:r>
      <w:r w:rsidRPr="00AB4B9F" w:rsidR="002102C0">
        <w:rPr>
          <w:rStyle w:val="FootnoteReference"/>
        </w:rPr>
        <w:footnoteReference w:id="127"/>
      </w:r>
    </w:p>
    <w:p w:rsidR="00017800" w:rsidP="002B7E0D" w:rsidRDefault="00017800" w14:paraId="5DEA6102" w14:textId="77777777">
      <w:pPr>
        <w:pStyle w:val="Standard"/>
      </w:pPr>
      <w:r w:rsidRPr="00AB4B9F">
        <w:t xml:space="preserve">AB 1373 was recently enacted and </w:t>
      </w:r>
      <w:r w:rsidRPr="00AB4B9F" w:rsidR="00026468">
        <w:t>modified Pub</w:t>
      </w:r>
      <w:r w:rsidRPr="00AB4B9F" w:rsidR="00D95C78">
        <w:t>.</w:t>
      </w:r>
      <w:r w:rsidRPr="00AB4B9F" w:rsidR="00026468">
        <w:t xml:space="preserve"> Util</w:t>
      </w:r>
      <w:r w:rsidRPr="00AB4B9F" w:rsidR="00D95C78">
        <w:t>.</w:t>
      </w:r>
      <w:r w:rsidRPr="00AB4B9F" w:rsidR="00026468">
        <w:t xml:space="preserve"> Code </w:t>
      </w:r>
      <w:r w:rsidR="00DC14AC">
        <w:t>Section </w:t>
      </w:r>
      <w:r w:rsidRPr="00AB4B9F" w:rsidR="00026468">
        <w:t>1001</w:t>
      </w:r>
      <w:r w:rsidR="00026468">
        <w:t xml:space="preserve">.1 </w:t>
      </w:r>
      <w:r w:rsidR="00BF1906">
        <w:t xml:space="preserve">to </w:t>
      </w:r>
      <w:r w:rsidRPr="00017800">
        <w:t>require the Commission to establish a rebuttable presumption in favor of CAISO Transmission Plan findings on projects if specific requirements are satisfied</w:t>
      </w:r>
      <w:r w:rsidR="00BF1906">
        <w:t>, as follows:</w:t>
      </w:r>
    </w:p>
    <w:p w:rsidR="00BF1906" w:rsidP="002B7E0D" w:rsidRDefault="00BF1906" w14:paraId="03987D58" w14:textId="77777777">
      <w:pPr>
        <w:pStyle w:val="BlockQuote"/>
      </w:pPr>
      <w:r>
        <w:t xml:space="preserve">In a proceeding evaluating the issuance of a certificate of public convenience and necessity for a proposed transmission project, the </w:t>
      </w:r>
      <w:r w:rsidR="00695537">
        <w:t>C</w:t>
      </w:r>
      <w:r>
        <w:t>ommission shall establish a rebuttable presumption with regard to need for the proposed transmission project in favor of an Independent System Operator governing board-approved need evaluation if all of the following are satisfied:</w:t>
      </w:r>
    </w:p>
    <w:p w:rsidR="00BF1906" w:rsidP="007017DF" w:rsidRDefault="00BF1906" w14:paraId="0C0D56DD" w14:textId="77777777">
      <w:pPr>
        <w:pStyle w:val="Standard"/>
        <w:spacing w:after="120" w:line="240" w:lineRule="auto"/>
        <w:ind w:left="1170" w:right="1440" w:hanging="450"/>
      </w:pPr>
      <w:r>
        <w:t>(a)</w:t>
      </w:r>
      <w:r w:rsidR="002B7E0D">
        <w:tab/>
      </w:r>
      <w:r>
        <w:t>The Independent System Operator governing board has made explicit findings regarding the need for the proposed transmission project and has determined that the proposed project is the most cost-effective transmission solution.</w:t>
      </w:r>
    </w:p>
    <w:p w:rsidR="00BF1906" w:rsidP="007017DF" w:rsidRDefault="00BF1906" w14:paraId="76CA111B" w14:textId="77777777">
      <w:pPr>
        <w:pStyle w:val="Standard"/>
        <w:spacing w:after="120" w:line="240" w:lineRule="auto"/>
        <w:ind w:left="1170" w:right="1440" w:hanging="450"/>
      </w:pPr>
      <w:r>
        <w:lastRenderedPageBreak/>
        <w:t>(b)</w:t>
      </w:r>
      <w:r w:rsidR="002B7E0D">
        <w:tab/>
      </w:r>
      <w:r>
        <w:t>The Independent System Operator is a party to the proceeding.</w:t>
      </w:r>
    </w:p>
    <w:p w:rsidR="00BF1906" w:rsidP="007017DF" w:rsidRDefault="00BF1906" w14:paraId="40FF3B2F" w14:textId="77777777">
      <w:pPr>
        <w:pStyle w:val="Standard"/>
        <w:spacing w:after="120" w:line="240" w:lineRule="auto"/>
        <w:ind w:left="1170" w:right="1440" w:hanging="450"/>
      </w:pPr>
      <w:r>
        <w:t>(c)</w:t>
      </w:r>
      <w:r w:rsidR="002B7E0D">
        <w:tab/>
      </w:r>
      <w:r>
        <w:t xml:space="preserve">The Independent System Operator governing board-approved need evaluation is submitted to the </w:t>
      </w:r>
      <w:r w:rsidR="00D14152">
        <w:t>C</w:t>
      </w:r>
      <w:r>
        <w:t>ommission within sufficient time to be included within the scope of the proceeding.</w:t>
      </w:r>
    </w:p>
    <w:p w:rsidR="00BF1906" w:rsidP="007017DF" w:rsidRDefault="00BF1906" w14:paraId="1A8E5604" w14:textId="77777777">
      <w:pPr>
        <w:pStyle w:val="Standard"/>
        <w:spacing w:after="120" w:line="240" w:lineRule="auto"/>
        <w:ind w:left="1170" w:right="1440" w:hanging="450"/>
      </w:pPr>
      <w:r>
        <w:t>(d)</w:t>
      </w:r>
      <w:r w:rsidR="002B7E0D">
        <w:tab/>
      </w:r>
      <w:r>
        <w:t>There has been no substantial change to the scope, estimated cost, or timeline of the proposed transmission project as approved by the Independent System Operator governing board.</w:t>
      </w:r>
    </w:p>
    <w:p w:rsidR="00CE0F0D" w:rsidP="00CE0F0D" w:rsidRDefault="00CE0F0D" w14:paraId="6186860F" w14:textId="77777777">
      <w:pPr>
        <w:pStyle w:val="Standard"/>
      </w:pPr>
      <w:r>
        <w:t xml:space="preserve">To </w:t>
      </w:r>
      <w:r w:rsidR="00BE56C5">
        <w:t>thoughtfully</w:t>
      </w:r>
      <w:r>
        <w:t xml:space="preserve"> </w:t>
      </w:r>
      <w:r w:rsidR="00665077">
        <w:t xml:space="preserve">implement this legislative </w:t>
      </w:r>
      <w:r w:rsidR="00372A78">
        <w:t>mandate</w:t>
      </w:r>
      <w:r>
        <w:t xml:space="preserve">, </w:t>
      </w:r>
      <w:r w:rsidR="006D0522">
        <w:t xml:space="preserve">the Commission </w:t>
      </w:r>
      <w:r w:rsidR="00417126">
        <w:t xml:space="preserve">first </w:t>
      </w:r>
      <w:r w:rsidR="00432C67">
        <w:t>note</w:t>
      </w:r>
      <w:r w:rsidR="002A44C1">
        <w:t>s</w:t>
      </w:r>
      <w:r>
        <w:t xml:space="preserve"> that CAISO and the Commission each ha</w:t>
      </w:r>
      <w:r w:rsidR="00FA639F">
        <w:t>ve a</w:t>
      </w:r>
      <w:r>
        <w:t xml:space="preserve"> distinct role in the process of </w:t>
      </w:r>
      <w:r w:rsidRPr="00F32468">
        <w:t>selection</w:t>
      </w:r>
      <w:r>
        <w:t xml:space="preserve"> and permitting of transmission projects. CAISO’s primary grid planning process is the CAISO TPP which aims to satisfy grid reliability needs, meet renewable energy and greenhouse gas (GHG) targets, and address economic solutions intended to reduce ratepayer costs</w:t>
      </w:r>
      <w:r w:rsidRPr="00042EB3">
        <w:t>.</w:t>
      </w:r>
      <w:r>
        <w:t xml:space="preserve"> CAISO relies on generation resource portfolios from the Commission’s Integrated Resource Planning (IRP) proceeding, forecasted load from the CEC’s Integrated Energy Planning Report (IEPR), and stakeholder input received through comments, to identify the </w:t>
      </w:r>
      <w:r w:rsidRPr="00921B50">
        <w:t>purpose, need, expected cost</w:t>
      </w:r>
      <w:r>
        <w:t xml:space="preserve"> and cost range,</w:t>
      </w:r>
      <w:r w:rsidRPr="00921B50">
        <w:t xml:space="preserve"> </w:t>
      </w:r>
      <w:r>
        <w:t>and</w:t>
      </w:r>
      <w:r w:rsidR="00812247">
        <w:t xml:space="preserve"> engineering</w:t>
      </w:r>
      <w:r>
        <w:t xml:space="preserve"> alternatives for </w:t>
      </w:r>
      <w:r w:rsidRPr="00921B50">
        <w:t>each approved</w:t>
      </w:r>
      <w:r>
        <w:t xml:space="preserve"> p</w:t>
      </w:r>
      <w:r w:rsidRPr="00921B50">
        <w:t>roject</w:t>
      </w:r>
      <w:r>
        <w:t xml:space="preserve"> in CAISO’s Transmission Plan.</w:t>
      </w:r>
      <w:r>
        <w:rPr>
          <w:rStyle w:val="FootnoteReference"/>
        </w:rPr>
        <w:footnoteReference w:id="128"/>
      </w:r>
      <w:r>
        <w:t xml:space="preserve">  </w:t>
      </w:r>
      <w:r w:rsidR="00294CDD">
        <w:t xml:space="preserve">The base case resource portfolio transmitted to the CAISO for the 2022-23 TPP included 40 </w:t>
      </w:r>
      <w:r w:rsidR="00943F51">
        <w:t>gigawatts (</w:t>
      </w:r>
      <w:r w:rsidR="00294CDD">
        <w:t>GW</w:t>
      </w:r>
      <w:r w:rsidR="00943F51">
        <w:t>)</w:t>
      </w:r>
      <w:r w:rsidR="00294CDD">
        <w:t xml:space="preserve"> of new resource capacity which resulted in the identified need and approval of 45 transmission projects.</w:t>
      </w:r>
      <w:r w:rsidR="00943F51">
        <w:rPr>
          <w:rStyle w:val="FootnoteReference"/>
        </w:rPr>
        <w:footnoteReference w:id="129"/>
      </w:r>
      <w:r w:rsidR="001A5896">
        <w:t xml:space="preserve"> </w:t>
      </w:r>
      <w:r w:rsidR="00294CDD">
        <w:t>The base case resource portfolio used as an input to the 2023-24 TPP included an addition</w:t>
      </w:r>
      <w:r w:rsidR="003811A4">
        <w:t>al</w:t>
      </w:r>
      <w:r w:rsidR="00294CDD">
        <w:t xml:space="preserve"> 30</w:t>
      </w:r>
      <w:r w:rsidR="004B2E17">
        <w:t> </w:t>
      </w:r>
      <w:r w:rsidR="00294CDD">
        <w:t xml:space="preserve">GW of new resource capacity which resulted in the approval of an additional </w:t>
      </w:r>
      <w:r w:rsidR="00294CDD">
        <w:lastRenderedPageBreak/>
        <w:t>26 transmission projects.</w:t>
      </w:r>
      <w:r w:rsidR="003C6132">
        <w:rPr>
          <w:rStyle w:val="FootnoteReference"/>
        </w:rPr>
        <w:footnoteReference w:id="130"/>
      </w:r>
      <w:r w:rsidR="003C6132">
        <w:t xml:space="preserve"> </w:t>
      </w:r>
      <w:r w:rsidR="00294CDD">
        <w:t>These recent CAISO Transmission Plans demonstrate the evident need for transmission project development to support California’s energy transition.</w:t>
      </w:r>
      <w:r w:rsidDel="00943F51" w:rsidR="00943F51">
        <w:t xml:space="preserve"> </w:t>
      </w:r>
    </w:p>
    <w:p w:rsidR="00FA7F7A" w:rsidP="00762488" w:rsidRDefault="00CE0F0D" w14:paraId="00D1C68B" w14:textId="77777777">
      <w:pPr>
        <w:pStyle w:val="Standard"/>
      </w:pPr>
      <w:r>
        <w:t xml:space="preserve">Many of the </w:t>
      </w:r>
      <w:r w:rsidRPr="00F32468">
        <w:t>selected</w:t>
      </w:r>
      <w:r>
        <w:t xml:space="preserve"> transmission projects in CAISO’s Transmission Plan are filed</w:t>
      </w:r>
      <w:r w:rsidRPr="00042EB3">
        <w:t xml:space="preserve"> </w:t>
      </w:r>
      <w:r>
        <w:t>be</w:t>
      </w:r>
      <w:r w:rsidRPr="00042EB3">
        <w:t>for</w:t>
      </w:r>
      <w:r>
        <w:t>e</w:t>
      </w:r>
      <w:r w:rsidRPr="00042EB3">
        <w:t xml:space="preserve"> </w:t>
      </w:r>
      <w:r>
        <w:t xml:space="preserve">the </w:t>
      </w:r>
      <w:r w:rsidRPr="00042EB3">
        <w:t>C</w:t>
      </w:r>
      <w:r>
        <w:t>ommission</w:t>
      </w:r>
      <w:r w:rsidRPr="00042EB3">
        <w:t xml:space="preserve"> </w:t>
      </w:r>
      <w:r>
        <w:t xml:space="preserve">for </w:t>
      </w:r>
      <w:r w:rsidRPr="00042EB3">
        <w:t xml:space="preserve">review </w:t>
      </w:r>
      <w:r>
        <w:t>as</w:t>
      </w:r>
      <w:r w:rsidRPr="00042EB3">
        <w:t xml:space="preserve"> CPCN and PTC applications</w:t>
      </w:r>
      <w:r>
        <w:t xml:space="preserve">. </w:t>
      </w:r>
      <w:r w:rsidRPr="00F32468">
        <w:t xml:space="preserve">As the lead agency, under CEQA, the Commission has the principal responsibility, discretionary authority, and obligation to approve projects </w:t>
      </w:r>
      <w:r w:rsidR="009326AE">
        <w:t>while</w:t>
      </w:r>
      <w:r w:rsidRPr="00F32468">
        <w:t xml:space="preserve"> avoid</w:t>
      </w:r>
      <w:r w:rsidR="00DD57FA">
        <w:t>ing</w:t>
      </w:r>
      <w:r w:rsidRPr="00F32468">
        <w:t xml:space="preserve"> or mitigat</w:t>
      </w:r>
      <w:r w:rsidR="00DD57FA">
        <w:t>ing any potentially</w:t>
      </w:r>
      <w:r w:rsidRPr="00F32468">
        <w:t xml:space="preserve"> significant effects on the environment per </w:t>
      </w:r>
      <w:r w:rsidRPr="0041134E">
        <w:t xml:space="preserve">CEQA </w:t>
      </w:r>
      <w:r w:rsidRPr="0041134E" w:rsidR="00AB2C95">
        <w:t xml:space="preserve">and </w:t>
      </w:r>
      <w:r w:rsidRPr="0041134E">
        <w:t>CEQA Guidelines. Further</w:t>
      </w:r>
      <w:r>
        <w:t xml:space="preserve">, the Commission is required to determine whether the project serves </w:t>
      </w:r>
      <w:r w:rsidR="00DD57FA">
        <w:t xml:space="preserve">the </w:t>
      </w:r>
      <w:r w:rsidRPr="00AB0BE9">
        <w:t>public convenience and necessity</w:t>
      </w:r>
      <w:r>
        <w:t xml:space="preserve">, and </w:t>
      </w:r>
      <w:r w:rsidR="00DD57FA">
        <w:t xml:space="preserve">to </w:t>
      </w:r>
      <w:r>
        <w:t xml:space="preserve">make other mandatory determinations, including </w:t>
      </w:r>
      <w:r w:rsidRPr="0041134E">
        <w:t xml:space="preserve">but not limited to, determination of project need and cost pursuant to Pub. Util. Code 1001 </w:t>
      </w:r>
      <w:r w:rsidRPr="0041134E">
        <w:rPr>
          <w:i/>
        </w:rPr>
        <w:t>et seq</w:t>
      </w:r>
      <w:r w:rsidRPr="0041134E">
        <w:t xml:space="preserve">. </w:t>
      </w:r>
      <w:r w:rsidRPr="0041134E" w:rsidR="00541954">
        <w:t xml:space="preserve">In </w:t>
      </w:r>
      <w:r w:rsidRPr="0041134E" w:rsidR="0017032E">
        <w:t>so doing</w:t>
      </w:r>
      <w:r w:rsidRPr="0041134E">
        <w:t>, the Commission must apply a “rule of reason” to identify cost-effective alternatives in an EIR that meet</w:t>
      </w:r>
      <w:r w:rsidRPr="0041134E" w:rsidR="001720D8">
        <w:t>s</w:t>
      </w:r>
      <w:r w:rsidRPr="0041134E">
        <w:t xml:space="preserve"> </w:t>
      </w:r>
      <w:r w:rsidRPr="0041134E" w:rsidR="001720D8">
        <w:t>“</w:t>
      </w:r>
      <w:r w:rsidRPr="0041134E">
        <w:t>the need for an efficient, reliable, and affordable supply of electricity, including but not limited to, demand-side alternatives such as targeted energy efficiency, ultraclean distributed generation</w:t>
      </w:r>
      <w:r w:rsidRPr="0041134E" w:rsidR="001720D8">
        <w:t xml:space="preserve"> </w:t>
      </w:r>
      <w:r w:rsidRPr="0041134E">
        <w:t>…</w:t>
      </w:r>
      <w:r w:rsidRPr="0041134E" w:rsidR="001720D8">
        <w:t xml:space="preserve"> </w:t>
      </w:r>
      <w:r w:rsidRPr="0041134E">
        <w:t>and other demand reduction resources.”</w:t>
      </w:r>
      <w:r w:rsidRPr="0041134E">
        <w:rPr>
          <w:rStyle w:val="FootnoteReference"/>
        </w:rPr>
        <w:footnoteReference w:id="131"/>
      </w:r>
      <w:r w:rsidRPr="0041134E">
        <w:t xml:space="preserve"> The Commission must also determine a project’s maximum and prudent cost before deciding to issue a CPCN.</w:t>
      </w:r>
      <w:r w:rsidRPr="0041134E">
        <w:rPr>
          <w:rStyle w:val="FootnoteReference"/>
        </w:rPr>
        <w:footnoteReference w:id="132"/>
      </w:r>
      <w:r w:rsidR="00D9414A">
        <w:t xml:space="preserve">     </w:t>
      </w:r>
    </w:p>
    <w:p w:rsidR="00017800" w:rsidP="00184947" w:rsidRDefault="00FA7F7A" w14:paraId="0ABA74DA" w14:textId="77777777">
      <w:pPr>
        <w:pStyle w:val="Standard"/>
      </w:pPr>
      <w:r>
        <w:t>As de</w:t>
      </w:r>
      <w:r w:rsidR="003467D4">
        <w:t>scribed</w:t>
      </w:r>
      <w:r>
        <w:t>,</w:t>
      </w:r>
      <w:r w:rsidRPr="00FA7F7A">
        <w:t xml:space="preserve"> AB 2292 (Petrie-Norris) </w:t>
      </w:r>
      <w:r>
        <w:t>repeal</w:t>
      </w:r>
      <w:r w:rsidR="003D6E1A">
        <w:t xml:space="preserve">ed </w:t>
      </w:r>
      <w:r w:rsidRPr="00FA7F7A">
        <w:t xml:space="preserve">Pub. Util. Code </w:t>
      </w:r>
      <w:r w:rsidR="00DC14AC">
        <w:t>Section </w:t>
      </w:r>
      <w:r w:rsidRPr="00FA7F7A">
        <w:t xml:space="preserve">1002.3, which </w:t>
      </w:r>
      <w:r w:rsidR="003D6E1A">
        <w:t>formerly</w:t>
      </w:r>
      <w:r w:rsidRPr="00FA7F7A">
        <w:t xml:space="preserve"> require</w:t>
      </w:r>
      <w:r w:rsidR="003D6E1A">
        <w:t>d</w:t>
      </w:r>
      <w:r w:rsidRPr="00FA7F7A">
        <w:t xml:space="preserve"> the Commission to consider cost-effective alternatives to transmission facilities, including demand-side alternatives such as targeted energy efficiency, ultraclean distributed generation, as defined, and other demand reduction resources. </w:t>
      </w:r>
    </w:p>
    <w:p w:rsidR="00CE0F0D" w:rsidP="00CE0F0D" w:rsidRDefault="00CE0F0D" w14:paraId="2E218512" w14:textId="77777777">
      <w:pPr>
        <w:pStyle w:val="Standard"/>
      </w:pPr>
      <w:r>
        <w:lastRenderedPageBreak/>
        <w:t xml:space="preserve">Within this context, Staff and Settling Parties present proposals for our consideration concerning </w:t>
      </w:r>
      <w:r w:rsidR="00093E10">
        <w:t xml:space="preserve">how to </w:t>
      </w:r>
      <w:r w:rsidR="00B43084">
        <w:t xml:space="preserve">implement </w:t>
      </w:r>
      <w:r>
        <w:t>the r</w:t>
      </w:r>
      <w:r w:rsidRPr="004946AB">
        <w:t xml:space="preserve">ebuttable </w:t>
      </w:r>
      <w:r>
        <w:t>p</w:t>
      </w:r>
      <w:r w:rsidRPr="004946AB">
        <w:t xml:space="preserve">resumption in </w:t>
      </w:r>
      <w:r>
        <w:t>f</w:t>
      </w:r>
      <w:r w:rsidRPr="004946AB">
        <w:t xml:space="preserve">avor of CAISO Transmission Plan </w:t>
      </w:r>
      <w:r>
        <w:t>f</w:t>
      </w:r>
      <w:r w:rsidRPr="004946AB">
        <w:t>indings</w:t>
      </w:r>
      <w:r>
        <w:t xml:space="preserve">. </w:t>
      </w:r>
    </w:p>
    <w:p w:rsidR="00CE0F0D" w:rsidP="00CE0F0D" w:rsidRDefault="00CE0F0D" w14:paraId="56FAD985" w14:textId="77777777">
      <w:pPr>
        <w:pStyle w:val="Standard"/>
      </w:pPr>
      <w:r>
        <w:t xml:space="preserve">Settling Parties, in their Settlement Agreement, propose </w:t>
      </w:r>
      <w:r w:rsidR="003B5D07">
        <w:t>GO </w:t>
      </w:r>
      <w:r>
        <w:t xml:space="preserve">131-D revisions that (1) acknowledge coordination between the Commission, CAISO, CEC, and interested parties to develop the CAISO Transmission Plan; (2) recognize CAISO TPP findings in the Commission’s CEQA statement of </w:t>
      </w:r>
      <w:r w:rsidR="00683089">
        <w:t xml:space="preserve">project </w:t>
      </w:r>
      <w:r>
        <w:t>objectives,</w:t>
      </w:r>
      <w:r>
        <w:rPr>
          <w:rStyle w:val="FootnoteReference"/>
        </w:rPr>
        <w:footnoteReference w:id="133"/>
      </w:r>
      <w:r>
        <w:t xml:space="preserve"> statement of overriding considerations,</w:t>
      </w:r>
      <w:r>
        <w:rPr>
          <w:rStyle w:val="FootnoteReference"/>
        </w:rPr>
        <w:footnoteReference w:id="134"/>
      </w:r>
      <w:r>
        <w:t xml:space="preserve"> and range of reasonable alternatives;</w:t>
      </w:r>
      <w:r>
        <w:rPr>
          <w:rStyle w:val="FootnoteReference"/>
        </w:rPr>
        <w:footnoteReference w:id="135"/>
      </w:r>
      <w:r>
        <w:t xml:space="preserve"> and (3) </w:t>
      </w:r>
      <w:r w:rsidRPr="00D96052">
        <w:t xml:space="preserve">establish a rebuttable presumption that the Commission’s assessment of preferred resources </w:t>
      </w:r>
      <w:r w:rsidRPr="005F3047">
        <w:t>under Pub</w:t>
      </w:r>
      <w:r w:rsidRPr="005F3047" w:rsidR="00D95C78">
        <w:t>.</w:t>
      </w:r>
      <w:r w:rsidRPr="005F3047">
        <w:t xml:space="preserve"> Util</w:t>
      </w:r>
      <w:r w:rsidRPr="005F3047" w:rsidR="00D95C78">
        <w:t>.</w:t>
      </w:r>
      <w:r w:rsidRPr="005F3047">
        <w:t xml:space="preserve"> Code </w:t>
      </w:r>
      <w:r w:rsidR="00DC14AC">
        <w:t>Section </w:t>
      </w:r>
      <w:r w:rsidRPr="00D96052">
        <w:t>1002.3, if applicable to a</w:t>
      </w:r>
      <w:r>
        <w:t xml:space="preserve"> CPCN</w:t>
      </w:r>
      <w:r w:rsidRPr="00D96052">
        <w:t xml:space="preserve"> application, </w:t>
      </w:r>
      <w:r>
        <w:t xml:space="preserve">should </w:t>
      </w:r>
      <w:r w:rsidRPr="00D96052">
        <w:t>be limited to</w:t>
      </w:r>
      <w:r>
        <w:t xml:space="preserve"> </w:t>
      </w:r>
      <w:r w:rsidRPr="00C94A4B">
        <w:t>analysis in the</w:t>
      </w:r>
      <w:r>
        <w:t xml:space="preserve"> </w:t>
      </w:r>
      <w:r w:rsidRPr="00C94A4B">
        <w:t>CAISO Transmission Plan</w:t>
      </w:r>
      <w:r>
        <w:t xml:space="preserve">. Finally, the Settlement Agreement proposes that the </w:t>
      </w:r>
      <w:r w:rsidRPr="00C94A4B">
        <w:t xml:space="preserve">Commission’s base resource portfolio for </w:t>
      </w:r>
      <w:r>
        <w:t>such</w:t>
      </w:r>
      <w:r w:rsidRPr="00C94A4B">
        <w:t xml:space="preserve"> Plan</w:t>
      </w:r>
      <w:r>
        <w:t xml:space="preserve">, and </w:t>
      </w:r>
      <w:r w:rsidRPr="00D96052">
        <w:t>that CAISO approval</w:t>
      </w:r>
      <w:r>
        <w:t xml:space="preserve"> of </w:t>
      </w:r>
      <w:r>
        <w:lastRenderedPageBreak/>
        <w:t xml:space="preserve">a project (in the CAISO Transmission Plan) </w:t>
      </w:r>
      <w:r w:rsidR="00346FDC">
        <w:t>requires</w:t>
      </w:r>
      <w:r w:rsidRPr="00D96052">
        <w:t xml:space="preserve"> that the public convenience and necessity </w:t>
      </w:r>
      <w:r>
        <w:t xml:space="preserve">for that </w:t>
      </w:r>
      <w:r w:rsidRPr="00D96052">
        <w:t xml:space="preserve">project </w:t>
      </w:r>
      <w:r>
        <w:t xml:space="preserve">is </w:t>
      </w:r>
      <w:r w:rsidRPr="00D96052">
        <w:t>approv</w:t>
      </w:r>
      <w:r>
        <w:t>ed by the Commission</w:t>
      </w:r>
      <w:r w:rsidRPr="00D96052">
        <w:t>.</w:t>
      </w:r>
      <w:r>
        <w:rPr>
          <w:rStyle w:val="FootnoteReference"/>
        </w:rPr>
        <w:footnoteReference w:id="136"/>
      </w:r>
      <w:r w:rsidRPr="00D96052">
        <w:t xml:space="preserve"> </w:t>
      </w:r>
    </w:p>
    <w:p w:rsidRPr="007A56D8" w:rsidR="00CE0F0D" w:rsidP="00CE0F0D" w:rsidRDefault="00CE0F0D" w14:paraId="70779A91" w14:textId="77777777">
      <w:pPr>
        <w:pStyle w:val="Standard"/>
      </w:pPr>
      <w:r>
        <w:t xml:space="preserve">Settling Parties contend that their proposal is warranted because the </w:t>
      </w:r>
      <w:r w:rsidRPr="004F7729">
        <w:t>Commission</w:t>
      </w:r>
      <w:r>
        <w:t>,</w:t>
      </w:r>
      <w:r w:rsidRPr="004F7729">
        <w:t xml:space="preserve"> CEC</w:t>
      </w:r>
      <w:r>
        <w:t>,</w:t>
      </w:r>
      <w:r w:rsidRPr="004F7729">
        <w:t xml:space="preserve"> and CAISO coordinate on electric load forecasting, resource</w:t>
      </w:r>
      <w:r>
        <w:t xml:space="preserve"> </w:t>
      </w:r>
      <w:r w:rsidRPr="004F7729">
        <w:t>planning and transmission planning to achieve state reliability and policy goals.</w:t>
      </w:r>
      <w:r>
        <w:t xml:space="preserve"> Settling Parties also note that </w:t>
      </w:r>
      <w:r w:rsidRPr="004F7729">
        <w:t>CAISO utilizes</w:t>
      </w:r>
      <w:r>
        <w:t xml:space="preserve"> </w:t>
      </w:r>
      <w:r w:rsidRPr="004F7729">
        <w:t>resource portfolios from the Commission’s IRP proceeding to</w:t>
      </w:r>
      <w:r>
        <w:t xml:space="preserve"> </w:t>
      </w:r>
      <w:r w:rsidRPr="004F7729">
        <w:t xml:space="preserve">identify needed transmission projects. </w:t>
      </w:r>
      <w:r>
        <w:t xml:space="preserve">Further, Settling Parties highlight a </w:t>
      </w:r>
      <w:r w:rsidRPr="004F7729">
        <w:t>December 2022 Memorandum of</w:t>
      </w:r>
      <w:r>
        <w:t xml:space="preserve"> </w:t>
      </w:r>
      <w:r w:rsidRPr="004F7729">
        <w:t xml:space="preserve">Understanding </w:t>
      </w:r>
      <w:r>
        <w:t>between the</w:t>
      </w:r>
      <w:r w:rsidRPr="004F7729">
        <w:t xml:space="preserve"> Commission, CEC and CAISO, </w:t>
      </w:r>
      <w:r>
        <w:t xml:space="preserve">which expresses that the </w:t>
      </w:r>
      <w:r w:rsidRPr="004F7729">
        <w:t xml:space="preserve">CAISO </w:t>
      </w:r>
      <w:r>
        <w:t>TPP</w:t>
      </w:r>
      <w:r w:rsidRPr="004F7729">
        <w:t xml:space="preserve"> meet</w:t>
      </w:r>
      <w:r>
        <w:t>s</w:t>
      </w:r>
      <w:r w:rsidRPr="004F7729">
        <w:t xml:space="preserve"> transmission needs for loads and resources</w:t>
      </w:r>
      <w:r>
        <w:t xml:space="preserve"> </w:t>
      </w:r>
      <w:r w:rsidRPr="004F7729">
        <w:t>identified by the Commission in response to the CEC’s electric load forecasts.</w:t>
      </w:r>
      <w:r>
        <w:rPr>
          <w:rStyle w:val="FootnoteReference"/>
        </w:rPr>
        <w:footnoteReference w:id="137"/>
      </w:r>
    </w:p>
    <w:p w:rsidR="00CE0F0D" w:rsidP="00CE0F0D" w:rsidRDefault="00CE0F0D" w14:paraId="3771ADB4" w14:textId="77777777">
      <w:pPr>
        <w:pStyle w:val="Standard"/>
      </w:pPr>
      <w:r>
        <w:t xml:space="preserve">Staff </w:t>
      </w:r>
      <w:r w:rsidR="00FB130C">
        <w:t>offer</w:t>
      </w:r>
      <w:r>
        <w:t xml:space="preserve"> two proposal</w:t>
      </w:r>
      <w:r w:rsidDel="00E83947">
        <w:t>s</w:t>
      </w:r>
      <w:r>
        <w:t>.</w:t>
      </w:r>
    </w:p>
    <w:p w:rsidR="00CE0F0D" w:rsidP="00CE0F0D" w:rsidRDefault="00FA77D8" w14:paraId="1F21A424" w14:textId="77777777">
      <w:pPr>
        <w:pStyle w:val="Standard"/>
      </w:pPr>
      <w:r>
        <w:t xml:space="preserve">Adoption of </w:t>
      </w:r>
      <w:r w:rsidR="00CE0F0D">
        <w:t xml:space="preserve">Staff Proposal </w:t>
      </w:r>
      <w:r w:rsidR="00DC14AC">
        <w:t>Section </w:t>
      </w:r>
      <w:r>
        <w:t>3.3</w:t>
      </w:r>
      <w:r w:rsidR="004E5F28">
        <w:t>,</w:t>
      </w:r>
      <w:r>
        <w:t xml:space="preserve"> Proposal </w:t>
      </w:r>
      <w:r w:rsidDel="00FA77D8" w:rsidR="00CE0F0D">
        <w:t>1</w:t>
      </w:r>
      <w:r w:rsidR="00CE0F0D">
        <w:t xml:space="preserve"> </w:t>
      </w:r>
      <w:r>
        <w:t xml:space="preserve">would </w:t>
      </w:r>
      <w:r w:rsidR="00CE0F0D">
        <w:t xml:space="preserve">add </w:t>
      </w:r>
      <w:r w:rsidRPr="008A1C9F" w:rsidR="005B5614">
        <w:t>the below</w:t>
      </w:r>
      <w:r w:rsidR="00CE0F0D">
        <w:t xml:space="preserve"> new </w:t>
      </w:r>
      <w:r w:rsidRPr="008A1C9F" w:rsidR="00CE0F0D">
        <w:t>sections</w:t>
      </w:r>
      <w:r w:rsidRPr="008A1C9F">
        <w:t xml:space="preserve"> </w:t>
      </w:r>
      <w:r w:rsidRPr="008A1C9F" w:rsidR="00376E7C">
        <w:t>to</w:t>
      </w:r>
      <w:r w:rsidRPr="008A1C9F" w:rsidR="00CE0F0D">
        <w:t xml:space="preserve"> </w:t>
      </w:r>
      <w:r w:rsidR="003B5D07">
        <w:t>GO </w:t>
      </w:r>
      <w:r w:rsidR="00CE0F0D">
        <w:t>131-E, to comply with AB 1373 provisions:</w:t>
      </w:r>
    </w:p>
    <w:p w:rsidRPr="00C007CF" w:rsidR="00CE0F0D" w:rsidP="00E75F73" w:rsidRDefault="00C007CF" w14:paraId="68A2B312" w14:textId="77777777">
      <w:pPr>
        <w:pStyle w:val="Standard"/>
        <w:numPr>
          <w:ilvl w:val="0"/>
          <w:numId w:val="6"/>
        </w:numPr>
        <w:spacing w:after="120" w:line="240" w:lineRule="auto"/>
        <w:ind w:left="1080" w:right="1440"/>
      </w:pPr>
      <w:r w:rsidRPr="00C007CF">
        <w:t xml:space="preserve">Proposed </w:t>
      </w:r>
      <w:r w:rsidR="00DC14AC">
        <w:t>Section </w:t>
      </w:r>
      <w:r w:rsidRPr="00C007CF" w:rsidR="00CE0F0D">
        <w:t xml:space="preserve">IX.C.2 of </w:t>
      </w:r>
      <w:r w:rsidR="003B5D07">
        <w:t>GO </w:t>
      </w:r>
      <w:r w:rsidRPr="00C007CF" w:rsidR="00CE0F0D">
        <w:t>131-E acknowledge</w:t>
      </w:r>
      <w:r w:rsidRPr="00C007CF" w:rsidR="00365809">
        <w:t>s</w:t>
      </w:r>
      <w:r w:rsidRPr="00C007CF" w:rsidR="00CE0F0D">
        <w:t xml:space="preserve"> that a project under review in a CPCN application has been reviewed and approved in the CAISO Transmission Plan;</w:t>
      </w:r>
    </w:p>
    <w:p w:rsidRPr="00C007CF" w:rsidR="00CE0F0D" w:rsidP="00E75F73" w:rsidRDefault="00C007CF" w14:paraId="44BCAA02" w14:textId="77777777">
      <w:pPr>
        <w:pStyle w:val="Standard"/>
        <w:numPr>
          <w:ilvl w:val="0"/>
          <w:numId w:val="6"/>
        </w:numPr>
        <w:spacing w:after="120" w:line="240" w:lineRule="auto"/>
        <w:ind w:left="1080" w:right="1440"/>
      </w:pPr>
      <w:r w:rsidRPr="00C007CF">
        <w:t xml:space="preserve">Proposed </w:t>
      </w:r>
      <w:r w:rsidR="00DC14AC">
        <w:t>Section </w:t>
      </w:r>
      <w:r w:rsidRPr="00C007CF" w:rsidR="00CE0F0D">
        <w:t xml:space="preserve">IX.C.2 of </w:t>
      </w:r>
      <w:r w:rsidR="003B5D07">
        <w:t>GO </w:t>
      </w:r>
      <w:r w:rsidRPr="00C007CF" w:rsidR="00CE0F0D">
        <w:t xml:space="preserve">131-E </w:t>
      </w:r>
      <w:r w:rsidRPr="00C007CF" w:rsidR="009023BA">
        <w:t>provides</w:t>
      </w:r>
      <w:r w:rsidRPr="00C007CF" w:rsidR="004903DA">
        <w:t xml:space="preserve"> </w:t>
      </w:r>
      <w:r w:rsidRPr="00C007CF" w:rsidR="00CE0F0D">
        <w:t xml:space="preserve">that CAISO objectives and purpose for a project approved in the CAISO Transmission Plan should be considered in the statement of objectives in a Commission CEQA document; and </w:t>
      </w:r>
    </w:p>
    <w:p w:rsidRPr="00C007CF" w:rsidR="00CE0F0D" w:rsidP="00E75F73" w:rsidRDefault="00C007CF" w14:paraId="14D2DADB" w14:textId="77777777">
      <w:pPr>
        <w:pStyle w:val="Standard"/>
        <w:numPr>
          <w:ilvl w:val="0"/>
          <w:numId w:val="6"/>
        </w:numPr>
        <w:spacing w:after="180" w:line="240" w:lineRule="auto"/>
        <w:ind w:left="1080" w:right="1440"/>
      </w:pPr>
      <w:r w:rsidRPr="00C007CF">
        <w:t>Proposed</w:t>
      </w:r>
      <w:r w:rsidRPr="00C007CF" w:rsidR="00CE0F0D">
        <w:t xml:space="preserve"> </w:t>
      </w:r>
      <w:r w:rsidR="00DC14AC">
        <w:t>Section </w:t>
      </w:r>
      <w:r w:rsidRPr="00C007CF" w:rsidR="00CE0F0D">
        <w:t xml:space="preserve">IX.C.2.b of </w:t>
      </w:r>
      <w:r w:rsidR="003B5D07">
        <w:t>GO </w:t>
      </w:r>
      <w:r w:rsidRPr="00C007CF" w:rsidR="00CE0F0D">
        <w:t xml:space="preserve">131-E incorporates AB 1373 provisions that the Commission shall establish rebuttable presumption in favor of the CAISO need evaluation when evaluating the issuance of a CPCN for a proposed transmission project, given that the project meets </w:t>
      </w:r>
      <w:r w:rsidRPr="00C007CF" w:rsidR="00CE0F0D">
        <w:lastRenderedPageBreak/>
        <w:t xml:space="preserve">certain criteria specified in Public Utilities Code </w:t>
      </w:r>
      <w:r w:rsidR="00DC14AC">
        <w:t>Section </w:t>
      </w:r>
      <w:r w:rsidRPr="00C007CF" w:rsidR="00CE0F0D">
        <w:t>1001.1.</w:t>
      </w:r>
      <w:r w:rsidRPr="00C007CF" w:rsidR="00CE0F0D">
        <w:rPr>
          <w:rStyle w:val="FootnoteReference"/>
        </w:rPr>
        <w:footnoteReference w:id="138"/>
      </w:r>
    </w:p>
    <w:p w:rsidR="00CE0F0D" w:rsidP="00CE0F0D" w:rsidRDefault="00CE0F0D" w14:paraId="7822CC03" w14:textId="77777777">
      <w:pPr>
        <w:pStyle w:val="Standard"/>
      </w:pPr>
      <w:r w:rsidRPr="00D81627">
        <w:t xml:space="preserve">In support of its </w:t>
      </w:r>
      <w:r w:rsidRPr="00D81627" w:rsidR="00D9715F">
        <w:t xml:space="preserve">Staff Proposal </w:t>
      </w:r>
      <w:r w:rsidR="00DC14AC">
        <w:t>Section </w:t>
      </w:r>
      <w:r w:rsidRPr="00D81627" w:rsidR="00D9715F">
        <w:t xml:space="preserve">3.3, </w:t>
      </w:r>
      <w:r w:rsidRPr="00D81627">
        <w:t xml:space="preserve">Proposal 1, Staff notes two observations. First, Staff </w:t>
      </w:r>
      <w:r w:rsidRPr="00D81627" w:rsidR="0092645D">
        <w:t>opin</w:t>
      </w:r>
      <w:r w:rsidRPr="00D81627">
        <w:t>es that acknowledg</w:t>
      </w:r>
      <w:r w:rsidR="00B61D1F">
        <w:t>ement of the</w:t>
      </w:r>
      <w:r w:rsidRPr="00D81627">
        <w:t xml:space="preserve"> coordination between the Commission, CEC, and CAISO in the CAISO TPP </w:t>
      </w:r>
      <w:r w:rsidR="00B61D1F">
        <w:t xml:space="preserve">in GO 131-E </w:t>
      </w:r>
      <w:r w:rsidRPr="00D81627">
        <w:t xml:space="preserve">is not necessary to implement key components of the Settlement Agreement. Second, Staff </w:t>
      </w:r>
      <w:r w:rsidRPr="00D81627" w:rsidR="00F3029C">
        <w:t xml:space="preserve">opines </w:t>
      </w:r>
      <w:r w:rsidRPr="00D81627">
        <w:t>that analysis of project alternatives from the CAISO TPP should be considered in the context of the Commission’s own independent analysis of project alternatives.</w:t>
      </w:r>
      <w:r w:rsidRPr="00D81627">
        <w:rPr>
          <w:rStyle w:val="FootnoteReference"/>
        </w:rPr>
        <w:footnoteReference w:id="139"/>
      </w:r>
      <w:r>
        <w:t xml:space="preserve"> </w:t>
      </w:r>
    </w:p>
    <w:p w:rsidR="00CE0F0D" w:rsidP="00CE0F0D" w:rsidRDefault="00FA77D8" w14:paraId="69F981BA" w14:textId="77777777">
      <w:pPr>
        <w:pStyle w:val="Standard"/>
      </w:pPr>
      <w:r w:rsidRPr="00AB2C4B">
        <w:t xml:space="preserve">Staff Proposal </w:t>
      </w:r>
      <w:r w:rsidR="00DC14AC">
        <w:t>Section </w:t>
      </w:r>
      <w:r w:rsidRPr="00AB2C4B">
        <w:t>3.3,</w:t>
      </w:r>
      <w:r w:rsidRPr="00AB2C4B" w:rsidR="00CE0F0D">
        <w:t xml:space="preserve"> Proposal 2 would establish </w:t>
      </w:r>
      <w:r w:rsidR="004E5F28">
        <w:t xml:space="preserve">a </w:t>
      </w:r>
      <w:r w:rsidRPr="00AB2C4B" w:rsidR="00CE0F0D">
        <w:t xml:space="preserve">rebuttable presumption for CAISO-approved projects and would add </w:t>
      </w:r>
      <w:r w:rsidRPr="00AB2C4B" w:rsidR="005B5614">
        <w:t xml:space="preserve">the below </w:t>
      </w:r>
      <w:r w:rsidRPr="00AB2C4B" w:rsidR="00CE0F0D">
        <w:t>new sections</w:t>
      </w:r>
      <w:r w:rsidRPr="00AB2C4B" w:rsidR="00352FEF">
        <w:t xml:space="preserve"> </w:t>
      </w:r>
      <w:r w:rsidRPr="00AB2C4B" w:rsidR="00376E7C">
        <w:t>to</w:t>
      </w:r>
      <w:r w:rsidRPr="00AB2C4B" w:rsidR="00CE0F0D">
        <w:t xml:space="preserve"> </w:t>
      </w:r>
      <w:r w:rsidR="003B5D07">
        <w:t>GO </w:t>
      </w:r>
      <w:r w:rsidRPr="00AB2C4B" w:rsidR="00CE0F0D">
        <w:t>131-E, to comply with AB 1373 and incorporate the Settlement Agreement provisions:</w:t>
      </w:r>
    </w:p>
    <w:p w:rsidRPr="009F7396" w:rsidR="00CE0F0D" w:rsidP="00E75F73" w:rsidRDefault="001765DD" w14:paraId="23F2B97A" w14:textId="77777777">
      <w:pPr>
        <w:pStyle w:val="Standard"/>
        <w:numPr>
          <w:ilvl w:val="0"/>
          <w:numId w:val="6"/>
        </w:numPr>
        <w:spacing w:after="120" w:line="240" w:lineRule="auto"/>
        <w:ind w:left="1080" w:right="1440"/>
      </w:pPr>
      <w:r>
        <w:t xml:space="preserve">Proposed </w:t>
      </w:r>
      <w:r w:rsidR="00DC14AC">
        <w:t>Section </w:t>
      </w:r>
      <w:r w:rsidRPr="009F7396" w:rsidR="00CE0F0D">
        <w:t xml:space="preserve">IX.C.2 of </w:t>
      </w:r>
      <w:r w:rsidR="003B5D07">
        <w:t>GO </w:t>
      </w:r>
      <w:r w:rsidRPr="009F7396" w:rsidR="00CE0F0D">
        <w:t>131-E acknowledge</w:t>
      </w:r>
      <w:r w:rsidRPr="009F7396" w:rsidR="00376E7C">
        <w:t>s</w:t>
      </w:r>
      <w:r w:rsidRPr="009F7396" w:rsidR="00CE0F0D">
        <w:t xml:space="preserve"> that the Commission and CEC coordinate with the CAISO on electric load forecasting, resource planning, and transmission planning in the CAISO TPP, and articulate that CAISO conducts electric transmission planning to meet resource needs identified by the Commission, including analysis of alternatives to transmission projects;</w:t>
      </w:r>
    </w:p>
    <w:p w:rsidRPr="009F7396" w:rsidR="00CE0F0D" w:rsidP="00E75F73" w:rsidRDefault="00D934CB" w14:paraId="31C24F4B" w14:textId="77777777">
      <w:pPr>
        <w:pStyle w:val="Standard"/>
        <w:numPr>
          <w:ilvl w:val="0"/>
          <w:numId w:val="6"/>
        </w:numPr>
        <w:spacing w:after="120" w:line="240" w:lineRule="auto"/>
        <w:ind w:left="1080" w:right="1440"/>
      </w:pPr>
      <w:r>
        <w:t xml:space="preserve">Proposed </w:t>
      </w:r>
      <w:r w:rsidR="00DC14AC">
        <w:t>Section </w:t>
      </w:r>
      <w:r w:rsidRPr="009F7396" w:rsidR="00CE0F0D">
        <w:t xml:space="preserve">IX.C.2 of </w:t>
      </w:r>
      <w:r w:rsidR="003B5D07">
        <w:t>GO </w:t>
      </w:r>
      <w:r w:rsidRPr="009F7396" w:rsidR="00CE0F0D">
        <w:t>131-E require</w:t>
      </w:r>
      <w:r w:rsidRPr="009F7396" w:rsidR="000E2094">
        <w:t>s</w:t>
      </w:r>
      <w:r w:rsidRPr="009F7396" w:rsidR="00CE0F0D">
        <w:t xml:space="preserve"> that CAISO objectives and purpose for a project approved in the CAISO Transmission Plan shall be reflected in the statement of objectives and overriding </w:t>
      </w:r>
      <w:r w:rsidRPr="009F7396" w:rsidR="00683089">
        <w:t xml:space="preserve">considerations </w:t>
      </w:r>
      <w:r w:rsidRPr="009F7396" w:rsidR="00CE0F0D">
        <w:t>in a Commission CEQA document;</w:t>
      </w:r>
    </w:p>
    <w:p w:rsidRPr="009F7396" w:rsidR="00CE0F0D" w:rsidP="00E75F73" w:rsidRDefault="00D934CB" w14:paraId="0668BF26" w14:textId="77777777">
      <w:pPr>
        <w:pStyle w:val="Standard"/>
        <w:numPr>
          <w:ilvl w:val="0"/>
          <w:numId w:val="6"/>
        </w:numPr>
        <w:spacing w:after="120" w:line="240" w:lineRule="auto"/>
        <w:ind w:left="1080" w:right="1440"/>
      </w:pPr>
      <w:r>
        <w:t>Proposed</w:t>
      </w:r>
      <w:r w:rsidRPr="009F7396" w:rsidR="00CE0F0D">
        <w:t xml:space="preserve"> </w:t>
      </w:r>
      <w:r w:rsidR="00DC14AC">
        <w:t>Section </w:t>
      </w:r>
      <w:r w:rsidRPr="009F7396" w:rsidR="00CE0F0D">
        <w:t xml:space="preserve">IX.C.2.b of </w:t>
      </w:r>
      <w:r w:rsidR="003B5D07">
        <w:t>GO </w:t>
      </w:r>
      <w:r w:rsidRPr="009F7396" w:rsidR="00CE0F0D">
        <w:t>131-E limit</w:t>
      </w:r>
      <w:r w:rsidRPr="009F7396" w:rsidR="000E2094">
        <w:t>s</w:t>
      </w:r>
      <w:r w:rsidRPr="009F7396" w:rsidR="00CE0F0D">
        <w:t xml:space="preserve"> the range of reasonable alternatives considered in the Commission’s CEQA process to the “no action” alternative, which </w:t>
      </w:r>
      <w:r w:rsidRPr="009F7396" w:rsidR="00CE0F0D">
        <w:lastRenderedPageBreak/>
        <w:t>essentially constrains the Commission to only examine different feasible routes or locations to construct CAISO-approved project;</w:t>
      </w:r>
    </w:p>
    <w:p w:rsidR="00CE0F0D" w:rsidP="00E75F73" w:rsidRDefault="00D934CB" w14:paraId="7B79D28B" w14:textId="77777777">
      <w:pPr>
        <w:pStyle w:val="Standard"/>
        <w:numPr>
          <w:ilvl w:val="0"/>
          <w:numId w:val="6"/>
        </w:numPr>
        <w:spacing w:after="120" w:line="240" w:lineRule="auto"/>
        <w:ind w:left="1080" w:right="1440"/>
      </w:pPr>
      <w:r>
        <w:t>Proposed</w:t>
      </w:r>
      <w:r w:rsidRPr="009F7396" w:rsidR="00737C39">
        <w:t xml:space="preserve"> </w:t>
      </w:r>
      <w:r w:rsidR="00DC14AC">
        <w:t>Section </w:t>
      </w:r>
      <w:r w:rsidRPr="009F7396" w:rsidR="00CE0F0D">
        <w:t xml:space="preserve">IX.C2. of </w:t>
      </w:r>
      <w:r w:rsidR="003B5D07">
        <w:t>GO </w:t>
      </w:r>
      <w:r w:rsidRPr="009F7396" w:rsidR="00CE0F0D">
        <w:t>131-E establish</w:t>
      </w:r>
      <w:r w:rsidRPr="009F7396" w:rsidR="00737C39">
        <w:t>es</w:t>
      </w:r>
      <w:r w:rsidRPr="009F7396" w:rsidR="00CE0F0D">
        <w:t xml:space="preserve"> a rebuttable presumption limiting the Commission’s</w:t>
      </w:r>
      <w:r w:rsidRPr="00277C26" w:rsidR="00CE0F0D">
        <w:t xml:space="preserve"> consideration of “preferred resources”</w:t>
      </w:r>
      <w:r w:rsidR="00CE0F0D">
        <w:t xml:space="preserve">, pursuant to </w:t>
      </w:r>
      <w:r w:rsidRPr="00277C26" w:rsidR="00CE0F0D">
        <w:t>Pub</w:t>
      </w:r>
      <w:r w:rsidR="00CE0F0D">
        <w:t>.</w:t>
      </w:r>
      <w:r w:rsidRPr="00277C26" w:rsidR="00CE0F0D">
        <w:t xml:space="preserve"> Util</w:t>
      </w:r>
      <w:r w:rsidR="00CE0F0D">
        <w:t xml:space="preserve">. </w:t>
      </w:r>
      <w:r w:rsidRPr="00277C26" w:rsidR="00CE0F0D">
        <w:t xml:space="preserve">Code </w:t>
      </w:r>
      <w:r w:rsidR="00DC14AC">
        <w:t>Section </w:t>
      </w:r>
      <w:r w:rsidRPr="00277C26" w:rsidR="00CE0F0D">
        <w:t>1002.3</w:t>
      </w:r>
      <w:r w:rsidR="00CE0F0D">
        <w:t>,</w:t>
      </w:r>
      <w:r w:rsidRPr="00277C26" w:rsidR="00CE0F0D">
        <w:t xml:space="preserve"> as an</w:t>
      </w:r>
      <w:r w:rsidR="00CE0F0D">
        <w:t xml:space="preserve"> </w:t>
      </w:r>
      <w:r w:rsidRPr="00277C26" w:rsidR="00CE0F0D">
        <w:t>alternative to a CAISO-approved project</w:t>
      </w:r>
      <w:r w:rsidR="00CE0F0D">
        <w:t>, and require</w:t>
      </w:r>
      <w:r w:rsidR="004E5F28">
        <w:t>s</w:t>
      </w:r>
      <w:r w:rsidR="00CE0F0D">
        <w:t xml:space="preserve"> that the Commission defer to results from analysis</w:t>
      </w:r>
      <w:r w:rsidRPr="00277C26" w:rsidR="00CE0F0D">
        <w:t xml:space="preserve"> in the relevant CAISO </w:t>
      </w:r>
      <w:r w:rsidR="00CE0F0D">
        <w:t>Transmission Plan</w:t>
      </w:r>
      <w:r w:rsidRPr="00277C26" w:rsidR="00CE0F0D">
        <w:t xml:space="preserve"> or the</w:t>
      </w:r>
      <w:r w:rsidR="00CE0F0D">
        <w:t xml:space="preserve"> Commission’s </w:t>
      </w:r>
      <w:r w:rsidRPr="00277C26" w:rsidR="00CE0F0D">
        <w:t xml:space="preserve">base resource portfolio </w:t>
      </w:r>
      <w:r w:rsidR="00CE0F0D">
        <w:t>that was utilized to develop the relevant CAISO Transmission Plan;</w:t>
      </w:r>
    </w:p>
    <w:p w:rsidRPr="009F7396" w:rsidR="00CE0F0D" w:rsidP="00E75F73" w:rsidRDefault="00D934CB" w14:paraId="0B8F121D" w14:textId="77777777">
      <w:pPr>
        <w:pStyle w:val="Standard"/>
        <w:numPr>
          <w:ilvl w:val="0"/>
          <w:numId w:val="6"/>
        </w:numPr>
        <w:spacing w:after="120" w:line="240" w:lineRule="auto"/>
        <w:ind w:left="1080" w:right="1440"/>
      </w:pPr>
      <w:r>
        <w:t>Proposed</w:t>
      </w:r>
      <w:r w:rsidRPr="009F7396" w:rsidR="00CE0F0D">
        <w:t xml:space="preserve"> </w:t>
      </w:r>
      <w:r w:rsidR="00DC14AC">
        <w:t>Section </w:t>
      </w:r>
      <w:r w:rsidRPr="009F7396" w:rsidR="00CE0F0D">
        <w:t xml:space="preserve">IX.C.2.d of </w:t>
      </w:r>
      <w:r w:rsidR="003B5D07">
        <w:t>GO </w:t>
      </w:r>
      <w:r w:rsidRPr="009F7396" w:rsidR="00CE0F0D">
        <w:t>131-E require</w:t>
      </w:r>
      <w:r w:rsidRPr="009F7396" w:rsidR="00737C39">
        <w:t>s</w:t>
      </w:r>
      <w:r w:rsidRPr="009F7396" w:rsidR="00CE0F0D">
        <w:t xml:space="preserve"> the Commission, pursuant to AB 1373, that approval of a project in the CAISO Transmission Plan establishes a rebuttable presumption that the public convenience and necessity requires the Commission to approve the project, if the project meets certain criteria established in </w:t>
      </w:r>
      <w:r w:rsidR="00DC14AC">
        <w:t>Section </w:t>
      </w:r>
      <w:r w:rsidRPr="009F7396" w:rsidR="00CE0F0D">
        <w:t>IX.C.3; and</w:t>
      </w:r>
    </w:p>
    <w:p w:rsidR="00CE0F0D" w:rsidP="00DC14AC" w:rsidRDefault="00D934CB" w14:paraId="0AB6A081" w14:textId="77777777">
      <w:pPr>
        <w:pStyle w:val="Standard"/>
        <w:numPr>
          <w:ilvl w:val="0"/>
          <w:numId w:val="6"/>
        </w:numPr>
        <w:spacing w:after="120" w:line="240" w:lineRule="auto"/>
        <w:ind w:left="1080" w:right="1440"/>
      </w:pPr>
      <w:r>
        <w:t>Proposed</w:t>
      </w:r>
      <w:r w:rsidRPr="009F7396" w:rsidR="00737C39">
        <w:t xml:space="preserve"> </w:t>
      </w:r>
      <w:r w:rsidR="00DC14AC">
        <w:t>Section </w:t>
      </w:r>
      <w:r w:rsidRPr="009F7396" w:rsidR="00CE0F0D">
        <w:t xml:space="preserve">IX.C.2.d of </w:t>
      </w:r>
      <w:r w:rsidR="003B5D07">
        <w:t>GO </w:t>
      </w:r>
      <w:r w:rsidRPr="009F7396" w:rsidR="00CE0F0D">
        <w:t>131-E clarif</w:t>
      </w:r>
      <w:r w:rsidRPr="009F7396" w:rsidR="00737C39">
        <w:t>ies</w:t>
      </w:r>
      <w:r w:rsidRPr="009F7396" w:rsidR="00CE0F0D">
        <w:t xml:space="preserve"> the applicability of </w:t>
      </w:r>
      <w:r w:rsidR="00DC14AC">
        <w:t>Section </w:t>
      </w:r>
      <w:r w:rsidRPr="009F7396" w:rsidR="00CE0F0D">
        <w:t>IX.C.2.D by providing criteria from AB</w:t>
      </w:r>
      <w:r w:rsidR="00CE0F0D">
        <w:t xml:space="preserve"> 1373 to establish which projects are eligible.</w:t>
      </w:r>
      <w:r w:rsidRPr="00A10EDB" w:rsidR="00CE0F0D">
        <w:rPr>
          <w:rStyle w:val="FootnoteReference"/>
        </w:rPr>
        <w:t xml:space="preserve"> </w:t>
      </w:r>
      <w:r w:rsidR="00CE0F0D">
        <w:rPr>
          <w:rStyle w:val="FootnoteReference"/>
        </w:rPr>
        <w:footnoteReference w:id="140"/>
      </w:r>
    </w:p>
    <w:p w:rsidR="00CE0F0D" w:rsidP="00CE0F0D" w:rsidRDefault="00CE0F0D" w14:paraId="1B3830A9" w14:textId="77777777">
      <w:pPr>
        <w:pStyle w:val="Standard"/>
      </w:pPr>
      <w:r>
        <w:t xml:space="preserve">Staff contends that limiting the range of reasonable alternatives, as proposed by the Settling Parties, may be inconsistent with the extent of alternatives analysis that must be performed by the Commission pursuant to CEQA. If the proposed Settlement Agreement provisions were adopted, Staff </w:t>
      </w:r>
      <w:r w:rsidR="00266F1D">
        <w:t>explains</w:t>
      </w:r>
      <w:r>
        <w:t xml:space="preserve"> </w:t>
      </w:r>
      <w:r w:rsidR="00266F1D">
        <w:t>that</w:t>
      </w:r>
      <w:r>
        <w:t xml:space="preserve"> the Commission’s ability to fully evaluate the required alternatives including non-wires alternatives would be constrained. </w:t>
      </w:r>
    </w:p>
    <w:p w:rsidRPr="006922A4" w:rsidR="00835FED" w:rsidP="00CE0F0D" w:rsidRDefault="773D0731" w14:paraId="55AF74EC" w14:textId="77777777">
      <w:pPr>
        <w:pStyle w:val="Standard"/>
        <w:rPr>
          <w:highlight w:val="yellow"/>
        </w:rPr>
      </w:pPr>
      <w:r>
        <w:t>In addition, Staff d</w:t>
      </w:r>
      <w:r w:rsidR="00835FED">
        <w:t xml:space="preserve">id </w:t>
      </w:r>
      <w:r>
        <w:t xml:space="preserve">not </w:t>
      </w:r>
      <w:r w:rsidR="00835FED">
        <w:t xml:space="preserve">originally </w:t>
      </w:r>
      <w:r>
        <w:t xml:space="preserve">support the Settling Parties’ proposal to </w:t>
      </w:r>
      <w:r w:rsidRPr="0049625C">
        <w:t xml:space="preserve">establish a rebuttable presumption </w:t>
      </w:r>
      <w:r>
        <w:t xml:space="preserve">that would require the Commission to only </w:t>
      </w:r>
      <w:r>
        <w:lastRenderedPageBreak/>
        <w:t>consider approved projects in CAISO’s</w:t>
      </w:r>
      <w:r w:rsidRPr="0049625C">
        <w:t xml:space="preserve"> Transmission Plan </w:t>
      </w:r>
      <w:r>
        <w:t>or</w:t>
      </w:r>
      <w:r w:rsidRPr="0049625C">
        <w:t xml:space="preserve"> the </w:t>
      </w:r>
      <w:r>
        <w:t xml:space="preserve">Commission’s </w:t>
      </w:r>
      <w:r w:rsidRPr="0049625C">
        <w:t>underlying base resource</w:t>
      </w:r>
      <w:r>
        <w:t xml:space="preserve"> </w:t>
      </w:r>
      <w:r w:rsidRPr="0049625C">
        <w:t xml:space="preserve">portfolio </w:t>
      </w:r>
      <w:r>
        <w:t xml:space="preserve">upon </w:t>
      </w:r>
      <w:r w:rsidR="00AE019E">
        <w:t>which</w:t>
      </w:r>
      <w:r>
        <w:t xml:space="preserve"> the Plan is based as </w:t>
      </w:r>
      <w:r w:rsidRPr="0049625C">
        <w:t>cost-effective</w:t>
      </w:r>
      <w:r>
        <w:t xml:space="preserve"> </w:t>
      </w:r>
      <w:r w:rsidRPr="0049625C">
        <w:t xml:space="preserve">alternatives </w:t>
      </w:r>
      <w:r>
        <w:t>pursuant to</w:t>
      </w:r>
      <w:r w:rsidRPr="0049625C">
        <w:t xml:space="preserve"> </w:t>
      </w:r>
      <w:r w:rsidRPr="008127FF">
        <w:t xml:space="preserve">Pub. Util. Code </w:t>
      </w:r>
      <w:r w:rsidRPr="008127FF" w:rsidR="00DC14AC">
        <w:t>Section </w:t>
      </w:r>
      <w:r w:rsidRPr="008127FF">
        <w:t>1002.</w:t>
      </w:r>
      <w:r w:rsidRPr="008127FF" w:rsidR="1B2EAE7A">
        <w:t>3</w:t>
      </w:r>
      <w:r w:rsidRPr="006922A4" w:rsidR="0043250C">
        <w:t>, which</w:t>
      </w:r>
      <w:r w:rsidRPr="006922A4" w:rsidR="00C0475D">
        <w:t xml:space="preserve"> was repealed by the </w:t>
      </w:r>
      <w:r w:rsidRPr="008127FF" w:rsidR="00FB4061">
        <w:t>enactment of AB</w:t>
      </w:r>
      <w:r w:rsidRPr="008127FF" w:rsidR="004B2E17">
        <w:t> </w:t>
      </w:r>
      <w:r w:rsidRPr="008127FF" w:rsidR="00FB4061">
        <w:t>22</w:t>
      </w:r>
      <w:r w:rsidRPr="008127FF" w:rsidR="00293A21">
        <w:t>92</w:t>
      </w:r>
      <w:r w:rsidRPr="006922A4" w:rsidR="00C0475D">
        <w:t>.</w:t>
      </w:r>
      <w:r w:rsidRPr="008127FF" w:rsidR="1C41FCAE">
        <w:t xml:space="preserve"> </w:t>
      </w:r>
    </w:p>
    <w:p w:rsidR="00CE0F0D" w:rsidP="00CE0F0D" w:rsidRDefault="00724948" w14:paraId="47255E0C" w14:textId="77777777">
      <w:pPr>
        <w:pStyle w:val="Standard"/>
      </w:pPr>
      <w:r>
        <w:t>Further, b</w:t>
      </w:r>
      <w:r w:rsidRPr="0049625C" w:rsidR="773D0731">
        <w:t xml:space="preserve">y constraining the alternatives analysis, </w:t>
      </w:r>
      <w:r w:rsidR="773D0731">
        <w:t>Staff warns that the</w:t>
      </w:r>
      <w:r w:rsidRPr="0049625C" w:rsidR="773D0731">
        <w:t xml:space="preserve"> </w:t>
      </w:r>
      <w:r w:rsidR="773D0731">
        <w:t>S</w:t>
      </w:r>
      <w:r w:rsidRPr="0049625C" w:rsidR="773D0731">
        <w:t xml:space="preserve">ettling </w:t>
      </w:r>
      <w:r w:rsidR="773D0731">
        <w:t>P</w:t>
      </w:r>
      <w:r w:rsidRPr="0049625C" w:rsidR="773D0731">
        <w:t xml:space="preserve">arties’ proposal would </w:t>
      </w:r>
      <w:r w:rsidR="773D0731">
        <w:t>hinder</w:t>
      </w:r>
      <w:r w:rsidRPr="0049625C" w:rsidR="773D0731">
        <w:t xml:space="preserve"> the</w:t>
      </w:r>
      <w:r w:rsidR="773D0731">
        <w:t xml:space="preserve"> </w:t>
      </w:r>
      <w:r w:rsidRPr="0049625C" w:rsidR="773D0731">
        <w:t>C</w:t>
      </w:r>
      <w:r w:rsidR="773D0731">
        <w:t>ommission</w:t>
      </w:r>
      <w:r w:rsidRPr="0049625C" w:rsidR="773D0731">
        <w:t xml:space="preserve">’s ability to comply with CEQA; would be inconsistent with the </w:t>
      </w:r>
      <w:r w:rsidRPr="00C02EAC" w:rsidR="773D0731">
        <w:t>robust alternatives analysis required by NEPA for projects with Federal involvement; and would constrain the Commission’s ability to evaluate non-wires alternatives to proposed transmission projects.</w:t>
      </w:r>
      <w:r w:rsidRPr="00C02EAC" w:rsidR="00CE0F0D">
        <w:rPr>
          <w:rStyle w:val="FootnoteReference"/>
        </w:rPr>
        <w:footnoteReference w:id="141"/>
      </w:r>
    </w:p>
    <w:p w:rsidRPr="0054242F" w:rsidR="00CE0F0D" w:rsidP="00CE0F0D" w:rsidRDefault="00CE0F0D" w14:paraId="7F95C3CE" w14:textId="77777777">
      <w:pPr>
        <w:pStyle w:val="Standard"/>
      </w:pPr>
      <w:r>
        <w:t xml:space="preserve">Further, Staff does not </w:t>
      </w:r>
      <w:r w:rsidR="007F385D">
        <w:t>support</w:t>
      </w:r>
      <w:r>
        <w:t xml:space="preserve"> the S</w:t>
      </w:r>
      <w:r w:rsidRPr="00FF6613">
        <w:t xml:space="preserve">ettling </w:t>
      </w:r>
      <w:r>
        <w:t>P</w:t>
      </w:r>
      <w:r w:rsidRPr="00FF6613">
        <w:t xml:space="preserve">arties’ </w:t>
      </w:r>
      <w:r>
        <w:t xml:space="preserve">proposal to establish a rebuttable presumption that the Commission must </w:t>
      </w:r>
      <w:r w:rsidRPr="009E6051">
        <w:t>approv</w:t>
      </w:r>
      <w:r>
        <w:t>e CPCNs for</w:t>
      </w:r>
      <w:r w:rsidRPr="009E6051">
        <w:t xml:space="preserve"> project</w:t>
      </w:r>
      <w:r>
        <w:t>s that are approved in the CAISO T</w:t>
      </w:r>
      <w:r w:rsidRPr="009E6051">
        <w:t xml:space="preserve">ransmission </w:t>
      </w:r>
      <w:r>
        <w:t>P</w:t>
      </w:r>
      <w:r w:rsidRPr="009E6051">
        <w:t>lan</w:t>
      </w:r>
      <w:r>
        <w:t xml:space="preserve">, subject to satisfying all requirements specified in Pub. Util. Code </w:t>
      </w:r>
      <w:r w:rsidR="00DC14AC">
        <w:t>Section </w:t>
      </w:r>
      <w:r w:rsidRPr="00FF52BF">
        <w:t>1001.1 (a)-(d). If the Settling Parties’ proposal were to be adopted, Staff notes and we agree that the Commission’s discretionary authority to approve or deny CPCN applications for proposed projects would be preempted, thereby impeding the Commission’s responsibility to use discretionary powers to avoid or mitigate significant</w:t>
      </w:r>
      <w:r w:rsidRPr="00FF6613">
        <w:t xml:space="preserve"> environmental impacts.</w:t>
      </w:r>
      <w:r>
        <w:rPr>
          <w:rStyle w:val="FootnoteReference"/>
        </w:rPr>
        <w:footnoteReference w:id="142"/>
      </w:r>
    </w:p>
    <w:p w:rsidR="00CE0F0D" w:rsidP="00CE0F0D" w:rsidRDefault="00CE0F0D" w14:paraId="2F85A0AF" w14:textId="77777777">
      <w:pPr>
        <w:pStyle w:val="Standard"/>
      </w:pPr>
      <w:r>
        <w:t xml:space="preserve">CAISO, CBD, and DOW support </w:t>
      </w:r>
      <w:r w:rsidR="0037792C">
        <w:t xml:space="preserve">Staff Proposal </w:t>
      </w:r>
      <w:r w:rsidR="00DC14AC">
        <w:t>Section </w:t>
      </w:r>
      <w:r w:rsidR="0037792C">
        <w:t>3.3,</w:t>
      </w:r>
      <w:r>
        <w:t xml:space="preserve"> Proposal 1</w:t>
      </w:r>
      <w:r w:rsidR="00D05DB9">
        <w:t>,</w:t>
      </w:r>
      <w:r>
        <w:t xml:space="preserve"> as </w:t>
      </w:r>
      <w:r w:rsidR="00D05DB9">
        <w:t>proposed</w:t>
      </w:r>
      <w:r>
        <w:t xml:space="preserve">. </w:t>
      </w:r>
      <w:r w:rsidR="001524A1">
        <w:t>Transmission Owners</w:t>
      </w:r>
      <w:r>
        <w:t xml:space="preserve"> </w:t>
      </w:r>
      <w:r w:rsidR="001F2D8C">
        <w:t>conditionally supports</w:t>
      </w:r>
      <w:r>
        <w:t xml:space="preserve"> </w:t>
      </w:r>
      <w:r w:rsidR="0037792C">
        <w:t xml:space="preserve">Staff Proposal </w:t>
      </w:r>
      <w:r w:rsidR="00DC14AC">
        <w:t>Section </w:t>
      </w:r>
      <w:r w:rsidR="0037792C">
        <w:t>3.3,</w:t>
      </w:r>
      <w:r w:rsidR="001178CF">
        <w:t xml:space="preserve"> </w:t>
      </w:r>
      <w:r>
        <w:t>Proposal 1 if the Commission’s CEQA objectives reflect the CAISO-identified purpose and benefit of a project.</w:t>
      </w:r>
      <w:r>
        <w:rPr>
          <w:rStyle w:val="FootnoteReference"/>
        </w:rPr>
        <w:footnoteReference w:id="143"/>
      </w:r>
      <w:r>
        <w:t xml:space="preserve"> Cal Advocates supports </w:t>
      </w:r>
      <w:r w:rsidR="009E3903">
        <w:t xml:space="preserve">Staff </w:t>
      </w:r>
      <w:r w:rsidR="009E3903">
        <w:lastRenderedPageBreak/>
        <w:t xml:space="preserve">Proposal </w:t>
      </w:r>
      <w:r w:rsidR="00DC14AC">
        <w:t>Section </w:t>
      </w:r>
      <w:r w:rsidR="009E3903">
        <w:t xml:space="preserve">3.3, </w:t>
      </w:r>
      <w:r>
        <w:t xml:space="preserve">Proposal 1, but requests that Staff’s proposed </w:t>
      </w:r>
      <w:r w:rsidR="00DC14AC">
        <w:t>Section </w:t>
      </w:r>
      <w:r w:rsidRPr="00FA77D8">
        <w:t>IX.C.3</w:t>
      </w:r>
      <w:r>
        <w:t xml:space="preserve"> should not be codified in </w:t>
      </w:r>
      <w:r w:rsidR="003B5D07">
        <w:t>GO </w:t>
      </w:r>
      <w:r>
        <w:t xml:space="preserve">131-E because it could potentially conflict with Pub. Util. Code </w:t>
      </w:r>
      <w:r w:rsidR="00DC14AC">
        <w:t>Section </w:t>
      </w:r>
      <w:r>
        <w:t>1001.1 if it is later modified by statute.</w:t>
      </w:r>
    </w:p>
    <w:p w:rsidR="00CE0F0D" w:rsidP="00CE0F0D" w:rsidRDefault="00CE0F0D" w14:paraId="34723450" w14:textId="77777777">
      <w:pPr>
        <w:pStyle w:val="Standard"/>
      </w:pPr>
      <w:r>
        <w:t xml:space="preserve">PG&amp;E, SCE, and </w:t>
      </w:r>
      <w:r w:rsidRPr="00E36588">
        <w:t>SDG&amp;E would</w:t>
      </w:r>
      <w:r w:rsidRPr="00E36588" w:rsidR="001178CF">
        <w:t xml:space="preserve"> support</w:t>
      </w:r>
      <w:r w:rsidRPr="00E36588">
        <w:t xml:space="preserve"> </w:t>
      </w:r>
      <w:r w:rsidRPr="00E36588" w:rsidR="00241B1F">
        <w:t xml:space="preserve">Staff Proposal </w:t>
      </w:r>
      <w:r w:rsidR="00DC14AC">
        <w:t>Section </w:t>
      </w:r>
      <w:r w:rsidRPr="00E36588" w:rsidR="00241B1F">
        <w:t>3.3,</w:t>
      </w:r>
      <w:r w:rsidRPr="00E36588">
        <w:t xml:space="preserve"> Proposal 1 if the Joint IOU’s </w:t>
      </w:r>
      <w:r w:rsidRPr="00E36588" w:rsidR="00EE6CCB">
        <w:t>following</w:t>
      </w:r>
      <w:r w:rsidRPr="00E36588" w:rsidR="009A23C3">
        <w:t xml:space="preserve"> </w:t>
      </w:r>
      <w:r w:rsidRPr="00E36588">
        <w:t>additional redline revisions are a</w:t>
      </w:r>
      <w:r w:rsidRPr="00E36588" w:rsidR="00E0436A">
        <w:t>dopted</w:t>
      </w:r>
      <w:r w:rsidRPr="00E36588">
        <w:t>: (1) the Commission’s statement of overriding considerations in the CEQA</w:t>
      </w:r>
      <w:r>
        <w:t xml:space="preserve"> document must include the CAISO’s underlying project purpose and benefits</w:t>
      </w:r>
      <w:r w:rsidRPr="00F238A0" w:rsidR="00EE6CCB">
        <w:t>;</w:t>
      </w:r>
      <w:r>
        <w:t xml:space="preserve"> (2) the Commission’s initial draft EIR must only consider the CAISO TPP “no action” alternative and alternative routes or locations for construction of CAISO-approved projects</w:t>
      </w:r>
      <w:r w:rsidRPr="00F238A0" w:rsidR="00EE6CCB">
        <w:t>;</w:t>
      </w:r>
      <w:r w:rsidR="00AC4CF2">
        <w:t xml:space="preserve"> and</w:t>
      </w:r>
      <w:r>
        <w:t xml:space="preserve"> (3) the Commission’s consideration of cost-effective alternates may be limited to CAISO-approved projects and the base resource portfolio provided by the Commission to CAISO for development of the CAISO TPP.</w:t>
      </w:r>
      <w:r>
        <w:rPr>
          <w:rStyle w:val="FootnoteReference"/>
        </w:rPr>
        <w:footnoteReference w:id="144"/>
      </w:r>
    </w:p>
    <w:p w:rsidRPr="004A6569" w:rsidR="00CE0F0D" w:rsidP="00CE0F0D" w:rsidRDefault="00CE0F0D" w14:paraId="1C4DB9A1" w14:textId="77777777">
      <w:pPr>
        <w:pStyle w:val="Standard"/>
      </w:pPr>
      <w:r>
        <w:t xml:space="preserve">Several other Settling Parties, including ACP, CEERT, EDF, LSA, and RCRC, oppose </w:t>
      </w:r>
      <w:r w:rsidR="00DA6F8A">
        <w:t xml:space="preserve">Staff Proposal </w:t>
      </w:r>
      <w:r w:rsidR="00DC14AC">
        <w:t>Section </w:t>
      </w:r>
      <w:r w:rsidR="00DA6F8A">
        <w:t>3.3,</w:t>
      </w:r>
      <w:r>
        <w:t xml:space="preserve"> Proposal 1. These </w:t>
      </w:r>
      <w:r w:rsidRPr="00F92013">
        <w:t xml:space="preserve">parties </w:t>
      </w:r>
      <w:r w:rsidRPr="00F92013" w:rsidR="00897B37">
        <w:t>instead</w:t>
      </w:r>
      <w:r w:rsidR="00D94051">
        <w:t xml:space="preserve"> </w:t>
      </w:r>
      <w:r>
        <w:t>support Staff</w:t>
      </w:r>
      <w:r w:rsidR="004A6569">
        <w:t xml:space="preserve"> </w:t>
      </w:r>
      <w:r w:rsidR="00B96CA0">
        <w:t xml:space="preserve">Proposal </w:t>
      </w:r>
      <w:r w:rsidR="00DC14AC">
        <w:t>Section </w:t>
      </w:r>
      <w:r w:rsidR="00B96CA0">
        <w:t>3.3,</w:t>
      </w:r>
      <w:r>
        <w:t xml:space="preserve"> Proposal 2 which reflects the Settling Parties’ proposal to codify rebuttable presumption language </w:t>
      </w:r>
      <w:r w:rsidRPr="004A6569">
        <w:t xml:space="preserve">in </w:t>
      </w:r>
      <w:r w:rsidR="003B5D07">
        <w:t>GO </w:t>
      </w:r>
      <w:r w:rsidRPr="004A6569">
        <w:t>131-E.</w:t>
      </w:r>
      <w:r w:rsidRPr="004A6569">
        <w:rPr>
          <w:rStyle w:val="FootnoteReference"/>
        </w:rPr>
        <w:footnoteReference w:id="145"/>
      </w:r>
      <w:r w:rsidRPr="004A6569">
        <w:t xml:space="preserve"> </w:t>
      </w:r>
    </w:p>
    <w:p w:rsidRPr="00E3272B" w:rsidR="005D64A4" w:rsidP="00CE0F0D" w:rsidRDefault="00796B85" w14:paraId="6CD723C9" w14:textId="77777777">
      <w:pPr>
        <w:pStyle w:val="Standard"/>
      </w:pPr>
      <w:r w:rsidRPr="004A6569">
        <w:t xml:space="preserve">Despite </w:t>
      </w:r>
      <w:r w:rsidRPr="004A6569" w:rsidR="00E3272B">
        <w:t xml:space="preserve">the enactment of </w:t>
      </w:r>
      <w:r w:rsidRPr="004A6569" w:rsidR="00B01412">
        <w:t>AB 2292</w:t>
      </w:r>
      <w:r w:rsidRPr="004A6569" w:rsidR="00E3272B">
        <w:t>, which</w:t>
      </w:r>
      <w:r w:rsidRPr="004A6569" w:rsidR="3C9BE50F">
        <w:t xml:space="preserve"> repeal</w:t>
      </w:r>
      <w:r w:rsidRPr="004A6569" w:rsidR="543048E3">
        <w:t>s</w:t>
      </w:r>
      <w:r w:rsidRPr="004A6569" w:rsidR="3C9BE50F">
        <w:t xml:space="preserve"> P</w:t>
      </w:r>
      <w:r w:rsidRPr="004A6569" w:rsidR="003408C9">
        <w:t xml:space="preserve">ub. </w:t>
      </w:r>
      <w:r w:rsidRPr="004A6569" w:rsidR="3C9BE50F">
        <w:t>U</w:t>
      </w:r>
      <w:r w:rsidRPr="004A6569" w:rsidR="003408C9">
        <w:t xml:space="preserve">til. </w:t>
      </w:r>
      <w:r w:rsidRPr="004A6569" w:rsidR="3C9BE50F">
        <w:t>C</w:t>
      </w:r>
      <w:r w:rsidRPr="004A6569" w:rsidR="003408C9">
        <w:t>ode</w:t>
      </w:r>
      <w:r w:rsidRPr="004A6569" w:rsidR="3C9BE50F">
        <w:t xml:space="preserve"> </w:t>
      </w:r>
      <w:r w:rsidR="00DC14AC">
        <w:t>Section </w:t>
      </w:r>
      <w:r w:rsidRPr="00E3272B" w:rsidR="3C9BE50F">
        <w:t>1002.3 that</w:t>
      </w:r>
      <w:r w:rsidRPr="00E3272B" w:rsidR="00B01412">
        <w:t xml:space="preserve"> </w:t>
      </w:r>
      <w:r w:rsidRPr="00E3272B">
        <w:t>require</w:t>
      </w:r>
      <w:r w:rsidRPr="00E3272B" w:rsidR="5BC42FB0">
        <w:t>d</w:t>
      </w:r>
      <w:r w:rsidRPr="00E3272B">
        <w:t xml:space="preserve"> </w:t>
      </w:r>
      <w:r w:rsidRPr="00E3272B" w:rsidR="00500E87">
        <w:t xml:space="preserve">the Commission’s </w:t>
      </w:r>
      <w:r w:rsidRPr="00E3272B">
        <w:t xml:space="preserve">consideration of </w:t>
      </w:r>
      <w:r w:rsidRPr="00E3272B" w:rsidR="00500E87">
        <w:t>cost-effective alternatives</w:t>
      </w:r>
      <w:r w:rsidRPr="00E3272B" w:rsidR="00FC37A0">
        <w:t xml:space="preserve"> during</w:t>
      </w:r>
      <w:r w:rsidRPr="00E3272B" w:rsidR="00205C6D">
        <w:t xml:space="preserve"> </w:t>
      </w:r>
      <w:r w:rsidRPr="00E3272B" w:rsidR="00745C6B">
        <w:t xml:space="preserve">the </w:t>
      </w:r>
      <w:r w:rsidRPr="00E3272B" w:rsidR="00205C6D">
        <w:t>review</w:t>
      </w:r>
      <w:r w:rsidRPr="00E3272B" w:rsidR="00745C6B">
        <w:t xml:space="preserve"> of project applications,</w:t>
      </w:r>
      <w:r w:rsidRPr="00E3272B" w:rsidR="00A80FE7">
        <w:t xml:space="preserve"> </w:t>
      </w:r>
      <w:r w:rsidRPr="00E3272B" w:rsidR="00500E87">
        <w:t>w</w:t>
      </w:r>
      <w:r w:rsidRPr="00E3272B" w:rsidR="005D64A4">
        <w:t>e find that the Settling Parties’ proposed language limits the range of reasonable and acceptable alternatives considered in an initial draft EIR</w:t>
      </w:r>
      <w:r w:rsidRPr="00E3272B" w:rsidR="0531943E">
        <w:t xml:space="preserve"> per </w:t>
      </w:r>
      <w:r w:rsidRPr="00E3272B" w:rsidR="68B99A36">
        <w:t>requirements in the CEQA Guidelines</w:t>
      </w:r>
      <w:r w:rsidRPr="00E3272B" w:rsidR="005D64A4">
        <w:t xml:space="preserve">. This could delay permit approval for some projects if comments on </w:t>
      </w:r>
      <w:r w:rsidRPr="00E3272B" w:rsidR="005D64A4">
        <w:lastRenderedPageBreak/>
        <w:t xml:space="preserve">the draft EIR require the Commission to examine project alternatives that were not studied in the draft EIR. Accordingly, we do not adopt their proposed language to amend </w:t>
      </w:r>
      <w:r w:rsidR="003B5D07">
        <w:t>GO </w:t>
      </w:r>
      <w:r w:rsidRPr="00E3272B" w:rsidR="005D64A4">
        <w:t>131-E.</w:t>
      </w:r>
    </w:p>
    <w:p w:rsidRPr="0033301F" w:rsidR="0009190D" w:rsidP="004E2064" w:rsidRDefault="00CE0F0D" w14:paraId="1484CF1B" w14:textId="77777777">
      <w:pPr>
        <w:pStyle w:val="Standard"/>
      </w:pPr>
      <w:r>
        <w:t xml:space="preserve">To preserve the Commission’s role as lead agency entrusted with the responsibility to </w:t>
      </w:r>
      <w:r w:rsidRPr="00A32EF6">
        <w:t>certify</w:t>
      </w:r>
      <w:r>
        <w:t xml:space="preserve"> CPCNs that avoid or mitigate significant environmental impacts associated with proposed projects</w:t>
      </w:r>
      <w:r w:rsidR="00151687">
        <w:t xml:space="preserve"> and adhere to </w:t>
      </w:r>
      <w:r w:rsidR="00093BEE">
        <w:t>AB 2292</w:t>
      </w:r>
      <w:r w:rsidR="00376EBB">
        <w:t xml:space="preserve"> and Pub. Util. Code</w:t>
      </w:r>
      <w:r w:rsidR="00131D87">
        <w:t xml:space="preserve"> requirements, </w:t>
      </w:r>
      <w:r>
        <w:t xml:space="preserve">we adopt </w:t>
      </w:r>
      <w:r w:rsidRPr="00D81627" w:rsidR="00426D47">
        <w:t xml:space="preserve">Staff Proposal </w:t>
      </w:r>
      <w:r w:rsidR="00426D47">
        <w:t>Section </w:t>
      </w:r>
      <w:r w:rsidRPr="00D81627" w:rsidR="00426D47">
        <w:t>3.3</w:t>
      </w:r>
      <w:r w:rsidR="00426D47">
        <w:t xml:space="preserve">, </w:t>
      </w:r>
      <w:r>
        <w:t xml:space="preserve">Staff Proposal </w:t>
      </w:r>
      <w:r w:rsidR="00E51EA8">
        <w:t>1, with</w:t>
      </w:r>
      <w:r w:rsidR="004B6F34">
        <w:t xml:space="preserve"> </w:t>
      </w:r>
      <w:r w:rsidR="00C37091">
        <w:t>modifications</w:t>
      </w:r>
      <w:r w:rsidR="006E0DDE">
        <w:t xml:space="preserve"> to </w:t>
      </w:r>
      <w:r w:rsidR="003B5D07">
        <w:t>GO </w:t>
      </w:r>
      <w:r w:rsidR="006E0DDE">
        <w:t>131-E</w:t>
      </w:r>
      <w:r w:rsidR="00630DCA">
        <w:t>,</w:t>
      </w:r>
      <w:r w:rsidR="006E0DDE">
        <w:t xml:space="preserve"> </w:t>
      </w:r>
      <w:r w:rsidR="00DC14AC">
        <w:t>Section </w:t>
      </w:r>
      <w:r w:rsidR="006E0DDE">
        <w:t>VII.C.2</w:t>
      </w:r>
      <w:r w:rsidR="00630DCA">
        <w:t>,</w:t>
      </w:r>
      <w:r w:rsidR="00FA77D8">
        <w:t xml:space="preserve"> </w:t>
      </w:r>
      <w:r w:rsidR="007A7471">
        <w:t xml:space="preserve">instead of </w:t>
      </w:r>
      <w:r w:rsidR="00C747AD">
        <w:t>adding the proposed sections to</w:t>
      </w:r>
      <w:r w:rsidR="00FA77D8">
        <w:t xml:space="preserve"> </w:t>
      </w:r>
      <w:r w:rsidR="00DC14AC">
        <w:t>Section </w:t>
      </w:r>
      <w:r w:rsidR="00FA77D8">
        <w:t>IX.C</w:t>
      </w:r>
      <w:r w:rsidR="00A612F7">
        <w:t>.</w:t>
      </w:r>
      <w:r w:rsidR="00BB480B">
        <w:t xml:space="preserve"> These modifications </w:t>
      </w:r>
      <w:r w:rsidR="00D155C8">
        <w:t>prescribe</w:t>
      </w:r>
      <w:r w:rsidR="00D25259">
        <w:t xml:space="preserve"> that</w:t>
      </w:r>
      <w:r w:rsidR="008462C2">
        <w:t xml:space="preserve"> </w:t>
      </w:r>
      <w:r w:rsidR="00D25259">
        <w:t xml:space="preserve">project </w:t>
      </w:r>
      <w:r w:rsidR="00E51EA8">
        <w:t>needs</w:t>
      </w:r>
      <w:r w:rsidR="00D25259">
        <w:t xml:space="preserve"> </w:t>
      </w:r>
      <w:r w:rsidR="00506D18">
        <w:t>specified in</w:t>
      </w:r>
      <w:r w:rsidR="00D25259">
        <w:t xml:space="preserve"> the CAISO Transmission Plan shall be used to </w:t>
      </w:r>
      <w:r w:rsidR="00516F0D">
        <w:t>form the basis of</w:t>
      </w:r>
      <w:r w:rsidR="00B82034">
        <w:t xml:space="preserve"> </w:t>
      </w:r>
      <w:r w:rsidR="00D25259">
        <w:t>the statement of objectives required by 14 Cal. Code Regs. § 15124(b) in a CEQA document.</w:t>
      </w:r>
      <w:r w:rsidR="000134DD">
        <w:t xml:space="preserve"> </w:t>
      </w:r>
      <w:r w:rsidR="006E0DDE">
        <w:t>We</w:t>
      </w:r>
      <w:r w:rsidR="00854092">
        <w:t xml:space="preserve"> also </w:t>
      </w:r>
      <w:r w:rsidR="000134DD">
        <w:t>require th</w:t>
      </w:r>
      <w:r w:rsidR="00113763">
        <w:t xml:space="preserve">at </w:t>
      </w:r>
      <w:r w:rsidR="00BB1CDB">
        <w:t xml:space="preserve">the Commission shall establish a </w:t>
      </w:r>
      <w:r w:rsidR="00113763">
        <w:t xml:space="preserve">rebuttable presumption in favor of a CAISO governing board-approved finding </w:t>
      </w:r>
      <w:r w:rsidRPr="0033301F" w:rsidR="004F5B3B">
        <w:t xml:space="preserve">if the project applicant demonstrates that </w:t>
      </w:r>
      <w:r w:rsidRPr="0033301F" w:rsidR="007E6765">
        <w:t>all requirements of Pub</w:t>
      </w:r>
      <w:r w:rsidRPr="0033301F" w:rsidR="00D95C78">
        <w:t>.</w:t>
      </w:r>
      <w:r w:rsidRPr="0033301F" w:rsidR="007E6765">
        <w:t xml:space="preserve"> Util</w:t>
      </w:r>
      <w:r w:rsidRPr="0033301F" w:rsidR="00D95C78">
        <w:t>.</w:t>
      </w:r>
      <w:r w:rsidRPr="0033301F" w:rsidR="007E6765">
        <w:t xml:space="preserve"> Code 1001.1</w:t>
      </w:r>
      <w:r w:rsidRPr="0033301F" w:rsidR="005911DE">
        <w:t xml:space="preserve"> are satisfied. </w:t>
      </w:r>
      <w:r w:rsidRPr="0033301F" w:rsidR="00F904E1">
        <w:t>Further, we clarify that the</w:t>
      </w:r>
      <w:r w:rsidRPr="0033301F" w:rsidR="0009190D">
        <w:t xml:space="preserve"> range of reasonable alternatives to the proposed project in an initial draft EIR circulated for public comment may be limited to alternative routes or locations for construction of the relevant CAISO transmission plan-approved electric project and the “no action” alternative. </w:t>
      </w:r>
      <w:r w:rsidRPr="0033301F" w:rsidR="00523367">
        <w:t xml:space="preserve">This </w:t>
      </w:r>
      <w:r w:rsidRPr="0033301F" w:rsidR="00675F03">
        <w:t xml:space="preserve">modification </w:t>
      </w:r>
      <w:r w:rsidRPr="0033301F" w:rsidR="00523367">
        <w:t xml:space="preserve">is necessary to preserve Staff’s discretion to determine </w:t>
      </w:r>
      <w:r w:rsidRPr="0033301F" w:rsidR="00C1242D">
        <w:t>that</w:t>
      </w:r>
      <w:r w:rsidRPr="0033301F" w:rsidR="00523367">
        <w:t xml:space="preserve"> </w:t>
      </w:r>
      <w:r w:rsidRPr="0033301F" w:rsidR="00DF7997">
        <w:t xml:space="preserve">additional project alternatives should be considered </w:t>
      </w:r>
      <w:r w:rsidRPr="0033301F" w:rsidR="00C1242D">
        <w:t xml:space="preserve">based on information presented </w:t>
      </w:r>
      <w:r w:rsidRPr="0033301F" w:rsidR="00DF7997">
        <w:t>during the CEQA review process.</w:t>
      </w:r>
    </w:p>
    <w:p w:rsidRPr="0033301F" w:rsidR="004C132F" w:rsidP="008106CF" w:rsidRDefault="00F91EBD" w14:paraId="460A06AA" w14:textId="77777777">
      <w:pPr>
        <w:pStyle w:val="Standard"/>
      </w:pPr>
      <w:r w:rsidRPr="0033301F">
        <w:t>The Commission adopts these requirement</w:t>
      </w:r>
      <w:r w:rsidRPr="0033301F" w:rsidR="002341CA">
        <w:t>s</w:t>
      </w:r>
      <w:r w:rsidRPr="0033301F" w:rsidR="00704C98">
        <w:t xml:space="preserve"> with the </w:t>
      </w:r>
      <w:r w:rsidRPr="0033301F" w:rsidR="003E0A9B">
        <w:t>recognition that the Commission</w:t>
      </w:r>
      <w:r w:rsidRPr="0033301F" w:rsidR="00913A93">
        <w:t xml:space="preserve"> has </w:t>
      </w:r>
      <w:r w:rsidRPr="0033301F" w:rsidR="00EC0176">
        <w:t>duties under CEQA</w:t>
      </w:r>
      <w:r w:rsidRPr="0033301F" w:rsidR="008D24CD">
        <w:t xml:space="preserve"> </w:t>
      </w:r>
      <w:r w:rsidRPr="0033301F" w:rsidR="006D1621">
        <w:t xml:space="preserve">and Pub. </w:t>
      </w:r>
      <w:r w:rsidRPr="0033301F" w:rsidR="00973366">
        <w:t>Util. Code</w:t>
      </w:r>
      <w:r w:rsidRPr="0033301F" w:rsidR="00686373">
        <w:t xml:space="preserve"> </w:t>
      </w:r>
      <w:r w:rsidRPr="0033301F" w:rsidR="0012352B">
        <w:t>which</w:t>
      </w:r>
      <w:r w:rsidRPr="0033301F" w:rsidR="00686373">
        <w:t xml:space="preserve"> cannot be compromised</w:t>
      </w:r>
      <w:r w:rsidRPr="0033301F" w:rsidR="0012352B">
        <w:t>,</w:t>
      </w:r>
      <w:r w:rsidRPr="0033301F" w:rsidR="00621E71">
        <w:t xml:space="preserve"> and </w:t>
      </w:r>
      <w:r w:rsidRPr="0033301F" w:rsidR="0012352B">
        <w:t xml:space="preserve">the </w:t>
      </w:r>
      <w:r w:rsidRPr="0033301F" w:rsidR="00621E71">
        <w:t>presumption</w:t>
      </w:r>
      <w:r w:rsidRPr="0033301F" w:rsidR="00FE603A">
        <w:t>,</w:t>
      </w:r>
      <w:r w:rsidRPr="0033301F" w:rsidR="00621E71">
        <w:t xml:space="preserve"> </w:t>
      </w:r>
      <w:r w:rsidRPr="0033301F" w:rsidR="0012352B">
        <w:t>being rebuttable</w:t>
      </w:r>
      <w:r w:rsidRPr="0033301F" w:rsidR="00FE603A">
        <w:t>,</w:t>
      </w:r>
      <w:r w:rsidRPr="0033301F" w:rsidR="00621E71">
        <w:t xml:space="preserve"> </w:t>
      </w:r>
      <w:r w:rsidRPr="0033301F" w:rsidR="001A77C2">
        <w:t>may</w:t>
      </w:r>
      <w:r w:rsidRPr="0033301F" w:rsidR="00621E71">
        <w:t xml:space="preserve"> be overcome</w:t>
      </w:r>
      <w:r w:rsidRPr="0033301F" w:rsidR="00686373">
        <w:t xml:space="preserve">. </w:t>
      </w:r>
    </w:p>
    <w:p w:rsidRPr="004C132F" w:rsidR="00AB6191" w:rsidP="00804F6F" w:rsidRDefault="0046576B" w14:paraId="09AE8905" w14:textId="77777777">
      <w:pPr>
        <w:pStyle w:val="Heading1"/>
        <w:rPr>
          <w:bCs/>
        </w:rPr>
      </w:pPr>
      <w:bookmarkStart w:name="_Toc189738508" w:id="145"/>
      <w:r w:rsidRPr="0076248D">
        <w:rPr>
          <w:rStyle w:val="Heading1Char"/>
          <w:b/>
        </w:rPr>
        <w:lastRenderedPageBreak/>
        <w:t xml:space="preserve">Terms and </w:t>
      </w:r>
      <w:r w:rsidRPr="0076248D" w:rsidR="00CF6B36">
        <w:rPr>
          <w:rStyle w:val="Heading1Char"/>
          <w:b/>
        </w:rPr>
        <w:t>CPCN and PTC Exemption</w:t>
      </w:r>
      <w:r w:rsidRPr="0076248D" w:rsidR="004236AD">
        <w:rPr>
          <w:rStyle w:val="Heading1Char"/>
          <w:b/>
        </w:rPr>
        <w:t>s</w:t>
      </w:r>
      <w:bookmarkEnd w:id="145"/>
      <w:r w:rsidRPr="0076248D" w:rsidR="004236AD">
        <w:rPr>
          <w:rStyle w:val="Heading1Char"/>
          <w:b/>
        </w:rPr>
        <w:t xml:space="preserve"> </w:t>
      </w:r>
    </w:p>
    <w:p w:rsidRPr="00A24654" w:rsidR="006A1D09" w:rsidP="00E25173" w:rsidRDefault="002F55EF" w14:paraId="07CB2F74" w14:textId="77777777">
      <w:pPr>
        <w:pStyle w:val="Standard"/>
      </w:pPr>
      <w:r w:rsidRPr="00A24654">
        <w:t xml:space="preserve">Based on a review of party comments and </w:t>
      </w:r>
      <w:r w:rsidRPr="00A24654" w:rsidR="007D7391">
        <w:t>Staff proposal</w:t>
      </w:r>
      <w:r w:rsidRPr="00A24654" w:rsidR="00D80399">
        <w:t>s</w:t>
      </w:r>
      <w:r w:rsidRPr="00A24654" w:rsidR="007D7391">
        <w:t>, we adopt</w:t>
      </w:r>
      <w:r w:rsidRPr="00A24654" w:rsidR="00EA19FE">
        <w:t xml:space="preserve"> </w:t>
      </w:r>
      <w:r w:rsidR="004E73C5">
        <w:t xml:space="preserve">the </w:t>
      </w:r>
      <w:r w:rsidRPr="00A24654" w:rsidR="00EA19FE">
        <w:t xml:space="preserve">definitions of </w:t>
      </w:r>
      <w:r w:rsidRPr="00A24654" w:rsidR="00EA3833">
        <w:t xml:space="preserve">project-related </w:t>
      </w:r>
      <w:r w:rsidRPr="00A24654" w:rsidR="00C86882">
        <w:t xml:space="preserve">terms in </w:t>
      </w:r>
      <w:r w:rsidR="003B5D07">
        <w:t>GO </w:t>
      </w:r>
      <w:r w:rsidRPr="00A24654" w:rsidR="00C86882">
        <w:t>131-E</w:t>
      </w:r>
      <w:r w:rsidRPr="00A24654" w:rsidR="00EA19FE">
        <w:t xml:space="preserve"> </w:t>
      </w:r>
      <w:r w:rsidRPr="00A24654" w:rsidR="00C86882">
        <w:t xml:space="preserve">as </w:t>
      </w:r>
      <w:r w:rsidRPr="00A24654" w:rsidR="00E83DA3">
        <w:t>follows:</w:t>
      </w:r>
      <w:r w:rsidRPr="00A24654" w:rsidR="00EA19FE">
        <w:t xml:space="preserve"> </w:t>
      </w:r>
    </w:p>
    <w:p w:rsidRPr="00A24654" w:rsidR="006F77D8" w:rsidP="00D13705" w:rsidRDefault="00310789" w14:paraId="18E8362E" w14:textId="77777777">
      <w:pPr>
        <w:pStyle w:val="Standard"/>
        <w:numPr>
          <w:ilvl w:val="0"/>
          <w:numId w:val="9"/>
        </w:numPr>
        <w:spacing w:after="120" w:line="240" w:lineRule="auto"/>
        <w:ind w:left="990" w:right="1440" w:hanging="270"/>
      </w:pPr>
      <w:r w:rsidRPr="00A24654">
        <w:t>E</w:t>
      </w:r>
      <w:r w:rsidRPr="00A24654" w:rsidR="00E83DA3">
        <w:t>xi</w:t>
      </w:r>
      <w:r w:rsidRPr="00A24654" w:rsidR="006F77D8">
        <w:t>s</w:t>
      </w:r>
      <w:r w:rsidRPr="00A24654" w:rsidR="00E83DA3">
        <w:t>ting electrical transmission facility</w:t>
      </w:r>
      <w:r w:rsidRPr="00A24654" w:rsidR="007D56F1">
        <w:t xml:space="preserve"> is </w:t>
      </w:r>
      <w:r w:rsidRPr="00A24654" w:rsidR="00F87E38">
        <w:t>an electrical transmission line, power line, or substation that has been constructed for operation at or above 50 kV</w:t>
      </w:r>
      <w:r w:rsidRPr="00A24654" w:rsidR="00913AB5">
        <w:t>;</w:t>
      </w:r>
    </w:p>
    <w:p w:rsidRPr="00A24654" w:rsidR="006F77D8" w:rsidP="00D13705" w:rsidRDefault="00310789" w14:paraId="1F734FAA" w14:textId="77777777">
      <w:pPr>
        <w:pStyle w:val="Standard"/>
        <w:numPr>
          <w:ilvl w:val="0"/>
          <w:numId w:val="9"/>
        </w:numPr>
        <w:spacing w:after="120" w:line="240" w:lineRule="auto"/>
        <w:ind w:left="990" w:right="1440" w:hanging="270"/>
      </w:pPr>
      <w:r w:rsidRPr="00A24654">
        <w:t>E</w:t>
      </w:r>
      <w:r w:rsidRPr="00A24654" w:rsidR="00E83DA3">
        <w:t>x</w:t>
      </w:r>
      <w:r w:rsidRPr="00A24654" w:rsidR="008B0D9E">
        <w:t>tension</w:t>
      </w:r>
      <w:r w:rsidRPr="00A24654" w:rsidR="00135B88">
        <w:t xml:space="preserve"> is an</w:t>
      </w:r>
      <w:r w:rsidRPr="00A24654">
        <w:t xml:space="preserve"> increase in the length of an existing</w:t>
      </w:r>
      <w:r w:rsidRPr="00A24654" w:rsidR="0079567D">
        <w:t xml:space="preserve"> electrical transmission facility within existing transmission easements, rights of-way, or franchise agreements; or </w:t>
      </w:r>
      <w:r w:rsidRPr="00A24654" w:rsidR="0067300A">
        <w:t xml:space="preserve">a generation tie-line </w:t>
      </w:r>
      <w:r w:rsidR="001038CE">
        <w:t xml:space="preserve">(gen-tie) </w:t>
      </w:r>
      <w:r w:rsidRPr="00A24654" w:rsidR="0067300A">
        <w:t>segment or substation loop-in</w:t>
      </w:r>
      <w:r w:rsidRPr="00A24654" w:rsidR="00FE33DF">
        <w:t>;</w:t>
      </w:r>
    </w:p>
    <w:p w:rsidRPr="00A24654" w:rsidR="001E4A39" w:rsidP="00D13705" w:rsidRDefault="001E4A39" w14:paraId="25C3F524" w14:textId="77777777">
      <w:pPr>
        <w:pStyle w:val="Standard"/>
        <w:numPr>
          <w:ilvl w:val="0"/>
          <w:numId w:val="9"/>
        </w:numPr>
        <w:spacing w:after="120" w:line="240" w:lineRule="auto"/>
        <w:ind w:left="990" w:right="1440" w:hanging="270"/>
      </w:pPr>
      <w:r w:rsidRPr="00A24654">
        <w:t>Expansion is an increase in the width, capacity, or capability of an existing electrical transmission facility, including but not limited to rewiring or reconductoring to increase the capacity of existing transmission line</w:t>
      </w:r>
      <w:r w:rsidRPr="00A24654" w:rsidR="00CC4FFE">
        <w:t>s, expanding the carrying capacity of existing towers</w:t>
      </w:r>
      <w:r w:rsidR="005C371A">
        <w:t xml:space="preserve"> or poles</w:t>
      </w:r>
      <w:r w:rsidRPr="00A24654" w:rsidR="00CC4FFE">
        <w:t>, or converting a single-circuit transmission line to a double-cir</w:t>
      </w:r>
      <w:r w:rsidRPr="00A24654" w:rsidR="00130481">
        <w:t>cuit line to expand the quantity or capacity of the existing transmission line facilities</w:t>
      </w:r>
      <w:r w:rsidRPr="00A24654" w:rsidR="00FE33DF">
        <w:t>;</w:t>
      </w:r>
    </w:p>
    <w:p w:rsidRPr="00C30914" w:rsidR="006F77D8" w:rsidP="00D13705" w:rsidRDefault="003C131A" w14:paraId="69A02B62" w14:textId="77777777">
      <w:pPr>
        <w:pStyle w:val="Standard"/>
        <w:numPr>
          <w:ilvl w:val="0"/>
          <w:numId w:val="9"/>
        </w:numPr>
        <w:spacing w:after="120" w:line="240" w:lineRule="auto"/>
        <w:ind w:left="990" w:right="1440" w:hanging="270"/>
      </w:pPr>
      <w:r w:rsidRPr="00A24654">
        <w:t>U</w:t>
      </w:r>
      <w:r w:rsidRPr="00A24654" w:rsidR="00E83DA3">
        <w:t>pgrade</w:t>
      </w:r>
      <w:r w:rsidRPr="00A24654" w:rsidR="00292028">
        <w:t xml:space="preserve"> is the replacement or alteration of existing transmission facilities, or components thereof, to</w:t>
      </w:r>
      <w:r w:rsidR="00292028">
        <w:t xml:space="preserve"> enhance the rating, voltage, capacity, capability, or quality of those facilities, including but not limited to</w:t>
      </w:r>
      <w:r w:rsidR="00F31F73">
        <w:t xml:space="preserve"> reconductoring existing </w:t>
      </w:r>
      <w:r w:rsidR="00023D5A">
        <w:t xml:space="preserve">transmission or power </w:t>
      </w:r>
      <w:r w:rsidR="00F31F73">
        <w:t xml:space="preserve">lines to </w:t>
      </w:r>
      <w:r w:rsidR="006615F8">
        <w:t>use conductors with greater power transfer capability and/or increased voltage levels, where reconductoring requires replacement of the existing support structures, adding smart grid capabilities to an existing</w:t>
      </w:r>
      <w:r w:rsidR="00F27DC4">
        <w:t xml:space="preserve"> transmission or power</w:t>
      </w:r>
      <w:r w:rsidR="006615F8">
        <w:t xml:space="preserve"> line, or </w:t>
      </w:r>
      <w:r w:rsidR="00C71F01">
        <w:t>above ground</w:t>
      </w:r>
      <w:r w:rsidR="006615F8">
        <w:t xml:space="preserve"> wildfire hardening </w:t>
      </w:r>
      <w:r w:rsidR="002930CE">
        <w:t>equipment</w:t>
      </w:r>
      <w:r w:rsidR="006615F8">
        <w:t>, and insta</w:t>
      </w:r>
      <w:r w:rsidR="00794AE0">
        <w:t>llation of new mid</w:t>
      </w:r>
      <w:r w:rsidR="00B44252">
        <w:t>-</w:t>
      </w:r>
      <w:r w:rsidR="00794AE0">
        <w:t xml:space="preserve">line series capacitors </w:t>
      </w:r>
      <w:r w:rsidR="0081432C">
        <w:t>on a transmission line</w:t>
      </w:r>
      <w:r w:rsidR="00B44252">
        <w:t xml:space="preserve"> or power </w:t>
      </w:r>
      <w:r w:rsidRPr="00C30914" w:rsidR="00B44252">
        <w:t>lines</w:t>
      </w:r>
      <w:r w:rsidRPr="00C30914" w:rsidR="0081432C">
        <w:t xml:space="preserve"> to support an increase in the power transfer capability of the line</w:t>
      </w:r>
      <w:r w:rsidRPr="00C30914" w:rsidR="002C7053">
        <w:t>;</w:t>
      </w:r>
      <w:r w:rsidRPr="00C30914" w:rsidR="00101294">
        <w:rPr>
          <w:rStyle w:val="FootnoteReference"/>
        </w:rPr>
        <w:footnoteReference w:id="146"/>
      </w:r>
      <w:r w:rsidRPr="00C30914" w:rsidR="0081432C">
        <w:t xml:space="preserve"> </w:t>
      </w:r>
    </w:p>
    <w:p w:rsidRPr="00C30914" w:rsidR="006F77D8" w:rsidP="00D13705" w:rsidRDefault="00C579AF" w14:paraId="40AD4F7A" w14:textId="77777777">
      <w:pPr>
        <w:pStyle w:val="Standard"/>
        <w:numPr>
          <w:ilvl w:val="0"/>
          <w:numId w:val="9"/>
        </w:numPr>
        <w:spacing w:after="120" w:line="240" w:lineRule="auto"/>
        <w:ind w:left="990" w:right="1440" w:hanging="270"/>
      </w:pPr>
      <w:r w:rsidRPr="00C30914">
        <w:lastRenderedPageBreak/>
        <w:t>M</w:t>
      </w:r>
      <w:r w:rsidRPr="00C30914" w:rsidR="00E83DA3">
        <w:t>odificatio</w:t>
      </w:r>
      <w:r w:rsidRPr="00C30914" w:rsidR="006F77D8">
        <w:t>n</w:t>
      </w:r>
      <w:r w:rsidRPr="00C30914">
        <w:t xml:space="preserve"> is a change to an existing electrical transmission facility or equipment without extending or expanding the physical footprint of the facility</w:t>
      </w:r>
      <w:r w:rsidRPr="00C30914" w:rsidR="002C7053">
        <w:t>;</w:t>
      </w:r>
      <w:r w:rsidRPr="00C30914">
        <w:t> </w:t>
      </w:r>
    </w:p>
    <w:p w:rsidRPr="00C30914" w:rsidR="006F77D8" w:rsidP="00D13705" w:rsidRDefault="000D20FF" w14:paraId="53CEE558" w14:textId="77777777">
      <w:pPr>
        <w:pStyle w:val="Standard"/>
        <w:numPr>
          <w:ilvl w:val="0"/>
          <w:numId w:val="9"/>
        </w:numPr>
        <w:spacing w:after="120" w:line="240" w:lineRule="auto"/>
        <w:ind w:left="990" w:right="1440" w:hanging="270"/>
      </w:pPr>
      <w:r w:rsidRPr="00C30914">
        <w:t>E</w:t>
      </w:r>
      <w:r w:rsidRPr="00C30914" w:rsidR="00E83DA3">
        <w:t>quivalent facilities or structures</w:t>
      </w:r>
      <w:r w:rsidRPr="00C30914" w:rsidR="007130F8">
        <w:t xml:space="preserve"> are new transmission line or power line facilities or supporting structures that are installed to replace existing transmission line or power line facilities or supporting structures, or new substation facilities</w:t>
      </w:r>
      <w:r w:rsidRPr="00C30914" w:rsidR="006C4DEC">
        <w:t xml:space="preserve"> or switchyard facilities</w:t>
      </w:r>
      <w:r w:rsidRPr="00C30914" w:rsidR="007130F8">
        <w:t xml:space="preserve"> or equipment that are installed to replace existing substation</w:t>
      </w:r>
      <w:r w:rsidRPr="00C30914" w:rsidR="006C4DEC">
        <w:t xml:space="preserve"> or switchyard</w:t>
      </w:r>
      <w:r w:rsidRPr="00C30914" w:rsidR="007130F8">
        <w:t xml:space="preserve"> facilities or equipment, and that provide power at no greater voltage than the facilities or structures being replaced</w:t>
      </w:r>
      <w:r w:rsidRPr="00C30914" w:rsidR="002C7053">
        <w:t>;</w:t>
      </w:r>
      <w:r w:rsidRPr="00C30914" w:rsidR="002E636E">
        <w:t xml:space="preserve"> and</w:t>
      </w:r>
    </w:p>
    <w:p w:rsidR="00541996" w:rsidP="00D13705" w:rsidRDefault="00541996" w14:paraId="43413BA2" w14:textId="77777777">
      <w:pPr>
        <w:pStyle w:val="Standard"/>
        <w:numPr>
          <w:ilvl w:val="0"/>
          <w:numId w:val="9"/>
        </w:numPr>
        <w:spacing w:after="120" w:line="240" w:lineRule="auto"/>
        <w:ind w:left="990" w:right="1440" w:hanging="270"/>
      </w:pPr>
      <w:r w:rsidRPr="00C30914">
        <w:t xml:space="preserve">Accessories </w:t>
      </w:r>
      <w:r w:rsidRPr="00C30914" w:rsidR="00B14472">
        <w:t xml:space="preserve">are </w:t>
      </w:r>
      <w:r w:rsidRPr="00C30914" w:rsidR="006650FC">
        <w:t xml:space="preserve">transmission line, power line, substation </w:t>
      </w:r>
      <w:r w:rsidRPr="00C30914" w:rsidR="006C4DEC">
        <w:t xml:space="preserve">or switchyard </w:t>
      </w:r>
      <w:r w:rsidRPr="00C30914" w:rsidR="006650FC">
        <w:t>equipment required for the safe and reliable</w:t>
      </w:r>
      <w:r w:rsidRPr="006650FC" w:rsidR="006650FC">
        <w:t xml:space="preserve"> operation of the transmission </w:t>
      </w:r>
      <w:r w:rsidRPr="00B14472" w:rsidR="006650FC">
        <w:t>system, including but not limited to switches, connectors, relays, real-time monitoring equipment (</w:t>
      </w:r>
      <w:r w:rsidRPr="0096073A" w:rsidR="006650FC">
        <w:rPr>
          <w:i/>
          <w:iCs/>
        </w:rPr>
        <w:t>e.g.</w:t>
      </w:r>
      <w:r w:rsidRPr="00B14472" w:rsidR="006650FC">
        <w:t xml:space="preserve">, telemetry, SCADA), </w:t>
      </w:r>
      <w:r w:rsidRPr="009400FE" w:rsidR="006650FC">
        <w:t xml:space="preserve">communications and weather monitoring equipment, fiber optic grounding wire, </w:t>
      </w:r>
      <w:r w:rsidRPr="00B14472" w:rsidR="006650FC">
        <w:t xml:space="preserve">and control </w:t>
      </w:r>
      <w:r w:rsidRPr="009400FE" w:rsidR="006650FC">
        <w:t>cabinets</w:t>
      </w:r>
      <w:r w:rsidRPr="00B14472" w:rsidR="006650FC">
        <w:t>.</w:t>
      </w:r>
    </w:p>
    <w:p w:rsidR="00EA19FE" w:rsidP="004B2E17" w:rsidRDefault="006A1D09" w14:paraId="38998773" w14:textId="77777777">
      <w:pPr>
        <w:pStyle w:val="Standard"/>
        <w:spacing w:before="180"/>
      </w:pPr>
      <w:r>
        <w:t>Further, we adopt</w:t>
      </w:r>
      <w:r w:rsidR="00691FC4">
        <w:t xml:space="preserve"> clarification</w:t>
      </w:r>
      <w:r w:rsidR="00120374">
        <w:t>s</w:t>
      </w:r>
      <w:r w:rsidR="00691FC4">
        <w:t xml:space="preserve"> </w:t>
      </w:r>
      <w:r w:rsidR="00120374">
        <w:t xml:space="preserve">of </w:t>
      </w:r>
      <w:r w:rsidR="00691FC4">
        <w:t>PTC</w:t>
      </w:r>
      <w:r w:rsidR="00120374">
        <w:t xml:space="preserve"> exemptions in </w:t>
      </w:r>
      <w:r w:rsidR="003B5D07">
        <w:t>GO </w:t>
      </w:r>
      <w:r w:rsidR="00120374">
        <w:t>131-E as follows</w:t>
      </w:r>
      <w:r w:rsidR="00BD3D13">
        <w:t>:</w:t>
      </w:r>
    </w:p>
    <w:p w:rsidR="00084AF3" w:rsidP="00D13705" w:rsidRDefault="00BB1096" w14:paraId="74EE1932" w14:textId="77777777">
      <w:pPr>
        <w:pStyle w:val="Standard"/>
        <w:numPr>
          <w:ilvl w:val="0"/>
          <w:numId w:val="9"/>
        </w:numPr>
        <w:spacing w:after="120" w:line="240" w:lineRule="auto"/>
        <w:ind w:left="994" w:right="1440" w:hanging="274"/>
      </w:pPr>
      <w:r>
        <w:t>PTC exemptions, as specified in GO 131-D, Section III.B.1.f, will be clarified in GO 131-E, Section III.B.2</w:t>
      </w:r>
      <w:r w:rsidR="00F046DE">
        <w:t>.e</w:t>
      </w:r>
      <w:r w:rsidR="00AE47F1">
        <w:t>,</w:t>
      </w:r>
      <w:r w:rsidR="00F046DE">
        <w:t xml:space="preserve"> </w:t>
      </w:r>
      <w:r w:rsidR="006B5607">
        <w:t>and will apply to power lines, substations, or switchyards to be relocated or constructed which have undergone environmental review pursuant to CEQA as part of a larger project</w:t>
      </w:r>
      <w:r w:rsidR="007A3DE3">
        <w:t>, regardless of whether the</w:t>
      </w:r>
      <w:r w:rsidR="00621B51">
        <w:t xml:space="preserve"> CEQA review for the</w:t>
      </w:r>
      <w:r w:rsidR="007A3DE3">
        <w:t xml:space="preserve"> larger project </w:t>
      </w:r>
      <w:r w:rsidR="00621B51">
        <w:t>identified significant and unavoidable impacts</w:t>
      </w:r>
      <w:r w:rsidR="3CFA09E4">
        <w:t>.</w:t>
      </w:r>
    </w:p>
    <w:p w:rsidRPr="006D6BAB" w:rsidR="009A6819" w:rsidP="00D13705" w:rsidRDefault="00120374" w14:paraId="6D498BDF" w14:textId="77777777">
      <w:pPr>
        <w:pStyle w:val="Standard"/>
        <w:numPr>
          <w:ilvl w:val="0"/>
          <w:numId w:val="9"/>
        </w:numPr>
        <w:spacing w:after="120" w:line="240" w:lineRule="auto"/>
        <w:ind w:left="994" w:right="1440" w:hanging="274"/>
      </w:pPr>
      <w:r>
        <w:t>PTC exemption</w:t>
      </w:r>
      <w:r w:rsidR="005E2D20">
        <w:t>s, as</w:t>
      </w:r>
      <w:r w:rsidR="00F16C3D">
        <w:t xml:space="preserve"> specified</w:t>
      </w:r>
      <w:r w:rsidR="005E2D20">
        <w:t xml:space="preserve"> </w:t>
      </w:r>
      <w:r w:rsidR="00C40B01">
        <w:t>in</w:t>
      </w:r>
      <w:r w:rsidR="001E0FDE">
        <w:t xml:space="preserve"> </w:t>
      </w:r>
      <w:r w:rsidR="003B5D07">
        <w:t>GO </w:t>
      </w:r>
      <w:r w:rsidR="001E0FDE">
        <w:t>131-</w:t>
      </w:r>
      <w:r w:rsidRPr="006D6BAB" w:rsidR="001E0FDE">
        <w:t>D</w:t>
      </w:r>
      <w:r w:rsidR="00630DCA">
        <w:t>,</w:t>
      </w:r>
      <w:r w:rsidRPr="006D6BAB" w:rsidR="001E0FDE">
        <w:t xml:space="preserve"> </w:t>
      </w:r>
      <w:r w:rsidR="00DC14AC">
        <w:t>Section </w:t>
      </w:r>
      <w:r w:rsidRPr="006D6BAB" w:rsidR="00C40B01">
        <w:t>III.</w:t>
      </w:r>
      <w:r w:rsidRPr="006D6BAB" w:rsidR="00266000">
        <w:t>B.1.g</w:t>
      </w:r>
      <w:r w:rsidRPr="006D6BAB" w:rsidR="00F16C3D">
        <w:t>,</w:t>
      </w:r>
      <w:r w:rsidRPr="006D6BAB" w:rsidR="00C40B01">
        <w:t xml:space="preserve"> </w:t>
      </w:r>
      <w:r w:rsidRPr="006D6BAB" w:rsidR="005E62A9">
        <w:t xml:space="preserve">will be clarified in </w:t>
      </w:r>
      <w:r w:rsidR="003B5D07">
        <w:t>GO </w:t>
      </w:r>
      <w:r w:rsidRPr="006D6BAB" w:rsidR="005E62A9">
        <w:t>131-E</w:t>
      </w:r>
      <w:r w:rsidR="00F74CE4">
        <w:t>, Section III.B.2.f</w:t>
      </w:r>
      <w:r w:rsidR="00630DCA">
        <w:t>,</w:t>
      </w:r>
      <w:r w:rsidR="00F74CE4">
        <w:t xml:space="preserve"> </w:t>
      </w:r>
      <w:r w:rsidRPr="006D6BAB" w:rsidR="005E62A9">
        <w:t>and</w:t>
      </w:r>
      <w:r w:rsidRPr="006D6BAB" w:rsidR="00C40B01">
        <w:t xml:space="preserve"> will </w:t>
      </w:r>
      <w:r w:rsidRPr="006D6BAB" w:rsidR="001559D5">
        <w:t xml:space="preserve">apply to </w:t>
      </w:r>
      <w:r w:rsidRPr="006D6BAB" w:rsidR="009A6819">
        <w:t>power line facilities</w:t>
      </w:r>
      <w:r w:rsidRPr="006D6BAB" w:rsidR="00B13DA0">
        <w:t>,</w:t>
      </w:r>
      <w:r w:rsidRPr="006D6BAB" w:rsidR="009A6819">
        <w:t xml:space="preserve"> substations</w:t>
      </w:r>
      <w:r w:rsidRPr="006D6BAB" w:rsidR="00B13DA0">
        <w:t>, or switchyards</w:t>
      </w:r>
      <w:r w:rsidRPr="006D6BAB" w:rsidR="009A6819">
        <w:t xml:space="preserve"> to be located in an existing franchise, road-widening setback easement, or public utility easement; or power line facilities</w:t>
      </w:r>
      <w:r w:rsidRPr="006D6BAB" w:rsidR="00B13DA0">
        <w:t>,</w:t>
      </w:r>
      <w:r w:rsidRPr="006D6BAB" w:rsidR="009A6819">
        <w:t xml:space="preserve"> </w:t>
      </w:r>
      <w:r w:rsidRPr="006D6BAB" w:rsidR="009A6819">
        <w:lastRenderedPageBreak/>
        <w:t>substations</w:t>
      </w:r>
      <w:r w:rsidRPr="006D6BAB" w:rsidR="00B13DA0">
        <w:t>, or switchyards</w:t>
      </w:r>
      <w:r w:rsidRPr="006D6BAB" w:rsidR="009A6819">
        <w:t xml:space="preserve"> in an existing right-of-way (ROW), fee-owned property, or other property on which a public utility has a legal right to operate containing existing </w:t>
      </w:r>
      <w:r w:rsidR="00320EF4">
        <w:t xml:space="preserve">transmission or </w:t>
      </w:r>
      <w:r w:rsidRPr="006D6BAB" w:rsidR="009A6819">
        <w:t>power line facilities or substations; or power line facilities</w:t>
      </w:r>
      <w:r w:rsidRPr="006D6BAB" w:rsidR="00B13DA0">
        <w:t>,</w:t>
      </w:r>
      <w:r w:rsidRPr="006D6BAB" w:rsidR="009A6819">
        <w:t xml:space="preserve"> substations</w:t>
      </w:r>
      <w:r w:rsidRPr="006D6BAB" w:rsidR="00B13DA0">
        <w:t>, or switchyards</w:t>
      </w:r>
      <w:r w:rsidRPr="006D6BAB" w:rsidR="009A6819">
        <w:t xml:space="preserve"> in a utility corridor designated, precisely mapped, and officially adopted pursuant to law by </w:t>
      </w:r>
      <w:r w:rsidR="00697EE2">
        <w:t>F</w:t>
      </w:r>
      <w:r w:rsidRPr="006D6BAB" w:rsidR="009A6819">
        <w:t>ederal, State, or local agencies</w:t>
      </w:r>
      <w:r w:rsidRPr="006D6BAB" w:rsidR="004D3829">
        <w:t>; and</w:t>
      </w:r>
    </w:p>
    <w:p w:rsidRPr="006D6BAB" w:rsidR="007768D5" w:rsidP="00D13705" w:rsidRDefault="0062510D" w14:paraId="3987DBD4" w14:textId="77777777">
      <w:pPr>
        <w:pStyle w:val="Standard"/>
        <w:numPr>
          <w:ilvl w:val="0"/>
          <w:numId w:val="9"/>
        </w:numPr>
        <w:spacing w:after="120" w:line="240" w:lineRule="auto"/>
        <w:ind w:left="990" w:right="1440" w:hanging="270"/>
      </w:pPr>
      <w:r w:rsidRPr="006D6BAB">
        <w:t>PTC exemption</w:t>
      </w:r>
      <w:r w:rsidRPr="006D6BAB" w:rsidR="00AB69D3">
        <w:t xml:space="preserve">s for </w:t>
      </w:r>
      <w:r w:rsidR="00A9758E">
        <w:t xml:space="preserve">projects that are </w:t>
      </w:r>
      <w:r w:rsidRPr="006D6BAB" w:rsidR="00AB69D3">
        <w:t xml:space="preserve">categorically or statutorily exempt </w:t>
      </w:r>
      <w:r w:rsidR="00A9758E">
        <w:t>from CEQA</w:t>
      </w:r>
      <w:r w:rsidRPr="006D6BAB" w:rsidR="00B46002">
        <w:t>,</w:t>
      </w:r>
      <w:r w:rsidRPr="006D6BAB">
        <w:t xml:space="preserve"> </w:t>
      </w:r>
      <w:r w:rsidRPr="006D6BAB" w:rsidR="00B46002">
        <w:t xml:space="preserve">as </w:t>
      </w:r>
      <w:r w:rsidRPr="006D6BAB" w:rsidR="00D2143D">
        <w:t>described</w:t>
      </w:r>
      <w:r w:rsidRPr="006D6BAB" w:rsidR="00B46002">
        <w:t xml:space="preserve"> in </w:t>
      </w:r>
      <w:r w:rsidR="003B5D07">
        <w:t>GO </w:t>
      </w:r>
      <w:r w:rsidRPr="006D6BAB" w:rsidR="001E0FDE">
        <w:t>131-D</w:t>
      </w:r>
      <w:r w:rsidR="00630DCA">
        <w:t>,</w:t>
      </w:r>
      <w:r w:rsidRPr="006D6BAB" w:rsidR="001E0FDE">
        <w:t xml:space="preserve"> </w:t>
      </w:r>
      <w:r w:rsidR="00DC14AC">
        <w:t>Section </w:t>
      </w:r>
      <w:r w:rsidRPr="006D6BAB" w:rsidR="00B46002">
        <w:t>XIII.B</w:t>
      </w:r>
      <w:r w:rsidRPr="006D6BAB" w:rsidR="003E0C19">
        <w:t>.1.</w:t>
      </w:r>
      <w:r w:rsidRPr="006D6BAB" w:rsidR="00B46002">
        <w:t>h, will be</w:t>
      </w:r>
      <w:r w:rsidRPr="006D6BAB" w:rsidR="00455A26">
        <w:t xml:space="preserve"> </w:t>
      </w:r>
      <w:r w:rsidRPr="006D6BAB" w:rsidR="00D9209D">
        <w:t>modified</w:t>
      </w:r>
      <w:r w:rsidRPr="006D6BAB" w:rsidR="00455A26">
        <w:t xml:space="preserve"> </w:t>
      </w:r>
      <w:r w:rsidRPr="006D6BAB" w:rsidR="001F6BBC">
        <w:t xml:space="preserve">and clarified in </w:t>
      </w:r>
      <w:r w:rsidR="003B5D07">
        <w:t>GO </w:t>
      </w:r>
      <w:r w:rsidRPr="006D6BAB" w:rsidR="001F6BBC">
        <w:t xml:space="preserve">131-E </w:t>
      </w:r>
      <w:r w:rsidRPr="006D6BAB" w:rsidR="00455A26">
        <w:t>as follow</w:t>
      </w:r>
      <w:r w:rsidRPr="006D6BAB" w:rsidR="00C82F7D">
        <w:t>s</w:t>
      </w:r>
      <w:r w:rsidRPr="006D6BAB" w:rsidR="007768D5">
        <w:t>:</w:t>
      </w:r>
    </w:p>
    <w:p w:rsidRPr="006D6BAB" w:rsidR="00DD02F3" w:rsidP="00D13705" w:rsidRDefault="001E0FDE" w14:paraId="2C092A8F" w14:textId="77777777">
      <w:pPr>
        <w:pStyle w:val="Standard"/>
        <w:numPr>
          <w:ilvl w:val="1"/>
          <w:numId w:val="8"/>
        </w:numPr>
        <w:spacing w:after="120" w:line="240" w:lineRule="auto"/>
        <w:ind w:left="1260" w:right="1440" w:hanging="270"/>
      </w:pPr>
      <w:r w:rsidRPr="006D6BAB">
        <w:t>Create and s</w:t>
      </w:r>
      <w:r w:rsidRPr="006D6BAB" w:rsidR="00D84BBF">
        <w:t>pecify</w:t>
      </w:r>
      <w:r w:rsidRPr="006D6BAB" w:rsidR="00455A26">
        <w:t xml:space="preserve"> </w:t>
      </w:r>
      <w:r w:rsidRPr="006D6BAB" w:rsidR="001F1C7D">
        <w:t xml:space="preserve">categorical and statutory </w:t>
      </w:r>
      <w:r w:rsidRPr="006D6BAB" w:rsidR="00D84BBF">
        <w:t xml:space="preserve">PTC </w:t>
      </w:r>
      <w:r w:rsidRPr="006D6BAB" w:rsidR="001F1C7D">
        <w:t>exemptions</w:t>
      </w:r>
      <w:r w:rsidRPr="006D6BAB" w:rsidR="00AA14E7">
        <w:t xml:space="preserve"> </w:t>
      </w:r>
      <w:r w:rsidRPr="006D6BAB" w:rsidR="00445EDE">
        <w:t xml:space="preserve">respectively </w:t>
      </w:r>
      <w:r w:rsidRPr="006D6BAB" w:rsidR="001F1C7D">
        <w:t xml:space="preserve">in </w:t>
      </w:r>
      <w:r w:rsidR="003B5D07">
        <w:t>GO </w:t>
      </w:r>
      <w:r w:rsidRPr="006D6BAB">
        <w:t>131-E</w:t>
      </w:r>
      <w:r w:rsidR="00630DCA">
        <w:t>,</w:t>
      </w:r>
      <w:r w:rsidRPr="006D6BAB">
        <w:t xml:space="preserve"> </w:t>
      </w:r>
      <w:r w:rsidRPr="006D6BAB" w:rsidR="0062510D">
        <w:t>III.B.2.g and III.B.2.h</w:t>
      </w:r>
      <w:r w:rsidRPr="006D6BAB" w:rsidR="00DD02F3">
        <w:t>;</w:t>
      </w:r>
    </w:p>
    <w:p w:rsidRPr="006D6BAB" w:rsidR="000616B3" w:rsidP="00D13705" w:rsidRDefault="00DD02F3" w14:paraId="76B281EB" w14:textId="77777777">
      <w:pPr>
        <w:pStyle w:val="Standard"/>
        <w:numPr>
          <w:ilvl w:val="1"/>
          <w:numId w:val="8"/>
        </w:numPr>
        <w:spacing w:after="120" w:line="240" w:lineRule="auto"/>
        <w:ind w:left="1260" w:right="1440" w:hanging="270"/>
      </w:pPr>
      <w:r w:rsidRPr="006D6BAB">
        <w:t>M</w:t>
      </w:r>
      <w:r w:rsidRPr="006D6BAB" w:rsidR="0062510D">
        <w:t xml:space="preserve">odify </w:t>
      </w:r>
      <w:r w:rsidR="00DC14AC">
        <w:t>Section </w:t>
      </w:r>
      <w:r w:rsidRPr="006D6BAB" w:rsidR="0062510D">
        <w:t>III.B.3</w:t>
      </w:r>
      <w:r w:rsidRPr="006D6BAB" w:rsidR="00DB1760">
        <w:t xml:space="preserve"> </w:t>
      </w:r>
      <w:r w:rsidRPr="006D6BAB" w:rsidR="00E97F9E">
        <w:t xml:space="preserve">in </w:t>
      </w:r>
      <w:r w:rsidR="003B5D07">
        <w:t>GO </w:t>
      </w:r>
      <w:r w:rsidRPr="006D6BAB" w:rsidR="00E97F9E">
        <w:t xml:space="preserve">131-E </w:t>
      </w:r>
      <w:r w:rsidRPr="006D6BAB" w:rsidR="000434F2">
        <w:t xml:space="preserve">such that </w:t>
      </w:r>
      <w:r w:rsidR="00DC14AC">
        <w:t>Section </w:t>
      </w:r>
      <w:r w:rsidRPr="006D6BAB" w:rsidR="00452E5C">
        <w:t>X</w:t>
      </w:r>
      <w:r w:rsidRPr="006D6BAB" w:rsidR="000434F2">
        <w:t>III.B.</w:t>
      </w:r>
      <w:r w:rsidRPr="006D6BAB" w:rsidR="00A35E94">
        <w:t>1.h</w:t>
      </w:r>
      <w:r w:rsidRPr="006D6BAB" w:rsidR="000434F2">
        <w:t xml:space="preserve"> shall not apply when a project is categorically exempt pursuant to </w:t>
      </w:r>
      <w:r w:rsidRPr="006D6BAB" w:rsidR="00A35E94">
        <w:t xml:space="preserve">CEQA Guidelines </w:t>
      </w:r>
      <w:r w:rsidR="00630DCA">
        <w:t>Sections</w:t>
      </w:r>
      <w:r w:rsidRPr="006D6BAB" w:rsidR="000434F2">
        <w:t xml:space="preserve"> 15303, 15304, 15305, 15306, or 15311</w:t>
      </w:r>
      <w:r w:rsidRPr="006D6BAB" w:rsidR="00627235">
        <w:t>;</w:t>
      </w:r>
    </w:p>
    <w:p w:rsidRPr="006D6BAB" w:rsidR="00A02FDF" w:rsidP="00D13705" w:rsidRDefault="007768D5" w14:paraId="392F09A2" w14:textId="77777777">
      <w:pPr>
        <w:pStyle w:val="Standard"/>
        <w:numPr>
          <w:ilvl w:val="1"/>
          <w:numId w:val="8"/>
        </w:numPr>
        <w:spacing w:after="120" w:line="240" w:lineRule="auto"/>
        <w:ind w:left="1260" w:right="1440" w:hanging="270"/>
      </w:pPr>
      <w:r w:rsidRPr="006D6BAB">
        <w:t>M</w:t>
      </w:r>
      <w:r w:rsidRPr="006D6BAB" w:rsidR="0062510D">
        <w:t xml:space="preserve">odify </w:t>
      </w:r>
      <w:r w:rsidR="00DC14AC">
        <w:t>Section </w:t>
      </w:r>
      <w:r w:rsidRPr="006D6BAB" w:rsidR="0062510D">
        <w:t xml:space="preserve">III.B.4 </w:t>
      </w:r>
      <w:r w:rsidR="001D734A">
        <w:t xml:space="preserve">in GO 131-E </w:t>
      </w:r>
      <w:r w:rsidRPr="006D6BAB" w:rsidR="000616B3">
        <w:t xml:space="preserve">such that </w:t>
      </w:r>
      <w:r w:rsidRPr="006D6BAB" w:rsidR="0062510D">
        <w:t xml:space="preserve">notice of </w:t>
      </w:r>
      <w:r w:rsidR="00EA26C4">
        <w:t>proposed construction must be made in compliance with Section VIII.B, b</w:t>
      </w:r>
      <w:r w:rsidR="00D600AC">
        <w:t>ut</w:t>
      </w:r>
      <w:r w:rsidR="00FC78A8">
        <w:t xml:space="preserve"> notice</w:t>
      </w:r>
      <w:r w:rsidR="00D600AC">
        <w:t xml:space="preserve"> </w:t>
      </w:r>
      <w:r w:rsidR="00FC78A8">
        <w:t xml:space="preserve">is not required for </w:t>
      </w:r>
      <w:r w:rsidR="00356DA2">
        <w:t xml:space="preserve">the </w:t>
      </w:r>
      <w:r w:rsidRPr="006D6BAB" w:rsidR="0062510D">
        <w:t>construction of projects that are statutorily or categorically exempt pursuant to the CEQA Guidelines</w:t>
      </w:r>
      <w:r w:rsidR="00FC78A8">
        <w:t>.</w:t>
      </w:r>
    </w:p>
    <w:p w:rsidRPr="00A852EC" w:rsidR="4B24EFD9" w:rsidP="00D13705" w:rsidRDefault="0083781A" w14:paraId="5C917007" w14:textId="77777777">
      <w:pPr>
        <w:pStyle w:val="Standard"/>
        <w:numPr>
          <w:ilvl w:val="0"/>
          <w:numId w:val="8"/>
        </w:numPr>
        <w:spacing w:after="120" w:line="240" w:lineRule="auto"/>
        <w:ind w:left="990" w:right="1440" w:hanging="270"/>
      </w:pPr>
      <w:r w:rsidRPr="007263BF">
        <w:rPr>
          <w:rFonts w:eastAsia="Book Antiqua" w:cs="Book Antiqua"/>
          <w:szCs w:val="26"/>
        </w:rPr>
        <w:t>The exception</w:t>
      </w:r>
      <w:r w:rsidRPr="007263BF" w:rsidR="00682FED">
        <w:rPr>
          <w:rFonts w:eastAsia="Book Antiqua" w:cs="Book Antiqua"/>
          <w:szCs w:val="26"/>
        </w:rPr>
        <w:t xml:space="preserve"> to certain PTC exemptions</w:t>
      </w:r>
      <w:r w:rsidRPr="007263BF" w:rsidR="0002668B">
        <w:rPr>
          <w:rFonts w:eastAsia="Book Antiqua" w:cs="Book Antiqua"/>
          <w:szCs w:val="26"/>
        </w:rPr>
        <w:t xml:space="preserve"> </w:t>
      </w:r>
      <w:r w:rsidRPr="007263BF" w:rsidR="00FE647E">
        <w:rPr>
          <w:rFonts w:eastAsia="Book Antiqua" w:cs="Book Antiqua"/>
          <w:szCs w:val="26"/>
        </w:rPr>
        <w:t>set forth</w:t>
      </w:r>
      <w:r w:rsidRPr="007263BF">
        <w:rPr>
          <w:rFonts w:eastAsia="Book Antiqua" w:cs="Book Antiqua"/>
          <w:szCs w:val="26"/>
        </w:rPr>
        <w:t xml:space="preserve"> </w:t>
      </w:r>
      <w:r w:rsidRPr="007263BF" w:rsidR="00FE647E">
        <w:rPr>
          <w:rFonts w:eastAsia="Book Antiqua" w:cs="Book Antiqua"/>
          <w:szCs w:val="26"/>
        </w:rPr>
        <w:t>in GO 131-E</w:t>
      </w:r>
      <w:r w:rsidR="00991403">
        <w:rPr>
          <w:rFonts w:eastAsia="Book Antiqua" w:cs="Book Antiqua"/>
          <w:szCs w:val="26"/>
        </w:rPr>
        <w:t>,</w:t>
      </w:r>
      <w:r w:rsidRPr="007263BF">
        <w:rPr>
          <w:rFonts w:eastAsia="Book Antiqua" w:cs="Book Antiqua"/>
          <w:szCs w:val="26"/>
        </w:rPr>
        <w:t xml:space="preserve"> </w:t>
      </w:r>
      <w:r w:rsidRPr="007263BF" w:rsidR="4B24EFD9">
        <w:rPr>
          <w:rFonts w:eastAsia="Book Antiqua" w:cs="Book Antiqua"/>
          <w:szCs w:val="26"/>
        </w:rPr>
        <w:t>Section III.B.3</w:t>
      </w:r>
      <w:r w:rsidRPr="007263BF" w:rsidR="00A064F1">
        <w:rPr>
          <w:rFonts w:eastAsia="Book Antiqua" w:cs="Book Antiqua"/>
          <w:szCs w:val="26"/>
        </w:rPr>
        <w:t xml:space="preserve"> (i.e., that </w:t>
      </w:r>
      <w:r w:rsidRPr="007263BF" w:rsidR="00030402">
        <w:rPr>
          <w:rFonts w:eastAsia="Book Antiqua" w:cs="Book Antiqua"/>
          <w:szCs w:val="26"/>
        </w:rPr>
        <w:t>certain</w:t>
      </w:r>
      <w:r w:rsidRPr="007263BF" w:rsidR="00A064F1">
        <w:rPr>
          <w:rFonts w:eastAsia="Book Antiqua" w:cs="Book Antiqua"/>
          <w:szCs w:val="26"/>
        </w:rPr>
        <w:t xml:space="preserve"> PTC exemptions shall not apply when there is reasonable possibility that the activity may impact an environmental resource of hazardous or critical concern)</w:t>
      </w:r>
      <w:r w:rsidRPr="007263BF" w:rsidR="4B24EFD9">
        <w:rPr>
          <w:rFonts w:eastAsia="Book Antiqua" w:cs="Book Antiqua"/>
          <w:szCs w:val="26"/>
        </w:rPr>
        <w:t xml:space="preserve"> </w:t>
      </w:r>
      <w:r w:rsidRPr="007263BF" w:rsidR="00232055">
        <w:rPr>
          <w:rFonts w:eastAsia="Book Antiqua" w:cs="Book Antiqua"/>
          <w:szCs w:val="26"/>
        </w:rPr>
        <w:t>will</w:t>
      </w:r>
      <w:r w:rsidRPr="007263BF" w:rsidR="4B24EFD9">
        <w:rPr>
          <w:rFonts w:eastAsia="Book Antiqua" w:cs="Book Antiqua"/>
          <w:szCs w:val="26"/>
        </w:rPr>
        <w:t xml:space="preserve"> not apply to the PTC exemption in </w:t>
      </w:r>
      <w:r w:rsidRPr="007263BF" w:rsidR="000303DF">
        <w:rPr>
          <w:rFonts w:eastAsia="Book Antiqua" w:cs="Book Antiqua"/>
          <w:szCs w:val="26"/>
        </w:rPr>
        <w:t>GO 131-E</w:t>
      </w:r>
      <w:r w:rsidR="00991403">
        <w:rPr>
          <w:rFonts w:eastAsia="Book Antiqua" w:cs="Book Antiqua"/>
          <w:szCs w:val="26"/>
        </w:rPr>
        <w:t>,</w:t>
      </w:r>
      <w:r w:rsidRPr="007263BF" w:rsidR="000303DF">
        <w:rPr>
          <w:rFonts w:eastAsia="Book Antiqua" w:cs="Book Antiqua"/>
          <w:szCs w:val="26"/>
        </w:rPr>
        <w:t xml:space="preserve"> </w:t>
      </w:r>
      <w:r w:rsidRPr="007263BF" w:rsidR="4B24EFD9">
        <w:rPr>
          <w:rFonts w:eastAsia="Book Antiqua" w:cs="Book Antiqua"/>
          <w:szCs w:val="26"/>
        </w:rPr>
        <w:t>Section III.B.2.e</w:t>
      </w:r>
      <w:r w:rsidR="00991403">
        <w:rPr>
          <w:rFonts w:eastAsia="Book Antiqua" w:cs="Book Antiqua"/>
          <w:szCs w:val="26"/>
        </w:rPr>
        <w:t>,</w:t>
      </w:r>
      <w:r w:rsidRPr="007263BF" w:rsidR="4B24EFD9">
        <w:rPr>
          <w:rFonts w:eastAsia="Book Antiqua" w:cs="Book Antiqua"/>
          <w:szCs w:val="26"/>
        </w:rPr>
        <w:t xml:space="preserve"> given that</w:t>
      </w:r>
      <w:r w:rsidRPr="007263BF" w:rsidR="00390534">
        <w:rPr>
          <w:rFonts w:eastAsia="Book Antiqua" w:cs="Book Antiqua"/>
          <w:szCs w:val="26"/>
        </w:rPr>
        <w:t xml:space="preserve"> projects are only eligible for exemption when</w:t>
      </w:r>
      <w:r w:rsidRPr="007263BF" w:rsidR="4B24EFD9">
        <w:rPr>
          <w:rFonts w:eastAsia="Book Antiqua" w:cs="Book Antiqua"/>
          <w:szCs w:val="26"/>
        </w:rPr>
        <w:t xml:space="preserve"> environmental review has already been completed </w:t>
      </w:r>
      <w:r w:rsidRPr="007263BF" w:rsidR="005A25B5">
        <w:rPr>
          <w:rFonts w:eastAsia="Book Antiqua" w:cs="Book Antiqua"/>
          <w:szCs w:val="26"/>
        </w:rPr>
        <w:t>for</w:t>
      </w:r>
      <w:r w:rsidRPr="007263BF" w:rsidR="4B24EFD9">
        <w:rPr>
          <w:rFonts w:eastAsia="Book Antiqua" w:cs="Book Antiqua"/>
          <w:szCs w:val="26"/>
        </w:rPr>
        <w:t xml:space="preserve"> a larger project.</w:t>
      </w:r>
    </w:p>
    <w:p w:rsidR="00D27BF7" w:rsidP="00804F6F" w:rsidRDefault="002825C3" w14:paraId="5283B720" w14:textId="77777777">
      <w:pPr>
        <w:pStyle w:val="Heading2"/>
      </w:pPr>
      <w:bookmarkStart w:name="_Toc189738509" w:id="146"/>
      <w:r>
        <w:lastRenderedPageBreak/>
        <w:t xml:space="preserve">Definition of </w:t>
      </w:r>
      <w:r w:rsidR="00E71D50">
        <w:t>Existing Electrical Transmission Facility</w:t>
      </w:r>
      <w:bookmarkEnd w:id="146"/>
      <w:r w:rsidR="00E71D50">
        <w:t xml:space="preserve"> </w:t>
      </w:r>
    </w:p>
    <w:p w:rsidR="004477CF" w:rsidP="009400FE" w:rsidRDefault="004477CF" w14:paraId="221526C3" w14:textId="77777777">
      <w:pPr>
        <w:pStyle w:val="Standard"/>
      </w:pPr>
      <w:r>
        <w:t xml:space="preserve">As discussed below, upon consideration of the </w:t>
      </w:r>
      <w:r w:rsidR="00212032">
        <w:t>p</w:t>
      </w:r>
      <w:r>
        <w:t>roposal</w:t>
      </w:r>
      <w:r w:rsidR="00212032">
        <w:t>s</w:t>
      </w:r>
      <w:r>
        <w:t xml:space="preserve"> and party comments, </w:t>
      </w:r>
      <w:r w:rsidRPr="009400FE">
        <w:t xml:space="preserve">we adopt the definition of “existing electrical transmission facility” as </w:t>
      </w:r>
      <w:r w:rsidRPr="009400FE" w:rsidR="00EF472A">
        <w:t>proposed by Staff</w:t>
      </w:r>
      <w:r w:rsidR="00A205F2">
        <w:t>,</w:t>
      </w:r>
      <w:r w:rsidRPr="009400FE" w:rsidR="00EF472A">
        <w:t xml:space="preserve"> </w:t>
      </w:r>
      <w:r w:rsidRPr="009400FE" w:rsidR="00CE4CE4">
        <w:t xml:space="preserve">with </w:t>
      </w:r>
      <w:r w:rsidRPr="009400FE" w:rsidR="00A205F2">
        <w:t>some modifications addressing party concerns.</w:t>
      </w:r>
      <w:r w:rsidRPr="009400FE">
        <w:t xml:space="preserve"> </w:t>
      </w:r>
    </w:p>
    <w:p w:rsidR="00E71D50" w:rsidP="00E71D50" w:rsidRDefault="001E1EFA" w14:paraId="207CBC0B" w14:textId="77777777">
      <w:pPr>
        <w:pStyle w:val="Standard"/>
      </w:pPr>
      <w:r>
        <w:t>Under</w:t>
      </w:r>
      <w:r w:rsidR="00FD30A3">
        <w:t xml:space="preserve"> </w:t>
      </w:r>
      <w:r w:rsidR="003B5D07">
        <w:t>GO </w:t>
      </w:r>
      <w:r w:rsidR="00DE45CB">
        <w:t>131-D</w:t>
      </w:r>
      <w:r>
        <w:t>,</w:t>
      </w:r>
      <w:r w:rsidR="00DE45CB">
        <w:t xml:space="preserve"> </w:t>
      </w:r>
      <w:r w:rsidR="00DC14AC">
        <w:t>Section </w:t>
      </w:r>
      <w:r w:rsidR="00FD30A3">
        <w:t xml:space="preserve">III.A, </w:t>
      </w:r>
      <w:r w:rsidR="00580EF7">
        <w:t>CPCN</w:t>
      </w:r>
      <w:r w:rsidR="00051A09">
        <w:t>s are not required for</w:t>
      </w:r>
      <w:r w:rsidR="00580EF7">
        <w:t xml:space="preserve"> </w:t>
      </w:r>
      <w:r w:rsidR="00051A09">
        <w:t xml:space="preserve">projects that </w:t>
      </w:r>
      <w:r w:rsidR="00FF71AA">
        <w:t xml:space="preserve">(1) </w:t>
      </w:r>
      <w:r w:rsidRPr="00A17374" w:rsidR="00A17374">
        <w:t xml:space="preserve">replace existing power line facilities or supporting structures with equivalent facilities or structures, </w:t>
      </w:r>
      <w:r w:rsidR="00FF71AA">
        <w:t>(2)</w:t>
      </w:r>
      <w:r w:rsidR="00D34AF5">
        <w:t xml:space="preserve"> perform</w:t>
      </w:r>
      <w:r w:rsidRPr="00A17374" w:rsidR="00A17374">
        <w:t xml:space="preserve"> minor relocation of existing power line facilities</w:t>
      </w:r>
      <w:r w:rsidR="00D34AF5">
        <w:t xml:space="preserve"> (3) </w:t>
      </w:r>
      <w:r w:rsidRPr="00A17374" w:rsidR="00A17374">
        <w:t>conver</w:t>
      </w:r>
      <w:r w:rsidR="00D34AF5">
        <w:t xml:space="preserve">t </w:t>
      </w:r>
      <w:r w:rsidRPr="00A17374" w:rsidR="00A17374">
        <w:t>existing overhead lines to underground</w:t>
      </w:r>
      <w:r w:rsidR="00D34AF5">
        <w:t>, or (4)</w:t>
      </w:r>
      <w:r w:rsidRPr="00A17374" w:rsidR="00A17374">
        <w:t xml:space="preserve"> plac</w:t>
      </w:r>
      <w:r w:rsidR="00D34AF5">
        <w:t>e</w:t>
      </w:r>
      <w:r w:rsidRPr="00A17374" w:rsidR="00A17374">
        <w:t xml:space="preserve"> new or additional conductors, insulators, or </w:t>
      </w:r>
      <w:r w:rsidR="00580EF7">
        <w:t>t</w:t>
      </w:r>
      <w:r w:rsidRPr="00A17374" w:rsidR="00A17374">
        <w:t>heir accessories on or replacement of supporting structures already built</w:t>
      </w:r>
      <w:r w:rsidR="00DE45CB">
        <w:t>.</w:t>
      </w:r>
      <w:r w:rsidR="00DE45CB">
        <w:rPr>
          <w:rStyle w:val="FootnoteReference"/>
        </w:rPr>
        <w:footnoteReference w:id="147"/>
      </w:r>
      <w:r w:rsidR="00580EF7">
        <w:t xml:space="preserve"> </w:t>
      </w:r>
    </w:p>
    <w:p w:rsidR="003A6CC3" w:rsidP="00E71D50" w:rsidRDefault="00DC14AC" w14:paraId="6C46A41F" w14:textId="77777777">
      <w:pPr>
        <w:pStyle w:val="Standard"/>
      </w:pPr>
      <w:r>
        <w:t>SB </w:t>
      </w:r>
      <w:r w:rsidR="003A6CC3">
        <w:t>529</w:t>
      </w:r>
      <w:r w:rsidR="006B258F">
        <w:t xml:space="preserve"> </w:t>
      </w:r>
      <w:r w:rsidR="001E1EFA">
        <w:t xml:space="preserve">recently </w:t>
      </w:r>
      <w:r w:rsidR="009372BB">
        <w:t xml:space="preserve">codified language in Pub. Util. Code </w:t>
      </w:r>
      <w:r w:rsidRPr="00107EB4" w:rsidR="00C933DA">
        <w:t xml:space="preserve">Sections </w:t>
      </w:r>
      <w:r w:rsidRPr="00107EB4" w:rsidR="007B0A44">
        <w:t xml:space="preserve">564 and 1001 that </w:t>
      </w:r>
      <w:r w:rsidRPr="00107EB4" w:rsidR="00C933DA">
        <w:t>authorize-</w:t>
      </w:r>
      <w:r w:rsidRPr="00107EB4" w:rsidR="007B0A44">
        <w:t xml:space="preserve"> </w:t>
      </w:r>
      <w:r w:rsidRPr="00107EB4" w:rsidR="00246291">
        <w:t xml:space="preserve">electric </w:t>
      </w:r>
      <w:r w:rsidRPr="00107EB4" w:rsidR="006B258F">
        <w:t>public utili</w:t>
      </w:r>
      <w:r w:rsidRPr="00107EB4" w:rsidR="007B0A44">
        <w:t xml:space="preserve">ties </w:t>
      </w:r>
      <w:r w:rsidRPr="00107EB4" w:rsidR="007619C9">
        <w:t>(“utilities”)</w:t>
      </w:r>
      <w:r w:rsidR="007619C9">
        <w:t xml:space="preserve"> </w:t>
      </w:r>
      <w:r w:rsidR="007B0A44">
        <w:t xml:space="preserve">to file a PTC application or claim </w:t>
      </w:r>
      <w:r w:rsidRPr="006B258F" w:rsidR="006B258F">
        <w:t xml:space="preserve">an exemption under </w:t>
      </w:r>
      <w:r>
        <w:t>Section </w:t>
      </w:r>
      <w:r w:rsidRPr="006B258F" w:rsidR="006B258F">
        <w:t>III.B to construct an extension, expansion, upgrade, or other modification to an electric public utility’s existing electrical transmission facilities, including electric transmission lines and substations within existing transmission easements, rights of way, or franchise agreements, irrespective of whether the electrical transmission facility is above a 200-kV voltage level.</w:t>
      </w:r>
      <w:r w:rsidR="008B6764">
        <w:rPr>
          <w:rStyle w:val="FootnoteReference"/>
        </w:rPr>
        <w:footnoteReference w:id="148"/>
      </w:r>
    </w:p>
    <w:p w:rsidRPr="00E71D50" w:rsidR="00246291" w:rsidP="00E71D50" w:rsidRDefault="00816F49" w14:paraId="6D1326F4" w14:textId="77777777">
      <w:pPr>
        <w:pStyle w:val="Standard"/>
      </w:pPr>
      <w:r>
        <w:t>In these circumstances,</w:t>
      </w:r>
      <w:r w:rsidR="00090E68">
        <w:t xml:space="preserve"> </w:t>
      </w:r>
      <w:r w:rsidR="00675ADC">
        <w:t xml:space="preserve">project applicants </w:t>
      </w:r>
      <w:r>
        <w:t xml:space="preserve">must identify if a proposed project is </w:t>
      </w:r>
      <w:r w:rsidR="009C01B8">
        <w:t>a</w:t>
      </w:r>
      <w:r w:rsidR="005C2BEA">
        <w:t>n extension, expansion, upgrade, or other</w:t>
      </w:r>
      <w:r w:rsidR="009C01B8">
        <w:t xml:space="preserve"> modification to </w:t>
      </w:r>
      <w:r w:rsidR="009573B1">
        <w:t xml:space="preserve">an </w:t>
      </w:r>
      <w:r w:rsidR="009C01B8">
        <w:t>“existing electrical transmission facility.”</w:t>
      </w:r>
      <w:r w:rsidR="00570A99">
        <w:t xml:space="preserve"> </w:t>
      </w:r>
      <w:r w:rsidR="00620AF3">
        <w:t xml:space="preserve">However, </w:t>
      </w:r>
      <w:r w:rsidRPr="00E01279" w:rsidR="00E01279">
        <w:t>“existing electrical transmission facility”</w:t>
      </w:r>
      <w:r w:rsidR="00E01279">
        <w:t xml:space="preserve"> is currently un</w:t>
      </w:r>
      <w:r w:rsidR="00570A99">
        <w:t>defined.</w:t>
      </w:r>
    </w:p>
    <w:p w:rsidR="00AF4F21" w:rsidP="00E75F73" w:rsidRDefault="00AF4F21" w14:paraId="12CA5BD9" w14:textId="77777777">
      <w:pPr>
        <w:pStyle w:val="Standard"/>
      </w:pPr>
      <w:r>
        <w:lastRenderedPageBreak/>
        <w:t xml:space="preserve">Staff </w:t>
      </w:r>
      <w:r w:rsidR="00846781">
        <w:t xml:space="preserve">Proposal </w:t>
      </w:r>
      <w:r w:rsidR="00DC14AC">
        <w:t>Section </w:t>
      </w:r>
      <w:r w:rsidR="008B2A1E">
        <w:t>3</w:t>
      </w:r>
      <w:r w:rsidR="00826A52">
        <w:t>.1</w:t>
      </w:r>
      <w:r w:rsidR="00846781">
        <w:t>, Proposal 1</w:t>
      </w:r>
      <w:r w:rsidDel="00846781">
        <w:t xml:space="preserve"> </w:t>
      </w:r>
      <w:r>
        <w:t>define</w:t>
      </w:r>
      <w:r w:rsidR="00846781">
        <w:t>s</w:t>
      </w:r>
      <w:r>
        <w:t xml:space="preserve"> the term “</w:t>
      </w:r>
      <w:r w:rsidRPr="00AF4F21">
        <w:t>existing electrical transmission facility”</w:t>
      </w:r>
      <w:r w:rsidR="00914210">
        <w:t xml:space="preserve"> </w:t>
      </w:r>
      <w:r w:rsidR="00171FDB">
        <w:t>as</w:t>
      </w:r>
      <w:r w:rsidRPr="00AF4F21">
        <w:t xml:space="preserve"> an</w:t>
      </w:r>
      <w:r w:rsidR="00106D06">
        <w:t>:</w:t>
      </w:r>
      <w:r w:rsidRPr="00AF4F21">
        <w:t xml:space="preserve"> </w:t>
      </w:r>
      <w:r w:rsidR="00106D06">
        <w:t>“</w:t>
      </w:r>
      <w:r w:rsidR="0033274B">
        <w:t>E</w:t>
      </w:r>
      <w:r w:rsidRPr="00AF4F21">
        <w:t>lectrical transmission line, power line, or substation that has been constructed for operation at or above 50 kV within an existing transmission easement, right of way, or franchise agreement</w:t>
      </w:r>
      <w:r w:rsidR="00D7033F">
        <w:t>.</w:t>
      </w:r>
      <w:r w:rsidR="00914210">
        <w:t>”</w:t>
      </w:r>
      <w:r w:rsidR="00D7033F">
        <w:rPr>
          <w:rStyle w:val="FootnoteReference"/>
        </w:rPr>
        <w:footnoteReference w:id="149"/>
      </w:r>
      <w:r w:rsidR="00C45E6E">
        <w:t xml:space="preserve"> </w:t>
      </w:r>
      <w:r w:rsidR="00DE3D95">
        <w:t>Staff</w:t>
      </w:r>
      <w:r w:rsidR="00837C63">
        <w:t xml:space="preserve"> explains that </w:t>
      </w:r>
      <w:r w:rsidR="00DE3D95">
        <w:t xml:space="preserve">the proposed definition </w:t>
      </w:r>
      <w:r w:rsidRPr="00C45E6E" w:rsidR="00C45E6E">
        <w:t>would improve clarity for applicants</w:t>
      </w:r>
      <w:r w:rsidR="00AA61EE">
        <w:t>,</w:t>
      </w:r>
      <w:r w:rsidRPr="00C45E6E" w:rsidR="00C45E6E">
        <w:t xml:space="preserve"> reduce the need for case-by-case interpretation</w:t>
      </w:r>
      <w:r w:rsidR="00AA61EE">
        <w:t xml:space="preserve">, </w:t>
      </w:r>
      <w:r w:rsidR="005C2BEA">
        <w:t xml:space="preserve">and </w:t>
      </w:r>
      <w:r w:rsidR="0058056F">
        <w:t>represented opinion from</w:t>
      </w:r>
      <w:r w:rsidRPr="003A29AF" w:rsidR="003A29AF">
        <w:t xml:space="preserve"> </w:t>
      </w:r>
      <w:r w:rsidR="0058056F">
        <w:t xml:space="preserve">a </w:t>
      </w:r>
      <w:r w:rsidRPr="003A29AF" w:rsidR="003A29AF">
        <w:t>range of parties</w:t>
      </w:r>
      <w:r w:rsidR="0058056F">
        <w:t xml:space="preserve"> to include </w:t>
      </w:r>
      <w:r w:rsidRPr="003A29AF" w:rsidR="003A29AF">
        <w:t>“power lines” and “substations</w:t>
      </w:r>
      <w:r w:rsidR="00404717">
        <w:t>.</w:t>
      </w:r>
      <w:r w:rsidRPr="003A29AF" w:rsidR="003A29AF">
        <w:t>”</w:t>
      </w:r>
    </w:p>
    <w:p w:rsidRPr="00F100D8" w:rsidR="00F100D8" w:rsidP="00F100D8" w:rsidRDefault="00F100D8" w14:paraId="78325B63" w14:textId="77777777">
      <w:pPr>
        <w:pStyle w:val="Standard"/>
      </w:pPr>
      <w:r w:rsidRPr="008C02D7">
        <w:t xml:space="preserve">Transmission </w:t>
      </w:r>
      <w:r w:rsidRPr="008C02D7" w:rsidR="001367C1">
        <w:t>Owners</w:t>
      </w:r>
      <w:r w:rsidRPr="008C02D7">
        <w:t xml:space="preserve"> support</w:t>
      </w:r>
      <w:r w:rsidRPr="00F100D8">
        <w:t xml:space="preserve"> </w:t>
      </w:r>
      <w:r w:rsidR="001A2B61">
        <w:t>S</w:t>
      </w:r>
      <w:r w:rsidRPr="00F100D8">
        <w:t xml:space="preserve">taff’s proposed definition. Several parties (EDF, PCF, CBD, IEP, </w:t>
      </w:r>
      <w:r w:rsidRPr="00F100D8" w:rsidR="0A8242A1">
        <w:t>California Farm Bureau Federation (</w:t>
      </w:r>
      <w:r w:rsidRPr="00F100D8" w:rsidR="74FE3532">
        <w:t>CFBF</w:t>
      </w:r>
      <w:r w:rsidRPr="00F100D8" w:rsidR="0A4AD149">
        <w:t>)</w:t>
      </w:r>
      <w:r w:rsidRPr="00F100D8" w:rsidR="74FE3532">
        <w:t>,</w:t>
      </w:r>
      <w:r w:rsidRPr="00F100D8">
        <w:t xml:space="preserve"> and Cal Advocates) support </w:t>
      </w:r>
      <w:r w:rsidR="001A2B61">
        <w:t>S</w:t>
      </w:r>
      <w:r w:rsidRPr="00F100D8">
        <w:t>taff’s proposed definition with modifications.</w:t>
      </w:r>
      <w:r w:rsidR="00195973">
        <w:rPr>
          <w:rStyle w:val="FootnoteReference"/>
        </w:rPr>
        <w:footnoteReference w:id="150"/>
      </w:r>
      <w:r w:rsidRPr="00F100D8">
        <w:t xml:space="preserve"> </w:t>
      </w:r>
      <w:r w:rsidR="00C51316">
        <w:t xml:space="preserve">A select number of </w:t>
      </w:r>
      <w:r w:rsidR="00C832AC">
        <w:t>S</w:t>
      </w:r>
      <w:r w:rsidRPr="00F100D8">
        <w:t xml:space="preserve">ettling </w:t>
      </w:r>
      <w:r w:rsidR="00C832AC">
        <w:t>P</w:t>
      </w:r>
      <w:r w:rsidRPr="00F100D8">
        <w:t xml:space="preserve">arties (PG&amp;E, SCE, SDG&amp;E, CUE, IEP, EDF) assert that </w:t>
      </w:r>
      <w:r w:rsidR="00DC14AC">
        <w:t>SB </w:t>
      </w:r>
      <w:r w:rsidRPr="00F100D8">
        <w:t>529 should be interpreted to mean that “existing electrical transmission facilities” include, but are not limited to, facilities “within an existing transmission easement, right of way, or franchise agreement</w:t>
      </w:r>
      <w:r w:rsidR="00755342">
        <w:t>.</w:t>
      </w:r>
      <w:r w:rsidRPr="00F100D8">
        <w:t>”</w:t>
      </w:r>
      <w:r w:rsidR="00FB4CD8">
        <w:rPr>
          <w:rStyle w:val="FootnoteReference"/>
        </w:rPr>
        <w:footnoteReference w:id="151"/>
      </w:r>
      <w:r w:rsidRPr="00F100D8">
        <w:t xml:space="preserve"> The Sierra Club</w:t>
      </w:r>
      <w:r w:rsidR="0008103E">
        <w:t xml:space="preserve"> contends that the term “existing facilities</w:t>
      </w:r>
      <w:r w:rsidR="003D3668">
        <w:t>” s</w:t>
      </w:r>
      <w:r w:rsidRPr="0008103E" w:rsidR="0008103E">
        <w:t>hould be limited to facilities that first became commercially operational at least five years ago</w:t>
      </w:r>
      <w:r w:rsidRPr="00F100D8">
        <w:t>.</w:t>
      </w:r>
      <w:r w:rsidR="00D23277">
        <w:rPr>
          <w:rStyle w:val="FootnoteReference"/>
        </w:rPr>
        <w:footnoteReference w:id="152"/>
      </w:r>
      <w:r w:rsidRPr="00F100D8">
        <w:t> </w:t>
      </w:r>
    </w:p>
    <w:p w:rsidRPr="008C02D7" w:rsidR="00BA7872" w:rsidP="00DD6AE0" w:rsidRDefault="00AE5952" w14:paraId="3EE8D0B6" w14:textId="77777777">
      <w:pPr>
        <w:pStyle w:val="Standard"/>
      </w:pPr>
      <w:r w:rsidRPr="008C02D7">
        <w:t>Some p</w:t>
      </w:r>
      <w:r w:rsidRPr="008C02D7" w:rsidR="008677BC">
        <w:t xml:space="preserve">arties </w:t>
      </w:r>
      <w:r w:rsidRPr="008C02D7" w:rsidR="00F236B0">
        <w:t xml:space="preserve">point out </w:t>
      </w:r>
      <w:r w:rsidRPr="008C02D7" w:rsidR="008677BC">
        <w:t xml:space="preserve">in </w:t>
      </w:r>
      <w:r w:rsidRPr="008C02D7" w:rsidR="00F236B0">
        <w:t>their</w:t>
      </w:r>
      <w:r w:rsidRPr="008C02D7" w:rsidR="008677BC">
        <w:t xml:space="preserve"> comments that much of the utilities’ existing electrical transmission infrastructure is sited on fee-owned property</w:t>
      </w:r>
      <w:r w:rsidRPr="008C02D7" w:rsidR="00BA7872">
        <w:t>. Therefore, it</w:t>
      </w:r>
      <w:r w:rsidRPr="008C02D7" w:rsidR="008677BC">
        <w:t xml:space="preserve"> would be restrictive to exclude such infrastructure from the definition. </w:t>
      </w:r>
    </w:p>
    <w:p w:rsidRPr="008C02D7" w:rsidR="006F095C" w:rsidP="00DD6AE0" w:rsidRDefault="008677BC" w14:paraId="049BB7C1" w14:textId="77777777">
      <w:pPr>
        <w:pStyle w:val="Standard"/>
      </w:pPr>
      <w:r w:rsidRPr="008C02D7">
        <w:t>P</w:t>
      </w:r>
      <w:r w:rsidRPr="008C02D7" w:rsidR="00BA7872">
        <w:t>ub. Util. Code</w:t>
      </w:r>
      <w:r w:rsidRPr="008C02D7">
        <w:t xml:space="preserve"> </w:t>
      </w:r>
      <w:r w:rsidR="00DC14AC">
        <w:t>Section </w:t>
      </w:r>
      <w:r w:rsidRPr="008C02D7">
        <w:t xml:space="preserve">564 </w:t>
      </w:r>
      <w:r w:rsidRPr="008C02D7" w:rsidR="00BA7872">
        <w:t xml:space="preserve">also </w:t>
      </w:r>
      <w:r w:rsidRPr="008C02D7">
        <w:t>references “existing electrical transmission facilities</w:t>
      </w:r>
      <w:r w:rsidRPr="008C02D7" w:rsidR="00755342">
        <w:t>,</w:t>
      </w:r>
      <w:r w:rsidRPr="008C02D7" w:rsidR="00106D06">
        <w:t>”</w:t>
      </w:r>
      <w:r w:rsidRPr="008C02D7">
        <w:t xml:space="preserve"> including electric transmission lines and substations within existing </w:t>
      </w:r>
      <w:r w:rsidRPr="008C02D7">
        <w:lastRenderedPageBreak/>
        <w:t>transmission easements, rights of way, or franchise agreements</w:t>
      </w:r>
      <w:r w:rsidRPr="008C02D7" w:rsidR="00755342">
        <w:t>,</w:t>
      </w:r>
      <w:r w:rsidRPr="008C02D7">
        <w:t xml:space="preserve">” but various parties assert that the term “including” does not create a restrictive list. </w:t>
      </w:r>
    </w:p>
    <w:p w:rsidRPr="009400FE" w:rsidR="00DE16D6" w:rsidP="006E3ADE" w:rsidRDefault="00CD6254" w14:paraId="64E50E39" w14:textId="77777777">
      <w:pPr>
        <w:pStyle w:val="Standard"/>
      </w:pPr>
      <w:r w:rsidRPr="008C02D7">
        <w:t xml:space="preserve">Balancing </w:t>
      </w:r>
      <w:r w:rsidRPr="008C02D7" w:rsidR="001352BF">
        <w:t>these consideration</w:t>
      </w:r>
      <w:r w:rsidRPr="008C02D7" w:rsidR="009400FE">
        <w:t>s</w:t>
      </w:r>
      <w:r w:rsidRPr="008C02D7" w:rsidR="00F71E69">
        <w:t xml:space="preserve">, </w:t>
      </w:r>
      <w:r w:rsidRPr="008C02D7" w:rsidR="00373A52">
        <w:t xml:space="preserve">we adopt </w:t>
      </w:r>
      <w:r w:rsidRPr="008C02D7" w:rsidR="00F71E69">
        <w:t xml:space="preserve">the </w:t>
      </w:r>
      <w:r w:rsidRPr="008C02D7" w:rsidR="009016C6">
        <w:t>modified</w:t>
      </w:r>
      <w:r w:rsidRPr="008C02D7" w:rsidR="00846781">
        <w:t xml:space="preserve"> Staff Proposal</w:t>
      </w:r>
      <w:r w:rsidR="00846781">
        <w:t xml:space="preserve"> </w:t>
      </w:r>
      <w:r w:rsidR="00DC14AC">
        <w:t>Section </w:t>
      </w:r>
      <w:r w:rsidR="00846781">
        <w:t xml:space="preserve">1, </w:t>
      </w:r>
      <w:r w:rsidRPr="009400FE" w:rsidR="00BC083C">
        <w:t>Proposal 1 d</w:t>
      </w:r>
      <w:r w:rsidRPr="009400FE" w:rsidR="006E3ADE">
        <w:t xml:space="preserve">efinition of “existing electrical transmission facility” as follows: </w:t>
      </w:r>
    </w:p>
    <w:p w:rsidR="006E3ADE" w:rsidP="007017DF" w:rsidRDefault="00DE16D6" w14:paraId="425F99DE" w14:textId="77777777">
      <w:pPr>
        <w:pStyle w:val="BlockQuote"/>
        <w:spacing w:after="180"/>
      </w:pPr>
      <w:r w:rsidRPr="009400FE">
        <w:t xml:space="preserve">… </w:t>
      </w:r>
      <w:r w:rsidRPr="009400FE" w:rsidR="006E3ADE">
        <w:t xml:space="preserve">an electrical transmission line, power </w:t>
      </w:r>
      <w:r w:rsidRPr="007017DF" w:rsidR="006E3ADE">
        <w:t>line</w:t>
      </w:r>
      <w:r w:rsidRPr="009400FE" w:rsidR="006E3ADE">
        <w:t>, substation</w:t>
      </w:r>
      <w:r w:rsidR="00D42191">
        <w:t>, or switchyard</w:t>
      </w:r>
      <w:r w:rsidRPr="009400FE" w:rsidR="006E3ADE">
        <w:t xml:space="preserve"> that has been constructed for operation at or above 50 kV</w:t>
      </w:r>
      <w:r w:rsidR="008F2B6F">
        <w:t>.</w:t>
      </w:r>
    </w:p>
    <w:p w:rsidR="009014D6" w:rsidP="00804F6F" w:rsidRDefault="00A1351B" w14:paraId="689EA879" w14:textId="77777777">
      <w:pPr>
        <w:pStyle w:val="Heading2"/>
      </w:pPr>
      <w:bookmarkStart w:name="_Toc177325423" w:id="147"/>
      <w:bookmarkStart w:name="_Toc177325729" w:id="148"/>
      <w:bookmarkStart w:name="_Toc177326724" w:id="149"/>
      <w:bookmarkStart w:name="_Toc177327507" w:id="150"/>
      <w:bookmarkStart w:name="_Toc177327639" w:id="151"/>
      <w:bookmarkStart w:name="_Toc177327873" w:id="152"/>
      <w:bookmarkStart w:name="_Toc177646998" w:id="153"/>
      <w:bookmarkStart w:name="_Toc177715312" w:id="154"/>
      <w:bookmarkStart w:name="_Toc177721369" w:id="155"/>
      <w:bookmarkStart w:name="_Toc177729279" w:id="156"/>
      <w:bookmarkStart w:name="_Toc189738510" w:id="157"/>
      <w:bookmarkEnd w:id="147"/>
      <w:bookmarkEnd w:id="148"/>
      <w:bookmarkEnd w:id="149"/>
      <w:bookmarkEnd w:id="150"/>
      <w:bookmarkEnd w:id="151"/>
      <w:bookmarkEnd w:id="152"/>
      <w:bookmarkEnd w:id="153"/>
      <w:bookmarkEnd w:id="154"/>
      <w:bookmarkEnd w:id="155"/>
      <w:bookmarkEnd w:id="156"/>
      <w:r>
        <w:t xml:space="preserve">Definition of Extension, </w:t>
      </w:r>
      <w:r w:rsidR="002F1D53">
        <w:t xml:space="preserve">Expansion, </w:t>
      </w:r>
      <w:r>
        <w:t>Upgrade, and Modification</w:t>
      </w:r>
      <w:bookmarkEnd w:id="157"/>
      <w:r w:rsidR="009014D6">
        <w:t xml:space="preserve"> </w:t>
      </w:r>
    </w:p>
    <w:p w:rsidRPr="00421CB8" w:rsidR="00654AA8" w:rsidP="00421CB8" w:rsidRDefault="00B20618" w14:paraId="29B20718" w14:textId="77777777">
      <w:pPr>
        <w:pStyle w:val="Standard"/>
      </w:pPr>
      <w:r w:rsidRPr="009400FE">
        <w:t xml:space="preserve">As discussed below, </w:t>
      </w:r>
      <w:r w:rsidRPr="009400FE" w:rsidR="009F41B0">
        <w:t>w</w:t>
      </w:r>
      <w:r w:rsidRPr="009400FE" w:rsidR="00654AA8">
        <w:t>e adopt</w:t>
      </w:r>
      <w:r w:rsidRPr="00421CB8" w:rsidR="00E36938">
        <w:t xml:space="preserve"> the</w:t>
      </w:r>
      <w:r w:rsidRPr="009400FE" w:rsidR="00654AA8">
        <w:t xml:space="preserve"> definition of “extension” </w:t>
      </w:r>
      <w:r w:rsidRPr="009400FE" w:rsidR="00385256">
        <w:t>(</w:t>
      </w:r>
      <w:r w:rsidRPr="009400FE" w:rsidR="00654AA8">
        <w:t xml:space="preserve">that revises the Staff </w:t>
      </w:r>
      <w:r w:rsidR="009851E3">
        <w:t xml:space="preserve">Proposal </w:t>
      </w:r>
      <w:r w:rsidR="00DC14AC">
        <w:t>Section </w:t>
      </w:r>
      <w:r w:rsidR="008B2A1E">
        <w:t>3</w:t>
      </w:r>
      <w:r w:rsidR="00826A52">
        <w:t>.1</w:t>
      </w:r>
      <w:r w:rsidR="009851E3">
        <w:t xml:space="preserve">, Proposal 2 </w:t>
      </w:r>
      <w:r w:rsidRPr="009400FE" w:rsidR="00654AA8">
        <w:t>definition of “extension”</w:t>
      </w:r>
      <w:r w:rsidRPr="00421CB8" w:rsidR="00654AA8">
        <w:t xml:space="preserve"> </w:t>
      </w:r>
      <w:r w:rsidRPr="009400FE" w:rsidR="00654AA8">
        <w:t xml:space="preserve">to be included in </w:t>
      </w:r>
      <w:r w:rsidR="00DC14AC">
        <w:t>Section</w:t>
      </w:r>
      <w:r w:rsidR="00C4778B">
        <w:t xml:space="preserve"> I.</w:t>
      </w:r>
      <w:r w:rsidRPr="009400FE" w:rsidR="00654AA8">
        <w:t xml:space="preserve">F., </w:t>
      </w:r>
      <w:r w:rsidR="003B5D07">
        <w:t>GO </w:t>
      </w:r>
      <w:r w:rsidRPr="009400FE" w:rsidR="00654AA8">
        <w:t>131-E</w:t>
      </w:r>
      <w:r w:rsidRPr="009400FE" w:rsidR="00385256">
        <w:t>),</w:t>
      </w:r>
      <w:r w:rsidRPr="009400FE" w:rsidR="00654AA8">
        <w:t xml:space="preserve"> definition of “expansion” </w:t>
      </w:r>
      <w:r w:rsidRPr="009400FE" w:rsidR="00EC54E8">
        <w:t>(</w:t>
      </w:r>
      <w:r w:rsidRPr="009400FE" w:rsidR="00654AA8">
        <w:t>that applies only to projects that increase the “width, capacity, or capability” of an existing facility</w:t>
      </w:r>
      <w:r w:rsidRPr="00421CB8" w:rsidR="00EC54E8">
        <w:t>)</w:t>
      </w:r>
      <w:r w:rsidRPr="00421CB8" w:rsidR="00B556FE">
        <w:t>,</w:t>
      </w:r>
      <w:r w:rsidRPr="00421CB8" w:rsidR="00654AA8">
        <w:t xml:space="preserve"> </w:t>
      </w:r>
      <w:r w:rsidRPr="009400FE" w:rsidR="00654AA8">
        <w:t xml:space="preserve">definition of “upgrade” </w:t>
      </w:r>
      <w:r w:rsidRPr="00421CB8" w:rsidR="00A205F2">
        <w:t>(</w:t>
      </w:r>
      <w:r w:rsidRPr="009400FE" w:rsidR="00243B3E">
        <w:t xml:space="preserve">as proposed by Staff </w:t>
      </w:r>
      <w:r w:rsidR="009851E3">
        <w:t xml:space="preserve">Proposal </w:t>
      </w:r>
      <w:r w:rsidR="00DC14AC">
        <w:t>Section </w:t>
      </w:r>
      <w:r w:rsidR="008B2A1E">
        <w:t>3</w:t>
      </w:r>
      <w:r w:rsidR="00826A52">
        <w:t>.1</w:t>
      </w:r>
      <w:r w:rsidR="009851E3">
        <w:t>, Proposal 2, Option 1</w:t>
      </w:r>
      <w:r w:rsidR="00444DAE">
        <w:t xml:space="preserve"> </w:t>
      </w:r>
      <w:r w:rsidR="00134F9B">
        <w:t>but with the</w:t>
      </w:r>
      <w:r w:rsidRPr="00421CB8" w:rsidR="00FF5746">
        <w:t xml:space="preserve"> deletion of three referenced examples (i.e., I.H.4, I.H.5, and I.H.6)</w:t>
      </w:r>
      <w:r w:rsidRPr="00421CB8" w:rsidR="00A205F2">
        <w:t>)</w:t>
      </w:r>
      <w:r w:rsidRPr="00421CB8" w:rsidR="00B556FE">
        <w:t xml:space="preserve">, and definition of </w:t>
      </w:r>
      <w:r w:rsidRPr="00421CB8" w:rsidR="00FF5746">
        <w:t xml:space="preserve">“modification” </w:t>
      </w:r>
      <w:r w:rsidRPr="00421CB8" w:rsidR="009366ED">
        <w:t>(</w:t>
      </w:r>
      <w:r w:rsidRPr="00421CB8" w:rsidR="00FF5746">
        <w:t>that is limited by the caveat “without extending or expanding the physical footprint of the facility”</w:t>
      </w:r>
      <w:r w:rsidRPr="00421CB8" w:rsidR="009366ED">
        <w:t>)</w:t>
      </w:r>
      <w:r w:rsidRPr="00421CB8" w:rsidR="00E36938">
        <w:t>.</w:t>
      </w:r>
      <w:r w:rsidRPr="00421CB8" w:rsidR="00FF5746">
        <w:t xml:space="preserve"> </w:t>
      </w:r>
      <w:r w:rsidRPr="009400FE" w:rsidR="00654AA8">
        <w:t xml:space="preserve"> </w:t>
      </w:r>
    </w:p>
    <w:p w:rsidRPr="00FC083D" w:rsidR="009014D6" w:rsidP="00421CB8" w:rsidRDefault="004F4BBC" w14:paraId="2DC6F518" w14:textId="77777777">
      <w:pPr>
        <w:pStyle w:val="Standard"/>
      </w:pPr>
      <w:r w:rsidRPr="00FC083D">
        <w:t xml:space="preserve">In </w:t>
      </w:r>
      <w:r w:rsidR="003B5D07">
        <w:t>GO </w:t>
      </w:r>
      <w:r w:rsidRPr="00FC083D">
        <w:t>131-D</w:t>
      </w:r>
      <w:r w:rsidRPr="00FC083D" w:rsidR="00EF6507">
        <w:t>, the</w:t>
      </w:r>
      <w:r w:rsidRPr="00FC083D" w:rsidR="00A82D13">
        <w:t xml:space="preserve"> term “upgrade” </w:t>
      </w:r>
      <w:r w:rsidRPr="00FC083D" w:rsidR="00F06D5C">
        <w:t>specifically applies to</w:t>
      </w:r>
      <w:r w:rsidRPr="00FC083D" w:rsidR="006976A4">
        <w:t xml:space="preserve"> </w:t>
      </w:r>
      <w:r w:rsidRPr="00FC083D" w:rsidR="00574734">
        <w:t>electric substation</w:t>
      </w:r>
      <w:r w:rsidRPr="00FC083D" w:rsidR="00B65BED">
        <w:t xml:space="preserve"> projects</w:t>
      </w:r>
      <w:r w:rsidRPr="00FC083D" w:rsidR="00585216">
        <w:t>, while “modification”</w:t>
      </w:r>
      <w:r w:rsidRPr="00FC083D">
        <w:t xml:space="preserve"> is</w:t>
      </w:r>
      <w:r w:rsidRPr="00FC083D" w:rsidR="00585216">
        <w:t xml:space="preserve"> </w:t>
      </w:r>
      <w:r w:rsidRPr="00FC083D" w:rsidR="0095310D">
        <w:t xml:space="preserve">a </w:t>
      </w:r>
      <w:r w:rsidRPr="00FC083D" w:rsidR="00556AE5">
        <w:t>general term</w:t>
      </w:r>
      <w:r w:rsidRPr="00FC083D" w:rsidR="00F85EDD">
        <w:t xml:space="preserve"> </w:t>
      </w:r>
      <w:r w:rsidRPr="00FC083D" w:rsidR="00585216">
        <w:t xml:space="preserve">used in reference to </w:t>
      </w:r>
      <w:r w:rsidRPr="00FC083D" w:rsidR="00B65BED">
        <w:t>projects that</w:t>
      </w:r>
      <w:r w:rsidRPr="00FC083D" w:rsidR="00F85EDD">
        <w:t xml:space="preserve"> </w:t>
      </w:r>
      <w:r w:rsidRPr="00FC083D" w:rsidR="00556AE5">
        <w:t>alte</w:t>
      </w:r>
      <w:r w:rsidRPr="00FC083D" w:rsidR="00B65BED">
        <w:t xml:space="preserve">r </w:t>
      </w:r>
      <w:r w:rsidRPr="00FC083D" w:rsidR="00556AE5">
        <w:t>existing facilities.</w:t>
      </w:r>
      <w:r w:rsidRPr="00FC083D" w:rsidR="008B037A">
        <w:rPr>
          <w:rStyle w:val="FootnoteReference"/>
        </w:rPr>
        <w:footnoteReference w:id="153"/>
      </w:r>
      <w:r w:rsidRPr="00FC083D" w:rsidR="00F9302C">
        <w:t xml:space="preserve"> </w:t>
      </w:r>
      <w:r w:rsidRPr="00FC083D" w:rsidR="008E38B1">
        <w:t>As explained,</w:t>
      </w:r>
      <w:r w:rsidRPr="00FC083D" w:rsidR="008831A7">
        <w:t xml:space="preserve"> </w:t>
      </w:r>
      <w:r w:rsidRPr="00FC083D" w:rsidR="009014D6">
        <w:t xml:space="preserve">Pub. Util. Code </w:t>
      </w:r>
      <w:r w:rsidRPr="00FC083D" w:rsidR="00C26B1B">
        <w:t>Sections</w:t>
      </w:r>
      <w:r w:rsidRPr="00FC083D" w:rsidR="009014D6">
        <w:t xml:space="preserve"> 564 and 1001 </w:t>
      </w:r>
      <w:r w:rsidRPr="00FC083D" w:rsidR="007C3338">
        <w:t xml:space="preserve">now </w:t>
      </w:r>
      <w:r w:rsidRPr="00FC083D" w:rsidR="009014D6">
        <w:t xml:space="preserve">authorize </w:t>
      </w:r>
      <w:r w:rsidRPr="00FC083D" w:rsidR="007C3338">
        <w:t>project</w:t>
      </w:r>
      <w:r w:rsidRPr="00FC083D" w:rsidR="00C0758E">
        <w:t xml:space="preserve"> applicant</w:t>
      </w:r>
      <w:r w:rsidRPr="00FC083D" w:rsidR="007429EA">
        <w:t>s</w:t>
      </w:r>
      <w:r w:rsidRPr="00FC083D" w:rsidR="007C3338">
        <w:t xml:space="preserve"> </w:t>
      </w:r>
      <w:r w:rsidRPr="00FC083D" w:rsidR="009014D6">
        <w:t xml:space="preserve">to file a PTC application or claim an exemption under </w:t>
      </w:r>
      <w:r w:rsidR="00DC14AC">
        <w:t>Section </w:t>
      </w:r>
      <w:r w:rsidRPr="00FC083D" w:rsidR="009014D6">
        <w:t xml:space="preserve">III.B to construct an </w:t>
      </w:r>
      <w:r w:rsidRPr="00FC083D" w:rsidR="00106D06">
        <w:t>“</w:t>
      </w:r>
      <w:r w:rsidRPr="00FC083D" w:rsidR="009014D6">
        <w:t>extension</w:t>
      </w:r>
      <w:r w:rsidRPr="00FC083D" w:rsidR="00106D06">
        <w:t>”</w:t>
      </w:r>
      <w:r w:rsidRPr="00FC083D" w:rsidR="009014D6">
        <w:t xml:space="preserve">, </w:t>
      </w:r>
      <w:r w:rsidRPr="00FC083D" w:rsidR="00106D06">
        <w:t>“</w:t>
      </w:r>
      <w:r w:rsidRPr="00FC083D" w:rsidR="009014D6">
        <w:t>expansion</w:t>
      </w:r>
      <w:r w:rsidRPr="00FC083D" w:rsidR="00106D06">
        <w:t>”</w:t>
      </w:r>
      <w:r w:rsidRPr="00FC083D" w:rsidR="009014D6">
        <w:t>,</w:t>
      </w:r>
      <w:r w:rsidRPr="00FC083D" w:rsidR="00106D06">
        <w:t xml:space="preserve"> ”</w:t>
      </w:r>
      <w:r w:rsidRPr="00FC083D" w:rsidR="009014D6">
        <w:t>upgrade</w:t>
      </w:r>
      <w:r w:rsidRPr="00FC083D" w:rsidR="00106D06">
        <w:t>”</w:t>
      </w:r>
      <w:r w:rsidRPr="00FC083D" w:rsidR="009014D6">
        <w:t xml:space="preserve">, or other </w:t>
      </w:r>
      <w:r w:rsidRPr="00FC083D" w:rsidR="00106D06">
        <w:t>“</w:t>
      </w:r>
      <w:r w:rsidRPr="00FC083D" w:rsidR="009014D6">
        <w:t>modification</w:t>
      </w:r>
      <w:r w:rsidRPr="00FC083D" w:rsidR="00106D06">
        <w:t>”</w:t>
      </w:r>
      <w:r w:rsidRPr="00FC083D" w:rsidR="009014D6">
        <w:t xml:space="preserve"> to existing electrical transmission facilities.</w:t>
      </w:r>
      <w:r w:rsidRPr="00FC083D" w:rsidR="009014D6">
        <w:rPr>
          <w:rStyle w:val="FootnoteReference"/>
        </w:rPr>
        <w:footnoteReference w:id="154"/>
      </w:r>
      <w:r w:rsidRPr="00FC083D" w:rsidR="00BA0C5D">
        <w:t xml:space="preserve"> </w:t>
      </w:r>
      <w:r w:rsidRPr="00FC083D" w:rsidR="00785496">
        <w:t>As such, t</w:t>
      </w:r>
      <w:r w:rsidRPr="00FC083D" w:rsidR="00A525C7">
        <w:t>he</w:t>
      </w:r>
      <w:r w:rsidRPr="00FC083D" w:rsidR="002A6AD5">
        <w:t xml:space="preserve">se terms must be defined with the </w:t>
      </w:r>
      <w:r w:rsidRPr="00FC083D" w:rsidR="00BA0C5D">
        <w:t xml:space="preserve">appropriate </w:t>
      </w:r>
      <w:r w:rsidRPr="00FC083D" w:rsidR="00A525C7">
        <w:t xml:space="preserve">degree of </w:t>
      </w:r>
      <w:r w:rsidRPr="00FC083D" w:rsidR="00BA0C5D">
        <w:t xml:space="preserve">specificity </w:t>
      </w:r>
      <w:r w:rsidRPr="00FC083D" w:rsidR="00785496">
        <w:t>to</w:t>
      </w:r>
      <w:r w:rsidRPr="00FC083D" w:rsidR="009B3EAC">
        <w:t xml:space="preserve"> characterize</w:t>
      </w:r>
      <w:r w:rsidRPr="00FC083D" w:rsidR="004C1F4D">
        <w:t xml:space="preserve"> </w:t>
      </w:r>
      <w:r w:rsidRPr="00FC083D" w:rsidR="004C1F4D">
        <w:lastRenderedPageBreak/>
        <w:t>project</w:t>
      </w:r>
      <w:r w:rsidRPr="00FC083D" w:rsidR="009B3EAC">
        <w:t>s</w:t>
      </w:r>
      <w:r w:rsidRPr="00FC083D" w:rsidR="004C1F4D">
        <w:t xml:space="preserve"> and </w:t>
      </w:r>
      <w:r w:rsidRPr="00FC083D" w:rsidR="00AA3295">
        <w:t>subsequent</w:t>
      </w:r>
      <w:r w:rsidRPr="00FC083D" w:rsidR="009B3EAC">
        <w:t xml:space="preserve">ly enable </w:t>
      </w:r>
      <w:r w:rsidRPr="00FC083D" w:rsidR="000B4486">
        <w:t xml:space="preserve">the </w:t>
      </w:r>
      <w:r w:rsidRPr="00FC083D" w:rsidR="004C1F4D">
        <w:t xml:space="preserve">Commission </w:t>
      </w:r>
      <w:r w:rsidRPr="00FC083D" w:rsidR="000B4486">
        <w:t xml:space="preserve">to more effectively </w:t>
      </w:r>
      <w:r w:rsidRPr="00FC083D" w:rsidR="006922E6">
        <w:t xml:space="preserve">review </w:t>
      </w:r>
      <w:r w:rsidRPr="00FC083D" w:rsidR="000B4486">
        <w:t xml:space="preserve">applications and approve </w:t>
      </w:r>
      <w:r w:rsidRPr="00FC083D" w:rsidR="006922E6">
        <w:t>CPCNs or PTCs and determine if permit exemptions can be claimed</w:t>
      </w:r>
      <w:r w:rsidRPr="00FC083D" w:rsidR="002075C4">
        <w:t>.</w:t>
      </w:r>
    </w:p>
    <w:p w:rsidRPr="00FC083D" w:rsidR="00BB5FC2" w:rsidP="00BD076D" w:rsidRDefault="002E2191" w14:paraId="44B5573C" w14:textId="77777777">
      <w:pPr>
        <w:pStyle w:val="Standard"/>
      </w:pPr>
      <w:r w:rsidRPr="00FC083D">
        <w:t xml:space="preserve">Staff provided two options </w:t>
      </w:r>
      <w:r w:rsidRPr="00FC083D" w:rsidR="0043533F">
        <w:t xml:space="preserve">to </w:t>
      </w:r>
      <w:r w:rsidRPr="00FC083D" w:rsidR="006326A4">
        <w:t>de</w:t>
      </w:r>
      <w:r w:rsidRPr="00FC083D" w:rsidR="00ED16F3">
        <w:t xml:space="preserve">fine </w:t>
      </w:r>
      <w:r w:rsidRPr="00FC083D" w:rsidR="00106D06">
        <w:t>“</w:t>
      </w:r>
      <w:r w:rsidRPr="00FC083D" w:rsidR="00ED16F3">
        <w:t>extension</w:t>
      </w:r>
      <w:r w:rsidRPr="00FC083D" w:rsidR="00106D06">
        <w:t>”</w:t>
      </w:r>
      <w:r w:rsidRPr="00FC083D" w:rsidR="00ED16F3">
        <w:t xml:space="preserve">, </w:t>
      </w:r>
      <w:r w:rsidRPr="00FC083D" w:rsidR="00106D06">
        <w:t>“</w:t>
      </w:r>
      <w:r w:rsidRPr="00FC083D" w:rsidR="00ED16F3">
        <w:t>expansion</w:t>
      </w:r>
      <w:r w:rsidRPr="00FC083D" w:rsidR="00106D06">
        <w:t>”</w:t>
      </w:r>
      <w:r w:rsidRPr="00FC083D" w:rsidR="00ED16F3">
        <w:t xml:space="preserve">, </w:t>
      </w:r>
      <w:r w:rsidRPr="00FC083D" w:rsidR="00106D06">
        <w:t>“</w:t>
      </w:r>
      <w:r w:rsidRPr="00FC083D" w:rsidR="00ED16F3">
        <w:t>upgrade</w:t>
      </w:r>
      <w:r w:rsidRPr="00FC083D" w:rsidR="00106D06">
        <w:t>”</w:t>
      </w:r>
      <w:r w:rsidRPr="00FC083D" w:rsidR="00ED16F3">
        <w:t xml:space="preserve">, and </w:t>
      </w:r>
      <w:r w:rsidRPr="00FC083D" w:rsidR="00106D06">
        <w:t>“</w:t>
      </w:r>
      <w:r w:rsidRPr="00FC083D" w:rsidR="00ED16F3">
        <w:t>modification</w:t>
      </w:r>
      <w:r w:rsidRPr="00FC083D" w:rsidR="00106D06">
        <w:t>”</w:t>
      </w:r>
      <w:r w:rsidRPr="00FC083D" w:rsidR="007C3733">
        <w:t>.</w:t>
      </w:r>
      <w:r w:rsidRPr="00FC083D" w:rsidR="003B26CA">
        <w:t xml:space="preserve"> </w:t>
      </w:r>
      <w:r w:rsidRPr="00FC083D" w:rsidR="00D46E7A">
        <w:t xml:space="preserve"> </w:t>
      </w:r>
      <w:r w:rsidRPr="00FC083D" w:rsidR="009851E3">
        <w:t xml:space="preserve">Staff Proposal </w:t>
      </w:r>
      <w:r w:rsidR="00DC14AC">
        <w:t>Section </w:t>
      </w:r>
      <w:r w:rsidRPr="00FC083D" w:rsidR="008B2A1E">
        <w:t>3</w:t>
      </w:r>
      <w:r w:rsidRPr="00FC083D" w:rsidR="00826A52">
        <w:t>.1</w:t>
      </w:r>
      <w:r w:rsidRPr="00FC083D" w:rsidR="009851E3">
        <w:t xml:space="preserve">, Proposal 2, </w:t>
      </w:r>
      <w:r w:rsidRPr="00FC083D" w:rsidR="00D46E7A">
        <w:t>Option 1 would adopt</w:t>
      </w:r>
      <w:r w:rsidRPr="00FC083D" w:rsidR="0070044A">
        <w:t xml:space="preserve"> separate but</w:t>
      </w:r>
      <w:r w:rsidRPr="00FC083D" w:rsidR="00D46E7A">
        <w:t xml:space="preserve"> broad, overlapping definitions of the terms</w:t>
      </w:r>
      <w:r w:rsidRPr="00FC083D" w:rsidR="00BD076D">
        <w:t xml:space="preserve">. </w:t>
      </w:r>
      <w:r w:rsidRPr="00FC083D" w:rsidR="009851E3">
        <w:t xml:space="preserve">Staff Proposal </w:t>
      </w:r>
      <w:r w:rsidR="00DC14AC">
        <w:t>Section </w:t>
      </w:r>
      <w:r w:rsidRPr="00FC083D" w:rsidR="008B2A1E">
        <w:t>3</w:t>
      </w:r>
      <w:r w:rsidRPr="00FC083D" w:rsidR="00826A52">
        <w:t>.1</w:t>
      </w:r>
      <w:r w:rsidRPr="00FC083D" w:rsidR="009851E3">
        <w:t xml:space="preserve">, Proposal 2, </w:t>
      </w:r>
      <w:r w:rsidRPr="00FC083D" w:rsidR="00D46E7A">
        <w:t>Option 2 would adopt consolidated definitions of the terms</w:t>
      </w:r>
      <w:r w:rsidRPr="00FC083D" w:rsidR="00ED16F3">
        <w:t xml:space="preserve">. </w:t>
      </w:r>
      <w:r w:rsidRPr="00FC083D" w:rsidR="00BB5FC2">
        <w:t>A full description of these options is provided</w:t>
      </w:r>
      <w:r w:rsidRPr="00FC083D" w:rsidR="00D46E7A">
        <w:t xml:space="preserve"> in Table 1</w:t>
      </w:r>
      <w:r w:rsidRPr="00FC083D" w:rsidR="001F3D4F">
        <w:t xml:space="preserve"> in the Staff Proposal</w:t>
      </w:r>
      <w:r w:rsidRPr="00FC083D" w:rsidR="00D46E7A">
        <w:t>.</w:t>
      </w:r>
      <w:r w:rsidRPr="00FC083D" w:rsidR="00B20E8F">
        <w:rPr>
          <w:rStyle w:val="FootnoteReference"/>
        </w:rPr>
        <w:footnoteReference w:id="155"/>
      </w:r>
    </w:p>
    <w:p w:rsidR="00E41ACA" w:rsidP="008646F8" w:rsidRDefault="008646F8" w14:paraId="7BE07781" w14:textId="77777777">
      <w:pPr>
        <w:pStyle w:val="Standard"/>
      </w:pPr>
      <w:r w:rsidRPr="00FC083D">
        <w:t xml:space="preserve">Based on a review of party comments, </w:t>
      </w:r>
      <w:r w:rsidRPr="00FC083D" w:rsidR="00D46E7A">
        <w:t>Staff recommend</w:t>
      </w:r>
      <w:r w:rsidRPr="00FC083D" w:rsidR="00FB76FB">
        <w:t xml:space="preserve">s that the Commission adopt </w:t>
      </w:r>
      <w:r w:rsidRPr="00FC083D" w:rsidR="00006500">
        <w:t xml:space="preserve">Staff Proposal </w:t>
      </w:r>
      <w:r w:rsidR="00DC14AC">
        <w:t>Section </w:t>
      </w:r>
      <w:r w:rsidRPr="00FC083D" w:rsidR="00006500">
        <w:t>3.1, Proposal 2,</w:t>
      </w:r>
      <w:r w:rsidRPr="00FC083D" w:rsidR="0026675D">
        <w:t xml:space="preserve"> </w:t>
      </w:r>
      <w:r w:rsidRPr="00FC083D" w:rsidR="00D46E7A">
        <w:t>Option 1</w:t>
      </w:r>
      <w:r w:rsidRPr="00FC083D" w:rsidR="003B26CA">
        <w:t>.</w:t>
      </w:r>
      <w:r w:rsidRPr="00FC083D" w:rsidR="00E41ACA">
        <w:t xml:space="preserve"> Staff’s r</w:t>
      </w:r>
      <w:r w:rsidRPr="00FC083D" w:rsidR="006001DA">
        <w:t>easoning</w:t>
      </w:r>
      <w:r w:rsidRPr="00FC083D" w:rsidR="00E41ACA">
        <w:t xml:space="preserve"> is based on broad support from a range of parties for a definition of (1) upgrade that includes replacing or altering existing facilities to enhance the rating, voltage, capacity, capability, or quality, (2) expansion that</w:t>
      </w:r>
      <w:r w:rsidRPr="00047504" w:rsidR="00E41ACA">
        <w:t xml:space="preserve"> includes increasing the width, capacity, or capability of an existing electrical transmission facility</w:t>
      </w:r>
      <w:r w:rsidRPr="00D25CC5" w:rsidR="00173168">
        <w:t>,</w:t>
      </w:r>
      <w:r w:rsidR="00E41ACA">
        <w:t xml:space="preserve"> and (3) </w:t>
      </w:r>
      <w:r w:rsidRPr="00047504" w:rsidR="00E41ACA">
        <w:t>extensio</w:t>
      </w:r>
      <w:r w:rsidR="00E41ACA">
        <w:t>n</w:t>
      </w:r>
      <w:r w:rsidRPr="00047504" w:rsidR="00E41ACA">
        <w:t xml:space="preserve"> that is </w:t>
      </w:r>
      <w:r w:rsidR="00E41ACA">
        <w:t>only applicable to</w:t>
      </w:r>
      <w:r w:rsidRPr="00047504" w:rsidR="00E41ACA">
        <w:t xml:space="preserve"> </w:t>
      </w:r>
      <w:r w:rsidR="001356C3">
        <w:t xml:space="preserve">extensions of </w:t>
      </w:r>
      <w:r w:rsidRPr="00047504" w:rsidR="00E41ACA">
        <w:t>existing electrical transmission facilities within existing easements, rights of way, or franchise agreements</w:t>
      </w:r>
      <w:r w:rsidR="00E41ACA">
        <w:t xml:space="preserve">. </w:t>
      </w:r>
      <w:r w:rsidR="006922E6">
        <w:t xml:space="preserve">Further, </w:t>
      </w:r>
      <w:r w:rsidR="00E41ACA">
        <w:t xml:space="preserve">Staff </w:t>
      </w:r>
      <w:r w:rsidR="00640DD9">
        <w:t>f</w:t>
      </w:r>
      <w:r w:rsidR="00B03171">
        <w:t>inds</w:t>
      </w:r>
      <w:r w:rsidR="00E41ACA">
        <w:t xml:space="preserve"> that parties generally preferred </w:t>
      </w:r>
      <w:r w:rsidRPr="001248C8" w:rsidR="00E41ACA">
        <w:t>o</w:t>
      </w:r>
      <w:r w:rsidR="00E41ACA">
        <w:t>v</w:t>
      </w:r>
      <w:r w:rsidRPr="001248C8" w:rsidR="00E41ACA">
        <w:t>erlapping definitions of extension, expansion, upgrade, and modification, including a broad definition of “modification” that may include examples provided for the other three categories.</w:t>
      </w:r>
      <w:r>
        <w:t xml:space="preserve"> </w:t>
      </w:r>
      <w:r w:rsidR="006922E6">
        <w:t>According to Staff, parties also suggest that</w:t>
      </w:r>
      <w:r w:rsidRPr="001248C8">
        <w:t xml:space="preserve"> </w:t>
      </w:r>
      <w:r w:rsidR="00D9328B">
        <w:t xml:space="preserve">the definitions of </w:t>
      </w:r>
      <w:r w:rsidR="00106D06">
        <w:t>“</w:t>
      </w:r>
      <w:r w:rsidRPr="001248C8">
        <w:t>extension</w:t>
      </w:r>
      <w:r w:rsidR="00035C6C">
        <w:t>,</w:t>
      </w:r>
      <w:r w:rsidR="00106D06">
        <w:t>”</w:t>
      </w:r>
      <w:r w:rsidRPr="001248C8">
        <w:t xml:space="preserve"> </w:t>
      </w:r>
      <w:r w:rsidR="00106D06">
        <w:t>“</w:t>
      </w:r>
      <w:r w:rsidRPr="001248C8">
        <w:t>expansion</w:t>
      </w:r>
      <w:r w:rsidR="00035C6C">
        <w:t>,</w:t>
      </w:r>
      <w:r w:rsidR="00106D06">
        <w:t>”</w:t>
      </w:r>
      <w:r w:rsidRPr="001248C8">
        <w:t xml:space="preserve"> </w:t>
      </w:r>
      <w:r w:rsidR="00106D06">
        <w:t>“</w:t>
      </w:r>
      <w:r w:rsidRPr="001248C8">
        <w:t>upgrade</w:t>
      </w:r>
      <w:r w:rsidR="00035C6C">
        <w:t>,</w:t>
      </w:r>
      <w:r w:rsidR="00106D06">
        <w:t>”</w:t>
      </w:r>
      <w:r w:rsidRPr="001248C8">
        <w:t xml:space="preserve"> and </w:t>
      </w:r>
      <w:r w:rsidR="00106D06">
        <w:t>“</w:t>
      </w:r>
      <w:r w:rsidRPr="001248C8">
        <w:t>modification</w:t>
      </w:r>
      <w:r w:rsidR="00106D06">
        <w:t>”</w:t>
      </w:r>
      <w:r w:rsidRPr="001248C8">
        <w:t xml:space="preserve"> </w:t>
      </w:r>
      <w:r w:rsidR="00D9328B">
        <w:t>as they pertain to</w:t>
      </w:r>
      <w:r w:rsidRPr="001248C8">
        <w:t xml:space="preserve"> existing facilities </w:t>
      </w:r>
      <w:r w:rsidR="006922E6">
        <w:t xml:space="preserve">should be distinguished </w:t>
      </w:r>
      <w:r w:rsidR="0021723F">
        <w:t xml:space="preserve">from </w:t>
      </w:r>
      <w:r w:rsidR="00D9328B">
        <w:t xml:space="preserve">those that are applicable to the </w:t>
      </w:r>
      <w:r w:rsidRPr="001248C8">
        <w:t>construction of new facilities.</w:t>
      </w:r>
      <w:r>
        <w:t xml:space="preserve"> </w:t>
      </w:r>
    </w:p>
    <w:p w:rsidRPr="00D46E7A" w:rsidR="00D46E7A" w:rsidP="008646F8" w:rsidRDefault="008646F8" w14:paraId="6D55807A" w14:textId="77777777">
      <w:pPr>
        <w:pStyle w:val="Standard"/>
      </w:pPr>
      <w:r>
        <w:lastRenderedPageBreak/>
        <w:t xml:space="preserve">If the Commission adopted </w:t>
      </w:r>
      <w:r w:rsidR="00BB33D3">
        <w:t xml:space="preserve">Staff Proposal </w:t>
      </w:r>
      <w:r w:rsidR="00DC14AC">
        <w:t>Section </w:t>
      </w:r>
      <w:r w:rsidR="00BB33D3">
        <w:t>3.1, Proposal 2,</w:t>
      </w:r>
      <w:r>
        <w:t xml:space="preserve"> Option 1, </w:t>
      </w:r>
      <w:r w:rsidR="00FB76FB">
        <w:t>Staff</w:t>
      </w:r>
      <w:r w:rsidR="00BB5FC2">
        <w:t xml:space="preserve"> reasons that </w:t>
      </w:r>
      <w:r w:rsidR="00FB76FB">
        <w:t>d</w:t>
      </w:r>
      <w:r w:rsidRPr="00FB76FB" w:rsidR="00FB76FB">
        <w:t xml:space="preserve">efining </w:t>
      </w:r>
      <w:r w:rsidR="00106D06">
        <w:t>“</w:t>
      </w:r>
      <w:r w:rsidRPr="00FB76FB" w:rsidR="00FB76FB">
        <w:t>extension</w:t>
      </w:r>
      <w:r w:rsidR="00106D06">
        <w:t>”</w:t>
      </w:r>
      <w:r w:rsidRPr="00FB76FB" w:rsidR="00FB76FB">
        <w:t xml:space="preserve">, </w:t>
      </w:r>
      <w:r w:rsidR="00106D06">
        <w:t>“</w:t>
      </w:r>
      <w:r w:rsidRPr="00FB76FB" w:rsidR="00FB76FB">
        <w:t>expansion</w:t>
      </w:r>
      <w:r w:rsidR="0075329F">
        <w:t>”</w:t>
      </w:r>
      <w:r w:rsidR="006C3213">
        <w:t>,” upgrade</w:t>
      </w:r>
      <w:r w:rsidR="00106D06">
        <w:t>”</w:t>
      </w:r>
      <w:r w:rsidRPr="00FB76FB" w:rsidR="00FB76FB">
        <w:t xml:space="preserve">, and </w:t>
      </w:r>
      <w:r w:rsidR="00106D06">
        <w:t>“</w:t>
      </w:r>
      <w:r w:rsidRPr="00FB76FB" w:rsidR="00FB76FB">
        <w:t>modification</w:t>
      </w:r>
      <w:r w:rsidR="00106D06">
        <w:t>”</w:t>
      </w:r>
      <w:r w:rsidRPr="00FB76FB" w:rsidR="00FB76FB">
        <w:t xml:space="preserve"> w</w:t>
      </w:r>
      <w:r>
        <w:t>ith</w:t>
      </w:r>
      <w:r w:rsidRPr="00FB76FB" w:rsidR="00FB76FB">
        <w:t xml:space="preserve"> </w:t>
      </w:r>
      <w:r>
        <w:t xml:space="preserve">additional detail would provide more </w:t>
      </w:r>
      <w:r w:rsidRPr="00FB76FB" w:rsidR="00FB76FB">
        <w:t xml:space="preserve">clarity to </w:t>
      </w:r>
      <w:r w:rsidR="00BB5FC2">
        <w:t>project applicants to request</w:t>
      </w:r>
      <w:r w:rsidR="00FB76FB">
        <w:t xml:space="preserve"> </w:t>
      </w:r>
      <w:r w:rsidR="00BB5FC2">
        <w:t xml:space="preserve">a </w:t>
      </w:r>
      <w:r w:rsidRPr="00FB76FB" w:rsidR="00FB76FB">
        <w:t>PTC or claim an exemption for certain projects</w:t>
      </w:r>
      <w:r w:rsidR="00D27691">
        <w:t xml:space="preserve"> that were subject to</w:t>
      </w:r>
      <w:r w:rsidRPr="00FB76FB" w:rsidR="00FB76FB">
        <w:t xml:space="preserve"> CPCN </w:t>
      </w:r>
      <w:r w:rsidR="00D27691">
        <w:t xml:space="preserve">requirements. </w:t>
      </w:r>
      <w:r w:rsidRPr="00FB76FB" w:rsidR="00FB76FB">
        <w:t>Furthe</w:t>
      </w:r>
      <w:r w:rsidR="00D27691">
        <w:t>r</w:t>
      </w:r>
      <w:r w:rsidRPr="00FB76FB" w:rsidR="00FB76FB">
        <w:t xml:space="preserve">, </w:t>
      </w:r>
      <w:r w:rsidR="00D27691">
        <w:t xml:space="preserve">Staff suggests that </w:t>
      </w:r>
      <w:r w:rsidRPr="00FB76FB" w:rsidR="00FB76FB">
        <w:t>providing clear definitions would help ensure consisten</w:t>
      </w:r>
      <w:r w:rsidR="00D27691">
        <w:t>t</w:t>
      </w:r>
      <w:r w:rsidRPr="00FB76FB" w:rsidR="00FB76FB">
        <w:t xml:space="preserve"> interpretation of </w:t>
      </w:r>
      <w:r w:rsidR="00DC14AC">
        <w:t>Section </w:t>
      </w:r>
      <w:r w:rsidRPr="00FB76FB" w:rsidR="00FB76FB">
        <w:t>III.A by current and future C</w:t>
      </w:r>
      <w:r w:rsidR="00D27691">
        <w:t>ommission</w:t>
      </w:r>
      <w:r w:rsidRPr="00FB76FB" w:rsidR="00FB76FB">
        <w:t xml:space="preserve"> staff</w:t>
      </w:r>
      <w:r w:rsidR="00FB76FB">
        <w:t xml:space="preserve">. </w:t>
      </w:r>
    </w:p>
    <w:p w:rsidRPr="00AB3FC5" w:rsidR="0055438F" w:rsidP="00794A32" w:rsidRDefault="002E32E2" w14:paraId="042EC8D4" w14:textId="77777777">
      <w:pPr>
        <w:pStyle w:val="Standard"/>
        <w:rPr>
          <w:rFonts w:ascii="Aptos" w:hAnsi="Aptos"/>
          <w:color w:val="000000"/>
          <w:sz w:val="22"/>
          <w:shd w:val="clear" w:color="auto" w:fill="FFFFFF"/>
        </w:rPr>
      </w:pPr>
      <w:r w:rsidRPr="002E32E2">
        <w:t xml:space="preserve">With respect to definition of the term “extension”, EDF and the Sierra Club support </w:t>
      </w:r>
      <w:r>
        <w:t>S</w:t>
      </w:r>
      <w:r w:rsidRPr="002E32E2">
        <w:t>taff’s recommend</w:t>
      </w:r>
      <w:r>
        <w:t>ation to adopt</w:t>
      </w:r>
      <w:r w:rsidRPr="002E32E2">
        <w:t xml:space="preserve"> </w:t>
      </w:r>
      <w:r w:rsidR="00794A32">
        <w:t xml:space="preserve">Staff Proposal Section 3.1, Proposal 2, </w:t>
      </w:r>
      <w:r w:rsidRPr="002E32E2">
        <w:t>Option 1</w:t>
      </w:r>
      <w:r w:rsidR="0055438F">
        <w:t xml:space="preserve"> </w:t>
      </w:r>
      <w:r w:rsidRPr="002E32E2">
        <w:t>with no revisions.</w:t>
      </w:r>
      <w:r w:rsidR="006A2910">
        <w:rPr>
          <w:rStyle w:val="FootnoteReference"/>
        </w:rPr>
        <w:footnoteReference w:id="156"/>
      </w:r>
      <w:r w:rsidRPr="002E32E2">
        <w:t xml:space="preserve"> </w:t>
      </w:r>
      <w:r w:rsidRPr="009400FE" w:rsidR="00AB3FC5">
        <w:t>However, several parties (</w:t>
      </w:r>
      <w:r w:rsidRPr="00C20D86" w:rsidR="00AB3FC5">
        <w:rPr>
          <w:i/>
          <w:iCs/>
        </w:rPr>
        <w:t>e.g.</w:t>
      </w:r>
      <w:r w:rsidRPr="009400FE" w:rsidR="00AB3FC5">
        <w:t>, PG&amp;E, SCE, SDG&amp;E, LS</w:t>
      </w:r>
      <w:r w:rsidRPr="009400FE" w:rsidR="00282CC8">
        <w:t>PGC</w:t>
      </w:r>
      <w:r w:rsidRPr="009400FE" w:rsidR="00AB3FC5">
        <w:t xml:space="preserve">, CUE, CBD, DOW) express concerns with or opposition to </w:t>
      </w:r>
      <w:r w:rsidR="007553E1">
        <w:t xml:space="preserve">Staff Proposal </w:t>
      </w:r>
      <w:r w:rsidR="00DC14AC">
        <w:t>Section </w:t>
      </w:r>
      <w:r w:rsidR="007553E1">
        <w:t xml:space="preserve">3.1, </w:t>
      </w:r>
      <w:r w:rsidR="007017DF">
        <w:t>Proposal </w:t>
      </w:r>
      <w:r w:rsidR="007553E1">
        <w:t xml:space="preserve">2, </w:t>
      </w:r>
      <w:r w:rsidRPr="009400FE" w:rsidR="00AB3FC5">
        <w:t>Option 1 but propose revisions to address these concerns. </w:t>
      </w:r>
      <w:r w:rsidRPr="009400FE">
        <w:t>DOW proposes further constraining the</w:t>
      </w:r>
      <w:r w:rsidRPr="009400FE" w:rsidR="00AB3FC5">
        <w:t xml:space="preserve"> </w:t>
      </w:r>
      <w:r w:rsidRPr="009400FE">
        <w:t>definition. </w:t>
      </w:r>
      <w:r w:rsidRPr="009400FE" w:rsidR="0055438F">
        <w:t xml:space="preserve">DOW and CBD propose revising the definition </w:t>
      </w:r>
      <w:r w:rsidRPr="009400FE" w:rsidR="004708A5">
        <w:t xml:space="preserve">of “extension” </w:t>
      </w:r>
      <w:r w:rsidRPr="009400FE" w:rsidR="0055438F">
        <w:t xml:space="preserve">to limit </w:t>
      </w:r>
      <w:r w:rsidRPr="009400FE" w:rsidR="004708A5">
        <w:t>its</w:t>
      </w:r>
      <w:r w:rsidRPr="009400FE" w:rsidR="0055438F">
        <w:t xml:space="preserve"> length</w:t>
      </w:r>
      <w:r w:rsidRPr="009400FE" w:rsidR="00AD055A">
        <w:t xml:space="preserve"> to prevent the cons</w:t>
      </w:r>
      <w:r w:rsidRPr="009400FE" w:rsidR="00D479F8">
        <w:t>truction of a</w:t>
      </w:r>
      <w:r w:rsidRPr="009400FE" w:rsidR="00536CC4">
        <w:t xml:space="preserve"> “new” transmission line that could </w:t>
      </w:r>
      <w:r w:rsidRPr="009400FE" w:rsidR="00D764C8">
        <w:t xml:space="preserve">span </w:t>
      </w:r>
      <w:r w:rsidRPr="009400FE" w:rsidR="00A6247E">
        <w:t>hundreds</w:t>
      </w:r>
      <w:r w:rsidR="00A6247E">
        <w:t xml:space="preserve"> of miles</w:t>
      </w:r>
      <w:r w:rsidRPr="0055438F" w:rsidR="0055438F">
        <w:t>.</w:t>
      </w:r>
      <w:r w:rsidR="00A6247E">
        <w:rPr>
          <w:rStyle w:val="FootnoteReference"/>
        </w:rPr>
        <w:footnoteReference w:id="157"/>
      </w:r>
      <w:r w:rsidRPr="0055438F" w:rsidR="0055438F">
        <w:rPr>
          <w:b/>
          <w:bCs/>
        </w:rPr>
        <w:t xml:space="preserve"> </w:t>
      </w:r>
      <w:r w:rsidRPr="002A7919" w:rsidR="002A7919">
        <w:t xml:space="preserve">Pursuant </w:t>
      </w:r>
      <w:r w:rsidRPr="00FC083D" w:rsidR="002A7919">
        <w:t xml:space="preserve">to </w:t>
      </w:r>
      <w:r w:rsidRPr="00FC083D" w:rsidR="006F02D7">
        <w:t xml:space="preserve">Pub. Util. Code </w:t>
      </w:r>
      <w:r w:rsidR="00DC14AC">
        <w:t>Section </w:t>
      </w:r>
      <w:r w:rsidRPr="00FC083D" w:rsidR="002A7919">
        <w:t xml:space="preserve">564 and </w:t>
      </w:r>
      <w:r w:rsidR="00DC14AC">
        <w:t>Section </w:t>
      </w:r>
      <w:r w:rsidRPr="00FC083D" w:rsidR="002A7919">
        <w:t xml:space="preserve">III.A of </w:t>
      </w:r>
      <w:r w:rsidR="003B5D07">
        <w:t>GO </w:t>
      </w:r>
      <w:r w:rsidRPr="00FC083D" w:rsidR="002A7919">
        <w:t>131-D,</w:t>
      </w:r>
      <w:r w:rsidRPr="00FC083D" w:rsidR="002A7919">
        <w:rPr>
          <w:b/>
          <w:bCs/>
        </w:rPr>
        <w:t xml:space="preserve"> </w:t>
      </w:r>
      <w:r w:rsidRPr="00FC083D" w:rsidR="0055438F">
        <w:t>CBD suggests revising the definition to read, “policy-driven construction, within an existing easement, right of way, or franchise agreement, of an electric transmission or power line facility that connects an existing electric transmission facility to a service delivery point and does not have a significant effect on the environment or rates.”</w:t>
      </w:r>
      <w:r w:rsidRPr="00FC083D" w:rsidR="00BF2044">
        <w:rPr>
          <w:rStyle w:val="FootnoteReference"/>
        </w:rPr>
        <w:footnoteReference w:id="158"/>
      </w:r>
      <w:r w:rsidRPr="00FC083D" w:rsidR="00E77043">
        <w:t xml:space="preserve"> PG&amp;E </w:t>
      </w:r>
      <w:r w:rsidRPr="00FC083D" w:rsidR="0055438F">
        <w:t>suggest</w:t>
      </w:r>
      <w:r w:rsidRPr="00FC083D" w:rsidR="00E77043">
        <w:t>s</w:t>
      </w:r>
      <w:r w:rsidRPr="00FC083D" w:rsidR="0055438F">
        <w:t xml:space="preserve"> revising the definition to read, “A new major electric transmission facility that is interconnected to existing electrical </w:t>
      </w:r>
      <w:r w:rsidRPr="00FC083D" w:rsidR="0055438F">
        <w:lastRenderedPageBreak/>
        <w:t>transmission facilities</w:t>
      </w:r>
      <w:r w:rsidRPr="00FC083D" w:rsidR="00AE25A2">
        <w:t>.</w:t>
      </w:r>
      <w:r w:rsidRPr="00FC083D" w:rsidR="0055438F">
        <w:t>”</w:t>
      </w:r>
      <w:r w:rsidRPr="00FC083D" w:rsidR="00E77043">
        <w:rPr>
          <w:rStyle w:val="FootnoteReference"/>
        </w:rPr>
        <w:footnoteReference w:id="159"/>
      </w:r>
      <w:r w:rsidRPr="00FC083D" w:rsidR="0055438F">
        <w:t xml:space="preserve"> </w:t>
      </w:r>
      <w:r w:rsidRPr="00FC083D" w:rsidR="00E77043">
        <w:t>SCE</w:t>
      </w:r>
      <w:r w:rsidRPr="00FC083D" w:rsidR="0055438F">
        <w:t xml:space="preserve"> propose</w:t>
      </w:r>
      <w:r w:rsidRPr="00FC083D" w:rsidR="00E77043">
        <w:t>s</w:t>
      </w:r>
      <w:r w:rsidRPr="00FC083D" w:rsidR="0055438F">
        <w:t xml:space="preserve"> an inclusive, non-limited list of examples that includes gen-tie segments, substation loop-ins, and “Major transmission or power line relocations that create a longer line to reduce or avoid environmental impacts and/or land-use conflicts.”</w:t>
      </w:r>
      <w:r w:rsidRPr="00FC083D" w:rsidR="00E77043">
        <w:rPr>
          <w:rStyle w:val="FootnoteReference"/>
        </w:rPr>
        <w:footnoteReference w:id="160"/>
      </w:r>
      <w:r w:rsidRPr="00FC083D" w:rsidR="0055438F">
        <w:t xml:space="preserve"> LSPGC suggests deleting the “within existing transmission easements, rights-of-way, or franchise agreements” limitation.</w:t>
      </w:r>
      <w:r w:rsidRPr="00FC083D" w:rsidR="00305C04">
        <w:rPr>
          <w:rStyle w:val="FootnoteReference"/>
        </w:rPr>
        <w:footnoteReference w:id="161"/>
      </w:r>
      <w:r w:rsidRPr="0055438F" w:rsidR="0055438F">
        <w:t> </w:t>
      </w:r>
      <w:r w:rsidR="0055438F">
        <w:t xml:space="preserve"> </w:t>
      </w:r>
    </w:p>
    <w:p w:rsidR="004708A5" w:rsidP="009400FE" w:rsidRDefault="00A45664" w14:paraId="11DB0DEA" w14:textId="77777777">
      <w:pPr>
        <w:pStyle w:val="Standard"/>
      </w:pPr>
      <w:r>
        <w:t>Parties generally support Staff’s recommendation to adopt the</w:t>
      </w:r>
      <w:r w:rsidR="0055438F">
        <w:t xml:space="preserve"> </w:t>
      </w:r>
      <w:r w:rsidR="004708A5">
        <w:t xml:space="preserve">definition of the term </w:t>
      </w:r>
      <w:r w:rsidRPr="004708A5" w:rsidR="004708A5">
        <w:t>“expansion”</w:t>
      </w:r>
      <w:r>
        <w:t xml:space="preserve"> in </w:t>
      </w:r>
      <w:r w:rsidR="00B0443A">
        <w:t xml:space="preserve">Staff Proposal </w:t>
      </w:r>
      <w:r w:rsidR="00DC14AC">
        <w:t>Section </w:t>
      </w:r>
      <w:r w:rsidR="00B0443A">
        <w:t xml:space="preserve">3.1, Proposal 2, </w:t>
      </w:r>
      <w:r w:rsidRPr="002E32E2" w:rsidR="002E32E2">
        <w:t xml:space="preserve">Option 1. </w:t>
      </w:r>
      <w:r w:rsidRPr="004708A5" w:rsidR="004708A5">
        <w:t xml:space="preserve">EDF and the Sierra Club support </w:t>
      </w:r>
      <w:r w:rsidR="00B0443A">
        <w:t xml:space="preserve">Staff Proposal </w:t>
      </w:r>
      <w:r w:rsidR="00DC14AC">
        <w:t>Section </w:t>
      </w:r>
      <w:r w:rsidR="00B0443A">
        <w:t xml:space="preserve">3.1, Proposal 2, </w:t>
      </w:r>
      <w:r w:rsidRPr="004708A5" w:rsidR="004708A5">
        <w:t>Option 1 with no revisions.</w:t>
      </w:r>
      <w:r w:rsidR="002B53F8">
        <w:rPr>
          <w:rStyle w:val="FootnoteReference"/>
        </w:rPr>
        <w:footnoteReference w:id="162"/>
      </w:r>
      <w:r w:rsidRPr="004708A5" w:rsidR="004708A5">
        <w:t xml:space="preserve"> PG&amp;E, SCE, SDG&amp;E, and CUE support </w:t>
      </w:r>
      <w:r w:rsidR="00B0443A">
        <w:t xml:space="preserve">Staff Proposal </w:t>
      </w:r>
      <w:r w:rsidR="00DC14AC">
        <w:t>Section </w:t>
      </w:r>
      <w:r w:rsidR="00B0443A">
        <w:t xml:space="preserve">3.1, Proposal 2, </w:t>
      </w:r>
      <w:r w:rsidRPr="004708A5" w:rsidR="004708A5">
        <w:t>Option 1 with minor revisions t</w:t>
      </w:r>
      <w:r w:rsidR="0083687D">
        <w:t>hat</w:t>
      </w:r>
      <w:r w:rsidRPr="004708A5" w:rsidR="004708A5">
        <w:t xml:space="preserve"> expand the definition. </w:t>
      </w:r>
      <w:r w:rsidRPr="004708A5">
        <w:t xml:space="preserve">The IOUs </w:t>
      </w:r>
      <w:r>
        <w:t>propose</w:t>
      </w:r>
      <w:r w:rsidRPr="004708A5">
        <w:t xml:space="preserve"> </w:t>
      </w:r>
      <w:r w:rsidR="0053153F">
        <w:t xml:space="preserve">to </w:t>
      </w:r>
      <w:r w:rsidRPr="004708A5">
        <w:t>revis</w:t>
      </w:r>
      <w:r w:rsidR="0053153F">
        <w:t>e</w:t>
      </w:r>
      <w:r w:rsidRPr="004708A5">
        <w:t xml:space="preserve"> the definition to read, “an increase in the width </w:t>
      </w:r>
      <w:r w:rsidRPr="004708A5">
        <w:rPr>
          <w:u w:val="single"/>
        </w:rPr>
        <w:t>size</w:t>
      </w:r>
      <w:r w:rsidRPr="004708A5">
        <w:t>, capacity, or capability of an existing electrical transmission facility, including but not limited to the following types of projects</w:t>
      </w:r>
      <w:r w:rsidRPr="004708A5">
        <w:rPr>
          <w:u w:val="single"/>
        </w:rPr>
        <w:t xml:space="preserve"> regardless of whether the facilities would be located within existing utility property rights</w:t>
      </w:r>
      <w:r w:rsidRPr="004708A5">
        <w:t>”, to make minor edits to the examples, and to add the following example of an “expansion”: “Installing a new 200 kV or greater transmission line project within, and/or at locations adjacent to, an existing ROW containing transmission facilities, resulting in an enlargement of the ROW.” </w:t>
      </w:r>
    </w:p>
    <w:p w:rsidR="009B0A2C" w:rsidP="00A45664" w:rsidRDefault="004708A5" w14:paraId="1BB17385" w14:textId="77777777">
      <w:pPr>
        <w:pStyle w:val="Standard"/>
      </w:pPr>
      <w:r w:rsidRPr="004708A5">
        <w:t>DOW suggests revising the definition</w:t>
      </w:r>
      <w:r>
        <w:t xml:space="preserve"> of “expansion”</w:t>
      </w:r>
      <w:r w:rsidRPr="004708A5">
        <w:t xml:space="preserve"> to read</w:t>
      </w:r>
      <w:r w:rsidR="009B0A2C">
        <w:t>:</w:t>
      </w:r>
    </w:p>
    <w:p w:rsidR="004708A5" w:rsidP="00E75F73" w:rsidRDefault="009B0A2C" w14:paraId="01A980EC" w14:textId="77777777">
      <w:pPr>
        <w:pStyle w:val="BlockQuote"/>
        <w:spacing w:after="180"/>
      </w:pPr>
      <w:r>
        <w:t xml:space="preserve">… </w:t>
      </w:r>
      <w:r w:rsidRPr="004708A5" w:rsidR="004708A5">
        <w:t xml:space="preserve">policy-driven construction, within an existing easement, right of way, or franchise agreement, that adds new facilities or capacity to </w:t>
      </w:r>
      <w:r w:rsidRPr="004708A5" w:rsidR="004708A5">
        <w:lastRenderedPageBreak/>
        <w:t>an existing electric transmission facility and does not have a significant effect on the environment or rates.</w:t>
      </w:r>
    </w:p>
    <w:p w:rsidR="0083687D" w:rsidP="00FB53E3" w:rsidRDefault="00A45664" w14:paraId="5EC39BC6" w14:textId="77777777">
      <w:pPr>
        <w:pStyle w:val="Standard"/>
        <w:rPr>
          <w:color w:val="000000"/>
          <w:szCs w:val="26"/>
          <w:shd w:val="clear" w:color="auto" w:fill="FFFFFF"/>
        </w:rPr>
      </w:pPr>
      <w:r w:rsidRPr="007B613A">
        <w:t xml:space="preserve">Consistent with party </w:t>
      </w:r>
      <w:r w:rsidRPr="007B613A" w:rsidR="00DD779B">
        <w:t xml:space="preserve">positions </w:t>
      </w:r>
      <w:r w:rsidRPr="007B613A" w:rsidR="00A56294">
        <w:t>regarding</w:t>
      </w:r>
      <w:r w:rsidRPr="007B613A" w:rsidR="00F72049">
        <w:t xml:space="preserve"> </w:t>
      </w:r>
      <w:r w:rsidRPr="007B613A">
        <w:t>Staff’s proposed definition of “expansion</w:t>
      </w:r>
      <w:r w:rsidRPr="007B613A" w:rsidR="009422CA">
        <w:t>,</w:t>
      </w:r>
      <w:r w:rsidRPr="007B613A">
        <w:t xml:space="preserve">” </w:t>
      </w:r>
      <w:r w:rsidRPr="007B613A" w:rsidR="0083687D">
        <w:t xml:space="preserve">most parties, including </w:t>
      </w:r>
      <w:r w:rsidRPr="007B613A" w:rsidR="004708A5">
        <w:t>PG&amp;E, SCE, SDG&amp;E, EDF, and the Sierra Club</w:t>
      </w:r>
      <w:r w:rsidRPr="007B613A" w:rsidR="0083687D">
        <w:t xml:space="preserve">, </w:t>
      </w:r>
      <w:r w:rsidRPr="007B613A" w:rsidR="004708A5">
        <w:t xml:space="preserve">support </w:t>
      </w:r>
      <w:r w:rsidRPr="007B613A">
        <w:t>S</w:t>
      </w:r>
      <w:r w:rsidRPr="007B613A" w:rsidR="004708A5">
        <w:t>taff’s recommend</w:t>
      </w:r>
      <w:r w:rsidRPr="007B613A">
        <w:t xml:space="preserve">ed definition of “upgrade” in </w:t>
      </w:r>
      <w:r w:rsidR="00794A32">
        <w:t xml:space="preserve">Staff Proposal Section 3.1, Proposal 2, </w:t>
      </w:r>
      <w:r w:rsidRPr="007B613A" w:rsidR="004708A5">
        <w:t xml:space="preserve">Option 1 with minor revisions. </w:t>
      </w:r>
      <w:r w:rsidRPr="007B613A" w:rsidR="0083687D">
        <w:rPr>
          <w:color w:val="000000"/>
          <w:szCs w:val="26"/>
          <w:shd w:val="clear" w:color="auto" w:fill="FFFFFF"/>
        </w:rPr>
        <w:t>PG&amp;E, SCE, and SDG&amp;E propose deleting the</w:t>
      </w:r>
      <w:r w:rsidRPr="007B613A" w:rsidR="009A0390">
        <w:rPr>
          <w:color w:val="000000"/>
          <w:szCs w:val="26"/>
          <w:shd w:val="clear" w:color="auto" w:fill="FFFFFF"/>
        </w:rPr>
        <w:t>se</w:t>
      </w:r>
      <w:r w:rsidRPr="007B613A" w:rsidR="0083687D">
        <w:rPr>
          <w:color w:val="000000"/>
          <w:shd w:val="clear" w:color="auto" w:fill="FFFFFF"/>
        </w:rPr>
        <w:t xml:space="preserve"> </w:t>
      </w:r>
      <w:r w:rsidRPr="007B613A" w:rsidR="0083687D">
        <w:rPr>
          <w:color w:val="000000"/>
          <w:szCs w:val="26"/>
          <w:shd w:val="clear" w:color="auto" w:fill="FFFFFF"/>
        </w:rPr>
        <w:t>three examples proposed for the “upgrade” definition</w:t>
      </w:r>
      <w:r w:rsidRPr="007B613A" w:rsidR="009A0390">
        <w:rPr>
          <w:color w:val="000000"/>
          <w:szCs w:val="26"/>
          <w:shd w:val="clear" w:color="auto" w:fill="FFFFFF"/>
        </w:rPr>
        <w:t>: (1)</w:t>
      </w:r>
      <w:r w:rsidRPr="007B613A" w:rsidR="009A0390">
        <w:rPr>
          <w:color w:val="000000"/>
          <w:shd w:val="clear" w:color="auto" w:fill="FFFFFF"/>
        </w:rPr>
        <w:t xml:space="preserve"> </w:t>
      </w:r>
      <w:r w:rsidRPr="007B613A" w:rsidR="0083687D">
        <w:rPr>
          <w:color w:val="000000"/>
          <w:shd w:val="clear" w:color="auto" w:fill="FFFFFF"/>
        </w:rPr>
        <w:t>“</w:t>
      </w:r>
      <w:r w:rsidRPr="007B613A" w:rsidR="00A42EFD">
        <w:rPr>
          <w:color w:val="000000"/>
          <w:szCs w:val="26"/>
          <w:shd w:val="clear" w:color="auto" w:fill="FFFFFF"/>
        </w:rPr>
        <w:t>Replacing existing support structures with new support structures of a different material and/or design</w:t>
      </w:r>
      <w:r w:rsidRPr="007B613A" w:rsidR="009A0390">
        <w:rPr>
          <w:color w:val="000000"/>
          <w:szCs w:val="26"/>
          <w:shd w:val="clear" w:color="auto" w:fill="FFFFFF"/>
        </w:rPr>
        <w:t>;</w:t>
      </w:r>
      <w:r w:rsidRPr="007B613A" w:rsidR="0083687D">
        <w:rPr>
          <w:color w:val="000000"/>
          <w:szCs w:val="26"/>
          <w:shd w:val="clear" w:color="auto" w:fill="FFFFFF"/>
        </w:rPr>
        <w:t>”</w:t>
      </w:r>
      <w:r w:rsidRPr="007B613A" w:rsidR="00FB53E3">
        <w:rPr>
          <w:rStyle w:val="FootnoteReference"/>
          <w:color w:val="000000"/>
          <w:shd w:val="clear" w:color="auto" w:fill="FFFFFF"/>
        </w:rPr>
        <w:footnoteReference w:id="163"/>
      </w:r>
      <w:r w:rsidRPr="007B613A" w:rsidR="00F84E91">
        <w:rPr>
          <w:color w:val="000000"/>
          <w:szCs w:val="26"/>
          <w:shd w:val="clear" w:color="auto" w:fill="FFFFFF"/>
        </w:rPr>
        <w:t xml:space="preserve"> (2)</w:t>
      </w:r>
      <w:r w:rsidRPr="007B613A" w:rsidR="0083687D">
        <w:rPr>
          <w:color w:val="000000"/>
          <w:szCs w:val="26"/>
          <w:shd w:val="clear" w:color="auto" w:fill="FFFFFF"/>
        </w:rPr>
        <w:t xml:space="preserve"> “</w:t>
      </w:r>
      <w:r w:rsidRPr="007B613A" w:rsidR="00FB53E3">
        <w:rPr>
          <w:color w:val="000000"/>
          <w:szCs w:val="26"/>
          <w:shd w:val="clear" w:color="auto" w:fill="FFFFFF"/>
        </w:rPr>
        <w:t>Adding battery energy storage systems to an existing substation, or expanding an existing substation to include battery energy storage systems</w:t>
      </w:r>
      <w:r w:rsidRPr="007B613A" w:rsidR="00F84E91">
        <w:rPr>
          <w:color w:val="000000"/>
          <w:szCs w:val="26"/>
          <w:shd w:val="clear" w:color="auto" w:fill="FFFFFF"/>
        </w:rPr>
        <w:t>;</w:t>
      </w:r>
      <w:r w:rsidRPr="007B613A" w:rsidR="0083687D">
        <w:rPr>
          <w:color w:val="000000"/>
          <w:szCs w:val="26"/>
          <w:shd w:val="clear" w:color="auto" w:fill="FFFFFF"/>
        </w:rPr>
        <w:t>”</w:t>
      </w:r>
      <w:r w:rsidRPr="007B613A" w:rsidR="00FB53E3">
        <w:rPr>
          <w:rStyle w:val="FootnoteReference"/>
          <w:color w:val="000000"/>
          <w:shd w:val="clear" w:color="auto" w:fill="FFFFFF"/>
        </w:rPr>
        <w:footnoteReference w:id="164"/>
      </w:r>
      <w:r w:rsidRPr="007B613A" w:rsidR="0083687D">
        <w:rPr>
          <w:color w:val="000000"/>
          <w:szCs w:val="26"/>
          <w:shd w:val="clear" w:color="auto" w:fill="FFFFFF"/>
        </w:rPr>
        <w:t xml:space="preserve"> </w:t>
      </w:r>
      <w:r w:rsidRPr="007B613A" w:rsidR="0083687D">
        <w:rPr>
          <w:color w:val="000000"/>
          <w:shd w:val="clear" w:color="auto" w:fill="FFFFFF"/>
        </w:rPr>
        <w:t>and</w:t>
      </w:r>
      <w:r w:rsidRPr="007B613A" w:rsidR="0083687D">
        <w:rPr>
          <w:color w:val="000000"/>
          <w:szCs w:val="26"/>
          <w:shd w:val="clear" w:color="auto" w:fill="FFFFFF"/>
        </w:rPr>
        <w:t xml:space="preserve"> </w:t>
      </w:r>
      <w:r w:rsidRPr="007B613A" w:rsidR="00F84E91">
        <w:rPr>
          <w:color w:val="000000"/>
          <w:szCs w:val="26"/>
          <w:shd w:val="clear" w:color="auto" w:fill="FFFFFF"/>
        </w:rPr>
        <w:t>(3)</w:t>
      </w:r>
      <w:r w:rsidRPr="007B613A" w:rsidR="0083687D">
        <w:rPr>
          <w:color w:val="000000"/>
          <w:szCs w:val="26"/>
          <w:shd w:val="clear" w:color="auto" w:fill="FFFFFF"/>
        </w:rPr>
        <w:t xml:space="preserve"> “</w:t>
      </w:r>
      <w:r w:rsidRPr="007B613A" w:rsidR="00FB53E3">
        <w:rPr>
          <w:color w:val="000000"/>
          <w:szCs w:val="26"/>
          <w:shd w:val="clear" w:color="auto" w:fill="FFFFFF"/>
        </w:rPr>
        <w:t>Replacing or adding equipment (</w:t>
      </w:r>
      <w:r w:rsidRPr="00C20D86" w:rsidR="00FB53E3">
        <w:rPr>
          <w:i/>
          <w:iCs/>
          <w:color w:val="000000"/>
          <w:szCs w:val="26"/>
          <w:shd w:val="clear" w:color="auto" w:fill="FFFFFF"/>
        </w:rPr>
        <w:t>e.g.</w:t>
      </w:r>
      <w:r w:rsidRPr="007B613A" w:rsidR="00FB53E3">
        <w:rPr>
          <w:color w:val="000000"/>
          <w:szCs w:val="26"/>
          <w:shd w:val="clear" w:color="auto" w:fill="FFFFFF"/>
        </w:rPr>
        <w:t>, circuit breakers, transformers) to a substation for the purpose of uprating the substation; or the uprating of individual components of a transmission line, power line, or substation</w:t>
      </w:r>
      <w:r w:rsidRPr="007B613A" w:rsidR="00F84E91">
        <w:rPr>
          <w:color w:val="000000"/>
          <w:szCs w:val="26"/>
          <w:shd w:val="clear" w:color="auto" w:fill="FFFFFF"/>
        </w:rPr>
        <w:t>.</w:t>
      </w:r>
      <w:r w:rsidRPr="007B613A" w:rsidR="0083687D">
        <w:rPr>
          <w:color w:val="000000"/>
          <w:szCs w:val="26"/>
          <w:shd w:val="clear" w:color="auto" w:fill="FFFFFF"/>
        </w:rPr>
        <w:t>”</w:t>
      </w:r>
      <w:r w:rsidRPr="007B613A" w:rsidR="00FB53E3">
        <w:rPr>
          <w:rStyle w:val="FootnoteReference"/>
          <w:color w:val="000000"/>
          <w:shd w:val="clear" w:color="auto" w:fill="FFFFFF"/>
        </w:rPr>
        <w:footnoteReference w:id="165"/>
      </w:r>
      <w:r w:rsidRPr="0083687D" w:rsidR="0083687D">
        <w:rPr>
          <w:color w:val="000000"/>
          <w:szCs w:val="26"/>
          <w:shd w:val="clear" w:color="auto" w:fill="FFFFFF"/>
        </w:rPr>
        <w:t xml:space="preserve"> </w:t>
      </w:r>
    </w:p>
    <w:p w:rsidRPr="009400FE" w:rsidR="0083687D" w:rsidP="00241B5B" w:rsidRDefault="0083687D" w14:paraId="113BE40F" w14:textId="77777777">
      <w:pPr>
        <w:pStyle w:val="Standard"/>
      </w:pPr>
      <w:r w:rsidRPr="009400FE">
        <w:rPr>
          <w:color w:val="000000"/>
          <w:szCs w:val="26"/>
          <w:shd w:val="clear" w:color="auto" w:fill="FFFFFF"/>
        </w:rPr>
        <w:t>However, s</w:t>
      </w:r>
      <w:r w:rsidRPr="009400FE" w:rsidR="00CA5DDC">
        <w:rPr>
          <w:color w:val="000000"/>
          <w:szCs w:val="26"/>
          <w:shd w:val="clear" w:color="auto" w:fill="FFFFFF"/>
        </w:rPr>
        <w:t>everal</w:t>
      </w:r>
      <w:r w:rsidRPr="009400FE">
        <w:rPr>
          <w:color w:val="000000"/>
          <w:szCs w:val="26"/>
          <w:shd w:val="clear" w:color="auto" w:fill="FFFFFF"/>
        </w:rPr>
        <w:t xml:space="preserve"> parties (ATC, RCRC, SCE, etc.) recommend deleting battery storage (</w:t>
      </w:r>
      <w:r w:rsidR="00DC14AC">
        <w:rPr>
          <w:color w:val="000000"/>
          <w:szCs w:val="26"/>
          <w:shd w:val="clear" w:color="auto" w:fill="FFFFFF"/>
        </w:rPr>
        <w:t>Section </w:t>
      </w:r>
      <w:r w:rsidRPr="009400FE">
        <w:rPr>
          <w:color w:val="000000"/>
          <w:szCs w:val="26"/>
          <w:shd w:val="clear" w:color="auto" w:fill="FFFFFF"/>
        </w:rPr>
        <w:t>I.H.5) from the proposed definition of “upgrade</w:t>
      </w:r>
      <w:r w:rsidRPr="009400FE" w:rsidR="009422CA">
        <w:rPr>
          <w:color w:val="000000"/>
          <w:szCs w:val="26"/>
          <w:shd w:val="clear" w:color="auto" w:fill="FFFFFF"/>
        </w:rPr>
        <w:t>.</w:t>
      </w:r>
      <w:r w:rsidRPr="009400FE">
        <w:rPr>
          <w:color w:val="000000"/>
          <w:szCs w:val="26"/>
          <w:shd w:val="clear" w:color="auto" w:fill="FFFFFF"/>
        </w:rPr>
        <w:t>” The Sierra Club proposes adding the limiting phrase “without extending or expanding the physical footprint of the facility” to the first sentence of</w:t>
      </w:r>
      <w:r w:rsidR="00742C8B">
        <w:rPr>
          <w:color w:val="000000"/>
          <w:szCs w:val="26"/>
          <w:shd w:val="clear" w:color="auto" w:fill="FFFFFF"/>
        </w:rPr>
        <w:t xml:space="preserve"> the “upgrade” definition proposed in</w:t>
      </w:r>
      <w:r w:rsidRPr="009400FE">
        <w:rPr>
          <w:color w:val="000000"/>
          <w:szCs w:val="26"/>
          <w:shd w:val="clear" w:color="auto" w:fill="FFFFFF"/>
        </w:rPr>
        <w:t xml:space="preserve"> </w:t>
      </w:r>
      <w:r w:rsidR="00D63C00">
        <w:t xml:space="preserve">Staff Proposal </w:t>
      </w:r>
      <w:r w:rsidR="00DC14AC">
        <w:t>Section </w:t>
      </w:r>
      <w:r w:rsidR="00D63C00">
        <w:t xml:space="preserve">3.1, Proposal 2, </w:t>
      </w:r>
      <w:r w:rsidRPr="009400FE">
        <w:rPr>
          <w:color w:val="000000"/>
          <w:szCs w:val="26"/>
          <w:shd w:val="clear" w:color="auto" w:fill="FFFFFF"/>
        </w:rPr>
        <w:t>Option 1 and deleting the references to increased “capacity” and “capability” (asserting that those terms overlap with the proposed definition of “expansion”).</w:t>
      </w:r>
      <w:r w:rsidRPr="009400FE" w:rsidDel="00303F66" w:rsidR="00303F66">
        <w:rPr>
          <w:color w:val="000000"/>
          <w:szCs w:val="26"/>
          <w:shd w:val="clear" w:color="auto" w:fill="FFFFFF"/>
        </w:rPr>
        <w:t xml:space="preserve"> </w:t>
      </w:r>
      <w:r w:rsidRPr="009400FE">
        <w:t xml:space="preserve">RCRC opposes </w:t>
      </w:r>
      <w:r w:rsidR="00D63C00">
        <w:t xml:space="preserve">Staff Proposal </w:t>
      </w:r>
      <w:r w:rsidR="00DC14AC">
        <w:t>Section </w:t>
      </w:r>
      <w:r w:rsidR="00D63C00">
        <w:t>3.1, Proposal 2,</w:t>
      </w:r>
      <w:r w:rsidRPr="009400FE">
        <w:t xml:space="preserve"> Option 1</w:t>
      </w:r>
      <w:r w:rsidR="009721D8">
        <w:t xml:space="preserve"> because they </w:t>
      </w:r>
      <w:r w:rsidR="007F2F77">
        <w:t>assert that</w:t>
      </w:r>
      <w:r w:rsidR="009721D8">
        <w:t xml:space="preserve"> </w:t>
      </w:r>
      <w:r w:rsidR="009721D8">
        <w:lastRenderedPageBreak/>
        <w:t>the definition would be overly broad and would allow the construction of any size battery storage facility on property adjacent to an existing substation</w:t>
      </w:r>
      <w:r w:rsidRPr="009400FE">
        <w:t>.</w:t>
      </w:r>
      <w:r w:rsidR="009721D8">
        <w:rPr>
          <w:rStyle w:val="FootnoteReference"/>
        </w:rPr>
        <w:footnoteReference w:id="166"/>
      </w:r>
    </w:p>
    <w:p w:rsidRPr="009400FE" w:rsidR="002E32E2" w:rsidP="00CA5DDC" w:rsidRDefault="00CA5DDC" w14:paraId="41A8CC52" w14:textId="77777777">
      <w:pPr>
        <w:pStyle w:val="Standard"/>
      </w:pPr>
      <w:r w:rsidRPr="009400FE">
        <w:t xml:space="preserve">EDF and the Sierra Club support Staff’s recommended definition of “modification” in </w:t>
      </w:r>
      <w:r w:rsidR="00F35BE1">
        <w:t xml:space="preserve">Staff Proposal </w:t>
      </w:r>
      <w:r w:rsidR="00DC14AC">
        <w:t>Section </w:t>
      </w:r>
      <w:r w:rsidR="00F35BE1">
        <w:t xml:space="preserve">3.1, Proposal 2, </w:t>
      </w:r>
      <w:r w:rsidRPr="009400FE">
        <w:t xml:space="preserve">Option 1. PG&amp;E, SCE, and SDG&amp;E support </w:t>
      </w:r>
      <w:r w:rsidR="00F42D14">
        <w:t xml:space="preserve">Staff Proposal </w:t>
      </w:r>
      <w:r w:rsidR="00DC14AC">
        <w:t>Section </w:t>
      </w:r>
      <w:r w:rsidR="00F42D14">
        <w:t xml:space="preserve">3.1, Proposal 2, </w:t>
      </w:r>
      <w:r w:rsidRPr="009400FE">
        <w:t xml:space="preserve">Option 1 with revisions. As such, PG&amp;E, SCE, and SDG&amp;E suggest amending the definition of “modification” to clarify that it is “a change to an existing electrical transmission facility or equipment to serve a new or additional purpose without extending or expanding the physical footprint of the facility </w:t>
      </w:r>
      <w:r w:rsidRPr="009400FE">
        <w:rPr>
          <w:u w:val="single"/>
        </w:rPr>
        <w:t>or better serve an existing purpose</w:t>
      </w:r>
      <w:r w:rsidRPr="009400FE">
        <w:t>.” </w:t>
      </w:r>
    </w:p>
    <w:p w:rsidR="00B556FE" w:rsidP="009400FE" w:rsidRDefault="00875CC9" w14:paraId="03B33A76" w14:textId="77777777">
      <w:pPr>
        <w:pStyle w:val="Standard"/>
      </w:pPr>
      <w:r>
        <w:t>Based on our review, w</w:t>
      </w:r>
      <w:r w:rsidRPr="009400FE" w:rsidR="00881100">
        <w:t>e adopt a definition of “extension” that revises</w:t>
      </w:r>
      <w:r w:rsidRPr="009400FE" w:rsidR="00876361">
        <w:t xml:space="preserve"> </w:t>
      </w:r>
      <w:r w:rsidRPr="009400FE" w:rsidR="00881100">
        <w:t xml:space="preserve">Staff </w:t>
      </w:r>
      <w:r w:rsidRPr="009400FE" w:rsidR="00876361">
        <w:t xml:space="preserve">Proposal </w:t>
      </w:r>
      <w:r w:rsidR="00DC14AC">
        <w:t>Section </w:t>
      </w:r>
      <w:r w:rsidR="00FE0028">
        <w:t xml:space="preserve">3.1, Proposal </w:t>
      </w:r>
      <w:r w:rsidRPr="009400FE" w:rsidR="00876361">
        <w:t>2</w:t>
      </w:r>
      <w:r w:rsidRPr="009400FE" w:rsidR="00881100">
        <w:t xml:space="preserve"> definition of “extension”</w:t>
      </w:r>
      <w:r w:rsidR="00C13854">
        <w:t xml:space="preserve"> </w:t>
      </w:r>
      <w:r w:rsidRPr="009400FE" w:rsidR="00881100">
        <w:t xml:space="preserve">to be included in </w:t>
      </w:r>
      <w:r w:rsidR="00DC14AC">
        <w:t>Section </w:t>
      </w:r>
      <w:r w:rsidR="002C377C">
        <w:t>I.</w:t>
      </w:r>
      <w:r w:rsidRPr="009400FE" w:rsidR="00881100">
        <w:t>F.2.a</w:t>
      </w:r>
      <w:r w:rsidR="00D35E05">
        <w:t xml:space="preserve"> of</w:t>
      </w:r>
      <w:r w:rsidRPr="009400FE" w:rsidR="00881100">
        <w:t xml:space="preserve"> </w:t>
      </w:r>
      <w:r w:rsidR="003B5D07">
        <w:t>GO </w:t>
      </w:r>
      <w:r w:rsidRPr="009400FE" w:rsidR="00881100">
        <w:t xml:space="preserve">131-E, as follows: </w:t>
      </w:r>
    </w:p>
    <w:p w:rsidRPr="00AD2306" w:rsidR="00014BFF" w:rsidP="007263BF" w:rsidRDefault="000C4A9E" w14:paraId="0DD67E16" w14:textId="77777777">
      <w:pPr>
        <w:pStyle w:val="BodyText"/>
        <w:keepNext/>
        <w:spacing w:before="120" w:after="120"/>
        <w:ind w:left="821" w:right="317" w:firstLine="0"/>
        <w:rPr>
          <w:sz w:val="26"/>
          <w:szCs w:val="26"/>
        </w:rPr>
      </w:pPr>
      <w:r>
        <w:rPr>
          <w:sz w:val="26"/>
          <w:szCs w:val="26"/>
        </w:rPr>
        <w:t>F</w:t>
      </w:r>
      <w:r w:rsidR="00304140">
        <w:rPr>
          <w:sz w:val="26"/>
          <w:szCs w:val="26"/>
        </w:rPr>
        <w:t>.</w:t>
      </w:r>
      <w:r>
        <w:rPr>
          <w:sz w:val="26"/>
          <w:szCs w:val="26"/>
        </w:rPr>
        <w:t xml:space="preserve"> </w:t>
      </w:r>
      <w:r w:rsidR="005F2C34">
        <w:rPr>
          <w:sz w:val="26"/>
          <w:szCs w:val="26"/>
        </w:rPr>
        <w:t xml:space="preserve">  </w:t>
      </w:r>
      <w:r w:rsidRPr="00AD2306" w:rsidR="00014BFF">
        <w:rPr>
          <w:sz w:val="26"/>
          <w:szCs w:val="26"/>
        </w:rPr>
        <w:t>An “extension” is:</w:t>
      </w:r>
    </w:p>
    <w:p w:rsidRPr="00AD2306" w:rsidR="00014BFF" w:rsidP="00D13705" w:rsidRDefault="00014BFF" w14:paraId="78AFD4D3" w14:textId="77777777">
      <w:pPr>
        <w:pStyle w:val="BodyText"/>
        <w:numPr>
          <w:ilvl w:val="1"/>
          <w:numId w:val="19"/>
        </w:numPr>
        <w:spacing w:after="120"/>
        <w:ind w:left="1440" w:right="1440" w:hanging="360"/>
        <w:rPr>
          <w:sz w:val="26"/>
          <w:szCs w:val="26"/>
        </w:rPr>
      </w:pPr>
      <w:r w:rsidRPr="00AD2306">
        <w:rPr>
          <w:sz w:val="26"/>
          <w:szCs w:val="26"/>
        </w:rPr>
        <w:t xml:space="preserve">An increase in the length of an existing electrical transmission facility within existing transmission easements, rights-of-way, or franchise agreements; or </w:t>
      </w:r>
    </w:p>
    <w:p w:rsidRPr="00AD2306" w:rsidR="00014BFF" w:rsidP="00D13705" w:rsidRDefault="00014BFF" w14:paraId="0C84A3C2" w14:textId="77777777">
      <w:pPr>
        <w:pStyle w:val="BodyText"/>
        <w:keepNext/>
        <w:numPr>
          <w:ilvl w:val="1"/>
          <w:numId w:val="19"/>
        </w:numPr>
        <w:spacing w:after="120"/>
        <w:ind w:left="1440" w:right="1440" w:hanging="360"/>
        <w:rPr>
          <w:sz w:val="26"/>
          <w:szCs w:val="26"/>
        </w:rPr>
      </w:pPr>
      <w:r w:rsidRPr="00AD2306">
        <w:rPr>
          <w:sz w:val="26"/>
          <w:szCs w:val="26"/>
        </w:rPr>
        <w:t>One of the following types of projects: </w:t>
      </w:r>
    </w:p>
    <w:p w:rsidRPr="00AD2306" w:rsidR="00014BFF" w:rsidP="00D13705" w:rsidRDefault="00014BFF" w14:paraId="578AFBC1" w14:textId="77777777">
      <w:pPr>
        <w:widowControl w:val="0"/>
        <w:numPr>
          <w:ilvl w:val="2"/>
          <w:numId w:val="19"/>
        </w:numPr>
        <w:autoSpaceDE w:val="0"/>
        <w:autoSpaceDN w:val="0"/>
        <w:spacing w:after="120" w:line="240" w:lineRule="auto"/>
        <w:ind w:left="1800" w:right="1440" w:hanging="360"/>
        <w:rPr>
          <w:szCs w:val="26"/>
        </w:rPr>
      </w:pPr>
      <w:r w:rsidRPr="00AD2306">
        <w:rPr>
          <w:szCs w:val="26"/>
        </w:rPr>
        <w:t>Generation tie-line (gen-tie) segments, i.e., the construction of a new transmission or power line from an existing electrical transmission facility to connect to a new electric generation facility; or</w:t>
      </w:r>
    </w:p>
    <w:p w:rsidRPr="00AD2306" w:rsidR="00014BFF" w:rsidP="00D13705" w:rsidRDefault="00014BFF" w14:paraId="09E8F063" w14:textId="77777777">
      <w:pPr>
        <w:widowControl w:val="0"/>
        <w:numPr>
          <w:ilvl w:val="2"/>
          <w:numId w:val="19"/>
        </w:numPr>
        <w:autoSpaceDE w:val="0"/>
        <w:autoSpaceDN w:val="0"/>
        <w:spacing w:line="240" w:lineRule="auto"/>
        <w:ind w:left="1800" w:right="1080" w:hanging="360"/>
        <w:rPr>
          <w:szCs w:val="26"/>
        </w:rPr>
      </w:pPr>
      <w:r w:rsidRPr="00AD2306">
        <w:rPr>
          <w:szCs w:val="26"/>
        </w:rPr>
        <w:t xml:space="preserve">Substation loop-ins, i.e., looping one or more existing transmission lines into and out of a new </w:t>
      </w:r>
      <w:r w:rsidR="00A007AF">
        <w:rPr>
          <w:szCs w:val="26"/>
        </w:rPr>
        <w:t xml:space="preserve">or existing </w:t>
      </w:r>
      <w:r w:rsidRPr="00AD2306">
        <w:rPr>
          <w:szCs w:val="26"/>
        </w:rPr>
        <w:t>substation</w:t>
      </w:r>
      <w:r w:rsidR="00A007AF">
        <w:rPr>
          <w:szCs w:val="26"/>
        </w:rPr>
        <w:t xml:space="preserve"> or switchyard</w:t>
      </w:r>
      <w:r w:rsidRPr="00AD2306">
        <w:rPr>
          <w:szCs w:val="26"/>
        </w:rPr>
        <w:t>.</w:t>
      </w:r>
    </w:p>
    <w:p w:rsidR="00A238CE" w:rsidP="00AD2306" w:rsidRDefault="00AE560E" w14:paraId="485AAE33" w14:textId="77777777">
      <w:pPr>
        <w:pStyle w:val="Standard"/>
        <w:spacing w:before="180"/>
      </w:pPr>
      <w:r w:rsidRPr="00AD2306">
        <w:rPr>
          <w:szCs w:val="26"/>
        </w:rPr>
        <w:lastRenderedPageBreak/>
        <w:t xml:space="preserve">Upon consideration of </w:t>
      </w:r>
      <w:r w:rsidRPr="00AD2306" w:rsidR="00875CC9">
        <w:rPr>
          <w:szCs w:val="26"/>
        </w:rPr>
        <w:t>Staff</w:t>
      </w:r>
      <w:r w:rsidR="00875CC9">
        <w:t xml:space="preserve"> Proposal Section 3.1, Proposal 2 </w:t>
      </w:r>
      <w:r w:rsidRPr="00142DCB">
        <w:t xml:space="preserve">and party comments, </w:t>
      </w:r>
      <w:r w:rsidRPr="00142DCB" w:rsidR="00CF3462">
        <w:t>w</w:t>
      </w:r>
      <w:r w:rsidRPr="00142DCB" w:rsidR="00CA5DDC">
        <w:t>e adopt a definition of “expansion” that applies only to projects that increase the “width, capacity, or capability” of an existing facilit</w:t>
      </w:r>
      <w:r w:rsidRPr="00142DCB" w:rsidR="007D121C">
        <w:t xml:space="preserve">y. </w:t>
      </w:r>
    </w:p>
    <w:p w:rsidRPr="00874F17" w:rsidR="00B1102F" w:rsidP="00D13705" w:rsidRDefault="00B1102F" w14:paraId="59D9C91F" w14:textId="77777777">
      <w:pPr>
        <w:pStyle w:val="ListParagraph"/>
        <w:widowControl w:val="0"/>
        <w:numPr>
          <w:ilvl w:val="0"/>
          <w:numId w:val="21"/>
        </w:numPr>
        <w:tabs>
          <w:tab w:val="left" w:pos="1661"/>
        </w:tabs>
        <w:autoSpaceDE w:val="0"/>
        <w:autoSpaceDN w:val="0"/>
        <w:spacing w:before="120" w:line="240" w:lineRule="auto"/>
        <w:ind w:left="1296" w:right="677"/>
        <w:rPr>
          <w:szCs w:val="26"/>
        </w:rPr>
      </w:pPr>
      <w:r w:rsidRPr="00874F17">
        <w:rPr>
          <w:szCs w:val="26"/>
        </w:rPr>
        <w:t>An</w:t>
      </w:r>
      <w:r w:rsidRPr="00874F17">
        <w:rPr>
          <w:spacing w:val="-2"/>
          <w:szCs w:val="26"/>
        </w:rPr>
        <w:t xml:space="preserve"> </w:t>
      </w:r>
      <w:r w:rsidRPr="00874F17">
        <w:rPr>
          <w:szCs w:val="26"/>
        </w:rPr>
        <w:t>“expansion”</w:t>
      </w:r>
      <w:r w:rsidRPr="00874F17">
        <w:rPr>
          <w:spacing w:val="-3"/>
          <w:szCs w:val="26"/>
        </w:rPr>
        <w:t xml:space="preserve"> </w:t>
      </w:r>
      <w:r w:rsidRPr="00874F17">
        <w:rPr>
          <w:szCs w:val="26"/>
        </w:rPr>
        <w:t>is</w:t>
      </w:r>
      <w:r w:rsidRPr="00874F17">
        <w:rPr>
          <w:spacing w:val="-8"/>
          <w:szCs w:val="26"/>
        </w:rPr>
        <w:t xml:space="preserve"> </w:t>
      </w:r>
      <w:r w:rsidRPr="00874F17">
        <w:rPr>
          <w:szCs w:val="26"/>
        </w:rPr>
        <w:t>an</w:t>
      </w:r>
      <w:r w:rsidRPr="00874F17">
        <w:rPr>
          <w:spacing w:val="-7"/>
          <w:szCs w:val="26"/>
        </w:rPr>
        <w:t xml:space="preserve"> </w:t>
      </w:r>
      <w:r w:rsidRPr="00874F17">
        <w:rPr>
          <w:szCs w:val="26"/>
        </w:rPr>
        <w:t>increase</w:t>
      </w:r>
      <w:r w:rsidRPr="00874F17">
        <w:rPr>
          <w:spacing w:val="-2"/>
          <w:szCs w:val="26"/>
        </w:rPr>
        <w:t xml:space="preserve"> </w:t>
      </w:r>
      <w:r w:rsidRPr="00874F17">
        <w:rPr>
          <w:szCs w:val="26"/>
        </w:rPr>
        <w:t>in</w:t>
      </w:r>
      <w:r w:rsidRPr="00874F17">
        <w:rPr>
          <w:spacing w:val="-8"/>
          <w:szCs w:val="26"/>
        </w:rPr>
        <w:t xml:space="preserve"> </w:t>
      </w:r>
      <w:r w:rsidRPr="00874F17">
        <w:rPr>
          <w:szCs w:val="26"/>
        </w:rPr>
        <w:t>the</w:t>
      </w:r>
      <w:r w:rsidRPr="00874F17">
        <w:rPr>
          <w:spacing w:val="-3"/>
          <w:szCs w:val="26"/>
        </w:rPr>
        <w:t xml:space="preserve"> </w:t>
      </w:r>
      <w:r w:rsidRPr="00874F17">
        <w:rPr>
          <w:szCs w:val="26"/>
        </w:rPr>
        <w:t>width,</w:t>
      </w:r>
      <w:r w:rsidRPr="00874F17">
        <w:rPr>
          <w:spacing w:val="-5"/>
          <w:szCs w:val="26"/>
        </w:rPr>
        <w:t xml:space="preserve"> </w:t>
      </w:r>
      <w:r w:rsidRPr="00874F17">
        <w:rPr>
          <w:szCs w:val="26"/>
        </w:rPr>
        <w:t>capacity, or</w:t>
      </w:r>
      <w:r w:rsidRPr="00874F17">
        <w:rPr>
          <w:spacing w:val="-6"/>
          <w:szCs w:val="26"/>
        </w:rPr>
        <w:t xml:space="preserve"> </w:t>
      </w:r>
      <w:r w:rsidRPr="00874F17">
        <w:rPr>
          <w:szCs w:val="26"/>
        </w:rPr>
        <w:t>capability</w:t>
      </w:r>
      <w:r w:rsidRPr="00874F17">
        <w:rPr>
          <w:spacing w:val="-2"/>
          <w:szCs w:val="26"/>
        </w:rPr>
        <w:t xml:space="preserve"> </w:t>
      </w:r>
      <w:r w:rsidRPr="00874F17">
        <w:rPr>
          <w:szCs w:val="26"/>
        </w:rPr>
        <w:t>of</w:t>
      </w:r>
      <w:r w:rsidRPr="00874F17">
        <w:rPr>
          <w:spacing w:val="-5"/>
          <w:szCs w:val="26"/>
        </w:rPr>
        <w:t xml:space="preserve"> </w:t>
      </w:r>
      <w:r w:rsidRPr="00874F17">
        <w:rPr>
          <w:szCs w:val="26"/>
        </w:rPr>
        <w:t>an existing electrical transmission facility, including but not limited to the following types of projects:</w:t>
      </w:r>
    </w:p>
    <w:p w:rsidRPr="007263BF" w:rsidR="00B1102F" w:rsidP="00D13705" w:rsidRDefault="00B1102F" w14:paraId="13058800" w14:textId="77777777">
      <w:pPr>
        <w:pStyle w:val="ListParagraph"/>
        <w:widowControl w:val="0"/>
        <w:numPr>
          <w:ilvl w:val="1"/>
          <w:numId w:val="20"/>
        </w:numPr>
        <w:autoSpaceDE w:val="0"/>
        <w:autoSpaceDN w:val="0"/>
        <w:spacing w:before="239" w:line="242" w:lineRule="auto"/>
        <w:ind w:left="1620" w:right="1260" w:hanging="401"/>
        <w:contextualSpacing w:val="0"/>
        <w:rPr>
          <w:szCs w:val="26"/>
        </w:rPr>
      </w:pPr>
      <w:r w:rsidRPr="007263BF">
        <w:rPr>
          <w:szCs w:val="26"/>
        </w:rPr>
        <w:t>Rewiring</w:t>
      </w:r>
      <w:r w:rsidRPr="007263BF">
        <w:rPr>
          <w:spacing w:val="-7"/>
          <w:szCs w:val="26"/>
        </w:rPr>
        <w:t xml:space="preserve"> </w:t>
      </w:r>
      <w:r w:rsidRPr="007263BF">
        <w:rPr>
          <w:szCs w:val="26"/>
        </w:rPr>
        <w:t>or</w:t>
      </w:r>
      <w:r w:rsidRPr="007263BF">
        <w:rPr>
          <w:spacing w:val="-1"/>
          <w:szCs w:val="26"/>
        </w:rPr>
        <w:t xml:space="preserve"> </w:t>
      </w:r>
      <w:r w:rsidRPr="007263BF">
        <w:rPr>
          <w:szCs w:val="26"/>
        </w:rPr>
        <w:t>reconductoring</w:t>
      </w:r>
      <w:r w:rsidRPr="007263BF">
        <w:rPr>
          <w:spacing w:val="-7"/>
          <w:szCs w:val="26"/>
        </w:rPr>
        <w:t xml:space="preserve"> </w:t>
      </w:r>
      <w:r w:rsidRPr="007263BF">
        <w:rPr>
          <w:szCs w:val="26"/>
        </w:rPr>
        <w:t>to</w:t>
      </w:r>
      <w:r w:rsidRPr="007263BF">
        <w:rPr>
          <w:spacing w:val="-4"/>
          <w:szCs w:val="26"/>
        </w:rPr>
        <w:t xml:space="preserve"> </w:t>
      </w:r>
      <w:r w:rsidRPr="007263BF">
        <w:rPr>
          <w:szCs w:val="26"/>
        </w:rPr>
        <w:t>increase</w:t>
      </w:r>
      <w:r w:rsidRPr="007263BF">
        <w:rPr>
          <w:spacing w:val="-7"/>
          <w:szCs w:val="26"/>
        </w:rPr>
        <w:t xml:space="preserve"> </w:t>
      </w:r>
      <w:r w:rsidRPr="007263BF">
        <w:rPr>
          <w:szCs w:val="26"/>
        </w:rPr>
        <w:t>the</w:t>
      </w:r>
      <w:r w:rsidRPr="007263BF">
        <w:rPr>
          <w:spacing w:val="-3"/>
          <w:szCs w:val="26"/>
        </w:rPr>
        <w:t xml:space="preserve"> </w:t>
      </w:r>
      <w:r w:rsidRPr="007263BF">
        <w:rPr>
          <w:szCs w:val="26"/>
        </w:rPr>
        <w:t>capacity</w:t>
      </w:r>
      <w:r w:rsidRPr="007263BF">
        <w:rPr>
          <w:spacing w:val="-2"/>
          <w:szCs w:val="26"/>
        </w:rPr>
        <w:t xml:space="preserve"> </w:t>
      </w:r>
      <w:r w:rsidRPr="007263BF">
        <w:rPr>
          <w:szCs w:val="26"/>
        </w:rPr>
        <w:t>of</w:t>
      </w:r>
      <w:r w:rsidRPr="007263BF">
        <w:rPr>
          <w:spacing w:val="-1"/>
          <w:szCs w:val="26"/>
        </w:rPr>
        <w:t xml:space="preserve"> </w:t>
      </w:r>
      <w:r w:rsidRPr="007263BF">
        <w:rPr>
          <w:szCs w:val="26"/>
        </w:rPr>
        <w:t>an</w:t>
      </w:r>
      <w:r w:rsidRPr="007263BF">
        <w:rPr>
          <w:spacing w:val="-8"/>
          <w:szCs w:val="26"/>
        </w:rPr>
        <w:t xml:space="preserve"> </w:t>
      </w:r>
      <w:r w:rsidRPr="007263BF">
        <w:rPr>
          <w:szCs w:val="26"/>
        </w:rPr>
        <w:t>existing transmission line.</w:t>
      </w:r>
    </w:p>
    <w:p w:rsidRPr="007263BF" w:rsidR="00B1102F" w:rsidP="00D13705" w:rsidRDefault="00B1102F" w14:paraId="563F2464" w14:textId="77777777">
      <w:pPr>
        <w:pStyle w:val="ListParagraph"/>
        <w:widowControl w:val="0"/>
        <w:numPr>
          <w:ilvl w:val="1"/>
          <w:numId w:val="20"/>
        </w:numPr>
        <w:autoSpaceDE w:val="0"/>
        <w:autoSpaceDN w:val="0"/>
        <w:spacing w:line="295" w:lineRule="exact"/>
        <w:ind w:left="1620" w:right="1260" w:hanging="401"/>
        <w:contextualSpacing w:val="0"/>
        <w:rPr>
          <w:szCs w:val="26"/>
        </w:rPr>
      </w:pPr>
      <w:r w:rsidRPr="007263BF">
        <w:rPr>
          <w:szCs w:val="26"/>
        </w:rPr>
        <w:t>Expanding</w:t>
      </w:r>
      <w:r w:rsidRPr="007263BF">
        <w:rPr>
          <w:spacing w:val="-5"/>
          <w:szCs w:val="26"/>
        </w:rPr>
        <w:t xml:space="preserve"> </w:t>
      </w:r>
      <w:r w:rsidRPr="007263BF">
        <w:rPr>
          <w:szCs w:val="26"/>
        </w:rPr>
        <w:t>the</w:t>
      </w:r>
      <w:r w:rsidRPr="007263BF">
        <w:rPr>
          <w:spacing w:val="-5"/>
          <w:szCs w:val="26"/>
        </w:rPr>
        <w:t xml:space="preserve"> </w:t>
      </w:r>
      <w:r w:rsidRPr="007263BF">
        <w:rPr>
          <w:szCs w:val="26"/>
        </w:rPr>
        <w:t>load</w:t>
      </w:r>
      <w:r w:rsidRPr="007263BF">
        <w:rPr>
          <w:spacing w:val="1"/>
          <w:szCs w:val="26"/>
        </w:rPr>
        <w:t xml:space="preserve"> </w:t>
      </w:r>
      <w:r w:rsidRPr="007263BF">
        <w:rPr>
          <w:szCs w:val="26"/>
        </w:rPr>
        <w:t>carrying</w:t>
      </w:r>
      <w:r w:rsidRPr="007263BF">
        <w:rPr>
          <w:spacing w:val="-7"/>
          <w:szCs w:val="26"/>
        </w:rPr>
        <w:t xml:space="preserve"> </w:t>
      </w:r>
      <w:r w:rsidRPr="007263BF">
        <w:rPr>
          <w:szCs w:val="26"/>
        </w:rPr>
        <w:t>capacity</w:t>
      </w:r>
      <w:r w:rsidRPr="007263BF">
        <w:rPr>
          <w:spacing w:val="-2"/>
          <w:szCs w:val="26"/>
        </w:rPr>
        <w:t xml:space="preserve"> </w:t>
      </w:r>
      <w:r w:rsidRPr="007263BF">
        <w:rPr>
          <w:szCs w:val="26"/>
        </w:rPr>
        <w:t>of</w:t>
      </w:r>
      <w:r w:rsidRPr="007263BF">
        <w:rPr>
          <w:spacing w:val="-5"/>
          <w:szCs w:val="26"/>
        </w:rPr>
        <w:t xml:space="preserve"> </w:t>
      </w:r>
      <w:r w:rsidRPr="007263BF">
        <w:rPr>
          <w:szCs w:val="26"/>
        </w:rPr>
        <w:t>existing</w:t>
      </w:r>
      <w:r w:rsidRPr="007263BF">
        <w:rPr>
          <w:spacing w:val="-2"/>
          <w:szCs w:val="26"/>
        </w:rPr>
        <w:t xml:space="preserve"> towers or poles.</w:t>
      </w:r>
    </w:p>
    <w:p w:rsidRPr="00874F17" w:rsidR="00A238CE" w:rsidP="00D13705" w:rsidRDefault="00B1102F" w14:paraId="4F63F99A" w14:textId="77777777">
      <w:pPr>
        <w:pStyle w:val="ListParagraph"/>
        <w:widowControl w:val="0"/>
        <w:numPr>
          <w:ilvl w:val="1"/>
          <w:numId w:val="20"/>
        </w:numPr>
        <w:autoSpaceDE w:val="0"/>
        <w:autoSpaceDN w:val="0"/>
        <w:spacing w:line="240" w:lineRule="auto"/>
        <w:ind w:left="1620" w:right="1260" w:hanging="401"/>
        <w:contextualSpacing w:val="0"/>
        <w:rPr>
          <w:szCs w:val="26"/>
        </w:rPr>
      </w:pPr>
      <w:r w:rsidRPr="007263BF">
        <w:rPr>
          <w:szCs w:val="26"/>
        </w:rPr>
        <w:t>Converting</w:t>
      </w:r>
      <w:r w:rsidRPr="007263BF">
        <w:rPr>
          <w:spacing w:val="-4"/>
          <w:szCs w:val="26"/>
        </w:rPr>
        <w:t xml:space="preserve"> </w:t>
      </w:r>
      <w:r w:rsidRPr="007263BF">
        <w:rPr>
          <w:szCs w:val="26"/>
        </w:rPr>
        <w:t>a</w:t>
      </w:r>
      <w:r w:rsidRPr="007263BF">
        <w:rPr>
          <w:spacing w:val="-4"/>
          <w:szCs w:val="26"/>
        </w:rPr>
        <w:t xml:space="preserve"> </w:t>
      </w:r>
      <w:r w:rsidRPr="007263BF">
        <w:rPr>
          <w:szCs w:val="26"/>
        </w:rPr>
        <w:t>single-circuit</w:t>
      </w:r>
      <w:r w:rsidRPr="007263BF">
        <w:rPr>
          <w:spacing w:val="-10"/>
          <w:szCs w:val="26"/>
        </w:rPr>
        <w:t xml:space="preserve"> </w:t>
      </w:r>
      <w:r w:rsidRPr="007263BF">
        <w:rPr>
          <w:szCs w:val="26"/>
        </w:rPr>
        <w:t>transmission</w:t>
      </w:r>
      <w:r w:rsidRPr="007263BF">
        <w:rPr>
          <w:spacing w:val="-5"/>
          <w:szCs w:val="26"/>
        </w:rPr>
        <w:t xml:space="preserve"> </w:t>
      </w:r>
      <w:r w:rsidRPr="007263BF">
        <w:rPr>
          <w:szCs w:val="26"/>
        </w:rPr>
        <w:t>line</w:t>
      </w:r>
      <w:r w:rsidRPr="007263BF">
        <w:rPr>
          <w:spacing w:val="-5"/>
          <w:szCs w:val="26"/>
        </w:rPr>
        <w:t xml:space="preserve"> </w:t>
      </w:r>
      <w:r w:rsidRPr="007263BF">
        <w:rPr>
          <w:szCs w:val="26"/>
        </w:rPr>
        <w:t>to</w:t>
      </w:r>
      <w:r w:rsidRPr="007263BF">
        <w:rPr>
          <w:spacing w:val="-6"/>
          <w:szCs w:val="26"/>
        </w:rPr>
        <w:t xml:space="preserve"> </w:t>
      </w:r>
      <w:r w:rsidRPr="007263BF">
        <w:rPr>
          <w:szCs w:val="26"/>
        </w:rPr>
        <w:t>a</w:t>
      </w:r>
      <w:r w:rsidRPr="007263BF">
        <w:rPr>
          <w:spacing w:val="-4"/>
          <w:szCs w:val="26"/>
        </w:rPr>
        <w:t xml:space="preserve"> </w:t>
      </w:r>
      <w:r w:rsidRPr="007263BF">
        <w:rPr>
          <w:szCs w:val="26"/>
        </w:rPr>
        <w:t xml:space="preserve">double-circuit </w:t>
      </w:r>
      <w:r w:rsidRPr="007263BF">
        <w:rPr>
          <w:spacing w:val="-2"/>
          <w:szCs w:val="26"/>
        </w:rPr>
        <w:t>line.</w:t>
      </w:r>
    </w:p>
    <w:p w:rsidRPr="00CA5DDC" w:rsidR="00CA5DDC" w:rsidP="00AD2306" w:rsidRDefault="007D121C" w14:paraId="496B6AA7" w14:textId="77777777">
      <w:pPr>
        <w:pStyle w:val="Standard"/>
        <w:spacing w:before="180"/>
      </w:pPr>
      <w:r w:rsidRPr="00142DCB">
        <w:t>The</w:t>
      </w:r>
      <w:r w:rsidRPr="00142DCB" w:rsidR="00CA5DDC">
        <w:t xml:space="preserve"> inten</w:t>
      </w:r>
      <w:r w:rsidRPr="00142DCB">
        <w:t>t is</w:t>
      </w:r>
      <w:r w:rsidRPr="00142DCB" w:rsidR="00CA5DDC">
        <w:t xml:space="preserve"> to explicitly exclude “extension” of linear transmission facilities</w:t>
      </w:r>
      <w:r w:rsidRPr="00142DCB">
        <w:t xml:space="preserve"> within the definition of the term “expansion</w:t>
      </w:r>
      <w:r w:rsidRPr="00142DCB" w:rsidR="008634D2">
        <w:t>.</w:t>
      </w:r>
      <w:r w:rsidRPr="00142DCB">
        <w:t>”</w:t>
      </w:r>
      <w:r w:rsidRPr="00142DCB" w:rsidR="00CA5DDC">
        <w:t xml:space="preserve"> </w:t>
      </w:r>
      <w:r w:rsidRPr="00142DCB">
        <w:t>The consequence of b</w:t>
      </w:r>
      <w:r w:rsidRPr="00142DCB" w:rsidR="00CA5DDC">
        <w:t xml:space="preserve">roadening the definition </w:t>
      </w:r>
      <w:r w:rsidRPr="00142DCB">
        <w:t xml:space="preserve">of “expansion” </w:t>
      </w:r>
      <w:r w:rsidRPr="00142DCB" w:rsidR="00CA5DDC">
        <w:t xml:space="preserve">to include increases in the “size” of existing facilities could allow utilities to claim an “expansion” for large new transmission lines without limiting that development to existing property rights. </w:t>
      </w:r>
      <w:r w:rsidRPr="00142DCB">
        <w:t>Because the</w:t>
      </w:r>
      <w:r w:rsidRPr="00142DCB" w:rsidR="00CA5DDC">
        <w:t xml:space="preserve"> proposed </w:t>
      </w:r>
      <w:r w:rsidRPr="00142DCB">
        <w:t xml:space="preserve">definition of the term </w:t>
      </w:r>
      <w:r w:rsidRPr="00142DCB" w:rsidR="00CA5DDC">
        <w:t>“expansion”</w:t>
      </w:r>
      <w:r w:rsidRPr="00142DCB">
        <w:t xml:space="preserve"> </w:t>
      </w:r>
      <w:r w:rsidRPr="00142DCB" w:rsidR="00CA5DDC">
        <w:t>does not make reference to property rights, it is not necessary to add the IOUs’ suggested caveat “regardless of whether the facilities would be located within existing utility property rights</w:t>
      </w:r>
      <w:r w:rsidRPr="00142DCB" w:rsidR="0063188B">
        <w:t>.</w:t>
      </w:r>
      <w:r w:rsidRPr="00142DCB" w:rsidR="00CA5DDC">
        <w:t>”</w:t>
      </w:r>
      <w:r w:rsidRPr="00CA5DDC" w:rsidR="00CA5DDC">
        <w:t> </w:t>
      </w:r>
    </w:p>
    <w:p w:rsidR="0075329F" w:rsidP="007D121C" w:rsidRDefault="0075329F" w14:paraId="38E75D1D" w14:textId="77777777">
      <w:pPr>
        <w:pStyle w:val="Standard"/>
      </w:pPr>
      <w:r w:rsidRPr="000639FD">
        <w:t xml:space="preserve">We </w:t>
      </w:r>
      <w:r w:rsidRPr="000639FD" w:rsidR="009E002B">
        <w:t>also</w:t>
      </w:r>
      <w:r w:rsidRPr="000639FD">
        <w:t xml:space="preserve"> adopt </w:t>
      </w:r>
      <w:r w:rsidR="00806C6D">
        <w:t xml:space="preserve">a slightly modified version of the </w:t>
      </w:r>
      <w:r w:rsidRPr="000639FD">
        <w:t>Staff</w:t>
      </w:r>
      <w:r w:rsidRPr="000639FD" w:rsidR="00876361">
        <w:t xml:space="preserve"> Proposal </w:t>
      </w:r>
      <w:r w:rsidR="00DC14AC">
        <w:t>Section </w:t>
      </w:r>
      <w:r w:rsidR="00894B86">
        <w:t>3.1,</w:t>
      </w:r>
      <w:r w:rsidRPr="000639FD" w:rsidR="00876361">
        <w:t xml:space="preserve"> Proposal 2 </w:t>
      </w:r>
      <w:r w:rsidRPr="000639FD">
        <w:t>definition of “upgrade” specified in Option 1</w:t>
      </w:r>
      <w:r w:rsidRPr="00297551">
        <w:t xml:space="preserve">. Upon consideration of the IOUs’ proposal, </w:t>
      </w:r>
      <w:r w:rsidRPr="00297551" w:rsidR="00F03524">
        <w:t>we find that</w:t>
      </w:r>
      <w:r w:rsidRPr="00297551" w:rsidR="007D121C">
        <w:t xml:space="preserve"> </w:t>
      </w:r>
      <w:r w:rsidRPr="00297551" w:rsidR="00CA5DDC">
        <w:t>delet</w:t>
      </w:r>
      <w:r w:rsidRPr="00297551" w:rsidR="00F03524">
        <w:t>ion of</w:t>
      </w:r>
      <w:r w:rsidRPr="00297551" w:rsidR="00CA5DDC">
        <w:t xml:space="preserve"> the three examples </w:t>
      </w:r>
      <w:r w:rsidRPr="00297551" w:rsidR="00E003C3">
        <w:t>related to the definition of “upgrade” (i.e., I.H.4, I.H.5, and I.H.6)</w:t>
      </w:r>
      <w:r w:rsidRPr="00297551" w:rsidR="00F03524">
        <w:t xml:space="preserve"> is reasonable</w:t>
      </w:r>
      <w:r w:rsidRPr="00297551" w:rsidR="00E003C3">
        <w:t xml:space="preserve">. </w:t>
      </w:r>
      <w:r w:rsidRPr="00297551" w:rsidR="00CA5DDC">
        <w:t xml:space="preserve">As PG&amp;E </w:t>
      </w:r>
      <w:r w:rsidRPr="00032CF6" w:rsidR="00CA5DDC">
        <w:t>points out, example I.H.4 “represents a potential conflict with the definition in part J below for replacement of existing facilities with equivalent facilities</w:t>
      </w:r>
      <w:r w:rsidRPr="00032CF6" w:rsidR="00CF06BD">
        <w:t>,</w:t>
      </w:r>
      <w:r w:rsidRPr="00032CF6" w:rsidR="00CA5DDC">
        <w:t>”</w:t>
      </w:r>
      <w:r w:rsidRPr="00CA5DDC" w:rsidR="00CA5DDC">
        <w:t xml:space="preserve"> </w:t>
      </w:r>
      <w:r w:rsidRPr="00CA5DDC" w:rsidR="00CA5DDC">
        <w:lastRenderedPageBreak/>
        <w:t>which could lead to confusion.</w:t>
      </w:r>
      <w:r w:rsidR="007D121C">
        <w:rPr>
          <w:rStyle w:val="FootnoteReference"/>
        </w:rPr>
        <w:footnoteReference w:id="167"/>
      </w:r>
      <w:r w:rsidRPr="00CA5DDC" w:rsidR="00CA5DDC">
        <w:t xml:space="preserve"> </w:t>
      </w:r>
      <w:r w:rsidR="00E003C3">
        <w:t>Further, d</w:t>
      </w:r>
      <w:r w:rsidRPr="00CA5DDC" w:rsidR="00CA5DDC">
        <w:t xml:space="preserve">eleting example I.H.5 is consistent with </w:t>
      </w:r>
      <w:r w:rsidRPr="00CA5DDC" w:rsidR="7A38E2F0">
        <w:t xml:space="preserve">our </w:t>
      </w:r>
      <w:r w:rsidRPr="00CA5DDC" w:rsidR="00CA5DDC">
        <w:t xml:space="preserve">separate </w:t>
      </w:r>
      <w:r w:rsidRPr="00CA5DDC" w:rsidR="334F2B08">
        <w:t xml:space="preserve">conclusion </w:t>
      </w:r>
      <w:r w:rsidRPr="00CA5DDC" w:rsidR="00CA5DDC">
        <w:t xml:space="preserve">to remove battery storage proposals from </w:t>
      </w:r>
      <w:r w:rsidR="003B5D07">
        <w:t>GO </w:t>
      </w:r>
      <w:r w:rsidRPr="00CA5DDC" w:rsidR="00CA5DDC">
        <w:t>131</w:t>
      </w:r>
      <w:r w:rsidR="00AD2306">
        <w:noBreakHyphen/>
      </w:r>
      <w:r w:rsidRPr="00CA5DDC" w:rsidR="00CA5DDC">
        <w:t xml:space="preserve">E. </w:t>
      </w:r>
      <w:r w:rsidR="00E003C3">
        <w:t xml:space="preserve">We also concur with </w:t>
      </w:r>
      <w:r w:rsidRPr="00CA5DDC" w:rsidR="00CA5DDC">
        <w:t>SDG&amp;E</w:t>
      </w:r>
      <w:r w:rsidR="00E003C3">
        <w:t xml:space="preserve">’s observation that </w:t>
      </w:r>
      <w:r>
        <w:t>e</w:t>
      </w:r>
      <w:r w:rsidRPr="00CA5DDC" w:rsidR="00CA5DDC">
        <w:t>xample I.H.6 is unnecessary given that “Substation work is not subject to a CPCN [...] and thus substation projects do not need to be included in the “upgrade” definition to allow utilities to pursue a PTC or PTC exemption for such projects.”</w:t>
      </w:r>
      <w:r w:rsidRPr="00CA5DDC" w:rsidR="00806C6D">
        <w:t xml:space="preserve"> </w:t>
      </w:r>
      <w:r w:rsidR="00806C6D">
        <w:t xml:space="preserve"> Finally, we clarify in </w:t>
      </w:r>
      <w:r w:rsidR="003B5D07">
        <w:t>GO </w:t>
      </w:r>
      <w:r w:rsidR="00806C6D">
        <w:t>131-E that adding wildfire hardening equipment is an example of an “upgrade”</w:t>
      </w:r>
    </w:p>
    <w:p w:rsidRPr="00CA5DDC" w:rsidR="00CA5DDC" w:rsidP="007D121C" w:rsidRDefault="00615DFF" w14:paraId="1EEBF036" w14:textId="77777777">
      <w:pPr>
        <w:pStyle w:val="Standard"/>
      </w:pPr>
      <w:r w:rsidRPr="00AE1821">
        <w:t>W</w:t>
      </w:r>
      <w:r w:rsidRPr="00AE1821" w:rsidR="00422D6D">
        <w:t>e d</w:t>
      </w:r>
      <w:r w:rsidRPr="00AE1821" w:rsidR="00E5278B">
        <w:t>o not</w:t>
      </w:r>
      <w:r w:rsidRPr="00AE1821" w:rsidR="00561DBF">
        <w:t xml:space="preserve"> </w:t>
      </w:r>
      <w:r w:rsidRPr="00AE1821">
        <w:t>delete</w:t>
      </w:r>
      <w:r w:rsidRPr="00AE1821" w:rsidR="005215BF">
        <w:t xml:space="preserve"> </w:t>
      </w:r>
      <w:r w:rsidRPr="00AE1821">
        <w:t>“capacity” and “capability” from the definition of “upgrade</w:t>
      </w:r>
      <w:r w:rsidRPr="00AE1821" w:rsidR="00E5278B">
        <w:t>,</w:t>
      </w:r>
      <w:r w:rsidRPr="00AE1821">
        <w:t>”</w:t>
      </w:r>
      <w:r w:rsidRPr="00AE1821" w:rsidR="00E5278B">
        <w:t xml:space="preserve"> as proposed by </w:t>
      </w:r>
      <w:r w:rsidR="00BF565F">
        <w:t xml:space="preserve">the </w:t>
      </w:r>
      <w:r w:rsidRPr="00AE1821" w:rsidR="00E5278B">
        <w:t>Sierra Club</w:t>
      </w:r>
      <w:r w:rsidRPr="00AE1821">
        <w:t xml:space="preserve">, </w:t>
      </w:r>
      <w:r w:rsidRPr="00AE1821" w:rsidR="00747A9A">
        <w:t>and instead</w:t>
      </w:r>
      <w:r w:rsidRPr="00AE1821">
        <w:t xml:space="preserve"> </w:t>
      </w:r>
      <w:r w:rsidRPr="00AE1821" w:rsidR="00F26407">
        <w:t>choose</w:t>
      </w:r>
      <w:r w:rsidRPr="00AE1821">
        <w:t xml:space="preserve"> to retain the</w:t>
      </w:r>
      <w:r w:rsidRPr="00AE1821" w:rsidR="005215BF">
        <w:t>se terms</w:t>
      </w:r>
      <w:r w:rsidRPr="00AE1821">
        <w:t xml:space="preserve"> because the</w:t>
      </w:r>
      <w:r w:rsidRPr="00AE1821" w:rsidR="005215BF">
        <w:t>y</w:t>
      </w:r>
      <w:r w:rsidRPr="00AE1821">
        <w:t xml:space="preserve"> </w:t>
      </w:r>
      <w:r w:rsidRPr="00AE1821" w:rsidR="005215BF">
        <w:t>enable the terms “expansion” and “upgrade” to be</w:t>
      </w:r>
      <w:r w:rsidRPr="00AE1821" w:rsidR="00CA5DDC">
        <w:t xml:space="preserve"> relatively broad and overlapping</w:t>
      </w:r>
      <w:r w:rsidRPr="00AE1821" w:rsidR="005215BF">
        <w:t xml:space="preserve">. </w:t>
      </w:r>
      <w:r w:rsidRPr="00AE1821" w:rsidR="00215D96">
        <w:t xml:space="preserve">Likewise, </w:t>
      </w:r>
      <w:r w:rsidRPr="00AE1821" w:rsidR="00981686">
        <w:t xml:space="preserve">we do not </w:t>
      </w:r>
      <w:r w:rsidRPr="00AE1821" w:rsidR="00CA5DDC">
        <w:t>add the limiting phrase “without extending or expanding the physical footprint of the facility”</w:t>
      </w:r>
      <w:r w:rsidRPr="00AE1821">
        <w:t xml:space="preserve"> to the definition of “upgrade</w:t>
      </w:r>
      <w:r w:rsidRPr="00AE1821" w:rsidR="00067564">
        <w:t>,</w:t>
      </w:r>
      <w:r w:rsidRPr="00AE1821">
        <w:t>”</w:t>
      </w:r>
      <w:r w:rsidRPr="00AE1821" w:rsidR="00067564">
        <w:t xml:space="preserve"> as proposed by </w:t>
      </w:r>
      <w:r w:rsidR="00BF565F">
        <w:t xml:space="preserve">the </w:t>
      </w:r>
      <w:r w:rsidRPr="00AE1821" w:rsidR="005066ED">
        <w:t>Sierra</w:t>
      </w:r>
      <w:r w:rsidRPr="00AE1821" w:rsidR="00067564">
        <w:t xml:space="preserve"> Club</w:t>
      </w:r>
      <w:r w:rsidRPr="00030366" w:rsidR="00C66684">
        <w:t xml:space="preserve">. </w:t>
      </w:r>
      <w:r w:rsidRPr="00030366" w:rsidR="00534849">
        <w:t xml:space="preserve"> </w:t>
      </w:r>
      <w:r w:rsidRPr="00030366" w:rsidR="0037374C">
        <w:t>We</w:t>
      </w:r>
      <w:r w:rsidRPr="00030366">
        <w:t xml:space="preserve"> </w:t>
      </w:r>
      <w:r w:rsidRPr="00030366" w:rsidR="00534849">
        <w:t>similarly</w:t>
      </w:r>
      <w:r w:rsidRPr="00030366" w:rsidR="005215BF">
        <w:t xml:space="preserve"> </w:t>
      </w:r>
      <w:r w:rsidRPr="00030366" w:rsidR="00CA5DDC">
        <w:t>anticipate that to the extent the “upgrade” definition overlaps with the “expansion” definition,</w:t>
      </w:r>
      <w:r w:rsidRPr="00CA5DDC" w:rsidR="00CA5DDC">
        <w:t xml:space="preserve"> some upgrade projects may require minor expansions to the physical footprint (</w:t>
      </w:r>
      <w:r w:rsidRPr="003D07C1" w:rsidR="00CA5DDC">
        <w:rPr>
          <w:i/>
          <w:iCs/>
        </w:rPr>
        <w:t>e.g.</w:t>
      </w:r>
      <w:r w:rsidRPr="00CA5DDC" w:rsidR="00CA5DDC">
        <w:t>, moving a supporting structure 20 feet when reconductoring an existing line). </w:t>
      </w:r>
    </w:p>
    <w:p w:rsidRPr="00CA5DDC" w:rsidR="00CA5DDC" w:rsidP="00186FF4" w:rsidRDefault="00731083" w14:paraId="5C6B16D1" w14:textId="77777777">
      <w:pPr>
        <w:pStyle w:val="Standard"/>
      </w:pPr>
      <w:r w:rsidRPr="00030366">
        <w:t>Finally, w</w:t>
      </w:r>
      <w:r w:rsidRPr="00030366" w:rsidR="005215BF">
        <w:t>e adopt Staff</w:t>
      </w:r>
      <w:r w:rsidRPr="00030366" w:rsidR="00876361">
        <w:t xml:space="preserve"> Proposal </w:t>
      </w:r>
      <w:r w:rsidR="00DC14AC">
        <w:t>Section </w:t>
      </w:r>
      <w:r w:rsidRPr="00030366" w:rsidR="00A12272">
        <w:t xml:space="preserve">3.1, Proposal </w:t>
      </w:r>
      <w:r w:rsidRPr="00030366" w:rsidR="00876361">
        <w:t>2</w:t>
      </w:r>
      <w:r w:rsidRPr="00030366" w:rsidR="005215BF">
        <w:t xml:space="preserve"> </w:t>
      </w:r>
      <w:bookmarkStart w:name="_Hlk177574199" w:id="158"/>
      <w:r w:rsidRPr="00030366" w:rsidR="005215BF">
        <w:t>definition of the term</w:t>
      </w:r>
      <w:r w:rsidRPr="00030366" w:rsidR="00CA5DDC">
        <w:rPr>
          <w:b/>
        </w:rPr>
        <w:t xml:space="preserve"> </w:t>
      </w:r>
      <w:r w:rsidRPr="00030366" w:rsidR="00CA5DDC">
        <w:t xml:space="preserve">“modification” </w:t>
      </w:r>
      <w:r w:rsidRPr="00030366" w:rsidR="005215BF">
        <w:t>that is</w:t>
      </w:r>
      <w:r w:rsidRPr="00030366" w:rsidR="00CA5DDC">
        <w:t xml:space="preserve"> limited by the caveat “without extending or expanding the physical footprint of the facility</w:t>
      </w:r>
      <w:r w:rsidRPr="00030366">
        <w:t>.</w:t>
      </w:r>
      <w:r w:rsidRPr="00030366" w:rsidR="00CA5DDC">
        <w:t xml:space="preserve">” </w:t>
      </w:r>
      <w:bookmarkEnd w:id="158"/>
      <w:r w:rsidRPr="00030366" w:rsidR="009F1845">
        <w:t>The IOUs</w:t>
      </w:r>
      <w:r w:rsidRPr="00030366" w:rsidR="00CA5DDC">
        <w:t xml:space="preserve"> </w:t>
      </w:r>
      <w:r w:rsidRPr="00030366" w:rsidR="005215BF">
        <w:t xml:space="preserve">proposed </w:t>
      </w:r>
      <w:r w:rsidRPr="00030366" w:rsidR="009F1845">
        <w:t xml:space="preserve">a </w:t>
      </w:r>
      <w:r w:rsidRPr="00030366" w:rsidR="00F21259">
        <w:t>revision to</w:t>
      </w:r>
      <w:r w:rsidR="00F21259">
        <w:t xml:space="preserve"> the definition </w:t>
      </w:r>
      <w:r w:rsidR="009F1845">
        <w:t>to include modifications</w:t>
      </w:r>
      <w:r w:rsidRPr="009400FE" w:rsidR="00CA5DDC">
        <w:t xml:space="preserve"> that “better serve an existing purpose</w:t>
      </w:r>
      <w:r w:rsidRPr="00CA5DDC" w:rsidR="00CA5DDC">
        <w:t>. </w:t>
      </w:r>
      <w:r w:rsidR="009F1845">
        <w:t>However, broadening the language to include modifications that “</w:t>
      </w:r>
      <w:r w:rsidRPr="00B73841" w:rsidR="009F1845">
        <w:t xml:space="preserve">better serve an existing </w:t>
      </w:r>
      <w:r w:rsidRPr="00030366" w:rsidR="009F1845">
        <w:t>purpose</w:t>
      </w:r>
      <w:r w:rsidRPr="00030366" w:rsidR="00483B35">
        <w:t>,</w:t>
      </w:r>
      <w:r w:rsidRPr="00030366" w:rsidR="009F1845">
        <w:t>” in</w:t>
      </w:r>
      <w:r w:rsidR="009F1845">
        <w:t xml:space="preserve"> addition to those that “serve a new or additional purpose” would encompass nearly any conceivable purpose for such </w:t>
      </w:r>
      <w:r w:rsidR="009F1845">
        <w:lastRenderedPageBreak/>
        <w:t>infrastructure.</w:t>
      </w:r>
      <w:r w:rsidRPr="00B36BE0" w:rsidR="009F1845">
        <w:t xml:space="preserve"> </w:t>
      </w:r>
      <w:r w:rsidR="009F1845">
        <w:t xml:space="preserve">As such, it is not necessary to specify that modifications serve a particular purpose. </w:t>
      </w:r>
    </w:p>
    <w:p w:rsidR="007E3AC4" w:rsidP="00804F6F" w:rsidRDefault="007E3AC4" w14:paraId="1357298B" w14:textId="77777777">
      <w:pPr>
        <w:pStyle w:val="Heading2"/>
      </w:pPr>
      <w:bookmarkStart w:name="_Toc189738511" w:id="159"/>
      <w:r>
        <w:t>Definition of Equivalent Facilities or Structures</w:t>
      </w:r>
      <w:bookmarkEnd w:id="159"/>
      <w:r>
        <w:t xml:space="preserve"> </w:t>
      </w:r>
    </w:p>
    <w:p w:rsidR="00541996" w:rsidP="00123F0A" w:rsidRDefault="00861EEE" w14:paraId="11E17644" w14:textId="77777777">
      <w:pPr>
        <w:pStyle w:val="Standard"/>
      </w:pPr>
      <w:r>
        <w:t>As discussed below</w:t>
      </w:r>
      <w:r w:rsidRPr="00727561" w:rsidR="00727561">
        <w:t>, we adopt a slightly modified version of the IOUs’ proposed revisions to the Staff</w:t>
      </w:r>
      <w:r w:rsidR="00BC4400">
        <w:t xml:space="preserve"> Proposal </w:t>
      </w:r>
      <w:r w:rsidR="00DC14AC">
        <w:t>Section </w:t>
      </w:r>
      <w:r w:rsidR="008B2A1E">
        <w:t>3</w:t>
      </w:r>
      <w:r w:rsidR="00826A52">
        <w:t>.1,</w:t>
      </w:r>
      <w:r w:rsidR="00BC4400">
        <w:t xml:space="preserve"> Proposal 3</w:t>
      </w:r>
      <w:r w:rsidRPr="00727561" w:rsidR="00727561">
        <w:t xml:space="preserve"> definition of “equivalent facilities or structures</w:t>
      </w:r>
      <w:r>
        <w:t>.</w:t>
      </w:r>
      <w:r w:rsidRPr="00F14517" w:rsidR="00F14517">
        <w:t>”</w:t>
      </w:r>
    </w:p>
    <w:p w:rsidR="0010022C" w:rsidP="00123F0A" w:rsidRDefault="00123F0A" w14:paraId="1182CE18" w14:textId="77777777">
      <w:pPr>
        <w:pStyle w:val="Standard"/>
      </w:pPr>
      <w:r w:rsidRPr="006E2F6C">
        <w:t>Staff’s proposal seeks to clarify the meaning</w:t>
      </w:r>
      <w:r w:rsidRPr="006E2F6C" w:rsidR="00250020">
        <w:t xml:space="preserve"> and interpretation</w:t>
      </w:r>
      <w:r w:rsidRPr="006E2F6C">
        <w:t xml:space="preserve"> of </w:t>
      </w:r>
      <w:r w:rsidRPr="006E2F6C" w:rsidR="00250020">
        <w:t>“</w:t>
      </w:r>
      <w:r w:rsidRPr="006E2F6C">
        <w:t>equivalent facilities or structures</w:t>
      </w:r>
      <w:r w:rsidRPr="006E2F6C" w:rsidR="00F804AE">
        <w:t>,</w:t>
      </w:r>
      <w:r w:rsidRPr="006E2F6C" w:rsidR="00A3508F">
        <w:t>”</w:t>
      </w:r>
      <w:r w:rsidRPr="006E2F6C">
        <w:t xml:space="preserve"> because they</w:t>
      </w:r>
      <w:r>
        <w:t xml:space="preserve"> are </w:t>
      </w:r>
      <w:r w:rsidRPr="00123F0A">
        <w:t xml:space="preserve">used in longstanding exemption criteria within Sections III.A and III.B of </w:t>
      </w:r>
      <w:r w:rsidR="003B5D07">
        <w:t>GO </w:t>
      </w:r>
      <w:r w:rsidRPr="00123F0A">
        <w:t>131-D</w:t>
      </w:r>
      <w:r>
        <w:t xml:space="preserve">. Project </w:t>
      </w:r>
      <w:r w:rsidRPr="00123F0A">
        <w:t xml:space="preserve">applicants </w:t>
      </w:r>
      <w:r>
        <w:t>are</w:t>
      </w:r>
      <w:r w:rsidRPr="00123F0A">
        <w:t xml:space="preserve"> not </w:t>
      </w:r>
      <w:r>
        <w:t xml:space="preserve">required to </w:t>
      </w:r>
      <w:r w:rsidR="0010022C">
        <w:t>obtain</w:t>
      </w:r>
      <w:r>
        <w:t xml:space="preserve"> a</w:t>
      </w:r>
      <w:r w:rsidRPr="00123F0A">
        <w:t xml:space="preserve"> CPCN</w:t>
      </w:r>
      <w:r w:rsidR="00A3508F">
        <w:t xml:space="preserve"> or PTC</w:t>
      </w:r>
      <w:r w:rsidRPr="00123F0A">
        <w:t xml:space="preserve"> </w:t>
      </w:r>
      <w:r w:rsidR="0010022C">
        <w:t xml:space="preserve">if </w:t>
      </w:r>
      <w:r w:rsidRPr="00123F0A">
        <w:t xml:space="preserve">existing power line facilities or supporting structures </w:t>
      </w:r>
      <w:r>
        <w:t xml:space="preserve">are replaced with </w:t>
      </w:r>
      <w:r w:rsidRPr="00123F0A">
        <w:t>equivalent facilities or structure</w:t>
      </w:r>
      <w:r>
        <w:t xml:space="preserve">s, </w:t>
      </w:r>
      <w:r w:rsidRPr="00123F0A">
        <w:t xml:space="preserve">or if they </w:t>
      </w:r>
      <w:r w:rsidR="0010022C">
        <w:t>intend to</w:t>
      </w:r>
      <w:r w:rsidRPr="00123F0A">
        <w:t xml:space="preserve"> plac</w:t>
      </w:r>
      <w:r w:rsidR="0010022C">
        <w:t>e</w:t>
      </w:r>
      <w:r w:rsidRPr="00123F0A">
        <w:t xml:space="preserve"> new </w:t>
      </w:r>
      <w:r w:rsidR="0010022C">
        <w:t>accessories, including</w:t>
      </w:r>
      <w:r w:rsidRPr="00123F0A">
        <w:t xml:space="preserve"> additional conductors, insulators, o</w:t>
      </w:r>
      <w:r w:rsidR="0010022C">
        <w:t xml:space="preserve">n existing </w:t>
      </w:r>
      <w:r w:rsidRPr="00123F0A">
        <w:t>supporting structures</w:t>
      </w:r>
      <w:r w:rsidR="0010022C">
        <w:t>.</w:t>
      </w:r>
      <w:r w:rsidR="007B5956">
        <w:rPr>
          <w:rStyle w:val="FootnoteReference"/>
        </w:rPr>
        <w:footnoteReference w:id="168"/>
      </w:r>
      <w:r w:rsidR="0010022C">
        <w:t xml:space="preserve"> </w:t>
      </w:r>
    </w:p>
    <w:p w:rsidR="00123F0A" w:rsidP="00123F0A" w:rsidRDefault="00123F0A" w14:paraId="62293BD1" w14:textId="77777777">
      <w:pPr>
        <w:pStyle w:val="Standard"/>
      </w:pPr>
      <w:r w:rsidRPr="00123F0A">
        <w:t xml:space="preserve">As written, </w:t>
      </w:r>
      <w:r w:rsidR="00A3508F">
        <w:t>application of the</w:t>
      </w:r>
      <w:r w:rsidRPr="00123F0A">
        <w:t xml:space="preserve"> terms “equivalent facilities or structures”” </w:t>
      </w:r>
      <w:r w:rsidR="00A3508F">
        <w:t xml:space="preserve">in </w:t>
      </w:r>
      <w:r w:rsidRPr="00123F0A" w:rsidR="00A3508F">
        <w:t xml:space="preserve">Sections III.A and III.B of </w:t>
      </w:r>
      <w:r w:rsidR="003B5D07">
        <w:t>GO </w:t>
      </w:r>
      <w:r w:rsidRPr="00123F0A" w:rsidR="00A3508F">
        <w:t>131-D</w:t>
      </w:r>
      <w:r w:rsidR="00A3508F">
        <w:t xml:space="preserve"> to claim</w:t>
      </w:r>
      <w:r w:rsidRPr="00123F0A">
        <w:t xml:space="preserve"> CPCN and PTC exemptions </w:t>
      </w:r>
      <w:r w:rsidR="00A3508F">
        <w:t xml:space="preserve">enables </w:t>
      </w:r>
      <w:r w:rsidRPr="00123F0A">
        <w:t xml:space="preserve">utilities to notice construction of such facilities </w:t>
      </w:r>
      <w:r w:rsidR="00A3508F">
        <w:t xml:space="preserve">through submission of </w:t>
      </w:r>
      <w:r w:rsidRPr="00123F0A">
        <w:t>Tier 2 advice letter</w:t>
      </w:r>
      <w:r w:rsidR="00A3508F">
        <w:t>s</w:t>
      </w:r>
      <w:r w:rsidRPr="00123F0A">
        <w:t xml:space="preserve">. However, these terms are not defined in </w:t>
      </w:r>
      <w:r w:rsidR="003B5D07">
        <w:t>GO </w:t>
      </w:r>
      <w:r w:rsidRPr="00123F0A">
        <w:t>131-D, leaving their</w:t>
      </w:r>
      <w:r w:rsidR="00A3508F">
        <w:t xml:space="preserve"> definition</w:t>
      </w:r>
      <w:r w:rsidRPr="00123F0A">
        <w:t xml:space="preserve"> open to interpretation. Clarifying the meaning of “equivalent facilities or structures” in </w:t>
      </w:r>
      <w:r w:rsidR="003B5D07">
        <w:t>GO </w:t>
      </w:r>
      <w:r w:rsidRPr="00123F0A">
        <w:t>131-</w:t>
      </w:r>
      <w:r w:rsidR="00A3508F">
        <w:t>E</w:t>
      </w:r>
      <w:r w:rsidRPr="00123F0A">
        <w:t xml:space="preserve"> </w:t>
      </w:r>
      <w:r w:rsidR="00A3508F">
        <w:t xml:space="preserve">provides </w:t>
      </w:r>
      <w:r w:rsidRPr="00123F0A">
        <w:t>applicants with clear criteria to determine which projects may be noticed via advice letter and ensure consistent interpretation of the CPCN and PTC exemptions by Commission staff.</w:t>
      </w:r>
      <w:r w:rsidR="007B5956">
        <w:rPr>
          <w:rStyle w:val="FootnoteReference"/>
        </w:rPr>
        <w:footnoteReference w:id="169"/>
      </w:r>
    </w:p>
    <w:p w:rsidR="00123F0A" w:rsidP="007B5956" w:rsidRDefault="00FA6408" w14:paraId="62E8BD9B" w14:textId="77777777">
      <w:pPr>
        <w:pStyle w:val="Standard"/>
      </w:pPr>
      <w:r>
        <w:t>On this point</w:t>
      </w:r>
      <w:r w:rsidR="00AC70C3">
        <w:t xml:space="preserve">, </w:t>
      </w:r>
      <w:r w:rsidRPr="00727561" w:rsidR="00E271D3">
        <w:t>Staff</w:t>
      </w:r>
      <w:r w:rsidR="00E271D3">
        <w:t xml:space="preserve"> Proposal </w:t>
      </w:r>
      <w:r w:rsidR="00DC14AC">
        <w:t>Section </w:t>
      </w:r>
      <w:r w:rsidR="00E271D3">
        <w:t>3.1,</w:t>
      </w:r>
      <w:r w:rsidR="00123F0A">
        <w:t xml:space="preserve"> </w:t>
      </w:r>
      <w:r w:rsidR="00560782">
        <w:t>P</w:t>
      </w:r>
      <w:r w:rsidR="00123F0A">
        <w:t>roposal</w:t>
      </w:r>
      <w:r w:rsidRPr="00123F0A" w:rsidR="00123F0A">
        <w:t xml:space="preserve"> </w:t>
      </w:r>
      <w:r w:rsidR="00560782">
        <w:t xml:space="preserve">3 </w:t>
      </w:r>
      <w:r w:rsidRPr="00123F0A" w:rsidR="00123F0A">
        <w:t>would</w:t>
      </w:r>
      <w:r w:rsidR="001E4D47">
        <w:t xml:space="preserve"> </w:t>
      </w:r>
      <w:r w:rsidRPr="00123F0A" w:rsidR="00123F0A">
        <w:t xml:space="preserve">modify </w:t>
      </w:r>
      <w:r w:rsidR="00DC14AC">
        <w:t>Section </w:t>
      </w:r>
      <w:r w:rsidRPr="00123F0A" w:rsidR="00123F0A">
        <w:t xml:space="preserve">III.A of </w:t>
      </w:r>
      <w:r w:rsidR="003B5D07">
        <w:t>GO </w:t>
      </w:r>
      <w:r w:rsidRPr="00123F0A" w:rsidR="00123F0A">
        <w:t xml:space="preserve">131-D to add specificity to the term “equivalent facilities or </w:t>
      </w:r>
      <w:r w:rsidRPr="00123F0A" w:rsidR="00123F0A">
        <w:lastRenderedPageBreak/>
        <w:t>structures</w:t>
      </w:r>
      <w:r w:rsidR="001E4D47">
        <w:t>,</w:t>
      </w:r>
      <w:r w:rsidRPr="00123F0A" w:rsidR="00123F0A">
        <w:t xml:space="preserve">” as used Sections III.A and III.B.1.b, by adopting the following definition: </w:t>
      </w:r>
    </w:p>
    <w:p w:rsidR="00123F0A" w:rsidP="00E75F73" w:rsidRDefault="00E96EEB" w14:paraId="15BEC6BE" w14:textId="77777777">
      <w:pPr>
        <w:pStyle w:val="BlockQuote"/>
        <w:spacing w:after="180"/>
      </w:pPr>
      <w:r w:rsidRPr="006E2F6C">
        <w:t>“</w:t>
      </w:r>
      <w:r w:rsidRPr="006E2F6C" w:rsidR="00123F0A">
        <w:t>Equivalent facilities or structures” are new power line facilities or supporting structures that are installed to replace existing power line facilities or supporting</w:t>
      </w:r>
      <w:r w:rsidRPr="00123F0A" w:rsidR="00123F0A">
        <w:t xml:space="preserve"> structures and that provide power transfer capability at no greater voltage than the facilities or structures being replaced.</w:t>
      </w:r>
    </w:p>
    <w:p w:rsidRPr="009400FE" w:rsidR="007E3AC4" w:rsidP="000A79F2" w:rsidRDefault="007E3AC4" w14:paraId="52DB1BEC" w14:textId="77777777">
      <w:pPr>
        <w:pStyle w:val="Standard"/>
      </w:pPr>
      <w:r w:rsidRPr="007E3AC4">
        <w:t>Cal Advocates supports staff’s proposed definition</w:t>
      </w:r>
      <w:r w:rsidR="00F21259">
        <w:t xml:space="preserve"> stating that it would be valuable to enable the consistent interpretation of exemption criteria in </w:t>
      </w:r>
      <w:r w:rsidR="00DC14AC">
        <w:t>Section </w:t>
      </w:r>
      <w:r w:rsidR="00F21259">
        <w:t xml:space="preserve">III.A and III.B of </w:t>
      </w:r>
      <w:r w:rsidR="003B5D07">
        <w:t>GO </w:t>
      </w:r>
      <w:r w:rsidR="00F21259">
        <w:t>131-D which use th</w:t>
      </w:r>
      <w:r w:rsidR="008A3A0B">
        <w:t>is</w:t>
      </w:r>
      <w:r w:rsidR="00F21259">
        <w:t xml:space="preserve"> term</w:t>
      </w:r>
      <w:r w:rsidRPr="007E3AC4">
        <w:t>.</w:t>
      </w:r>
      <w:r w:rsidR="00F21259">
        <w:rPr>
          <w:rStyle w:val="FootnoteReference"/>
        </w:rPr>
        <w:footnoteReference w:id="170"/>
      </w:r>
      <w:r w:rsidRPr="007E3AC4">
        <w:t xml:space="preserve"> PG&amp;E, SCE, and SDG&amp;E support the definition with minor revisions.</w:t>
      </w:r>
      <w:r>
        <w:t xml:space="preserve"> </w:t>
      </w:r>
      <w:r w:rsidRPr="007E3AC4">
        <w:t>PG&amp;E, SCE, and SDG&amp;E propose the following revisions to the staff definition: “new power</w:t>
      </w:r>
      <w:r w:rsidRPr="007E3AC4">
        <w:rPr>
          <w:u w:val="single"/>
        </w:rPr>
        <w:t xml:space="preserve"> transmission</w:t>
      </w:r>
      <w:r w:rsidRPr="007E3AC4">
        <w:t xml:space="preserve"> line</w:t>
      </w:r>
      <w:r w:rsidRPr="007E3AC4">
        <w:rPr>
          <w:u w:val="single"/>
        </w:rPr>
        <w:t xml:space="preserve"> or power line</w:t>
      </w:r>
      <w:r w:rsidRPr="007E3AC4">
        <w:t xml:space="preserve"> facilities or supporting structures</w:t>
      </w:r>
      <w:r w:rsidRPr="007E3AC4">
        <w:rPr>
          <w:u w:val="single"/>
        </w:rPr>
        <w:t xml:space="preserve">, or substation facilities or equipment, </w:t>
      </w:r>
      <w:r w:rsidRPr="007E3AC4">
        <w:t xml:space="preserve">that are installed to replace existing </w:t>
      </w:r>
      <w:r w:rsidRPr="007E3AC4">
        <w:rPr>
          <w:u w:val="single"/>
        </w:rPr>
        <w:t xml:space="preserve">transmission line or </w:t>
      </w:r>
      <w:r w:rsidRPr="007E3AC4">
        <w:t>power line facilities or supporting structures</w:t>
      </w:r>
      <w:r w:rsidRPr="007E3AC4">
        <w:rPr>
          <w:u w:val="single"/>
        </w:rPr>
        <w:t xml:space="preserve">, or substation facilities or equipment, </w:t>
      </w:r>
      <w:r w:rsidRPr="007E3AC4">
        <w:t xml:space="preserve">and that provide power transfer capability at no greater voltage than the facilities or structures being replaced.” PG&amp;E, SCE, and SDG&amp;E also propose to update the staff-proposed </w:t>
      </w:r>
      <w:r w:rsidR="00DC14AC">
        <w:t>Section </w:t>
      </w:r>
      <w:r w:rsidRPr="007E3AC4">
        <w:t xml:space="preserve">III.A.3.a and III.A.3.b to refer to transmission lines instead of power lines from the CPCN process, as in, “The replacement of existing power </w:t>
      </w:r>
      <w:r w:rsidRPr="007E3AC4">
        <w:rPr>
          <w:u w:val="single"/>
        </w:rPr>
        <w:t xml:space="preserve">transmission </w:t>
      </w:r>
      <w:r w:rsidRPr="007E3AC4">
        <w:t xml:space="preserve">line facilities or supporting structures with equivalent facilities or structures” and “The minor relocation of existing power </w:t>
      </w:r>
      <w:r w:rsidRPr="007E3AC4">
        <w:rPr>
          <w:u w:val="single"/>
        </w:rPr>
        <w:t xml:space="preserve">transmission </w:t>
      </w:r>
      <w:r w:rsidRPr="007E3AC4">
        <w:t>line facilities</w:t>
      </w:r>
      <w:r w:rsidR="00661A69">
        <w:t>.</w:t>
      </w:r>
      <w:r w:rsidRPr="007E3AC4">
        <w:t>” Finally, PG&amp;E, SCE, and SDG&amp;E propose to update PTC exemption “b” to read: “The replacement of existing power line facilities or supporting structures</w:t>
      </w:r>
      <w:r w:rsidRPr="007E3AC4">
        <w:rPr>
          <w:u w:val="single"/>
        </w:rPr>
        <w:t xml:space="preserve">, </w:t>
      </w:r>
      <w:r w:rsidRPr="009400FE">
        <w:rPr>
          <w:u w:val="single"/>
        </w:rPr>
        <w:t xml:space="preserve">or substation facilities or equipment, </w:t>
      </w:r>
      <w:r w:rsidRPr="009400FE">
        <w:t>with equivalent facilities or structures.” </w:t>
      </w:r>
    </w:p>
    <w:p w:rsidRPr="009400FE" w:rsidR="00162D91" w:rsidP="002E32E2" w:rsidRDefault="00BD3778" w14:paraId="3ACB0FB7" w14:textId="77777777">
      <w:pPr>
        <w:pStyle w:val="Standard"/>
      </w:pPr>
      <w:r w:rsidRPr="009400FE">
        <w:lastRenderedPageBreak/>
        <w:t>Because the term</w:t>
      </w:r>
      <w:r w:rsidRPr="009400FE" w:rsidR="00162D91">
        <w:t xml:space="preserve"> “equivalent facilities or structures” is used in both </w:t>
      </w:r>
      <w:r w:rsidR="003B5D07">
        <w:t>GO </w:t>
      </w:r>
      <w:r w:rsidRPr="009400FE" w:rsidR="00162D91">
        <w:t>131-D</w:t>
      </w:r>
      <w:r w:rsidR="00630DCA">
        <w:t>,</w:t>
      </w:r>
      <w:r w:rsidRPr="009400FE" w:rsidR="00162D91">
        <w:t xml:space="preserve"> </w:t>
      </w:r>
      <w:r w:rsidR="00DC14AC">
        <w:t>Section </w:t>
      </w:r>
      <w:r w:rsidRPr="009400FE" w:rsidR="00162D91">
        <w:t>III.A</w:t>
      </w:r>
      <w:r w:rsidRPr="009400FE" w:rsidR="0044533F">
        <w:t xml:space="preserve">, </w:t>
      </w:r>
      <w:r w:rsidR="00016990">
        <w:t>which</w:t>
      </w:r>
      <w:r w:rsidRPr="009400FE" w:rsidR="0044533F">
        <w:t xml:space="preserve"> sets rules for </w:t>
      </w:r>
      <w:r w:rsidRPr="009400FE" w:rsidR="00162D91">
        <w:t>transmission lines</w:t>
      </w:r>
      <w:r w:rsidRPr="009400FE" w:rsidR="0044533F">
        <w:t xml:space="preserve"> with rated voltages at or above 200 kV, </w:t>
      </w:r>
      <w:r w:rsidRPr="009400FE" w:rsidR="00162D91">
        <w:t xml:space="preserve">and </w:t>
      </w:r>
      <w:r w:rsidR="00DC14AC">
        <w:t>Section </w:t>
      </w:r>
      <w:r w:rsidRPr="009400FE" w:rsidR="00162D91">
        <w:t>III.B</w:t>
      </w:r>
      <w:r w:rsidRPr="009400FE" w:rsidR="0044533F">
        <w:t xml:space="preserve">, </w:t>
      </w:r>
      <w:r w:rsidR="005B7474">
        <w:t>which</w:t>
      </w:r>
      <w:r w:rsidRPr="009400FE" w:rsidR="0044533F">
        <w:t xml:space="preserve"> sets rules for </w:t>
      </w:r>
      <w:r w:rsidRPr="009400FE" w:rsidR="00162D91">
        <w:t>power lines</w:t>
      </w:r>
      <w:r w:rsidRPr="009400FE" w:rsidR="0044533F">
        <w:t xml:space="preserve"> with rated voltages from 50 kV to 200 kV</w:t>
      </w:r>
      <w:r w:rsidRPr="009400FE" w:rsidR="00162D91">
        <w:t xml:space="preserve">, </w:t>
      </w:r>
      <w:r w:rsidRPr="009400FE">
        <w:t>w</w:t>
      </w:r>
      <w:r w:rsidRPr="009400FE" w:rsidR="00162D91">
        <w:t xml:space="preserve">e </w:t>
      </w:r>
      <w:r w:rsidRPr="009400FE">
        <w:t xml:space="preserve">concur with SDG&amp;E that the </w:t>
      </w:r>
      <w:r w:rsidRPr="009400FE" w:rsidR="0044533F">
        <w:t>term</w:t>
      </w:r>
      <w:r w:rsidRPr="009400FE" w:rsidR="00162D91">
        <w:t xml:space="preserve"> should </w:t>
      </w:r>
      <w:r w:rsidRPr="009400FE" w:rsidR="0044533F">
        <w:t>pertain</w:t>
      </w:r>
      <w:r w:rsidRPr="009400FE" w:rsidR="00162D91">
        <w:t xml:space="preserve"> to both “transmission line or power line facilities.”</w:t>
      </w:r>
      <w:r w:rsidRPr="009400FE" w:rsidR="006F3794">
        <w:rPr>
          <w:rStyle w:val="FootnoteReference"/>
        </w:rPr>
        <w:footnoteReference w:id="171"/>
      </w:r>
      <w:r w:rsidRPr="009400FE" w:rsidR="00162D91">
        <w:t xml:space="preserve"> </w:t>
      </w:r>
      <w:r w:rsidRPr="009400FE" w:rsidR="0044533F">
        <w:t xml:space="preserve">Further, we agree with SDG&amp;E that the “replacement of existing substation facilities or equipment with equivalent facilities or structures … is extremely unlikely to have any new environmental impacts” and that replacing substation facilities or equipment has heretofore been exempt from the PTC requirement under </w:t>
      </w:r>
      <w:r w:rsidR="003B5D07">
        <w:t>GO </w:t>
      </w:r>
      <w:r w:rsidRPr="009400FE" w:rsidR="0044533F">
        <w:t>131</w:t>
      </w:r>
      <w:r w:rsidR="00AD2306">
        <w:noBreakHyphen/>
      </w:r>
      <w:r w:rsidRPr="009400FE" w:rsidR="0044533F">
        <w:t xml:space="preserve">D due to the “upgraded substation” </w:t>
      </w:r>
      <w:r w:rsidRPr="003C6609" w:rsidR="0044533F">
        <w:t xml:space="preserve">definition. </w:t>
      </w:r>
      <w:r w:rsidRPr="003C6609" w:rsidR="002E32E2">
        <w:t>Therefore, we a</w:t>
      </w:r>
      <w:r w:rsidRPr="003C6609" w:rsidR="00DD2561">
        <w:t>do</w:t>
      </w:r>
      <w:r w:rsidRPr="003C6609" w:rsidR="002E32E2">
        <w:t xml:space="preserve">pt SDG&amp;E’s </w:t>
      </w:r>
      <w:r w:rsidRPr="003C6609" w:rsidR="00DD2561">
        <w:t>proposed</w:t>
      </w:r>
      <w:r w:rsidRPr="003C6609" w:rsidR="002E32E2">
        <w:t xml:space="preserve"> </w:t>
      </w:r>
      <w:r w:rsidRPr="003C6609" w:rsidR="00162D91">
        <w:t>revision to expand the definition to include substation</w:t>
      </w:r>
      <w:r w:rsidRPr="009400FE" w:rsidR="00162D91">
        <w:t xml:space="preserve"> facilities or equipment</w:t>
      </w:r>
      <w:r w:rsidRPr="009400FE" w:rsidR="002E32E2">
        <w:t>.</w:t>
      </w:r>
      <w:r w:rsidRPr="009400FE" w:rsidR="002E32E2">
        <w:rPr>
          <w:rStyle w:val="FootnoteReference"/>
        </w:rPr>
        <w:footnoteReference w:id="172"/>
      </w:r>
      <w:r w:rsidRPr="009400FE" w:rsidR="00162D91">
        <w:t xml:space="preserve"> </w:t>
      </w:r>
    </w:p>
    <w:p w:rsidRPr="009400FE" w:rsidR="007E3AC4" w:rsidP="00162D91" w:rsidRDefault="00003B90" w14:paraId="1B26B74D" w14:textId="77777777">
      <w:pPr>
        <w:pStyle w:val="Standard"/>
      </w:pPr>
      <w:bookmarkStart w:name="_Hlk177320554" w:id="160"/>
      <w:bookmarkStart w:name="_Hlk177634698" w:id="161"/>
      <w:r w:rsidRPr="009400FE">
        <w:t xml:space="preserve">Upon consideration of Staff Proposal </w:t>
      </w:r>
      <w:r w:rsidR="00DC14AC">
        <w:t>Section </w:t>
      </w:r>
      <w:r w:rsidR="00EE614D">
        <w:t>3.1</w:t>
      </w:r>
      <w:r w:rsidR="00EE1907">
        <w:t>,</w:t>
      </w:r>
      <w:r w:rsidRPr="009400FE">
        <w:t xml:space="preserve"> Proposal </w:t>
      </w:r>
      <w:r w:rsidRPr="009400FE" w:rsidR="009E0BD6">
        <w:t xml:space="preserve">3 </w:t>
      </w:r>
      <w:r w:rsidRPr="009400FE">
        <w:t>and party comments</w:t>
      </w:r>
      <w:r w:rsidRPr="009400FE" w:rsidR="002E32E2">
        <w:t xml:space="preserve">, </w:t>
      </w:r>
      <w:bookmarkEnd w:id="160"/>
      <w:r w:rsidRPr="009400FE" w:rsidR="002E32E2">
        <w:t>w</w:t>
      </w:r>
      <w:r w:rsidRPr="009400FE" w:rsidR="00162D91">
        <w:t>e a</w:t>
      </w:r>
      <w:r w:rsidRPr="009400FE" w:rsidR="007E3AC4">
        <w:t>dopt a slightly modified version of the IOUs’ proposed revisions</w:t>
      </w:r>
      <w:r w:rsidRPr="009400FE" w:rsidR="00162D91">
        <w:t xml:space="preserve"> to the Staff’s proposed definition of “equivalent facilities or structures”</w:t>
      </w:r>
      <w:r w:rsidRPr="009400FE" w:rsidR="00485985">
        <w:t xml:space="preserve"> </w:t>
      </w:r>
      <w:bookmarkEnd w:id="161"/>
      <w:r w:rsidRPr="009400FE" w:rsidR="007E3AC4">
        <w:t xml:space="preserve">as </w:t>
      </w:r>
      <w:r w:rsidRPr="009400FE" w:rsidR="004A2A07">
        <w:t>follows:</w:t>
      </w:r>
    </w:p>
    <w:p w:rsidRPr="009400FE" w:rsidR="007E3AC4" w:rsidP="00E75F73" w:rsidRDefault="007E3AC4" w14:paraId="3752B3F4" w14:textId="77777777">
      <w:pPr>
        <w:pStyle w:val="Standard"/>
        <w:numPr>
          <w:ilvl w:val="0"/>
          <w:numId w:val="5"/>
        </w:numPr>
        <w:spacing w:after="120" w:line="240" w:lineRule="auto"/>
        <w:ind w:left="1080" w:right="1440"/>
      </w:pPr>
      <w:r w:rsidRPr="009400FE">
        <w:t xml:space="preserve">Revise the </w:t>
      </w:r>
      <w:r w:rsidRPr="009400FE" w:rsidR="00162D91">
        <w:t>Staff</w:t>
      </w:r>
      <w:r w:rsidRPr="009400FE">
        <w:t xml:space="preserve"> </w:t>
      </w:r>
      <w:r w:rsidRPr="009400FE" w:rsidR="00162D91">
        <w:t>P</w:t>
      </w:r>
      <w:r w:rsidRPr="009400FE">
        <w:t xml:space="preserve">roposal </w:t>
      </w:r>
      <w:r w:rsidR="00DC14AC">
        <w:t>Section </w:t>
      </w:r>
      <w:r w:rsidR="00BD583A">
        <w:t xml:space="preserve">3.1, Proposal </w:t>
      </w:r>
      <w:r w:rsidR="00BC4400">
        <w:t xml:space="preserve">3 </w:t>
      </w:r>
      <w:r w:rsidRPr="009400FE">
        <w:t xml:space="preserve">definition of “equivalent facilities or structures” as follows: “new </w:t>
      </w:r>
      <w:r w:rsidRPr="009400FE">
        <w:rPr>
          <w:u w:val="single"/>
        </w:rPr>
        <w:t>transmission line or</w:t>
      </w:r>
      <w:r w:rsidRPr="00AD2306">
        <w:rPr>
          <w:i/>
          <w:iCs/>
        </w:rPr>
        <w:t xml:space="preserve"> </w:t>
      </w:r>
      <w:r w:rsidRPr="009400FE">
        <w:t xml:space="preserve">power line facilities or supporting structures that are installed to replace existing </w:t>
      </w:r>
      <w:r w:rsidRPr="009400FE">
        <w:rPr>
          <w:u w:val="single"/>
        </w:rPr>
        <w:t>transmission line or</w:t>
      </w:r>
      <w:r w:rsidRPr="00AD2306">
        <w:t xml:space="preserve"> </w:t>
      </w:r>
      <w:r w:rsidRPr="009400FE">
        <w:t>power line facilities or supporting structures</w:t>
      </w:r>
      <w:r w:rsidRPr="00AD2306">
        <w:t xml:space="preserve">, </w:t>
      </w:r>
      <w:r w:rsidRPr="009400FE">
        <w:rPr>
          <w:u w:val="single"/>
        </w:rPr>
        <w:t xml:space="preserve">or new substation facilities or </w:t>
      </w:r>
      <w:r w:rsidR="000F1CA8">
        <w:rPr>
          <w:u w:val="single"/>
        </w:rPr>
        <w:t xml:space="preserve">switchyard facilities, or </w:t>
      </w:r>
      <w:r w:rsidRPr="009400FE">
        <w:rPr>
          <w:u w:val="single"/>
        </w:rPr>
        <w:t>equipment that are installed to replace existing substation facilities</w:t>
      </w:r>
      <w:r w:rsidR="000F1CA8">
        <w:rPr>
          <w:u w:val="single"/>
        </w:rPr>
        <w:t xml:space="preserve"> or switchyard</w:t>
      </w:r>
      <w:r w:rsidRPr="009400FE">
        <w:rPr>
          <w:u w:val="single"/>
        </w:rPr>
        <w:t xml:space="preserve"> facilities or equipment</w:t>
      </w:r>
      <w:r w:rsidRPr="00AD2306">
        <w:t xml:space="preserve">, </w:t>
      </w:r>
      <w:r w:rsidRPr="009400FE">
        <w:t xml:space="preserve">and that provide power transfer capability at no greater voltage than the facilities or structures being </w:t>
      </w:r>
      <w:r w:rsidRPr="00A86A98">
        <w:t>replaced</w:t>
      </w:r>
      <w:r w:rsidRPr="00A86A98" w:rsidR="00EE7A79">
        <w:t>;</w:t>
      </w:r>
      <w:r w:rsidRPr="00A86A98">
        <w:t>”</w:t>
      </w:r>
      <w:r w:rsidRPr="009400FE">
        <w:t>  </w:t>
      </w:r>
    </w:p>
    <w:p w:rsidRPr="00BF6862" w:rsidR="007E3AC4" w:rsidP="00E75F73" w:rsidRDefault="007E3AC4" w14:paraId="7ACE6D35" w14:textId="77777777">
      <w:pPr>
        <w:pStyle w:val="Standard"/>
        <w:numPr>
          <w:ilvl w:val="0"/>
          <w:numId w:val="5"/>
        </w:numPr>
        <w:spacing w:after="120" w:line="240" w:lineRule="auto"/>
        <w:ind w:left="1080" w:right="1440"/>
      </w:pPr>
      <w:r w:rsidRPr="009400FE">
        <w:lastRenderedPageBreak/>
        <w:t>Update the</w:t>
      </w:r>
      <w:r w:rsidRPr="009400FE" w:rsidR="00ED3C3C">
        <w:t xml:space="preserve"> S</w:t>
      </w:r>
      <w:r w:rsidRPr="009400FE">
        <w:t xml:space="preserve">taff-proposed </w:t>
      </w:r>
      <w:r w:rsidR="00DC14AC">
        <w:t>Section </w:t>
      </w:r>
      <w:r w:rsidRPr="009400FE">
        <w:t>III.A.</w:t>
      </w:r>
      <w:r w:rsidR="0085586A">
        <w:t xml:space="preserve">1.c </w:t>
      </w:r>
      <w:r w:rsidR="00BC74E9">
        <w:t xml:space="preserve">in </w:t>
      </w:r>
      <w:r w:rsidR="003B5D07">
        <w:t>GO </w:t>
      </w:r>
      <w:r w:rsidR="00BC74E9">
        <w:t>131-E</w:t>
      </w:r>
      <w:r w:rsidRPr="009400FE">
        <w:t xml:space="preserve"> to refer to transmission lines instead of power lines from the CPCN process, as in, “</w:t>
      </w:r>
      <w:r w:rsidR="00ED3B3D">
        <w:t>…the</w:t>
      </w:r>
      <w:r w:rsidRPr="009400FE">
        <w:t xml:space="preserve"> replacement of existing </w:t>
      </w:r>
      <w:r w:rsidRPr="009400FE">
        <w:rPr>
          <w:u w:val="single"/>
        </w:rPr>
        <w:t>transmission</w:t>
      </w:r>
      <w:r w:rsidRPr="00AD2306">
        <w:t xml:space="preserve"> </w:t>
      </w:r>
      <w:r w:rsidRPr="009400FE">
        <w:t>line facilities or supporting structures with equivalent facilities or structures” and “</w:t>
      </w:r>
      <w:r w:rsidR="008973EF">
        <w:t>…t</w:t>
      </w:r>
      <w:r w:rsidRPr="009400FE">
        <w:t xml:space="preserve">he minor relocation of existing </w:t>
      </w:r>
      <w:r w:rsidRPr="009400FE">
        <w:rPr>
          <w:u w:val="single"/>
        </w:rPr>
        <w:t>transmission</w:t>
      </w:r>
      <w:r w:rsidRPr="00AD2306">
        <w:t xml:space="preserve"> </w:t>
      </w:r>
      <w:r w:rsidRPr="00BF6862">
        <w:t>line facilities</w:t>
      </w:r>
      <w:r w:rsidRPr="00BF6862" w:rsidR="00EE7A79">
        <w:t>;</w:t>
      </w:r>
      <w:r w:rsidRPr="00BF6862">
        <w:t>”</w:t>
      </w:r>
      <w:r w:rsidRPr="00BF6862" w:rsidR="00EE7A79">
        <w:t xml:space="preserve"> and</w:t>
      </w:r>
      <w:r w:rsidRPr="00BF6862">
        <w:t>  </w:t>
      </w:r>
    </w:p>
    <w:p w:rsidRPr="009400FE" w:rsidR="005944BB" w:rsidP="00E75F73" w:rsidRDefault="0095696D" w14:paraId="5C4074BA" w14:textId="77777777">
      <w:pPr>
        <w:pStyle w:val="Standard"/>
        <w:numPr>
          <w:ilvl w:val="0"/>
          <w:numId w:val="5"/>
        </w:numPr>
        <w:spacing w:after="180" w:line="240" w:lineRule="auto"/>
        <w:ind w:left="1080" w:right="1440"/>
      </w:pPr>
      <w:r>
        <w:t>Revise</w:t>
      </w:r>
      <w:r w:rsidRPr="009400FE">
        <w:t xml:space="preserve"> </w:t>
      </w:r>
      <w:r>
        <w:t xml:space="preserve">the </w:t>
      </w:r>
      <w:r w:rsidRPr="009400FE" w:rsidR="007E3AC4">
        <w:t xml:space="preserve">PTC exemption </w:t>
      </w:r>
      <w:r>
        <w:t xml:space="preserve">specified in </w:t>
      </w:r>
      <w:r w:rsidR="00DC14AC">
        <w:t>Section </w:t>
      </w:r>
      <w:r>
        <w:t xml:space="preserve">III.B.2.a in </w:t>
      </w:r>
      <w:r w:rsidR="003B5D07">
        <w:t>GO </w:t>
      </w:r>
      <w:r>
        <w:t xml:space="preserve">131-E to </w:t>
      </w:r>
      <w:r w:rsidRPr="009400FE" w:rsidR="007E3AC4">
        <w:t>read: “The replacement of existing power line facilities or supporting structures</w:t>
      </w:r>
      <w:r w:rsidRPr="00AD2306" w:rsidR="007E3AC4">
        <w:t xml:space="preserve">, </w:t>
      </w:r>
      <w:r w:rsidRPr="009400FE" w:rsidR="007E3AC4">
        <w:rPr>
          <w:u w:val="single"/>
        </w:rPr>
        <w:t xml:space="preserve">or </w:t>
      </w:r>
      <w:r w:rsidR="0044249D">
        <w:rPr>
          <w:u w:val="single"/>
        </w:rPr>
        <w:t xml:space="preserve">existing </w:t>
      </w:r>
      <w:r w:rsidRPr="009400FE" w:rsidR="007E3AC4">
        <w:rPr>
          <w:u w:val="single"/>
        </w:rPr>
        <w:t>substation facilities or equipment</w:t>
      </w:r>
      <w:r w:rsidRPr="00AD2306" w:rsidR="007E3AC4">
        <w:t xml:space="preserve">, </w:t>
      </w:r>
      <w:r w:rsidRPr="009400FE" w:rsidR="007E3AC4">
        <w:t>with equivalent facilities or structures.” </w:t>
      </w:r>
    </w:p>
    <w:p w:rsidRPr="009400FE" w:rsidR="005944BB" w:rsidP="00804F6F" w:rsidRDefault="005944BB" w14:paraId="2FCAE1C2" w14:textId="77777777">
      <w:pPr>
        <w:pStyle w:val="Heading2"/>
      </w:pPr>
      <w:bookmarkStart w:name="_Toc189738512" w:id="162"/>
      <w:r w:rsidRPr="009400FE">
        <w:t>Definition of Accessories</w:t>
      </w:r>
      <w:bookmarkEnd w:id="162"/>
      <w:r w:rsidRPr="009400FE">
        <w:t xml:space="preserve"> </w:t>
      </w:r>
    </w:p>
    <w:p w:rsidRPr="009400FE" w:rsidR="00632B8F" w:rsidP="004434B7" w:rsidRDefault="00632B8F" w14:paraId="15438F52" w14:textId="77777777">
      <w:pPr>
        <w:pStyle w:val="Standard"/>
      </w:pPr>
      <w:r w:rsidRPr="009400FE">
        <w:t xml:space="preserve">As </w:t>
      </w:r>
      <w:r w:rsidRPr="009400FE" w:rsidR="00A87CE4">
        <w:t xml:space="preserve">discussed below, we adopt the IOUs’ proposed </w:t>
      </w:r>
      <w:r w:rsidRPr="009400FE" w:rsidR="007044FE">
        <w:t>d</w:t>
      </w:r>
      <w:r w:rsidRPr="009400FE" w:rsidR="00A87CE4">
        <w:t>efin</w:t>
      </w:r>
      <w:r w:rsidRPr="009400FE" w:rsidR="00C7005E">
        <w:t>ition of</w:t>
      </w:r>
      <w:r w:rsidRPr="009400FE" w:rsidR="00E5283B">
        <w:t xml:space="preserve"> the </w:t>
      </w:r>
      <w:r w:rsidRPr="009400FE" w:rsidR="00C7005E">
        <w:t>term</w:t>
      </w:r>
      <w:r w:rsidRPr="009400FE" w:rsidR="00C856DA">
        <w:t xml:space="preserve"> </w:t>
      </w:r>
      <w:r w:rsidRPr="009400FE" w:rsidR="00A87CE4">
        <w:t>“</w:t>
      </w:r>
      <w:r w:rsidRPr="009400FE" w:rsidR="00A138E5">
        <w:t>a</w:t>
      </w:r>
      <w:r w:rsidRPr="009400FE" w:rsidR="00A87CE4">
        <w:t>ccessories” to include the attachment of telecommunications equipment to existing towers and poles in the definition of accessories.</w:t>
      </w:r>
    </w:p>
    <w:p w:rsidR="005944BB" w:rsidP="004434B7" w:rsidRDefault="004434B7" w14:paraId="5BDDE6F9" w14:textId="77777777">
      <w:pPr>
        <w:pStyle w:val="Standard"/>
      </w:pPr>
      <w:r w:rsidRPr="009400FE">
        <w:t>The term “access</w:t>
      </w:r>
      <w:r w:rsidRPr="009400FE" w:rsidR="009A15FF">
        <w:t xml:space="preserve">ories” is not </w:t>
      </w:r>
      <w:r w:rsidRPr="009400FE" w:rsidR="00800198">
        <w:t>currently</w:t>
      </w:r>
      <w:r w:rsidRPr="009400FE" w:rsidR="009A15FF">
        <w:t xml:space="preserve"> defined in </w:t>
      </w:r>
      <w:r w:rsidR="003B5D07">
        <w:t>GO </w:t>
      </w:r>
      <w:r w:rsidRPr="009400FE" w:rsidR="009A15FF">
        <w:t xml:space="preserve">131-D and </w:t>
      </w:r>
      <w:r w:rsidRPr="009400FE" w:rsidR="00042345">
        <w:t>could lead</w:t>
      </w:r>
      <w:r w:rsidRPr="009400FE" w:rsidR="009A15FF">
        <w:t xml:space="preserve"> </w:t>
      </w:r>
      <w:r w:rsidRPr="009400FE" w:rsidR="00042345">
        <w:t>to</w:t>
      </w:r>
      <w:r w:rsidRPr="009400FE" w:rsidR="009A15FF">
        <w:t xml:space="preserve"> misinterpret</w:t>
      </w:r>
      <w:r w:rsidRPr="009400FE" w:rsidR="00042345">
        <w:t>ation</w:t>
      </w:r>
      <w:r w:rsidRPr="009400FE" w:rsidR="009A15FF">
        <w:t xml:space="preserve">. </w:t>
      </w:r>
      <w:r w:rsidRPr="009400FE" w:rsidR="00042345">
        <w:t xml:space="preserve">Like </w:t>
      </w:r>
      <w:r w:rsidRPr="009400FE">
        <w:t>treatment of the term “equivalent facilities and structures</w:t>
      </w:r>
      <w:r w:rsidRPr="009400FE" w:rsidR="00BB3DEB">
        <w:t>,</w:t>
      </w:r>
      <w:r w:rsidRPr="009400FE">
        <w:t xml:space="preserve">” </w:t>
      </w:r>
      <w:r w:rsidRPr="009400FE" w:rsidR="005944BB">
        <w:t>Staff</w:t>
      </w:r>
      <w:r w:rsidR="00BC4400">
        <w:t xml:space="preserve"> Proposal </w:t>
      </w:r>
      <w:r w:rsidR="00DC14AC">
        <w:t>Section </w:t>
      </w:r>
      <w:r w:rsidR="00826A52">
        <w:t>3.1</w:t>
      </w:r>
      <w:r w:rsidR="00BC4400">
        <w:t>, Proposal 4</w:t>
      </w:r>
      <w:r w:rsidRPr="009400FE" w:rsidDel="00BC4400" w:rsidR="005944BB">
        <w:t xml:space="preserve"> </w:t>
      </w:r>
      <w:r w:rsidRPr="009400FE">
        <w:t>aims to</w:t>
      </w:r>
      <w:r w:rsidRPr="009400FE" w:rsidR="005944BB">
        <w:t xml:space="preserve"> clarify the meaning </w:t>
      </w:r>
      <w:r w:rsidRPr="009400FE">
        <w:t xml:space="preserve">of </w:t>
      </w:r>
      <w:r w:rsidRPr="009400FE" w:rsidR="005944BB">
        <w:t xml:space="preserve">“accessories” because it is used in Sections III.A and III.B of </w:t>
      </w:r>
      <w:r w:rsidR="003B5D07">
        <w:t>GO </w:t>
      </w:r>
      <w:r w:rsidRPr="009400FE" w:rsidR="005944BB">
        <w:t>131-D</w:t>
      </w:r>
      <w:r w:rsidRPr="009400FE">
        <w:t xml:space="preserve"> to specify exemption criteria for CPCNs and PTCs</w:t>
      </w:r>
      <w:r w:rsidRPr="009400FE" w:rsidR="009A15FF">
        <w:t xml:space="preserve"> and</w:t>
      </w:r>
      <w:r w:rsidRPr="009400FE">
        <w:t xml:space="preserve"> </w:t>
      </w:r>
      <w:r w:rsidRPr="009400FE" w:rsidR="009A15FF">
        <w:t>permit</w:t>
      </w:r>
      <w:r w:rsidRPr="009400FE" w:rsidR="00042345">
        <w:t>s</w:t>
      </w:r>
      <w:r w:rsidRPr="009400FE" w:rsidR="005944BB">
        <w:t xml:space="preserve"> utilities to </w:t>
      </w:r>
      <w:r w:rsidRPr="009400FE">
        <w:t>notice</w:t>
      </w:r>
      <w:r w:rsidRPr="009400FE" w:rsidR="005944BB">
        <w:t xml:space="preserve"> construction </w:t>
      </w:r>
      <w:r w:rsidRPr="009400FE" w:rsidR="009A15FF">
        <w:t xml:space="preserve">through submission of </w:t>
      </w:r>
      <w:r w:rsidRPr="00095AB3" w:rsidR="009A15FF">
        <w:t xml:space="preserve">Tier 2 </w:t>
      </w:r>
      <w:r w:rsidRPr="00095AB3" w:rsidR="00354066">
        <w:t>advice letter</w:t>
      </w:r>
      <w:r w:rsidRPr="00095AB3" w:rsidR="009A15FF">
        <w:t>s.</w:t>
      </w:r>
      <w:r w:rsidRPr="009400FE">
        <w:t xml:space="preserve"> </w:t>
      </w:r>
      <w:r w:rsidRPr="009400FE" w:rsidR="00042345">
        <w:t xml:space="preserve">As such, defining the term </w:t>
      </w:r>
      <w:r w:rsidRPr="009400FE" w:rsidR="005944BB">
        <w:t xml:space="preserve">“accessories” </w:t>
      </w:r>
      <w:r w:rsidRPr="009400FE" w:rsidR="00042345">
        <w:t>would clarify</w:t>
      </w:r>
      <w:r w:rsidRPr="009400FE" w:rsidR="005944BB">
        <w:t xml:space="preserve"> which projects</w:t>
      </w:r>
      <w:r w:rsidRPr="009400FE" w:rsidR="00042345">
        <w:t xml:space="preserve"> do not require a CPCN or a PTC but are subject to noticing requirements</w:t>
      </w:r>
      <w:r w:rsidRPr="009400FE" w:rsidR="005944BB">
        <w:t>.</w:t>
      </w:r>
      <w:r w:rsidRPr="009400FE" w:rsidR="005944BB">
        <w:rPr>
          <w:rStyle w:val="FootnoteReference"/>
        </w:rPr>
        <w:footnoteReference w:id="173"/>
      </w:r>
    </w:p>
    <w:p w:rsidR="005E5A48" w:rsidP="00042345" w:rsidRDefault="00272CC5" w14:paraId="6AF2C269" w14:textId="77777777">
      <w:pPr>
        <w:pStyle w:val="Standard"/>
      </w:pPr>
      <w:r>
        <w:t xml:space="preserve">On this point, </w:t>
      </w:r>
      <w:r w:rsidRPr="009400FE" w:rsidR="00FD0FA1">
        <w:t>Staff</w:t>
      </w:r>
      <w:r w:rsidR="00FD0FA1">
        <w:t xml:space="preserve"> Proposal </w:t>
      </w:r>
      <w:r w:rsidR="00DC14AC">
        <w:t>Section </w:t>
      </w:r>
      <w:r w:rsidR="00FD0FA1">
        <w:t>3.1,</w:t>
      </w:r>
      <w:r w:rsidR="00042345">
        <w:t xml:space="preserve"> </w:t>
      </w:r>
      <w:r w:rsidR="00BB3DEB">
        <w:t>P</w:t>
      </w:r>
      <w:r w:rsidR="00042345">
        <w:t xml:space="preserve">roposal </w:t>
      </w:r>
      <w:r w:rsidR="00BB3DEB">
        <w:t>4</w:t>
      </w:r>
      <w:r w:rsidR="00042345">
        <w:t xml:space="preserve"> would modify </w:t>
      </w:r>
      <w:r w:rsidR="00DC14AC">
        <w:t>Section </w:t>
      </w:r>
      <w:r w:rsidR="00042345">
        <w:t xml:space="preserve">I of </w:t>
      </w:r>
      <w:r w:rsidR="003B5D07">
        <w:t>GO </w:t>
      </w:r>
      <w:r w:rsidR="00042345">
        <w:t xml:space="preserve">131-D to add specificity to the term “accessories”, as used in Sections III.A and III.B.1.e, by adopting the following definition: </w:t>
      </w:r>
    </w:p>
    <w:p w:rsidR="00042345" w:rsidP="00E75F73" w:rsidRDefault="00042345" w14:paraId="7E191BD2" w14:textId="77777777">
      <w:pPr>
        <w:pStyle w:val="BlockQuote"/>
        <w:spacing w:after="180"/>
      </w:pPr>
      <w:r>
        <w:t xml:space="preserve">“Accessories” are transmission line, power line, or substation equipment required for the safe and reliable operation of the </w:t>
      </w:r>
      <w:r>
        <w:lastRenderedPageBreak/>
        <w:t>transmission system, including but not limited to switches, connectors, relays, real-time monitoring equipment (</w:t>
      </w:r>
      <w:r w:rsidRPr="003D07C1">
        <w:rPr>
          <w:i/>
          <w:iCs/>
        </w:rPr>
        <w:t>e.g.</w:t>
      </w:r>
      <w:r>
        <w:t xml:space="preserve">, telemetry, SCADA), and control shelters. </w:t>
      </w:r>
    </w:p>
    <w:p w:rsidRPr="00DB00C4" w:rsidR="00DB00C4" w:rsidP="009400FE" w:rsidRDefault="00CE48F3" w14:paraId="244D33DD" w14:textId="77777777">
      <w:pPr>
        <w:pStyle w:val="Standard"/>
      </w:pPr>
      <w:r>
        <w:t>Aside from the benefit that d</w:t>
      </w:r>
      <w:r w:rsidRPr="00CE48F3">
        <w:t xml:space="preserve">efining “accessories” could clarify the applicability of the CPCN and PTC exemptions in </w:t>
      </w:r>
      <w:r w:rsidR="003B5D07">
        <w:t>GO </w:t>
      </w:r>
      <w:r w:rsidRPr="00CE48F3">
        <w:t>131-D</w:t>
      </w:r>
      <w:r w:rsidR="00630DCA">
        <w:t>,</w:t>
      </w:r>
      <w:r w:rsidRPr="00CE48F3">
        <w:t xml:space="preserve"> Sections III.A and III.B</w:t>
      </w:r>
      <w:r>
        <w:t xml:space="preserve">, Staff </w:t>
      </w:r>
      <w:r w:rsidR="00A52E82">
        <w:t xml:space="preserve">also point out </w:t>
      </w:r>
      <w:r>
        <w:t xml:space="preserve">that party comments support a definition that references a broad range of equipment that is needed for </w:t>
      </w:r>
      <w:r w:rsidRPr="00CE48F3">
        <w:t>safe and reliable operation of the transmission system</w:t>
      </w:r>
      <w:r>
        <w:t>.</w:t>
      </w:r>
      <w:r>
        <w:rPr>
          <w:rStyle w:val="FootnoteReference"/>
        </w:rPr>
        <w:footnoteReference w:id="174"/>
      </w:r>
    </w:p>
    <w:p w:rsidR="00DB00C4" w:rsidP="00DB00C4" w:rsidRDefault="00DB00C4" w14:paraId="40CB6067" w14:textId="77777777">
      <w:pPr>
        <w:pStyle w:val="Standard"/>
      </w:pPr>
      <w:r w:rsidRPr="00DB00C4">
        <w:t xml:space="preserve">Cal Advocates supports </w:t>
      </w:r>
      <w:r>
        <w:t>S</w:t>
      </w:r>
      <w:r w:rsidRPr="00DB00C4">
        <w:t>taff’s proposed definition</w:t>
      </w:r>
      <w:r w:rsidR="008A3A0B">
        <w:t xml:space="preserve"> stating that it would be valuable to enable the consistent interpretation of exemption criteria in </w:t>
      </w:r>
      <w:r w:rsidR="00DC14AC">
        <w:t>Section </w:t>
      </w:r>
      <w:r w:rsidR="008A3A0B">
        <w:t xml:space="preserve">III.A and III.B of </w:t>
      </w:r>
      <w:r w:rsidR="003B5D07">
        <w:t>GO </w:t>
      </w:r>
      <w:r w:rsidR="008A3A0B">
        <w:t>131-D which use this term</w:t>
      </w:r>
      <w:r w:rsidRPr="00DB00C4">
        <w:t>.</w:t>
      </w:r>
      <w:r w:rsidR="008A3A0B">
        <w:rPr>
          <w:rStyle w:val="FootnoteReference"/>
        </w:rPr>
        <w:footnoteReference w:id="175"/>
      </w:r>
      <w:r w:rsidRPr="00DB00C4">
        <w:t xml:space="preserve"> PG&amp;E, SCE, and SDG&amp;E support the definition with revisions</w:t>
      </w:r>
      <w:r>
        <w:t xml:space="preserve"> as follows</w:t>
      </w:r>
      <w:r w:rsidRPr="00DB00C4">
        <w:t xml:space="preserve">: </w:t>
      </w:r>
    </w:p>
    <w:p w:rsidRPr="00D9328B" w:rsidR="00DB00C4" w:rsidP="00E75F73" w:rsidRDefault="00DB00C4" w14:paraId="553E3552" w14:textId="77777777">
      <w:pPr>
        <w:pStyle w:val="BlockQuote"/>
      </w:pPr>
      <w:r>
        <w:t xml:space="preserve">Accessories are </w:t>
      </w:r>
      <w:r w:rsidRPr="00DB00C4">
        <w:t>transmission line, power line, or substation equipment required for the safe and reliable operation of the transmission system, including but not limited to switches, connectors, relays, real-time monitoring equipment (</w:t>
      </w:r>
      <w:r w:rsidRPr="003D07C1">
        <w:rPr>
          <w:i/>
          <w:iCs/>
        </w:rPr>
        <w:t>e.g.</w:t>
      </w:r>
      <w:r w:rsidRPr="00DB00C4">
        <w:t xml:space="preserve">, telemetry, SCADA), </w:t>
      </w:r>
      <w:r w:rsidRPr="00DB00C4">
        <w:rPr>
          <w:u w:val="single"/>
        </w:rPr>
        <w:t xml:space="preserve">communications and weather monitoring equipment, fiber optic grounding wire, </w:t>
      </w:r>
      <w:r w:rsidRPr="00DB00C4">
        <w:t>and control shelters.</w:t>
      </w:r>
    </w:p>
    <w:p w:rsidR="00A02F28" w:rsidP="00A02F28" w:rsidRDefault="088F0C30" w14:paraId="4E9065D4" w14:textId="77777777">
      <w:pPr>
        <w:pStyle w:val="Standard"/>
      </w:pPr>
      <w:r>
        <w:t>We</w:t>
      </w:r>
      <w:r w:rsidR="58172961">
        <w:t xml:space="preserve"> </w:t>
      </w:r>
      <w:r>
        <w:t>a</w:t>
      </w:r>
      <w:r w:rsidR="00521D82">
        <w:t>dopt</w:t>
      </w:r>
      <w:r w:rsidR="58172961">
        <w:t xml:space="preserve"> the IOUs’ recommendation to expand the list of examples provided in the </w:t>
      </w:r>
      <w:r w:rsidR="003B5D07">
        <w:t>GO </w:t>
      </w:r>
      <w:r w:rsidR="58172961">
        <w:t xml:space="preserve">131-E definition of “accessories” to include other types common equipment required for the safe and reliable operation of the transmission system. The term “accessories” is used in </w:t>
      </w:r>
      <w:r w:rsidR="003B5D07">
        <w:t>GO </w:t>
      </w:r>
      <w:r w:rsidR="58172961">
        <w:t>131-D in the existing permitting exemption for “pl</w:t>
      </w:r>
      <w:r>
        <w:t>acing</w:t>
      </w:r>
      <w:r w:rsidR="58172961">
        <w:t xml:space="preserve"> of new or additional conductors, insulators, or their accessories on or replacement of supporting structures already built</w:t>
      </w:r>
      <w:r w:rsidR="04A56914">
        <w:t>.</w:t>
      </w:r>
      <w:r w:rsidR="58172961">
        <w:t>”</w:t>
      </w:r>
      <w:r>
        <w:t xml:space="preserve"> </w:t>
      </w:r>
      <w:r w:rsidR="58172961">
        <w:t xml:space="preserve"> </w:t>
      </w:r>
      <w:r>
        <w:t>Inclusion of</w:t>
      </w:r>
      <w:r w:rsidR="58172961">
        <w:t xml:space="preserve"> </w:t>
      </w:r>
      <w:r>
        <w:t>“</w:t>
      </w:r>
      <w:r w:rsidR="58172961">
        <w:t>communications and monitoring equipment</w:t>
      </w:r>
      <w:r>
        <w:t>” in the definition of “accessories”</w:t>
      </w:r>
      <w:r w:rsidR="58172961">
        <w:t xml:space="preserve"> would clarify that utilities</w:t>
      </w:r>
      <w:r>
        <w:t xml:space="preserve"> may fil</w:t>
      </w:r>
      <w:r w:rsidR="58172961">
        <w:t xml:space="preserve">e a Tier 2 </w:t>
      </w:r>
      <w:r w:rsidR="1998AC88">
        <w:t>advice letter</w:t>
      </w:r>
      <w:r>
        <w:t xml:space="preserve"> to </w:t>
      </w:r>
      <w:r w:rsidR="58172961">
        <w:t>plac</w:t>
      </w:r>
      <w:r>
        <w:t>e</w:t>
      </w:r>
      <w:r w:rsidR="58172961">
        <w:t xml:space="preserve"> </w:t>
      </w:r>
      <w:r w:rsidR="58172961">
        <w:lastRenderedPageBreak/>
        <w:t>such accessories on existing supporting structures, to the extent those activities are not already exempt from CEQA. In practice, the attachment of telecommunications equipment to existing towers and poles is already exempt from CEQA in most circumstances, so the effect of this revision is expected to be minimal. </w:t>
      </w:r>
    </w:p>
    <w:p w:rsidRPr="00DD6779" w:rsidR="000F631A" w:rsidP="000F631A" w:rsidRDefault="00266745" w14:paraId="149F4418" w14:textId="77777777">
      <w:pPr>
        <w:pStyle w:val="Standard"/>
      </w:pPr>
      <w:r>
        <w:t xml:space="preserve">PG&amp;E, SCE, and </w:t>
      </w:r>
      <w:r w:rsidR="000F631A">
        <w:t xml:space="preserve">SDG&amp;E </w:t>
      </w:r>
      <w:r w:rsidRPr="000F631A" w:rsidR="000F631A">
        <w:t>propos</w:t>
      </w:r>
      <w:r w:rsidR="000F631A">
        <w:t>e</w:t>
      </w:r>
      <w:r w:rsidRPr="000F631A" w:rsidR="000F631A">
        <w:t xml:space="preserve"> t</w:t>
      </w:r>
      <w:r w:rsidR="000F631A">
        <w:t>hat</w:t>
      </w:r>
      <w:r w:rsidRPr="000F631A" w:rsidR="000F631A">
        <w:t xml:space="preserve"> certain types of communications equipment (i.e., communications and weather monitoring equipment, fiber optic grounding wire)</w:t>
      </w:r>
      <w:r w:rsidR="000F631A">
        <w:t xml:space="preserve"> </w:t>
      </w:r>
      <w:r w:rsidR="004336CD">
        <w:t>should be</w:t>
      </w:r>
      <w:r w:rsidR="000F631A">
        <w:t xml:space="preserve"> included</w:t>
      </w:r>
      <w:r w:rsidRPr="000F631A" w:rsidR="000F631A">
        <w:t xml:space="preserve"> as examples of “accessories” in proposed </w:t>
      </w:r>
      <w:r w:rsidR="00E163DC">
        <w:t>GO 131-E</w:t>
      </w:r>
      <w:r w:rsidR="00630DCA">
        <w:t>,</w:t>
      </w:r>
      <w:r w:rsidR="00E163DC">
        <w:t xml:space="preserve"> </w:t>
      </w:r>
      <w:r w:rsidR="00DC14AC">
        <w:t>Section </w:t>
      </w:r>
      <w:r w:rsidRPr="000F631A" w:rsidR="000F631A">
        <w:t>I.K</w:t>
      </w:r>
      <w:r w:rsidR="00630DCA">
        <w:t>,</w:t>
      </w:r>
      <w:r w:rsidRPr="000F631A" w:rsidR="000F631A">
        <w:t xml:space="preserve"> (see </w:t>
      </w:r>
      <w:r w:rsidR="0051290B">
        <w:t xml:space="preserve">Staff Proposal </w:t>
      </w:r>
      <w:r w:rsidR="00DC14AC">
        <w:t>Section </w:t>
      </w:r>
      <w:r w:rsidRPr="000F631A" w:rsidR="000F631A">
        <w:t>3.1, Proposal 4, Define “Accessories”)</w:t>
      </w:r>
      <w:r w:rsidR="00214718">
        <w:t>.</w:t>
      </w:r>
      <w:r w:rsidR="00730AB5">
        <w:rPr>
          <w:rStyle w:val="FootnoteReference"/>
        </w:rPr>
        <w:footnoteReference w:id="176"/>
      </w:r>
      <w:r w:rsidR="00214718">
        <w:t xml:space="preserve"> Further, </w:t>
      </w:r>
      <w:r>
        <w:t xml:space="preserve">PG&amp;E, SCE, and </w:t>
      </w:r>
      <w:r w:rsidR="00214718">
        <w:t xml:space="preserve">SDG&amp;E propose </w:t>
      </w:r>
      <w:r w:rsidRPr="000F631A" w:rsidR="000F631A">
        <w:t xml:space="preserve">revisions to </w:t>
      </w:r>
      <w:r w:rsidR="00DC14AC">
        <w:t>Section </w:t>
      </w:r>
      <w:r w:rsidRPr="000F631A" w:rsidR="000F631A">
        <w:t xml:space="preserve">III.C.1 and XIV.B that </w:t>
      </w:r>
      <w:r w:rsidRPr="00DD6779" w:rsidR="000F631A">
        <w:t xml:space="preserve">would exempt electric utility-owned communications infrastructure </w:t>
      </w:r>
      <w:r w:rsidRPr="00DD6779" w:rsidR="00214718">
        <w:t xml:space="preserve">that is </w:t>
      </w:r>
      <w:r w:rsidRPr="00DD6779" w:rsidR="000F631A">
        <w:t>constructed to provide services to a public utility’s electric system from CPCN and PTC permitting</w:t>
      </w:r>
      <w:r w:rsidRPr="00DD6779" w:rsidR="00214718">
        <w:t>.</w:t>
      </w:r>
      <w:r w:rsidRPr="00DD6779" w:rsidR="005523BE">
        <w:rPr>
          <w:rStyle w:val="FootnoteReference"/>
        </w:rPr>
        <w:footnoteReference w:id="177"/>
      </w:r>
      <w:r w:rsidRPr="00DD6779" w:rsidR="00214718">
        <w:t xml:space="preserve"> </w:t>
      </w:r>
      <w:r w:rsidRPr="00DD6779">
        <w:t xml:space="preserve">PG&amp;E, SCE and </w:t>
      </w:r>
      <w:r w:rsidRPr="00DD6779" w:rsidR="00214718">
        <w:t>SDG&amp;E</w:t>
      </w:r>
      <w:r w:rsidRPr="00DD6779" w:rsidR="000F631A">
        <w:t xml:space="preserve"> a</w:t>
      </w:r>
      <w:r w:rsidRPr="00DD6779" w:rsidR="00214718">
        <w:t>lso suggest that</w:t>
      </w:r>
      <w:r w:rsidRPr="00DD6779" w:rsidR="000F631A">
        <w:t xml:space="preserve"> local agency permitting for such infrastructure</w:t>
      </w:r>
      <w:r w:rsidRPr="00DD6779" w:rsidR="00214718">
        <w:t xml:space="preserve"> would also be preempted</w:t>
      </w:r>
      <w:r w:rsidRPr="00DD6779" w:rsidR="000F631A">
        <w:t>.  </w:t>
      </w:r>
    </w:p>
    <w:p w:rsidR="0025450D" w:rsidP="00214718" w:rsidRDefault="00214718" w14:paraId="3D040A89" w14:textId="77777777">
      <w:pPr>
        <w:pStyle w:val="Standard"/>
      </w:pPr>
      <w:r w:rsidRPr="00DD6779">
        <w:t xml:space="preserve">To implement this proposed change, </w:t>
      </w:r>
      <w:r w:rsidRPr="00DD6779" w:rsidR="00266745">
        <w:t xml:space="preserve">PG&amp;E, SCE, and </w:t>
      </w:r>
      <w:r w:rsidRPr="00DD6779">
        <w:t>SDG&amp;E</w:t>
      </w:r>
      <w:r w:rsidRPr="00DD6779" w:rsidR="000F631A">
        <w:t xml:space="preserve"> </w:t>
      </w:r>
      <w:r w:rsidRPr="00DD6779">
        <w:t>would</w:t>
      </w:r>
      <w:r>
        <w:t xml:space="preserve"> add a </w:t>
      </w:r>
      <w:r w:rsidRPr="000F631A" w:rsidR="000F631A">
        <w:t xml:space="preserve">new subsection to </w:t>
      </w:r>
      <w:r w:rsidR="003B5D07">
        <w:t>GO </w:t>
      </w:r>
      <w:r w:rsidRPr="000F631A" w:rsidR="000F631A">
        <w:t>131-E</w:t>
      </w:r>
      <w:r w:rsidR="00630DCA">
        <w:t>,</w:t>
      </w:r>
      <w:r w:rsidRPr="000F631A" w:rsidR="000F631A">
        <w:t xml:space="preserve"> </w:t>
      </w:r>
      <w:r w:rsidR="00DC14AC">
        <w:t>Section </w:t>
      </w:r>
      <w:r w:rsidRPr="000F631A" w:rsidR="000F631A">
        <w:t>III.C.1</w:t>
      </w:r>
      <w:r w:rsidR="00630DCA">
        <w:t>,</w:t>
      </w:r>
      <w:r>
        <w:t xml:space="preserve"> that </w:t>
      </w:r>
      <w:r w:rsidR="00BB24B0">
        <w:t>exempts</w:t>
      </w:r>
      <w:r>
        <w:t xml:space="preserve"> el</w:t>
      </w:r>
      <w:r w:rsidRPr="000F631A" w:rsidR="000F631A">
        <w:t>ectric utility-owned communications infrastructure constructed to provide services to a public utility’s electric syste</w:t>
      </w:r>
      <w:r>
        <w:t>m</w:t>
      </w:r>
      <w:r w:rsidR="00BB24B0">
        <w:t xml:space="preserve"> from </w:t>
      </w:r>
      <w:r w:rsidRPr="000F631A" w:rsidR="0025450D">
        <w:t xml:space="preserve">the Commission’s </w:t>
      </w:r>
      <w:r w:rsidR="0025450D">
        <w:t>CPCN or PTC permitting requirements</w:t>
      </w:r>
      <w:r w:rsidRPr="000F631A" w:rsidR="0025450D">
        <w:t>.</w:t>
      </w:r>
    </w:p>
    <w:p w:rsidR="000F631A" w:rsidP="00214718" w:rsidRDefault="00A52999" w14:paraId="5F14FDFD" w14:textId="77777777">
      <w:pPr>
        <w:pStyle w:val="Standard"/>
      </w:pPr>
      <w:r>
        <w:t xml:space="preserve">In addition, </w:t>
      </w:r>
      <w:r w:rsidR="00266745">
        <w:t xml:space="preserve">PG&amp;E, SCE, and </w:t>
      </w:r>
      <w:r>
        <w:t xml:space="preserve">SDG&amp;E propose to modify </w:t>
      </w:r>
      <w:r w:rsidR="003B5D07">
        <w:t>GO </w:t>
      </w:r>
      <w:r w:rsidRPr="000F631A" w:rsidR="000F631A">
        <w:t>131-D</w:t>
      </w:r>
      <w:r w:rsidR="00630DCA">
        <w:t>,</w:t>
      </w:r>
      <w:r w:rsidRPr="000F631A" w:rsidR="000F631A">
        <w:t xml:space="preserve"> </w:t>
      </w:r>
      <w:r w:rsidR="00DC14AC">
        <w:t>Section </w:t>
      </w:r>
      <w:r w:rsidRPr="000F631A" w:rsidR="000F631A">
        <w:t>XIV.B</w:t>
      </w:r>
      <w:r w:rsidR="00630DCA">
        <w:t>,</w:t>
      </w:r>
      <w:r w:rsidRPr="000F631A" w:rsidR="000F631A">
        <w:t xml:space="preserve"> (proposed </w:t>
      </w:r>
      <w:r w:rsidR="003B5D07">
        <w:t>GO </w:t>
      </w:r>
      <w:r w:rsidRPr="000F631A" w:rsidR="000F631A">
        <w:t>131-E</w:t>
      </w:r>
      <w:r w:rsidR="00630DCA">
        <w:t>,</w:t>
      </w:r>
      <w:r w:rsidRPr="000F631A" w:rsidR="000F631A">
        <w:t xml:space="preserve"> </w:t>
      </w:r>
      <w:r w:rsidR="00DC14AC">
        <w:t>Section </w:t>
      </w:r>
      <w:r w:rsidRPr="000F631A" w:rsidR="000F631A">
        <w:t xml:space="preserve">XII.B) </w:t>
      </w:r>
      <w:r>
        <w:t xml:space="preserve">such </w:t>
      </w:r>
      <w:r w:rsidRPr="000F631A" w:rsidR="000F631A">
        <w:t xml:space="preserve">that local jurisdictions </w:t>
      </w:r>
      <w:r w:rsidRPr="000F631A" w:rsidR="000F631A">
        <w:lastRenderedPageBreak/>
        <w:t>acting pursuant to local authority</w:t>
      </w:r>
      <w:r w:rsidRPr="00A52999">
        <w:t xml:space="preserve"> </w:t>
      </w:r>
      <w:r w:rsidRPr="000F631A" w:rsidR="000F631A">
        <w:t>are preempted from regulating electric utility-owned communications infrastructure</w:t>
      </w:r>
      <w:r w:rsidRPr="00A52999" w:rsidR="00DE5C2A">
        <w:t>, among other facilities</w:t>
      </w:r>
      <w:r w:rsidR="00DE5C2A">
        <w:t xml:space="preserve">, </w:t>
      </w:r>
      <w:r w:rsidRPr="000F631A" w:rsidR="000F631A">
        <w:t>needed to operate the electric grid</w:t>
      </w:r>
      <w:r w:rsidR="00DE5C2A">
        <w:t xml:space="preserve">. </w:t>
      </w:r>
      <w:r w:rsidR="00B67336">
        <w:t>The existing</w:t>
      </w:r>
      <w:r>
        <w:t xml:space="preserve"> </w:t>
      </w:r>
      <w:r w:rsidR="003B5D07">
        <w:t>GO </w:t>
      </w:r>
      <w:r w:rsidRPr="000F631A">
        <w:t>131-D</w:t>
      </w:r>
      <w:r w:rsidR="00630DCA">
        <w:t>,</w:t>
      </w:r>
      <w:r w:rsidRPr="000F631A">
        <w:t xml:space="preserve"> </w:t>
      </w:r>
      <w:r w:rsidR="00DC14AC">
        <w:t>Section </w:t>
      </w:r>
      <w:r w:rsidRPr="000F631A">
        <w:t>XIV.B</w:t>
      </w:r>
      <w:r w:rsidR="00630DCA">
        <w:t>,</w:t>
      </w:r>
      <w:r w:rsidRPr="000F631A">
        <w:t xml:space="preserve"> (proposed </w:t>
      </w:r>
      <w:r w:rsidR="003B5D07">
        <w:t>GO </w:t>
      </w:r>
      <w:r w:rsidRPr="000F631A">
        <w:t>131-E</w:t>
      </w:r>
      <w:r w:rsidR="00630DCA">
        <w:t>,</w:t>
      </w:r>
      <w:r w:rsidRPr="000F631A">
        <w:t xml:space="preserve"> </w:t>
      </w:r>
      <w:r w:rsidR="00DC14AC">
        <w:t>Section </w:t>
      </w:r>
      <w:r w:rsidRPr="000F631A">
        <w:t>XII.B)</w:t>
      </w:r>
      <w:r w:rsidRPr="000F631A" w:rsidR="000F631A">
        <w:t xml:space="preserve"> </w:t>
      </w:r>
      <w:r w:rsidR="00B67336">
        <w:t>requires</w:t>
      </w:r>
      <w:r>
        <w:t xml:space="preserve"> public utilities to </w:t>
      </w:r>
      <w:r w:rsidRPr="000F631A" w:rsidR="000F631A">
        <w:t xml:space="preserve">consult with local agencies </w:t>
      </w:r>
      <w:r>
        <w:t xml:space="preserve">on </w:t>
      </w:r>
      <w:r w:rsidRPr="000F631A" w:rsidR="000F631A">
        <w:t>land use matters</w:t>
      </w:r>
      <w:r>
        <w:t>, whereby the Commission would</w:t>
      </w:r>
      <w:r w:rsidRPr="000F631A" w:rsidR="000F631A">
        <w:t xml:space="preserve"> resolve </w:t>
      </w:r>
      <w:r>
        <w:t>any</w:t>
      </w:r>
      <w:r w:rsidRPr="000F631A" w:rsidR="000F631A">
        <w:t xml:space="preserve"> differences</w:t>
      </w:r>
      <w:r>
        <w:t xml:space="preserve"> through a </w:t>
      </w:r>
      <w:r w:rsidRPr="000F631A" w:rsidR="000F631A">
        <w:t xml:space="preserve">hearing </w:t>
      </w:r>
      <w:r>
        <w:t>if an</w:t>
      </w:r>
      <w:r w:rsidRPr="000F631A" w:rsidR="000F631A">
        <w:t xml:space="preserve"> agreement on land use matters</w:t>
      </w:r>
      <w:r>
        <w:t xml:space="preserve"> has not been reached</w:t>
      </w:r>
      <w:r w:rsidRPr="000F631A" w:rsidR="000F631A">
        <w:t xml:space="preserve">. </w:t>
      </w:r>
      <w:r w:rsidRPr="00DE07B3" w:rsidR="00DE5C2A">
        <w:t>These</w:t>
      </w:r>
      <w:r w:rsidRPr="00DE5C2A" w:rsidR="00DE5C2A">
        <w:t xml:space="preserve"> revisions would clarify that the </w:t>
      </w:r>
      <w:r w:rsidRPr="000F631A" w:rsidR="000F631A">
        <w:t xml:space="preserve">Commission </w:t>
      </w:r>
      <w:r w:rsidRPr="00DE5C2A" w:rsidR="00DE5C2A">
        <w:t xml:space="preserve">is not authorized </w:t>
      </w:r>
      <w:r w:rsidRPr="000F631A" w:rsidR="000F631A">
        <w:t>to determine real property rights owned by local governments. </w:t>
      </w:r>
    </w:p>
    <w:p w:rsidRPr="000F631A" w:rsidR="000F631A" w:rsidP="000F631A" w:rsidRDefault="000F631A" w14:paraId="4360B30B" w14:textId="77777777">
      <w:pPr>
        <w:pStyle w:val="Standard"/>
      </w:pPr>
      <w:r w:rsidRPr="000F631A">
        <w:t xml:space="preserve">SDG&amp;E </w:t>
      </w:r>
      <w:r w:rsidR="0025450D">
        <w:t>contends</w:t>
      </w:r>
      <w:r w:rsidR="00F762C9">
        <w:t xml:space="preserve"> that </w:t>
      </w:r>
      <w:r w:rsidR="0025450D">
        <w:t xml:space="preserve">the </w:t>
      </w:r>
      <w:r w:rsidRPr="000F631A">
        <w:t xml:space="preserve">addition of </w:t>
      </w:r>
      <w:r w:rsidRPr="000F631A" w:rsidR="00DE07B3">
        <w:t xml:space="preserve">electric utility-owned communications infrastructure </w:t>
      </w:r>
      <w:r w:rsidR="00F762C9">
        <w:t xml:space="preserve">has a small footprint and </w:t>
      </w:r>
      <w:r w:rsidR="00DE07B3">
        <w:t xml:space="preserve">may be </w:t>
      </w:r>
      <w:r w:rsidRPr="000F631A">
        <w:t>needed to ensure safety and reliability</w:t>
      </w:r>
      <w:r w:rsidR="00F762C9">
        <w:t xml:space="preserve">. </w:t>
      </w:r>
      <w:r w:rsidR="00DE07B3">
        <w:t xml:space="preserve">SDG&amp;E </w:t>
      </w:r>
      <w:r w:rsidR="0025450D">
        <w:t>also observes</w:t>
      </w:r>
      <w:r w:rsidR="00F762C9">
        <w:t xml:space="preserve"> that lo</w:t>
      </w:r>
      <w:r w:rsidRPr="000F631A">
        <w:t xml:space="preserve">cal </w:t>
      </w:r>
      <w:r w:rsidR="0025450D">
        <w:t xml:space="preserve">jurisdictions </w:t>
      </w:r>
      <w:r w:rsidRPr="000F631A">
        <w:t>do not always recognize the Commission’s exclusive jurisdiction over communications infrastructure needed to maintain and operate SDG&amp;E’s electric system.</w:t>
      </w:r>
      <w:r w:rsidR="00DE07B3">
        <w:rPr>
          <w:rStyle w:val="FootnoteReference"/>
        </w:rPr>
        <w:footnoteReference w:id="178"/>
      </w:r>
      <w:r w:rsidRPr="000F631A">
        <w:t xml:space="preserve"> </w:t>
      </w:r>
    </w:p>
    <w:p w:rsidRPr="000F631A" w:rsidR="000F631A" w:rsidP="0025450D" w:rsidRDefault="000F631A" w14:paraId="6FC1888E" w14:textId="77777777">
      <w:pPr>
        <w:pStyle w:val="Standard"/>
      </w:pPr>
      <w:r w:rsidRPr="00C91140">
        <w:t>Cal Advocates, PCF, and CBD oppos</w:t>
      </w:r>
      <w:r w:rsidRPr="00C91140" w:rsidR="00F762C9">
        <w:t>e</w:t>
      </w:r>
      <w:r w:rsidRPr="00C91140">
        <w:t xml:space="preserve"> </w:t>
      </w:r>
      <w:r w:rsidRPr="00C91140" w:rsidR="00F762C9">
        <w:t>SDG&amp;E</w:t>
      </w:r>
      <w:r w:rsidRPr="00C91140" w:rsidR="00266745">
        <w:t xml:space="preserve">’s rationale to support the IOU </w:t>
      </w:r>
      <w:r w:rsidR="001C5044">
        <w:t xml:space="preserve">communications infrastructure </w:t>
      </w:r>
      <w:r w:rsidRPr="00C91140" w:rsidR="00266745">
        <w:t>proposal</w:t>
      </w:r>
      <w:r w:rsidRPr="00C91140" w:rsidR="0025450D">
        <w:t>.</w:t>
      </w:r>
      <w:r w:rsidRPr="00C91140" w:rsidR="00F762C9">
        <w:t xml:space="preserve"> </w:t>
      </w:r>
      <w:r w:rsidRPr="00C91140">
        <w:t>Cal Advocates asserts</w:t>
      </w:r>
      <w:r w:rsidRPr="00C91140" w:rsidR="00BB24B0">
        <w:t xml:space="preserve"> that the </w:t>
      </w:r>
      <w:r w:rsidR="001C5044">
        <w:t xml:space="preserve">IOU </w:t>
      </w:r>
      <w:r w:rsidRPr="00C91140" w:rsidR="00BB24B0">
        <w:t>proposal would</w:t>
      </w:r>
      <w:r w:rsidRPr="00C91140">
        <w:t xml:space="preserve"> eliminate the Commission’s and local authorities’ oversight of the utilities’ activities related to</w:t>
      </w:r>
      <w:r w:rsidRPr="00C91140" w:rsidR="000F56CF">
        <w:t xml:space="preserve"> </w:t>
      </w:r>
      <w:r w:rsidRPr="00C91140">
        <w:t>telecommunications infrastructure</w:t>
      </w:r>
      <w:r w:rsidRPr="00C91140" w:rsidR="00BB24B0">
        <w:t>. If implemented, Cal Advocates contends that the proposal w</w:t>
      </w:r>
      <w:r w:rsidR="007C15BC">
        <w:t>ould</w:t>
      </w:r>
      <w:r w:rsidRPr="00C91140" w:rsidR="00BB24B0">
        <w:t xml:space="preserve"> likely have a negative impact on ratepayers, because</w:t>
      </w:r>
      <w:r w:rsidRPr="00C91140">
        <w:t xml:space="preserve"> utilities may increas</w:t>
      </w:r>
      <w:r w:rsidRPr="00C91140" w:rsidR="00BB24B0">
        <w:t xml:space="preserve">e </w:t>
      </w:r>
      <w:r w:rsidRPr="00C91140">
        <w:t xml:space="preserve">ratepayer funds to deploy broadband projects </w:t>
      </w:r>
      <w:r w:rsidRPr="00C91140" w:rsidR="00BB24B0">
        <w:t xml:space="preserve">in the absence of </w:t>
      </w:r>
      <w:r w:rsidRPr="00C91140">
        <w:t xml:space="preserve">coordination </w:t>
      </w:r>
      <w:r w:rsidRPr="00C91140" w:rsidR="00BB24B0">
        <w:t>with</w:t>
      </w:r>
      <w:r w:rsidRPr="00C91140">
        <w:t xml:space="preserve"> local authorities.</w:t>
      </w:r>
      <w:r w:rsidRPr="00C91140" w:rsidR="00DE07B3">
        <w:rPr>
          <w:rStyle w:val="FootnoteReference"/>
        </w:rPr>
        <w:footnoteReference w:id="179"/>
      </w:r>
      <w:r w:rsidRPr="00C91140">
        <w:t xml:space="preserve"> Cal Advocates further </w:t>
      </w:r>
      <w:r w:rsidRPr="00C91140" w:rsidR="00AA3FD1">
        <w:t>contend</w:t>
      </w:r>
      <w:r w:rsidRPr="00C91140">
        <w:t>s</w:t>
      </w:r>
      <w:r w:rsidRPr="00C91140" w:rsidR="000F56CF">
        <w:t xml:space="preserve"> that</w:t>
      </w:r>
      <w:r w:rsidR="000F56CF">
        <w:t xml:space="preserve"> </w:t>
      </w:r>
      <w:r w:rsidRPr="000F631A">
        <w:t xml:space="preserve">Commission oversight of </w:t>
      </w:r>
      <w:r w:rsidRPr="000F631A">
        <w:lastRenderedPageBreak/>
        <w:t>these critical facilities</w:t>
      </w:r>
      <w:r w:rsidR="000F56CF">
        <w:t xml:space="preserve"> </w:t>
      </w:r>
      <w:r w:rsidRPr="000F631A">
        <w:t xml:space="preserve">would </w:t>
      </w:r>
      <w:r w:rsidR="000F56CF">
        <w:t>run</w:t>
      </w:r>
      <w:r w:rsidRPr="000F631A">
        <w:t xml:space="preserve"> counter to the </w:t>
      </w:r>
      <w:r w:rsidR="000F56CF">
        <w:t>S</w:t>
      </w:r>
      <w:r w:rsidRPr="000F631A">
        <w:t>tate’s goal of making broadband services available to all Californians.</w:t>
      </w:r>
      <w:r w:rsidR="000F56CF">
        <w:rPr>
          <w:rStyle w:val="FootnoteReference"/>
        </w:rPr>
        <w:footnoteReference w:id="180"/>
      </w:r>
      <w:r w:rsidRPr="000F631A">
        <w:t xml:space="preserve"> </w:t>
      </w:r>
    </w:p>
    <w:p w:rsidRPr="00C91140" w:rsidR="000F631A" w:rsidP="000F56CF" w:rsidRDefault="000F631A" w14:paraId="6EA0AE70" w14:textId="77777777">
      <w:pPr>
        <w:pStyle w:val="Standard"/>
      </w:pPr>
      <w:r w:rsidRPr="00C91140">
        <w:t>PCF and CBD a</w:t>
      </w:r>
      <w:r w:rsidRPr="00C91140" w:rsidR="005E4CC2">
        <w:t>rgue</w:t>
      </w:r>
      <w:r w:rsidRPr="00C91140" w:rsidR="000F56CF">
        <w:t xml:space="preserve"> that </w:t>
      </w:r>
      <w:r w:rsidRPr="00C91140" w:rsidR="00266745">
        <w:t>the IOU</w:t>
      </w:r>
      <w:r w:rsidRPr="00C91140" w:rsidR="003B4553">
        <w:t>’</w:t>
      </w:r>
      <w:r w:rsidRPr="00C91140" w:rsidR="00266745">
        <w:t>s</w:t>
      </w:r>
      <w:r w:rsidRPr="00C91140" w:rsidR="00B967BD">
        <w:t xml:space="preserve"> </w:t>
      </w:r>
      <w:r w:rsidRPr="00C91140" w:rsidR="000F56CF">
        <w:t>proposal</w:t>
      </w:r>
      <w:r w:rsidRPr="00C91140">
        <w:t xml:space="preserve"> </w:t>
      </w:r>
      <w:r w:rsidRPr="00C91140" w:rsidR="00B967BD">
        <w:t xml:space="preserve">must be rejected because it </w:t>
      </w:r>
      <w:r w:rsidRPr="00C91140">
        <w:t>conflict</w:t>
      </w:r>
      <w:r w:rsidRPr="00C91140" w:rsidR="000F56CF">
        <w:t xml:space="preserve">s </w:t>
      </w:r>
      <w:r w:rsidRPr="00C91140">
        <w:t xml:space="preserve">with </w:t>
      </w:r>
      <w:r w:rsidRPr="00C91140" w:rsidR="000F56CF">
        <w:t>limitations in</w:t>
      </w:r>
      <w:r w:rsidRPr="00C91140">
        <w:t xml:space="preserve"> the California Co</w:t>
      </w:r>
      <w:r w:rsidRPr="00C91140" w:rsidR="000F56CF">
        <w:t>nstitution</w:t>
      </w:r>
      <w:r w:rsidRPr="00C91140">
        <w:t xml:space="preserve"> which exempt</w:t>
      </w:r>
      <w:r w:rsidRPr="00C91140" w:rsidR="000F56CF">
        <w:t>s</w:t>
      </w:r>
      <w:r w:rsidRPr="00C91140" w:rsidR="00B967BD">
        <w:t xml:space="preserve"> the</w:t>
      </w:r>
      <w:r w:rsidRPr="00C91140">
        <w:t xml:space="preserve"> Commission’s regulatory authority power </w:t>
      </w:r>
      <w:r w:rsidRPr="00C91140" w:rsidR="000F56CF">
        <w:t xml:space="preserve">from </w:t>
      </w:r>
      <w:r w:rsidRPr="00C91140">
        <w:t>interfe</w:t>
      </w:r>
      <w:r w:rsidRPr="00C91140" w:rsidR="000F56CF">
        <w:t>ring</w:t>
      </w:r>
      <w:r w:rsidRPr="00C91140">
        <w:t xml:space="preserve"> with a</w:t>
      </w:r>
      <w:r w:rsidRPr="00C91140" w:rsidR="00B967BD">
        <w:t xml:space="preserve"> city’s charter to</w:t>
      </w:r>
      <w:r w:rsidRPr="00C91140">
        <w:t xml:space="preserve"> mak</w:t>
      </w:r>
      <w:r w:rsidRPr="00C91140" w:rsidR="00B967BD">
        <w:t xml:space="preserve">e </w:t>
      </w:r>
      <w:r w:rsidRPr="00C91140">
        <w:t>and enforc</w:t>
      </w:r>
      <w:r w:rsidRPr="00C91140" w:rsidR="00B967BD">
        <w:t>e</w:t>
      </w:r>
      <w:r w:rsidRPr="00C91140">
        <w:t xml:space="preserve"> sanitary</w:t>
      </w:r>
      <w:r w:rsidR="007C15BC">
        <w:t xml:space="preserve"> regulations</w:t>
      </w:r>
      <w:r w:rsidR="001702B3">
        <w:t>;</w:t>
      </w:r>
      <w:r w:rsidRPr="00C91140">
        <w:t xml:space="preserve"> and other regulations concerning municipal affairs</w:t>
      </w:r>
      <w:r w:rsidRPr="00C91140" w:rsidR="00B967BD">
        <w:t>,</w:t>
      </w:r>
      <w:r w:rsidRPr="00C91140">
        <w:t xml:space="preserve"> or with </w:t>
      </w:r>
      <w:r w:rsidRPr="00C91140" w:rsidR="00B967BD">
        <w:t>a</w:t>
      </w:r>
      <w:r w:rsidRPr="00C91140">
        <w:t xml:space="preserve"> city’s right to grant gas and electric franchise</w:t>
      </w:r>
      <w:r w:rsidRPr="00C91140" w:rsidR="000F56CF">
        <w:t>s.</w:t>
      </w:r>
      <w:r w:rsidRPr="00C91140" w:rsidR="000F56CF">
        <w:rPr>
          <w:rStyle w:val="FootnoteReference"/>
        </w:rPr>
        <w:footnoteReference w:id="181"/>
      </w:r>
    </w:p>
    <w:p w:rsidRPr="002502A5" w:rsidR="003A2340" w:rsidP="001C0CAB" w:rsidRDefault="000949D0" w14:paraId="2550EC76" w14:textId="77777777">
      <w:pPr>
        <w:pStyle w:val="Standard"/>
        <w:ind w:firstLine="630"/>
      </w:pPr>
      <w:r w:rsidRPr="00C91140">
        <w:t>Cal Advocates supports Staff’s proposed definition</w:t>
      </w:r>
      <w:r w:rsidRPr="00C91140" w:rsidR="00266745">
        <w:t xml:space="preserve"> of accessories</w:t>
      </w:r>
      <w:r w:rsidRPr="00C91140">
        <w:t>.</w:t>
      </w:r>
      <w:r w:rsidRPr="00C91140" w:rsidR="00826A52">
        <w:rPr>
          <w:rStyle w:val="FootnoteReference"/>
        </w:rPr>
        <w:footnoteReference w:id="182"/>
      </w:r>
      <w:r w:rsidRPr="00DB00C4" w:rsidR="00826A52">
        <w:t xml:space="preserve"> </w:t>
      </w:r>
      <w:r w:rsidRPr="00DB00C4">
        <w:t xml:space="preserve"> PG&amp;E, SCE, a</w:t>
      </w:r>
      <w:r w:rsidR="00266745">
        <w:t>n</w:t>
      </w:r>
      <w:r w:rsidRPr="00DB00C4">
        <w:t xml:space="preserve">d SDG&amp;E support </w:t>
      </w:r>
      <w:r w:rsidR="00266745">
        <w:t>a revised version of Staff’s</w:t>
      </w:r>
      <w:r w:rsidRPr="00DB00C4">
        <w:t xml:space="preserve"> </w:t>
      </w:r>
      <w:r w:rsidR="00266745">
        <w:t>proposed definition of accessories that includes communication and weather equipment</w:t>
      </w:r>
      <w:r w:rsidR="00826A52">
        <w:t>.</w:t>
      </w:r>
      <w:r w:rsidRPr="00DB00C4">
        <w:t xml:space="preserve"> </w:t>
      </w:r>
    </w:p>
    <w:p w:rsidR="002D4889" w:rsidP="008611A4" w:rsidRDefault="7ED72E58" w14:paraId="2C8C2264" w14:textId="77777777">
      <w:pPr>
        <w:pStyle w:val="Standard"/>
        <w:ind w:firstLine="630"/>
      </w:pPr>
      <w:r>
        <w:t xml:space="preserve">Upon consideration of </w:t>
      </w:r>
      <w:r w:rsidRPr="009400FE" w:rsidR="00685351">
        <w:t>Staff</w:t>
      </w:r>
      <w:r w:rsidR="00685351">
        <w:t xml:space="preserve"> Proposal Section 3.1, </w:t>
      </w:r>
      <w:r>
        <w:t xml:space="preserve">Staff Proposal </w:t>
      </w:r>
      <w:r w:rsidR="25CC6EB3">
        <w:t xml:space="preserve">4 </w:t>
      </w:r>
      <w:r>
        <w:t>and party comments, w</w:t>
      </w:r>
      <w:r w:rsidR="3011DD07">
        <w:t>e</w:t>
      </w:r>
      <w:r w:rsidR="1F3FEF0D">
        <w:t xml:space="preserve"> a</w:t>
      </w:r>
      <w:r w:rsidR="03A07E98">
        <w:t>dop</w:t>
      </w:r>
      <w:r w:rsidR="1F3FEF0D">
        <w:t xml:space="preserve">t </w:t>
      </w:r>
      <w:r w:rsidR="68111E16">
        <w:t xml:space="preserve">a slightly revised version of </w:t>
      </w:r>
      <w:r w:rsidR="1F3FEF0D">
        <w:t xml:space="preserve">the IOUs’ </w:t>
      </w:r>
      <w:r w:rsidR="03A07E98">
        <w:t xml:space="preserve">proposed revision of </w:t>
      </w:r>
      <w:r w:rsidR="003B5D07">
        <w:t>GO </w:t>
      </w:r>
      <w:r w:rsidR="03A07E98">
        <w:t>131-E</w:t>
      </w:r>
      <w:r w:rsidR="00630DCA">
        <w:t>,</w:t>
      </w:r>
      <w:r w:rsidR="03A07E98">
        <w:t xml:space="preserve"> </w:t>
      </w:r>
      <w:r w:rsidR="00DC14AC">
        <w:t>Section </w:t>
      </w:r>
      <w:r w:rsidR="03A07E98">
        <w:t>I.K</w:t>
      </w:r>
      <w:r w:rsidR="00630DCA">
        <w:t>,</w:t>
      </w:r>
      <w:r w:rsidR="03A07E98">
        <w:t xml:space="preserve"> (see </w:t>
      </w:r>
      <w:r w:rsidR="38B9297D">
        <w:t xml:space="preserve">Staff Proposal </w:t>
      </w:r>
      <w:r w:rsidR="00DC14AC">
        <w:t>Section </w:t>
      </w:r>
      <w:r w:rsidR="03A07E98">
        <w:t xml:space="preserve">3.1, Proposal 4, Define “Accessories”) to include </w:t>
      </w:r>
      <w:r w:rsidR="68111E16">
        <w:t>communications and weather monitoring equipment</w:t>
      </w:r>
      <w:r w:rsidR="61056161">
        <w:t>,</w:t>
      </w:r>
      <w:r w:rsidDel="68111E16" w:rsidR="003A79E0">
        <w:t xml:space="preserve"> </w:t>
      </w:r>
      <w:r w:rsidR="68111E16">
        <w:t>fiber optic grounding wire</w:t>
      </w:r>
      <w:r w:rsidR="61056161">
        <w:t>, and control cabinets</w:t>
      </w:r>
      <w:r w:rsidR="68111E16">
        <w:t xml:space="preserve">. </w:t>
      </w:r>
      <w:r w:rsidR="07A28895">
        <w:t>Accessories on supporting structures already built are exempt from a PTC (</w:t>
      </w:r>
      <w:r w:rsidR="003B5D07">
        <w:t>GO </w:t>
      </w:r>
      <w:r w:rsidR="07A28895">
        <w:t>131-D</w:t>
      </w:r>
      <w:r w:rsidR="00630DCA">
        <w:t>,</w:t>
      </w:r>
      <w:r w:rsidR="07A28895">
        <w:t xml:space="preserve"> </w:t>
      </w:r>
      <w:r w:rsidR="00DC14AC">
        <w:t>Section </w:t>
      </w:r>
      <w:r w:rsidR="07A28895">
        <w:t>III.B.1.3</w:t>
      </w:r>
      <w:r w:rsidR="00630DCA">
        <w:t>,</w:t>
      </w:r>
      <w:r w:rsidR="07A28895">
        <w:t xml:space="preserve"> (proposed </w:t>
      </w:r>
      <w:r w:rsidR="003B5D07">
        <w:t>GO </w:t>
      </w:r>
      <w:r w:rsidR="07A28895">
        <w:t>131-E</w:t>
      </w:r>
      <w:r w:rsidR="00630DCA">
        <w:t>,</w:t>
      </w:r>
      <w:r w:rsidR="07A28895">
        <w:t xml:space="preserve"> </w:t>
      </w:r>
      <w:r w:rsidR="00DC14AC">
        <w:t>Section </w:t>
      </w:r>
      <w:r w:rsidR="07A28895">
        <w:t>III.B.2.d).</w:t>
      </w:r>
      <w:r w:rsidR="100B8444">
        <w:t xml:space="preserve"> </w:t>
      </w:r>
      <w:r w:rsidR="03A07E98">
        <w:t>T</w:t>
      </w:r>
      <w:r w:rsidR="1F3FEF0D">
        <w:t xml:space="preserve">hese activities are already exempt from CEQA in most circumstances and are expected to have minimal environmental impacts. </w:t>
      </w:r>
      <w:r w:rsidR="03A07E98">
        <w:t>This adopted revision effectively requires that</w:t>
      </w:r>
      <w:r w:rsidR="7704214E">
        <w:t xml:space="preserve"> applicants</w:t>
      </w:r>
      <w:r w:rsidR="03A07E98">
        <w:t xml:space="preserve"> </w:t>
      </w:r>
      <w:r w:rsidR="7704214E">
        <w:t xml:space="preserve">file a </w:t>
      </w:r>
      <w:r w:rsidR="03A07E98">
        <w:t>Tier 2 advice letter</w:t>
      </w:r>
      <w:r w:rsidR="7704214E">
        <w:t xml:space="preserve"> to install </w:t>
      </w:r>
      <w:r w:rsidR="03A07E98">
        <w:t xml:space="preserve">such “accessories” on existing supporting structures, if not already subject to a categorical </w:t>
      </w:r>
      <w:r w:rsidR="001702B3">
        <w:t xml:space="preserve">or statutory </w:t>
      </w:r>
      <w:r w:rsidR="03A07E98">
        <w:t>exemption from CEQA</w:t>
      </w:r>
      <w:r w:rsidR="7704214E">
        <w:t>.</w:t>
      </w:r>
    </w:p>
    <w:p w:rsidR="003A2340" w:rsidP="00A51DB7" w:rsidRDefault="002D4889" w14:paraId="171020A9" w14:textId="77777777">
      <w:pPr>
        <w:pStyle w:val="Standard"/>
      </w:pPr>
      <w:r>
        <w:t>We do not</w:t>
      </w:r>
      <w:r w:rsidRPr="003A2340">
        <w:t xml:space="preserve"> adopt the IOUs’ proposed revisions to </w:t>
      </w:r>
      <w:r w:rsidR="003B5D07">
        <w:t>GO </w:t>
      </w:r>
      <w:r w:rsidRPr="003A2340">
        <w:t>131-D</w:t>
      </w:r>
      <w:r w:rsidR="00630DCA">
        <w:t>,</w:t>
      </w:r>
      <w:r w:rsidRPr="003A2340">
        <w:t xml:space="preserve"> </w:t>
      </w:r>
      <w:r w:rsidR="00DC14AC">
        <w:t>Section </w:t>
      </w:r>
      <w:r w:rsidRPr="003A2340">
        <w:t>III.C.1</w:t>
      </w:r>
      <w:r w:rsidR="00630DCA">
        <w:t>,</w:t>
      </w:r>
      <w:r w:rsidRPr="003A2340">
        <w:t xml:space="preserve"> </w:t>
      </w:r>
      <w:r w:rsidR="00A51DB7">
        <w:t xml:space="preserve">to add an exemption from a PTC and exemption from noticing for </w:t>
      </w:r>
      <w:r w:rsidR="00A51DB7">
        <w:lastRenderedPageBreak/>
        <w:t xml:space="preserve">“electric utility-owned communications infrastructure constructed to provide services to a public utility’s electric system” </w:t>
      </w:r>
      <w:r w:rsidRPr="003A2340">
        <w:t xml:space="preserve">or </w:t>
      </w:r>
      <w:r w:rsidR="00A51DB7">
        <w:t xml:space="preserve">proposed revisions to </w:t>
      </w:r>
      <w:r w:rsidR="00D0264E">
        <w:t>GO 131-D</w:t>
      </w:r>
      <w:r w:rsidR="00630DCA">
        <w:t>,</w:t>
      </w:r>
      <w:r w:rsidR="00D0264E">
        <w:t xml:space="preserve"> </w:t>
      </w:r>
      <w:r w:rsidR="00DC14AC">
        <w:t>Section </w:t>
      </w:r>
      <w:r w:rsidRPr="003A2340">
        <w:t>XIV.B</w:t>
      </w:r>
      <w:r w:rsidR="00630DCA">
        <w:t>,</w:t>
      </w:r>
      <w:r w:rsidRPr="003A2340">
        <w:t xml:space="preserve"> (proposed </w:t>
      </w:r>
      <w:r w:rsidR="003B5D07">
        <w:t>GO </w:t>
      </w:r>
      <w:r w:rsidRPr="003A2340">
        <w:t>131-E</w:t>
      </w:r>
      <w:r w:rsidR="00630DCA">
        <w:t>,</w:t>
      </w:r>
      <w:r w:rsidRPr="003A2340">
        <w:t xml:space="preserve"> </w:t>
      </w:r>
      <w:r w:rsidR="00DC14AC">
        <w:t>Section </w:t>
      </w:r>
      <w:r w:rsidR="00A51DB7">
        <w:t>XI</w:t>
      </w:r>
      <w:r w:rsidR="00413B44">
        <w:t>I</w:t>
      </w:r>
      <w:r w:rsidR="00A51DB7">
        <w:t>.B</w:t>
      </w:r>
      <w:r w:rsidRPr="003A2340">
        <w:t>)</w:t>
      </w:r>
      <w:r w:rsidRPr="00F238A0" w:rsidR="009D1175">
        <w:t>.</w:t>
      </w:r>
      <w:r w:rsidRPr="00BF0B80" w:rsidR="009D1175">
        <w:t xml:space="preserve"> </w:t>
      </w:r>
      <w:r w:rsidR="00D0264E">
        <w:t>If adopted, those revisions</w:t>
      </w:r>
      <w:r w:rsidR="001C0F8E">
        <w:t xml:space="preserve"> </w:t>
      </w:r>
      <w:r w:rsidRPr="003A2340" w:rsidR="003A2340">
        <w:t>could allow construction of larger standalone infrastructure (</w:t>
      </w:r>
      <w:r w:rsidRPr="00E77CF4" w:rsidR="003A2340">
        <w:rPr>
          <w:i/>
          <w:iCs/>
        </w:rPr>
        <w:t>e.g.</w:t>
      </w:r>
      <w:r w:rsidRPr="003A2340" w:rsidR="003A2340">
        <w:t xml:space="preserve">, monopoles, towers, microwave dishes, antennas, and structures) outside the footprint of existing </w:t>
      </w:r>
      <w:r w:rsidR="001C0F8E">
        <w:t xml:space="preserve">electric </w:t>
      </w:r>
      <w:r w:rsidRPr="003A2340" w:rsidR="003A2340">
        <w:t>facilitie</w:t>
      </w:r>
      <w:r w:rsidR="001C0F8E">
        <w:t xml:space="preserve">s, </w:t>
      </w:r>
      <w:r w:rsidRPr="003A2340" w:rsidR="003A2340">
        <w:t xml:space="preserve">which </w:t>
      </w:r>
      <w:r w:rsidR="001C0F8E">
        <w:t>is</w:t>
      </w:r>
      <w:r w:rsidRPr="003A2340" w:rsidR="003A2340">
        <w:t xml:space="preserve"> expected to have greater environmental impact than attaching equipment to existing structure</w:t>
      </w:r>
      <w:r w:rsidR="001C0F8E">
        <w:t xml:space="preserve">s, </w:t>
      </w:r>
      <w:r w:rsidRPr="003A2340" w:rsidR="003A2340">
        <w:t xml:space="preserve">without environmental review. </w:t>
      </w:r>
      <w:r w:rsidR="007760AE">
        <w:t xml:space="preserve">While SDG&amp;E’s Opening Comments on the Staff Proposal </w:t>
      </w:r>
      <w:r w:rsidRPr="00BF0B80" w:rsidR="00A651C1">
        <w:t>file</w:t>
      </w:r>
      <w:r w:rsidRPr="00BF0B80" w:rsidR="007760AE">
        <w:t xml:space="preserve">d in July 2024 contended that the addition of electric utility-owned communications infrastructure has a small footprint, SDG&amp;E’s Opening Comments on the scope of Phase 2 </w:t>
      </w:r>
      <w:r w:rsidRPr="00BF0B80" w:rsidR="008D30F4">
        <w:t>filed</w:t>
      </w:r>
      <w:r w:rsidRPr="00BF0B80" w:rsidR="007760AE">
        <w:t xml:space="preserve"> in February 2024 and testimony </w:t>
      </w:r>
      <w:r w:rsidRPr="00BF0B80" w:rsidR="00A651C1">
        <w:t xml:space="preserve">filed </w:t>
      </w:r>
      <w:r w:rsidRPr="00BF0B80" w:rsidR="007760AE">
        <w:t xml:space="preserve">by Elaine Allyn stated that “Under some circumstances, standalone critical communication infrastructure, which may need </w:t>
      </w:r>
      <w:r w:rsidRPr="00BF0B80" w:rsidR="00896EBC">
        <w:t>‘</w:t>
      </w:r>
      <w:r w:rsidRPr="00BF0B80" w:rsidR="007760AE">
        <w:t>line of sight</w:t>
      </w:r>
      <w:r w:rsidRPr="00BF0B80" w:rsidR="00896EBC">
        <w:t>’</w:t>
      </w:r>
      <w:r w:rsidRPr="00BF0B80" w:rsidR="007760AE">
        <w:t xml:space="preserve"> communication, is needed to properly support the electric grid. These sites may include poles, towers, microwave dishes, antennas, and cabinets” </w:t>
      </w:r>
      <w:r w:rsidRPr="00BF0B80" w:rsidR="009D6F7F">
        <w:t xml:space="preserve">with </w:t>
      </w:r>
      <w:r w:rsidRPr="00BF0B80" w:rsidR="007760AE">
        <w:t>an</w:t>
      </w:r>
      <w:r w:rsidR="007760AE">
        <w:t xml:space="preserve"> example photograph of a monopole was shown.</w:t>
      </w:r>
      <w:r w:rsidR="007760AE">
        <w:rPr>
          <w:rStyle w:val="FootnoteReference"/>
        </w:rPr>
        <w:footnoteReference w:id="183"/>
      </w:r>
      <w:r w:rsidR="007760AE">
        <w:t xml:space="preserve"> </w:t>
      </w:r>
      <w:r w:rsidR="001C0F8E">
        <w:t>G</w:t>
      </w:r>
      <w:r w:rsidRPr="003A2340" w:rsidR="003A2340">
        <w:t xml:space="preserve">iven the concerns raised by several parties regarding ratepayer costs, </w:t>
      </w:r>
      <w:r w:rsidR="007760AE">
        <w:t xml:space="preserve">and </w:t>
      </w:r>
      <w:r w:rsidRPr="003A2340" w:rsidR="003A2340">
        <w:t xml:space="preserve">environmental impacts, </w:t>
      </w:r>
      <w:r w:rsidR="001C0F8E">
        <w:t xml:space="preserve">we </w:t>
      </w:r>
      <w:r w:rsidR="00544FA5">
        <w:t xml:space="preserve">conclude that </w:t>
      </w:r>
      <w:r w:rsidRPr="003A2340" w:rsidR="003A2340">
        <w:t>the record does not support adoption of the IOUs’ proposal</w:t>
      </w:r>
      <w:r w:rsidR="00544FA5">
        <w:t xml:space="preserve"> at this time</w:t>
      </w:r>
      <w:r w:rsidRPr="003A2340" w:rsidR="003A2340">
        <w:t>. </w:t>
      </w:r>
    </w:p>
    <w:p w:rsidR="0043273D" w:rsidP="0043273D" w:rsidRDefault="09B3666A" w14:paraId="60C1AE10" w14:textId="77777777">
      <w:pPr>
        <w:pStyle w:val="Standard"/>
        <w:ind w:firstLine="630"/>
      </w:pPr>
      <w:r>
        <w:t>Finally, the term “control shelters” was changed to “control cabinets” in the definition of accessories (</w:t>
      </w:r>
      <w:r w:rsidR="003B5D07">
        <w:t>GO </w:t>
      </w:r>
      <w:r>
        <w:t>131-E</w:t>
      </w:r>
      <w:r w:rsidR="00630DCA">
        <w:t>,</w:t>
      </w:r>
      <w:r>
        <w:t xml:space="preserve"> </w:t>
      </w:r>
      <w:r w:rsidR="00DC14AC">
        <w:t>Section </w:t>
      </w:r>
      <w:r>
        <w:t>I.K) to clarify that larger structures are not included in the definition, such as In-Line Amplification (ILA) fiber huts typically required for broadband infrastructure that require foundations, lighting, and typically a backup energy supply (</w:t>
      </w:r>
      <w:r w:rsidRPr="00893872">
        <w:rPr>
          <w:i/>
          <w:iCs/>
        </w:rPr>
        <w:t>e.g.</w:t>
      </w:r>
      <w:r>
        <w:t>, backup generator or propane).</w:t>
      </w:r>
    </w:p>
    <w:p w:rsidR="3BE764DD" w:rsidP="00804F6F" w:rsidRDefault="05CEE5AB" w14:paraId="013F7E46" w14:textId="77777777">
      <w:pPr>
        <w:pStyle w:val="Heading2"/>
      </w:pPr>
      <w:bookmarkStart w:name="_Toc189738513" w:id="163"/>
      <w:r>
        <w:lastRenderedPageBreak/>
        <w:t xml:space="preserve">PTC Exemption “f” </w:t>
      </w:r>
      <w:r w:rsidR="611A6183">
        <w:t>C</w:t>
      </w:r>
      <w:r>
        <w:t>larification</w:t>
      </w:r>
      <w:bookmarkEnd w:id="163"/>
    </w:p>
    <w:p w:rsidR="3BE764DD" w:rsidP="00D94F36" w:rsidRDefault="1EBD3043" w14:paraId="7BDBEA77" w14:textId="77777777">
      <w:pPr>
        <w:pStyle w:val="Standard"/>
      </w:pPr>
      <w:r>
        <w:t>As discussed below, we</w:t>
      </w:r>
      <w:r w:rsidR="4F3A7EFB">
        <w:t xml:space="preserve"> adopt </w:t>
      </w:r>
      <w:r w:rsidRPr="00D94F36" w:rsidR="3AA4AC7C">
        <w:t xml:space="preserve">revisions to </w:t>
      </w:r>
      <w:r w:rsidR="003B5D07">
        <w:t>GO </w:t>
      </w:r>
      <w:r w:rsidRPr="00D94F36" w:rsidR="3AA4AC7C">
        <w:t>131-D</w:t>
      </w:r>
      <w:r w:rsidR="00630DCA">
        <w:t>,</w:t>
      </w:r>
      <w:r w:rsidRPr="00D94F36" w:rsidR="3AA4AC7C">
        <w:t xml:space="preserve"> </w:t>
      </w:r>
      <w:r w:rsidR="00DC14AC">
        <w:t>Section </w:t>
      </w:r>
      <w:r w:rsidRPr="00D94F36" w:rsidR="3AA4AC7C">
        <w:t>III.B.1.f</w:t>
      </w:r>
      <w:r w:rsidR="00630DCA">
        <w:t>,</w:t>
      </w:r>
      <w:r w:rsidRPr="00D94F36" w:rsidR="3AA4AC7C">
        <w:t xml:space="preserve"> (exemption “f”) which would </w:t>
      </w:r>
      <w:r w:rsidR="50669DC4">
        <w:t xml:space="preserve">establish that projects are exempt from the PTC requirement </w:t>
      </w:r>
      <w:r w:rsidR="77946903">
        <w:t xml:space="preserve">when </w:t>
      </w:r>
      <w:r w:rsidR="50669DC4">
        <w:t xml:space="preserve">they have undergone environmental review pursuant to CEQA as part of a larger project, </w:t>
      </w:r>
      <w:r w:rsidR="662CD209">
        <w:t xml:space="preserve">regardless of whether the </w:t>
      </w:r>
      <w:r w:rsidR="50669DC4">
        <w:t>final CEQA document f</w:t>
      </w:r>
      <w:r w:rsidR="475C7378">
        <w:t>inds</w:t>
      </w:r>
      <w:r w:rsidR="50669DC4">
        <w:t xml:space="preserve"> that no significant unavoidable environmental impacts would be caused by the proposed facility.</w:t>
      </w:r>
    </w:p>
    <w:p w:rsidR="3BE764DD" w:rsidP="4AADD61C" w:rsidRDefault="003B5D07" w14:paraId="3EBEC96C" w14:textId="77777777">
      <w:pPr>
        <w:pStyle w:val="Standard"/>
      </w:pPr>
      <w:r>
        <w:t>GO </w:t>
      </w:r>
      <w:r w:rsidR="18F9DBD7">
        <w:t>131-D</w:t>
      </w:r>
      <w:r w:rsidR="00630DCA">
        <w:t>,</w:t>
      </w:r>
      <w:r w:rsidR="18F9DBD7">
        <w:t xml:space="preserve"> </w:t>
      </w:r>
      <w:r w:rsidR="00DC14AC">
        <w:t>Section </w:t>
      </w:r>
      <w:r w:rsidR="18F9DBD7">
        <w:t>III.B.1.f</w:t>
      </w:r>
      <w:r w:rsidR="00630DCA">
        <w:t>,</w:t>
      </w:r>
      <w:r w:rsidR="18F9DBD7">
        <w:t xml:space="preserve"> exempts from the PTC requirement any “power lines or substations to be relocated or constructed which have undergone environmental review pursuant to CEQA as part of a larger project, and for which the final CEQA document (Environmental Impact Report (EIR) or Negative Declaration) finds no significant unavoidable environmental impacts caused by the proposed line or substation.”</w:t>
      </w:r>
    </w:p>
    <w:p w:rsidR="3BE764DD" w:rsidP="6AF01E14" w:rsidRDefault="349546BF" w14:paraId="384212B8" w14:textId="77777777">
      <w:pPr>
        <w:pStyle w:val="Standard"/>
      </w:pPr>
      <w:r>
        <w:t xml:space="preserve">Under the current version of exemption “f” in </w:t>
      </w:r>
      <w:r w:rsidR="003B5D07">
        <w:t>GO </w:t>
      </w:r>
      <w:r>
        <w:t xml:space="preserve">131-D, if a proposed new or relocated power line or substation has been thoroughly reviewed pursuant to CEQA by another lead agency as part of a larger project for which even one significant unavoidable impact was found, the project proponent </w:t>
      </w:r>
      <w:r w:rsidR="37B2D8A6">
        <w:t>c</w:t>
      </w:r>
      <w:r>
        <w:t>ould be required to file a PTC application</w:t>
      </w:r>
      <w:r w:rsidR="00162427">
        <w:t xml:space="preserve">. </w:t>
      </w:r>
      <w:r w:rsidR="00760C64">
        <w:t xml:space="preserve">When </w:t>
      </w:r>
      <w:r w:rsidR="0005248B">
        <w:t>these PTC applications</w:t>
      </w:r>
      <w:r w:rsidR="00760C64">
        <w:t xml:space="preserve"> </w:t>
      </w:r>
      <w:r w:rsidR="009C0DD1">
        <w:t>are</w:t>
      </w:r>
      <w:r w:rsidR="00760C64">
        <w:t xml:space="preserve"> filed,</w:t>
      </w:r>
      <w:r w:rsidR="317F5F80">
        <w:t xml:space="preserve"> the Commission</w:t>
      </w:r>
      <w:r w:rsidR="00460349">
        <w:t xml:space="preserve"> is required</w:t>
      </w:r>
      <w:r w:rsidR="317F5F80">
        <w:t xml:space="preserve"> to make its own CEQA findings</w:t>
      </w:r>
      <w:r>
        <w:t>, even if the lead agency for the larger project made a statement of overriding considerations explaining why the beneficial aspects of the proposed project outweigh the significant unavoidable impacts.</w:t>
      </w:r>
    </w:p>
    <w:p w:rsidR="00181646" w:rsidP="0076248D" w:rsidRDefault="00EF0A6C" w14:paraId="59D4F88E" w14:textId="77777777">
      <w:pPr>
        <w:pStyle w:val="Standard"/>
      </w:pPr>
      <w:r w:rsidRPr="00B87418">
        <w:t xml:space="preserve">In </w:t>
      </w:r>
      <w:r w:rsidRPr="00B87418" w:rsidR="69DAF913">
        <w:t>D.94-06-014</w:t>
      </w:r>
      <w:r w:rsidRPr="00B87418" w:rsidR="5924E59D">
        <w:t>,</w:t>
      </w:r>
      <w:r w:rsidRPr="00B87418" w:rsidR="5C1E1CD9">
        <w:t xml:space="preserve"> </w:t>
      </w:r>
      <w:r w:rsidRPr="00B87418" w:rsidR="314EAF13">
        <w:t xml:space="preserve">which </w:t>
      </w:r>
      <w:r w:rsidRPr="00B87418" w:rsidR="42C2170A">
        <w:t>adopt</w:t>
      </w:r>
      <w:r w:rsidRPr="00B87418">
        <w:t xml:space="preserve">ed </w:t>
      </w:r>
      <w:r w:rsidR="003B5D07">
        <w:t>GO </w:t>
      </w:r>
      <w:r w:rsidRPr="00B87418" w:rsidR="42C2170A">
        <w:t xml:space="preserve">131-D, </w:t>
      </w:r>
      <w:r w:rsidRPr="00B87418">
        <w:t>the Commission explained that</w:t>
      </w:r>
      <w:r w:rsidRPr="00B87418" w:rsidR="42C2170A">
        <w:t xml:space="preserve"> the Commission Advisory and</w:t>
      </w:r>
      <w:r w:rsidR="42C2170A">
        <w:t xml:space="preserve"> Compliance Division (CACD)</w:t>
      </w:r>
      <w:r w:rsidR="0554F847">
        <w:t>, the precursor to the Energy Division,</w:t>
      </w:r>
      <w:r w:rsidR="3FEF3AAE">
        <w:t xml:space="preserve"> originally proposed to exempt</w:t>
      </w:r>
      <w:r w:rsidR="3D445121">
        <w:t xml:space="preserve"> from the PTC requirement</w:t>
      </w:r>
      <w:r w:rsidR="50236F2C">
        <w:t xml:space="preserve"> facilities which “are to be relocated in connection with a broader action by </w:t>
      </w:r>
      <w:r w:rsidR="50236F2C">
        <w:lastRenderedPageBreak/>
        <w:t>another agency which undertakes environmental review pursuant to CEQA covering the relocation project."</w:t>
      </w:r>
      <w:r w:rsidR="2707B3CB">
        <w:t xml:space="preserve"> D.94-06-014 ultimately adopted a version of exemption “f” containing the condition that a final CEQA document for a larger project must find </w:t>
      </w:r>
      <w:r w:rsidR="45D59A97">
        <w:t xml:space="preserve">that there are </w:t>
      </w:r>
      <w:r w:rsidR="2707B3CB">
        <w:t xml:space="preserve">no significant unavoidable environmental impacts caused by the proposed line or substation in order for the exemption to apply, citing concerns “that under some circumstances CEQA review of a broader project by </w:t>
      </w:r>
      <w:r w:rsidR="27C8C001">
        <w:t>another agency will not guarantee that the environmental impacts associated with the power line itself can be effectively mitigated by the reviewing agency.”</w:t>
      </w:r>
      <w:r w:rsidR="4AD68BA4">
        <w:t xml:space="preserve"> </w:t>
      </w:r>
      <w:r w:rsidR="74B87CF5">
        <w:t>However, i</w:t>
      </w:r>
      <w:r w:rsidR="2FA8F2FB">
        <w:t xml:space="preserve">n that decision, </w:t>
      </w:r>
      <w:r w:rsidR="17E665CB">
        <w:t xml:space="preserve">the </w:t>
      </w:r>
      <w:r w:rsidR="2FA8F2FB">
        <w:t xml:space="preserve">Commission noted, “Since such projects would be reviewed by another agency pursuant to CEQA, we find no reason to duplicate the effort.” </w:t>
      </w:r>
      <w:r w:rsidR="7F2F2CB7">
        <w:t>D.94-06-014 also specified that in any case where a utility claims exemption “f”, the project would have to be held in abeyance pending issuance of such a final CEQA document.</w:t>
      </w:r>
    </w:p>
    <w:p w:rsidR="00181646" w:rsidP="064A553F" w:rsidRDefault="00437ED4" w14:paraId="5A504603" w14:textId="77777777">
      <w:pPr>
        <w:pStyle w:val="Standard"/>
      </w:pPr>
      <w:r w:rsidRPr="00461837">
        <w:t xml:space="preserve">Consistent with </w:t>
      </w:r>
      <w:r w:rsidRPr="00461837" w:rsidR="7B441004">
        <w:t>the finding in D.94-06-014</w:t>
      </w:r>
      <w:r w:rsidRPr="00461837" w:rsidR="00BF2E90">
        <w:t xml:space="preserve">, we </w:t>
      </w:r>
      <w:r w:rsidRPr="00461837" w:rsidR="009E603D">
        <w:t xml:space="preserve">also </w:t>
      </w:r>
      <w:r w:rsidRPr="00461837" w:rsidR="00B67B62">
        <w:t>acknowledge</w:t>
      </w:r>
      <w:r w:rsidRPr="00461837" w:rsidR="7B441004">
        <w:t xml:space="preserve"> that </w:t>
      </w:r>
      <w:r w:rsidRPr="00461837" w:rsidR="472617C4">
        <w:t>since</w:t>
      </w:r>
      <w:r w:rsidRPr="00461837" w:rsidR="3CE7CF2E">
        <w:t xml:space="preserve"> </w:t>
      </w:r>
      <w:r w:rsidRPr="00461837" w:rsidR="472617C4">
        <w:t xml:space="preserve">projects </w:t>
      </w:r>
      <w:r w:rsidRPr="00461837" w:rsidR="60C9B3AB">
        <w:t xml:space="preserve">eligible for exemption “f” </w:t>
      </w:r>
      <w:r w:rsidRPr="00461837" w:rsidR="472617C4">
        <w:t xml:space="preserve">would be reviewed by another agency pursuant to CEQA, there is </w:t>
      </w:r>
      <w:r w:rsidRPr="00461837" w:rsidR="74BEA485">
        <w:t>no reason</w:t>
      </w:r>
      <w:r w:rsidRPr="00461837" w:rsidR="472617C4">
        <w:t xml:space="preserve"> for the Commission to duplicate</w:t>
      </w:r>
      <w:r w:rsidR="472617C4">
        <w:t xml:space="preserve"> </w:t>
      </w:r>
      <w:r w:rsidR="030BB1F6">
        <w:t xml:space="preserve">that </w:t>
      </w:r>
      <w:r w:rsidR="472617C4">
        <w:t>effort.</w:t>
      </w:r>
      <w:r w:rsidR="6C846AF2">
        <w:t xml:space="preserve"> If another lead agency is unable to fully mitigate the significant unavoidable impacts of the larger project and must make a statement of overriding considerations to approve the project, it is likely that the Commission would need to take a similar approach</w:t>
      </w:r>
      <w:r w:rsidR="6A85B47B">
        <w:t xml:space="preserve"> to approve the project, adding another layer of process to reach the same outcome</w:t>
      </w:r>
      <w:r w:rsidR="17EC141F">
        <w:t>.</w:t>
      </w:r>
      <w:r w:rsidR="078CF953">
        <w:t xml:space="preserve"> Allowing utilities to file an </w:t>
      </w:r>
      <w:r w:rsidR="16A5EC14">
        <w:t>a</w:t>
      </w:r>
      <w:r w:rsidR="078CF953">
        <w:t xml:space="preserve">dvice </w:t>
      </w:r>
      <w:r w:rsidR="211D3B28">
        <w:t>l</w:t>
      </w:r>
      <w:r w:rsidR="078CF953">
        <w:t xml:space="preserve">etter </w:t>
      </w:r>
      <w:r w:rsidRPr="00461837" w:rsidR="078CF953">
        <w:t xml:space="preserve">instead of a permit application for </w:t>
      </w:r>
      <w:r w:rsidRPr="00461837" w:rsidR="60FE0187">
        <w:t xml:space="preserve">exemption “f” </w:t>
      </w:r>
      <w:r w:rsidRPr="00461837" w:rsidR="078CF953">
        <w:t xml:space="preserve">projects </w:t>
      </w:r>
      <w:r w:rsidRPr="00461837" w:rsidR="126029E1">
        <w:t>c</w:t>
      </w:r>
      <w:r w:rsidRPr="00461837" w:rsidR="078CF953">
        <w:t xml:space="preserve">ould </w:t>
      </w:r>
      <w:r w:rsidRPr="00461837" w:rsidR="07549317">
        <w:t xml:space="preserve">substantially </w:t>
      </w:r>
      <w:r w:rsidRPr="00461837" w:rsidR="00B32534">
        <w:t xml:space="preserve">streamline the process and </w:t>
      </w:r>
      <w:r w:rsidRPr="00461837" w:rsidR="078CF953">
        <w:t xml:space="preserve">reduce the </w:t>
      </w:r>
      <w:r w:rsidRPr="00461837" w:rsidR="7DFDFDE5">
        <w:t xml:space="preserve">level of </w:t>
      </w:r>
      <w:r w:rsidRPr="00461837" w:rsidR="078CF953">
        <w:t>effort</w:t>
      </w:r>
      <w:r w:rsidRPr="00461837" w:rsidR="591A6A4F">
        <w:t xml:space="preserve"> </w:t>
      </w:r>
      <w:r w:rsidRPr="00461837" w:rsidR="738945C3">
        <w:t xml:space="preserve">needed </w:t>
      </w:r>
      <w:r w:rsidRPr="00461837" w:rsidR="591A6A4F">
        <w:t>to process these projects, enabling</w:t>
      </w:r>
      <w:r w:rsidRPr="00461837" w:rsidR="6111D131">
        <w:t xml:space="preserve"> the utility and Commission staff</w:t>
      </w:r>
      <w:r w:rsidRPr="00461837" w:rsidR="185C446A">
        <w:t xml:space="preserve"> to focus on other priorities</w:t>
      </w:r>
      <w:r w:rsidRPr="00461837" w:rsidR="6111D131">
        <w:t>.</w:t>
      </w:r>
      <w:r w:rsidR="598E3D96">
        <w:t xml:space="preserve"> </w:t>
      </w:r>
      <w:r w:rsidR="0633DC65">
        <w:t>We</w:t>
      </w:r>
      <w:r w:rsidR="57B469E1">
        <w:t xml:space="preserve"> further</w:t>
      </w:r>
      <w:r w:rsidR="0633DC65">
        <w:t xml:space="preserve"> find that </w:t>
      </w:r>
      <w:r w:rsidR="0C430C79">
        <w:t>the</w:t>
      </w:r>
      <w:r w:rsidDel="0C430C79" w:rsidR="3A7D5F37">
        <w:t xml:space="preserve"> </w:t>
      </w:r>
      <w:r w:rsidR="215CD3CB">
        <w:t xml:space="preserve">impact </w:t>
      </w:r>
      <w:r w:rsidR="0C430C79">
        <w:t xml:space="preserve">of </w:t>
      </w:r>
      <w:r w:rsidR="64131F30">
        <w:t xml:space="preserve">deleting </w:t>
      </w:r>
      <w:r w:rsidR="7A91E4B0">
        <w:t xml:space="preserve">the “significant unavoidable” </w:t>
      </w:r>
      <w:r w:rsidR="64131F30">
        <w:t>provision</w:t>
      </w:r>
      <w:r w:rsidR="361B758A">
        <w:t xml:space="preserve"> </w:t>
      </w:r>
      <w:r w:rsidR="40375360">
        <w:t xml:space="preserve">is low, as </w:t>
      </w:r>
      <w:r w:rsidR="5E648299">
        <w:t xml:space="preserve">any projects subject to exemption “f” </w:t>
      </w:r>
      <w:r w:rsidR="06D956F2">
        <w:t xml:space="preserve">would be held in </w:t>
      </w:r>
      <w:r w:rsidR="06D956F2">
        <w:lastRenderedPageBreak/>
        <w:t xml:space="preserve">abeyance pending </w:t>
      </w:r>
      <w:r w:rsidR="2370D811">
        <w:t xml:space="preserve">the adoption or certification of </w:t>
      </w:r>
      <w:r w:rsidR="086CBACB">
        <w:t xml:space="preserve">the applicable </w:t>
      </w:r>
      <w:r w:rsidR="2370D811">
        <w:t>final CEQA document</w:t>
      </w:r>
      <w:r w:rsidR="4ECA3D80">
        <w:t xml:space="preserve">, and Commission staff would retain the ability to suspend an </w:t>
      </w:r>
      <w:r w:rsidR="60928131">
        <w:t>a</w:t>
      </w:r>
      <w:r w:rsidR="4ECA3D80">
        <w:t xml:space="preserve">dvice </w:t>
      </w:r>
      <w:r w:rsidR="36A746D8">
        <w:t>l</w:t>
      </w:r>
      <w:r w:rsidR="4ECA3D80">
        <w:t xml:space="preserve">etter </w:t>
      </w:r>
      <w:r w:rsidR="6BA688D2">
        <w:t>if needed</w:t>
      </w:r>
      <w:r w:rsidR="2370D811">
        <w:t xml:space="preserve">. </w:t>
      </w:r>
      <w:r w:rsidR="629FA6DF">
        <w:t xml:space="preserve">Finally, we find that </w:t>
      </w:r>
      <w:r w:rsidR="57568A0B">
        <w:t xml:space="preserve">striking the “significant unavoidable” </w:t>
      </w:r>
      <w:r w:rsidR="0A45F6F8">
        <w:t xml:space="preserve">provision </w:t>
      </w:r>
      <w:r w:rsidR="57568A0B">
        <w:t xml:space="preserve">from exemption “f” would </w:t>
      </w:r>
      <w:r w:rsidR="6BB3ABFD">
        <w:t>reduce the number of power line and substation facilities subject to discretionary permits by the Commiss</w:t>
      </w:r>
      <w:r w:rsidR="3CFB8F67">
        <w:t>i</w:t>
      </w:r>
      <w:r w:rsidR="6BB3ABFD">
        <w:t>on, in keeping with</w:t>
      </w:r>
      <w:r w:rsidR="152A1AAB">
        <w:t xml:space="preserve"> the legislative intent of </w:t>
      </w:r>
      <w:r w:rsidR="00DC14AC">
        <w:t>SB </w:t>
      </w:r>
      <w:r w:rsidR="152A1AAB">
        <w:t>529 to accelerate and streamline the permitting of needed grid updates</w:t>
      </w:r>
      <w:r w:rsidR="18FDA73B">
        <w:t>.</w:t>
      </w:r>
    </w:p>
    <w:p w:rsidRPr="0076248D" w:rsidR="009F43CB" w:rsidP="00DD2501" w:rsidRDefault="00A00AE9" w14:paraId="549AC68B" w14:textId="77777777">
      <w:pPr>
        <w:pStyle w:val="Standard"/>
      </w:pPr>
      <w:r>
        <w:t>Upon consideration of these points</w:t>
      </w:r>
      <w:r w:rsidR="4B7CA47B">
        <w:t xml:space="preserve">, </w:t>
      </w:r>
      <w:r>
        <w:t xml:space="preserve">we adopt modifications to </w:t>
      </w:r>
      <w:r w:rsidR="003B5D07">
        <w:t>GO </w:t>
      </w:r>
      <w:r>
        <w:t>131-D</w:t>
      </w:r>
      <w:r w:rsidR="00630DCA">
        <w:t>,</w:t>
      </w:r>
      <w:r w:rsidR="2503FE02">
        <w:t xml:space="preserve"> </w:t>
      </w:r>
      <w:r w:rsidR="00DC14AC">
        <w:t>Section </w:t>
      </w:r>
      <w:r w:rsidR="215F54E0">
        <w:t>III.B.1.f</w:t>
      </w:r>
      <w:r w:rsidR="00630DCA">
        <w:t>,</w:t>
      </w:r>
      <w:r w:rsidR="215F54E0">
        <w:t xml:space="preserve"> to delete the </w:t>
      </w:r>
      <w:r w:rsidR="497E5135">
        <w:t xml:space="preserve">criterion </w:t>
      </w:r>
      <w:r w:rsidR="215F54E0">
        <w:t>that the final CEQA document</w:t>
      </w:r>
      <w:r w:rsidR="0BEDA4DB">
        <w:t xml:space="preserve"> </w:t>
      </w:r>
      <w:r w:rsidR="03EFAEE0">
        <w:t xml:space="preserve">completed </w:t>
      </w:r>
      <w:r w:rsidR="0BEDA4DB">
        <w:t>for a larger project</w:t>
      </w:r>
      <w:r w:rsidR="215F54E0">
        <w:t xml:space="preserve"> must</w:t>
      </w:r>
      <w:r w:rsidR="26607385">
        <w:t xml:space="preserve"> not</w:t>
      </w:r>
      <w:r w:rsidR="215F54E0">
        <w:t xml:space="preserve"> find significant unavoidable environmental impacts caused by the proposed line or substation.</w:t>
      </w:r>
      <w:r w:rsidR="5A324742">
        <w:t xml:space="preserve"> </w:t>
      </w:r>
      <w:r w:rsidR="034CA43E">
        <w:t>With these changes</w:t>
      </w:r>
      <w:r w:rsidR="4FC09F0D">
        <w:t>,</w:t>
      </w:r>
      <w:r w:rsidR="5A324742">
        <w:t xml:space="preserve"> exemption “f” appl</w:t>
      </w:r>
      <w:r w:rsidR="2F51CDF4">
        <w:t>ies</w:t>
      </w:r>
      <w:r w:rsidR="5A324742">
        <w:t xml:space="preserve"> to any power line, substation, or switchyard projects to be relocated or reconstructed which have undergone environmental review pursuan</w:t>
      </w:r>
      <w:r w:rsidR="5A85399D">
        <w:t>t to CEQA as part of a larger project, regardless of whether the final CEQA document completed for the larger project finds significant unavoidable environmental impacts.</w:t>
      </w:r>
      <w:r w:rsidR="480E1D58">
        <w:t xml:space="preserve"> Additionally, with the deletion of </w:t>
      </w:r>
      <w:r w:rsidR="003B5D07">
        <w:t>GO </w:t>
      </w:r>
      <w:r w:rsidR="480E1D58">
        <w:t>131-D</w:t>
      </w:r>
      <w:r w:rsidR="00630DCA">
        <w:t>,</w:t>
      </w:r>
      <w:r w:rsidR="480E1D58">
        <w:t xml:space="preserve"> </w:t>
      </w:r>
      <w:r w:rsidR="00DC14AC">
        <w:t>Section </w:t>
      </w:r>
      <w:r w:rsidR="480E1D58">
        <w:t>III.B.1.a</w:t>
      </w:r>
      <w:r w:rsidR="00630DCA">
        <w:t>,</w:t>
      </w:r>
      <w:r w:rsidR="480E1D58">
        <w:t xml:space="preserve"> (exemption “a”), described separately, and other formatting changes</w:t>
      </w:r>
      <w:r w:rsidR="7E37F54E">
        <w:t xml:space="preserve">, we </w:t>
      </w:r>
      <w:r w:rsidR="716115E4">
        <w:t xml:space="preserve">move the text of </w:t>
      </w:r>
      <w:r w:rsidR="7E37F54E">
        <w:t xml:space="preserve">exemption “f” </w:t>
      </w:r>
      <w:r w:rsidR="18CA927E">
        <w:t xml:space="preserve">to </w:t>
      </w:r>
      <w:r w:rsidR="003B5D07">
        <w:t>GO </w:t>
      </w:r>
      <w:r w:rsidR="18CA927E">
        <w:t>131-E</w:t>
      </w:r>
      <w:r w:rsidR="00630DCA">
        <w:t>,</w:t>
      </w:r>
      <w:r w:rsidR="18CA927E">
        <w:t xml:space="preserve"> </w:t>
      </w:r>
      <w:r w:rsidR="00DC14AC">
        <w:t>Section </w:t>
      </w:r>
      <w:r w:rsidR="18CA927E">
        <w:t>III.B.2.e</w:t>
      </w:r>
      <w:r w:rsidR="3B138F23">
        <w:t xml:space="preserve">, and specify that </w:t>
      </w:r>
      <w:r w:rsidR="003B5D07">
        <w:t>GO</w:t>
      </w:r>
      <w:r w:rsidR="005A58BA">
        <w:t> </w:t>
      </w:r>
      <w:r w:rsidR="3B138F23">
        <w:t>131</w:t>
      </w:r>
      <w:r w:rsidR="005A58BA">
        <w:noBreakHyphen/>
      </w:r>
      <w:r w:rsidR="3B138F23">
        <w:t xml:space="preserve">D exemption “f” shall henceforth be referred to as </w:t>
      </w:r>
      <w:r w:rsidR="003B5D07">
        <w:t>GO </w:t>
      </w:r>
      <w:r w:rsidR="3B138F23">
        <w:t>131-E exemption “e”.</w:t>
      </w:r>
    </w:p>
    <w:p w:rsidRPr="0076248D" w:rsidR="5EB4BE24" w:rsidP="00E75F73" w:rsidRDefault="003B5D07" w14:paraId="50BF9A16" w14:textId="77777777">
      <w:pPr>
        <w:pStyle w:val="Standard"/>
      </w:pPr>
      <w:r>
        <w:t>GO </w:t>
      </w:r>
      <w:r w:rsidRPr="0076248D" w:rsidR="5EB4BE24">
        <w:t>131-D</w:t>
      </w:r>
      <w:r w:rsidR="00630DCA">
        <w:t>,</w:t>
      </w:r>
      <w:r w:rsidRPr="0076248D" w:rsidR="5EB4BE24">
        <w:t xml:space="preserve"> </w:t>
      </w:r>
      <w:r w:rsidR="00DC14AC">
        <w:t>Section </w:t>
      </w:r>
      <w:r w:rsidRPr="0076248D" w:rsidR="5EB4BE24">
        <w:t>III.B.1.f</w:t>
      </w:r>
      <w:r w:rsidR="00630DCA">
        <w:t>,</w:t>
      </w:r>
      <w:r w:rsidRPr="0076248D" w:rsidR="5EB4BE24">
        <w:t xml:space="preserve"> shall be modified as follows:</w:t>
      </w:r>
    </w:p>
    <w:p w:rsidR="5EB4BE24" w:rsidP="00E75F73" w:rsidRDefault="5EB4BE24" w14:paraId="618724CB" w14:textId="77777777">
      <w:pPr>
        <w:pStyle w:val="BlockQuote"/>
        <w:spacing w:after="180"/>
      </w:pPr>
      <w:r>
        <w:t xml:space="preserve">f. </w:t>
      </w:r>
      <w:r w:rsidRPr="00DD2501">
        <w:rPr>
          <w:u w:val="single"/>
        </w:rPr>
        <w:t>Power</w:t>
      </w:r>
      <w:r>
        <w:t xml:space="preserve"> lines</w:t>
      </w:r>
      <w:r w:rsidRPr="00FD066D">
        <w:rPr>
          <w:strike/>
        </w:rPr>
        <w:t xml:space="preserve"> </w:t>
      </w:r>
      <w:r w:rsidRPr="0076248D">
        <w:rPr>
          <w:strike/>
        </w:rPr>
        <w:t>o</w:t>
      </w:r>
      <w:r w:rsidRPr="00C5584A">
        <w:rPr>
          <w:strike/>
        </w:rPr>
        <w:t>r</w:t>
      </w:r>
      <w:r w:rsidRPr="00C5584A">
        <w:rPr>
          <w:u w:val="single"/>
        </w:rPr>
        <w:t>,</w:t>
      </w:r>
      <w:r>
        <w:t xml:space="preserve"> substations</w:t>
      </w:r>
      <w:r w:rsidRPr="4AADD61C">
        <w:rPr>
          <w:u w:val="single"/>
        </w:rPr>
        <w:t>, or switchyards</w:t>
      </w:r>
      <w:r>
        <w:t xml:space="preserve"> to be relocated or constructed which have undergone environmental review pursuant to CEQA as part of a larger project</w:t>
      </w:r>
      <w:r w:rsidRPr="00C53EE0">
        <w:rPr>
          <w:strike/>
        </w:rPr>
        <w:t xml:space="preserve">, </w:t>
      </w:r>
      <w:r w:rsidRPr="00C5584A">
        <w:rPr>
          <w:strike/>
        </w:rPr>
        <w:t>and for which the final CEQA document (Environmental Impact Report (EIR)</w:t>
      </w:r>
      <w:r w:rsidRPr="00C5584A" w:rsidR="5DFE7E2C">
        <w:rPr>
          <w:strike/>
        </w:rPr>
        <w:t xml:space="preserve"> </w:t>
      </w:r>
      <w:r w:rsidRPr="00C5584A">
        <w:rPr>
          <w:strike/>
        </w:rPr>
        <w:t>or Negative Declaration) finds no significant unavoidable environmental impacts caused by the proposed line or substation</w:t>
      </w:r>
    </w:p>
    <w:p w:rsidR="00A02F28" w:rsidP="00804F6F" w:rsidRDefault="290A272B" w14:paraId="189B61AE" w14:textId="77777777">
      <w:pPr>
        <w:pStyle w:val="Heading2"/>
      </w:pPr>
      <w:bookmarkStart w:name="_Toc189738514" w:id="164"/>
      <w:r>
        <w:lastRenderedPageBreak/>
        <w:t>PTC Exemption “</w:t>
      </w:r>
      <w:r w:rsidR="3E2B5011">
        <w:t>g</w:t>
      </w:r>
      <w:r>
        <w:t>”</w:t>
      </w:r>
      <w:r w:rsidR="69CB175A">
        <w:t xml:space="preserve"> Clarification</w:t>
      </w:r>
      <w:bookmarkEnd w:id="164"/>
    </w:p>
    <w:p w:rsidR="00131F32" w:rsidP="000639FD" w:rsidRDefault="6921A82A" w14:paraId="1BFF1333" w14:textId="77777777">
      <w:pPr>
        <w:pStyle w:val="Standard"/>
      </w:pPr>
      <w:r>
        <w:t xml:space="preserve">As discussed below, we adopt the </w:t>
      </w:r>
      <w:r w:rsidR="1FC7C319">
        <w:t>PG&amp;E, SCE, and SDG&amp;E’s</w:t>
      </w:r>
      <w:r>
        <w:t xml:space="preserve"> proposed revisions to Staff Proposal </w:t>
      </w:r>
      <w:r w:rsidR="00DC14AC">
        <w:t>Section </w:t>
      </w:r>
      <w:r w:rsidR="7340ADA9">
        <w:t xml:space="preserve">3.1, Proposal </w:t>
      </w:r>
      <w:r>
        <w:t xml:space="preserve">5, Option 1 </w:t>
      </w:r>
      <w:r w:rsidR="5B2C6D32">
        <w:t xml:space="preserve">for PTC </w:t>
      </w:r>
      <w:r w:rsidR="307B4CED">
        <w:t>e</w:t>
      </w:r>
      <w:r w:rsidR="5B2C6D32">
        <w:t>x</w:t>
      </w:r>
      <w:r w:rsidR="627F9851">
        <w:t>emption “g”</w:t>
      </w:r>
      <w:r w:rsidR="4624B67D">
        <w:t>, as modified,</w:t>
      </w:r>
      <w:r w:rsidR="627F9851">
        <w:t xml:space="preserve"> </w:t>
      </w:r>
      <w:r>
        <w:t>which</w:t>
      </w:r>
      <w:r w:rsidR="627F9851">
        <w:t xml:space="preserve"> would</w:t>
      </w:r>
      <w:r>
        <w:t xml:space="preserve"> bifurcate the “containing existing power line facilities or substations” requirement by property right type to address Cal Advocates’ suggestions regarding the use of disturbed lands</w:t>
      </w:r>
      <w:r w:rsidR="70E6E914">
        <w:t xml:space="preserve">; and we also adopt PG&amp;E, SCE, and SDG&amp;E’s proposed revisions to </w:t>
      </w:r>
      <w:r w:rsidR="00FB6C8A">
        <w:t xml:space="preserve">Staff Proposal Section 3.1, </w:t>
      </w:r>
      <w:r w:rsidR="70E6E914">
        <w:t xml:space="preserve"> Proposal 5, Option 2</w:t>
      </w:r>
      <w:r w:rsidR="5A2714D7">
        <w:t xml:space="preserve">. </w:t>
      </w:r>
      <w:r w:rsidR="0F9E00BF">
        <w:t>These revisio</w:t>
      </w:r>
      <w:r w:rsidR="39724372">
        <w:t xml:space="preserve">ns we adopt </w:t>
      </w:r>
      <w:r w:rsidR="40F66BA9">
        <w:t>would</w:t>
      </w:r>
      <w:r w:rsidR="042ADC6A">
        <w:t xml:space="preserve"> expand exemption “g” to include ROW, fee-owned property, and “other property” if said property contains existing power line facilities or substations.</w:t>
      </w:r>
      <w:r w:rsidR="608D7962">
        <w:t xml:space="preserve"> We also adopt </w:t>
      </w:r>
      <w:r w:rsidR="4024BFA7">
        <w:t>revisions to exemption “g”</w:t>
      </w:r>
      <w:r w:rsidR="7A5E0CE0">
        <w:t xml:space="preserve"> to speci</w:t>
      </w:r>
      <w:r w:rsidR="63F7B238">
        <w:t>fy that where a proposed facility is located in a utility corridor designated, precisely mapped, and officially adopted pursuant to law by federal, state, or local agencies</w:t>
      </w:r>
      <w:r w:rsidR="0BC3686C">
        <w:t xml:space="preserve">, the exemption applies regardless of whether the final CEQA document </w:t>
      </w:r>
      <w:r w:rsidR="451827AC">
        <w:t xml:space="preserve">prepared by </w:t>
      </w:r>
      <w:r w:rsidR="3958B828">
        <w:t xml:space="preserve">the </w:t>
      </w:r>
      <w:r w:rsidR="0BC3686C">
        <w:t>agency adopting the utility corridor found significant unavoida</w:t>
      </w:r>
      <w:r w:rsidR="526933A3">
        <w:t>b</w:t>
      </w:r>
      <w:r w:rsidR="0BC3686C">
        <w:t>le impacts.</w:t>
      </w:r>
      <w:r w:rsidR="00FE7C4C">
        <w:t xml:space="preserve"> </w:t>
      </w:r>
    </w:p>
    <w:p w:rsidR="00131F32" w:rsidP="007D30AC" w:rsidRDefault="003B5D07" w14:paraId="23904DD7" w14:textId="77777777">
      <w:pPr>
        <w:pStyle w:val="BlockQuote"/>
        <w:spacing w:after="0" w:line="360" w:lineRule="auto"/>
        <w:ind w:left="0" w:right="0" w:firstLine="720"/>
      </w:pPr>
      <w:r>
        <w:t>GO </w:t>
      </w:r>
      <w:r w:rsidRPr="0087067B" w:rsidR="0087067B">
        <w:t>131-D</w:t>
      </w:r>
      <w:r w:rsidR="00630DCA">
        <w:t>,</w:t>
      </w:r>
      <w:r w:rsidRPr="0087067B" w:rsidR="0087067B">
        <w:t xml:space="preserve"> </w:t>
      </w:r>
      <w:r w:rsidR="00DC14AC">
        <w:t>Section </w:t>
      </w:r>
      <w:r w:rsidRPr="0087067B" w:rsidR="0087067B">
        <w:t>III.B.1.g</w:t>
      </w:r>
      <w:r w:rsidR="00630DCA">
        <w:t>,</w:t>
      </w:r>
      <w:r w:rsidR="00677426">
        <w:t xml:space="preserve"> </w:t>
      </w:r>
      <w:r w:rsidRPr="0087067B" w:rsidR="0087067B">
        <w:t>(exemption “g”)</w:t>
      </w:r>
      <w:r w:rsidR="00715D8C">
        <w:t xml:space="preserve"> </w:t>
      </w:r>
      <w:r w:rsidRPr="0087067B" w:rsidR="0087067B">
        <w:t>exempts from the PTC requirement “power line facilities or substations to be located in an existing franchise, road-widening setback easement, or public utility easement; or in a utility corridor designated, precisely mapped and officially adopted pursuant to law by federal, state, or local agencies</w:t>
      </w:r>
      <w:r w:rsidR="00AF7A5D">
        <w:t xml:space="preserve"> for which a final Negative Declaration or EIR finds no significant unavoidable environmental impacts.”</w:t>
      </w:r>
    </w:p>
    <w:p w:rsidR="00D52131" w:rsidP="000639FD" w:rsidRDefault="00944022" w14:paraId="7207016D" w14:textId="77777777">
      <w:pPr>
        <w:pStyle w:val="Standard"/>
      </w:pPr>
      <w:r>
        <w:t>D.</w:t>
      </w:r>
      <w:r w:rsidRPr="0087067B">
        <w:t>97-03-058</w:t>
      </w:r>
      <w:r>
        <w:t xml:space="preserve"> specified that the </w:t>
      </w:r>
      <w:r w:rsidR="00715D8C">
        <w:t>s</w:t>
      </w:r>
      <w:r w:rsidRPr="0087067B" w:rsidR="00E06C13">
        <w:t xml:space="preserve">emicolon, followed by the word “or” </w:t>
      </w:r>
      <w:r>
        <w:t>in</w:t>
      </w:r>
      <w:r w:rsidR="00715D8C">
        <w:t xml:space="preserve"> exemption “g” </w:t>
      </w:r>
      <w:r w:rsidR="00624276">
        <w:t xml:space="preserve">created two </w:t>
      </w:r>
      <w:r w:rsidR="001C039E">
        <w:t>clauses</w:t>
      </w:r>
      <w:r w:rsidR="00624276">
        <w:t xml:space="preserve"> for</w:t>
      </w:r>
      <w:r w:rsidRPr="0087067B" w:rsidR="00E06C13">
        <w:t xml:space="preserve"> </w:t>
      </w:r>
      <w:r w:rsidR="00624276">
        <w:t xml:space="preserve">projects that propose to locate </w:t>
      </w:r>
      <w:r w:rsidR="00715D8C">
        <w:t xml:space="preserve">power line facilities and substations </w:t>
      </w:r>
      <w:r>
        <w:t xml:space="preserve">either in </w:t>
      </w:r>
      <w:r w:rsidR="00624276">
        <w:t xml:space="preserve">(1) </w:t>
      </w:r>
      <w:r>
        <w:t xml:space="preserve">an existing franchise or </w:t>
      </w:r>
      <w:r w:rsidR="00715D8C">
        <w:t>defined easements</w:t>
      </w:r>
      <w:r w:rsidR="001C039E">
        <w:t xml:space="preserve"> </w:t>
      </w:r>
      <w:r w:rsidR="001C039E">
        <w:lastRenderedPageBreak/>
        <w:t>(Clause 1),</w:t>
      </w:r>
      <w:r>
        <w:t xml:space="preserve"> </w:t>
      </w:r>
      <w:r w:rsidR="00715D8C">
        <w:t xml:space="preserve">or </w:t>
      </w:r>
      <w:r w:rsidR="00624276">
        <w:t xml:space="preserve">(2) </w:t>
      </w:r>
      <w:r>
        <w:t xml:space="preserve">in </w:t>
      </w:r>
      <w:r w:rsidR="00715D8C">
        <w:t>utility corridor</w:t>
      </w:r>
      <w:r>
        <w:t xml:space="preserve">s, contingent upon </w:t>
      </w:r>
      <w:r w:rsidR="00715D8C">
        <w:t>meeting specific criteria</w:t>
      </w:r>
      <w:r w:rsidR="009F732D">
        <w:t xml:space="preserve"> (Clause 2)</w:t>
      </w:r>
      <w:r w:rsidR="00715D8C">
        <w:t xml:space="preserve">, </w:t>
      </w:r>
      <w:r w:rsidR="00624276">
        <w:t>to claim a PTC exemption</w:t>
      </w:r>
      <w:r w:rsidR="00715D8C">
        <w:t>.</w:t>
      </w:r>
      <w:r w:rsidR="0014272B">
        <w:rPr>
          <w:rStyle w:val="FootnoteReference"/>
        </w:rPr>
        <w:footnoteReference w:id="184"/>
      </w:r>
      <w:r w:rsidR="009C0E72">
        <w:t xml:space="preserve"> </w:t>
      </w:r>
      <w:r w:rsidR="00DE4193">
        <w:t xml:space="preserve"> </w:t>
      </w:r>
    </w:p>
    <w:p w:rsidR="00383743" w:rsidP="00D52131" w:rsidRDefault="009C0E72" w14:paraId="11CEA803" w14:textId="77777777">
      <w:pPr>
        <w:pStyle w:val="Standard"/>
        <w:ind w:firstLine="630"/>
      </w:pPr>
      <w:r>
        <w:t>The</w:t>
      </w:r>
      <w:r w:rsidRPr="0087067B" w:rsidR="0087067B">
        <w:t xml:space="preserve"> Commission</w:t>
      </w:r>
      <w:r w:rsidR="00F6234E">
        <w:t xml:space="preserve"> has</w:t>
      </w:r>
      <w:r>
        <w:t xml:space="preserve"> </w:t>
      </w:r>
      <w:r w:rsidRPr="0087067B" w:rsidR="0087067B">
        <w:t>interpret</w:t>
      </w:r>
      <w:r w:rsidR="00F6234E">
        <w:t>ed</w:t>
      </w:r>
      <w:r w:rsidRPr="0087067B" w:rsidR="0087067B">
        <w:t xml:space="preserve"> </w:t>
      </w:r>
      <w:r w:rsidR="007849C7">
        <w:t xml:space="preserve">that </w:t>
      </w:r>
      <w:r w:rsidR="001C039E">
        <w:t>Clause 1 in exemption “g”</w:t>
      </w:r>
      <w:r w:rsidRPr="0087067B" w:rsidR="0087067B">
        <w:t xml:space="preserve"> appl</w:t>
      </w:r>
      <w:r w:rsidR="007849C7">
        <w:t>ies</w:t>
      </w:r>
      <w:r w:rsidRPr="0087067B" w:rsidR="0087067B">
        <w:t xml:space="preserve"> narrowly </w:t>
      </w:r>
      <w:r w:rsidR="00F6234E">
        <w:t xml:space="preserve">to the location of </w:t>
      </w:r>
      <w:r w:rsidRPr="0087067B" w:rsidR="0087067B">
        <w:t xml:space="preserve">power lines or substations </w:t>
      </w:r>
      <w:r w:rsidR="00F6234E">
        <w:t xml:space="preserve">on </w:t>
      </w:r>
      <w:r w:rsidRPr="0087067B" w:rsidR="0087067B">
        <w:t>existing franchises, road-widening setback easements</w:t>
      </w:r>
      <w:r w:rsidR="007849C7">
        <w:t>,</w:t>
      </w:r>
      <w:r w:rsidR="00F6234E">
        <w:t xml:space="preserve"> or</w:t>
      </w:r>
      <w:r w:rsidRPr="0087067B" w:rsidR="0087067B">
        <w:t xml:space="preserve"> public utility easements.</w:t>
      </w:r>
      <w:r w:rsidR="00E5718C">
        <w:rPr>
          <w:rStyle w:val="FootnoteReference"/>
        </w:rPr>
        <w:footnoteReference w:id="185"/>
      </w:r>
      <w:r w:rsidR="00F6234E">
        <w:t xml:space="preserve"> </w:t>
      </w:r>
      <w:r w:rsidRPr="00161F56" w:rsidR="00583989">
        <w:t>PG</w:t>
      </w:r>
      <w:r w:rsidRPr="0087067B" w:rsidR="00583989">
        <w:t>&amp;E, SCE, and SDG&amp;E</w:t>
      </w:r>
      <w:r w:rsidR="00583989">
        <w:t xml:space="preserve"> </w:t>
      </w:r>
      <w:r w:rsidRPr="00A648E3" w:rsidR="00A648E3">
        <w:t xml:space="preserve">recommend </w:t>
      </w:r>
      <w:r w:rsidR="00A648E3">
        <w:t>r</w:t>
      </w:r>
      <w:r w:rsidRPr="00A648E3" w:rsidR="00A648E3">
        <w:t>evisions to</w:t>
      </w:r>
      <w:r w:rsidR="00A648E3">
        <w:t xml:space="preserve"> </w:t>
      </w:r>
      <w:r w:rsidRPr="0000753B" w:rsidR="000B428A">
        <w:t xml:space="preserve">Staff Proposal </w:t>
      </w:r>
      <w:r w:rsidR="00DC14AC">
        <w:t>Section </w:t>
      </w:r>
      <w:r w:rsidR="000B428A">
        <w:t xml:space="preserve">3.1, Proposal </w:t>
      </w:r>
      <w:r w:rsidRPr="0000753B" w:rsidR="000B428A">
        <w:t>5,</w:t>
      </w:r>
      <w:r w:rsidR="00A648E3">
        <w:t xml:space="preserve"> Option 2 </w:t>
      </w:r>
      <w:r w:rsidR="00EB2806">
        <w:t xml:space="preserve">such that </w:t>
      </w:r>
      <w:r w:rsidR="00690EFA">
        <w:t xml:space="preserve">exemption “g” applies to proposed </w:t>
      </w:r>
      <w:r w:rsidRPr="00A648E3" w:rsidR="00A648E3">
        <w:t xml:space="preserve">power line facilities or substations </w:t>
      </w:r>
      <w:r w:rsidR="003426E5">
        <w:t xml:space="preserve">located in </w:t>
      </w:r>
      <w:r w:rsidRPr="00161F56" w:rsidR="00A648E3">
        <w:t>an existing ROW containing</w:t>
      </w:r>
      <w:r w:rsidRPr="00A648E3" w:rsidR="00A648E3">
        <w:t xml:space="preserve"> existing power line facilities or substations</w:t>
      </w:r>
      <w:r w:rsidRPr="00AD2306" w:rsidR="00A648E3">
        <w:t xml:space="preserve">, </w:t>
      </w:r>
      <w:r w:rsidRPr="00A648E3" w:rsidR="00A648E3">
        <w:rPr>
          <w:u w:val="single"/>
        </w:rPr>
        <w:t>on utility fee-owned property, or property on which a public utility has a legal right to operate</w:t>
      </w:r>
      <w:r w:rsidR="003426E5">
        <w:t>.</w:t>
      </w:r>
      <w:r w:rsidR="007D78DF">
        <w:rPr>
          <w:rStyle w:val="FootnoteReference"/>
        </w:rPr>
        <w:footnoteReference w:id="186"/>
      </w:r>
    </w:p>
    <w:p w:rsidR="00B132D4" w:rsidP="00B132D4" w:rsidRDefault="00B132D4" w14:paraId="401046D8" w14:textId="77777777">
      <w:pPr>
        <w:pStyle w:val="Standard"/>
      </w:pPr>
      <w:r w:rsidRPr="00ED5443">
        <w:t xml:space="preserve">In the Settlement Agreement, Settling Parties propose that </w:t>
      </w:r>
      <w:r>
        <w:t xml:space="preserve">Clause </w:t>
      </w:r>
      <w:r w:rsidR="000C5A21">
        <w:t xml:space="preserve">1 </w:t>
      </w:r>
      <w:r>
        <w:t xml:space="preserve">in exemption “g” </w:t>
      </w:r>
      <w:r w:rsidRPr="00ED5443">
        <w:t xml:space="preserve">should </w:t>
      </w:r>
      <w:r w:rsidR="000C5A21">
        <w:t>apply to proposed projects that</w:t>
      </w:r>
      <w:r w:rsidRPr="00ED5443">
        <w:t xml:space="preserve"> locat</w:t>
      </w:r>
      <w:r w:rsidR="000C5A21">
        <w:t>e</w:t>
      </w:r>
      <w:r w:rsidRPr="00ED5443">
        <w:t xml:space="preserve"> power line facilities or substations in an existing </w:t>
      </w:r>
      <w:r w:rsidR="00B00DC7">
        <w:t xml:space="preserve">public </w:t>
      </w:r>
      <w:r w:rsidRPr="00ED5443">
        <w:t>“right-of-way (ROW)”</w:t>
      </w:r>
      <w:r w:rsidR="00B00DC7">
        <w:t xml:space="preserve"> or easement</w:t>
      </w:r>
      <w:r w:rsidRPr="00ED5443">
        <w:t xml:space="preserve">, and that </w:t>
      </w:r>
      <w:r>
        <w:t xml:space="preserve">Clause 2 in </w:t>
      </w:r>
      <w:r w:rsidR="000C5A21">
        <w:t xml:space="preserve">exemption </w:t>
      </w:r>
      <w:r w:rsidRPr="00ED5443">
        <w:t xml:space="preserve">“g” </w:t>
      </w:r>
      <w:r w:rsidR="000C5A21">
        <w:t xml:space="preserve">should </w:t>
      </w:r>
      <w:r w:rsidRPr="00ED5443">
        <w:t>appl</w:t>
      </w:r>
      <w:r w:rsidR="000C5A21">
        <w:t>y</w:t>
      </w:r>
      <w:r w:rsidRPr="00ED5443">
        <w:t xml:space="preserve"> to pr</w:t>
      </w:r>
      <w:r w:rsidR="000C5A21">
        <w:t>oposed projects that</w:t>
      </w:r>
      <w:r w:rsidRPr="00ED5443">
        <w:t xml:space="preserve"> locate “power line facilities or substations” in a utility corridor.</w:t>
      </w:r>
      <w:r>
        <w:rPr>
          <w:rStyle w:val="FootnoteReference"/>
        </w:rPr>
        <w:footnoteReference w:id="187"/>
      </w:r>
      <w:r w:rsidR="002675B3">
        <w:t xml:space="preserve"> The Settlement Agreement states that most utility ROW is pursuant to an easement, but it is the fact that it is </w:t>
      </w:r>
      <w:r w:rsidRPr="00486AD1" w:rsidR="002675B3">
        <w:t xml:space="preserve">a utility </w:t>
      </w:r>
      <w:r w:rsidRPr="00486AD1" w:rsidR="00C87C77">
        <w:t>ROW</w:t>
      </w:r>
      <w:r w:rsidRPr="00486AD1" w:rsidR="002675B3">
        <w:t xml:space="preserve"> that</w:t>
      </w:r>
      <w:r w:rsidR="002675B3">
        <w:t xml:space="preserve"> is important, not the legal instrument creating the ROW.  </w:t>
      </w:r>
    </w:p>
    <w:p w:rsidR="00584ABB" w:rsidP="00B132D4" w:rsidRDefault="7D85E552" w14:paraId="4B7A9872" w14:textId="77777777">
      <w:pPr>
        <w:pStyle w:val="Standard"/>
      </w:pPr>
      <w:r>
        <w:t xml:space="preserve">To support their amendment to Clause 1, the </w:t>
      </w:r>
      <w:r w:rsidR="1AD5A6F7">
        <w:t>Settling Parties</w:t>
      </w:r>
      <w:r>
        <w:t xml:space="preserve"> contend that </w:t>
      </w:r>
      <w:r w:rsidR="1AD5A6F7">
        <w:t>new facilities constructed in a utility’s ROW are less likely to lead to significant impacts compared t</w:t>
      </w:r>
      <w:r>
        <w:t>o construction in</w:t>
      </w:r>
      <w:r w:rsidR="1AD5A6F7">
        <w:t xml:space="preserve"> non-utility areas.</w:t>
      </w:r>
      <w:r>
        <w:t xml:space="preserve"> With respect to Clause 2, the Settling Parties propose to add </w:t>
      </w:r>
      <w:r w:rsidR="00486AD1">
        <w:t>“</w:t>
      </w:r>
      <w:r>
        <w:t xml:space="preserve">power line facilities or </w:t>
      </w:r>
      <w:r w:rsidRPr="004419B3" w:rsidR="004419B3">
        <w:t>substations</w:t>
      </w:r>
      <w:r w:rsidR="00486AD1">
        <w:t>”</w:t>
      </w:r>
      <w:r>
        <w:t xml:space="preserve"> to clarify that these facilities may qualify for an exemption in utility corridors.</w:t>
      </w:r>
    </w:p>
    <w:p w:rsidR="00AA7FEA" w:rsidP="00AA7FEA" w:rsidRDefault="00242381" w14:paraId="39372E4C" w14:textId="77777777">
      <w:pPr>
        <w:pStyle w:val="Standard"/>
      </w:pPr>
      <w:r w:rsidRPr="0000753B">
        <w:lastRenderedPageBreak/>
        <w:t xml:space="preserve">Staff Proposal </w:t>
      </w:r>
      <w:r>
        <w:t xml:space="preserve">Section 3.1, </w:t>
      </w:r>
      <w:r w:rsidR="00A02F28">
        <w:t xml:space="preserve">Staff </w:t>
      </w:r>
      <w:r w:rsidR="0014272B">
        <w:t xml:space="preserve">Proposal </w:t>
      </w:r>
      <w:r w:rsidR="005C3B67">
        <w:t>5 includes</w:t>
      </w:r>
      <w:r w:rsidR="007849C7">
        <w:t xml:space="preserve"> two options to clarify the applicability of exemption “g” as follows:</w:t>
      </w:r>
    </w:p>
    <w:p w:rsidR="00AA7FEA" w:rsidP="00E75F73" w:rsidRDefault="00AA7FEA" w14:paraId="14F7EE22" w14:textId="77777777">
      <w:pPr>
        <w:pStyle w:val="BlockQuote"/>
        <w:spacing w:after="180"/>
      </w:pPr>
      <w:r w:rsidRPr="00AA7FEA">
        <w:t>Option 1</w:t>
      </w:r>
      <w:r w:rsidR="001C039E">
        <w:t xml:space="preserve">: Amend </w:t>
      </w:r>
      <w:r w:rsidR="00B132D4">
        <w:t xml:space="preserve">Clause 1 </w:t>
      </w:r>
      <w:r w:rsidR="00B00DC7">
        <w:t>to reflect that</w:t>
      </w:r>
      <w:r w:rsidR="00B132D4">
        <w:t xml:space="preserve"> </w:t>
      </w:r>
      <w:r w:rsidR="00DC14AC">
        <w:t>Section </w:t>
      </w:r>
      <w:r w:rsidRPr="00AA7FEA">
        <w:t>III.B.1</w:t>
      </w:r>
      <w:r w:rsidR="00B132D4">
        <w:t>.g</w:t>
      </w:r>
      <w:r w:rsidRPr="00AA7FEA">
        <w:t xml:space="preserve"> </w:t>
      </w:r>
      <w:r w:rsidR="00B00DC7">
        <w:t xml:space="preserve">is applicable to </w:t>
      </w:r>
      <w:r w:rsidR="006E0512">
        <w:t xml:space="preserve">proposed </w:t>
      </w:r>
      <w:r w:rsidR="00B132D4">
        <w:t xml:space="preserve">projects </w:t>
      </w:r>
      <w:r w:rsidR="006E0512">
        <w:t xml:space="preserve">that </w:t>
      </w:r>
      <w:r w:rsidR="00B132D4">
        <w:t>locate</w:t>
      </w:r>
      <w:r w:rsidR="00CD01C8">
        <w:t xml:space="preserve"> </w:t>
      </w:r>
      <w:r w:rsidRPr="001C039E" w:rsidR="001C039E">
        <w:t>power line facilities or substations in an existing ROW</w:t>
      </w:r>
      <w:r w:rsidR="00B132D4">
        <w:t xml:space="preserve"> </w:t>
      </w:r>
      <w:r w:rsidRPr="001C039E" w:rsidR="001C039E">
        <w:t>containing existing power line facilities or substations</w:t>
      </w:r>
      <w:r w:rsidR="00B132D4">
        <w:t>.</w:t>
      </w:r>
      <w:r w:rsidR="00CD01C8">
        <w:t xml:space="preserve"> Amend </w:t>
      </w:r>
      <w:r w:rsidR="00B132D4">
        <w:t xml:space="preserve">Clause 2 </w:t>
      </w:r>
      <w:r w:rsidR="00B00DC7">
        <w:t>to reflect that</w:t>
      </w:r>
      <w:r w:rsidR="00B132D4">
        <w:t xml:space="preserve"> </w:t>
      </w:r>
      <w:r w:rsidR="00DC14AC">
        <w:t>Section </w:t>
      </w:r>
      <w:r w:rsidRPr="00AA7FEA" w:rsidR="00B132D4">
        <w:t>III.B.1</w:t>
      </w:r>
      <w:r w:rsidR="00B132D4">
        <w:t>.g</w:t>
      </w:r>
      <w:r w:rsidRPr="00AA7FEA" w:rsidR="00B132D4">
        <w:t xml:space="preserve"> </w:t>
      </w:r>
      <w:r w:rsidR="008F1A3D">
        <w:t xml:space="preserve">is applicable to </w:t>
      </w:r>
      <w:r w:rsidR="006E0512">
        <w:t xml:space="preserve">proposed projects that locate </w:t>
      </w:r>
      <w:r w:rsidRPr="001C039E" w:rsidR="001C039E">
        <w:t>power</w:t>
      </w:r>
      <w:r w:rsidR="006E0512">
        <w:t xml:space="preserve"> facilities</w:t>
      </w:r>
      <w:r w:rsidRPr="001C039E" w:rsidR="001C039E">
        <w:t xml:space="preserve"> line</w:t>
      </w:r>
      <w:r w:rsidR="006E0512">
        <w:t>s</w:t>
      </w:r>
      <w:r w:rsidRPr="001C039E" w:rsidR="001C039E">
        <w:t xml:space="preserve"> or substation</w:t>
      </w:r>
      <w:r w:rsidR="006E0512">
        <w:t>s</w:t>
      </w:r>
      <w:r w:rsidRPr="001C039E" w:rsidR="001C039E">
        <w:t xml:space="preserve"> in a government-adopted utility corridor </w:t>
      </w:r>
      <w:r w:rsidRPr="009F5FDF" w:rsidR="001C039E">
        <w:t>where a prior CEQA document found no significant unavoidable impacts</w:t>
      </w:r>
      <w:r w:rsidRPr="009F5FDF" w:rsidR="003F53CB">
        <w:t>; and</w:t>
      </w:r>
    </w:p>
    <w:p w:rsidR="00DE4193" w:rsidP="00E75F73" w:rsidRDefault="00AA7FEA" w14:paraId="06773DA3" w14:textId="77777777">
      <w:pPr>
        <w:pStyle w:val="BlockQuote"/>
        <w:spacing w:after="180"/>
      </w:pPr>
      <w:r w:rsidRPr="00AA7FEA">
        <w:t xml:space="preserve">Option 2: </w:t>
      </w:r>
      <w:r w:rsidR="006E0512">
        <w:t>Amend</w:t>
      </w:r>
      <w:r w:rsidRPr="00AA7FEA">
        <w:t xml:space="preserve"> </w:t>
      </w:r>
      <w:r w:rsidR="00B00DC7">
        <w:t>Clause 1</w:t>
      </w:r>
      <w:r w:rsidR="008F1A3D">
        <w:t>, as proposed by the Settling Parties,</w:t>
      </w:r>
      <w:r w:rsidR="00B00DC7">
        <w:t xml:space="preserve"> </w:t>
      </w:r>
      <w:r w:rsidR="008F1A3D">
        <w:t>to reflect that</w:t>
      </w:r>
      <w:r w:rsidR="00B00DC7">
        <w:t xml:space="preserve"> </w:t>
      </w:r>
      <w:r w:rsidR="00DC14AC">
        <w:t>Section </w:t>
      </w:r>
      <w:r w:rsidRPr="00AA7FEA">
        <w:t xml:space="preserve">III.B.1.g </w:t>
      </w:r>
      <w:r w:rsidR="008F1A3D">
        <w:t xml:space="preserve">is applicable to </w:t>
      </w:r>
      <w:r w:rsidR="00B00DC7">
        <w:t xml:space="preserve">proposed projects that locate </w:t>
      </w:r>
      <w:r w:rsidRPr="00AA7FEA">
        <w:t>power line facilities or substations in an existing public ROW or easement</w:t>
      </w:r>
      <w:r w:rsidR="00B00DC7">
        <w:t>. Amend</w:t>
      </w:r>
      <w:r w:rsidRPr="00AA7FEA" w:rsidR="00B00DC7">
        <w:t xml:space="preserve"> </w:t>
      </w:r>
      <w:r w:rsidR="00B00DC7">
        <w:t xml:space="preserve">Clause 2 in </w:t>
      </w:r>
      <w:r w:rsidR="00DC14AC">
        <w:t>Section </w:t>
      </w:r>
      <w:r w:rsidRPr="00AA7FEA" w:rsidR="00B00DC7">
        <w:t>III.B.1.g</w:t>
      </w:r>
      <w:r w:rsidR="008F1A3D">
        <w:t>,</w:t>
      </w:r>
      <w:r w:rsidRPr="00AA7FEA" w:rsidR="00B00DC7">
        <w:t xml:space="preserve"> as proposed by </w:t>
      </w:r>
      <w:r w:rsidR="00B00DC7">
        <w:t>S</w:t>
      </w:r>
      <w:r w:rsidRPr="00AA7FEA" w:rsidR="00B00DC7">
        <w:t xml:space="preserve">ettling </w:t>
      </w:r>
      <w:r w:rsidR="00B00DC7">
        <w:t>P</w:t>
      </w:r>
      <w:r w:rsidRPr="00AA7FEA" w:rsidR="00B00DC7">
        <w:t>arties</w:t>
      </w:r>
      <w:r w:rsidR="008F1A3D">
        <w:t>,</w:t>
      </w:r>
      <w:r w:rsidRPr="00AA7FEA" w:rsidR="00B00DC7">
        <w:t xml:space="preserve"> to </w:t>
      </w:r>
      <w:r w:rsidR="008F1A3D">
        <w:t xml:space="preserve">reflect </w:t>
      </w:r>
      <w:r w:rsidRPr="00AA7FEA" w:rsidR="00B00DC7">
        <w:t>tha</w:t>
      </w:r>
      <w:r w:rsidR="00B00DC7">
        <w:t xml:space="preserve">t proposed projects that locate </w:t>
      </w:r>
      <w:r w:rsidRPr="00AA7FEA" w:rsidR="00B00DC7">
        <w:t>power line facilities or substations in an existing public ROW or easement</w:t>
      </w:r>
      <w:r w:rsidR="00B00DC7">
        <w:t>.</w:t>
      </w:r>
    </w:p>
    <w:p w:rsidRPr="00DE4193" w:rsidR="008F1A3D" w:rsidP="000C5A21" w:rsidRDefault="008F1A3D" w14:paraId="27843AEE" w14:textId="77777777">
      <w:pPr>
        <w:pStyle w:val="Standard"/>
      </w:pPr>
      <w:r w:rsidRPr="008F1A3D">
        <w:t>Staff recommend</w:t>
      </w:r>
      <w:r>
        <w:t>s adoption of</w:t>
      </w:r>
      <w:r w:rsidRPr="008F1A3D">
        <w:t xml:space="preserve"> </w:t>
      </w:r>
      <w:r w:rsidRPr="0000753B" w:rsidR="00AD7C27">
        <w:t xml:space="preserve">Staff Proposal </w:t>
      </w:r>
      <w:r w:rsidR="00DC14AC">
        <w:t>Section </w:t>
      </w:r>
      <w:r w:rsidR="00AD7C27">
        <w:t xml:space="preserve">3.1, Proposal </w:t>
      </w:r>
      <w:r w:rsidRPr="0000753B" w:rsidR="00AD7C27">
        <w:t>5,</w:t>
      </w:r>
      <w:r w:rsidRPr="008F1A3D">
        <w:t xml:space="preserve"> Option 1</w:t>
      </w:r>
      <w:r w:rsidR="002032C4">
        <w:t xml:space="preserve">, </w:t>
      </w:r>
      <w:r w:rsidR="00651573">
        <w:t xml:space="preserve">because </w:t>
      </w:r>
      <w:r w:rsidR="00C70F28">
        <w:t xml:space="preserve">in </w:t>
      </w:r>
      <w:r w:rsidR="00651573">
        <w:t xml:space="preserve">the </w:t>
      </w:r>
      <w:r w:rsidRPr="001B4972" w:rsidR="001B4972">
        <w:t>presence of an existing ROW, new facilities are less likely to lead to significant impacts in such locations compared to non</w:t>
      </w:r>
      <w:r w:rsidR="001B4972">
        <w:t>-</w:t>
      </w:r>
      <w:r w:rsidRPr="001B4972" w:rsidR="001B4972">
        <w:t>utility areas.</w:t>
      </w:r>
    </w:p>
    <w:p w:rsidRPr="00A95CF0" w:rsidR="00A95CF0" w:rsidP="006A5C0C" w:rsidRDefault="00A95CF0" w14:paraId="16D59674" w14:textId="77777777">
      <w:pPr>
        <w:pStyle w:val="Standard"/>
      </w:pPr>
      <w:r w:rsidRPr="00A95CF0">
        <w:t xml:space="preserve">RCRC supports </w:t>
      </w:r>
      <w:r w:rsidR="00651573">
        <w:t>adoption of</w:t>
      </w:r>
      <w:r w:rsidRPr="00A95CF0">
        <w:t xml:space="preserve"> </w:t>
      </w:r>
      <w:r w:rsidRPr="0000753B" w:rsidR="00B15DBA">
        <w:t xml:space="preserve">Staff Proposal </w:t>
      </w:r>
      <w:r w:rsidR="00DC14AC">
        <w:t>Section </w:t>
      </w:r>
      <w:r w:rsidR="00B15DBA">
        <w:t xml:space="preserve">3.1, Proposal </w:t>
      </w:r>
      <w:r w:rsidRPr="0000753B" w:rsidR="00B15DBA">
        <w:t xml:space="preserve">5, </w:t>
      </w:r>
      <w:r w:rsidR="00651573">
        <w:t>Option</w:t>
      </w:r>
      <w:r w:rsidR="00E75F73">
        <w:t> </w:t>
      </w:r>
      <w:r w:rsidR="00651573">
        <w:t>1</w:t>
      </w:r>
      <w:r w:rsidRPr="00A95CF0">
        <w:t>.</w:t>
      </w:r>
      <w:r>
        <w:rPr>
          <w:rStyle w:val="FootnoteReference"/>
        </w:rPr>
        <w:footnoteReference w:id="188"/>
      </w:r>
      <w:r w:rsidRPr="00A95CF0">
        <w:t xml:space="preserve"> Cal Advocates supports </w:t>
      </w:r>
      <w:r w:rsidR="00651573">
        <w:t xml:space="preserve">adoption of </w:t>
      </w:r>
      <w:r w:rsidRPr="0000753B" w:rsidR="002D4C95">
        <w:t xml:space="preserve">Staff Proposal </w:t>
      </w:r>
      <w:r w:rsidR="00DC14AC">
        <w:t>Section </w:t>
      </w:r>
      <w:r w:rsidR="002D4C95">
        <w:t xml:space="preserve">3.1, Proposal </w:t>
      </w:r>
      <w:r w:rsidRPr="0000753B" w:rsidR="002D4C95">
        <w:t>5,</w:t>
      </w:r>
      <w:r w:rsidR="00651573">
        <w:t xml:space="preserve"> Option 1</w:t>
      </w:r>
      <w:r w:rsidR="00650385">
        <w:t xml:space="preserve"> with revisions. </w:t>
      </w:r>
      <w:r w:rsidRPr="000639FD" w:rsidR="00650385">
        <w:t xml:space="preserve">The revisions would add power lines or substations located in </w:t>
      </w:r>
      <w:r w:rsidRPr="000639FD" w:rsidR="003557A3">
        <w:t>areas that are</w:t>
      </w:r>
      <w:r w:rsidRPr="000639FD" w:rsidR="00E82CE0">
        <w:t xml:space="preserve"> disturbed or</w:t>
      </w:r>
      <w:r w:rsidRPr="000639FD" w:rsidR="003C0D8C">
        <w:t xml:space="preserve"> </w:t>
      </w:r>
      <w:r w:rsidRPr="000639FD" w:rsidR="00E82CE0">
        <w:t xml:space="preserve">connected with </w:t>
      </w:r>
      <w:r w:rsidRPr="000639FD" w:rsidR="003557A3">
        <w:t>approved broader</w:t>
      </w:r>
      <w:r w:rsidRPr="000639FD" w:rsidR="00E82CE0">
        <w:t xml:space="preserve"> actions that </w:t>
      </w:r>
      <w:r w:rsidRPr="000639FD" w:rsidR="003557A3">
        <w:t xml:space="preserve">are compliant </w:t>
      </w:r>
      <w:r w:rsidRPr="000639FD" w:rsidR="00E82CE0">
        <w:t>with CEQA</w:t>
      </w:r>
      <w:r w:rsidRPr="000639FD" w:rsidR="00650385">
        <w:t xml:space="preserve"> to Clause 1</w:t>
      </w:r>
      <w:r w:rsidRPr="000639FD">
        <w:t>.</w:t>
      </w:r>
      <w:r w:rsidRPr="000639FD">
        <w:rPr>
          <w:rStyle w:val="FootnoteReference"/>
        </w:rPr>
        <w:footnoteReference w:id="189"/>
      </w:r>
      <w:r w:rsidRPr="00A95CF0">
        <w:t xml:space="preserve"> </w:t>
      </w:r>
      <w:r w:rsidR="00650385">
        <w:t xml:space="preserve">Further, Cal Advocates proposes that the term </w:t>
      </w:r>
      <w:r w:rsidRPr="000639FD" w:rsidR="00650385">
        <w:t>“</w:t>
      </w:r>
      <w:r w:rsidRPr="00650385" w:rsidR="00650385">
        <w:t>existing”, in the context of exemption “g” sh</w:t>
      </w:r>
      <w:r w:rsidR="00071D94">
        <w:t>ould</w:t>
      </w:r>
      <w:r w:rsidRPr="00650385" w:rsidR="00650385">
        <w:t xml:space="preserve"> mean longstanding land rights that include disturbed lands upon which </w:t>
      </w:r>
      <w:r w:rsidRPr="00650385" w:rsidR="00650385">
        <w:lastRenderedPageBreak/>
        <w:t>utility infrastructure has been previously sited.</w:t>
      </w:r>
      <w:r w:rsidR="00650385">
        <w:rPr>
          <w:rStyle w:val="FootnoteReference"/>
        </w:rPr>
        <w:footnoteReference w:id="190"/>
      </w:r>
      <w:r w:rsidR="00650385">
        <w:t xml:space="preserve"> </w:t>
      </w:r>
      <w:r w:rsidRPr="00A95CF0">
        <w:t xml:space="preserve">The IOUs and other </w:t>
      </w:r>
      <w:r w:rsidR="003557A3">
        <w:t>parties</w:t>
      </w:r>
      <w:r w:rsidRPr="00A95CF0">
        <w:t xml:space="preserve"> (</w:t>
      </w:r>
      <w:r w:rsidRPr="00E14149">
        <w:rPr>
          <w:i/>
          <w:iCs/>
        </w:rPr>
        <w:t>e.g.</w:t>
      </w:r>
      <w:r w:rsidRPr="00A95CF0">
        <w:t xml:space="preserve">, LSPGC, IEP) </w:t>
      </w:r>
      <w:r w:rsidR="00650385">
        <w:t xml:space="preserve">also </w:t>
      </w:r>
      <w:r w:rsidRPr="00A95CF0">
        <w:t>support portions of</w:t>
      </w:r>
      <w:r w:rsidR="003557A3">
        <w:t xml:space="preserve"> </w:t>
      </w:r>
      <w:r w:rsidRPr="0000753B" w:rsidR="002D4C95">
        <w:t xml:space="preserve">Staff Proposal </w:t>
      </w:r>
      <w:r w:rsidR="00DC14AC">
        <w:t>Section </w:t>
      </w:r>
      <w:r w:rsidR="002D4C95">
        <w:t xml:space="preserve">3.1, Proposal </w:t>
      </w:r>
      <w:r w:rsidRPr="0000753B" w:rsidR="002D4C95">
        <w:t xml:space="preserve">5, </w:t>
      </w:r>
      <w:r w:rsidR="003557A3">
        <w:t>Option 1</w:t>
      </w:r>
      <w:r w:rsidRPr="00A95CF0">
        <w:t>, but recommend</w:t>
      </w:r>
      <w:r w:rsidR="00651573">
        <w:t xml:space="preserve"> adding “</w:t>
      </w:r>
      <w:r w:rsidRPr="00651573" w:rsidR="00651573">
        <w:t>utility fee-owned property, or property on which a public utility has a legal right to operate</w:t>
      </w:r>
      <w:r w:rsidR="00651573">
        <w:t>” to Clause 1</w:t>
      </w:r>
      <w:r w:rsidRPr="00A95CF0">
        <w:t>.</w:t>
      </w:r>
      <w:r w:rsidR="00B414A2">
        <w:rPr>
          <w:rStyle w:val="FootnoteReference"/>
        </w:rPr>
        <w:footnoteReference w:id="191"/>
      </w:r>
      <w:r w:rsidRPr="00A95CF0">
        <w:t xml:space="preserve"> </w:t>
      </w:r>
      <w:r w:rsidR="001524A1">
        <w:t xml:space="preserve">Transmission Owners </w:t>
      </w:r>
      <w:r w:rsidRPr="00A95CF0">
        <w:t xml:space="preserve"> oppose the staff-proposed </w:t>
      </w:r>
      <w:r w:rsidRPr="0000753B" w:rsidR="002D4C95">
        <w:t xml:space="preserve">Staff Proposal </w:t>
      </w:r>
      <w:r w:rsidR="00DC14AC">
        <w:t>Section </w:t>
      </w:r>
      <w:r w:rsidR="002D4C95">
        <w:t xml:space="preserve">3.1, Proposal </w:t>
      </w:r>
      <w:r w:rsidRPr="0000753B" w:rsidR="002D4C95">
        <w:t xml:space="preserve">5, </w:t>
      </w:r>
      <w:r w:rsidRPr="00A95CF0">
        <w:t xml:space="preserve">Option 1, and instead supports </w:t>
      </w:r>
      <w:r w:rsidRPr="0000753B" w:rsidR="002D4C95">
        <w:t xml:space="preserve">Staff Proposal </w:t>
      </w:r>
      <w:r w:rsidR="00DC14AC">
        <w:t>Section </w:t>
      </w:r>
      <w:r w:rsidR="002D4C95">
        <w:t xml:space="preserve">3.1, Proposal </w:t>
      </w:r>
      <w:r w:rsidRPr="0000753B" w:rsidR="002D4C95">
        <w:t xml:space="preserve">5, </w:t>
      </w:r>
      <w:r w:rsidRPr="00A95CF0">
        <w:t xml:space="preserve">Option 2, the </w:t>
      </w:r>
      <w:r>
        <w:t>S</w:t>
      </w:r>
      <w:r w:rsidRPr="00A95CF0">
        <w:t xml:space="preserve">ettling </w:t>
      </w:r>
      <w:r>
        <w:t>P</w:t>
      </w:r>
      <w:r w:rsidRPr="00A95CF0">
        <w:t>arties’ proposal. </w:t>
      </w:r>
      <w:r w:rsidRPr="00650385" w:rsidR="00650385">
        <w:t>LSPGC, IEP, and others</w:t>
      </w:r>
      <w:r w:rsidRPr="00650385" w:rsidR="00650385">
        <w:rPr>
          <w:b/>
          <w:bCs/>
        </w:rPr>
        <w:t xml:space="preserve"> </w:t>
      </w:r>
      <w:r w:rsidRPr="00650385" w:rsidR="00650385">
        <w:t>recommend striking “containing existing power line facilities or substations” from staff’s proposed version of exemption “g</w:t>
      </w:r>
      <w:r w:rsidR="00836459">
        <w:t>.</w:t>
      </w:r>
      <w:r w:rsidRPr="00650385" w:rsidR="00650385">
        <w:t>”</w:t>
      </w:r>
      <w:r w:rsidR="00650385">
        <w:rPr>
          <w:rStyle w:val="FootnoteReference"/>
        </w:rPr>
        <w:footnoteReference w:id="192"/>
      </w:r>
      <w:r w:rsidRPr="00650385" w:rsidR="00650385">
        <w:t> </w:t>
      </w:r>
    </w:p>
    <w:p w:rsidR="00DC0512" w:rsidP="006A5C0C" w:rsidRDefault="00DC0512" w14:paraId="1AF99963" w14:textId="77777777">
      <w:pPr>
        <w:pStyle w:val="Standard"/>
      </w:pPr>
      <w:r w:rsidRPr="00DC0512">
        <w:t xml:space="preserve">The existence of a franchise, road-widening setback easement, or public utility easement indicates local planning involvement in the designation of such property rights. However, fee-owned property (as a real estate transaction) and ROW or “other property on which a public utility has a legal right to operate” (as broader and less precise categories of property right) may not be subject to local land use planning to the same extent, and therefore development of those areas may be more likely to lead to significant impacts than would development in an existing franchise or easement. </w:t>
      </w:r>
    </w:p>
    <w:p w:rsidR="00DC0512" w:rsidP="006A5C0C" w:rsidRDefault="21554EE5" w14:paraId="747E3C1C" w14:textId="77777777">
      <w:pPr>
        <w:pStyle w:val="Standard"/>
      </w:pPr>
      <w:r>
        <w:t xml:space="preserve">Upon consideration of </w:t>
      </w:r>
      <w:r w:rsidR="00BA0DC5">
        <w:t>both o</w:t>
      </w:r>
      <w:r w:rsidR="00310F6E">
        <w:t>ptions in</w:t>
      </w:r>
      <w:r>
        <w:t xml:space="preserve"> Staff</w:t>
      </w:r>
      <w:r w:rsidRPr="0000753B" w:rsidR="00F46976">
        <w:t xml:space="preserve"> Proposal </w:t>
      </w:r>
      <w:r w:rsidR="00DC14AC">
        <w:t>Section </w:t>
      </w:r>
      <w:r w:rsidR="00F46976">
        <w:t>3.1,</w:t>
      </w:r>
      <w:r>
        <w:t xml:space="preserve"> Proposal</w:t>
      </w:r>
      <w:r w:rsidR="7289A70C">
        <w:t xml:space="preserve"> 5</w:t>
      </w:r>
      <w:r>
        <w:t xml:space="preserve"> and party comments</w:t>
      </w:r>
      <w:r w:rsidR="10E0FE6D">
        <w:t xml:space="preserve">, we adopt a modified version of the IOUs’ joint proposed revisions </w:t>
      </w:r>
      <w:r w:rsidR="36394D03">
        <w:t>to Staff</w:t>
      </w:r>
      <w:r w:rsidR="7289A70C">
        <w:t xml:space="preserve"> Proposal </w:t>
      </w:r>
      <w:r w:rsidR="00DC14AC">
        <w:t>Section </w:t>
      </w:r>
      <w:r w:rsidR="0064165C">
        <w:t xml:space="preserve">3.1, Proposal </w:t>
      </w:r>
      <w:r w:rsidRPr="0000753B" w:rsidR="0064165C">
        <w:t>5,</w:t>
      </w:r>
      <w:r w:rsidR="2FA8050A">
        <w:t xml:space="preserve"> Option 1 </w:t>
      </w:r>
      <w:r w:rsidR="10E0FE6D">
        <w:t xml:space="preserve">which bifurcates the “containing existing power line facilities or substations” requirement by property right type to address Cal Advocates’ suggestions regarding the use of disturbed lands. </w:t>
      </w:r>
      <w:r w:rsidR="00A40B62">
        <w:t>A</w:t>
      </w:r>
      <w:r w:rsidR="009D438D">
        <w:t>s such</w:t>
      </w:r>
      <w:r w:rsidR="00A40B62">
        <w:t xml:space="preserve">, the current PTC exemption “g” in </w:t>
      </w:r>
      <w:r w:rsidR="003B5D07">
        <w:t>GO </w:t>
      </w:r>
      <w:r w:rsidR="00A40B62">
        <w:t xml:space="preserve">131-D, as </w:t>
      </w:r>
      <w:r w:rsidR="00A40B62">
        <w:lastRenderedPageBreak/>
        <w:t xml:space="preserve">revised, would become PTC exemption “f” in </w:t>
      </w:r>
      <w:r w:rsidR="00DC14AC">
        <w:t>Section </w:t>
      </w:r>
      <w:r w:rsidR="00A40B62">
        <w:t xml:space="preserve">III.B.2.f in </w:t>
      </w:r>
      <w:r w:rsidR="003B5D07">
        <w:t>GO </w:t>
      </w:r>
      <w:r w:rsidR="00A40B62">
        <w:t>131-E.</w:t>
      </w:r>
      <w:r w:rsidR="00B10AF6">
        <w:t xml:space="preserve"> </w:t>
      </w:r>
      <w:r w:rsidR="00EE20FC">
        <w:t xml:space="preserve"> </w:t>
      </w:r>
      <w:r w:rsidR="00242381">
        <w:t>Therefore</w:t>
      </w:r>
      <w:r w:rsidRPr="005F4DF9" w:rsidR="00EE20FC">
        <w:t>, w</w:t>
      </w:r>
      <w:r w:rsidRPr="005F4DF9" w:rsidR="10E0FE6D">
        <w:t xml:space="preserve">e </w:t>
      </w:r>
      <w:r w:rsidRPr="005F4DF9" w:rsidR="00C02816">
        <w:t>reject</w:t>
      </w:r>
      <w:r w:rsidRPr="005F4DF9" w:rsidR="10E0FE6D">
        <w:t xml:space="preserve"> PG&amp;E’s proposal to add “transmission or” before “power line facilities</w:t>
      </w:r>
      <w:r w:rsidRPr="005F4DF9" w:rsidR="738C20E2">
        <w:t>.</w:t>
      </w:r>
      <w:r w:rsidRPr="005F4DF9" w:rsidR="10E0FE6D">
        <w:t>”</w:t>
      </w:r>
      <w:r w:rsidR="10E0FE6D">
        <w:t xml:space="preserve">  </w:t>
      </w:r>
    </w:p>
    <w:p w:rsidR="004566F4" w:rsidP="00AD2306" w:rsidRDefault="009D438D" w14:paraId="29D4F383" w14:textId="77777777">
      <w:pPr>
        <w:pStyle w:val="Standard"/>
        <w:keepNext/>
      </w:pPr>
      <w:r>
        <w:t xml:space="preserve">Accordingly, </w:t>
      </w:r>
      <w:r w:rsidRPr="0000753B">
        <w:t xml:space="preserve">Staff Proposal </w:t>
      </w:r>
      <w:r w:rsidR="00DC14AC">
        <w:t>Section </w:t>
      </w:r>
      <w:r>
        <w:t xml:space="preserve">3.1, Proposal </w:t>
      </w:r>
      <w:r w:rsidRPr="0000753B">
        <w:t xml:space="preserve">5, </w:t>
      </w:r>
      <w:r w:rsidRPr="00DC0512" w:rsidR="00DC0512">
        <w:t>Option 1 shall be modified as follows</w:t>
      </w:r>
      <w:r w:rsidR="00BC4169">
        <w:t xml:space="preserve"> to include a</w:t>
      </w:r>
      <w:r w:rsidR="00631496">
        <w:t xml:space="preserve"> third clause</w:t>
      </w:r>
      <w:r w:rsidR="00FC08F0">
        <w:t xml:space="preserve"> as underlined below</w:t>
      </w:r>
      <w:r w:rsidRPr="00DC0512" w:rsidR="00DC0512">
        <w:t xml:space="preserve">: </w:t>
      </w:r>
    </w:p>
    <w:p w:rsidR="004566F4" w:rsidP="00AD2306" w:rsidRDefault="7E4FA0D0" w14:paraId="698EAD72" w14:textId="77777777">
      <w:pPr>
        <w:pStyle w:val="BlockQuote"/>
      </w:pPr>
      <w:r>
        <w:t>P</w:t>
      </w:r>
      <w:r w:rsidR="2D3B5538">
        <w:t xml:space="preserve">ower line </w:t>
      </w:r>
      <w:r>
        <w:t>facilities ,</w:t>
      </w:r>
      <w:r w:rsidR="2D3B5538">
        <w:t xml:space="preserve"> substations</w:t>
      </w:r>
      <w:r>
        <w:t>, or switchyards</w:t>
      </w:r>
      <w:r w:rsidR="2D3B5538">
        <w:t xml:space="preserve"> to be located in an existing franchise, road-widening setback easement, or public utility easement; </w:t>
      </w:r>
      <w:r w:rsidRPr="009B25D6" w:rsidR="2D3B5538">
        <w:rPr>
          <w:b/>
        </w:rPr>
        <w:t>or</w:t>
      </w:r>
      <w:r w:rsidR="2D3B5538">
        <w:t xml:space="preserve"> </w:t>
      </w:r>
      <w:r w:rsidRPr="6AF01E14" w:rsidR="2D3B5538">
        <w:rPr>
          <w:u w:val="single"/>
        </w:rPr>
        <w:t xml:space="preserve">power line </w:t>
      </w:r>
      <w:r w:rsidRPr="6AF01E14">
        <w:rPr>
          <w:u w:val="single"/>
        </w:rPr>
        <w:t xml:space="preserve">facilities, </w:t>
      </w:r>
      <w:r w:rsidRPr="6AF01E14" w:rsidR="2D3B5538">
        <w:rPr>
          <w:u w:val="single"/>
        </w:rPr>
        <w:t>substations</w:t>
      </w:r>
      <w:r w:rsidRPr="6AF01E14">
        <w:rPr>
          <w:u w:val="single"/>
        </w:rPr>
        <w:t xml:space="preserve">, or switchyards </w:t>
      </w:r>
      <w:r w:rsidR="2D3B5538">
        <w:t>in an existing right-of-way (ROW)</w:t>
      </w:r>
      <w:r w:rsidRPr="6AF01E14" w:rsidR="2D3B5538">
        <w:rPr>
          <w:u w:val="single"/>
        </w:rPr>
        <w:t xml:space="preserve">, fee-owned property, or other property on which a public utility has a legal right to operate </w:t>
      </w:r>
      <w:r w:rsidR="2D3B5538">
        <w:t>existing power line facilities</w:t>
      </w:r>
      <w:r>
        <w:t>,</w:t>
      </w:r>
      <w:r w:rsidDel="2C106AEB" w:rsidR="5ECDBB60">
        <w:t xml:space="preserve"> </w:t>
      </w:r>
      <w:r w:rsidR="00631496">
        <w:t>s</w:t>
      </w:r>
      <w:r w:rsidRPr="00DC0512" w:rsidR="00DC0512">
        <w:t>ubstations</w:t>
      </w:r>
      <w:r>
        <w:t>, or switchyards</w:t>
      </w:r>
      <w:r w:rsidR="2D3B5538">
        <w:t xml:space="preserve">; </w:t>
      </w:r>
      <w:r w:rsidRPr="009B25D6" w:rsidR="2D3B5538">
        <w:rPr>
          <w:b/>
        </w:rPr>
        <w:t>or</w:t>
      </w:r>
      <w:r w:rsidR="2D3B5538">
        <w:t xml:space="preserve"> power line facilities</w:t>
      </w:r>
      <w:r>
        <w:t xml:space="preserve">, </w:t>
      </w:r>
      <w:r w:rsidR="2D3B5538">
        <w:t>substations</w:t>
      </w:r>
      <w:r>
        <w:t xml:space="preserve">, </w:t>
      </w:r>
      <w:r w:rsidRPr="009B25D6">
        <w:rPr>
          <w:b/>
        </w:rPr>
        <w:t>or</w:t>
      </w:r>
      <w:r>
        <w:t xml:space="preserve"> </w:t>
      </w:r>
      <w:r w:rsidRPr="009B25D6">
        <w:rPr>
          <w:u w:val="single"/>
        </w:rPr>
        <w:t>switchyards</w:t>
      </w:r>
      <w:r w:rsidRPr="009B25D6" w:rsidR="2D3B5538">
        <w:rPr>
          <w:u w:val="single"/>
        </w:rPr>
        <w:t xml:space="preserve"> in a utility corridor designated, precisely mapped, and officially adopted pursuant to law</w:t>
      </w:r>
      <w:r w:rsidRPr="009B25D6" w:rsidR="2C106AEB">
        <w:rPr>
          <w:u w:val="single"/>
        </w:rPr>
        <w:t xml:space="preserve"> by federal, State, or local agencies for which a final EIR, MND, or ND finds no significant unavoidable environmental impacts</w:t>
      </w:r>
      <w:r w:rsidR="2D3B5538">
        <w:t>.</w:t>
      </w:r>
    </w:p>
    <w:p w:rsidR="002561DC" w:rsidP="00AD2306" w:rsidRDefault="00E73AE8" w14:paraId="21A0EBD9" w14:textId="77777777">
      <w:pPr>
        <w:pStyle w:val="Standard"/>
        <w:keepNext/>
        <w:spacing w:before="180"/>
      </w:pPr>
      <w:r w:rsidRPr="00C82BC3">
        <w:t xml:space="preserve">With respect to </w:t>
      </w:r>
      <w:r w:rsidRPr="0000753B" w:rsidR="00BE73C6">
        <w:t xml:space="preserve">Staff Proposal </w:t>
      </w:r>
      <w:r w:rsidR="00DC14AC">
        <w:t>Section </w:t>
      </w:r>
      <w:r w:rsidR="00BE73C6">
        <w:t xml:space="preserve">3.1, </w:t>
      </w:r>
      <w:r w:rsidR="007407A2">
        <w:t xml:space="preserve">Proposal 5, </w:t>
      </w:r>
      <w:r w:rsidRPr="00E75F73" w:rsidR="00DC0512">
        <w:t>Option</w:t>
      </w:r>
      <w:r w:rsidRPr="00C82BC3" w:rsidR="00DC0512">
        <w:t xml:space="preserve"> 2</w:t>
      </w:r>
      <w:r w:rsidRPr="00C82BC3">
        <w:t>, we</w:t>
      </w:r>
      <w:r w:rsidRPr="00C82BC3">
        <w:rPr>
          <w:b/>
        </w:rPr>
        <w:t xml:space="preserve"> </w:t>
      </w:r>
      <w:r w:rsidRPr="00C82BC3" w:rsidR="0005366B">
        <w:t>a</w:t>
      </w:r>
      <w:r w:rsidR="0005366B">
        <w:t>ccept</w:t>
      </w:r>
      <w:r w:rsidR="002675B3">
        <w:t xml:space="preserve"> a slightly revised version of</w:t>
      </w:r>
      <w:r w:rsidRPr="00C82BC3" w:rsidR="00DC0512">
        <w:t xml:space="preserve"> the IOUs’ joint proposal</w:t>
      </w:r>
      <w:r w:rsidRPr="00C82BC3" w:rsidR="006128AF">
        <w:t xml:space="preserve">, as </w:t>
      </w:r>
      <w:r w:rsidR="000943AE">
        <w:t xml:space="preserve">underlined </w:t>
      </w:r>
      <w:r w:rsidR="007407A2">
        <w:t xml:space="preserve">and stricken </w:t>
      </w:r>
      <w:r w:rsidR="000943AE">
        <w:t>below,</w:t>
      </w:r>
      <w:r w:rsidR="007407A2">
        <w:t xml:space="preserve"> </w:t>
      </w:r>
      <w:r w:rsidR="0082273C">
        <w:t>represented in Option 1</w:t>
      </w:r>
      <w:r w:rsidRPr="00C82BC3" w:rsidR="00DE05B9">
        <w:t>:</w:t>
      </w:r>
    </w:p>
    <w:p w:rsidRPr="002675B3" w:rsidR="002675B3" w:rsidP="00AD2306" w:rsidRDefault="11E89BAB" w14:paraId="358499DB" w14:textId="77777777">
      <w:pPr>
        <w:pStyle w:val="BlockQuote"/>
      </w:pPr>
      <w:r>
        <w:t xml:space="preserve">Power line facilities, substations, or switchyards to be located in an existing franchise, road-widening setback easement, or public utility easement; or power line facilities, substations, or switchyards in an existing right-of-way (ROW), fee-owned property, or other property on which a public </w:t>
      </w:r>
      <w:r w:rsidRPr="0076248D">
        <w:rPr>
          <w:u w:val="single"/>
        </w:rPr>
        <w:t>utility has a legal right to operate existing power line facilities, substations, or switchyards</w:t>
      </w:r>
      <w:r>
        <w:t>; or power line facilities, substations, or switchyards in a utility corridor designated, precisely mapped and officially adopted pursuant to law by federal, state, or local agencies</w:t>
      </w:r>
      <w:r w:rsidRPr="3AD6CCD9" w:rsidR="7DC6D6C8">
        <w:rPr>
          <w:strike/>
        </w:rPr>
        <w:t xml:space="preserve"> for which a final EIR, MND, or ND finds no significant unavoidable environmental impacts</w:t>
      </w:r>
      <w:r>
        <w:t>.</w:t>
      </w:r>
    </w:p>
    <w:p w:rsidR="001C25F4" w:rsidP="00AD2306" w:rsidRDefault="2A5CA4B3" w14:paraId="3B0F3EF9" w14:textId="77777777">
      <w:pPr>
        <w:pStyle w:val="Standard"/>
        <w:spacing w:before="180"/>
      </w:pPr>
      <w:r>
        <w:t>The</w:t>
      </w:r>
      <w:r w:rsidR="28EC4D1F">
        <w:t xml:space="preserve"> </w:t>
      </w:r>
      <w:r w:rsidR="1A5C85A7">
        <w:t>a</w:t>
      </w:r>
      <w:r w:rsidR="3D7AE80B">
        <w:t xml:space="preserve">bove </w:t>
      </w:r>
      <w:r w:rsidR="28EC4D1F">
        <w:t xml:space="preserve">revisions </w:t>
      </w:r>
      <w:r>
        <w:t xml:space="preserve">to </w:t>
      </w:r>
      <w:r w:rsidRPr="0000753B" w:rsidR="00AD1D60">
        <w:t xml:space="preserve">Staff Proposal </w:t>
      </w:r>
      <w:r w:rsidR="00DC14AC">
        <w:t>Section </w:t>
      </w:r>
      <w:r w:rsidR="00AD1D60">
        <w:t xml:space="preserve">3.1, Proposal </w:t>
      </w:r>
      <w:r w:rsidRPr="0000753B" w:rsidR="00AD1D60">
        <w:t xml:space="preserve">5, </w:t>
      </w:r>
      <w:r>
        <w:t xml:space="preserve">Option 1 and </w:t>
      </w:r>
      <w:r w:rsidRPr="0000753B" w:rsidR="00AD1D60">
        <w:t xml:space="preserve">Staff Proposal </w:t>
      </w:r>
      <w:r w:rsidR="00DC14AC">
        <w:t>Section </w:t>
      </w:r>
      <w:r w:rsidR="00AD1D60">
        <w:t xml:space="preserve">3.1, Proposal </w:t>
      </w:r>
      <w:r w:rsidRPr="0000753B" w:rsidR="00AD1D60">
        <w:t xml:space="preserve">5, </w:t>
      </w:r>
      <w:r>
        <w:t xml:space="preserve">Option 2 </w:t>
      </w:r>
      <w:r w:rsidR="009550FF">
        <w:t>which</w:t>
      </w:r>
      <w:r w:rsidR="00AD1D60">
        <w:t xml:space="preserve"> are reflected in </w:t>
      </w:r>
      <w:r w:rsidR="00DC14AC">
        <w:t>Section </w:t>
      </w:r>
      <w:r w:rsidR="00105E81">
        <w:t xml:space="preserve">III.B.2.f in </w:t>
      </w:r>
      <w:r w:rsidR="003B5D07">
        <w:t>GO </w:t>
      </w:r>
      <w:r w:rsidR="00105E81">
        <w:t>131-E,</w:t>
      </w:r>
      <w:r w:rsidRPr="00C82BC3" w:rsidR="00105E81">
        <w:t xml:space="preserve"> </w:t>
      </w:r>
      <w:r w:rsidR="28EC4D1F">
        <w:t xml:space="preserve">would retain the existing </w:t>
      </w:r>
      <w:r w:rsidR="00453383">
        <w:t>C</w:t>
      </w:r>
      <w:r w:rsidRPr="00DB706A" w:rsidR="574BD513">
        <w:t>lause 1</w:t>
      </w:r>
      <w:r w:rsidRPr="00DB706A" w:rsidR="28EC4D1F">
        <w:t xml:space="preserve"> of exemption “g” without changing </w:t>
      </w:r>
      <w:r w:rsidRPr="00DB706A" w:rsidR="5126FF6B">
        <w:t xml:space="preserve">its </w:t>
      </w:r>
      <w:r w:rsidRPr="00DB706A" w:rsidR="28EC4D1F">
        <w:t>applicability</w:t>
      </w:r>
      <w:r w:rsidRPr="00DB706A" w:rsidR="3A07699F">
        <w:t>,</w:t>
      </w:r>
      <w:r w:rsidRPr="00DB706A" w:rsidR="5F6E7130">
        <w:t xml:space="preserve"> </w:t>
      </w:r>
      <w:r w:rsidRPr="00DB706A" w:rsidR="28EC4D1F">
        <w:t xml:space="preserve">but would expand the applicability of </w:t>
      </w:r>
      <w:r w:rsidRPr="00DB706A" w:rsidR="28EC4D1F">
        <w:lastRenderedPageBreak/>
        <w:t>exemption “g” to include ROW, fee-owned property, and “other property” if said property contains existing power line facilities or substations</w:t>
      </w:r>
      <w:r w:rsidRPr="00DB706A" w:rsidR="005760C1">
        <w:t>. This</w:t>
      </w:r>
      <w:r w:rsidRPr="00DB706A" w:rsidR="28EC4D1F">
        <w:t xml:space="preserve"> </w:t>
      </w:r>
      <w:r w:rsidRPr="00DB706A" w:rsidR="003A2487">
        <w:t>would</w:t>
      </w:r>
      <w:r w:rsidR="003A2487">
        <w:t xml:space="preserve"> </w:t>
      </w:r>
      <w:r w:rsidRPr="009512D5" w:rsidR="00BE08D2">
        <w:t>allow</w:t>
      </w:r>
      <w:r w:rsidRPr="009512D5" w:rsidR="28EC4D1F">
        <w:t xml:space="preserve"> </w:t>
      </w:r>
      <w:r w:rsidRPr="009512D5" w:rsidR="00E0595C">
        <w:t xml:space="preserve">the </w:t>
      </w:r>
      <w:r w:rsidRPr="009512D5" w:rsidR="28EC4D1F">
        <w:t xml:space="preserve">utilities to claim exemption “g” for a broader array of projects on disturbed lands. </w:t>
      </w:r>
      <w:r w:rsidRPr="009512D5" w:rsidR="1742560A">
        <w:t>Additionally, by deleting the</w:t>
      </w:r>
      <w:r w:rsidRPr="009512D5" w:rsidR="44D783CA">
        <w:t xml:space="preserve"> “significant unavoidable”</w:t>
      </w:r>
      <w:r w:rsidRPr="009512D5" w:rsidR="1742560A">
        <w:t xml:space="preserve"> criterion</w:t>
      </w:r>
      <w:r w:rsidRPr="009512D5" w:rsidR="5CE2EF6A">
        <w:t xml:space="preserve"> in the existing </w:t>
      </w:r>
      <w:r w:rsidR="00242381">
        <w:t>C</w:t>
      </w:r>
      <w:r w:rsidRPr="009512D5" w:rsidR="5CE2EF6A">
        <w:t>lause 2 (i.e., “for which a final EIR, MND, or ND finds no significant unavoidable environmental impacts”),</w:t>
      </w:r>
      <w:r w:rsidRPr="009512D5" w:rsidR="1742560A">
        <w:t xml:space="preserve"> the above revision would </w:t>
      </w:r>
      <w:r w:rsidRPr="009512D5" w:rsidR="1DFD6732">
        <w:t xml:space="preserve">specify that where a proposed facility is located in a utility corridor designated, precisely mapped, and officially adopted pursuant to law by federal, state, or local agencies, exemption </w:t>
      </w:r>
      <w:r w:rsidRPr="009512D5" w:rsidR="4AA253A6">
        <w:t xml:space="preserve">“g” </w:t>
      </w:r>
      <w:r w:rsidRPr="009512D5" w:rsidR="1DFD6732">
        <w:t>applies regardless of whether the final CEQA document prepared by the agency adopting the utility corridor found significant unavoidable impacts.</w:t>
      </w:r>
    </w:p>
    <w:p w:rsidR="00DC0512" w:rsidP="00F86189" w:rsidRDefault="00DC0512" w14:paraId="52EFBD2F" w14:textId="77777777">
      <w:pPr>
        <w:pStyle w:val="Standard"/>
      </w:pPr>
      <w:r w:rsidRPr="00906BCA">
        <w:t xml:space="preserve">PG&amp;E’s </w:t>
      </w:r>
      <w:r w:rsidRPr="00906BCA" w:rsidR="00E73AE8">
        <w:t>recommendation to</w:t>
      </w:r>
      <w:r w:rsidRPr="00906BCA">
        <w:t xml:space="preserve"> add “transmission or” before “power line facilities”</w:t>
      </w:r>
      <w:r w:rsidRPr="00906BCA" w:rsidR="00E73AE8">
        <w:t xml:space="preserve"> is not </w:t>
      </w:r>
      <w:r w:rsidRPr="00906BCA" w:rsidR="00E472B7">
        <w:t xml:space="preserve">adopted </w:t>
      </w:r>
      <w:r w:rsidRPr="00906BCA" w:rsidR="00E73AE8">
        <w:t>because it</w:t>
      </w:r>
      <w:r w:rsidRPr="00906BCA">
        <w:t xml:space="preserve"> would inappropriately expand the exemption to allow utilities to construct sizable new transmission lines with an advice letter filing in lieu of an application.</w:t>
      </w:r>
      <w:r w:rsidRPr="00DC0512">
        <w:t> </w:t>
      </w:r>
    </w:p>
    <w:p w:rsidR="00C611B1" w:rsidP="00804F6F" w:rsidRDefault="00C611B1" w14:paraId="52398F09" w14:textId="77777777">
      <w:pPr>
        <w:pStyle w:val="Heading2"/>
      </w:pPr>
      <w:bookmarkStart w:name="_Toc189738515" w:id="165"/>
      <w:r w:rsidRPr="00A02F28">
        <w:t>PTC Exemption “</w:t>
      </w:r>
      <w:r>
        <w:t>h</w:t>
      </w:r>
      <w:r w:rsidRPr="00A02F28">
        <w:t>”</w:t>
      </w:r>
      <w:r w:rsidR="002E399A">
        <w:t xml:space="preserve"> Clarification</w:t>
      </w:r>
      <w:bookmarkEnd w:id="165"/>
    </w:p>
    <w:p w:rsidRPr="00C82BC3" w:rsidR="00D97BC7" w:rsidP="006A5C0C" w:rsidRDefault="00F55FE7" w14:paraId="053139BE" w14:textId="77777777">
      <w:pPr>
        <w:pStyle w:val="Standard"/>
      </w:pPr>
      <w:r w:rsidRPr="00C82BC3">
        <w:rPr>
          <w:szCs w:val="26"/>
        </w:rPr>
        <w:t xml:space="preserve">As discussed below, </w:t>
      </w:r>
      <w:r w:rsidRPr="00C82BC3">
        <w:t>we a</w:t>
      </w:r>
      <w:r w:rsidRPr="00C82BC3" w:rsidR="009F6875">
        <w:t>dopt</w:t>
      </w:r>
      <w:r w:rsidRPr="00C82BC3">
        <w:t xml:space="preserve"> the IOUs’ proposals </w:t>
      </w:r>
      <w:r w:rsidRPr="00C82BC3" w:rsidR="00E613ED">
        <w:t xml:space="preserve">to </w:t>
      </w:r>
      <w:r w:rsidRPr="00C82BC3" w:rsidR="0052279E">
        <w:t xml:space="preserve">revise </w:t>
      </w:r>
      <w:r w:rsidRPr="00C82BC3" w:rsidR="00913322">
        <w:t xml:space="preserve">PTC exemption “h” </w:t>
      </w:r>
      <w:r w:rsidR="00177F72">
        <w:t xml:space="preserve">in </w:t>
      </w:r>
      <w:r w:rsidR="003B5D07">
        <w:t>GO </w:t>
      </w:r>
      <w:r w:rsidRPr="00C82BC3" w:rsidR="00157978">
        <w:t>131-</w:t>
      </w:r>
      <w:r w:rsidR="00177F72">
        <w:t>E</w:t>
      </w:r>
      <w:r w:rsidRPr="00C82BC3" w:rsidR="00157978">
        <w:t xml:space="preserve"> </w:t>
      </w:r>
      <w:r w:rsidRPr="00C82BC3">
        <w:t xml:space="preserve">to bifurcate </w:t>
      </w:r>
      <w:r w:rsidRPr="00C82BC3" w:rsidR="00615A8D">
        <w:t xml:space="preserve">the exemption </w:t>
      </w:r>
      <w:r w:rsidRPr="00C82BC3">
        <w:t xml:space="preserve">into two separate exemptions </w:t>
      </w:r>
      <w:r w:rsidRPr="00C82BC3" w:rsidR="004C3503">
        <w:t>such that</w:t>
      </w:r>
      <w:r w:rsidRPr="00C82BC3" w:rsidR="00D97BC7">
        <w:t>:</w:t>
      </w:r>
    </w:p>
    <w:p w:rsidRPr="006732BD" w:rsidR="00686FFC" w:rsidP="00D13705" w:rsidRDefault="00FD7863" w14:paraId="4C80EFF6" w14:textId="77777777">
      <w:pPr>
        <w:pStyle w:val="ListParagraph"/>
        <w:numPr>
          <w:ilvl w:val="0"/>
          <w:numId w:val="7"/>
        </w:numPr>
        <w:spacing w:after="120" w:line="240" w:lineRule="auto"/>
        <w:ind w:left="1170" w:right="1440" w:hanging="450"/>
      </w:pPr>
      <w:r w:rsidRPr="006732BD">
        <w:t>Pursuant to</w:t>
      </w:r>
      <w:r w:rsidRPr="006732BD" w:rsidR="00F55FE7">
        <w:t xml:space="preserve"> </w:t>
      </w:r>
      <w:r w:rsidR="003B5D07">
        <w:t>GO </w:t>
      </w:r>
      <w:r w:rsidRPr="006732BD" w:rsidR="00F55FE7">
        <w:t xml:space="preserve">131-E, </w:t>
      </w:r>
      <w:r w:rsidR="00DC14AC">
        <w:t>Section </w:t>
      </w:r>
      <w:r w:rsidRPr="006732BD" w:rsidR="00F55FE7">
        <w:t>III.B.4</w:t>
      </w:r>
      <w:r w:rsidRPr="006732BD">
        <w:t>, the utilities</w:t>
      </w:r>
      <w:r w:rsidRPr="006732BD" w:rsidR="00F55FE7">
        <w:t xml:space="preserve"> </w:t>
      </w:r>
      <w:r w:rsidRPr="006732BD" w:rsidR="007C2D2F">
        <w:t>must</w:t>
      </w:r>
      <w:r w:rsidRPr="006732BD" w:rsidR="00F55FE7">
        <w:t xml:space="preserve"> notice projects that have been determined to be categorically or statutorily exempt from CEQA in annual reports and quarterly briefings provided to Staff</w:t>
      </w:r>
      <w:r w:rsidRPr="006732BD" w:rsidR="002E4071">
        <w:t xml:space="preserve">; and </w:t>
      </w:r>
    </w:p>
    <w:p w:rsidRPr="006732BD" w:rsidR="00F55FE7" w:rsidP="00D13705" w:rsidRDefault="00ED77DA" w14:paraId="09828437" w14:textId="77777777">
      <w:pPr>
        <w:pStyle w:val="ListParagraph"/>
        <w:numPr>
          <w:ilvl w:val="0"/>
          <w:numId w:val="7"/>
        </w:numPr>
        <w:spacing w:after="120" w:line="240" w:lineRule="auto"/>
        <w:ind w:left="1170" w:right="1440" w:hanging="450"/>
      </w:pPr>
      <w:r w:rsidRPr="006732BD">
        <w:t xml:space="preserve">Pursuant to </w:t>
      </w:r>
      <w:r w:rsidR="003B5D07">
        <w:t>GO </w:t>
      </w:r>
      <w:r w:rsidRPr="006732BD">
        <w:t>131-E</w:t>
      </w:r>
      <w:r w:rsidRPr="006732BD" w:rsidR="00B234D8">
        <w:t>,</w:t>
      </w:r>
      <w:r w:rsidRPr="006732BD" w:rsidR="00F55FE7">
        <w:t xml:space="preserve"> Section</w:t>
      </w:r>
      <w:r w:rsidRPr="006732BD" w:rsidR="00E613ED">
        <w:t>s</w:t>
      </w:r>
      <w:r w:rsidRPr="006732BD" w:rsidR="00F55FE7">
        <w:t xml:space="preserve"> </w:t>
      </w:r>
      <w:r w:rsidRPr="006732BD" w:rsidR="00150487">
        <w:t>IV.B.</w:t>
      </w:r>
      <w:r w:rsidRPr="006732BD" w:rsidR="00A471B2">
        <w:t>3</w:t>
      </w:r>
      <w:r w:rsidRPr="006732BD" w:rsidR="00E613ED">
        <w:t>, the</w:t>
      </w:r>
      <w:r w:rsidRPr="006732BD" w:rsidR="00F55FE7">
        <w:t xml:space="preserve"> utilities </w:t>
      </w:r>
      <w:r w:rsidRPr="006732BD" w:rsidR="00E613ED">
        <w:t>must</w:t>
      </w:r>
      <w:r w:rsidRPr="006732BD" w:rsidR="00F55FE7">
        <w:t xml:space="preserve"> list all projects that have been determined to be categorically or statutorily exempt from CEQA pursuant to </w:t>
      </w:r>
      <w:r w:rsidR="00DC14AC">
        <w:t>Section </w:t>
      </w:r>
      <w:r w:rsidRPr="006732BD" w:rsidR="00F55FE7">
        <w:t>III.B.2 respectively in annual reports and quarterly briefings.</w:t>
      </w:r>
    </w:p>
    <w:p w:rsidRPr="00734CFF" w:rsidR="00450E1D" w:rsidP="00450E1D" w:rsidRDefault="003B5D07" w14:paraId="6F16EF45" w14:textId="77777777">
      <w:pPr>
        <w:pStyle w:val="Standard"/>
      </w:pPr>
      <w:r>
        <w:lastRenderedPageBreak/>
        <w:t>GO </w:t>
      </w:r>
      <w:r w:rsidR="2EC2C967">
        <w:t>131-D</w:t>
      </w:r>
      <w:r w:rsidR="00630DCA">
        <w:t>,</w:t>
      </w:r>
      <w:r w:rsidR="5296153F">
        <w:t xml:space="preserve"> </w:t>
      </w:r>
      <w:r w:rsidR="00DC14AC">
        <w:t>Section </w:t>
      </w:r>
      <w:r w:rsidRPr="00AA7FEA" w:rsidR="01757D4B">
        <w:t>III.B.1.</w:t>
      </w:r>
      <w:r w:rsidR="25B6DCFC">
        <w:t>h</w:t>
      </w:r>
      <w:r w:rsidR="00630DCA">
        <w:t>,</w:t>
      </w:r>
      <w:r w:rsidR="5296153F">
        <w:t xml:space="preserve"> </w:t>
      </w:r>
      <w:r w:rsidR="0B7DF504">
        <w:t>specifies that</w:t>
      </w:r>
      <w:r w:rsidR="4EFED66F">
        <w:t xml:space="preserve"> </w:t>
      </w:r>
      <w:r w:rsidR="1E89D794">
        <w:t xml:space="preserve">a </w:t>
      </w:r>
      <w:r w:rsidR="01757D4B">
        <w:t xml:space="preserve">PTC </w:t>
      </w:r>
      <w:r w:rsidR="26A12BDF">
        <w:t>is not required</w:t>
      </w:r>
      <w:r w:rsidR="0B7DF504">
        <w:t xml:space="preserve"> for</w:t>
      </w:r>
      <w:r w:rsidR="6770E04A">
        <w:t xml:space="preserve"> the</w:t>
      </w:r>
      <w:r w:rsidR="01757D4B">
        <w:t xml:space="preserve"> </w:t>
      </w:r>
      <w:r w:rsidRPr="00C611B1" w:rsidR="01757D4B">
        <w:t xml:space="preserve">construction of projects that are statutorily or categorically exempt </w:t>
      </w:r>
      <w:r w:rsidR="01757D4B">
        <w:t>from CEQA.</w:t>
      </w:r>
      <w:r w:rsidR="00C611B1">
        <w:rPr>
          <w:rStyle w:val="FootnoteReference"/>
        </w:rPr>
        <w:footnoteReference w:id="193"/>
      </w:r>
      <w:r w:rsidR="01757D4B">
        <w:t xml:space="preserve"> </w:t>
      </w:r>
      <w:r w:rsidR="6770E04A">
        <w:t xml:space="preserve">The last paragraph of </w:t>
      </w:r>
      <w:r w:rsidR="00DC14AC">
        <w:t>Section </w:t>
      </w:r>
      <w:r w:rsidRPr="00AA7FEA" w:rsidR="6770E04A">
        <w:t>III.B</w:t>
      </w:r>
      <w:r w:rsidR="6770E04A">
        <w:t xml:space="preserve">.1 states that a </w:t>
      </w:r>
      <w:r w:rsidR="396508DC">
        <w:t>notice</w:t>
      </w:r>
      <w:r w:rsidRPr="00C611B1" w:rsidR="01757D4B">
        <w:t xml:space="preserve"> </w:t>
      </w:r>
      <w:r w:rsidR="4EFED66F">
        <w:t xml:space="preserve">of </w:t>
      </w:r>
      <w:r w:rsidRPr="00C611B1" w:rsidR="01757D4B">
        <w:t xml:space="preserve">proposed </w:t>
      </w:r>
      <w:r w:rsidRPr="00734CFF" w:rsidR="01757D4B">
        <w:t>construction</w:t>
      </w:r>
      <w:r w:rsidRPr="00734CFF" w:rsidR="495D46D9">
        <w:t xml:space="preserve"> </w:t>
      </w:r>
      <w:r w:rsidRPr="00734CFF" w:rsidR="4EFED66F">
        <w:t>must be issued</w:t>
      </w:r>
      <w:r w:rsidRPr="00734CFF" w:rsidR="495D46D9">
        <w:t xml:space="preserve"> </w:t>
      </w:r>
      <w:r w:rsidRPr="00734CFF" w:rsidR="4EFED66F">
        <w:t xml:space="preserve">for </w:t>
      </w:r>
      <w:r w:rsidRPr="00734CFF" w:rsidR="01757D4B">
        <w:t xml:space="preserve">most PTC-exempt </w:t>
      </w:r>
      <w:r w:rsidRPr="00734CFF" w:rsidR="4EFED66F">
        <w:t>projects</w:t>
      </w:r>
      <w:r w:rsidRPr="00734CFF" w:rsidR="495D46D9">
        <w:t xml:space="preserve"> </w:t>
      </w:r>
      <w:r w:rsidRPr="00734CFF" w:rsidR="382DBD53">
        <w:t>in compliance</w:t>
      </w:r>
      <w:r w:rsidRPr="00734CFF" w:rsidR="495D46D9">
        <w:t xml:space="preserve"> with </w:t>
      </w:r>
      <w:r w:rsidR="00DC14AC">
        <w:t>Section </w:t>
      </w:r>
      <w:r w:rsidRPr="00734CFF" w:rsidR="495D46D9">
        <w:t>IX.B</w:t>
      </w:r>
      <w:r w:rsidRPr="00734CFF" w:rsidR="396508DC">
        <w:t xml:space="preserve">, </w:t>
      </w:r>
      <w:r w:rsidRPr="00734CFF" w:rsidR="6770E04A">
        <w:t>except</w:t>
      </w:r>
      <w:r w:rsidRPr="00734CFF" w:rsidR="01757D4B">
        <w:t xml:space="preserve"> </w:t>
      </w:r>
      <w:r w:rsidRPr="00734CFF" w:rsidR="396508DC">
        <w:t xml:space="preserve">for </w:t>
      </w:r>
      <w:r w:rsidRPr="00734CFF" w:rsidR="6770E04A">
        <w:t>those</w:t>
      </w:r>
      <w:r w:rsidRPr="00734CFF" w:rsidR="396508DC">
        <w:t xml:space="preserve"> that are </w:t>
      </w:r>
      <w:r w:rsidRPr="00734CFF" w:rsidR="01757D4B">
        <w:t xml:space="preserve">statutorily or categorically exempt </w:t>
      </w:r>
      <w:r w:rsidRPr="00734CFF" w:rsidR="396508DC">
        <w:t>from</w:t>
      </w:r>
      <w:r w:rsidRPr="00734CFF" w:rsidR="01757D4B">
        <w:t xml:space="preserve"> CEQA. </w:t>
      </w:r>
      <w:r w:rsidRPr="00734CFF" w:rsidR="00A13AAC">
        <w:t xml:space="preserve">Reading </w:t>
      </w:r>
      <w:r w:rsidRPr="00734CFF" w:rsidR="25B6DCFC">
        <w:t xml:space="preserve">these </w:t>
      </w:r>
      <w:r w:rsidR="00DC14AC">
        <w:t>Section </w:t>
      </w:r>
      <w:r w:rsidRPr="00734CFF" w:rsidR="25B6DCFC">
        <w:t>III.B.1</w:t>
      </w:r>
      <w:r w:rsidRPr="00734CFF" w:rsidR="495D46D9">
        <w:t xml:space="preserve"> provisions </w:t>
      </w:r>
      <w:r w:rsidRPr="00734CFF" w:rsidR="00517090">
        <w:t>together</w:t>
      </w:r>
      <w:r w:rsidRPr="00734CFF" w:rsidR="00AA0237">
        <w:t xml:space="preserve"> </w:t>
      </w:r>
      <w:r w:rsidRPr="00734CFF" w:rsidR="25B6DCFC">
        <w:t>could</w:t>
      </w:r>
      <w:r w:rsidRPr="00734CFF" w:rsidR="01757D4B">
        <w:t xml:space="preserve"> </w:t>
      </w:r>
      <w:r w:rsidRPr="00734CFF" w:rsidR="00AA0237">
        <w:t xml:space="preserve">lead </w:t>
      </w:r>
      <w:r w:rsidRPr="00734CFF" w:rsidR="01757D4B">
        <w:t>a utility to</w:t>
      </w:r>
      <w:r w:rsidRPr="00734CFF" w:rsidR="19BF98EB">
        <w:t xml:space="preserve"> initially</w:t>
      </w:r>
      <w:r w:rsidRPr="00734CFF" w:rsidR="01757D4B">
        <w:t xml:space="preserve"> determin</w:t>
      </w:r>
      <w:r w:rsidRPr="00734CFF" w:rsidR="00AA0237">
        <w:t>ing</w:t>
      </w:r>
      <w:r w:rsidRPr="00734CFF" w:rsidR="01757D4B">
        <w:t xml:space="preserve"> that a</w:t>
      </w:r>
      <w:r w:rsidRPr="00734CFF" w:rsidR="36BAA295">
        <w:t xml:space="preserve"> project </w:t>
      </w:r>
      <w:r w:rsidRPr="00734CFF" w:rsidR="25B6DCFC">
        <w:t xml:space="preserve">is </w:t>
      </w:r>
      <w:r w:rsidRPr="00734CFF" w:rsidR="01757D4B">
        <w:t>statutor</w:t>
      </w:r>
      <w:r w:rsidRPr="00734CFF" w:rsidR="25B6DCFC">
        <w:t>il</w:t>
      </w:r>
      <w:r w:rsidRPr="00734CFF" w:rsidR="01757D4B">
        <w:t>y or categorical</w:t>
      </w:r>
      <w:r w:rsidRPr="00734CFF" w:rsidR="25B6DCFC">
        <w:t>ly</w:t>
      </w:r>
      <w:r w:rsidRPr="00734CFF" w:rsidR="01757D4B">
        <w:t xml:space="preserve"> exempt</w:t>
      </w:r>
      <w:r w:rsidRPr="00734CFF" w:rsidR="25B6DCFC">
        <w:t xml:space="preserve"> from CEQA</w:t>
      </w:r>
      <w:r w:rsidRPr="00734CFF" w:rsidR="495D46D9">
        <w:t xml:space="preserve">, and </w:t>
      </w:r>
      <w:r w:rsidRPr="00734CFF" w:rsidR="19BF98EB">
        <w:t xml:space="preserve">subsequently </w:t>
      </w:r>
      <w:r w:rsidRPr="00734CFF" w:rsidR="00321A7C">
        <w:t xml:space="preserve">determining that </w:t>
      </w:r>
      <w:r w:rsidRPr="00734CFF" w:rsidR="00691C4B">
        <w:t>it is</w:t>
      </w:r>
      <w:r w:rsidRPr="00734CFF" w:rsidR="00321A7C">
        <w:t xml:space="preserve"> </w:t>
      </w:r>
      <w:r w:rsidRPr="00734CFF" w:rsidR="495D46D9">
        <w:t>not subject to noticing requirements</w:t>
      </w:r>
      <w:r w:rsidRPr="00734CFF" w:rsidR="009A5578">
        <w:t>. Such reading</w:t>
      </w:r>
      <w:r w:rsidRPr="00734CFF" w:rsidR="01757D4B">
        <w:t xml:space="preserve"> </w:t>
      </w:r>
      <w:r w:rsidRPr="00734CFF" w:rsidR="19BF98EB">
        <w:t xml:space="preserve">is not </w:t>
      </w:r>
      <w:r w:rsidRPr="00734CFF" w:rsidR="01757D4B">
        <w:t xml:space="preserve">consistent with </w:t>
      </w:r>
      <w:r w:rsidR="009B66E6">
        <w:t xml:space="preserve">the </w:t>
      </w:r>
      <w:r w:rsidRPr="00734CFF" w:rsidR="01757D4B">
        <w:t>CEQA</w:t>
      </w:r>
      <w:r w:rsidRPr="00734CFF" w:rsidR="19BF98EB">
        <w:t xml:space="preserve"> Guidelines that place responsibility</w:t>
      </w:r>
      <w:r w:rsidRPr="00734CFF" w:rsidR="14B7F80C">
        <w:t xml:space="preserve"> fo</w:t>
      </w:r>
      <w:r w:rsidRPr="00734CFF" w:rsidR="19BF98EB">
        <w:t>r making these determinations with lead agencies</w:t>
      </w:r>
      <w:r w:rsidRPr="00734CFF" w:rsidR="14B7F80C">
        <w:t>.</w:t>
      </w:r>
      <w:r w:rsidRPr="00734CFF" w:rsidR="00450E1D">
        <w:rPr>
          <w:rStyle w:val="FootnoteReference"/>
        </w:rPr>
        <w:footnoteReference w:id="194"/>
      </w:r>
      <w:r w:rsidRPr="00734CFF" w:rsidR="006359AA">
        <w:rPr>
          <w:vertAlign w:val="superscript"/>
        </w:rPr>
        <w:t>,</w:t>
      </w:r>
      <w:r w:rsidRPr="00734CFF" w:rsidR="00450E1D">
        <w:rPr>
          <w:rStyle w:val="FootnoteReference"/>
        </w:rPr>
        <w:footnoteReference w:id="195"/>
      </w:r>
    </w:p>
    <w:p w:rsidRPr="00C611B1" w:rsidR="00C611B1" w:rsidP="00F72CFD" w:rsidRDefault="24043397" w14:paraId="5DE61A3C" w14:textId="77777777">
      <w:pPr>
        <w:pStyle w:val="Standard"/>
      </w:pPr>
      <w:r w:rsidRPr="00734CFF">
        <w:t xml:space="preserve">Utilities currently provide notice of PTC-exempt activities by submitting a Tier 2 </w:t>
      </w:r>
      <w:r w:rsidRPr="00734CFF" w:rsidR="1DA9B550">
        <w:t>advice letter</w:t>
      </w:r>
      <w:r w:rsidRPr="00734CFF">
        <w:t xml:space="preserve"> pursuant to </w:t>
      </w:r>
      <w:r w:rsidR="003B5D07">
        <w:t>GO </w:t>
      </w:r>
      <w:r w:rsidRPr="00734CFF">
        <w:t>96-B</w:t>
      </w:r>
      <w:r w:rsidRPr="00734CFF" w:rsidR="1894EF23">
        <w:t xml:space="preserve"> </w:t>
      </w:r>
      <w:r w:rsidRPr="00734CFF">
        <w:t xml:space="preserve">Energy Industry Rule 5.2 </w:t>
      </w:r>
      <w:r w:rsidRPr="00734CFF" w:rsidR="1894EF23">
        <w:t>which</w:t>
      </w:r>
      <w:r w:rsidR="1894EF23">
        <w:t xml:space="preserve"> </w:t>
      </w:r>
      <w:r>
        <w:t xml:space="preserve">states that a “request relating to a substation or power line under </w:t>
      </w:r>
      <w:r w:rsidR="00DC14AC">
        <w:t>Section </w:t>
      </w:r>
      <w:r>
        <w:t xml:space="preserve">III.B.1 of </w:t>
      </w:r>
      <w:r w:rsidRPr="0079484D">
        <w:t xml:space="preserve">General Order 131” is a matter appropriate </w:t>
      </w:r>
      <w:r w:rsidRPr="0079484D" w:rsidR="001B16D3">
        <w:t>for</w:t>
      </w:r>
      <w:r w:rsidRPr="0079484D">
        <w:t xml:space="preserve"> </w:t>
      </w:r>
      <w:r w:rsidR="00ED5423">
        <w:t xml:space="preserve">the </w:t>
      </w:r>
      <w:r w:rsidRPr="0079484D">
        <w:t xml:space="preserve">Tier 2 </w:t>
      </w:r>
      <w:r w:rsidRPr="0079484D" w:rsidR="001B16D3">
        <w:t xml:space="preserve">advice letter process </w:t>
      </w:r>
      <w:r w:rsidRPr="0079484D">
        <w:t>and</w:t>
      </w:r>
      <w:r>
        <w:t xml:space="preserve"> therefore subject to disposition by Energy Division staff</w:t>
      </w:r>
      <w:r w:rsidR="63F4E6E2">
        <w:t>.</w:t>
      </w:r>
      <w:r w:rsidR="6A07E354">
        <w:t xml:space="preserve"> </w:t>
      </w:r>
    </w:p>
    <w:p w:rsidR="00C611B1" w:rsidP="00035F32" w:rsidRDefault="009C3E12" w14:paraId="5F89467D" w14:textId="77777777">
      <w:pPr>
        <w:pStyle w:val="Standard"/>
      </w:pPr>
      <w:r>
        <w:t xml:space="preserve">The purpose of Staff </w:t>
      </w:r>
      <w:r w:rsidRPr="00C611B1" w:rsidR="00450E1D">
        <w:t>Proposal</w:t>
      </w:r>
      <w:r w:rsidR="006B1136">
        <w:t xml:space="preserve"> </w:t>
      </w:r>
      <w:r w:rsidR="00DC14AC">
        <w:t>Section </w:t>
      </w:r>
      <w:r w:rsidR="006B1136">
        <w:t>3.1, Proposal</w:t>
      </w:r>
      <w:r w:rsidRPr="00C611B1" w:rsidR="00450E1D">
        <w:t xml:space="preserve"> 6 </w:t>
      </w:r>
      <w:r w:rsidR="005B7FB0">
        <w:t>is</w:t>
      </w:r>
      <w:r w:rsidRPr="00C611B1" w:rsidR="00450E1D">
        <w:t xml:space="preserve"> to ensure that utilities provide appropriate notice of </w:t>
      </w:r>
      <w:r w:rsidR="00F604C3">
        <w:t xml:space="preserve">projects identified by utilities </w:t>
      </w:r>
      <w:r w:rsidR="00831C54">
        <w:t xml:space="preserve">that could qualify as </w:t>
      </w:r>
      <w:r w:rsidRPr="00C611B1" w:rsidR="00450E1D">
        <w:t>statutorily and categorically exempt projects pursuant to CEQA.</w:t>
      </w:r>
      <w:r w:rsidR="00E30AF7">
        <w:rPr>
          <w:rStyle w:val="FootnoteReference"/>
        </w:rPr>
        <w:footnoteReference w:id="196"/>
      </w:r>
      <w:r w:rsidR="00035F32">
        <w:t xml:space="preserve"> To that end, </w:t>
      </w:r>
      <w:r w:rsidR="00C611B1">
        <w:t xml:space="preserve">Staff </w:t>
      </w:r>
      <w:r w:rsidRPr="00AA7FEA" w:rsidR="00C611B1">
        <w:t>propo</w:t>
      </w:r>
      <w:r w:rsidR="00C611B1">
        <w:t xml:space="preserve">ses </w:t>
      </w:r>
      <w:r w:rsidR="0095647A">
        <w:t xml:space="preserve">three </w:t>
      </w:r>
      <w:r w:rsidR="00C611B1">
        <w:t>options</w:t>
      </w:r>
      <w:r w:rsidR="00661278">
        <w:t xml:space="preserve"> </w:t>
      </w:r>
      <w:r w:rsidR="00C611B1">
        <w:t>to clarify exemption “</w:t>
      </w:r>
      <w:r w:rsidR="00035F32">
        <w:t>h</w:t>
      </w:r>
      <w:r w:rsidR="00C611B1">
        <w:t>”</w:t>
      </w:r>
      <w:r w:rsidR="001754CA">
        <w:t xml:space="preserve"> as follows</w:t>
      </w:r>
      <w:r w:rsidR="00020D25">
        <w:t>:</w:t>
      </w:r>
    </w:p>
    <w:p w:rsidR="00C611B1" w:rsidP="00D13705" w:rsidRDefault="00C611B1" w14:paraId="30620952" w14:textId="77777777">
      <w:pPr>
        <w:pStyle w:val="Standard"/>
        <w:numPr>
          <w:ilvl w:val="0"/>
          <w:numId w:val="17"/>
        </w:numPr>
        <w:spacing w:after="120" w:line="240" w:lineRule="auto"/>
        <w:ind w:right="1440"/>
      </w:pPr>
      <w:r w:rsidRPr="00AA7FEA">
        <w:t>Option 1</w:t>
      </w:r>
      <w:r>
        <w:t xml:space="preserve">: </w:t>
      </w:r>
      <w:r w:rsidR="000A1831">
        <w:t xml:space="preserve">Require </w:t>
      </w:r>
      <w:r w:rsidR="0077775C">
        <w:t xml:space="preserve">notice </w:t>
      </w:r>
      <w:r w:rsidR="002320CF">
        <w:t>via an information-only</w:t>
      </w:r>
      <w:r w:rsidR="000A1831">
        <w:t xml:space="preserve"> submittal</w:t>
      </w:r>
      <w:r w:rsidR="00CB7E71">
        <w:t xml:space="preserve"> through a modification to </w:t>
      </w:r>
      <w:r w:rsidR="00DC14AC">
        <w:t>Section </w:t>
      </w:r>
      <w:r w:rsidR="00CB7E71">
        <w:t>III.B.4.</w:t>
      </w:r>
    </w:p>
    <w:p w:rsidR="00C611B1" w:rsidP="00D13705" w:rsidRDefault="00C611B1" w14:paraId="3C0C5572" w14:textId="77777777">
      <w:pPr>
        <w:pStyle w:val="Standard"/>
        <w:numPr>
          <w:ilvl w:val="0"/>
          <w:numId w:val="17"/>
        </w:numPr>
        <w:spacing w:after="120" w:line="240" w:lineRule="auto"/>
        <w:ind w:right="1440"/>
      </w:pPr>
      <w:r w:rsidRPr="00AA7FEA">
        <w:t xml:space="preserve">Option 2: </w:t>
      </w:r>
      <w:r w:rsidR="0077775C">
        <w:t>Re</w:t>
      </w:r>
      <w:r w:rsidRPr="0077775C" w:rsidR="0077775C">
        <w:t xml:space="preserve">quire notice via a Tier 2 advice letter </w:t>
      </w:r>
      <w:r w:rsidR="00B77DFD">
        <w:t xml:space="preserve">submittal </w:t>
      </w:r>
      <w:r w:rsidRPr="0077775C" w:rsidR="0077775C">
        <w:t xml:space="preserve">as required for other </w:t>
      </w:r>
      <w:r w:rsidR="003B5D07">
        <w:t>GO </w:t>
      </w:r>
      <w:r w:rsidRPr="0077775C" w:rsidR="0077775C">
        <w:t xml:space="preserve">131 </w:t>
      </w:r>
      <w:r w:rsidR="00DC14AC">
        <w:t>Section </w:t>
      </w:r>
      <w:r w:rsidRPr="0077775C" w:rsidR="0077775C">
        <w:t xml:space="preserve">III.B.1 projects </w:t>
      </w:r>
      <w:r w:rsidRPr="0077775C" w:rsidR="0077775C">
        <w:lastRenderedPageBreak/>
        <w:t>pursuant to</w:t>
      </w:r>
      <w:r w:rsidR="007F7FFC">
        <w:t xml:space="preserve"> Rule 5.2</w:t>
      </w:r>
      <w:r w:rsidRPr="0077775C" w:rsidR="0077775C">
        <w:t xml:space="preserve"> Energy Industry </w:t>
      </w:r>
      <w:r w:rsidR="001615D6">
        <w:t xml:space="preserve">of </w:t>
      </w:r>
      <w:r w:rsidRPr="0077775C" w:rsidR="0077775C">
        <w:t>the Commission’s Rules of Practice and Procedure</w:t>
      </w:r>
      <w:r w:rsidR="007F7FFC">
        <w:t>.</w:t>
      </w:r>
    </w:p>
    <w:p w:rsidR="007F7FFC" w:rsidP="00D13705" w:rsidRDefault="00E30AF7" w14:paraId="4036DB45" w14:textId="77777777">
      <w:pPr>
        <w:pStyle w:val="Standard"/>
        <w:numPr>
          <w:ilvl w:val="0"/>
          <w:numId w:val="17"/>
        </w:numPr>
        <w:spacing w:after="120" w:line="240" w:lineRule="auto"/>
        <w:ind w:right="1440"/>
      </w:pPr>
      <w:r>
        <w:t xml:space="preserve">Option 3: </w:t>
      </w:r>
      <w:r w:rsidR="00443123">
        <w:t xml:space="preserve">No action. Retain language in </w:t>
      </w:r>
      <w:r w:rsidR="00DC14AC">
        <w:t>Section </w:t>
      </w:r>
      <w:r w:rsidRPr="00443123" w:rsidR="00443123">
        <w:t xml:space="preserve">III.B.1.h of </w:t>
      </w:r>
      <w:r w:rsidR="003B5D07">
        <w:t>GO </w:t>
      </w:r>
      <w:r w:rsidRPr="00443123" w:rsidR="00443123">
        <w:t>131-D</w:t>
      </w:r>
      <w:r w:rsidR="00443123">
        <w:t xml:space="preserve"> that states “</w:t>
      </w:r>
      <w:r w:rsidRPr="004B3E58" w:rsidR="004B3E58">
        <w:t>except that such notice is not required for the construction of projects that are statutorily or categorically exempt pursuant to CEQA Guidelines</w:t>
      </w:r>
      <w:r w:rsidR="009C3E12">
        <w:t>.</w:t>
      </w:r>
      <w:r w:rsidR="004B3E58">
        <w:t>”</w:t>
      </w:r>
    </w:p>
    <w:p w:rsidRPr="00FD6865" w:rsidR="00BF06B3" w:rsidP="00BF06B3" w:rsidRDefault="00220212" w14:paraId="1386AC47" w14:textId="77777777">
      <w:pPr>
        <w:pStyle w:val="Standard"/>
      </w:pPr>
      <w:r>
        <w:t xml:space="preserve">In the Staff Proposal, </w:t>
      </w:r>
      <w:r w:rsidR="004F6D4E">
        <w:t>S</w:t>
      </w:r>
      <w:r w:rsidR="00352D4A">
        <w:t>taff</w:t>
      </w:r>
      <w:r>
        <w:t xml:space="preserve"> </w:t>
      </w:r>
      <w:r w:rsidR="00352D4A">
        <w:t>recommend</w:t>
      </w:r>
      <w:r w:rsidR="00453383">
        <w:t>s</w:t>
      </w:r>
      <w:r w:rsidR="00EA7BD6">
        <w:t xml:space="preserve"> </w:t>
      </w:r>
      <w:r w:rsidR="00352D4A">
        <w:t xml:space="preserve">adoption of </w:t>
      </w:r>
      <w:r w:rsidR="003C5DF4">
        <w:t xml:space="preserve">Staff </w:t>
      </w:r>
      <w:r w:rsidRPr="00C611B1" w:rsidR="003C5DF4">
        <w:t>Proposal</w:t>
      </w:r>
      <w:r w:rsidR="003C5DF4">
        <w:t xml:space="preserve"> </w:t>
      </w:r>
      <w:r w:rsidR="00DC14AC">
        <w:t>Section </w:t>
      </w:r>
      <w:r w:rsidR="003C5DF4">
        <w:t>3.1, Proposal</w:t>
      </w:r>
      <w:r w:rsidRPr="00C611B1" w:rsidR="003C5DF4">
        <w:t xml:space="preserve"> 6</w:t>
      </w:r>
      <w:r w:rsidR="00932226">
        <w:t xml:space="preserve">, </w:t>
      </w:r>
      <w:r w:rsidR="00352D4A">
        <w:t xml:space="preserve">Option </w:t>
      </w:r>
      <w:r w:rsidR="00BF218E">
        <w:t xml:space="preserve">1 </w:t>
      </w:r>
      <w:r w:rsidR="009E6AA6">
        <w:t xml:space="preserve">because it would </w:t>
      </w:r>
      <w:r w:rsidRPr="00BF218E" w:rsidR="00BF218E">
        <w:t xml:space="preserve">ensure that </w:t>
      </w:r>
      <w:r w:rsidR="00E30D0B">
        <w:t>S</w:t>
      </w:r>
      <w:r w:rsidRPr="00BF218E" w:rsidR="00BF218E">
        <w:t xml:space="preserve">taff </w:t>
      </w:r>
      <w:r w:rsidRPr="00CF147C" w:rsidR="00B17034">
        <w:t xml:space="preserve">would </w:t>
      </w:r>
      <w:r w:rsidRPr="00CF147C" w:rsidR="006772B5">
        <w:t>have the opportunity to</w:t>
      </w:r>
      <w:r w:rsidRPr="00CF147C" w:rsidR="00BF218E">
        <w:t xml:space="preserve"> review </w:t>
      </w:r>
      <w:r w:rsidRPr="00CF147C" w:rsidR="00D25456">
        <w:t xml:space="preserve">the information-only submittal </w:t>
      </w:r>
      <w:r w:rsidRPr="00CF147C" w:rsidR="00BF218E">
        <w:t xml:space="preserve">and “determine whether the project is exempt from CEQA” </w:t>
      </w:r>
      <w:r w:rsidRPr="00CF147C" w:rsidR="004E605D">
        <w:t>pursuant to CEQA Guideline</w:t>
      </w:r>
      <w:r w:rsidRPr="00CF147C" w:rsidR="006772B5">
        <w:t>s</w:t>
      </w:r>
      <w:r w:rsidRPr="00CF147C" w:rsidR="004E605D">
        <w:t xml:space="preserve"> </w:t>
      </w:r>
      <w:r w:rsidR="00DC14AC">
        <w:t>Section </w:t>
      </w:r>
      <w:r w:rsidRPr="00CF147C" w:rsidR="0067712A">
        <w:t xml:space="preserve">15061 </w:t>
      </w:r>
      <w:r w:rsidRPr="00CF147C" w:rsidR="00720256">
        <w:t xml:space="preserve">while minimizing the associated workload for </w:t>
      </w:r>
      <w:r w:rsidR="004D5769">
        <w:t>S</w:t>
      </w:r>
      <w:r w:rsidRPr="00CF147C" w:rsidR="00720256">
        <w:t xml:space="preserve">taff and utilities. </w:t>
      </w:r>
      <w:r w:rsidRPr="00CF147C" w:rsidR="0067712A">
        <w:t xml:space="preserve">While </w:t>
      </w:r>
      <w:r w:rsidRPr="00CF147C" w:rsidR="00720256">
        <w:t>information-only submittals are not</w:t>
      </w:r>
      <w:r w:rsidRPr="00720256" w:rsidR="00720256">
        <w:t xml:space="preserve"> subject to protest because they do not seek relief</w:t>
      </w:r>
      <w:r w:rsidR="00575CD7">
        <w:t>,</w:t>
      </w:r>
      <w:r w:rsidRPr="00720256" w:rsidR="00720256">
        <w:t xml:space="preserve"> </w:t>
      </w:r>
      <w:r w:rsidR="003B5D07">
        <w:t>GO </w:t>
      </w:r>
      <w:r w:rsidRPr="00720256" w:rsidR="00720256">
        <w:t xml:space="preserve">96-B General Rule 6.2 establishes a process whereby </w:t>
      </w:r>
      <w:r w:rsidR="00575CD7">
        <w:t>S</w:t>
      </w:r>
      <w:r w:rsidRPr="00720256" w:rsidR="00720256">
        <w:t>taff could request correction of submittal</w:t>
      </w:r>
      <w:r w:rsidR="005A1008">
        <w:t>s</w:t>
      </w:r>
      <w:r w:rsidR="00ED22CC">
        <w:t xml:space="preserve"> to address</w:t>
      </w:r>
      <w:r w:rsidR="00E844E6">
        <w:t xml:space="preserve"> </w:t>
      </w:r>
      <w:r w:rsidRPr="00720256" w:rsidR="00A43265">
        <w:t>an erroneous as</w:t>
      </w:r>
      <w:r w:rsidR="002F75C7">
        <w:t>sumption</w:t>
      </w:r>
      <w:r w:rsidRPr="00720256" w:rsidR="00A43265">
        <w:t xml:space="preserve"> that a given activity is exempt from CEQ</w:t>
      </w:r>
      <w:r w:rsidR="00A43265">
        <w:t>A</w:t>
      </w:r>
      <w:r w:rsidR="00DF341E">
        <w:t xml:space="preserve">. </w:t>
      </w:r>
      <w:r w:rsidR="0024169C">
        <w:t xml:space="preserve">This process also provides Staff with an </w:t>
      </w:r>
      <w:r w:rsidRPr="00720256" w:rsidR="00720256">
        <w:t>avenue to comply with CEQA Guideline</w:t>
      </w:r>
      <w:r w:rsidR="0024169C">
        <w:t>s</w:t>
      </w:r>
      <w:r w:rsidRPr="00720256" w:rsidR="00720256">
        <w:t xml:space="preserve"> </w:t>
      </w:r>
      <w:r w:rsidR="00DC14AC">
        <w:t>Section </w:t>
      </w:r>
      <w:r w:rsidRPr="00FD6865" w:rsidR="00720256">
        <w:t>15061.</w:t>
      </w:r>
    </w:p>
    <w:p w:rsidR="00D81203" w:rsidP="00FF5A25" w:rsidRDefault="00D3090E" w14:paraId="308BDAD6" w14:textId="77777777">
      <w:pPr>
        <w:pStyle w:val="Standard"/>
      </w:pPr>
      <w:r w:rsidRPr="00FD6865">
        <w:t xml:space="preserve">RCRC does not specify support or opposition for </w:t>
      </w:r>
      <w:r w:rsidRPr="00FD6865" w:rsidR="00CE4C05">
        <w:t xml:space="preserve">Staff Proposal </w:t>
      </w:r>
      <w:r w:rsidR="00DC14AC">
        <w:t>Section </w:t>
      </w:r>
      <w:r w:rsidRPr="00FD6865" w:rsidR="00CE4C05">
        <w:t>3.1, Proposal 6,</w:t>
      </w:r>
      <w:r w:rsidRPr="00FD6865">
        <w:t xml:space="preserve"> Option 1</w:t>
      </w:r>
      <w:r w:rsidRPr="00FD6865" w:rsidR="00774B8E">
        <w:t xml:space="preserve"> </w:t>
      </w:r>
      <w:r w:rsidRPr="00FD6865">
        <w:t>but raises questions about how stakeholders would be able to challenge the utility’s determination that its projects are exempt from CEQA.</w:t>
      </w:r>
      <w:r w:rsidRPr="00FD6865" w:rsidR="00A17AA8">
        <w:rPr>
          <w:rStyle w:val="FootnoteReference"/>
        </w:rPr>
        <w:footnoteReference w:id="197"/>
      </w:r>
      <w:r w:rsidRPr="00FD6865" w:rsidR="001405DA">
        <w:t xml:space="preserve"> PG&amp;E, SCE, SDG&amp;E, and CEERT oppose </w:t>
      </w:r>
      <w:r w:rsidRPr="00FD6865" w:rsidR="00976DB7">
        <w:t xml:space="preserve">Staff Proposal </w:t>
      </w:r>
      <w:r w:rsidR="00DC14AC">
        <w:t>Section </w:t>
      </w:r>
      <w:r w:rsidRPr="00FD6865" w:rsidR="00976DB7">
        <w:t xml:space="preserve">3.1, Proposal 6, </w:t>
      </w:r>
      <w:r w:rsidRPr="00FD6865" w:rsidR="001405DA">
        <w:t>Option 1.</w:t>
      </w:r>
      <w:r w:rsidRPr="00FD6865" w:rsidR="000E0869">
        <w:rPr>
          <w:rStyle w:val="FootnoteReference"/>
        </w:rPr>
        <w:footnoteReference w:id="198"/>
      </w:r>
      <w:r w:rsidRPr="00FD6865" w:rsidR="001405DA">
        <w:t xml:space="preserve"> </w:t>
      </w:r>
      <w:r w:rsidRPr="00FD6865" w:rsidR="000927D7">
        <w:t>T</w:t>
      </w:r>
      <w:r w:rsidRPr="00FD6865" w:rsidR="001405DA">
        <w:t xml:space="preserve">he IOUs suggest revising Option 1 by modifying </w:t>
      </w:r>
      <w:r w:rsidR="00DC14AC">
        <w:t>Section </w:t>
      </w:r>
      <w:r w:rsidRPr="00FD6865" w:rsidR="001405DA">
        <w:t xml:space="preserve">III.B.4 to reflect that information-only submittals do not require the level of information included in an advice letter. Furthermore, the IOUs propose that notices should not be required for projects that entail routine operations and </w:t>
      </w:r>
      <w:r w:rsidRPr="00FD6865" w:rsidR="001405DA">
        <w:lastRenderedPageBreak/>
        <w:t xml:space="preserve">maintenance </w:t>
      </w:r>
      <w:r w:rsidRPr="00FD6865" w:rsidR="006030D8">
        <w:t>work,</w:t>
      </w:r>
      <w:r w:rsidRPr="00FD6865" w:rsidR="001405DA">
        <w:t xml:space="preserve"> or construction needed to comply with GO</w:t>
      </w:r>
      <w:r w:rsidRPr="00FD6865" w:rsidR="00BD68F8">
        <w:t>s</w:t>
      </w:r>
      <w:r w:rsidRPr="00FD6865" w:rsidR="001405DA">
        <w:t xml:space="preserve"> 95 and 128.</w:t>
      </w:r>
      <w:r w:rsidRPr="00FD6865" w:rsidR="001405DA">
        <w:rPr>
          <w:rStyle w:val="FootnoteReference"/>
        </w:rPr>
        <w:footnoteReference w:id="199"/>
      </w:r>
      <w:r w:rsidR="006527DA">
        <w:t xml:space="preserve"> </w:t>
      </w:r>
      <w:r w:rsidRPr="00426F18" w:rsidR="00426F18">
        <w:t xml:space="preserve">Cal Advocates </w:t>
      </w:r>
      <w:r w:rsidR="00B94C97">
        <w:t xml:space="preserve">contends </w:t>
      </w:r>
      <w:r w:rsidR="000D02C6">
        <w:t>that</w:t>
      </w:r>
      <w:r w:rsidRPr="00426F18" w:rsidR="00700A9C">
        <w:t xml:space="preserve"> projects that </w:t>
      </w:r>
      <w:r w:rsidR="00720187">
        <w:t>a</w:t>
      </w:r>
      <w:r w:rsidR="00BE1280">
        <w:t>re deemed</w:t>
      </w:r>
      <w:r w:rsidR="001B3A00">
        <w:t xml:space="preserve"> </w:t>
      </w:r>
      <w:r w:rsidR="00BE1280">
        <w:t>to be</w:t>
      </w:r>
      <w:r w:rsidRPr="00426F18" w:rsidR="00700A9C">
        <w:t xml:space="preserve"> statutorily or categorically exempt </w:t>
      </w:r>
      <w:r w:rsidR="00EF52C6">
        <w:t xml:space="preserve">from CEQA </w:t>
      </w:r>
      <w:r w:rsidRPr="00426F18" w:rsidR="00700A9C">
        <w:t xml:space="preserve">should be noticed, open to public participation, and subject to protest. </w:t>
      </w:r>
      <w:r w:rsidR="00977E88">
        <w:t xml:space="preserve">As such, </w:t>
      </w:r>
      <w:r w:rsidR="00791358">
        <w:t>Cal Advocates proposes that</w:t>
      </w:r>
      <w:r w:rsidR="00422759">
        <w:t xml:space="preserve"> </w:t>
      </w:r>
      <w:r w:rsidR="0066418F">
        <w:t xml:space="preserve">Staff </w:t>
      </w:r>
      <w:r w:rsidRPr="00C611B1" w:rsidR="0066418F">
        <w:t>Proposal</w:t>
      </w:r>
      <w:r w:rsidR="0066418F">
        <w:t xml:space="preserve"> </w:t>
      </w:r>
      <w:r w:rsidR="00DC14AC">
        <w:t>Section </w:t>
      </w:r>
      <w:r w:rsidR="0066418F">
        <w:t>3.1, Proposal</w:t>
      </w:r>
      <w:r w:rsidRPr="00C611B1" w:rsidR="0066418F">
        <w:t xml:space="preserve"> 6</w:t>
      </w:r>
      <w:r w:rsidR="0066418F">
        <w:t>,</w:t>
      </w:r>
      <w:r w:rsidR="00791358">
        <w:t xml:space="preserve"> </w:t>
      </w:r>
      <w:r w:rsidR="00FC280C">
        <w:t>Option 2 should be modified to</w:t>
      </w:r>
      <w:r w:rsidR="00791358">
        <w:t xml:space="preserve"> </w:t>
      </w:r>
      <w:r w:rsidR="00583A3F">
        <w:t>require</w:t>
      </w:r>
      <w:r w:rsidR="009A779F">
        <w:t xml:space="preserve"> submitt</w:t>
      </w:r>
      <w:r w:rsidR="00583A3F">
        <w:t>al of such notices</w:t>
      </w:r>
      <w:r w:rsidR="009A779F">
        <w:t xml:space="preserve"> in batches</w:t>
      </w:r>
      <w:r w:rsidR="00BC1E77">
        <w:t xml:space="preserve">, </w:t>
      </w:r>
      <w:r w:rsidR="002D61FB">
        <w:t>according to cost, location, and time of construction.</w:t>
      </w:r>
      <w:r w:rsidR="002D61FB">
        <w:rPr>
          <w:rStyle w:val="FootnoteReference"/>
        </w:rPr>
        <w:footnoteReference w:id="200"/>
      </w:r>
      <w:r w:rsidR="00FF5A25">
        <w:t xml:space="preserve"> </w:t>
      </w:r>
    </w:p>
    <w:p w:rsidR="0003698E" w:rsidP="00164CA3" w:rsidRDefault="00080297" w14:paraId="005722AE" w14:textId="77777777">
      <w:pPr>
        <w:pStyle w:val="Standard"/>
        <w:rPr>
          <w:szCs w:val="26"/>
        </w:rPr>
      </w:pPr>
      <w:r>
        <w:t>The</w:t>
      </w:r>
      <w:r w:rsidRPr="00426F18" w:rsidR="00426F18">
        <w:t xml:space="preserve"> IOUs propose </w:t>
      </w:r>
      <w:r w:rsidR="00BD40D0">
        <w:t>b</w:t>
      </w:r>
      <w:r w:rsidRPr="00426F18" w:rsidR="00426F18">
        <w:t>ifurcat</w:t>
      </w:r>
      <w:r>
        <w:t>ing</w:t>
      </w:r>
      <w:r w:rsidRPr="00426F18" w:rsidR="00426F18">
        <w:t xml:space="preserve"> PTC exemption “h” into two separate exemptions (</w:t>
      </w:r>
      <w:r w:rsidR="003B5D07">
        <w:t>GO </w:t>
      </w:r>
      <w:r w:rsidR="00A72024">
        <w:t>131-E</w:t>
      </w:r>
      <w:r w:rsidR="00630DCA">
        <w:t>,</w:t>
      </w:r>
      <w:r w:rsidR="00A72024">
        <w:t xml:space="preserve"> Sections </w:t>
      </w:r>
      <w:r w:rsidRPr="00426F18" w:rsidR="00426F18">
        <w:t>III.B.2.</w:t>
      </w:r>
      <w:r w:rsidR="00A72024">
        <w:t>g</w:t>
      </w:r>
      <w:r w:rsidRPr="00426F18" w:rsidR="00426F18">
        <w:t xml:space="preserve"> and III.B.2.</w:t>
      </w:r>
      <w:r w:rsidR="00A72024">
        <w:t>h</w:t>
      </w:r>
      <w:r w:rsidRPr="00426F18" w:rsidR="00426F18">
        <w:t>), one for categorically exempt projects and another for statutorily exempt projects.</w:t>
      </w:r>
      <w:r w:rsidR="00196086">
        <w:t xml:space="preserve"> </w:t>
      </w:r>
      <w:r w:rsidRPr="00C82BC3" w:rsidR="00196086">
        <w:t xml:space="preserve">According to SDG&amp;E, </w:t>
      </w:r>
      <w:r w:rsidRPr="00C82BC3" w:rsidR="0038013C">
        <w:rPr>
          <w:szCs w:val="26"/>
        </w:rPr>
        <w:t>the Commission may consider the exception to some PTC exemptions</w:t>
      </w:r>
      <w:r w:rsidRPr="00C82BC3" w:rsidR="00673805">
        <w:rPr>
          <w:szCs w:val="26"/>
        </w:rPr>
        <w:t xml:space="preserve"> but </w:t>
      </w:r>
      <w:r w:rsidRPr="00C82BC3" w:rsidR="0023470B">
        <w:rPr>
          <w:szCs w:val="26"/>
        </w:rPr>
        <w:t>doing so would be</w:t>
      </w:r>
      <w:r w:rsidRPr="00C82BC3" w:rsidR="0038013C">
        <w:rPr>
          <w:szCs w:val="26"/>
        </w:rPr>
        <w:t xml:space="preserve"> inconsistent with CEQA and </w:t>
      </w:r>
      <w:r w:rsidRPr="00C82BC3" w:rsidR="00B754EA">
        <w:rPr>
          <w:szCs w:val="26"/>
        </w:rPr>
        <w:t>may not be needed</w:t>
      </w:r>
      <w:r w:rsidRPr="00C82BC3" w:rsidR="0038013C">
        <w:rPr>
          <w:szCs w:val="26"/>
        </w:rPr>
        <w:t xml:space="preserve"> with respect to other PTC exemptions. </w:t>
      </w:r>
      <w:r w:rsidRPr="00EF0B81" w:rsidR="0038013C">
        <w:rPr>
          <w:szCs w:val="26"/>
        </w:rPr>
        <w:t xml:space="preserve">For example, </w:t>
      </w:r>
      <w:r w:rsidRPr="00EF0B81" w:rsidR="0006397F">
        <w:rPr>
          <w:szCs w:val="26"/>
        </w:rPr>
        <w:t>SDG&amp;E</w:t>
      </w:r>
      <w:r w:rsidRPr="00EF0B81" w:rsidR="00D81C51">
        <w:rPr>
          <w:szCs w:val="26"/>
        </w:rPr>
        <w:t xml:space="preserve"> </w:t>
      </w:r>
      <w:r w:rsidRPr="00EF0B81" w:rsidR="00D12476">
        <w:rPr>
          <w:szCs w:val="26"/>
        </w:rPr>
        <w:t xml:space="preserve">points out that </w:t>
      </w:r>
      <w:r w:rsidRPr="00EF0B81" w:rsidR="00D81C51">
        <w:rPr>
          <w:szCs w:val="26"/>
        </w:rPr>
        <w:t xml:space="preserve">Staff </w:t>
      </w:r>
      <w:r w:rsidRPr="00EF0B81" w:rsidR="0038013C">
        <w:rPr>
          <w:szCs w:val="26"/>
        </w:rPr>
        <w:t>appl</w:t>
      </w:r>
      <w:r w:rsidRPr="00EF0B81" w:rsidR="0043407F">
        <w:rPr>
          <w:szCs w:val="26"/>
        </w:rPr>
        <w:t>ication of</w:t>
      </w:r>
      <w:r w:rsidRPr="00EF0B81" w:rsidR="0038013C">
        <w:rPr>
          <w:szCs w:val="26"/>
        </w:rPr>
        <w:t xml:space="preserve"> </w:t>
      </w:r>
      <w:r w:rsidR="00DC14AC">
        <w:rPr>
          <w:szCs w:val="26"/>
        </w:rPr>
        <w:t>Section </w:t>
      </w:r>
      <w:r w:rsidRPr="00EF0B81" w:rsidR="0038013C">
        <w:rPr>
          <w:szCs w:val="26"/>
        </w:rPr>
        <w:t>III.B.2 to</w:t>
      </w:r>
      <w:r w:rsidRPr="00EF0B81" w:rsidR="00DE12DD">
        <w:rPr>
          <w:szCs w:val="26"/>
        </w:rPr>
        <w:t xml:space="preserve"> any</w:t>
      </w:r>
      <w:r w:rsidRPr="00EF0B81" w:rsidR="0038013C">
        <w:rPr>
          <w:szCs w:val="26"/>
        </w:rPr>
        <w:t xml:space="preserve"> project that </w:t>
      </w:r>
      <w:r w:rsidRPr="00EF0B81" w:rsidR="00DE12DD">
        <w:rPr>
          <w:szCs w:val="26"/>
        </w:rPr>
        <w:t>is</w:t>
      </w:r>
      <w:r w:rsidRPr="00EF0B81" w:rsidR="0038013C">
        <w:rPr>
          <w:szCs w:val="26"/>
        </w:rPr>
        <w:t xml:space="preserve"> </w:t>
      </w:r>
      <w:r w:rsidRPr="00EF0B81" w:rsidR="00002CFE">
        <w:rPr>
          <w:szCs w:val="26"/>
        </w:rPr>
        <w:t>categorically</w:t>
      </w:r>
      <w:r w:rsidRPr="00EF0B81" w:rsidR="0038013C">
        <w:rPr>
          <w:szCs w:val="26"/>
        </w:rPr>
        <w:t xml:space="preserve"> exempt from CEQ</w:t>
      </w:r>
      <w:r w:rsidRPr="00EF0B81" w:rsidR="0003698E">
        <w:rPr>
          <w:szCs w:val="26"/>
        </w:rPr>
        <w:t>A</w:t>
      </w:r>
      <w:r w:rsidRPr="00EF0B81" w:rsidR="00712713">
        <w:rPr>
          <w:szCs w:val="26"/>
        </w:rPr>
        <w:t xml:space="preserve"> could result </w:t>
      </w:r>
      <w:r w:rsidRPr="00EF0B81" w:rsidR="00592F45">
        <w:rPr>
          <w:szCs w:val="26"/>
        </w:rPr>
        <w:t>in the need to obt</w:t>
      </w:r>
      <w:r w:rsidRPr="00EF0B81" w:rsidR="005F7DD9">
        <w:rPr>
          <w:szCs w:val="26"/>
        </w:rPr>
        <w:t>ain</w:t>
      </w:r>
      <w:r w:rsidRPr="00EF0B81" w:rsidR="00592F45">
        <w:rPr>
          <w:szCs w:val="26"/>
        </w:rPr>
        <w:t xml:space="preserve"> PTCs for </w:t>
      </w:r>
      <w:r w:rsidRPr="00EF0B81" w:rsidR="00B70047">
        <w:rPr>
          <w:szCs w:val="26"/>
        </w:rPr>
        <w:t xml:space="preserve">projects that entail </w:t>
      </w:r>
      <w:r w:rsidRPr="00EF0B81" w:rsidR="003269BD">
        <w:rPr>
          <w:szCs w:val="26"/>
        </w:rPr>
        <w:t xml:space="preserve">minor alterations, repair, or maintenance among other </w:t>
      </w:r>
      <w:r w:rsidRPr="00EF0B81" w:rsidR="00712713">
        <w:rPr>
          <w:szCs w:val="26"/>
        </w:rPr>
        <w:t>routine</w:t>
      </w:r>
      <w:r w:rsidR="00712713">
        <w:rPr>
          <w:szCs w:val="26"/>
        </w:rPr>
        <w:t xml:space="preserve"> operations</w:t>
      </w:r>
      <w:r w:rsidR="00592F45">
        <w:rPr>
          <w:szCs w:val="26"/>
        </w:rPr>
        <w:t>.</w:t>
      </w:r>
      <w:r w:rsidRPr="00C82BC3" w:rsidR="00D81C51">
        <w:rPr>
          <w:rStyle w:val="FootnoteReference"/>
          <w:szCs w:val="26"/>
        </w:rPr>
        <w:footnoteReference w:id="201"/>
      </w:r>
    </w:p>
    <w:p w:rsidRPr="00EF0B81" w:rsidR="00C611B1" w:rsidP="00DA71F8" w:rsidRDefault="00F5382F" w14:paraId="29DA2602" w14:textId="77777777">
      <w:pPr>
        <w:pStyle w:val="Standard"/>
      </w:pPr>
      <w:r w:rsidRPr="00EF0B81">
        <w:t>To accomplish this, the</w:t>
      </w:r>
      <w:r w:rsidRPr="00EF0B81" w:rsidR="001E5481">
        <w:t xml:space="preserve"> IOUs</w:t>
      </w:r>
      <w:r w:rsidRPr="00EF0B81" w:rsidR="00426F18">
        <w:t xml:space="preserve"> </w:t>
      </w:r>
      <w:r w:rsidRPr="00EF0B81" w:rsidR="00F73039">
        <w:t xml:space="preserve">propose </w:t>
      </w:r>
      <w:r w:rsidRPr="00EF0B81" w:rsidR="003A501B">
        <w:t xml:space="preserve">to modify </w:t>
      </w:r>
      <w:r w:rsidR="00DC14AC">
        <w:t>Section </w:t>
      </w:r>
      <w:r w:rsidRPr="00EF0B81" w:rsidR="00426F18">
        <w:t>III.B.3</w:t>
      </w:r>
      <w:r w:rsidRPr="00EF0B81" w:rsidR="00CC223F">
        <w:t xml:space="preserve"> r</w:t>
      </w:r>
      <w:r w:rsidRPr="00EF0B81" w:rsidR="00C2251D">
        <w:t xml:space="preserve">elated </w:t>
      </w:r>
      <w:r w:rsidRPr="00EF0B81" w:rsidR="000D4D5D">
        <w:t>to the appli</w:t>
      </w:r>
      <w:r w:rsidRPr="00EF0B81" w:rsidR="00973ED7">
        <w:t xml:space="preserve">cability of </w:t>
      </w:r>
      <w:r w:rsidRPr="00EF0B81" w:rsidR="00CC223F">
        <w:t xml:space="preserve">(1) </w:t>
      </w:r>
      <w:r w:rsidRPr="00EF0B81" w:rsidR="00C2251D">
        <w:t xml:space="preserve">exemptions </w:t>
      </w:r>
      <w:r w:rsidRPr="00EF0B81" w:rsidR="00426F18">
        <w:t>(a) through (g)</w:t>
      </w:r>
      <w:r w:rsidRPr="00EF0B81" w:rsidR="00CD3C34">
        <w:t>,</w:t>
      </w:r>
      <w:r w:rsidRPr="00EF0B81" w:rsidR="00426F18">
        <w:t xml:space="preserve"> </w:t>
      </w:r>
      <w:r w:rsidRPr="00EF0B81" w:rsidR="00E269AB">
        <w:t xml:space="preserve">and </w:t>
      </w:r>
      <w:r w:rsidRPr="00EF0B81" w:rsidR="00CC223F">
        <w:t xml:space="preserve">(2) </w:t>
      </w:r>
      <w:r w:rsidRPr="00EF0B81" w:rsidR="00BA4969">
        <w:t xml:space="preserve">exemption (h) when a project is categorically exempt pursuant to </w:t>
      </w:r>
      <w:r w:rsidRPr="00EF0B81" w:rsidR="00FF1868">
        <w:t xml:space="preserve">CEQA Guidelines </w:t>
      </w:r>
      <w:r w:rsidRPr="00EF0B81" w:rsidR="00CD3C34">
        <w:t>Sections</w:t>
      </w:r>
      <w:r w:rsidRPr="00EF0B81" w:rsidR="00BA4969">
        <w:t xml:space="preserve"> 15303, 15304, 15305, 15306, or 15311</w:t>
      </w:r>
      <w:r w:rsidRPr="00EF0B81" w:rsidR="00833195">
        <w:t xml:space="preserve">. In </w:t>
      </w:r>
      <w:r w:rsidRPr="00EF0B81" w:rsidR="00096424">
        <w:t xml:space="preserve">both </w:t>
      </w:r>
      <w:r w:rsidRPr="00EF0B81" w:rsidR="0068055D">
        <w:t>instances</w:t>
      </w:r>
      <w:r w:rsidRPr="00EF0B81" w:rsidR="007A2898">
        <w:t>,</w:t>
      </w:r>
      <w:r w:rsidRPr="00EF0B81" w:rsidR="00096424">
        <w:t xml:space="preserve"> </w:t>
      </w:r>
      <w:r w:rsidRPr="00EF0B81" w:rsidR="00C45557">
        <w:t>exemptions will not be</w:t>
      </w:r>
      <w:r w:rsidR="005A58BA">
        <w:t xml:space="preserve"> </w:t>
      </w:r>
      <w:r w:rsidR="24277CBD">
        <w:t xml:space="preserve">applicable </w:t>
      </w:r>
      <w:r w:rsidR="00C45557">
        <w:t>if</w:t>
      </w:r>
      <w:r w:rsidRPr="00EF0B81" w:rsidR="00C45557">
        <w:t xml:space="preserve"> there is a </w:t>
      </w:r>
      <w:r w:rsidRPr="00EF0B81" w:rsidR="00FE6B26">
        <w:t xml:space="preserve">reasonable possibility that the </w:t>
      </w:r>
      <w:r w:rsidRPr="00EF0B81" w:rsidR="00091B36">
        <w:t xml:space="preserve">proposed </w:t>
      </w:r>
      <w:r w:rsidRPr="00EF0B81" w:rsidR="00FE6B26">
        <w:t>activity may impact an environmental resource of hazardous or critical concern</w:t>
      </w:r>
      <w:r w:rsidRPr="00EF0B81" w:rsidR="003D13ED">
        <w:t xml:space="preserve"> </w:t>
      </w:r>
      <w:r w:rsidRPr="00EF0B81" w:rsidR="00FE6B26">
        <w:t xml:space="preserve">pursuant to </w:t>
      </w:r>
      <w:r w:rsidRPr="00EF0B81" w:rsidR="00382EBA">
        <w:t xml:space="preserve">CEQA Guidelines </w:t>
      </w:r>
      <w:r w:rsidR="00DC14AC">
        <w:t>Section </w:t>
      </w:r>
      <w:r w:rsidRPr="00EF0B81" w:rsidR="00FE6B26">
        <w:t>15300.2(a).</w:t>
      </w:r>
      <w:r w:rsidRPr="00EF0B81" w:rsidR="00164CA3">
        <w:t xml:space="preserve"> </w:t>
      </w:r>
    </w:p>
    <w:p w:rsidR="00E34398" w:rsidP="006A5C0C" w:rsidRDefault="00E34398" w14:paraId="30F0E86E" w14:textId="77777777">
      <w:pPr>
        <w:pStyle w:val="Standard"/>
      </w:pPr>
      <w:r>
        <w:lastRenderedPageBreak/>
        <w:t>Regarding bifurcation of exemption “h”, we agree with the IOUs that the exception</w:t>
      </w:r>
      <w:r w:rsidR="1C567D89">
        <w:t>s</w:t>
      </w:r>
      <w:r>
        <w:t xml:space="preserve"> to PTC exemptions should be consistent with CEQA Guidelines. </w:t>
      </w:r>
      <w:r w:rsidR="0039490F">
        <w:t>W</w:t>
      </w:r>
      <w:r>
        <w:t xml:space="preserve">e </w:t>
      </w:r>
      <w:r w:rsidR="0039490F">
        <w:t xml:space="preserve">therefore </w:t>
      </w:r>
      <w:r>
        <w:t xml:space="preserve">clarify that the exception only applies to categorical exemptions and not statutory exemptions. </w:t>
      </w:r>
      <w:r w:rsidR="00536BFF">
        <w:t xml:space="preserve">Accordingly, </w:t>
      </w:r>
      <w:r w:rsidRPr="00EF0B81" w:rsidR="00536BFF">
        <w:t>we a</w:t>
      </w:r>
      <w:r w:rsidRPr="00EF0B81" w:rsidR="007E74D6">
        <w:t>dopt</w:t>
      </w:r>
      <w:r w:rsidRPr="00EF0B81" w:rsidR="00536BFF">
        <w:t xml:space="preserve"> the IOUs’ proposals to bifurcate PTC exemption “h” into two separate exemptions (III.B.2.</w:t>
      </w:r>
      <w:r w:rsidR="00895A2C">
        <w:t>g</w:t>
      </w:r>
      <w:r w:rsidRPr="00EF0B81" w:rsidR="00536BFF">
        <w:t xml:space="preserve"> and III.B.2.</w:t>
      </w:r>
      <w:r w:rsidR="00895A2C">
        <w:t>h</w:t>
      </w:r>
      <w:r w:rsidRPr="00EF0B81" w:rsidR="00536BFF">
        <w:t>).</w:t>
      </w:r>
      <w:r w:rsidR="00E9186F">
        <w:t xml:space="preserve"> </w:t>
      </w:r>
    </w:p>
    <w:p w:rsidR="00506DFA" w:rsidP="006A5C0C" w:rsidRDefault="69892D0E" w14:paraId="251193B0" w14:textId="77777777">
      <w:pPr>
        <w:pStyle w:val="Standard"/>
      </w:pPr>
      <w:r>
        <w:t>The information</w:t>
      </w:r>
      <w:r w:rsidR="00237FE8">
        <w:t>-only submittal</w:t>
      </w:r>
      <w:r w:rsidR="3C8341CA">
        <w:t xml:space="preserve"> process</w:t>
      </w:r>
      <w:r w:rsidR="00237FE8">
        <w:t xml:space="preserve"> proposed in</w:t>
      </w:r>
      <w:r w:rsidR="002479B4">
        <w:t xml:space="preserve"> </w:t>
      </w:r>
      <w:r w:rsidR="00841289">
        <w:t xml:space="preserve">Staff </w:t>
      </w:r>
      <w:r w:rsidRPr="00C611B1" w:rsidR="00841289">
        <w:t>Proposal</w:t>
      </w:r>
      <w:r w:rsidR="00841289">
        <w:t xml:space="preserve"> </w:t>
      </w:r>
      <w:r w:rsidR="00DC14AC">
        <w:t>Section </w:t>
      </w:r>
      <w:r w:rsidR="00841289">
        <w:t>3.1, Proposal</w:t>
      </w:r>
      <w:r w:rsidRPr="00C611B1" w:rsidR="00841289">
        <w:t xml:space="preserve"> 6</w:t>
      </w:r>
      <w:r w:rsidR="00841289">
        <w:t>,</w:t>
      </w:r>
      <w:r w:rsidR="002479B4">
        <w:t xml:space="preserve"> Option 1 </w:t>
      </w:r>
      <w:r w:rsidR="647E46FA">
        <w:t>is</w:t>
      </w:r>
      <w:r w:rsidR="001832F6">
        <w:t xml:space="preserve"> </w:t>
      </w:r>
      <w:r w:rsidR="002479B4">
        <w:t>intend</w:t>
      </w:r>
      <w:r w:rsidR="001832F6">
        <w:t>ed</w:t>
      </w:r>
      <w:r w:rsidR="002479B4">
        <w:t xml:space="preserve"> to provide Staff with increased visibility about when and how utilities claim PTC exemptions</w:t>
      </w:r>
      <w:r w:rsidR="3D95D212">
        <w:t xml:space="preserve"> for projects that are categorically or statutorily exempt from CEQA</w:t>
      </w:r>
      <w:r w:rsidR="1859DA79">
        <w:t>.</w:t>
      </w:r>
      <w:r w:rsidR="66CA220D">
        <w:t xml:space="preserve"> </w:t>
      </w:r>
      <w:r w:rsidR="7ADA2A2B">
        <w:t>However, we acknowledge that</w:t>
      </w:r>
      <w:r w:rsidR="1641AF1F">
        <w:t xml:space="preserve"> many of th</w:t>
      </w:r>
      <w:r w:rsidR="1AB3D376">
        <w:t>e</w:t>
      </w:r>
      <w:r w:rsidR="1641AF1F">
        <w:t xml:space="preserve">se projects </w:t>
      </w:r>
      <w:r w:rsidR="10F4233F">
        <w:t>are already reported to the Commission by utilities in the Transmission Project Review (TPR) Process</w:t>
      </w:r>
      <w:r w:rsidR="002479B4">
        <w:t xml:space="preserve">. </w:t>
      </w:r>
      <w:r w:rsidR="1A4C6216">
        <w:t>Furthermore, Staff can use the data request process outside of GO 131-E to require utilities to provide additional information on any of their electrical infrastructure projects.</w:t>
      </w:r>
    </w:p>
    <w:p w:rsidRPr="003A2658" w:rsidR="00DC0512" w:rsidP="006A5C0C" w:rsidRDefault="002479B4" w14:paraId="2E5B849B" w14:textId="77777777">
      <w:pPr>
        <w:pStyle w:val="Standard"/>
      </w:pPr>
      <w:r w:rsidRPr="00DA71F8">
        <w:t>Therefore</w:t>
      </w:r>
      <w:r w:rsidRPr="00DA71F8" w:rsidR="001A2B57">
        <w:t>,</w:t>
      </w:r>
      <w:r w:rsidRPr="00DA71F8">
        <w:t xml:space="preserve"> </w:t>
      </w:r>
      <w:r w:rsidR="27772BF9">
        <w:t xml:space="preserve">with the understanding that Staff </w:t>
      </w:r>
      <w:r w:rsidR="74AA37BC">
        <w:t xml:space="preserve">have other </w:t>
      </w:r>
      <w:r w:rsidR="6D5EAA53">
        <w:t>ways</w:t>
      </w:r>
      <w:r w:rsidR="27772BF9">
        <w:t xml:space="preserve"> to</w:t>
      </w:r>
      <w:r w:rsidR="1C0F6605">
        <w:t xml:space="preserve"> </w:t>
      </w:r>
      <w:r w:rsidR="1E393C9C">
        <w:t>track these projects,</w:t>
      </w:r>
      <w:r w:rsidR="27772BF9">
        <w:t xml:space="preserve"> </w:t>
      </w:r>
      <w:r w:rsidR="001A2B57">
        <w:t>we</w:t>
      </w:r>
      <w:r>
        <w:t xml:space="preserve"> </w:t>
      </w:r>
      <w:r w:rsidR="31E5803B">
        <w:t xml:space="preserve">do </w:t>
      </w:r>
      <w:r w:rsidR="69EC5FD2">
        <w:t xml:space="preserve">not </w:t>
      </w:r>
      <w:r w:rsidR="5A7C2080">
        <w:t xml:space="preserve">adopt the Staff Proposal’s information-only submittal </w:t>
      </w:r>
      <w:r w:rsidR="207B7A61">
        <w:t xml:space="preserve">proposal </w:t>
      </w:r>
      <w:r w:rsidR="5A7C2080">
        <w:t xml:space="preserve">and do not </w:t>
      </w:r>
      <w:r w:rsidR="07622A06">
        <w:t xml:space="preserve">include </w:t>
      </w:r>
      <w:r w:rsidR="2B9E163A">
        <w:t xml:space="preserve">new </w:t>
      </w:r>
      <w:r w:rsidR="07622A06">
        <w:t>requirement</w:t>
      </w:r>
      <w:r w:rsidR="4CAF0182">
        <w:t>s</w:t>
      </w:r>
      <w:r w:rsidR="07622A06">
        <w:t xml:space="preserve"> in GO 131-E</w:t>
      </w:r>
      <w:r w:rsidR="69EC5FD2">
        <w:t xml:space="preserve"> </w:t>
      </w:r>
      <w:r w:rsidR="622E6068">
        <w:t xml:space="preserve">for </w:t>
      </w:r>
      <w:r>
        <w:t>utilities</w:t>
      </w:r>
      <w:r w:rsidRPr="00DA71F8">
        <w:t xml:space="preserve"> to notice projects that </w:t>
      </w:r>
      <w:r w:rsidR="4F27904C">
        <w:t>are eligible for the PTC exemptions set forth in GO 131-E Sections III.B.2.g and III.B.2.h.</w:t>
      </w:r>
    </w:p>
    <w:p w:rsidR="00894996" w:rsidP="00804F6F" w:rsidRDefault="00894996" w14:paraId="07FAF498" w14:textId="77777777">
      <w:pPr>
        <w:pStyle w:val="Heading2"/>
      </w:pPr>
      <w:bookmarkStart w:name="_Toc189738516" w:id="166"/>
      <w:r>
        <w:t xml:space="preserve">Substation Modification </w:t>
      </w:r>
      <w:r w:rsidR="00354C7F">
        <w:t>Exemption</w:t>
      </w:r>
      <w:bookmarkEnd w:id="166"/>
    </w:p>
    <w:p w:rsidRPr="00DA71F8" w:rsidR="009949BB" w:rsidP="006A5C0C" w:rsidRDefault="00916D38" w14:paraId="41862D3B" w14:textId="77777777">
      <w:pPr>
        <w:pStyle w:val="Standard"/>
      </w:pPr>
      <w:r w:rsidRPr="00DA71F8">
        <w:t>After considering party comments and Staff recommen</w:t>
      </w:r>
      <w:r w:rsidRPr="00DA71F8" w:rsidR="009949BB">
        <w:t>dations, w</w:t>
      </w:r>
      <w:r w:rsidRPr="00DA71F8" w:rsidR="00EE4E94">
        <w:t xml:space="preserve">e </w:t>
      </w:r>
      <w:r w:rsidRPr="00DA71F8" w:rsidR="00771D83">
        <w:t>adopt</w:t>
      </w:r>
      <w:r w:rsidRPr="00DA71F8" w:rsidR="00777E71">
        <w:t xml:space="preserve"> revisions to</w:t>
      </w:r>
      <w:r w:rsidRPr="00DA71F8" w:rsidR="00771D83">
        <w:t xml:space="preserve"> </w:t>
      </w:r>
      <w:r w:rsidRPr="00DA71F8" w:rsidR="00414274">
        <w:t>Sections III.B and III.C</w:t>
      </w:r>
      <w:r w:rsidRPr="00DA71F8" w:rsidR="007763B1">
        <w:t xml:space="preserve"> in </w:t>
      </w:r>
      <w:r w:rsidR="003B5D07">
        <w:t>GO </w:t>
      </w:r>
      <w:r w:rsidRPr="00DA71F8" w:rsidR="007763B1">
        <w:t>131-E</w:t>
      </w:r>
      <w:r w:rsidRPr="00DA71F8" w:rsidR="000A7F7D">
        <w:t xml:space="preserve"> that retain</w:t>
      </w:r>
      <w:r w:rsidRPr="00DA71F8" w:rsidR="00414274">
        <w:t xml:space="preserve"> </w:t>
      </w:r>
      <w:r w:rsidR="00FB4CA6">
        <w:t xml:space="preserve">existing </w:t>
      </w:r>
      <w:r w:rsidRPr="00DA71F8" w:rsidR="00043737">
        <w:t xml:space="preserve">PTC </w:t>
      </w:r>
      <w:r w:rsidRPr="00DA71F8" w:rsidR="00777E71">
        <w:t xml:space="preserve">exemptions </w:t>
      </w:r>
      <w:r w:rsidRPr="00DA71F8" w:rsidR="00736100">
        <w:t xml:space="preserve">for </w:t>
      </w:r>
      <w:r w:rsidRPr="00DA71F8" w:rsidR="005D4F9C">
        <w:t xml:space="preserve">minor </w:t>
      </w:r>
      <w:r w:rsidRPr="00DA71F8" w:rsidR="00873822">
        <w:t>substation modification projects</w:t>
      </w:r>
      <w:r w:rsidRPr="00DA71F8" w:rsidR="005D4F9C">
        <w:t>.</w:t>
      </w:r>
    </w:p>
    <w:p w:rsidR="00894996" w:rsidP="00B76B2A" w:rsidRDefault="087F7E9E" w14:paraId="53820B3F" w14:textId="77777777">
      <w:pPr>
        <w:pStyle w:val="Standard"/>
      </w:pPr>
      <w:r w:rsidRPr="00DA71F8">
        <w:t xml:space="preserve">In </w:t>
      </w:r>
      <w:r w:rsidR="00DC14AC">
        <w:t>Section </w:t>
      </w:r>
      <w:r w:rsidRPr="00DA71F8">
        <w:t>7.2 of this decision</w:t>
      </w:r>
      <w:r w:rsidRPr="00DA71F8" w:rsidR="2ED8E272">
        <w:t>,</w:t>
      </w:r>
      <w:r w:rsidRPr="00DA71F8" w:rsidR="5CDEBB0F">
        <w:t xml:space="preserve"> </w:t>
      </w:r>
      <w:r w:rsidR="00B7667C">
        <w:t>the Commission</w:t>
      </w:r>
      <w:r w:rsidRPr="00DA71F8" w:rsidR="0D44E7BA">
        <w:t xml:space="preserve"> </w:t>
      </w:r>
      <w:r w:rsidRPr="00DA71F8" w:rsidR="4D5CC7C0">
        <w:t xml:space="preserve">intends to provide clarity by </w:t>
      </w:r>
      <w:r w:rsidRPr="00DA71F8" w:rsidR="0D44E7BA">
        <w:t>propos</w:t>
      </w:r>
      <w:r w:rsidRPr="00DA71F8" w:rsidR="4D5CC7C0">
        <w:t>ing</w:t>
      </w:r>
      <w:r w:rsidRPr="00DA71F8" w:rsidR="2ED8E272">
        <w:t xml:space="preserve"> </w:t>
      </w:r>
      <w:r w:rsidRPr="00DA71F8" w:rsidR="0D44E7BA">
        <w:t xml:space="preserve">to delete </w:t>
      </w:r>
      <w:r w:rsidRPr="00DA71F8" w:rsidR="2E85CB0C">
        <w:t>the terms</w:t>
      </w:r>
      <w:r w:rsidRPr="00DA71F8" w:rsidR="7AF6E7E0">
        <w:t xml:space="preserve"> </w:t>
      </w:r>
      <w:r w:rsidRPr="00DA71F8" w:rsidR="2E85CB0C">
        <w:t>“</w:t>
      </w:r>
      <w:r w:rsidRPr="00DA71F8" w:rsidR="7AF6E7E0">
        <w:t>upgra</w:t>
      </w:r>
      <w:r w:rsidRPr="00DA71F8" w:rsidR="2E85CB0C">
        <w:t>ded modification”</w:t>
      </w:r>
      <w:r w:rsidRPr="00DA71F8" w:rsidR="7AF6E7E0">
        <w:t xml:space="preserve"> or </w:t>
      </w:r>
      <w:r w:rsidRPr="00DA71F8" w:rsidR="2E85CB0C">
        <w:t>“</w:t>
      </w:r>
      <w:r w:rsidRPr="00DA71F8" w:rsidR="6629D0A6">
        <w:t>substation</w:t>
      </w:r>
      <w:r w:rsidRPr="00DA71F8" w:rsidR="17A03562">
        <w:t xml:space="preserve">s </w:t>
      </w:r>
      <w:r w:rsidRPr="00DA71F8" w:rsidR="1D5AA41F">
        <w:lastRenderedPageBreak/>
        <w:t>modification projects”</w:t>
      </w:r>
      <w:r w:rsidRPr="00DA71F8" w:rsidR="0D44E7BA">
        <w:t xml:space="preserve"> from </w:t>
      </w:r>
      <w:r w:rsidRPr="00DA71F8" w:rsidR="4A6363DF">
        <w:t xml:space="preserve">the list of </w:t>
      </w:r>
      <w:r w:rsidRPr="00DA71F8" w:rsidR="1D5AA41F">
        <w:t xml:space="preserve">projects </w:t>
      </w:r>
      <w:r w:rsidRPr="00DA71F8" w:rsidR="47F9391A">
        <w:t xml:space="preserve">specified in </w:t>
      </w:r>
      <w:r w:rsidR="003B5D07">
        <w:t>GO </w:t>
      </w:r>
      <w:r w:rsidRPr="00DA71F8" w:rsidR="47F9391A">
        <w:t xml:space="preserve">131-D </w:t>
      </w:r>
      <w:r w:rsidRPr="00DA71F8" w:rsidR="1D5AA41F">
        <w:t xml:space="preserve">that are </w:t>
      </w:r>
      <w:r w:rsidRPr="00DA71F8" w:rsidR="5E755365">
        <w:t xml:space="preserve">exempt from </w:t>
      </w:r>
      <w:r w:rsidRPr="00DA71F8" w:rsidR="029883D3">
        <w:t>the</w:t>
      </w:r>
      <w:r w:rsidRPr="00DA71F8" w:rsidR="5E755365">
        <w:t xml:space="preserve"> PTC requirements</w:t>
      </w:r>
      <w:r w:rsidRPr="00DA71F8" w:rsidR="2BD27786">
        <w:t>.</w:t>
      </w:r>
      <w:r w:rsidRPr="00DA71F8" w:rsidR="00894996">
        <w:rPr>
          <w:rStyle w:val="FootnoteReference"/>
        </w:rPr>
        <w:footnoteReference w:id="202"/>
      </w:r>
      <w:r w:rsidRPr="00DA71F8" w:rsidR="2BD27786">
        <w:t xml:space="preserve"> </w:t>
      </w:r>
    </w:p>
    <w:p w:rsidRPr="006D62E0" w:rsidR="006D62E0" w:rsidP="006D62E0" w:rsidRDefault="00145DD6" w14:paraId="3EF64F6C" w14:textId="77777777">
      <w:pPr>
        <w:pStyle w:val="Standard"/>
      </w:pPr>
      <w:r>
        <w:t>In</w:t>
      </w:r>
      <w:r w:rsidR="544B2ABA">
        <w:t xml:space="preserve"> response to </w:t>
      </w:r>
      <w:r w:rsidR="00C32BFA">
        <w:t>Staff Proposal</w:t>
      </w:r>
      <w:r w:rsidR="00374DD7">
        <w:t xml:space="preserve"> </w:t>
      </w:r>
      <w:r w:rsidR="00DC14AC">
        <w:t>Section </w:t>
      </w:r>
      <w:r w:rsidR="00374DD7">
        <w:t>3.1, Proposal 2</w:t>
      </w:r>
      <w:r w:rsidR="00554536">
        <w:t xml:space="preserve">, </w:t>
      </w:r>
      <w:r w:rsidR="39171029">
        <w:t>s</w:t>
      </w:r>
      <w:r w:rsidRPr="003B4A45" w:rsidR="2239500F">
        <w:t>everal parties (PG&amp;E, SCE, SD</w:t>
      </w:r>
      <w:r w:rsidR="2F342FC7">
        <w:t>G&amp;</w:t>
      </w:r>
      <w:r w:rsidRPr="003B4A45" w:rsidR="2239500F">
        <w:t>E, CUE, EDF) assert that by making</w:t>
      </w:r>
      <w:r w:rsidDel="2239500F" w:rsidR="00554536">
        <w:t xml:space="preserve"> </w:t>
      </w:r>
      <w:r w:rsidRPr="003B4A45" w:rsidR="003B4A45">
        <w:t>these</w:t>
      </w:r>
      <w:r w:rsidRPr="003B4A45" w:rsidR="6D7418A1">
        <w:t xml:space="preserve"> </w:t>
      </w:r>
      <w:r w:rsidRPr="003B4A45" w:rsidR="2239500F">
        <w:t xml:space="preserve">changes, </w:t>
      </w:r>
      <w:r w:rsidR="62815395">
        <w:t>Staff</w:t>
      </w:r>
      <w:r w:rsidRPr="003B4A45" w:rsidR="2239500F">
        <w:t xml:space="preserve"> would require PTCs for minor substation modification projects within the existing footprint which have been exempt from permitting for nearly 30 years</w:t>
      </w:r>
      <w:r w:rsidR="2F7E4609">
        <w:t>.</w:t>
      </w:r>
      <w:r w:rsidR="006652DE">
        <w:rPr>
          <w:rStyle w:val="FootnoteReference"/>
        </w:rPr>
        <w:footnoteReference w:id="203"/>
      </w:r>
      <w:r w:rsidR="2F7E4609">
        <w:t xml:space="preserve"> </w:t>
      </w:r>
      <w:r w:rsidRPr="003B4A45" w:rsidR="2239500F">
        <w:t xml:space="preserve">PG&amp;E refers to “hundreds of minor maintenance, modification and interconnection projects that occur entirely within existing substation property” that are currently exempt from the PTC requirement based on the definitions of “substation modification” and “substation upgrade project” but do not qualify for any of the PTC exemption categories in </w:t>
      </w:r>
      <w:r w:rsidR="00DC14AC">
        <w:t>Section </w:t>
      </w:r>
      <w:r w:rsidRPr="003B4A45" w:rsidR="2239500F">
        <w:t>III.B</w:t>
      </w:r>
      <w:r w:rsidR="27C041E2">
        <w:t>.</w:t>
      </w:r>
      <w:r w:rsidR="00536F8F">
        <w:rPr>
          <w:rStyle w:val="FootnoteReference"/>
        </w:rPr>
        <w:footnoteReference w:id="204"/>
      </w:r>
      <w:r w:rsidRPr="003B4A45" w:rsidR="2239500F">
        <w:t xml:space="preserve"> </w:t>
      </w:r>
      <w:r w:rsidRPr="006D62E0" w:rsidR="30E972A1">
        <w:t xml:space="preserve">PG&amp;E, SCE, and SDG&amp;E additionally recommend that </w:t>
      </w:r>
      <w:r w:rsidR="42F80D5F">
        <w:t>S</w:t>
      </w:r>
      <w:r w:rsidRPr="006D62E0" w:rsidR="30E972A1">
        <w:t>taff, in SCE’s words, “revise [</w:t>
      </w:r>
      <w:r w:rsidR="00DC14AC">
        <w:t>Section </w:t>
      </w:r>
      <w:r w:rsidRPr="006D62E0" w:rsidR="30E972A1">
        <w:t xml:space="preserve">III.C.1] to capture all work within an existing substation, rather than arbitrarily </w:t>
      </w:r>
      <w:r w:rsidRPr="00EA710A" w:rsidR="30E972A1">
        <w:t>limiting the exemption as currently proposed</w:t>
      </w:r>
      <w:r w:rsidRPr="00EA710A" w:rsidR="00020589">
        <w:t>,</w:t>
      </w:r>
      <w:r w:rsidRPr="00EA710A" w:rsidR="30E972A1">
        <w:t>” so that</w:t>
      </w:r>
      <w:r w:rsidRPr="006D62E0" w:rsidR="30E972A1">
        <w:t xml:space="preserve"> the following projects would not require a CPCN, PTC, or notice</w:t>
      </w:r>
      <w:r w:rsidR="3C5E48E4">
        <w:t>.</w:t>
      </w:r>
      <w:r w:rsidR="004C29D7">
        <w:rPr>
          <w:rStyle w:val="FootnoteReference"/>
        </w:rPr>
        <w:footnoteReference w:id="205"/>
      </w:r>
      <w:r w:rsidR="3C5E48E4">
        <w:t xml:space="preserve"> </w:t>
      </w:r>
      <w:r w:rsidR="36074893">
        <w:t xml:space="preserve">This revision would state the following: </w:t>
      </w:r>
      <w:r w:rsidRPr="006D62E0" w:rsidR="30E972A1">
        <w:t>“Substation modification projects which do not result in an upgraded substation.” </w:t>
      </w:r>
    </w:p>
    <w:p w:rsidR="007B2FCF" w:rsidP="008039FA" w:rsidRDefault="00DF47F0" w14:paraId="0A51AC6B" w14:textId="77777777">
      <w:pPr>
        <w:pStyle w:val="Standard"/>
      </w:pPr>
      <w:r w:rsidRPr="00E92C46">
        <w:t xml:space="preserve">Staff </w:t>
      </w:r>
      <w:r w:rsidRPr="00E92C46" w:rsidR="00CE2658">
        <w:t xml:space="preserve">Proposal </w:t>
      </w:r>
      <w:r w:rsidR="00DC14AC">
        <w:t>Section </w:t>
      </w:r>
      <w:r w:rsidRPr="00E92C46" w:rsidR="008675C6">
        <w:t xml:space="preserve">3.1, Proposal </w:t>
      </w:r>
      <w:r w:rsidRPr="00E92C46" w:rsidR="00CE2658">
        <w:t>2</w:t>
      </w:r>
      <w:r w:rsidRPr="00E92C46" w:rsidR="00BC3D42">
        <w:t>,</w:t>
      </w:r>
      <w:r w:rsidRPr="00E92C46" w:rsidR="004977BD">
        <w:t xml:space="preserve"> </w:t>
      </w:r>
      <w:r w:rsidRPr="00E92C46" w:rsidR="008675C6">
        <w:t>which</w:t>
      </w:r>
      <w:r w:rsidRPr="00E92C46" w:rsidR="004977BD">
        <w:t xml:space="preserve"> revise</w:t>
      </w:r>
      <w:r w:rsidRPr="00E92C46" w:rsidR="008675C6">
        <w:t>s</w:t>
      </w:r>
      <w:r w:rsidRPr="00E92C46" w:rsidR="004977BD">
        <w:t xml:space="preserve"> the definitions of</w:t>
      </w:r>
      <w:r w:rsidRPr="00E92C46" w:rsidR="00CE2658">
        <w:t xml:space="preserve"> </w:t>
      </w:r>
      <w:r w:rsidRPr="00E92C46" w:rsidR="00BC22B2">
        <w:t>extension, expansion, upgrade, and modification</w:t>
      </w:r>
      <w:r w:rsidRPr="00E92C46" w:rsidR="004977BD">
        <w:t xml:space="preserve">, </w:t>
      </w:r>
      <w:r w:rsidRPr="00E92C46" w:rsidR="00737057">
        <w:t>assume</w:t>
      </w:r>
      <w:r w:rsidR="00AA0D3D">
        <w:t>s</w:t>
      </w:r>
      <w:r w:rsidRPr="00E92C46" w:rsidR="00737057">
        <w:t xml:space="preserve"> that </w:t>
      </w:r>
      <w:r w:rsidRPr="00E92C46" w:rsidR="00A64BFA">
        <w:t xml:space="preserve">proposed </w:t>
      </w:r>
      <w:r w:rsidRPr="00E92C46" w:rsidR="00737057">
        <w:t>substation modificati</w:t>
      </w:r>
      <w:r w:rsidRPr="00E92C46" w:rsidR="001C104A">
        <w:t>on</w:t>
      </w:r>
      <w:r w:rsidRPr="00E92C46" w:rsidR="00A64BFA">
        <w:t>s</w:t>
      </w:r>
      <w:r w:rsidRPr="00E92C46" w:rsidR="001C104A">
        <w:t xml:space="preserve"> and/or upgrade</w:t>
      </w:r>
      <w:r w:rsidRPr="00E92C46" w:rsidR="00A64BFA">
        <w:t>s</w:t>
      </w:r>
      <w:r w:rsidRPr="00E92C46" w:rsidR="001C104A">
        <w:t xml:space="preserve"> </w:t>
      </w:r>
      <w:r w:rsidRPr="00E92C46" w:rsidR="00737057">
        <w:t xml:space="preserve">would qualify either  </w:t>
      </w:r>
      <w:r w:rsidRPr="00E92C46" w:rsidR="000661A5">
        <w:t xml:space="preserve">(1) </w:t>
      </w:r>
      <w:r w:rsidRPr="00E92C46" w:rsidR="00085A74">
        <w:t xml:space="preserve">as </w:t>
      </w:r>
      <w:r w:rsidRPr="00E92C46" w:rsidR="00A5791B">
        <w:t>a</w:t>
      </w:r>
      <w:r w:rsidRPr="00E92C46" w:rsidR="007343D9">
        <w:t xml:space="preserve"> </w:t>
      </w:r>
      <w:r w:rsidRPr="00E92C46" w:rsidR="00737057">
        <w:t>PTC exemption</w:t>
      </w:r>
      <w:r w:rsidRPr="00E92C46" w:rsidR="00A5791B">
        <w:t xml:space="preserve"> pursuant to</w:t>
      </w:r>
      <w:r w:rsidRPr="00E92C46" w:rsidR="00737057">
        <w:t xml:space="preserve"> </w:t>
      </w:r>
      <w:r w:rsidR="00AA0D3D">
        <w:t>GO 131-D</w:t>
      </w:r>
      <w:r w:rsidR="00630DCA">
        <w:t>,</w:t>
      </w:r>
      <w:r w:rsidR="00AA0D3D">
        <w:t xml:space="preserve"> </w:t>
      </w:r>
      <w:r w:rsidR="00DC14AC">
        <w:t>Section </w:t>
      </w:r>
      <w:r w:rsidRPr="00E92C46" w:rsidR="00737057">
        <w:t>III.B.1</w:t>
      </w:r>
      <w:r w:rsidR="00630DCA">
        <w:t>,</w:t>
      </w:r>
      <w:r w:rsidRPr="00E92C46" w:rsidR="00737057">
        <w:t xml:space="preserve"> (proposed </w:t>
      </w:r>
      <w:r w:rsidR="00AA0D3D">
        <w:t>GO 131-E</w:t>
      </w:r>
      <w:r w:rsidR="00CE6CB9">
        <w:t>,</w:t>
      </w:r>
      <w:r w:rsidR="00AA0D3D">
        <w:t xml:space="preserve"> Section </w:t>
      </w:r>
      <w:r w:rsidRPr="00E92C46" w:rsidR="00737057">
        <w:t xml:space="preserve">III.B.2) or </w:t>
      </w:r>
      <w:r w:rsidRPr="00E92C46" w:rsidR="000661A5">
        <w:t xml:space="preserve">(2) </w:t>
      </w:r>
      <w:r w:rsidR="00C640A2">
        <w:t>would be</w:t>
      </w:r>
      <w:r w:rsidRPr="00E92C46" w:rsidR="007E52A6">
        <w:t xml:space="preserve"> </w:t>
      </w:r>
      <w:r w:rsidRPr="00E92C46" w:rsidR="008039FA">
        <w:t>i</w:t>
      </w:r>
      <w:r w:rsidRPr="00E92C46" w:rsidR="00E01844">
        <w:t>ncluded</w:t>
      </w:r>
      <w:r w:rsidR="003D46D6">
        <w:t xml:space="preserve"> in the</w:t>
      </w:r>
      <w:r w:rsidRPr="00737057" w:rsidR="00737057">
        <w:t xml:space="preserve"> list of projects that are fully exempt from </w:t>
      </w:r>
      <w:r w:rsidRPr="00737057" w:rsidR="00737057">
        <w:lastRenderedPageBreak/>
        <w:t xml:space="preserve">permitting and notice pursuant to </w:t>
      </w:r>
      <w:r w:rsidR="00DC14AC">
        <w:t>Section </w:t>
      </w:r>
      <w:r w:rsidRPr="00737057" w:rsidR="00737057">
        <w:t xml:space="preserve">III.C. However, </w:t>
      </w:r>
      <w:r w:rsidR="00C30231">
        <w:t>the Commission</w:t>
      </w:r>
      <w:r w:rsidRPr="00737057" w:rsidR="00737057">
        <w:t xml:space="preserve"> still recommend</w:t>
      </w:r>
      <w:r w:rsidR="00CF2EE3">
        <w:t>s</w:t>
      </w:r>
      <w:r w:rsidRPr="00737057" w:rsidR="00737057">
        <w:t xml:space="preserve"> deleting the existing definitions of “substation modification” and “substation upgrade project” from </w:t>
      </w:r>
      <w:r w:rsidR="00DC14AC">
        <w:t>Section </w:t>
      </w:r>
      <w:r w:rsidRPr="00737057" w:rsidR="00737057">
        <w:t>III.B</w:t>
      </w:r>
      <w:r w:rsidR="007B2FCF">
        <w:t xml:space="preserve">, </w:t>
      </w:r>
      <w:r w:rsidRPr="00737057" w:rsidR="00737057">
        <w:t>rather than retaining them as suggested by the IOUs to avoid potential confusion with the new definitions of “upgrade” and “modification</w:t>
      </w:r>
      <w:r w:rsidRPr="00AE4732" w:rsidR="00C35E33">
        <w:t>.</w:t>
      </w:r>
      <w:r w:rsidRPr="00AE4732" w:rsidR="00737057">
        <w:t>”</w:t>
      </w:r>
    </w:p>
    <w:p w:rsidRPr="00C92307" w:rsidR="00264A9B" w:rsidP="00264A9B" w:rsidRDefault="00493DFC" w14:paraId="7A50319A" w14:textId="77777777">
      <w:pPr>
        <w:pStyle w:val="Standard"/>
      </w:pPr>
      <w:r w:rsidRPr="00C92307">
        <w:t>To</w:t>
      </w:r>
      <w:r w:rsidRPr="00C92307" w:rsidR="00737057">
        <w:t xml:space="preserve"> preserve the existing exemption for minor substation modification and upgrade projects that have heretofore not required a PTC application or advice letter filing, </w:t>
      </w:r>
      <w:r w:rsidRPr="00C92307">
        <w:t xml:space="preserve">we </w:t>
      </w:r>
      <w:r w:rsidRPr="00C92307" w:rsidR="009136C8">
        <w:t>adopt</w:t>
      </w:r>
      <w:r w:rsidRPr="00C92307" w:rsidR="00737057">
        <w:t xml:space="preserve"> </w:t>
      </w:r>
      <w:r w:rsidRPr="00C92307" w:rsidR="0040216D">
        <w:t>the revision</w:t>
      </w:r>
      <w:r w:rsidRPr="00C92307" w:rsidR="00737057">
        <w:t xml:space="preserve">s to </w:t>
      </w:r>
      <w:r w:rsidR="003B5D07">
        <w:t>GO </w:t>
      </w:r>
      <w:r w:rsidRPr="00C92307" w:rsidR="00737057">
        <w:t>131-</w:t>
      </w:r>
      <w:r w:rsidRPr="00C92307" w:rsidR="005C53A8">
        <w:t xml:space="preserve">D, as reflected in attached </w:t>
      </w:r>
      <w:r w:rsidR="003B5D07">
        <w:t>GO</w:t>
      </w:r>
      <w:r w:rsidR="00AD2306">
        <w:t> </w:t>
      </w:r>
      <w:r w:rsidRPr="00C92307" w:rsidR="005C53A8">
        <w:t>131</w:t>
      </w:r>
      <w:r w:rsidR="00AD2306">
        <w:noBreakHyphen/>
      </w:r>
      <w:r w:rsidRPr="00C92307" w:rsidR="00737057">
        <w:t>E</w:t>
      </w:r>
      <w:r w:rsidR="00630DCA">
        <w:t>,</w:t>
      </w:r>
      <w:r w:rsidRPr="00C92307" w:rsidR="00737057">
        <w:t xml:space="preserve"> Section</w:t>
      </w:r>
      <w:r w:rsidRPr="00C92307" w:rsidR="00A81BD7">
        <w:t>s</w:t>
      </w:r>
      <w:r w:rsidRPr="00C92307" w:rsidR="00737057">
        <w:t xml:space="preserve"> III.B and III.C</w:t>
      </w:r>
      <w:r w:rsidRPr="00C92307" w:rsidR="00A81BD7">
        <w:t>, which include:</w:t>
      </w:r>
    </w:p>
    <w:p w:rsidRPr="00AE4732" w:rsidR="008A40CC" w:rsidP="00D13705" w:rsidRDefault="00F13F38" w14:paraId="718BCBA4" w14:textId="77777777">
      <w:pPr>
        <w:pStyle w:val="Standard"/>
        <w:numPr>
          <w:ilvl w:val="0"/>
          <w:numId w:val="11"/>
        </w:numPr>
        <w:spacing w:after="120" w:line="240" w:lineRule="auto"/>
        <w:ind w:right="1440"/>
      </w:pPr>
      <w:r w:rsidRPr="00C92307">
        <w:t>M</w:t>
      </w:r>
      <w:r w:rsidRPr="00C92307" w:rsidR="008A40CC">
        <w:t>odify</w:t>
      </w:r>
      <w:r w:rsidRPr="00C92307" w:rsidR="00377BA8">
        <w:t>ing</w:t>
      </w:r>
      <w:r w:rsidRPr="00C92307" w:rsidR="008A40CC">
        <w:t xml:space="preserve"> </w:t>
      </w:r>
      <w:r w:rsidR="00DC14AC">
        <w:t>Section </w:t>
      </w:r>
      <w:r w:rsidRPr="00C92307" w:rsidR="008A40CC">
        <w:t>III.B.1.c as follows: “The extension, expansion, upgrade, or other modification of existing electrical transmission facilities</w:t>
      </w:r>
      <w:r w:rsidRPr="00C92307" w:rsidR="008A40CC">
        <w:rPr>
          <w:u w:val="single"/>
        </w:rPr>
        <w:t xml:space="preserve">, except where exemptions apply as specified in </w:t>
      </w:r>
      <w:r w:rsidR="00DC14AC">
        <w:rPr>
          <w:u w:val="single"/>
        </w:rPr>
        <w:t>Section </w:t>
      </w:r>
      <w:r w:rsidRPr="00C92307" w:rsidR="008A40CC">
        <w:rPr>
          <w:u w:val="single"/>
        </w:rPr>
        <w:t xml:space="preserve">III.B.2 and </w:t>
      </w:r>
      <w:r w:rsidR="00DC14AC">
        <w:rPr>
          <w:u w:val="single"/>
        </w:rPr>
        <w:t>Section </w:t>
      </w:r>
      <w:r w:rsidRPr="00C92307" w:rsidR="008A40CC">
        <w:rPr>
          <w:u w:val="single"/>
        </w:rPr>
        <w:t>III.C.1, or</w:t>
      </w:r>
      <w:r w:rsidRPr="00AE4732" w:rsidR="008A40CC">
        <w:rPr>
          <w:u w:val="single"/>
        </w:rPr>
        <w:t xml:space="preserve"> where the utility elects to file a CPCN application pursuant to </w:t>
      </w:r>
      <w:r w:rsidR="00DC14AC">
        <w:rPr>
          <w:u w:val="single"/>
        </w:rPr>
        <w:t>Section </w:t>
      </w:r>
      <w:r w:rsidRPr="00AE4732" w:rsidR="008A40CC">
        <w:rPr>
          <w:u w:val="single"/>
        </w:rPr>
        <w:t>III.A</w:t>
      </w:r>
      <w:r w:rsidR="00AE4732">
        <w:t>;</w:t>
      </w:r>
      <w:r w:rsidRPr="00AE4732" w:rsidR="008A40CC">
        <w:t>” </w:t>
      </w:r>
    </w:p>
    <w:p w:rsidRPr="00AE4732" w:rsidR="008A40CC" w:rsidP="00D13705" w:rsidRDefault="008A40CC" w14:paraId="1B104598" w14:textId="77777777">
      <w:pPr>
        <w:pStyle w:val="Standard"/>
        <w:numPr>
          <w:ilvl w:val="0"/>
          <w:numId w:val="11"/>
        </w:numPr>
        <w:spacing w:after="120" w:line="240" w:lineRule="auto"/>
        <w:ind w:right="1440"/>
      </w:pPr>
      <w:r w:rsidRPr="00AE4732">
        <w:t>Add</w:t>
      </w:r>
      <w:r w:rsidRPr="00AE4732" w:rsidR="00377BA8">
        <w:t>ing</w:t>
      </w:r>
      <w:r w:rsidRPr="00AE4732">
        <w:t xml:space="preserve"> the phrase “Notwithstanding </w:t>
      </w:r>
      <w:r w:rsidR="00DC14AC">
        <w:t>Section </w:t>
      </w:r>
      <w:r w:rsidRPr="00AE4732">
        <w:t xml:space="preserve">III.B.1” to the beginning of </w:t>
      </w:r>
      <w:r w:rsidR="00DC14AC">
        <w:t>Section </w:t>
      </w:r>
      <w:r w:rsidRPr="00AE4732">
        <w:t>III.B.2.</w:t>
      </w:r>
      <w:r w:rsidR="00AE4732">
        <w:t>;</w:t>
      </w:r>
    </w:p>
    <w:p w:rsidRPr="00AE4732" w:rsidR="008A40CC" w:rsidP="00D13705" w:rsidRDefault="008A40CC" w14:paraId="5A4AAB2A" w14:textId="77777777">
      <w:pPr>
        <w:pStyle w:val="Standard"/>
        <w:numPr>
          <w:ilvl w:val="0"/>
          <w:numId w:val="11"/>
        </w:numPr>
        <w:spacing w:after="120" w:line="240" w:lineRule="auto"/>
        <w:ind w:right="1440"/>
      </w:pPr>
      <w:r w:rsidRPr="00AE4732">
        <w:t>Add</w:t>
      </w:r>
      <w:r w:rsidRPr="00AE4732" w:rsidR="00377BA8">
        <w:t xml:space="preserve">ing </w:t>
      </w:r>
      <w:r w:rsidRPr="00AE4732">
        <w:t xml:space="preserve">the phrase “Notwithstanding </w:t>
      </w:r>
      <w:r w:rsidR="00DC14AC">
        <w:t>Section </w:t>
      </w:r>
      <w:r w:rsidRPr="00AE4732">
        <w:t xml:space="preserve">III.A or </w:t>
      </w:r>
      <w:r w:rsidR="00DC14AC">
        <w:t>Section </w:t>
      </w:r>
      <w:r w:rsidRPr="00AE4732">
        <w:t xml:space="preserve">III.B” to the beginning of </w:t>
      </w:r>
      <w:r w:rsidR="00DC14AC">
        <w:t>Section </w:t>
      </w:r>
      <w:r w:rsidRPr="00AE4732">
        <w:t>III.C.1</w:t>
      </w:r>
      <w:r w:rsidR="00AE4732">
        <w:t>;</w:t>
      </w:r>
    </w:p>
    <w:p w:rsidRPr="00AE4732" w:rsidR="008A40CC" w:rsidP="00D13705" w:rsidRDefault="008A40CC" w14:paraId="7D954704" w14:textId="77777777">
      <w:pPr>
        <w:pStyle w:val="Standard"/>
        <w:numPr>
          <w:ilvl w:val="0"/>
          <w:numId w:val="11"/>
        </w:numPr>
        <w:spacing w:after="120" w:line="240" w:lineRule="auto"/>
        <w:ind w:right="1440"/>
      </w:pPr>
      <w:r w:rsidRPr="00AE4732">
        <w:t>Modify</w:t>
      </w:r>
      <w:r w:rsidRPr="00AE4732" w:rsidR="00377BA8">
        <w:t>ing</w:t>
      </w:r>
      <w:r w:rsidRPr="00AE4732">
        <w:t xml:space="preserve"> </w:t>
      </w:r>
      <w:r w:rsidR="00DC14AC">
        <w:t>Section </w:t>
      </w:r>
      <w:r w:rsidRPr="00AE4732">
        <w:t>III.C.1.b as follows: “</w:t>
      </w:r>
      <w:r w:rsidR="00151E36">
        <w:rPr>
          <w:u w:val="single"/>
        </w:rPr>
        <w:t xml:space="preserve">New, expanded, or upgraded </w:t>
      </w:r>
      <w:r w:rsidRPr="00AE4732">
        <w:rPr>
          <w:u w:val="single"/>
        </w:rPr>
        <w:t xml:space="preserve">substations or switchyards </w:t>
      </w:r>
      <w:r w:rsidRPr="00AE4732">
        <w:t>with a high side voltage under 50 kV;” </w:t>
      </w:r>
    </w:p>
    <w:p w:rsidRPr="00AE4732" w:rsidR="008A40CC" w:rsidP="00D13705" w:rsidRDefault="008A40CC" w14:paraId="62D25FB5" w14:textId="77777777">
      <w:pPr>
        <w:pStyle w:val="Standard"/>
        <w:numPr>
          <w:ilvl w:val="0"/>
          <w:numId w:val="11"/>
        </w:numPr>
        <w:spacing w:after="120" w:line="240" w:lineRule="auto"/>
        <w:ind w:right="1440"/>
      </w:pPr>
      <w:r w:rsidRPr="00AE4732">
        <w:t>Add</w:t>
      </w:r>
      <w:r w:rsidRPr="00AE4732" w:rsidR="00377BA8">
        <w:t>ing</w:t>
      </w:r>
      <w:r w:rsidRPr="00AE4732">
        <w:t xml:space="preserve"> a new </w:t>
      </w:r>
      <w:r w:rsidR="00DC14AC">
        <w:t>Section </w:t>
      </w:r>
      <w:r w:rsidRPr="00AE4732">
        <w:t>III.C.1.c which explicitly exempts the following projects from the CPCN and PTC requirements: “</w:t>
      </w:r>
      <w:r w:rsidRPr="00AE4732">
        <w:rPr>
          <w:u w:val="single"/>
        </w:rPr>
        <w:t xml:space="preserve">Substation or switchyard </w:t>
      </w:r>
      <w:r w:rsidR="00F84E3E">
        <w:rPr>
          <w:u w:val="single"/>
        </w:rPr>
        <w:t xml:space="preserve">expansion, upgrade, or </w:t>
      </w:r>
      <w:r w:rsidRPr="00AE4732">
        <w:rPr>
          <w:u w:val="single"/>
        </w:rPr>
        <w:t xml:space="preserve">modification projects which do not result in an </w:t>
      </w:r>
      <w:r w:rsidR="00F84E3E">
        <w:rPr>
          <w:u w:val="single"/>
        </w:rPr>
        <w:t xml:space="preserve">increase in </w:t>
      </w:r>
      <w:r w:rsidRPr="00AE4732">
        <w:rPr>
          <w:u w:val="single"/>
        </w:rPr>
        <w:t>substation or switchyard</w:t>
      </w:r>
      <w:r w:rsidR="00F84E3E">
        <w:rPr>
          <w:u w:val="single"/>
        </w:rPr>
        <w:t xml:space="preserve"> land area beyond the existing property on which the utility has a legal right to operate or an increase in the voltage rating of the substation or switchyard above 50 kV</w:t>
      </w:r>
      <w:r w:rsidR="00C846C1">
        <w:rPr>
          <w:u w:val="single"/>
        </w:rPr>
        <w:t>”</w:t>
      </w:r>
      <w:r w:rsidRPr="00DA71F8" w:rsidR="00C846C1">
        <w:t>;</w:t>
      </w:r>
      <w:r w:rsidRPr="00C846C1">
        <w:t> </w:t>
      </w:r>
      <w:r w:rsidR="008743EE">
        <w:t>or</w:t>
      </w:r>
    </w:p>
    <w:p w:rsidRPr="00AE4732" w:rsidR="00264A9B" w:rsidP="00D13705" w:rsidRDefault="008A40CC" w14:paraId="3BAE9B50" w14:textId="77777777">
      <w:pPr>
        <w:pStyle w:val="Standard"/>
        <w:numPr>
          <w:ilvl w:val="0"/>
          <w:numId w:val="11"/>
        </w:numPr>
        <w:spacing w:after="120" w:line="240" w:lineRule="auto"/>
        <w:ind w:right="1440"/>
      </w:pPr>
      <w:r w:rsidRPr="00AE4732">
        <w:t>Modify</w:t>
      </w:r>
      <w:r w:rsidRPr="00AE4732" w:rsidR="00377BA8">
        <w:t>ing</w:t>
      </w:r>
      <w:r w:rsidRPr="00AE4732">
        <w:t xml:space="preserve"> </w:t>
      </w:r>
      <w:r w:rsidR="00DC14AC">
        <w:t>Section </w:t>
      </w:r>
      <w:r w:rsidRPr="00AE4732">
        <w:t>III.C.1.d (formerly III.C.1.c) to read: “Substation</w:t>
      </w:r>
      <w:r w:rsidRPr="00AE4732">
        <w:rPr>
          <w:u w:val="single"/>
        </w:rPr>
        <w:t xml:space="preserve"> or switchyard upgrade or </w:t>
      </w:r>
      <w:r w:rsidRPr="00AE4732">
        <w:t xml:space="preserve">modification </w:t>
      </w:r>
      <w:r w:rsidRPr="00AE4732">
        <w:lastRenderedPageBreak/>
        <w:t>projects which increase the voltage of an existing substation</w:t>
      </w:r>
      <w:r w:rsidRPr="00AE4732">
        <w:rPr>
          <w:u w:val="single"/>
        </w:rPr>
        <w:t xml:space="preserve"> or switchyard</w:t>
      </w:r>
      <w:r w:rsidRPr="00AE4732">
        <w:t xml:space="preserve"> to the voltage for which the substation </w:t>
      </w:r>
      <w:r w:rsidRPr="00AE4732">
        <w:rPr>
          <w:u w:val="single"/>
        </w:rPr>
        <w:t>or switchyard</w:t>
      </w:r>
      <w:r w:rsidRPr="00AE4732">
        <w:t xml:space="preserve"> has been previously rated within the existing substation</w:t>
      </w:r>
      <w:r w:rsidRPr="00AE4732">
        <w:rPr>
          <w:u w:val="single"/>
        </w:rPr>
        <w:t xml:space="preserve"> or switchyard</w:t>
      </w:r>
      <w:r w:rsidRPr="00AE4732">
        <w:t xml:space="preserve"> </w:t>
      </w:r>
      <w:r w:rsidRPr="007263BF">
        <w:rPr>
          <w:strike/>
        </w:rPr>
        <w:t>boundaries</w:t>
      </w:r>
      <w:r w:rsidR="00F84E3E">
        <w:t xml:space="preserve"> </w:t>
      </w:r>
      <w:r w:rsidRPr="007263BF" w:rsidR="00F84E3E">
        <w:rPr>
          <w:u w:val="single"/>
        </w:rPr>
        <w:t>property</w:t>
      </w:r>
      <w:r w:rsidRPr="00AE4732">
        <w:t>.” </w:t>
      </w:r>
    </w:p>
    <w:p w:rsidR="008C0F16" w:rsidP="00AE4732" w:rsidRDefault="00FF69EC" w14:paraId="34892FDE" w14:textId="77777777">
      <w:pPr>
        <w:pStyle w:val="Standard"/>
      </w:pPr>
      <w:r w:rsidRPr="00C92307">
        <w:t>The foregoing</w:t>
      </w:r>
      <w:r w:rsidRPr="00C92307" w:rsidR="00A81BD7">
        <w:t xml:space="preserve"> revisions </w:t>
      </w:r>
      <w:r w:rsidRPr="00C92307" w:rsidR="00C020AA">
        <w:t>address</w:t>
      </w:r>
      <w:r w:rsidRPr="00C92307" w:rsidR="00737057">
        <w:t xml:space="preserve"> </w:t>
      </w:r>
      <w:r w:rsidRPr="00C92307" w:rsidR="008349BA">
        <w:t xml:space="preserve">specific </w:t>
      </w:r>
      <w:r w:rsidRPr="00C92307" w:rsidR="00C020AA">
        <w:t xml:space="preserve">cases </w:t>
      </w:r>
      <w:r w:rsidRPr="00C92307" w:rsidR="003D5D09">
        <w:t>for</w:t>
      </w:r>
      <w:r w:rsidRPr="00C92307" w:rsidR="003371B6">
        <w:t xml:space="preserve"> </w:t>
      </w:r>
      <w:r w:rsidRPr="00C92307" w:rsidR="00737057">
        <w:t>su</w:t>
      </w:r>
      <w:r w:rsidRPr="00C92307" w:rsidR="00FB32A1">
        <w:t xml:space="preserve">bstation </w:t>
      </w:r>
      <w:r w:rsidRPr="00C92307" w:rsidR="00713915">
        <w:t>upgrades and modifications</w:t>
      </w:r>
      <w:r w:rsidRPr="00C92307" w:rsidDel="003D5D09" w:rsidR="00737057">
        <w:t xml:space="preserve"> </w:t>
      </w:r>
      <w:r w:rsidRPr="00C92307" w:rsidR="00737057">
        <w:t xml:space="preserve">in </w:t>
      </w:r>
      <w:r w:rsidR="003B5D07">
        <w:t>GO </w:t>
      </w:r>
      <w:r w:rsidRPr="00C92307" w:rsidR="003D5D09">
        <w:t xml:space="preserve">131-E, </w:t>
      </w:r>
      <w:r w:rsidR="00DC14AC">
        <w:t>Section </w:t>
      </w:r>
      <w:r w:rsidRPr="00C92307" w:rsidR="00737057">
        <w:t>III.C</w:t>
      </w:r>
      <w:r w:rsidRPr="00C92307" w:rsidR="003D5D09">
        <w:t xml:space="preserve"> rules</w:t>
      </w:r>
      <w:r w:rsidRPr="00C92307" w:rsidR="00737057">
        <w:t>.</w:t>
      </w:r>
      <w:r w:rsidRPr="00AE4732" w:rsidR="00737057">
        <w:t> </w:t>
      </w:r>
      <w:r w:rsidRPr="00AE4732" w:rsidR="00A3624C">
        <w:t xml:space="preserve"> </w:t>
      </w:r>
    </w:p>
    <w:p w:rsidR="00781125" w:rsidP="00804F6F" w:rsidRDefault="00497B7D" w14:paraId="0DFE2F65" w14:textId="77777777">
      <w:pPr>
        <w:pStyle w:val="Heading2"/>
      </w:pPr>
      <w:bookmarkStart w:name="_Toc189738517" w:id="167"/>
      <w:r>
        <w:t xml:space="preserve">Terms </w:t>
      </w:r>
      <w:r w:rsidR="00EC42A5">
        <w:t>“</w:t>
      </w:r>
      <w:r w:rsidR="00EF0D21">
        <w:t>Substation</w:t>
      </w:r>
      <w:r w:rsidR="00EC42A5">
        <w:t>” and “</w:t>
      </w:r>
      <w:r w:rsidR="00F45442">
        <w:t>S</w:t>
      </w:r>
      <w:r w:rsidR="00781125">
        <w:t>witchyard</w:t>
      </w:r>
      <w:r w:rsidR="00EC42A5">
        <w:t>”</w:t>
      </w:r>
      <w:bookmarkEnd w:id="167"/>
      <w:r w:rsidR="00781125">
        <w:t xml:space="preserve"> </w:t>
      </w:r>
    </w:p>
    <w:p w:rsidR="00EC42A5" w:rsidP="003A0365" w:rsidRDefault="00324788" w14:paraId="6B6CDDB3" w14:textId="77777777">
      <w:pPr>
        <w:pStyle w:val="Standard"/>
        <w:rPr>
          <w:highlight w:val="yellow"/>
        </w:rPr>
      </w:pPr>
      <w:r w:rsidRPr="00324788">
        <w:t xml:space="preserve">We do not adopt the IOUs’ suggested augmented definition of “substation” </w:t>
      </w:r>
      <w:r w:rsidR="00B6466E">
        <w:t>(</w:t>
      </w:r>
      <w:r w:rsidRPr="00E14149" w:rsidR="00B6466E">
        <w:rPr>
          <w:i/>
          <w:iCs/>
        </w:rPr>
        <w:t>i.e</w:t>
      </w:r>
      <w:r w:rsidR="00B6466E">
        <w:t>.</w:t>
      </w:r>
      <w:r w:rsidR="00CE6CB9">
        <w:t>,</w:t>
      </w:r>
      <w:r w:rsidR="00B6466E">
        <w:t xml:space="preserve"> to define “substation” to include “switchyard”) </w:t>
      </w:r>
      <w:r w:rsidRPr="00324788">
        <w:t>because the terms “switchyards” and “substations” have distinct meanings.</w:t>
      </w:r>
      <w:r w:rsidR="00EC42A5">
        <w:t xml:space="preserve"> </w:t>
      </w:r>
      <w:r w:rsidR="00603390">
        <w:t xml:space="preserve">However, we </w:t>
      </w:r>
      <w:r w:rsidR="004D19C1">
        <w:t xml:space="preserve">include </w:t>
      </w:r>
      <w:r w:rsidR="0033188B">
        <w:t xml:space="preserve">the term </w:t>
      </w:r>
      <w:r w:rsidRPr="00696770" w:rsidR="00EC42A5">
        <w:t>“switchyard”</w:t>
      </w:r>
      <w:r w:rsidR="002A5E7A">
        <w:t xml:space="preserve"> in</w:t>
      </w:r>
      <w:r w:rsidR="0033188B">
        <w:t xml:space="preserve"> </w:t>
      </w:r>
      <w:r w:rsidR="003B5D07">
        <w:t>GO </w:t>
      </w:r>
      <w:r w:rsidRPr="00696770" w:rsidR="00EC42A5">
        <w:t>131-E definition</w:t>
      </w:r>
      <w:r w:rsidR="0033188B">
        <w:t>s</w:t>
      </w:r>
      <w:r w:rsidRPr="00696770" w:rsidR="00AB31EA">
        <w:t xml:space="preserve"> </w:t>
      </w:r>
      <w:r w:rsidR="0093296F">
        <w:t>referenced in</w:t>
      </w:r>
      <w:r w:rsidRPr="00696770" w:rsidR="001340C1">
        <w:t xml:space="preserve"> applicable sections </w:t>
      </w:r>
      <w:r w:rsidRPr="00696770" w:rsidR="00C624F8">
        <w:t>a</w:t>
      </w:r>
      <w:r w:rsidR="00957EF8">
        <w:t>nd</w:t>
      </w:r>
      <w:r w:rsidR="008A2C28">
        <w:t xml:space="preserve"> i</w:t>
      </w:r>
      <w:r w:rsidR="00A74EAC">
        <w:t>n</w:t>
      </w:r>
      <w:r w:rsidRPr="00696770" w:rsidR="00C624F8">
        <w:t xml:space="preserve"> </w:t>
      </w:r>
      <w:r w:rsidRPr="00696770" w:rsidR="00EC42A5">
        <w:t>the list of permit exemptions</w:t>
      </w:r>
      <w:r w:rsidR="00945044">
        <w:t>. T</w:t>
      </w:r>
      <w:r w:rsidR="00A74EAC">
        <w:t>he</w:t>
      </w:r>
      <w:r w:rsidR="007E69E0">
        <w:t>se</w:t>
      </w:r>
      <w:r w:rsidR="00A74EAC">
        <w:t xml:space="preserve"> modifications are intended</w:t>
      </w:r>
      <w:r w:rsidRPr="00696770" w:rsidR="00EC42A5">
        <w:t xml:space="preserve"> to clarify </w:t>
      </w:r>
      <w:r w:rsidR="00DB09A1">
        <w:t>where</w:t>
      </w:r>
      <w:r w:rsidRPr="00696770" w:rsidR="00EC42A5">
        <w:t xml:space="preserve"> switching stations </w:t>
      </w:r>
      <w:r w:rsidR="00DA79AE">
        <w:t xml:space="preserve">and substations </w:t>
      </w:r>
      <w:r w:rsidRPr="00696770" w:rsidR="00EC42A5">
        <w:t>have the same permitting process</w:t>
      </w:r>
      <w:r w:rsidR="00F130C0">
        <w:t xml:space="preserve">, </w:t>
      </w:r>
      <w:r w:rsidR="00DB09A1">
        <w:t>particular</w:t>
      </w:r>
      <w:r w:rsidR="00F130C0">
        <w:t>ly that</w:t>
      </w:r>
      <w:r w:rsidRPr="00696770" w:rsidR="00EC42A5">
        <w:t xml:space="preserve"> CPCN</w:t>
      </w:r>
      <w:r w:rsidR="00DA5FC8">
        <w:t>s are not</w:t>
      </w:r>
      <w:r w:rsidRPr="00696770" w:rsidR="00EC42A5">
        <w:t xml:space="preserve"> require</w:t>
      </w:r>
      <w:r w:rsidR="00DA5FC8">
        <w:t>d</w:t>
      </w:r>
      <w:r w:rsidR="00B26020">
        <w:t xml:space="preserve"> for </w:t>
      </w:r>
      <w:r w:rsidR="00713C61">
        <w:t>u</w:t>
      </w:r>
      <w:r w:rsidR="00B26020">
        <w:t>pgrades or modifications</w:t>
      </w:r>
      <w:r w:rsidR="00BA2765">
        <w:t xml:space="preserve"> </w:t>
      </w:r>
      <w:r w:rsidR="00B90EB6">
        <w:t>to</w:t>
      </w:r>
      <w:r w:rsidR="00BA2765">
        <w:t xml:space="preserve"> these t</w:t>
      </w:r>
      <w:r w:rsidR="00B90EB6">
        <w:t>ransmission facilities</w:t>
      </w:r>
      <w:r w:rsidRPr="00696770" w:rsidR="00EC42A5">
        <w:t>.</w:t>
      </w:r>
    </w:p>
    <w:p w:rsidRPr="006D62E0" w:rsidR="00F45442" w:rsidP="003A0365" w:rsidRDefault="00F50112" w14:paraId="4A821C14" w14:textId="77777777">
      <w:pPr>
        <w:pStyle w:val="Standard"/>
      </w:pPr>
      <w:r w:rsidRPr="00781125">
        <w:t>PG&amp;E assert</w:t>
      </w:r>
      <w:r w:rsidR="00742B2D">
        <w:t>s</w:t>
      </w:r>
      <w:r w:rsidRPr="00781125">
        <w:t xml:space="preserve"> th</w:t>
      </w:r>
      <w:r w:rsidR="00A03EBC">
        <w:t xml:space="preserve">at </w:t>
      </w:r>
      <w:r w:rsidR="00181282">
        <w:t xml:space="preserve">prior </w:t>
      </w:r>
      <w:r w:rsidR="00E33DBB">
        <w:t xml:space="preserve">Commission </w:t>
      </w:r>
      <w:r w:rsidRPr="00781125">
        <w:t>interpret</w:t>
      </w:r>
      <w:r w:rsidR="00E33DBB">
        <w:t>ation of</w:t>
      </w:r>
      <w:r w:rsidRPr="00781125">
        <w:t xml:space="preserve"> the term “substation” include</w:t>
      </w:r>
      <w:r w:rsidR="007F7FBC">
        <w:t>s</w:t>
      </w:r>
      <w:r w:rsidRPr="00781125">
        <w:t xml:space="preserve"> switching stations</w:t>
      </w:r>
      <w:r w:rsidR="00E21E98">
        <w:t xml:space="preserve">, </w:t>
      </w:r>
      <w:r w:rsidR="003A033F">
        <w:t xml:space="preserve">or </w:t>
      </w:r>
      <w:r w:rsidRPr="00781125">
        <w:t>switchyards</w:t>
      </w:r>
      <w:r w:rsidR="00A03EBC">
        <w:t>.</w:t>
      </w:r>
      <w:r w:rsidR="007F7FBC">
        <w:rPr>
          <w:rStyle w:val="FootnoteReference"/>
        </w:rPr>
        <w:footnoteReference w:id="206"/>
      </w:r>
      <w:r w:rsidR="00A03EBC">
        <w:t xml:space="preserve"> </w:t>
      </w:r>
      <w:r w:rsidR="00F41724">
        <w:t xml:space="preserve">Accordingly, </w:t>
      </w:r>
      <w:r w:rsidRPr="00781125" w:rsidR="00781125">
        <w:t xml:space="preserve">PG&amp;E, SCE, and SDG&amp;E propose to add a new </w:t>
      </w:r>
      <w:r w:rsidR="00DC14AC">
        <w:t>Section </w:t>
      </w:r>
      <w:r w:rsidRPr="00781125" w:rsidR="00781125">
        <w:t xml:space="preserve">I.D </w:t>
      </w:r>
      <w:r w:rsidR="00313FF3">
        <w:t xml:space="preserve">to </w:t>
      </w:r>
      <w:r w:rsidR="003B5D07">
        <w:t>GO </w:t>
      </w:r>
      <w:r w:rsidR="00313FF3">
        <w:t xml:space="preserve">131-D </w:t>
      </w:r>
      <w:r w:rsidRPr="00781125" w:rsidR="00781125">
        <w:t xml:space="preserve">which </w:t>
      </w:r>
      <w:r w:rsidR="00DC5CAE">
        <w:t>includes “</w:t>
      </w:r>
      <w:r w:rsidR="00E15C68">
        <w:t>switching station” in the definition of “substation</w:t>
      </w:r>
      <w:r w:rsidR="005D47EA">
        <w:t>.</w:t>
      </w:r>
      <w:r w:rsidR="00E15C68">
        <w:t xml:space="preserve">” To reflect this proposed change, </w:t>
      </w:r>
      <w:r w:rsidRPr="00781125" w:rsidR="00781125">
        <w:t>subsequent definitions</w:t>
      </w:r>
      <w:r w:rsidR="00D52C44">
        <w:t xml:space="preserve"> </w:t>
      </w:r>
      <w:r w:rsidRPr="00781125" w:rsidR="00781125">
        <w:t xml:space="preserve">in </w:t>
      </w:r>
      <w:r w:rsidR="00DC14AC">
        <w:t>Section </w:t>
      </w:r>
      <w:r w:rsidRPr="00781125" w:rsidR="00781125">
        <w:t>I (</w:t>
      </w:r>
      <w:r w:rsidRPr="00E14149" w:rsidR="00781125">
        <w:rPr>
          <w:i/>
          <w:iCs/>
        </w:rPr>
        <w:t>e.g.</w:t>
      </w:r>
      <w:r w:rsidRPr="00781125" w:rsidR="00781125">
        <w:t xml:space="preserve">, I.E, I.F, I.G) would be reordered accordingly. </w:t>
      </w:r>
      <w:r w:rsidR="004871FE">
        <w:t>The</w:t>
      </w:r>
      <w:r w:rsidRPr="00781125" w:rsidR="00781125">
        <w:t xml:space="preserve"> IOUs </w:t>
      </w:r>
      <w:r w:rsidR="004871FE">
        <w:t xml:space="preserve">do not </w:t>
      </w:r>
      <w:r w:rsidRPr="00781125" w:rsidR="00781125">
        <w:t>provide a</w:t>
      </w:r>
      <w:r w:rsidR="004871FE">
        <w:t xml:space="preserve"> rationale or </w:t>
      </w:r>
      <w:r w:rsidRPr="00781125" w:rsidR="00781125">
        <w:t xml:space="preserve">explanation for </w:t>
      </w:r>
      <w:r w:rsidR="007562FF">
        <w:t xml:space="preserve">these </w:t>
      </w:r>
      <w:r w:rsidR="005D47EA">
        <w:t xml:space="preserve">proposed </w:t>
      </w:r>
      <w:r w:rsidR="007562FF">
        <w:t>revisions.</w:t>
      </w:r>
    </w:p>
    <w:p w:rsidR="0003695F" w:rsidP="0030752B" w:rsidRDefault="00E970FB" w14:paraId="7C7C1570" w14:textId="77777777">
      <w:pPr>
        <w:pStyle w:val="Standard"/>
      </w:pPr>
      <w:bookmarkStart w:name="_Hlk177639586" w:id="168"/>
      <w:r>
        <w:t>We do</w:t>
      </w:r>
      <w:r w:rsidRPr="007E7CCA" w:rsidR="007E7CCA">
        <w:t xml:space="preserve"> not a</w:t>
      </w:r>
      <w:r w:rsidR="009C47C2">
        <w:t>dopt</w:t>
      </w:r>
      <w:r w:rsidRPr="007E7CCA" w:rsidR="007E7CCA">
        <w:t xml:space="preserve"> the IOUs’ suggested</w:t>
      </w:r>
      <w:r w:rsidR="00AD7217">
        <w:t xml:space="preserve"> augmented</w:t>
      </w:r>
      <w:r w:rsidRPr="007E7CCA" w:rsidR="007E7CCA">
        <w:t xml:space="preserve"> definition of “substation”</w:t>
      </w:r>
      <w:r>
        <w:t xml:space="preserve"> becaus</w:t>
      </w:r>
      <w:r w:rsidR="00AD7217">
        <w:t xml:space="preserve">e the terms “switchyards” and “substations” have distinct </w:t>
      </w:r>
      <w:r w:rsidR="00A84328">
        <w:t>meanings.</w:t>
      </w:r>
      <w:r w:rsidR="00AD7217">
        <w:t xml:space="preserve"> </w:t>
      </w:r>
      <w:bookmarkEnd w:id="168"/>
      <w:r w:rsidRPr="00A84328" w:rsidR="00A84328">
        <w:t xml:space="preserve">A switching station is a facility that operates at a single level of </w:t>
      </w:r>
      <w:r w:rsidRPr="00A84328" w:rsidR="00A84328">
        <w:lastRenderedPageBreak/>
        <w:t>voltage without transformers, whereas “substation” is a broader category of facilities that can include multiple voltage levels and transformers</w:t>
      </w:r>
      <w:r w:rsidR="00186606">
        <w:t xml:space="preserve"> </w:t>
      </w:r>
      <w:r w:rsidRPr="00A84328" w:rsidR="00A84328">
        <w:t xml:space="preserve">and may be much larger than switching stations. </w:t>
      </w:r>
    </w:p>
    <w:p w:rsidR="00A84328" w:rsidP="0030752B" w:rsidRDefault="00A84328" w14:paraId="3F4F524A" w14:textId="77777777">
      <w:pPr>
        <w:pStyle w:val="Standard"/>
      </w:pPr>
      <w:r w:rsidRPr="00A84328">
        <w:t xml:space="preserve">Rather than conflating the definitions of the two terms, </w:t>
      </w:r>
      <w:r w:rsidR="00186606">
        <w:t>we</w:t>
      </w:r>
      <w:r w:rsidRPr="00A84328">
        <w:t xml:space="preserve"> recommend inserting “switchyard” into the relevant sections of </w:t>
      </w:r>
      <w:r w:rsidR="003B5D07">
        <w:t>GO </w:t>
      </w:r>
      <w:r w:rsidRPr="00A84328">
        <w:t xml:space="preserve">131-E to clarify where a given requirement applies to switchyards. </w:t>
      </w:r>
      <w:r w:rsidR="00004153">
        <w:t>Accordingly, we</w:t>
      </w:r>
      <w:r w:rsidR="00EC42A5">
        <w:t xml:space="preserve"> instead</w:t>
      </w:r>
      <w:r w:rsidRPr="00A84328">
        <w:t xml:space="preserve"> us</w:t>
      </w:r>
      <w:r w:rsidR="00EC42A5">
        <w:t>e</w:t>
      </w:r>
      <w:r w:rsidRPr="00A84328">
        <w:t xml:space="preserve"> the term “switchyard” rather than “switching station” as the two terms are functionally </w:t>
      </w:r>
      <w:r w:rsidRPr="00C92307">
        <w:t xml:space="preserve">interchangeable, and the </w:t>
      </w:r>
      <w:r w:rsidRPr="00C92307" w:rsidR="007A6FC4">
        <w:t>current</w:t>
      </w:r>
      <w:r w:rsidRPr="00C92307">
        <w:t xml:space="preserve"> version of </w:t>
      </w:r>
      <w:r w:rsidR="003B5D07">
        <w:t>GO </w:t>
      </w:r>
      <w:r w:rsidRPr="00A84328">
        <w:t>131-D already refers to “switchyards” rather than “switching stations”. </w:t>
      </w:r>
    </w:p>
    <w:p w:rsidR="00F45442" w:rsidP="0030752B" w:rsidRDefault="000817FD" w14:paraId="6114AA3C" w14:textId="77777777">
      <w:pPr>
        <w:pStyle w:val="Standard"/>
      </w:pPr>
      <w:r>
        <w:t>Based on the foregoing</w:t>
      </w:r>
      <w:r w:rsidR="00D87F3E">
        <w:t xml:space="preserve"> and to address party </w:t>
      </w:r>
      <w:r w:rsidR="00776563">
        <w:t xml:space="preserve">comments and </w:t>
      </w:r>
      <w:r w:rsidR="00D87F3E">
        <w:t>concerns</w:t>
      </w:r>
      <w:r>
        <w:t xml:space="preserve">, we adopt </w:t>
      </w:r>
      <w:r w:rsidR="00333544">
        <w:t>revisions</w:t>
      </w:r>
      <w:r w:rsidR="00795AA3">
        <w:t xml:space="preserve"> </w:t>
      </w:r>
      <w:r w:rsidR="008C3D08">
        <w:t xml:space="preserve">that </w:t>
      </w:r>
      <w:r w:rsidR="00795AA3">
        <w:t xml:space="preserve">include </w:t>
      </w:r>
      <w:r w:rsidRPr="00696770" w:rsidR="007D51FA">
        <w:t xml:space="preserve">“switchyard” </w:t>
      </w:r>
      <w:r w:rsidR="00745CE6">
        <w:t>in</w:t>
      </w:r>
      <w:r w:rsidRPr="00696770" w:rsidR="00C51303">
        <w:t xml:space="preserve"> </w:t>
      </w:r>
      <w:r w:rsidR="003B5D07">
        <w:t>GO </w:t>
      </w:r>
      <w:r w:rsidRPr="00696770" w:rsidR="009D5EED">
        <w:t>131-E</w:t>
      </w:r>
      <w:r w:rsidR="00CE6CB9">
        <w:t>,</w:t>
      </w:r>
      <w:r w:rsidRPr="00696770" w:rsidR="009D5EED">
        <w:t xml:space="preserve"> </w:t>
      </w:r>
      <w:r w:rsidRPr="00696770" w:rsidR="00E970FB">
        <w:t>Section</w:t>
      </w:r>
      <w:r w:rsidR="00B26020">
        <w:t>s</w:t>
      </w:r>
      <w:r w:rsidRPr="00696770" w:rsidR="00E970FB">
        <w:t xml:space="preserve"> III.A.3, </w:t>
      </w:r>
      <w:r w:rsidR="00DC14AC">
        <w:t>Section </w:t>
      </w:r>
      <w:r w:rsidRPr="00696770" w:rsidR="00E970FB">
        <w:t xml:space="preserve">III.B.1.a, </w:t>
      </w:r>
      <w:r w:rsidRPr="00696770" w:rsidR="00D47D83">
        <w:t xml:space="preserve">and </w:t>
      </w:r>
      <w:r w:rsidR="00DC14AC">
        <w:t>Section </w:t>
      </w:r>
      <w:r w:rsidRPr="00696770" w:rsidR="00E970FB">
        <w:t>III.B.1.b</w:t>
      </w:r>
      <w:r w:rsidRPr="00696770" w:rsidR="0020321E">
        <w:t xml:space="preserve"> </w:t>
      </w:r>
      <w:r w:rsidR="00B26020">
        <w:t xml:space="preserve">regarding permit requirements </w:t>
      </w:r>
      <w:r w:rsidRPr="00696770" w:rsidR="0020321E">
        <w:t>and</w:t>
      </w:r>
      <w:r w:rsidR="00745CE6">
        <w:t xml:space="preserve"> in</w:t>
      </w:r>
      <w:r w:rsidRPr="00696770" w:rsidR="0020321E">
        <w:t xml:space="preserve"> </w:t>
      </w:r>
      <w:r w:rsidRPr="00696770" w:rsidR="00C51303">
        <w:t>the list of</w:t>
      </w:r>
      <w:r w:rsidRPr="00696770" w:rsidR="001C1BA1">
        <w:t xml:space="preserve"> </w:t>
      </w:r>
      <w:r w:rsidRPr="00696770" w:rsidR="0020321E">
        <w:t xml:space="preserve">permit exemptions in </w:t>
      </w:r>
      <w:r w:rsidR="00DC14AC">
        <w:t>Section </w:t>
      </w:r>
      <w:r w:rsidRPr="00696770" w:rsidR="0020321E">
        <w:t>III.C.1</w:t>
      </w:r>
      <w:r w:rsidRPr="00696770" w:rsidR="009D5EED">
        <w:t xml:space="preserve">. </w:t>
      </w:r>
      <w:r w:rsidRPr="00696770" w:rsidR="007E7CCA">
        <w:t xml:space="preserve">to clarify </w:t>
      </w:r>
      <w:r w:rsidR="00AE473B">
        <w:t>where</w:t>
      </w:r>
      <w:r w:rsidRPr="00696770" w:rsidR="007E7CCA">
        <w:t xml:space="preserve"> switching stations have the same permitting process as substations</w:t>
      </w:r>
      <w:r w:rsidRPr="00696770" w:rsidR="00341430">
        <w:t>.</w:t>
      </w:r>
    </w:p>
    <w:p w:rsidR="00341430" w:rsidP="00804F6F" w:rsidRDefault="00341430" w14:paraId="70D3B954" w14:textId="77777777">
      <w:pPr>
        <w:pStyle w:val="Heading2"/>
      </w:pPr>
      <w:bookmarkStart w:name="_Toc189738518" w:id="169"/>
      <w:r>
        <w:t>Deletion of Permit Exemption “a”</w:t>
      </w:r>
      <w:bookmarkEnd w:id="169"/>
    </w:p>
    <w:p w:rsidR="007716A7" w:rsidP="006A5C0C" w:rsidRDefault="7B0F06B4" w14:paraId="0579BD30" w14:textId="77777777">
      <w:pPr>
        <w:pStyle w:val="Standard"/>
      </w:pPr>
      <w:r>
        <w:t>As discussed below, w</w:t>
      </w:r>
      <w:r w:rsidR="056CB771">
        <w:t>e</w:t>
      </w:r>
      <w:r w:rsidR="61056161">
        <w:t xml:space="preserve"> </w:t>
      </w:r>
      <w:r w:rsidR="056CB771">
        <w:t xml:space="preserve">adopt </w:t>
      </w:r>
      <w:r w:rsidR="09C2F640">
        <w:t>S</w:t>
      </w:r>
      <w:r w:rsidR="1E4574D5">
        <w:t>taff</w:t>
      </w:r>
      <w:r w:rsidR="53E96771">
        <w:t>’s</w:t>
      </w:r>
      <w:r w:rsidR="1E4574D5">
        <w:t xml:space="preserve"> recommend</w:t>
      </w:r>
      <w:r w:rsidR="53E96771">
        <w:t>ed</w:t>
      </w:r>
      <w:r w:rsidR="1E4574D5">
        <w:t xml:space="preserve"> </w:t>
      </w:r>
      <w:r w:rsidR="01E6B9C9">
        <w:t xml:space="preserve">deletion of </w:t>
      </w:r>
      <w:r>
        <w:t xml:space="preserve">the </w:t>
      </w:r>
      <w:r w:rsidR="1E4574D5">
        <w:t>PTC exemption “a”</w:t>
      </w:r>
      <w:r w:rsidR="0D6DC0DF">
        <w:t xml:space="preserve">, as set forth in </w:t>
      </w:r>
      <w:r w:rsidR="003B5D07">
        <w:t>GO </w:t>
      </w:r>
      <w:r w:rsidR="0D6DC0DF">
        <w:t>131-D</w:t>
      </w:r>
      <w:r w:rsidR="00CE6CB9">
        <w:t>,</w:t>
      </w:r>
      <w:r w:rsidR="0D6DC0DF">
        <w:t xml:space="preserve"> </w:t>
      </w:r>
      <w:r w:rsidR="00DC14AC">
        <w:t>Section </w:t>
      </w:r>
      <w:r w:rsidR="0D6DC0DF">
        <w:t>III.B.1.a,</w:t>
      </w:r>
      <w:r w:rsidR="143D1F74">
        <w:t xml:space="preserve"> in </w:t>
      </w:r>
      <w:r w:rsidR="003B5D07">
        <w:t>GO </w:t>
      </w:r>
      <w:r w:rsidR="143D1F74">
        <w:t>131-E.</w:t>
      </w:r>
      <w:r w:rsidDel="143D1F74" w:rsidR="002C7E4C">
        <w:t xml:space="preserve"> </w:t>
      </w:r>
    </w:p>
    <w:p w:rsidR="00864556" w:rsidP="006A5C0C" w:rsidRDefault="00B03B8F" w14:paraId="2A5B7CAE" w14:textId="77777777">
      <w:pPr>
        <w:pStyle w:val="Standard"/>
        <w:rPr>
          <w:bCs/>
        </w:rPr>
      </w:pPr>
      <w:r>
        <w:rPr>
          <w:bCs/>
        </w:rPr>
        <w:t xml:space="preserve">Exemption “a” </w:t>
      </w:r>
      <w:r w:rsidR="007716A7">
        <w:rPr>
          <w:bCs/>
        </w:rPr>
        <w:t>provides</w:t>
      </w:r>
      <w:r w:rsidRPr="00703244" w:rsidR="00CA6469">
        <w:rPr>
          <w:bCs/>
        </w:rPr>
        <w:t xml:space="preserve"> that compliance with the PTC application process in </w:t>
      </w:r>
      <w:r w:rsidR="00DC14AC">
        <w:rPr>
          <w:bCs/>
        </w:rPr>
        <w:t>Section </w:t>
      </w:r>
      <w:r w:rsidRPr="00703244" w:rsidR="00CA6469">
        <w:rPr>
          <w:bCs/>
        </w:rPr>
        <w:t xml:space="preserve">IX.B is not required for “power line facilities or substations with an in-service date occurring before January 1, 1996, which have been reported to the Commission in accordance with the Commission’s decision adopting </w:t>
      </w:r>
      <w:r w:rsidR="003B5D07">
        <w:rPr>
          <w:bCs/>
        </w:rPr>
        <w:t>GO </w:t>
      </w:r>
      <w:r w:rsidRPr="00703244" w:rsidR="00CA6469">
        <w:rPr>
          <w:bCs/>
        </w:rPr>
        <w:t xml:space="preserve">131-D.” </w:t>
      </w:r>
    </w:p>
    <w:p w:rsidRPr="00703244" w:rsidR="00CA6469" w:rsidP="006A5C0C" w:rsidRDefault="00CA6469" w14:paraId="12CAF96D" w14:textId="77777777">
      <w:pPr>
        <w:pStyle w:val="Standard"/>
        <w:rPr>
          <w:bCs/>
        </w:rPr>
      </w:pPr>
      <w:r w:rsidRPr="00E03B51">
        <w:rPr>
          <w:bCs/>
        </w:rPr>
        <w:t xml:space="preserve">PG&amp;E, SCE, and SDG&amp;E recommend retaining exemption “a” in </w:t>
      </w:r>
      <w:r w:rsidR="003B5D07">
        <w:rPr>
          <w:bCs/>
        </w:rPr>
        <w:t>GO</w:t>
      </w:r>
      <w:r w:rsidR="00AD2306">
        <w:rPr>
          <w:bCs/>
        </w:rPr>
        <w:t> </w:t>
      </w:r>
      <w:r w:rsidRPr="00E03B51">
        <w:rPr>
          <w:bCs/>
        </w:rPr>
        <w:t>131</w:t>
      </w:r>
      <w:r w:rsidR="00AD2306">
        <w:rPr>
          <w:bCs/>
        </w:rPr>
        <w:noBreakHyphen/>
      </w:r>
      <w:r w:rsidRPr="00E03B51">
        <w:rPr>
          <w:bCs/>
        </w:rPr>
        <w:t xml:space="preserve">E even though it is only applicable to projects built prior to 1996. SDG&amp;E acknowledges Staff’s </w:t>
      </w:r>
      <w:r w:rsidRPr="00E03B51" w:rsidR="00712B66">
        <w:rPr>
          <w:bCs/>
        </w:rPr>
        <w:t>proposal</w:t>
      </w:r>
      <w:r w:rsidRPr="00E03B51">
        <w:rPr>
          <w:bCs/>
        </w:rPr>
        <w:t xml:space="preserve"> to delete an exemption for projects that were constructed decades ago. However, SDG&amp;E points out that parties may challenge the utilities’ authorization for previously built power lines or </w:t>
      </w:r>
      <w:r w:rsidRPr="00E03B51">
        <w:rPr>
          <w:bCs/>
        </w:rPr>
        <w:lastRenderedPageBreak/>
        <w:t xml:space="preserve">substations. For this reason, SDG&amp;E suggests that PTC exemption “a” should be retained in the historical record </w:t>
      </w:r>
      <w:r w:rsidRPr="00E03B51" w:rsidR="00EF0754">
        <w:rPr>
          <w:bCs/>
        </w:rPr>
        <w:t xml:space="preserve">as the basis </w:t>
      </w:r>
      <w:r w:rsidRPr="00E03B51">
        <w:rPr>
          <w:bCs/>
        </w:rPr>
        <w:t xml:space="preserve">for </w:t>
      </w:r>
      <w:r w:rsidRPr="00E03B51" w:rsidR="00EF0754">
        <w:rPr>
          <w:bCs/>
        </w:rPr>
        <w:t>prior</w:t>
      </w:r>
      <w:r w:rsidRPr="00E03B51">
        <w:rPr>
          <w:bCs/>
        </w:rPr>
        <w:t xml:space="preserve"> Commission decision</w:t>
      </w:r>
      <w:r w:rsidRPr="00E03B51" w:rsidR="00EF0754">
        <w:rPr>
          <w:bCs/>
        </w:rPr>
        <w:t>s</w:t>
      </w:r>
      <w:r w:rsidRPr="00E03B51">
        <w:rPr>
          <w:bCs/>
        </w:rPr>
        <w:t xml:space="preserve"> not to authorize certain power line facilities and substations.</w:t>
      </w:r>
      <w:r w:rsidRPr="00E03B51">
        <w:rPr>
          <w:rStyle w:val="FootnoteReference"/>
          <w:bCs/>
        </w:rPr>
        <w:footnoteReference w:id="207"/>
      </w:r>
      <w:r w:rsidRPr="00703244">
        <w:rPr>
          <w:bCs/>
        </w:rPr>
        <w:t xml:space="preserve"> </w:t>
      </w:r>
    </w:p>
    <w:p w:rsidR="00341430" w:rsidP="00591BB3" w:rsidRDefault="00CA6469" w14:paraId="0FCF98C0" w14:textId="77777777">
      <w:pPr>
        <w:pStyle w:val="Standard"/>
      </w:pPr>
      <w:r w:rsidRPr="000C6849">
        <w:t xml:space="preserve">Upon review of the recommendation from PG&amp;E, SCE, SDG&amp;E, </w:t>
      </w:r>
      <w:bookmarkStart w:name="_Hlk177640108" w:id="170"/>
      <w:r w:rsidRPr="000C6849">
        <w:t xml:space="preserve">we </w:t>
      </w:r>
      <w:r w:rsidRPr="000C6849" w:rsidR="009E4C05">
        <w:t>will</w:t>
      </w:r>
      <w:r w:rsidRPr="000C6849">
        <w:t xml:space="preserve"> </w:t>
      </w:r>
      <w:r w:rsidRPr="000C6849" w:rsidR="00FA2A4C">
        <w:t xml:space="preserve">not retain </w:t>
      </w:r>
      <w:r w:rsidRPr="000C6849">
        <w:t xml:space="preserve">current PTC exemption “a”, as specified in </w:t>
      </w:r>
      <w:r w:rsidR="003B5D07">
        <w:t>GO</w:t>
      </w:r>
      <w:r w:rsidR="00AD2306">
        <w:t> </w:t>
      </w:r>
      <w:r w:rsidRPr="000C6849">
        <w:t>131-D</w:t>
      </w:r>
      <w:r w:rsidR="00630DCA">
        <w:t>,</w:t>
      </w:r>
      <w:r w:rsidRPr="000C6849">
        <w:t xml:space="preserve"> </w:t>
      </w:r>
      <w:r w:rsidR="00DC14AC">
        <w:t>Section </w:t>
      </w:r>
      <w:r w:rsidRPr="000C6849">
        <w:t>III.B.1.a</w:t>
      </w:r>
      <w:r w:rsidR="00630DCA">
        <w:t>,</w:t>
      </w:r>
      <w:r w:rsidRPr="000C6849">
        <w:t xml:space="preserve"> in </w:t>
      </w:r>
      <w:r w:rsidR="003B5D07">
        <w:t>GO </w:t>
      </w:r>
      <w:r w:rsidRPr="000C6849">
        <w:t>131-E. </w:t>
      </w:r>
      <w:bookmarkEnd w:id="170"/>
      <w:r w:rsidR="00DC14AC">
        <w:t>Section </w:t>
      </w:r>
      <w:r w:rsidRPr="000C6849" w:rsidR="00591BB3">
        <w:t xml:space="preserve">III.B.1.a </w:t>
      </w:r>
      <w:r w:rsidRPr="000C6849" w:rsidR="00020070">
        <w:t xml:space="preserve">of </w:t>
      </w:r>
      <w:r w:rsidR="003B5D07">
        <w:t>GO </w:t>
      </w:r>
      <w:r w:rsidRPr="000C6849">
        <w:t xml:space="preserve">131-D </w:t>
      </w:r>
      <w:r w:rsidRPr="000C6849" w:rsidDel="00591BB3">
        <w:t xml:space="preserve">will </w:t>
      </w:r>
      <w:r w:rsidRPr="000C6849" w:rsidR="008865A6">
        <w:t>serve</w:t>
      </w:r>
      <w:r w:rsidRPr="000C6849" w:rsidDel="00591BB3">
        <w:t xml:space="preserve"> </w:t>
      </w:r>
      <w:r w:rsidRPr="000C6849" w:rsidR="001B0556">
        <w:t xml:space="preserve">only </w:t>
      </w:r>
      <w:r w:rsidRPr="000C6849">
        <w:t xml:space="preserve">as a historical record </w:t>
      </w:r>
      <w:r w:rsidRPr="000C6849" w:rsidR="00591BB3">
        <w:t xml:space="preserve">to </w:t>
      </w:r>
      <w:r w:rsidRPr="000C6849" w:rsidR="0000725A">
        <w:t>show</w:t>
      </w:r>
      <w:r w:rsidRPr="000C6849" w:rsidDel="00591BB3">
        <w:t xml:space="preserve"> </w:t>
      </w:r>
      <w:r w:rsidRPr="000C6849">
        <w:t xml:space="preserve">why certain facilities did or did not require authorization under past versions of the general order. In the spirit of simplifying </w:t>
      </w:r>
      <w:r w:rsidR="003B5D07">
        <w:t>GO </w:t>
      </w:r>
      <w:r w:rsidRPr="000C6849">
        <w:t>131-</w:t>
      </w:r>
      <w:r w:rsidRPr="000C6849" w:rsidR="00591BB3">
        <w:t>E</w:t>
      </w:r>
      <w:r w:rsidRPr="000C6849">
        <w:t xml:space="preserve">, deleting outdated references, and clarifying permitting requirements, it is not necessary </w:t>
      </w:r>
      <w:r w:rsidRPr="000C6849" w:rsidR="009A28E6">
        <w:t>to retain</w:t>
      </w:r>
      <w:r w:rsidRPr="000C6849">
        <w:t xml:space="preserve"> a long-outdated permitting requirement merely for the sake of providing historical context.</w:t>
      </w:r>
      <w:r w:rsidRPr="00CA6469">
        <w:t> </w:t>
      </w:r>
    </w:p>
    <w:p w:rsidR="00CC40E2" w:rsidP="00804F6F" w:rsidRDefault="00CC40E2" w14:paraId="2A23C289" w14:textId="77777777">
      <w:pPr>
        <w:pStyle w:val="Heading1"/>
        <w:rPr>
          <w:rStyle w:val="Heading1Char"/>
          <w:b/>
          <w:bCs/>
        </w:rPr>
      </w:pPr>
      <w:bookmarkStart w:name="_Toc189738519" w:id="171"/>
      <w:r>
        <w:rPr>
          <w:rStyle w:val="Heading1Char"/>
          <w:b/>
          <w:bCs/>
        </w:rPr>
        <w:t>Reporting Requirements</w:t>
      </w:r>
      <w:bookmarkEnd w:id="171"/>
    </w:p>
    <w:p w:rsidR="006C5A0A" w:rsidP="0020116C" w:rsidRDefault="5A6067E8" w14:paraId="38EAD1DE" w14:textId="77777777">
      <w:pPr>
        <w:pStyle w:val="Standard"/>
      </w:pPr>
      <w:r>
        <w:t>As discussed below,</w:t>
      </w:r>
      <w:r w:rsidR="6F422BE4">
        <w:t xml:space="preserve"> we adopt</w:t>
      </w:r>
      <w:r w:rsidR="00585773">
        <w:t xml:space="preserve"> </w:t>
      </w:r>
      <w:r w:rsidR="00C2087A">
        <w:t>a modified version of</w:t>
      </w:r>
      <w:r w:rsidR="6F422BE4">
        <w:t xml:space="preserve"> Staff Proposal</w:t>
      </w:r>
      <w:r w:rsidR="666884AA">
        <w:t xml:space="preserve"> </w:t>
      </w:r>
      <w:r w:rsidR="00DC14AC">
        <w:t>Section </w:t>
      </w:r>
      <w:r w:rsidR="666884AA">
        <w:t>3.2, Proposal</w:t>
      </w:r>
      <w:r w:rsidR="6F422BE4">
        <w:t xml:space="preserve"> 2, which amends the list of financial information that must be reported by electric public utilities to the Commission, </w:t>
      </w:r>
      <w:r w:rsidR="6D9489E6">
        <w:t>as</w:t>
      </w:r>
      <w:r w:rsidR="6F422BE4">
        <w:t xml:space="preserve"> specified in </w:t>
      </w:r>
      <w:r w:rsidR="003B5D07">
        <w:t>GO </w:t>
      </w:r>
      <w:r w:rsidR="6F422BE4">
        <w:t>131</w:t>
      </w:r>
      <w:r w:rsidR="00AD2306">
        <w:noBreakHyphen/>
      </w:r>
      <w:r w:rsidR="6F422BE4">
        <w:t>E, Appendix A</w:t>
      </w:r>
      <w:r w:rsidR="378045EF">
        <w:t>,</w:t>
      </w:r>
      <w:r w:rsidR="6F422BE4">
        <w:t xml:space="preserve"> </w:t>
      </w:r>
      <w:r w:rsidR="00736E7E">
        <w:t xml:space="preserve">by (1) </w:t>
      </w:r>
      <w:r w:rsidR="6F422BE4">
        <w:t>delet</w:t>
      </w:r>
      <w:r w:rsidR="00736E7E">
        <w:t>ing</w:t>
      </w:r>
      <w:r w:rsidR="6F422BE4">
        <w:t xml:space="preserve"> </w:t>
      </w:r>
      <w:r w:rsidR="00A70072">
        <w:t>GO 131-D</w:t>
      </w:r>
      <w:r w:rsidR="00CE6CB9">
        <w:t>,</w:t>
      </w:r>
      <w:r w:rsidR="00A70072">
        <w:t xml:space="preserve"> </w:t>
      </w:r>
      <w:r w:rsidR="00DC14AC">
        <w:t>Section </w:t>
      </w:r>
      <w:r w:rsidR="6F422BE4">
        <w:t>VI</w:t>
      </w:r>
      <w:r w:rsidR="006001C7">
        <w:t>, (2)</w:t>
      </w:r>
      <w:r w:rsidR="5F782D81">
        <w:t xml:space="preserve"> </w:t>
      </w:r>
      <w:r w:rsidR="6F422BE4">
        <w:t>mov</w:t>
      </w:r>
      <w:r w:rsidR="006001C7">
        <w:t>ing</w:t>
      </w:r>
      <w:r w:rsidR="6F422BE4">
        <w:t xml:space="preserve"> the financial reporting requirements into </w:t>
      </w:r>
      <w:r w:rsidR="005E064A">
        <w:t xml:space="preserve">a new </w:t>
      </w:r>
      <w:r w:rsidR="00DC14AC">
        <w:t>Section </w:t>
      </w:r>
      <w:r w:rsidR="6F422BE4">
        <w:t xml:space="preserve">IV.C in </w:t>
      </w:r>
      <w:r w:rsidR="003B5D07">
        <w:t>GO </w:t>
      </w:r>
      <w:r w:rsidR="6F422BE4">
        <w:t>131-E</w:t>
      </w:r>
      <w:r w:rsidR="378045EF">
        <w:t xml:space="preserve">, and </w:t>
      </w:r>
      <w:r w:rsidR="006001C7">
        <w:t xml:space="preserve">(3) </w:t>
      </w:r>
      <w:r w:rsidR="6F422BE4">
        <w:t>delet</w:t>
      </w:r>
      <w:r w:rsidR="006001C7">
        <w:t>ing</w:t>
      </w:r>
      <w:r w:rsidR="6F422BE4">
        <w:t xml:space="preserve"> </w:t>
      </w:r>
      <w:r w:rsidR="005E064A">
        <w:t>the GO 131-D</w:t>
      </w:r>
      <w:r w:rsidR="00CE6CB9">
        <w:t>,</w:t>
      </w:r>
      <w:r w:rsidR="005E064A">
        <w:t xml:space="preserve"> </w:t>
      </w:r>
      <w:r w:rsidR="00DC14AC">
        <w:t>Section </w:t>
      </w:r>
      <w:r w:rsidR="6F422BE4">
        <w:t xml:space="preserve">IV </w:t>
      </w:r>
      <w:r w:rsidR="5BAA7145">
        <w:t>requirement as unnecessary</w:t>
      </w:r>
      <w:r w:rsidR="585E9CEF">
        <w:t>.</w:t>
      </w:r>
      <w:r w:rsidR="6F422BE4">
        <w:t> </w:t>
      </w:r>
    </w:p>
    <w:p w:rsidRPr="00585773" w:rsidR="00817ABA" w:rsidP="00817ABA" w:rsidRDefault="003B5D07" w14:paraId="23821228" w14:textId="77777777">
      <w:pPr>
        <w:pStyle w:val="Standard"/>
      </w:pPr>
      <w:r>
        <w:t>GO </w:t>
      </w:r>
      <w:r w:rsidRPr="00585773" w:rsidR="00817ABA">
        <w:t>131-D requires utilities to furnish copies to Staff of reports of loads and resources submitted to the CEC (</w:t>
      </w:r>
      <w:r w:rsidR="00DC14AC">
        <w:t>Section </w:t>
      </w:r>
      <w:r w:rsidRPr="00585773" w:rsidR="00817ABA">
        <w:t xml:space="preserve">IV of </w:t>
      </w:r>
      <w:r>
        <w:t>GO </w:t>
      </w:r>
      <w:r w:rsidRPr="00585773" w:rsidR="00817ABA">
        <w:t>131-D), annually submit reports to Staff on forecasts of planned transmission lines, power lines, and substations (</w:t>
      </w:r>
      <w:r w:rsidR="00DC14AC">
        <w:t>Section </w:t>
      </w:r>
      <w:r w:rsidRPr="00585773" w:rsidR="00817ABA">
        <w:t xml:space="preserve">V in </w:t>
      </w:r>
      <w:r>
        <w:t>GO </w:t>
      </w:r>
      <w:r w:rsidRPr="00585773" w:rsidR="00817ABA">
        <w:t xml:space="preserve">131-D), and biennially submit reports to Staff </w:t>
      </w:r>
      <w:r w:rsidRPr="00585773" w:rsidR="00817ABA">
        <w:lastRenderedPageBreak/>
        <w:t>containing transmission-related financial information (</w:t>
      </w:r>
      <w:r w:rsidR="00DC14AC">
        <w:t>Section </w:t>
      </w:r>
      <w:r w:rsidRPr="00585773" w:rsidR="00817ABA">
        <w:t xml:space="preserve">VI and Appendix A in </w:t>
      </w:r>
      <w:r>
        <w:t>GO </w:t>
      </w:r>
      <w:r w:rsidRPr="00585773" w:rsidR="00817ABA">
        <w:t>131-D).</w:t>
      </w:r>
      <w:r w:rsidRPr="00585773" w:rsidR="00817ABA">
        <w:rPr>
          <w:rStyle w:val="FootnoteReference"/>
        </w:rPr>
        <w:footnoteReference w:id="208"/>
      </w:r>
      <w:r w:rsidRPr="00585773" w:rsidR="00817ABA">
        <w:t xml:space="preserve">  </w:t>
      </w:r>
    </w:p>
    <w:p w:rsidR="00937E90" w:rsidP="0020116C" w:rsidRDefault="009C4EBF" w14:paraId="4FFF6092" w14:textId="77777777">
      <w:pPr>
        <w:pStyle w:val="Standard"/>
      </w:pPr>
      <w:r w:rsidRPr="00585773">
        <w:t xml:space="preserve">More recently, </w:t>
      </w:r>
      <w:r w:rsidRPr="00585773" w:rsidR="00D72FB5">
        <w:t>the Commissio</w:t>
      </w:r>
      <w:r w:rsidRPr="00585773" w:rsidR="0026014A">
        <w:t>n</w:t>
      </w:r>
      <w:r w:rsidRPr="00585773" w:rsidR="004E2F39">
        <w:t xml:space="preserve"> has</w:t>
      </w:r>
      <w:r w:rsidRPr="00585773" w:rsidR="003258A7">
        <w:t xml:space="preserve"> </w:t>
      </w:r>
      <w:r w:rsidRPr="00585773" w:rsidR="00130689">
        <w:t xml:space="preserve">required </w:t>
      </w:r>
      <w:r w:rsidRPr="00585773" w:rsidR="0065230E">
        <w:t xml:space="preserve">each </w:t>
      </w:r>
      <w:r w:rsidRPr="00585773" w:rsidR="00130689">
        <w:t xml:space="preserve">utility </w:t>
      </w:r>
      <w:r w:rsidRPr="00585773" w:rsidR="0065230E">
        <w:t xml:space="preserve">to </w:t>
      </w:r>
      <w:r w:rsidRPr="00585773" w:rsidR="00864602">
        <w:t xml:space="preserve">brief Staff </w:t>
      </w:r>
      <w:r w:rsidRPr="00585773" w:rsidR="0056162B">
        <w:t>every quarter</w:t>
      </w:r>
      <w:r w:rsidRPr="00585773" w:rsidR="00864602">
        <w:t xml:space="preserve"> </w:t>
      </w:r>
      <w:r w:rsidRPr="00585773" w:rsidR="00B8021A">
        <w:t xml:space="preserve">to obtain information on </w:t>
      </w:r>
      <w:r w:rsidRPr="00585773" w:rsidR="00143294">
        <w:t xml:space="preserve">current and future </w:t>
      </w:r>
      <w:r w:rsidRPr="00585773" w:rsidR="009A0E2A">
        <w:t xml:space="preserve">activities related to </w:t>
      </w:r>
      <w:r w:rsidRPr="00585773" w:rsidR="00591F23">
        <w:t>transmission</w:t>
      </w:r>
      <w:r w:rsidRPr="00585773" w:rsidR="001F2093">
        <w:t xml:space="preserve"> facilities,</w:t>
      </w:r>
      <w:r w:rsidRPr="00585773" w:rsidR="000D637D">
        <w:t xml:space="preserve"> and </w:t>
      </w:r>
      <w:r w:rsidRPr="00585773" w:rsidR="00C86695">
        <w:t xml:space="preserve">biannually </w:t>
      </w:r>
      <w:r w:rsidRPr="00585773" w:rsidR="0056162B">
        <w:t xml:space="preserve">participate in </w:t>
      </w:r>
      <w:r w:rsidRPr="00585773" w:rsidR="001E78F7">
        <w:t>the Transmission Project Review (TPR) Proces</w:t>
      </w:r>
      <w:r w:rsidRPr="00585773" w:rsidR="00203B78">
        <w:t>s</w:t>
      </w:r>
      <w:r w:rsidRPr="00585773" w:rsidR="005223B2">
        <w:t xml:space="preserve"> </w:t>
      </w:r>
      <w:r w:rsidRPr="00585773" w:rsidR="00972741">
        <w:t xml:space="preserve">which enables the </w:t>
      </w:r>
      <w:r w:rsidRPr="00585773" w:rsidR="005223B2">
        <w:t xml:space="preserve">Commission and stakeholders </w:t>
      </w:r>
      <w:r w:rsidRPr="00585773" w:rsidR="00BA7858">
        <w:t xml:space="preserve">to receive information </w:t>
      </w:r>
      <w:r w:rsidRPr="00585773" w:rsidR="005223B2">
        <w:t>about</w:t>
      </w:r>
      <w:r w:rsidRPr="00585773" w:rsidR="00F502CD">
        <w:t xml:space="preserve"> </w:t>
      </w:r>
      <w:r w:rsidRPr="00585773" w:rsidR="00B937C2">
        <w:t xml:space="preserve">transmission owners’ planning assumptions, determination and prioritization of needs, and the processes leading to transmission solutions and network upgrades. </w:t>
      </w:r>
      <w:r w:rsidRPr="00585773" w:rsidR="00BE070C">
        <w:t xml:space="preserve">Further, </w:t>
      </w:r>
      <w:r w:rsidR="0027213E">
        <w:t xml:space="preserve">the </w:t>
      </w:r>
      <w:r w:rsidRPr="00585773" w:rsidR="00BE070C">
        <w:t>TPR process provide</w:t>
      </w:r>
      <w:r w:rsidR="0027213E">
        <w:t>s</w:t>
      </w:r>
      <w:r w:rsidRPr="00585773" w:rsidR="00BE070C">
        <w:t xml:space="preserve"> </w:t>
      </w:r>
      <w:r w:rsidRPr="00585773" w:rsidR="00BA7858">
        <w:t>information to stakeholder</w:t>
      </w:r>
      <w:r w:rsidRPr="00585773" w:rsidR="00E3272B">
        <w:t>s</w:t>
      </w:r>
      <w:r w:rsidRPr="00585773" w:rsidR="00BA7858">
        <w:t xml:space="preserve"> regarding </w:t>
      </w:r>
      <w:r w:rsidRPr="00585773" w:rsidR="00F502CD">
        <w:t>capital additions</w:t>
      </w:r>
      <w:r w:rsidRPr="00585773" w:rsidR="00402365">
        <w:t xml:space="preserve"> to rate base </w:t>
      </w:r>
      <w:r w:rsidRPr="00585773" w:rsidR="00366A6B">
        <w:t>for the past five years</w:t>
      </w:r>
      <w:r w:rsidRPr="00585773" w:rsidR="00F502CD">
        <w:t xml:space="preserve"> and </w:t>
      </w:r>
      <w:r w:rsidRPr="00585773" w:rsidR="00402365">
        <w:t xml:space="preserve">capital </w:t>
      </w:r>
      <w:r w:rsidRPr="00585773" w:rsidR="00F502CD">
        <w:t xml:space="preserve">expenditures </w:t>
      </w:r>
      <w:r w:rsidRPr="00585773" w:rsidR="002B6BF3">
        <w:t>incurred durin</w:t>
      </w:r>
      <w:r w:rsidRPr="00585773" w:rsidR="00922B9F">
        <w:t xml:space="preserve">g the </w:t>
      </w:r>
      <w:r w:rsidRPr="00585773" w:rsidR="006155D1">
        <w:t xml:space="preserve">current </w:t>
      </w:r>
      <w:r w:rsidRPr="00585773" w:rsidR="00922B9F">
        <w:t xml:space="preserve">year and </w:t>
      </w:r>
      <w:r w:rsidRPr="00585773" w:rsidR="004369BE">
        <w:t>projected for the</w:t>
      </w:r>
      <w:r w:rsidRPr="00585773" w:rsidR="00922B9F">
        <w:t xml:space="preserve"> </w:t>
      </w:r>
      <w:r w:rsidRPr="00585773" w:rsidR="004369BE">
        <w:t xml:space="preserve">next </w:t>
      </w:r>
      <w:r w:rsidRPr="00585773" w:rsidR="00922B9F">
        <w:t>four years</w:t>
      </w:r>
      <w:r w:rsidRPr="00585773" w:rsidR="00F502CD">
        <w:t xml:space="preserve"> transmission projects</w:t>
      </w:r>
      <w:r w:rsidRPr="00585773" w:rsidR="00FE62C2">
        <w:t xml:space="preserve"> with expected costs </w:t>
      </w:r>
      <w:r w:rsidR="0027213E">
        <w:t xml:space="preserve">of </w:t>
      </w:r>
      <w:r w:rsidRPr="00585773" w:rsidR="00FE62C2">
        <w:t>at least $1 million</w:t>
      </w:r>
      <w:r w:rsidRPr="00585773" w:rsidR="009626DB">
        <w:t>.</w:t>
      </w:r>
      <w:r w:rsidR="00F502CD">
        <w:t xml:space="preserve"> </w:t>
      </w:r>
    </w:p>
    <w:p w:rsidR="00641F04" w:rsidP="00362003" w:rsidRDefault="00E362B3" w14:paraId="1328AB4A" w14:textId="77777777">
      <w:pPr>
        <w:pStyle w:val="Standard"/>
      </w:pPr>
      <w:r w:rsidRPr="00107ABB">
        <w:t xml:space="preserve">While </w:t>
      </w:r>
      <w:r w:rsidR="003B5D07">
        <w:t>GO </w:t>
      </w:r>
      <w:r w:rsidRPr="00107ABB">
        <w:t xml:space="preserve">131-D </w:t>
      </w:r>
      <w:r w:rsidRPr="00107ABB" w:rsidR="00CD2B25">
        <w:t>prescribe</w:t>
      </w:r>
      <w:r w:rsidRPr="00107ABB" w:rsidR="004F07B8">
        <w:t>s</w:t>
      </w:r>
      <w:r w:rsidRPr="00107ABB" w:rsidR="00911198">
        <w:t xml:space="preserve"> processes </w:t>
      </w:r>
      <w:r w:rsidRPr="00107ABB" w:rsidR="00A378BF">
        <w:t xml:space="preserve">for utilities </w:t>
      </w:r>
      <w:r w:rsidRPr="00107ABB" w:rsidR="00E10B73">
        <w:t>to report</w:t>
      </w:r>
      <w:r w:rsidRPr="00107ABB">
        <w:t xml:space="preserve"> loads and resources, forecasts of planned transmission facilities, and financial information</w:t>
      </w:r>
      <w:r w:rsidRPr="00107ABB" w:rsidR="000F1AEA">
        <w:t xml:space="preserve"> (i.e. </w:t>
      </w:r>
      <w:r w:rsidR="00DC14AC">
        <w:t>Section </w:t>
      </w:r>
      <w:r w:rsidRPr="00107ABB" w:rsidR="000F1AEA">
        <w:t xml:space="preserve">IV, </w:t>
      </w:r>
      <w:r w:rsidR="00DC14AC">
        <w:t>Section </w:t>
      </w:r>
      <w:r w:rsidRPr="00107ABB" w:rsidR="000F1AEA">
        <w:t xml:space="preserve">V, and </w:t>
      </w:r>
      <w:r w:rsidR="00DC14AC">
        <w:t>Section </w:t>
      </w:r>
      <w:r w:rsidRPr="00107ABB" w:rsidR="000F1AEA">
        <w:t>VI)</w:t>
      </w:r>
      <w:r w:rsidRPr="00107ABB" w:rsidR="00131F16">
        <w:t>,</w:t>
      </w:r>
      <w:r w:rsidRPr="00107ABB" w:rsidR="002D1C46">
        <w:t xml:space="preserve"> </w:t>
      </w:r>
      <w:r w:rsidRPr="00107ABB" w:rsidR="00637F7F">
        <w:t>there are no</w:t>
      </w:r>
      <w:r>
        <w:t xml:space="preserve"> rules </w:t>
      </w:r>
      <w:r w:rsidR="00FC60EC">
        <w:t xml:space="preserve">in GO 131-D </w:t>
      </w:r>
      <w:r w:rsidR="006A0FC6">
        <w:t xml:space="preserve">that </w:t>
      </w:r>
      <w:r w:rsidR="00A378BF">
        <w:t xml:space="preserve">specify </w:t>
      </w:r>
      <w:r w:rsidR="00E10B73">
        <w:t>requirements for</w:t>
      </w:r>
      <w:r>
        <w:t xml:space="preserve"> q</w:t>
      </w:r>
      <w:r w:rsidR="00131F16">
        <w:t>uarterly briefings</w:t>
      </w:r>
      <w:r w:rsidR="006A31A1">
        <w:t xml:space="preserve"> and</w:t>
      </w:r>
      <w:r w:rsidDel="006A31A1" w:rsidR="00131F16">
        <w:t xml:space="preserve"> </w:t>
      </w:r>
      <w:r w:rsidR="00FC60EC">
        <w:t xml:space="preserve">the </w:t>
      </w:r>
      <w:r w:rsidR="00131F16">
        <w:t>TPR Process</w:t>
      </w:r>
      <w:r w:rsidR="00E10B73">
        <w:t xml:space="preserve">. </w:t>
      </w:r>
      <w:r w:rsidR="00E4202C">
        <w:t>To address this need, and</w:t>
      </w:r>
      <w:r w:rsidRPr="00E4202C" w:rsidR="00E4202C">
        <w:t xml:space="preserve"> </w:t>
      </w:r>
      <w:r w:rsidR="00E4202C">
        <w:t>improve all reporting requirements, including tho</w:t>
      </w:r>
      <w:r w:rsidR="004E328F">
        <w:t>se outlined in</w:t>
      </w:r>
      <w:r w:rsidR="00E4202C">
        <w:t xml:space="preserve"> </w:t>
      </w:r>
      <w:r w:rsidR="00DC14AC">
        <w:t>Section </w:t>
      </w:r>
      <w:r w:rsidR="00E4202C">
        <w:t xml:space="preserve">IV, </w:t>
      </w:r>
      <w:r w:rsidR="00DC14AC">
        <w:t>Section </w:t>
      </w:r>
      <w:r w:rsidR="00E4202C">
        <w:t xml:space="preserve">V, and </w:t>
      </w:r>
      <w:r w:rsidR="00DC14AC">
        <w:t>Section </w:t>
      </w:r>
      <w:r w:rsidR="00E4202C">
        <w:t>VI</w:t>
      </w:r>
      <w:r w:rsidRPr="005B7BB2" w:rsidR="00043C26">
        <w:t>,</w:t>
      </w:r>
      <w:r w:rsidR="00362003">
        <w:t xml:space="preserve"> </w:t>
      </w:r>
      <w:r w:rsidR="00E4202C">
        <w:t>we will</w:t>
      </w:r>
      <w:r w:rsidR="00880D82">
        <w:t xml:space="preserve"> no</w:t>
      </w:r>
      <w:r w:rsidR="00E9053C">
        <w:t xml:space="preserve">w consider </w:t>
      </w:r>
      <w:r w:rsidR="00FC60EC">
        <w:t xml:space="preserve">the proposed </w:t>
      </w:r>
      <w:r w:rsidR="002E524E">
        <w:t xml:space="preserve">revisions to </w:t>
      </w:r>
      <w:r w:rsidR="003B5D07">
        <w:t>GO </w:t>
      </w:r>
      <w:r w:rsidR="002E524E">
        <w:t xml:space="preserve">131-D </w:t>
      </w:r>
      <w:r w:rsidR="002F3FDD">
        <w:t>in the S</w:t>
      </w:r>
      <w:r w:rsidR="00CC40E2">
        <w:t>taff Proposal</w:t>
      </w:r>
      <w:r w:rsidR="002F3FDD">
        <w:t>.</w:t>
      </w:r>
    </w:p>
    <w:p w:rsidR="00D80B27" w:rsidP="00AD2306" w:rsidRDefault="00D80B27" w14:paraId="1A3FFF17" w14:textId="77777777">
      <w:pPr>
        <w:pStyle w:val="Standard"/>
        <w:keepNext/>
      </w:pPr>
      <w:r>
        <w:t xml:space="preserve">Staff </w:t>
      </w:r>
      <w:r w:rsidR="003D13ED">
        <w:t>proposes</w:t>
      </w:r>
      <w:r>
        <w:t xml:space="preserve"> to </w:t>
      </w:r>
      <w:r w:rsidR="00F8015F">
        <w:t>update</w:t>
      </w:r>
      <w:r w:rsidR="009B776F">
        <w:t xml:space="preserve"> </w:t>
      </w:r>
      <w:r w:rsidR="003B5D07">
        <w:t>GO </w:t>
      </w:r>
      <w:r w:rsidR="009B776F">
        <w:t>131-D reporting requirements</w:t>
      </w:r>
      <w:r w:rsidR="00665093">
        <w:t>,</w:t>
      </w:r>
      <w:r w:rsidR="009B776F">
        <w:t xml:space="preserve"> </w:t>
      </w:r>
      <w:r w:rsidR="00C86BA0">
        <w:t>as follows:</w:t>
      </w:r>
    </w:p>
    <w:p w:rsidR="00933366" w:rsidP="003B5D07" w:rsidRDefault="00AE7CCA" w14:paraId="2429DA97" w14:textId="77777777">
      <w:pPr>
        <w:pStyle w:val="BlockQuote"/>
        <w:spacing w:after="180"/>
      </w:pPr>
      <w:r>
        <w:t xml:space="preserve">Proposal 1: </w:t>
      </w:r>
      <w:r w:rsidR="00514CEE">
        <w:t>Revise</w:t>
      </w:r>
      <w:r w:rsidR="00C86BA0">
        <w:t xml:space="preserve"> </w:t>
      </w:r>
      <w:r w:rsidR="00DC14AC">
        <w:t>Section </w:t>
      </w:r>
      <w:r w:rsidRPr="00933366" w:rsidR="00933366">
        <w:t xml:space="preserve">V </w:t>
      </w:r>
      <w:r w:rsidR="00BE5DCC">
        <w:t xml:space="preserve">in </w:t>
      </w:r>
      <w:r w:rsidR="003B5D07">
        <w:t>GO </w:t>
      </w:r>
      <w:r w:rsidRPr="00933366" w:rsidR="00933366">
        <w:t xml:space="preserve">131-D to specify </w:t>
      </w:r>
      <w:r w:rsidR="00E60213">
        <w:t xml:space="preserve">that </w:t>
      </w:r>
      <w:r w:rsidRPr="00933366" w:rsidR="00933366">
        <w:t xml:space="preserve">utilities shall organize a quarterly briefing with </w:t>
      </w:r>
      <w:r w:rsidR="00416C28">
        <w:t xml:space="preserve">Staff </w:t>
      </w:r>
      <w:r w:rsidRPr="00933366" w:rsidR="00933366">
        <w:t xml:space="preserve">to present the working version of </w:t>
      </w:r>
      <w:r w:rsidR="002564EA">
        <w:t>the</w:t>
      </w:r>
      <w:r w:rsidR="001D546C">
        <w:t xml:space="preserve"> planned</w:t>
      </w:r>
      <w:r w:rsidR="002564EA">
        <w:t xml:space="preserve"> forecast</w:t>
      </w:r>
      <w:r w:rsidRPr="00933366" w:rsidR="00514CEE">
        <w:t xml:space="preserve"> </w:t>
      </w:r>
      <w:r w:rsidR="00514CEE">
        <w:t>o</w:t>
      </w:r>
      <w:r w:rsidRPr="00933366" w:rsidR="00933366">
        <w:t>f planned and forthcoming applications, and a summary of projects that have been reprioritized since the last quarterly briefing. </w:t>
      </w:r>
    </w:p>
    <w:p w:rsidR="00AE7CCA" w:rsidP="003B5D07" w:rsidRDefault="00AE7CCA" w14:paraId="74B3A666" w14:textId="77777777">
      <w:pPr>
        <w:pStyle w:val="BlockQuote"/>
        <w:spacing w:after="180"/>
      </w:pPr>
      <w:r w:rsidRPr="00696770">
        <w:lastRenderedPageBreak/>
        <w:t>Proposal 2: Update Appendix A</w:t>
      </w:r>
      <w:r w:rsidR="00617BCB">
        <w:t xml:space="preserve"> in </w:t>
      </w:r>
      <w:r w:rsidR="003B5D07">
        <w:t>GO </w:t>
      </w:r>
      <w:r w:rsidR="00617BCB">
        <w:t>131-D</w:t>
      </w:r>
      <w:r w:rsidR="00CC2BD2">
        <w:t>, as proposed in Attachment B in the OIR,</w:t>
      </w:r>
      <w:r w:rsidRPr="00696770">
        <w:t xml:space="preserve"> to</w:t>
      </w:r>
      <w:r w:rsidR="007B776E">
        <w:t xml:space="preserve"> </w:t>
      </w:r>
      <w:r w:rsidR="00C978AA">
        <w:t>amend the</w:t>
      </w:r>
      <w:r w:rsidR="003A40DA">
        <w:t xml:space="preserve"> </w:t>
      </w:r>
      <w:r w:rsidRPr="00A11739" w:rsidR="00A11739">
        <w:t xml:space="preserve">list of financial information that electric public utilities must provide to the </w:t>
      </w:r>
      <w:r w:rsidR="004110C5">
        <w:t>Commission</w:t>
      </w:r>
      <w:r w:rsidRPr="00A11739" w:rsidR="00A11739">
        <w:t xml:space="preserve"> in biennial reports pursuant to </w:t>
      </w:r>
      <w:r w:rsidR="00DC14AC">
        <w:t>Section </w:t>
      </w:r>
      <w:r w:rsidRPr="00A11739" w:rsidR="00A11739">
        <w:t>VI. </w:t>
      </w:r>
    </w:p>
    <w:p w:rsidR="007B7E58" w:rsidP="007B7E58" w:rsidRDefault="007B7E58" w14:paraId="2B038533" w14:textId="77777777">
      <w:pPr>
        <w:pStyle w:val="Standard"/>
      </w:pPr>
      <w:r>
        <w:t xml:space="preserve">A </w:t>
      </w:r>
      <w:r w:rsidRPr="007B7E58">
        <w:t xml:space="preserve">range of parties support </w:t>
      </w:r>
      <w:r>
        <w:t xml:space="preserve">or accept </w:t>
      </w:r>
      <w:r w:rsidRPr="006C5A0A" w:rsidR="00DA648F">
        <w:t>Staff Proposal</w:t>
      </w:r>
      <w:r w:rsidR="00DA648F">
        <w:t xml:space="preserve"> </w:t>
      </w:r>
      <w:r w:rsidR="00DC14AC">
        <w:t>Section </w:t>
      </w:r>
      <w:r w:rsidR="00DA648F">
        <w:t xml:space="preserve">3.2, </w:t>
      </w:r>
      <w:r w:rsidRPr="007B7E58">
        <w:t xml:space="preserve">Proposal 1 (PG&amp;E, CBD, RCRC, Cal Advocates). Other parties generally support </w:t>
      </w:r>
      <w:r w:rsidRPr="006C5A0A" w:rsidR="00DA648F">
        <w:t>Staff Proposal</w:t>
      </w:r>
      <w:r w:rsidR="00DA648F">
        <w:t xml:space="preserve"> </w:t>
      </w:r>
      <w:r w:rsidR="00DC14AC">
        <w:t>Section </w:t>
      </w:r>
      <w:r w:rsidR="00DA648F">
        <w:t>3.2,</w:t>
      </w:r>
      <w:r w:rsidRPr="007B7E58">
        <w:t xml:space="preserve"> Proposal 1 but propose revisions (EDF, Clean Coalition).</w:t>
      </w:r>
      <w:r w:rsidR="00C07844">
        <w:rPr>
          <w:rStyle w:val="FootnoteReference"/>
        </w:rPr>
        <w:footnoteReference w:id="209"/>
      </w:r>
      <w:r w:rsidR="00C07844">
        <w:t xml:space="preserve"> </w:t>
      </w:r>
      <w:r w:rsidR="006E4ABA">
        <w:t>EDF proposes that</w:t>
      </w:r>
      <w:r w:rsidRPr="006E4ABA" w:rsidR="006E4ABA">
        <w:t xml:space="preserve"> public utilities </w:t>
      </w:r>
      <w:r w:rsidR="00D738B8">
        <w:t xml:space="preserve">should </w:t>
      </w:r>
      <w:r w:rsidRPr="006E4ABA" w:rsidR="006E4ABA">
        <w:t>present</w:t>
      </w:r>
      <w:r w:rsidR="00C72C5A">
        <w:t xml:space="preserve"> </w:t>
      </w:r>
      <w:r w:rsidR="00CC5F74">
        <w:t xml:space="preserve">information related to </w:t>
      </w:r>
      <w:r w:rsidR="00C72C5A">
        <w:t>transmission</w:t>
      </w:r>
      <w:r w:rsidR="00CC5F74">
        <w:t xml:space="preserve"> project</w:t>
      </w:r>
      <w:r w:rsidR="00013D6E">
        <w:t>s</w:t>
      </w:r>
      <w:r w:rsidRPr="006E4ABA" w:rsidR="006E4ABA">
        <w:t xml:space="preserve"> to stakeholder</w:t>
      </w:r>
      <w:r w:rsidR="00846F04">
        <w:t>s</w:t>
      </w:r>
      <w:r w:rsidR="00294BE6">
        <w:t xml:space="preserve"> and</w:t>
      </w:r>
      <w:r w:rsidRPr="006E4ABA" w:rsidR="006E4ABA">
        <w:t xml:space="preserve"> track the progress of current transmission projects</w:t>
      </w:r>
      <w:r w:rsidR="00AB7C1F">
        <w:t xml:space="preserve"> that are</w:t>
      </w:r>
      <w:r w:rsidRPr="006E4ABA" w:rsidR="006E4ABA">
        <w:t xml:space="preserve"> under</w:t>
      </w:r>
      <w:r w:rsidR="00AB7C1F">
        <w:t xml:space="preserve"> Commission</w:t>
      </w:r>
      <w:r w:rsidRPr="006E4ABA" w:rsidR="006E4ABA">
        <w:t xml:space="preserve"> review. </w:t>
      </w:r>
      <w:r w:rsidR="00B30A73">
        <w:t>EDF suggests that s</w:t>
      </w:r>
      <w:r w:rsidRPr="006E4ABA" w:rsidR="006E4ABA">
        <w:t>takeholders could then</w:t>
      </w:r>
      <w:r w:rsidR="00073872">
        <w:t xml:space="preserve"> inform Staff</w:t>
      </w:r>
      <w:r w:rsidR="008B48A5">
        <w:t xml:space="preserve"> if </w:t>
      </w:r>
      <w:r w:rsidRPr="006E4ABA" w:rsidR="006E4ABA">
        <w:t xml:space="preserve">they have any concerns </w:t>
      </w:r>
      <w:r w:rsidR="007B73FE">
        <w:t>prior to quarterly</w:t>
      </w:r>
      <w:r w:rsidRPr="006E4ABA" w:rsidR="006E4ABA">
        <w:t xml:space="preserve"> briefings</w:t>
      </w:r>
      <w:r w:rsidR="001A7BA3">
        <w:t>.</w:t>
      </w:r>
      <w:r w:rsidR="00A075D7">
        <w:rPr>
          <w:rStyle w:val="FootnoteReference"/>
        </w:rPr>
        <w:footnoteReference w:id="210"/>
      </w:r>
      <w:r w:rsidRPr="006E4ABA" w:rsidR="006E4ABA">
        <w:t xml:space="preserve"> </w:t>
      </w:r>
      <w:r w:rsidRPr="007B7E58">
        <w:t xml:space="preserve">LSPGC and </w:t>
      </w:r>
      <w:r w:rsidR="001524A1">
        <w:t>Transmission Owners</w:t>
      </w:r>
      <w:r w:rsidRPr="007B7E58">
        <w:t xml:space="preserve"> </w:t>
      </w:r>
      <w:r w:rsidR="00C07844">
        <w:t>argue that</w:t>
      </w:r>
      <w:r w:rsidRPr="007B7E58">
        <w:t xml:space="preserve"> </w:t>
      </w:r>
      <w:r w:rsidR="00C07844">
        <w:t xml:space="preserve">the </w:t>
      </w:r>
      <w:r w:rsidR="00DC14AC">
        <w:t>Section </w:t>
      </w:r>
      <w:r w:rsidRPr="007B7E58">
        <w:t xml:space="preserve">V reports and quarterly meetings should not be required </w:t>
      </w:r>
      <w:r w:rsidR="00C07844">
        <w:t>from</w:t>
      </w:r>
      <w:r w:rsidRPr="007B7E58">
        <w:t xml:space="preserve"> transmission-only utilities </w:t>
      </w:r>
      <w:r w:rsidRPr="00497D51">
        <w:t xml:space="preserve">whose rates are regulated exclusively by </w:t>
      </w:r>
      <w:r w:rsidRPr="00497D51" w:rsidR="002B1117">
        <w:t>the Federal Energy Regulatory Commission (</w:t>
      </w:r>
      <w:r w:rsidRPr="00497D51">
        <w:t>FERC</w:t>
      </w:r>
      <w:r w:rsidRPr="00497D51" w:rsidR="002B1117">
        <w:t>)</w:t>
      </w:r>
      <w:r w:rsidRPr="00497D51">
        <w:t>.</w:t>
      </w:r>
      <w:r w:rsidRPr="00497D51" w:rsidR="00C07844">
        <w:rPr>
          <w:rStyle w:val="FootnoteReference"/>
        </w:rPr>
        <w:footnoteReference w:id="211"/>
      </w:r>
      <w:r w:rsidRPr="00497D51" w:rsidR="00C07844">
        <w:t xml:space="preserve"> </w:t>
      </w:r>
      <w:r w:rsidRPr="00497D51">
        <w:t>SCE, SDG</w:t>
      </w:r>
      <w:r w:rsidRPr="007B7E58">
        <w:t xml:space="preserve">&amp;E, and ACP oppose </w:t>
      </w:r>
      <w:r w:rsidRPr="006C5A0A" w:rsidR="00900F4A">
        <w:t>Staff Proposal</w:t>
      </w:r>
      <w:r w:rsidR="00900F4A">
        <w:t xml:space="preserve"> </w:t>
      </w:r>
      <w:r w:rsidR="00DC14AC">
        <w:t>Section </w:t>
      </w:r>
      <w:r w:rsidR="00900F4A">
        <w:t xml:space="preserve">3.2, </w:t>
      </w:r>
      <w:r w:rsidRPr="007B7E58">
        <w:t>Proposal 1</w:t>
      </w:r>
      <w:r w:rsidR="00540BF0">
        <w:t>.</w:t>
      </w:r>
      <w:r w:rsidR="003D13ED">
        <w:t xml:space="preserve"> </w:t>
      </w:r>
      <w:r w:rsidR="00540BF0">
        <w:t>However,</w:t>
      </w:r>
      <w:r w:rsidRPr="007B7E58">
        <w:t xml:space="preserve"> SDG&amp;E </w:t>
      </w:r>
      <w:r w:rsidR="00C07844">
        <w:t>suggests</w:t>
      </w:r>
      <w:r w:rsidR="003E3E76">
        <w:t xml:space="preserve"> that </w:t>
      </w:r>
      <w:r w:rsidR="00F01C8D">
        <w:t xml:space="preserve">it would support </w:t>
      </w:r>
      <w:r w:rsidRPr="006C5A0A" w:rsidR="00693311">
        <w:t>Staff Proposal</w:t>
      </w:r>
      <w:r w:rsidR="00693311">
        <w:t xml:space="preserve"> </w:t>
      </w:r>
      <w:r w:rsidR="00DC14AC">
        <w:t>Section </w:t>
      </w:r>
      <w:r w:rsidR="00693311">
        <w:t>3.2,</w:t>
      </w:r>
      <w:r w:rsidR="00F01C8D">
        <w:t xml:space="preserve"> Proposal 1 if quarterly meetings would </w:t>
      </w:r>
      <w:r w:rsidR="003D4DD5">
        <w:t xml:space="preserve">serve </w:t>
      </w:r>
      <w:r w:rsidR="00D12AE5">
        <w:t xml:space="preserve">only </w:t>
      </w:r>
      <w:r w:rsidR="003D4DD5">
        <w:t>as a</w:t>
      </w:r>
      <w:r w:rsidR="00F01C8D">
        <w:t xml:space="preserve"> forum for </w:t>
      </w:r>
      <w:r w:rsidR="003D4DD5">
        <w:t xml:space="preserve">utilities to answer </w:t>
      </w:r>
      <w:r w:rsidR="004274E0">
        <w:t xml:space="preserve">questions from </w:t>
      </w:r>
      <w:r w:rsidR="003D4DD5">
        <w:t>Staff about transmission projects.</w:t>
      </w:r>
      <w:r w:rsidRPr="00497D51" w:rsidR="00F82329">
        <w:rPr>
          <w:rStyle w:val="FootnoteReference"/>
        </w:rPr>
        <w:footnoteReference w:id="212"/>
      </w:r>
      <w:r w:rsidRPr="007B7E58">
        <w:t>.</w:t>
      </w:r>
    </w:p>
    <w:p w:rsidR="00351FDC" w:rsidP="0029578C" w:rsidRDefault="00351FDC" w14:paraId="4119CFF7" w14:textId="77777777">
      <w:pPr>
        <w:pStyle w:val="Standard"/>
      </w:pPr>
      <w:r w:rsidRPr="00CD22B9">
        <w:t xml:space="preserve">Cal Advocates recommends that non-confidential public versions of the biennial reports (required under </w:t>
      </w:r>
      <w:r w:rsidR="00DC14AC">
        <w:t>Section </w:t>
      </w:r>
      <w:r w:rsidRPr="00CD22B9">
        <w:t>VI</w:t>
      </w:r>
      <w:r w:rsidR="00E5220D">
        <w:t xml:space="preserve"> of GO 131-D</w:t>
      </w:r>
      <w:r w:rsidRPr="00CD22B9">
        <w:t xml:space="preserve">) and quarterly reports (required under </w:t>
      </w:r>
      <w:r w:rsidR="00E5220D">
        <w:t xml:space="preserve">Staff’s </w:t>
      </w:r>
      <w:r w:rsidRPr="00CD22B9">
        <w:t xml:space="preserve">proposed </w:t>
      </w:r>
      <w:r w:rsidR="00DC14AC">
        <w:t>Section </w:t>
      </w:r>
      <w:r w:rsidRPr="00CD22B9">
        <w:t xml:space="preserve">V.C of </w:t>
      </w:r>
      <w:r w:rsidR="003B5D07">
        <w:t>GO </w:t>
      </w:r>
      <w:r w:rsidRPr="00CD22B9">
        <w:t>131-</w:t>
      </w:r>
      <w:r w:rsidR="00C07980">
        <w:t>E</w:t>
      </w:r>
      <w:r w:rsidRPr="00CD22B9">
        <w:t xml:space="preserve">) </w:t>
      </w:r>
      <w:r w:rsidR="008C31DE">
        <w:t xml:space="preserve">should </w:t>
      </w:r>
      <w:r w:rsidRPr="00CD22B9">
        <w:t>be</w:t>
      </w:r>
      <w:r w:rsidR="004F4064">
        <w:t xml:space="preserve"> accessible to the</w:t>
      </w:r>
      <w:r w:rsidR="009F5B72">
        <w:t xml:space="preserve"> public, subject to</w:t>
      </w:r>
      <w:r w:rsidRPr="00CD22B9">
        <w:t xml:space="preserve"> </w:t>
      </w:r>
      <w:r w:rsidR="009F5B72">
        <w:t xml:space="preserve">a </w:t>
      </w:r>
      <w:r w:rsidRPr="00CD22B9">
        <w:t>valid</w:t>
      </w:r>
      <w:r w:rsidR="009C5E0D">
        <w:t xml:space="preserve"> and legal</w:t>
      </w:r>
      <w:r w:rsidR="00A30EB1">
        <w:t xml:space="preserve">-based </w:t>
      </w:r>
      <w:r w:rsidR="009F5B72">
        <w:t xml:space="preserve">claim </w:t>
      </w:r>
      <w:r w:rsidR="00C530DC">
        <w:t xml:space="preserve">by a </w:t>
      </w:r>
      <w:r w:rsidR="009C5E0D">
        <w:t xml:space="preserve">utility that certain </w:t>
      </w:r>
      <w:r w:rsidRPr="00CD22B9">
        <w:t xml:space="preserve">elements </w:t>
      </w:r>
      <w:r w:rsidR="009C5E0D">
        <w:t>are</w:t>
      </w:r>
      <w:r w:rsidRPr="00CD22B9">
        <w:t xml:space="preserve"> confidential.</w:t>
      </w:r>
      <w:r w:rsidR="00A31B79">
        <w:t xml:space="preserve"> </w:t>
      </w:r>
      <w:r w:rsidRPr="00CD22B9">
        <w:t xml:space="preserve">EDF </w:t>
      </w:r>
      <w:r w:rsidR="002E7376">
        <w:t>suggests</w:t>
      </w:r>
      <w:r w:rsidRPr="00CD22B9">
        <w:t xml:space="preserve"> </w:t>
      </w:r>
      <w:r w:rsidR="00A31B79">
        <w:t xml:space="preserve">that </w:t>
      </w:r>
      <w:r w:rsidR="00DC14AC">
        <w:t>Section </w:t>
      </w:r>
      <w:r w:rsidRPr="00CD22B9">
        <w:t xml:space="preserve">V </w:t>
      </w:r>
      <w:r w:rsidR="002E7376">
        <w:t xml:space="preserve">revisions </w:t>
      </w:r>
      <w:r w:rsidRPr="00CD22B9">
        <w:t>sh</w:t>
      </w:r>
      <w:r w:rsidR="008204BC">
        <w:t xml:space="preserve">ould require </w:t>
      </w:r>
      <w:r w:rsidR="008204BC">
        <w:lastRenderedPageBreak/>
        <w:t xml:space="preserve">utilities to </w:t>
      </w:r>
      <w:r w:rsidRPr="00CD22B9">
        <w:t>p</w:t>
      </w:r>
      <w:r w:rsidR="002C75C2">
        <w:t>rovide</w:t>
      </w:r>
      <w:r w:rsidRPr="00CD22B9">
        <w:t xml:space="preserve"> </w:t>
      </w:r>
      <w:r w:rsidR="00612EC8">
        <w:t>information</w:t>
      </w:r>
      <w:r w:rsidR="00FC2F1B">
        <w:t xml:space="preserve"> about transmission project activities, including any reprioritization </w:t>
      </w:r>
      <w:r w:rsidR="00034CA3">
        <w:t>of planned activities, to the p</w:t>
      </w:r>
      <w:r w:rsidR="00633633">
        <w:t>ublic</w:t>
      </w:r>
      <w:r w:rsidR="00612EC8">
        <w:t xml:space="preserve"> </w:t>
      </w:r>
      <w:r w:rsidRPr="00CD22B9">
        <w:t xml:space="preserve">prior to, or within </w:t>
      </w:r>
      <w:r w:rsidR="007017DF">
        <w:t>seven</w:t>
      </w:r>
      <w:r w:rsidRPr="00CD22B9">
        <w:t xml:space="preserve"> days after </w:t>
      </w:r>
      <w:r w:rsidR="000C76B9">
        <w:t xml:space="preserve">each quarterly </w:t>
      </w:r>
      <w:r w:rsidRPr="00CD22B9">
        <w:t>briefing and sh</w:t>
      </w:r>
      <w:r w:rsidR="00C07980">
        <w:t>ould</w:t>
      </w:r>
      <w:r w:rsidRPr="00CD22B9">
        <w:t xml:space="preserve"> be posted on the Commission’s webpage within 14 days of the briefing.</w:t>
      </w:r>
      <w:r w:rsidR="0054636B">
        <w:rPr>
          <w:rStyle w:val="FootnoteReference"/>
        </w:rPr>
        <w:footnoteReference w:id="213"/>
      </w:r>
      <w:r w:rsidR="00633633">
        <w:t xml:space="preserve"> </w:t>
      </w:r>
      <w:r w:rsidRPr="003E1803">
        <w:t xml:space="preserve">SDG&amp;E </w:t>
      </w:r>
      <w:r w:rsidRPr="003E1803" w:rsidR="00A30E37">
        <w:t xml:space="preserve">supports the </w:t>
      </w:r>
      <w:r w:rsidRPr="003E1803" w:rsidR="00DE78FF">
        <w:t>deletion of</w:t>
      </w:r>
      <w:r w:rsidRPr="003E1803">
        <w:t xml:space="preserve"> </w:t>
      </w:r>
      <w:r w:rsidR="0020743D">
        <w:t xml:space="preserve">Staff’s proposed </w:t>
      </w:r>
      <w:r w:rsidRPr="003E1803">
        <w:t>V.C.1 and V.C.4 reporting requirements,</w:t>
      </w:r>
      <w:r w:rsidRPr="003E1803" w:rsidR="006A0741">
        <w:rPr>
          <w:rStyle w:val="FootnoteReference"/>
        </w:rPr>
        <w:footnoteReference w:id="214"/>
      </w:r>
      <w:r w:rsidRPr="003E1803" w:rsidR="00A30E37">
        <w:t xml:space="preserve"> </w:t>
      </w:r>
      <w:r w:rsidRPr="003E1803" w:rsidR="000A00DD">
        <w:t xml:space="preserve">and </w:t>
      </w:r>
      <w:r w:rsidRPr="003E1803" w:rsidR="00352FBE">
        <w:t>con</w:t>
      </w:r>
      <w:r w:rsidRPr="003E1803" w:rsidR="00B934AF">
        <w:t>tends</w:t>
      </w:r>
      <w:r w:rsidRPr="003E1803" w:rsidR="00E03607">
        <w:t xml:space="preserve"> </w:t>
      </w:r>
      <w:r w:rsidRPr="003E1803" w:rsidR="00117516">
        <w:t xml:space="preserve">the </w:t>
      </w:r>
      <w:r w:rsidRPr="003E1803" w:rsidR="000C2E0F">
        <w:t>language</w:t>
      </w:r>
      <w:r w:rsidRPr="003E1803" w:rsidR="00117516">
        <w:t xml:space="preserve"> would be </w:t>
      </w:r>
      <w:r w:rsidRPr="003E1803" w:rsidR="006852F9">
        <w:t>repetitive</w:t>
      </w:r>
      <w:r w:rsidRPr="003E1803" w:rsidR="00472140">
        <w:t xml:space="preserve"> </w:t>
      </w:r>
      <w:r w:rsidRPr="003E1803" w:rsidR="003F556E">
        <w:t>o</w:t>
      </w:r>
      <w:r w:rsidRPr="003E1803" w:rsidR="00CE09E0">
        <w:t>f</w:t>
      </w:r>
      <w:r w:rsidRPr="003E1803" w:rsidR="003F556E">
        <w:t xml:space="preserve"> existing reporting requirements </w:t>
      </w:r>
      <w:r w:rsidRPr="003E1803" w:rsidR="009F10B0">
        <w:t>or</w:t>
      </w:r>
      <w:r w:rsidRPr="003E1803" w:rsidR="006558E0">
        <w:t xml:space="preserve"> </w:t>
      </w:r>
      <w:r w:rsidRPr="003E1803" w:rsidR="00834550">
        <w:t xml:space="preserve">would require </w:t>
      </w:r>
      <w:r w:rsidRPr="003E1803" w:rsidR="00A95D00">
        <w:t xml:space="preserve">quarterly updates to the </w:t>
      </w:r>
      <w:r w:rsidRPr="003E1803" w:rsidR="006558E0">
        <w:t>annual report</w:t>
      </w:r>
      <w:r w:rsidRPr="003E1803" w:rsidR="00665E4D">
        <w:t>. However, SDG&amp;E</w:t>
      </w:r>
      <w:r w:rsidRPr="003E1803" w:rsidR="003E5DF0">
        <w:t xml:space="preserve"> </w:t>
      </w:r>
      <w:r w:rsidRPr="003E1803" w:rsidR="00B934AF">
        <w:t>suppor</w:t>
      </w:r>
      <w:r w:rsidRPr="003E1803" w:rsidR="00F20556">
        <w:t>ts</w:t>
      </w:r>
      <w:r w:rsidRPr="003E1803">
        <w:t xml:space="preserve"> the V.C.2 and V.C.3 reporting requirements</w:t>
      </w:r>
      <w:r w:rsidRPr="003E1803" w:rsidR="00834A6D">
        <w:t xml:space="preserve"> as </w:t>
      </w:r>
      <w:r w:rsidRPr="003E1803" w:rsidR="003E5DF0">
        <w:t xml:space="preserve">SDG&amp;E </w:t>
      </w:r>
      <w:r w:rsidRPr="003E1803" w:rsidR="00476626">
        <w:t xml:space="preserve">currently </w:t>
      </w:r>
      <w:r w:rsidRPr="003E1803" w:rsidR="003E5DF0">
        <w:t>provides this information</w:t>
      </w:r>
      <w:r w:rsidR="003E5DF0">
        <w:t xml:space="preserve"> i</w:t>
      </w:r>
      <w:r w:rsidR="00834A6D">
        <w:t>nformally</w:t>
      </w:r>
      <w:r w:rsidRPr="00CD22B9">
        <w:t xml:space="preserve">. </w:t>
      </w:r>
      <w:r w:rsidRPr="00CD22B9" w:rsidR="517319A5">
        <w:t>Transmission Owners</w:t>
      </w:r>
      <w:r w:rsidRPr="00CD22B9">
        <w:t xml:space="preserve"> propose</w:t>
      </w:r>
      <w:r w:rsidR="009E42C6">
        <w:t xml:space="preserve"> </w:t>
      </w:r>
      <w:r w:rsidR="00186A3B">
        <w:t xml:space="preserve">that modifications to </w:t>
      </w:r>
      <w:r w:rsidR="00DC14AC">
        <w:t>Section </w:t>
      </w:r>
      <w:r w:rsidRPr="00CD22B9">
        <w:t>V</w:t>
      </w:r>
      <w:r w:rsidR="00381F4E">
        <w:t xml:space="preserve"> </w:t>
      </w:r>
      <w:r w:rsidRPr="00CD22B9">
        <w:t xml:space="preserve">requirements </w:t>
      </w:r>
      <w:r w:rsidR="005727EA">
        <w:t>should not</w:t>
      </w:r>
      <w:r w:rsidRPr="00CD22B9">
        <w:t xml:space="preserve"> apply to utilities that do not serve load or develop transmission projects other than those that are approved through </w:t>
      </w:r>
      <w:r w:rsidR="005727EA">
        <w:t>CAISO’s TPP.</w:t>
      </w:r>
      <w:r w:rsidR="005727EA">
        <w:rPr>
          <w:rStyle w:val="FootnoteReference"/>
        </w:rPr>
        <w:footnoteReference w:id="215"/>
      </w:r>
    </w:p>
    <w:p w:rsidR="001F60E8" w:rsidP="0029578C" w:rsidRDefault="00553A1B" w14:paraId="164C19CA" w14:textId="77777777">
      <w:pPr>
        <w:pStyle w:val="Standard"/>
      </w:pPr>
      <w:r w:rsidRPr="00553A1B">
        <w:t xml:space="preserve">A range of parties support </w:t>
      </w:r>
      <w:r w:rsidRPr="006C5A0A" w:rsidR="004E3A72">
        <w:t xml:space="preserve">Staff </w:t>
      </w:r>
      <w:r w:rsidRPr="00553A1B">
        <w:t xml:space="preserve">Proposal </w:t>
      </w:r>
      <w:r w:rsidR="00DC14AC">
        <w:t>Section </w:t>
      </w:r>
      <w:r w:rsidR="004E3A72">
        <w:t>3.</w:t>
      </w:r>
      <w:r w:rsidRPr="00553A1B">
        <w:t>2</w:t>
      </w:r>
      <w:r w:rsidR="004E3A72">
        <w:t xml:space="preserve">, </w:t>
      </w:r>
      <w:r w:rsidRPr="00553A1B">
        <w:t>Proposal 2 or express that it is acceptable (PG&amp;E, CBD, RCRC, Cal Advocates).</w:t>
      </w:r>
      <w:r>
        <w:rPr>
          <w:rStyle w:val="FootnoteReference"/>
        </w:rPr>
        <w:footnoteReference w:id="216"/>
      </w:r>
      <w:r w:rsidRPr="00553A1B">
        <w:t xml:space="preserve"> </w:t>
      </w:r>
      <w:r w:rsidRPr="00696770" w:rsidR="00183DC8">
        <w:t>Cal Advocates</w:t>
      </w:r>
      <w:r w:rsidRPr="00183DC8" w:rsidR="00183DC8">
        <w:t xml:space="preserve"> recommends that non-confidential public versions of the biennial reports</w:t>
      </w:r>
      <w:r w:rsidR="00393224">
        <w:t xml:space="preserve">, </w:t>
      </w:r>
      <w:r w:rsidRPr="00183DC8" w:rsidR="00183DC8">
        <w:t xml:space="preserve">required under </w:t>
      </w:r>
      <w:r w:rsidR="00DC14AC">
        <w:t>Section </w:t>
      </w:r>
      <w:r w:rsidRPr="00183DC8" w:rsidR="00183DC8">
        <w:t>VI</w:t>
      </w:r>
      <w:r w:rsidR="00393224">
        <w:t xml:space="preserve">, </w:t>
      </w:r>
      <w:r w:rsidRPr="00183DC8" w:rsidR="00183DC8">
        <w:t>and quarterly reports</w:t>
      </w:r>
      <w:r w:rsidR="00F74C6F">
        <w:t>, r</w:t>
      </w:r>
      <w:r w:rsidRPr="00183DC8" w:rsidR="00183DC8">
        <w:t xml:space="preserve">equired under </w:t>
      </w:r>
      <w:r w:rsidR="00D61B01">
        <w:t xml:space="preserve">Staff’s </w:t>
      </w:r>
      <w:r w:rsidRPr="00183DC8" w:rsidR="00183DC8">
        <w:t xml:space="preserve">proposed </w:t>
      </w:r>
      <w:r w:rsidR="00DC14AC">
        <w:t>Section </w:t>
      </w:r>
      <w:r w:rsidRPr="00183DC8" w:rsidR="00183DC8">
        <w:t xml:space="preserve">V.C of </w:t>
      </w:r>
      <w:r w:rsidR="003B5D07">
        <w:t>GO </w:t>
      </w:r>
      <w:r w:rsidRPr="00183DC8" w:rsidR="00183DC8">
        <w:t>131-D</w:t>
      </w:r>
      <w:r w:rsidR="00F74C6F">
        <w:t>, should</w:t>
      </w:r>
      <w:r w:rsidRPr="00183DC8" w:rsidR="00183DC8">
        <w:t xml:space="preserve"> be </w:t>
      </w:r>
      <w:r w:rsidR="00406C8A">
        <w:t xml:space="preserve">accessible to </w:t>
      </w:r>
      <w:r w:rsidR="00D61B01">
        <w:t xml:space="preserve">the </w:t>
      </w:r>
      <w:r w:rsidRPr="00183DC8" w:rsidR="00183DC8">
        <w:t xml:space="preserve">public unless the utility provides a valid legal reason </w:t>
      </w:r>
      <w:r w:rsidR="006E7A34">
        <w:t>that identified</w:t>
      </w:r>
      <w:r w:rsidRPr="00183DC8" w:rsidR="00183DC8">
        <w:t xml:space="preserve"> elements </w:t>
      </w:r>
      <w:r w:rsidR="006E7A34">
        <w:t xml:space="preserve">are </w:t>
      </w:r>
      <w:r w:rsidRPr="00183DC8" w:rsidR="00183DC8">
        <w:t>confidential.</w:t>
      </w:r>
      <w:r w:rsidR="00AF22C0">
        <w:rPr>
          <w:rStyle w:val="FootnoteReference"/>
        </w:rPr>
        <w:footnoteReference w:id="217"/>
      </w:r>
      <w:r w:rsidRPr="00183DC8" w:rsidR="00183DC8">
        <w:t> </w:t>
      </w:r>
    </w:p>
    <w:p w:rsidRPr="002B270B" w:rsidR="005905EC" w:rsidP="0032706D" w:rsidRDefault="00EE1EAB" w14:paraId="008612CF" w14:textId="77777777">
      <w:pPr>
        <w:pStyle w:val="Standard"/>
      </w:pPr>
      <w:r w:rsidRPr="002B270B">
        <w:t>Transmission Owners</w:t>
      </w:r>
      <w:r w:rsidRPr="002B270B" w:rsidR="00553A1B">
        <w:t xml:space="preserve"> </w:t>
      </w:r>
      <w:r w:rsidRPr="002B270B" w:rsidR="0032706D">
        <w:t>contend</w:t>
      </w:r>
      <w:r w:rsidRPr="002B270B" w:rsidR="00553A1B">
        <w:t xml:space="preserve"> that th</w:t>
      </w:r>
      <w:r w:rsidRPr="002B270B" w:rsidR="009F4CEC">
        <w:t>e</w:t>
      </w:r>
      <w:r w:rsidRPr="002B270B" w:rsidR="00553A1B">
        <w:t xml:space="preserve"> </w:t>
      </w:r>
      <w:r w:rsidR="00DC14AC">
        <w:t>Section </w:t>
      </w:r>
      <w:r w:rsidRPr="002B270B" w:rsidR="00553A1B">
        <w:t xml:space="preserve">VI reports should not be required </w:t>
      </w:r>
      <w:r w:rsidRPr="002B270B" w:rsidR="009F4CEC">
        <w:t xml:space="preserve">from </w:t>
      </w:r>
      <w:r w:rsidRPr="002B270B" w:rsidR="00553A1B">
        <w:t xml:space="preserve">transmission-only public utilities whose rates are regulated </w:t>
      </w:r>
      <w:r w:rsidRPr="002B270B" w:rsidR="00553A1B">
        <w:lastRenderedPageBreak/>
        <w:t>exclusively by FERC.</w:t>
      </w:r>
      <w:r w:rsidRPr="002B270B" w:rsidR="00553A1B">
        <w:rPr>
          <w:rStyle w:val="FootnoteReference"/>
        </w:rPr>
        <w:footnoteReference w:id="218"/>
      </w:r>
      <w:r w:rsidRPr="002B270B" w:rsidR="00553A1B">
        <w:t xml:space="preserve"> </w:t>
      </w:r>
      <w:r w:rsidRPr="002B270B" w:rsidR="00DF3AE3">
        <w:t xml:space="preserve">As such, </w:t>
      </w:r>
      <w:r w:rsidR="001524A1">
        <w:t>Transmission Owners</w:t>
      </w:r>
      <w:r w:rsidRPr="002B270B" w:rsidR="00DF3AE3">
        <w:t xml:space="preserve"> </w:t>
      </w:r>
      <w:r w:rsidRPr="002B270B" w:rsidR="00490DC9">
        <w:t xml:space="preserve">propose </w:t>
      </w:r>
      <w:r w:rsidR="00DC14AC">
        <w:t>Section </w:t>
      </w:r>
      <w:r w:rsidRPr="002B270B" w:rsidR="00490DC9">
        <w:t xml:space="preserve">VI requirements </w:t>
      </w:r>
      <w:r w:rsidRPr="002B270B" w:rsidR="00453A16">
        <w:t>should not</w:t>
      </w:r>
      <w:r w:rsidRPr="002B270B" w:rsidR="00490DC9">
        <w:t xml:space="preserve"> apply to electric public utilities that do not serve load or develop transmission projects other than those that are approved through the </w:t>
      </w:r>
      <w:r w:rsidRPr="002B270B" w:rsidR="00C13075">
        <w:t>CAISO’s TPP.</w:t>
      </w:r>
      <w:r w:rsidRPr="002B270B" w:rsidR="00C13075">
        <w:rPr>
          <w:rStyle w:val="FootnoteReference"/>
        </w:rPr>
        <w:footnoteReference w:id="219"/>
      </w:r>
      <w:r w:rsidRPr="002B270B" w:rsidR="00CC2ECD">
        <w:t xml:space="preserve"> </w:t>
      </w:r>
    </w:p>
    <w:p w:rsidRPr="002B270B" w:rsidR="006D7A9C" w:rsidP="006D7A9C" w:rsidRDefault="006D7A9C" w14:paraId="328C3A0F" w14:textId="77777777">
      <w:pPr>
        <w:pStyle w:val="Standard"/>
      </w:pPr>
      <w:r w:rsidRPr="002B270B">
        <w:t xml:space="preserve">SCE, PG&amp;E, and SDG&amp;E also recommend that Staff should consider removing </w:t>
      </w:r>
      <w:r w:rsidR="003B5D07">
        <w:t>GO </w:t>
      </w:r>
      <w:r w:rsidRPr="002B270B">
        <w:t>131-D</w:t>
      </w:r>
      <w:r w:rsidR="00CE6CB9">
        <w:t>,</w:t>
      </w:r>
      <w:r w:rsidRPr="002B270B">
        <w:t xml:space="preserve"> </w:t>
      </w:r>
      <w:r w:rsidR="00DC14AC">
        <w:t>Section </w:t>
      </w:r>
      <w:r w:rsidRPr="002B270B">
        <w:t>IV, which requires that every electric public utility furnish electronic copies to the Commission of any report of loads and resources</w:t>
      </w:r>
      <w:r w:rsidRPr="00343B8C">
        <w:t xml:space="preserve"> </w:t>
      </w:r>
      <w:r w:rsidRPr="002B270B">
        <w:t>submitted to the CEC in accordance with P</w:t>
      </w:r>
      <w:r w:rsidRPr="002B270B" w:rsidR="00B36EC6">
        <w:t xml:space="preserve">ub. </w:t>
      </w:r>
      <w:r w:rsidRPr="002B270B">
        <w:t>R</w:t>
      </w:r>
      <w:r w:rsidRPr="002B270B" w:rsidR="00B36EC6">
        <w:t xml:space="preserve">es. </w:t>
      </w:r>
      <w:r w:rsidRPr="002B270B">
        <w:t>C</w:t>
      </w:r>
      <w:r w:rsidRPr="002B270B" w:rsidR="00B36EC6">
        <w:t>ode</w:t>
      </w:r>
      <w:r w:rsidRPr="002B270B">
        <w:t xml:space="preserve"> </w:t>
      </w:r>
      <w:r w:rsidR="00DC14AC">
        <w:t>Section </w:t>
      </w:r>
      <w:r w:rsidRPr="002B270B">
        <w:t xml:space="preserve">25300 </w:t>
      </w:r>
      <w:r w:rsidRPr="002B270B">
        <w:rPr>
          <w:i/>
        </w:rPr>
        <w:t>et seq</w:t>
      </w:r>
      <w:r w:rsidRPr="002B270B">
        <w:t>. SCE contends that utilities provide extensive data to the CEC that is not compiled into a single report, which makes it difficult to comply with this requirement.</w:t>
      </w:r>
      <w:r w:rsidRPr="002B270B">
        <w:rPr>
          <w:rStyle w:val="FootnoteReference"/>
        </w:rPr>
        <w:footnoteReference w:id="220"/>
      </w:r>
      <w:r w:rsidRPr="002B270B">
        <w:t xml:space="preserve"> To address this, SCE recommends that Staff either remove this reporting requirement or modify it to specify what information Staff needs or requires.</w:t>
      </w:r>
      <w:r w:rsidRPr="002B270B">
        <w:rPr>
          <w:rStyle w:val="FootnoteReference"/>
        </w:rPr>
        <w:footnoteReference w:id="221"/>
      </w:r>
      <w:r w:rsidRPr="002B270B">
        <w:t> </w:t>
      </w:r>
    </w:p>
    <w:p w:rsidRPr="002B270B" w:rsidR="005757A8" w:rsidP="00A616B9" w:rsidRDefault="007462C4" w14:paraId="489C2765" w14:textId="77777777">
      <w:pPr>
        <w:pStyle w:val="Standard"/>
      </w:pPr>
      <w:r w:rsidRPr="002B270B">
        <w:t xml:space="preserve">Based </w:t>
      </w:r>
      <w:r w:rsidRPr="002B270B" w:rsidR="00D87CEC">
        <w:t xml:space="preserve">on the need </w:t>
      </w:r>
      <w:r w:rsidRPr="002B270B" w:rsidR="00823D4C">
        <w:t xml:space="preserve">for Staff </w:t>
      </w:r>
      <w:r w:rsidRPr="002B270B" w:rsidR="00357525">
        <w:t xml:space="preserve">to </w:t>
      </w:r>
      <w:r w:rsidRPr="002B270B" w:rsidR="00823D4C">
        <w:t xml:space="preserve">receive necessary information on transmission projects, </w:t>
      </w:r>
      <w:r w:rsidRPr="002B270B" w:rsidR="00D87CEC">
        <w:t>reduce administrative burden</w:t>
      </w:r>
      <w:r w:rsidRPr="002B270B" w:rsidR="00823D4C">
        <w:t xml:space="preserve"> for utilities</w:t>
      </w:r>
      <w:r w:rsidRPr="002B270B" w:rsidR="00D87CEC">
        <w:t xml:space="preserve">, </w:t>
      </w:r>
      <w:r w:rsidRPr="002B270B" w:rsidR="00856376">
        <w:t xml:space="preserve">update annual reporting to comport with the TPR process, </w:t>
      </w:r>
      <w:r w:rsidRPr="002B270B" w:rsidR="00597A30">
        <w:t xml:space="preserve">and </w:t>
      </w:r>
      <w:r w:rsidRPr="002B270B" w:rsidR="00167317">
        <w:t xml:space="preserve">comply with </w:t>
      </w:r>
      <w:r w:rsidR="00DC14AC">
        <w:t>SB </w:t>
      </w:r>
      <w:r w:rsidRPr="002B270B" w:rsidR="00167317">
        <w:t>319 re</w:t>
      </w:r>
      <w:r w:rsidRPr="002B270B" w:rsidR="006409FC">
        <w:t xml:space="preserve">porting requirements to the State Legislature, </w:t>
      </w:r>
      <w:r w:rsidRPr="002B270B" w:rsidR="00597A30">
        <w:t xml:space="preserve">we adopt amendments to </w:t>
      </w:r>
      <w:r w:rsidR="001266B0">
        <w:t xml:space="preserve">the </w:t>
      </w:r>
      <w:r w:rsidR="003B5D07">
        <w:t>GO </w:t>
      </w:r>
      <w:r w:rsidRPr="002B270B" w:rsidR="00597A30">
        <w:t>131-D rep</w:t>
      </w:r>
      <w:r w:rsidRPr="002B270B" w:rsidR="00F07C38">
        <w:t>orting requirements t</w:t>
      </w:r>
      <w:r w:rsidRPr="002B270B" w:rsidR="00357525">
        <w:t>hat will be</w:t>
      </w:r>
      <w:r w:rsidRPr="002B270B" w:rsidR="00F07C38">
        <w:t xml:space="preserve"> reflected in </w:t>
      </w:r>
      <w:r w:rsidR="003B5D07">
        <w:t>GO </w:t>
      </w:r>
      <w:r w:rsidRPr="002B270B" w:rsidR="00F07C38">
        <w:t>131-E. As such, w</w:t>
      </w:r>
      <w:r w:rsidRPr="002B270B" w:rsidR="003619D7">
        <w:t>e</w:t>
      </w:r>
      <w:r w:rsidRPr="002B270B" w:rsidR="00490E8A">
        <w:t xml:space="preserve"> </w:t>
      </w:r>
      <w:r w:rsidR="001266B0">
        <w:t xml:space="preserve">delete the existing Section IV reporting requirements regarding reports of loads and resources and </w:t>
      </w:r>
      <w:r w:rsidRPr="002B270B" w:rsidR="00140923">
        <w:t>relocate</w:t>
      </w:r>
      <w:r w:rsidRPr="002B270B" w:rsidR="00640C69">
        <w:t xml:space="preserve"> </w:t>
      </w:r>
      <w:r w:rsidR="00040A15">
        <w:t xml:space="preserve">the existing </w:t>
      </w:r>
      <w:r w:rsidR="00DC14AC">
        <w:t>Section </w:t>
      </w:r>
      <w:r w:rsidRPr="002B270B" w:rsidR="00640C69">
        <w:t xml:space="preserve">V </w:t>
      </w:r>
      <w:r w:rsidR="002F3A27">
        <w:t>and Section VI</w:t>
      </w:r>
      <w:r w:rsidRPr="002B270B" w:rsidR="00640C69">
        <w:t xml:space="preserve"> </w:t>
      </w:r>
      <w:r w:rsidRPr="002B270B" w:rsidR="00140923">
        <w:t xml:space="preserve">reporting requirements </w:t>
      </w:r>
      <w:r w:rsidRPr="002B270B" w:rsidR="00680276">
        <w:t xml:space="preserve">in </w:t>
      </w:r>
      <w:r w:rsidR="003B5D07">
        <w:t>GO </w:t>
      </w:r>
      <w:r w:rsidRPr="002B270B" w:rsidR="00680276">
        <w:t xml:space="preserve">131-D </w:t>
      </w:r>
      <w:r w:rsidRPr="002B270B" w:rsidR="00640C69">
        <w:t xml:space="preserve">to </w:t>
      </w:r>
      <w:r w:rsidR="00DC14AC">
        <w:t>Section </w:t>
      </w:r>
      <w:r w:rsidRPr="002B270B" w:rsidR="00640C69">
        <w:t>IV</w:t>
      </w:r>
      <w:r w:rsidRPr="002B270B" w:rsidR="00C23107">
        <w:t xml:space="preserve">, </w:t>
      </w:r>
      <w:r w:rsidR="003B5D07">
        <w:t>GO </w:t>
      </w:r>
      <w:r w:rsidRPr="002B270B" w:rsidR="00680276">
        <w:t xml:space="preserve">131-E </w:t>
      </w:r>
      <w:r w:rsidRPr="002B270B" w:rsidR="00C23107">
        <w:t xml:space="preserve">which </w:t>
      </w:r>
      <w:r w:rsidRPr="002B270B" w:rsidR="001335CF">
        <w:t>will be</w:t>
      </w:r>
      <w:r w:rsidRPr="002B270B" w:rsidR="00C23107">
        <w:t xml:space="preserve"> renamed as “</w:t>
      </w:r>
      <w:r w:rsidRPr="002B270B" w:rsidR="00640C69">
        <w:t xml:space="preserve">Utility Reporting on Planned Transmission, Power Line, and Substation </w:t>
      </w:r>
      <w:r w:rsidRPr="002B270B" w:rsidR="00640C69">
        <w:lastRenderedPageBreak/>
        <w:t>Facilities</w:t>
      </w:r>
      <w:r w:rsidRPr="002B270B" w:rsidR="0036441B">
        <w:t>.</w:t>
      </w:r>
      <w:r w:rsidRPr="002B270B" w:rsidR="00640C69">
        <w:t>” </w:t>
      </w:r>
      <w:r w:rsidR="00040A15">
        <w:t>GO 131-E</w:t>
      </w:r>
      <w:r w:rsidR="00630DCA">
        <w:t>,</w:t>
      </w:r>
      <w:r w:rsidR="00040A15">
        <w:t xml:space="preserve"> </w:t>
      </w:r>
      <w:r w:rsidR="00DC14AC">
        <w:t>Section </w:t>
      </w:r>
      <w:r w:rsidRPr="002B270B" w:rsidR="00553B3A">
        <w:t>IV</w:t>
      </w:r>
      <w:r w:rsidR="00630DCA">
        <w:t>,</w:t>
      </w:r>
      <w:r w:rsidRPr="002B270B" w:rsidR="00553B3A">
        <w:t xml:space="preserve"> will </w:t>
      </w:r>
      <w:r w:rsidRPr="002B270B" w:rsidR="00723972">
        <w:t xml:space="preserve">be </w:t>
      </w:r>
      <w:r w:rsidRPr="002B270B" w:rsidR="00553B3A">
        <w:t>divided into th</w:t>
      </w:r>
      <w:r w:rsidRPr="002B270B" w:rsidR="00ED3A4B">
        <w:t>ree sections</w:t>
      </w:r>
      <w:r w:rsidRPr="002B270B" w:rsidR="005261C7">
        <w:t xml:space="preserve">: </w:t>
      </w:r>
      <w:r w:rsidR="00DC14AC">
        <w:t>Section </w:t>
      </w:r>
      <w:r w:rsidRPr="002B270B" w:rsidR="00ED3A4B">
        <w:t>IV.A</w:t>
      </w:r>
      <w:r w:rsidRPr="002B270B" w:rsidR="0073744D">
        <w:t xml:space="preserve">, </w:t>
      </w:r>
      <w:r w:rsidR="00DC14AC">
        <w:t>Section </w:t>
      </w:r>
      <w:r w:rsidRPr="002B270B" w:rsidR="0073744D">
        <w:t xml:space="preserve">IV.B, and </w:t>
      </w:r>
      <w:r w:rsidR="00DC14AC">
        <w:t>Section </w:t>
      </w:r>
      <w:r w:rsidRPr="002B270B" w:rsidR="0073744D">
        <w:t>IV.C</w:t>
      </w:r>
      <w:r w:rsidRPr="002B270B" w:rsidR="009D31C6">
        <w:t xml:space="preserve">. </w:t>
      </w:r>
      <w:r w:rsidR="00DC14AC">
        <w:t>Section </w:t>
      </w:r>
      <w:r w:rsidRPr="002B270B" w:rsidR="009D31C6">
        <w:t xml:space="preserve">IV.A and </w:t>
      </w:r>
      <w:r w:rsidR="00DC14AC">
        <w:t>Section </w:t>
      </w:r>
      <w:r w:rsidRPr="002B270B" w:rsidR="009D31C6">
        <w:t xml:space="preserve">IV.B </w:t>
      </w:r>
      <w:r w:rsidRPr="002B270B" w:rsidR="00ED3A4B">
        <w:t xml:space="preserve">will </w:t>
      </w:r>
      <w:r w:rsidRPr="002B270B" w:rsidR="0073744D">
        <w:t xml:space="preserve">respectively </w:t>
      </w:r>
      <w:r w:rsidRPr="002B270B" w:rsidR="00342CAA">
        <w:t>specif</w:t>
      </w:r>
      <w:r w:rsidR="00040A15">
        <w:t>y</w:t>
      </w:r>
      <w:r w:rsidRPr="002B270B" w:rsidR="00FC09C8">
        <w:t xml:space="preserve"> </w:t>
      </w:r>
      <w:r w:rsidRPr="002B270B" w:rsidR="00ED3A4B">
        <w:t>requirement</w:t>
      </w:r>
      <w:r w:rsidRPr="002B270B" w:rsidR="00342CAA">
        <w:t>s</w:t>
      </w:r>
      <w:r w:rsidRPr="002B270B" w:rsidR="00ED3A4B">
        <w:t xml:space="preserve"> for </w:t>
      </w:r>
      <w:r w:rsidRPr="002B270B" w:rsidR="00AB36DD">
        <w:t xml:space="preserve">electric </w:t>
      </w:r>
      <w:r w:rsidRPr="002B270B" w:rsidR="00686A3E">
        <w:t>public utilities</w:t>
      </w:r>
      <w:r w:rsidRPr="002B270B" w:rsidR="00E5350D">
        <w:t xml:space="preserve"> to submit</w:t>
      </w:r>
      <w:r w:rsidRPr="002B270B" w:rsidR="00686A3E">
        <w:t xml:space="preserve"> </w:t>
      </w:r>
      <w:r w:rsidRPr="002B270B" w:rsidR="0073744D">
        <w:t>(1</w:t>
      </w:r>
      <w:r w:rsidRPr="002B270B" w:rsidR="003E10E2">
        <w:t>)</w:t>
      </w:r>
      <w:r w:rsidRPr="002B270B" w:rsidR="0073744D">
        <w:t xml:space="preserve"> </w:t>
      </w:r>
      <w:r w:rsidRPr="002B270B" w:rsidR="00686A3E">
        <w:t>annual forecasts of transmission proje</w:t>
      </w:r>
      <w:r w:rsidRPr="002B270B" w:rsidR="00BE64F8">
        <w:t>cts</w:t>
      </w:r>
      <w:r w:rsidRPr="002B270B" w:rsidR="00C61145">
        <w:t>,</w:t>
      </w:r>
      <w:r w:rsidRPr="002B270B" w:rsidR="000E4DA3">
        <w:t xml:space="preserve"> and</w:t>
      </w:r>
      <w:r w:rsidRPr="002B270B" w:rsidR="0073744D">
        <w:t xml:space="preserve"> (2) </w:t>
      </w:r>
      <w:r w:rsidRPr="002B270B" w:rsidR="00E5350D">
        <w:t xml:space="preserve">information in </w:t>
      </w:r>
      <w:r w:rsidRPr="002B270B" w:rsidR="0073744D">
        <w:t>quarterly briefing</w:t>
      </w:r>
      <w:r w:rsidRPr="002B270B" w:rsidR="00BC7F3F">
        <w:t xml:space="preserve"> as</w:t>
      </w:r>
      <w:r w:rsidRPr="002B270B" w:rsidR="0073744D">
        <w:t xml:space="preserve"> </w:t>
      </w:r>
      <w:r w:rsidRPr="002B270B" w:rsidR="009F5292">
        <w:t xml:space="preserve">proposed </w:t>
      </w:r>
      <w:r w:rsidRPr="002B270B" w:rsidR="00BC7F3F">
        <w:t xml:space="preserve">in </w:t>
      </w:r>
      <w:r w:rsidR="000C0729">
        <w:t xml:space="preserve">the Staff </w:t>
      </w:r>
      <w:r w:rsidR="007939A9">
        <w:t xml:space="preserve">Proposal’s recommended </w:t>
      </w:r>
      <w:r w:rsidR="003B5D07">
        <w:t>GO </w:t>
      </w:r>
      <w:r w:rsidRPr="002B270B" w:rsidR="009F5292">
        <w:t>131-E</w:t>
      </w:r>
      <w:r w:rsidR="00630DCA">
        <w:t>,</w:t>
      </w:r>
      <w:r w:rsidRPr="002B270B" w:rsidR="009F5292">
        <w:t xml:space="preserve"> </w:t>
      </w:r>
      <w:r w:rsidR="00DC14AC">
        <w:t>Section </w:t>
      </w:r>
      <w:r w:rsidRPr="002B270B" w:rsidR="009F5292">
        <w:t>V.C</w:t>
      </w:r>
      <w:r w:rsidRPr="002B270B" w:rsidR="009A5A25">
        <w:t xml:space="preserve">, </w:t>
      </w:r>
      <w:r w:rsidRPr="002B270B" w:rsidR="009F5292">
        <w:t>with</w:t>
      </w:r>
      <w:r w:rsidRPr="002B270B" w:rsidR="003E10E2">
        <w:t xml:space="preserve"> additional modifications</w:t>
      </w:r>
      <w:r w:rsidRPr="002B270B" w:rsidR="00FD2F01">
        <w:t xml:space="preserve">. </w:t>
      </w:r>
      <w:r w:rsidRPr="002B270B" w:rsidR="004A0D20">
        <w:t>This latter requirement will better align with the CAISO TPP cycle and the timing of the CAISO’s Transmission Development Forum.</w:t>
      </w:r>
    </w:p>
    <w:p w:rsidR="003C32E6" w:rsidP="00AF14B5" w:rsidRDefault="00AF14B5" w14:paraId="29A019C8" w14:textId="77777777">
      <w:pPr>
        <w:pStyle w:val="Standard"/>
      </w:pPr>
      <w:r>
        <w:t xml:space="preserve">Cal Advocates and EDF </w:t>
      </w:r>
      <w:r w:rsidR="00726525">
        <w:t xml:space="preserve">request </w:t>
      </w:r>
      <w:r w:rsidR="00AE11A6">
        <w:t>that</w:t>
      </w:r>
      <w:r w:rsidR="0009263C">
        <w:t xml:space="preserve"> the Commission</w:t>
      </w:r>
      <w:r w:rsidR="00765C08">
        <w:t xml:space="preserve"> </w:t>
      </w:r>
      <w:r w:rsidR="005A4539">
        <w:t>provide</w:t>
      </w:r>
      <w:r w:rsidR="00765C08">
        <w:t xml:space="preserve"> </w:t>
      </w:r>
      <w:r w:rsidR="005A4539">
        <w:t xml:space="preserve">public </w:t>
      </w:r>
      <w:r w:rsidR="00765C08">
        <w:t xml:space="preserve">versions of </w:t>
      </w:r>
      <w:r w:rsidR="005A4539">
        <w:t>annual</w:t>
      </w:r>
      <w:r w:rsidR="00765C08">
        <w:t xml:space="preserve"> reports and quarterly briefings</w:t>
      </w:r>
      <w:r w:rsidR="00B95CD5">
        <w:t xml:space="preserve"> to promote</w:t>
      </w:r>
      <w:r w:rsidR="006C2BB8">
        <w:t xml:space="preserve"> data and information</w:t>
      </w:r>
      <w:r w:rsidR="00B95CD5">
        <w:t xml:space="preserve"> transparency. </w:t>
      </w:r>
      <w:r w:rsidR="00971100">
        <w:t xml:space="preserve">We recognize </w:t>
      </w:r>
      <w:r w:rsidR="00F94ECA">
        <w:t>that</w:t>
      </w:r>
      <w:r w:rsidR="00B95CD5">
        <w:t xml:space="preserve"> </w:t>
      </w:r>
      <w:r w:rsidR="1217A812">
        <w:t xml:space="preserve">providing </w:t>
      </w:r>
      <w:r w:rsidR="5C8B6D26">
        <w:t>this</w:t>
      </w:r>
      <w:r w:rsidR="006D180D">
        <w:t xml:space="preserve"> information</w:t>
      </w:r>
      <w:r w:rsidR="4DB8DE04">
        <w:t xml:space="preserve"> to the public</w:t>
      </w:r>
      <w:r w:rsidR="37224588">
        <w:t xml:space="preserve"> </w:t>
      </w:r>
      <w:r w:rsidR="00765C08">
        <w:t>could increase the complexity of the reporting requirement</w:t>
      </w:r>
      <w:r w:rsidR="009D2CA5">
        <w:t xml:space="preserve"> due to the need to navigate the Commission’s confidentiality rules</w:t>
      </w:r>
      <w:r w:rsidR="00F743BB">
        <w:t xml:space="preserve"> for some of the reported information</w:t>
      </w:r>
      <w:r w:rsidR="009D2CA5">
        <w:t>.</w:t>
      </w:r>
      <w:r w:rsidR="00C13AF6">
        <w:t xml:space="preserve"> </w:t>
      </w:r>
      <w:r w:rsidR="00EE001B">
        <w:t>I</w:t>
      </w:r>
      <w:r w:rsidR="00651963">
        <w:t>t is also possible that</w:t>
      </w:r>
      <w:r w:rsidR="044E3255">
        <w:t xml:space="preserve"> </w:t>
      </w:r>
      <w:r w:rsidR="2FECC707">
        <w:t>a</w:t>
      </w:r>
      <w:r w:rsidR="00C13AF6">
        <w:t>n additional</w:t>
      </w:r>
      <w:r w:rsidR="2FECC707">
        <w:t xml:space="preserve"> stakeholder outreach process</w:t>
      </w:r>
      <w:r w:rsidR="0053666A">
        <w:t xml:space="preserve"> </w:t>
      </w:r>
      <w:r w:rsidR="006A4754">
        <w:t xml:space="preserve">could add </w:t>
      </w:r>
      <w:r w:rsidR="00C13AF6">
        <w:t>more</w:t>
      </w:r>
      <w:r w:rsidR="2FECC707">
        <w:t xml:space="preserve"> time</w:t>
      </w:r>
      <w:r w:rsidR="00C13AF6">
        <w:t xml:space="preserve"> </w:t>
      </w:r>
      <w:r w:rsidR="2FECC707">
        <w:t xml:space="preserve">to finalize </w:t>
      </w:r>
      <w:r w:rsidR="371ADCD2">
        <w:t>reported</w:t>
      </w:r>
      <w:r w:rsidR="2FECC707">
        <w:t xml:space="preserve"> data</w:t>
      </w:r>
      <w:r w:rsidR="107C850C">
        <w:t xml:space="preserve">. </w:t>
      </w:r>
      <w:r w:rsidR="007A462F">
        <w:t>D</w:t>
      </w:r>
      <w:r w:rsidR="00396AA0">
        <w:t>e</w:t>
      </w:r>
      <w:r w:rsidR="000B1A7E">
        <w:t>spite</w:t>
      </w:r>
      <w:r w:rsidR="00381F10">
        <w:t xml:space="preserve"> these concerns, we </w:t>
      </w:r>
      <w:r w:rsidR="000B1A7E">
        <w:t>acknowledge the value of public disclosure</w:t>
      </w:r>
      <w:r w:rsidR="002A44AB">
        <w:t xml:space="preserve"> to facilitate a</w:t>
      </w:r>
      <w:r w:rsidR="00621D40">
        <w:t xml:space="preserve"> transparent planning </w:t>
      </w:r>
      <w:r w:rsidR="00481C7C">
        <w:t>and permitting</w:t>
      </w:r>
      <w:r w:rsidR="00621D40">
        <w:t xml:space="preserve"> process for this critical public infrastructure. </w:t>
      </w:r>
      <w:r w:rsidR="0184B4A1">
        <w:t>Therefore</w:t>
      </w:r>
      <w:r w:rsidR="0032726E">
        <w:t xml:space="preserve">, we </w:t>
      </w:r>
      <w:r w:rsidR="001177F3">
        <w:t xml:space="preserve">direct </w:t>
      </w:r>
      <w:r w:rsidR="00B4553E">
        <w:t>S</w:t>
      </w:r>
      <w:r w:rsidR="001177F3">
        <w:t xml:space="preserve">taff to </w:t>
      </w:r>
      <w:r w:rsidR="000C7393">
        <w:t>coordinate with the reporting utilities</w:t>
      </w:r>
      <w:r w:rsidR="006957B9">
        <w:t xml:space="preserve"> </w:t>
      </w:r>
      <w:r w:rsidR="00530717">
        <w:t>to</w:t>
      </w:r>
      <w:r w:rsidR="006957B9">
        <w:t xml:space="preserve"> </w:t>
      </w:r>
      <w:r w:rsidR="001177F3">
        <w:t>make</w:t>
      </w:r>
      <w:r w:rsidR="37D35CC1">
        <w:t xml:space="preserve"> </w:t>
      </w:r>
      <w:r w:rsidR="006957B9">
        <w:t xml:space="preserve">the reports and briefings </w:t>
      </w:r>
      <w:r w:rsidR="001F0029">
        <w:t>required in GO 131-E Section IV</w:t>
      </w:r>
      <w:r w:rsidR="00BE1EE5">
        <w:t xml:space="preserve"> </w:t>
      </w:r>
      <w:r w:rsidR="001177F3">
        <w:t>available</w:t>
      </w:r>
      <w:r w:rsidR="37D35CC1">
        <w:t xml:space="preserve"> </w:t>
      </w:r>
      <w:r w:rsidR="006957B9">
        <w:t>to the public</w:t>
      </w:r>
      <w:r w:rsidR="62BEA723">
        <w:t xml:space="preserve"> and to </w:t>
      </w:r>
      <w:r w:rsidR="00156BF8">
        <w:t xml:space="preserve">help </w:t>
      </w:r>
      <w:r w:rsidR="62BEA723">
        <w:t>properly redact any information that must be kept confidential</w:t>
      </w:r>
      <w:r w:rsidR="006957B9">
        <w:t>.</w:t>
      </w:r>
    </w:p>
    <w:p w:rsidR="00307C58" w:rsidP="00CD22B9" w:rsidRDefault="00365B22" w14:paraId="7E09E5C5" w14:textId="77777777">
      <w:pPr>
        <w:pStyle w:val="Standard"/>
      </w:pPr>
      <w:r w:rsidRPr="00CA2043">
        <w:t xml:space="preserve">Finally, </w:t>
      </w:r>
      <w:r w:rsidRPr="00CA2043" w:rsidR="00FE1C17">
        <w:t xml:space="preserve">we </w:t>
      </w:r>
      <w:r w:rsidRPr="00CA2043" w:rsidR="00C11A1D">
        <w:t>are</w:t>
      </w:r>
      <w:r w:rsidRPr="00CA2043">
        <w:t xml:space="preserve"> not </w:t>
      </w:r>
      <w:r w:rsidRPr="00CA2043" w:rsidR="002A3D72">
        <w:t>persuaded by</w:t>
      </w:r>
      <w:r w:rsidRPr="00CA2043" w:rsidR="00114C7D">
        <w:t xml:space="preserve"> </w:t>
      </w:r>
      <w:r w:rsidRPr="00CA2043" w:rsidR="0022015F">
        <w:t>LS</w:t>
      </w:r>
      <w:r w:rsidRPr="00CA2043" w:rsidR="00C2215E">
        <w:t>PGC</w:t>
      </w:r>
      <w:r w:rsidRPr="00CA2043" w:rsidR="002A3D72">
        <w:t>’s</w:t>
      </w:r>
      <w:r w:rsidRPr="00CA2043" w:rsidR="0022015F">
        <w:t xml:space="preserve"> and </w:t>
      </w:r>
      <w:r w:rsidR="001524A1">
        <w:t xml:space="preserve">Transmission </w:t>
      </w:r>
      <w:r w:rsidR="00804F6F">
        <w:t>Owners</w:t>
      </w:r>
      <w:r w:rsidRPr="00CA2043" w:rsidR="00804F6F">
        <w:t>’</w:t>
      </w:r>
      <w:r w:rsidRPr="00CA2043" w:rsidR="00114C7D">
        <w:t xml:space="preserve"> </w:t>
      </w:r>
      <w:r w:rsidRPr="00CA2043" w:rsidR="0039207E">
        <w:t xml:space="preserve">request for </w:t>
      </w:r>
      <w:r w:rsidRPr="00CA2043">
        <w:t xml:space="preserve">transmission-only utilities </w:t>
      </w:r>
      <w:r w:rsidRPr="00CA2043" w:rsidR="002871B6">
        <w:t xml:space="preserve">to be exempted </w:t>
      </w:r>
      <w:r w:rsidRPr="00CA2043">
        <w:t xml:space="preserve">from </w:t>
      </w:r>
      <w:r w:rsidR="00DC14AC">
        <w:t>Section </w:t>
      </w:r>
      <w:r w:rsidRPr="00CA2043">
        <w:t>V reporting and quarterly meetings, as the Commission still has permitting jurisdiction over projects built by independent transmission owners</w:t>
      </w:r>
      <w:r w:rsidRPr="00CA2043" w:rsidR="00793C04">
        <w:t xml:space="preserve"> (TO)</w:t>
      </w:r>
      <w:r w:rsidRPr="00CA2043" w:rsidR="00F811B0">
        <w:t>. Given this,</w:t>
      </w:r>
      <w:r w:rsidRPr="00CA2043" w:rsidR="002871B6">
        <w:t xml:space="preserve"> </w:t>
      </w:r>
      <w:r w:rsidRPr="00CA2043" w:rsidR="00793C04">
        <w:t>independent TO</w:t>
      </w:r>
      <w:r w:rsidRPr="00CA2043" w:rsidR="00831C54">
        <w:t>s</w:t>
      </w:r>
      <w:r w:rsidRPr="00CA2043" w:rsidR="00031CCF">
        <w:t>,</w:t>
      </w:r>
      <w:r w:rsidRPr="00CA2043" w:rsidR="00793C04">
        <w:t xml:space="preserve"> </w:t>
      </w:r>
      <w:r w:rsidRPr="00CA2043">
        <w:t>would benefit from regular coordination with utilities on current</w:t>
      </w:r>
      <w:r w:rsidRPr="00CA2043" w:rsidR="00031CCF">
        <w:t>,</w:t>
      </w:r>
      <w:r w:rsidRPr="00CA2043">
        <w:t xml:space="preserve"> and upcoming projects</w:t>
      </w:r>
      <w:r w:rsidRPr="00CA2043" w:rsidR="00AE27A8">
        <w:t>,</w:t>
      </w:r>
      <w:r w:rsidRPr="00CA2043">
        <w:t xml:space="preserve"> even </w:t>
      </w:r>
      <w:r w:rsidRPr="00CA2043" w:rsidR="00AE27A8">
        <w:t>if, they</w:t>
      </w:r>
      <w:r w:rsidRPr="00CA2043" w:rsidR="0022015F">
        <w:t xml:space="preserve"> are proposed infrequently</w:t>
      </w:r>
      <w:r>
        <w:t xml:space="preserve">. </w:t>
      </w:r>
    </w:p>
    <w:p w:rsidR="00D66F06" w:rsidP="007263BF" w:rsidRDefault="006F28A8" w14:paraId="5CC0A7C8" w14:textId="77777777">
      <w:r w:rsidRPr="006F28A8">
        <w:lastRenderedPageBreak/>
        <w:t xml:space="preserve">Upon consideration of the Staff Proposal and party comments, </w:t>
      </w:r>
      <w:bookmarkStart w:name="_Hlk177640653" w:id="172"/>
      <w:r w:rsidRPr="00696770">
        <w:t>w</w:t>
      </w:r>
      <w:r w:rsidRPr="00696770" w:rsidR="00E04D6B">
        <w:t xml:space="preserve">e adopt </w:t>
      </w:r>
      <w:r w:rsidR="00241221">
        <w:t xml:space="preserve">a modified version of </w:t>
      </w:r>
      <w:r w:rsidRPr="00696770" w:rsidR="005603EC">
        <w:t>Staff</w:t>
      </w:r>
      <w:r w:rsidRPr="00696770" w:rsidR="00E04D6B">
        <w:t xml:space="preserve"> Proposal </w:t>
      </w:r>
      <w:r w:rsidR="00DC14AC">
        <w:t>Section </w:t>
      </w:r>
      <w:r w:rsidR="00BB1EE0">
        <w:t xml:space="preserve">3.2, </w:t>
      </w:r>
      <w:r w:rsidRPr="00696770" w:rsidR="00E04D6B">
        <w:t xml:space="preserve">Proposal 2, which </w:t>
      </w:r>
      <w:r w:rsidRPr="00696770" w:rsidR="002D45E9">
        <w:t xml:space="preserve">amends </w:t>
      </w:r>
      <w:r w:rsidRPr="00696770" w:rsidR="00C136FD">
        <w:t xml:space="preserve">the list of financial information </w:t>
      </w:r>
      <w:r w:rsidR="00406B1F">
        <w:t>specified in GO 131-E Appendix A</w:t>
      </w:r>
      <w:r w:rsidRPr="00696770" w:rsidR="00C136FD">
        <w:t xml:space="preserve"> </w:t>
      </w:r>
      <w:r w:rsidR="00E25EA7">
        <w:t>to</w:t>
      </w:r>
      <w:r w:rsidR="00406B1F">
        <w:t xml:space="preserve"> specify that electric public utilities must report </w:t>
      </w:r>
      <w:r w:rsidR="00E25EA7">
        <w:t>this information</w:t>
      </w:r>
      <w:r w:rsidRPr="00696770" w:rsidR="00C136FD">
        <w:t xml:space="preserve"> </w:t>
      </w:r>
      <w:r w:rsidR="00065ADF">
        <w:rPr>
          <w:szCs w:val="26"/>
        </w:rPr>
        <w:t>for</w:t>
      </w:r>
      <w:r w:rsidRPr="00D572C0" w:rsidR="00065ADF">
        <w:rPr>
          <w:szCs w:val="26"/>
        </w:rPr>
        <w:t xml:space="preserve"> all planned transmission line, power line, substation</w:t>
      </w:r>
      <w:r w:rsidRPr="00D572C0" w:rsidDel="749B609E" w:rsidR="00065ADF">
        <w:rPr>
          <w:szCs w:val="26"/>
        </w:rPr>
        <w:t>,</w:t>
      </w:r>
      <w:r w:rsidRPr="00D572C0" w:rsidR="00065ADF">
        <w:rPr>
          <w:szCs w:val="26"/>
        </w:rPr>
        <w:t xml:space="preserve"> and/or switchyard facility projects with high side voltage exceeding 50 kV for which a CPCN or PTC application or advice letter has been filed or is expected to be filed and that had capital expenditures over $1 million in the prior five years or will have capital expenditures over $1 million in the next four </w:t>
      </w:r>
      <w:r w:rsidRPr="00D572C0" w:rsidR="00065ADF">
        <w:rPr>
          <w:spacing w:val="-2"/>
          <w:szCs w:val="26"/>
        </w:rPr>
        <w:t>years</w:t>
      </w:r>
      <w:r w:rsidRPr="00696770" w:rsidR="00F37933">
        <w:t>.</w:t>
      </w:r>
      <w:r w:rsidR="00F37933">
        <w:t xml:space="preserve"> </w:t>
      </w:r>
      <w:r w:rsidRPr="00696770" w:rsidR="00AC6073">
        <w:t xml:space="preserve">To achieve this, we delete </w:t>
      </w:r>
      <w:r w:rsidR="00297398">
        <w:t>GO</w:t>
      </w:r>
      <w:r w:rsidR="00AD2306">
        <w:t> </w:t>
      </w:r>
      <w:r w:rsidR="00297398">
        <w:t>131</w:t>
      </w:r>
      <w:r w:rsidR="00AD2306">
        <w:noBreakHyphen/>
      </w:r>
      <w:r w:rsidR="00297398">
        <w:t>D</w:t>
      </w:r>
      <w:r w:rsidR="00CE6CB9">
        <w:t>,</w:t>
      </w:r>
      <w:r w:rsidR="00106911">
        <w:t xml:space="preserve"> </w:t>
      </w:r>
      <w:r w:rsidR="00DC14AC">
        <w:t>Section </w:t>
      </w:r>
      <w:r w:rsidRPr="00696770" w:rsidR="00AC6073">
        <w:t xml:space="preserve">VI and move </w:t>
      </w:r>
      <w:r w:rsidRPr="00696770" w:rsidR="003D74EF">
        <w:t xml:space="preserve">the financial reporting requirements into </w:t>
      </w:r>
      <w:r w:rsidR="00DC14AC">
        <w:t>Section </w:t>
      </w:r>
      <w:r w:rsidRPr="00696770" w:rsidR="003D74EF">
        <w:t xml:space="preserve">IV.C in </w:t>
      </w:r>
      <w:r w:rsidR="003B5D07">
        <w:t>GO </w:t>
      </w:r>
      <w:r w:rsidRPr="00696770" w:rsidR="003D74EF">
        <w:t>131-E.</w:t>
      </w:r>
      <w:r w:rsidR="003D74EF">
        <w:t xml:space="preserve"> </w:t>
      </w:r>
      <w:bookmarkEnd w:id="172"/>
      <w:r w:rsidR="00106911">
        <w:t xml:space="preserve">In addition, we modify the reporting requirements </w:t>
      </w:r>
      <w:r w:rsidR="00BD2724">
        <w:t>set forth in Appendix A</w:t>
      </w:r>
      <w:r w:rsidR="00106911">
        <w:t xml:space="preserve"> to reduce </w:t>
      </w:r>
      <w:r w:rsidR="00C64AA6">
        <w:t xml:space="preserve">the overall amount of financial information </w:t>
      </w:r>
      <w:r w:rsidR="00BD2724">
        <w:t xml:space="preserve">and </w:t>
      </w:r>
      <w:r w:rsidR="00784CFD">
        <w:t xml:space="preserve">focus the reporting requirement on retrieving necessary data. </w:t>
      </w:r>
      <w:r w:rsidR="00DF43EB">
        <w:t xml:space="preserve">Similar </w:t>
      </w:r>
      <w:r w:rsidR="009364AF">
        <w:t xml:space="preserve">to </w:t>
      </w:r>
      <w:r w:rsidR="00784CFD">
        <w:t xml:space="preserve">the </w:t>
      </w:r>
      <w:r w:rsidR="00272E5A">
        <w:t xml:space="preserve">annual reporting </w:t>
      </w:r>
      <w:r w:rsidR="00DF43EB">
        <w:t xml:space="preserve">requirements in </w:t>
      </w:r>
      <w:r w:rsidR="00DC14AC">
        <w:t>Section </w:t>
      </w:r>
      <w:r w:rsidR="00DF43EB">
        <w:t>IV.</w:t>
      </w:r>
      <w:r w:rsidR="009F265E">
        <w:t>A</w:t>
      </w:r>
      <w:r w:rsidR="00272E5A">
        <w:t xml:space="preserve">, utilities must </w:t>
      </w:r>
      <w:r w:rsidR="00DE6604">
        <w:t xml:space="preserve">annually </w:t>
      </w:r>
      <w:r w:rsidR="00635FD9">
        <w:t xml:space="preserve">report </w:t>
      </w:r>
      <w:r w:rsidRPr="00CA386E" w:rsidR="001122DA">
        <w:t xml:space="preserve">financial </w:t>
      </w:r>
      <w:r w:rsidR="001122DA">
        <w:t>information on</w:t>
      </w:r>
      <w:r w:rsidRPr="00CA386E" w:rsidR="001122DA">
        <w:t xml:space="preserve"> transmission lines, power lines, and substations </w:t>
      </w:r>
      <w:r w:rsidR="001122DA">
        <w:t>o</w:t>
      </w:r>
      <w:r w:rsidRPr="00CA386E" w:rsidR="001122DA">
        <w:t>n or before July 3</w:t>
      </w:r>
      <w:r w:rsidR="001122DA">
        <w:t>1</w:t>
      </w:r>
      <w:r w:rsidR="00DB6294">
        <w:t xml:space="preserve"> to</w:t>
      </w:r>
      <w:r w:rsidRPr="00741E05" w:rsidR="001122DA">
        <w:t xml:space="preserve"> better align with the CAISO TPP cycle and the timing of the CAISO’s Transmission Development Forum.</w:t>
      </w:r>
    </w:p>
    <w:p w:rsidRPr="00696770" w:rsidR="004B69A7" w:rsidP="00DB6294" w:rsidRDefault="68E5D9A9" w14:paraId="65F18F2D" w14:textId="77777777">
      <w:pPr>
        <w:pStyle w:val="Standard"/>
      </w:pPr>
      <w:r w:rsidRPr="00434BA6">
        <w:t>In terms of r</w:t>
      </w:r>
      <w:r w:rsidRPr="00434BA6" w:rsidR="628F134E">
        <w:t xml:space="preserve">eporting of utility </w:t>
      </w:r>
      <w:r w:rsidRPr="00434BA6" w:rsidR="1707BA4D">
        <w:t xml:space="preserve">electric loads and resources, as </w:t>
      </w:r>
      <w:r w:rsidRPr="00434BA6" w:rsidR="6364EF7A">
        <w:t>pre</w:t>
      </w:r>
      <w:r w:rsidRPr="00434BA6" w:rsidR="5D0E8B5E">
        <w:t>s</w:t>
      </w:r>
      <w:r w:rsidRPr="00434BA6" w:rsidR="6364EF7A">
        <w:t>cribed</w:t>
      </w:r>
      <w:r w:rsidRPr="00434BA6" w:rsidR="1707BA4D">
        <w:t xml:space="preserve"> in </w:t>
      </w:r>
      <w:r w:rsidR="00DC14AC">
        <w:t>Section </w:t>
      </w:r>
      <w:r w:rsidRPr="00434BA6" w:rsidR="009D1E9A">
        <w:t xml:space="preserve">IV of </w:t>
      </w:r>
      <w:r w:rsidR="003B5D07">
        <w:t>GO </w:t>
      </w:r>
      <w:r w:rsidRPr="00434BA6" w:rsidR="009D1E9A">
        <w:t>131-D</w:t>
      </w:r>
      <w:r w:rsidRPr="00434BA6" w:rsidR="1707BA4D">
        <w:t>,</w:t>
      </w:r>
      <w:r w:rsidRPr="00434BA6" w:rsidR="009D1E9A">
        <w:t xml:space="preserve"> </w:t>
      </w:r>
      <w:r w:rsidRPr="00434BA6">
        <w:t xml:space="preserve">that </w:t>
      </w:r>
      <w:r w:rsidRPr="00434BA6" w:rsidR="009D1E9A">
        <w:t>appears to be accomplished through the</w:t>
      </w:r>
      <w:r w:rsidRPr="00434BA6" w:rsidR="628F134E">
        <w:t xml:space="preserve"> </w:t>
      </w:r>
      <w:r w:rsidRPr="00434BA6" w:rsidR="009D1E9A">
        <w:t xml:space="preserve">CEC’s </w:t>
      </w:r>
      <w:r w:rsidRPr="00434BA6" w:rsidR="001823A0">
        <w:t xml:space="preserve">Integrated Energy Policy Report </w:t>
      </w:r>
      <w:r w:rsidRPr="00434BA6" w:rsidR="009D1E9A">
        <w:t>IEPR process (P</w:t>
      </w:r>
      <w:r w:rsidRPr="00434BA6" w:rsidR="008B73C4">
        <w:t xml:space="preserve">ub. </w:t>
      </w:r>
      <w:r w:rsidRPr="00434BA6" w:rsidR="009D1E9A">
        <w:t>R</w:t>
      </w:r>
      <w:r w:rsidRPr="00434BA6" w:rsidR="008B73C4">
        <w:t xml:space="preserve">es. </w:t>
      </w:r>
      <w:r w:rsidRPr="00434BA6" w:rsidR="009D1E9A">
        <w:t>C</w:t>
      </w:r>
      <w:r w:rsidRPr="00434BA6" w:rsidR="008B73C4">
        <w:t>ode</w:t>
      </w:r>
      <w:r w:rsidRPr="00434BA6" w:rsidR="009D1E9A">
        <w:t xml:space="preserve"> </w:t>
      </w:r>
      <w:r w:rsidR="00DC14AC">
        <w:t>Section </w:t>
      </w:r>
      <w:r w:rsidRPr="00434BA6" w:rsidR="009D1E9A">
        <w:t>25302) and other</w:t>
      </w:r>
      <w:r w:rsidRPr="00434BA6" w:rsidR="0CE4D10F">
        <w:t xml:space="preserve"> existing</w:t>
      </w:r>
      <w:r w:rsidRPr="00434BA6" w:rsidR="009D1E9A">
        <w:t xml:space="preserve"> programs. The</w:t>
      </w:r>
      <w:r w:rsidRPr="00434BA6" w:rsidR="721C3BE8">
        <w:t xml:space="preserve"> requirements </w:t>
      </w:r>
      <w:r w:rsidRPr="00434BA6" w:rsidR="6DF46442">
        <w:t xml:space="preserve">detailed in </w:t>
      </w:r>
      <w:r w:rsidRPr="00434BA6" w:rsidR="008B73C4">
        <w:t>Pub. Res. Code Sections</w:t>
      </w:r>
      <w:r w:rsidRPr="00434BA6" w:rsidR="009D1E9A">
        <w:t xml:space="preserve"> 25300 </w:t>
      </w:r>
      <w:r w:rsidRPr="00434BA6" w:rsidR="009D1E9A">
        <w:rPr>
          <w:i/>
        </w:rPr>
        <w:t>et seq</w:t>
      </w:r>
      <w:r w:rsidRPr="00434BA6" w:rsidR="009D1E9A">
        <w:t xml:space="preserve">. have been amended and expanded to include various new statutory requirements since </w:t>
      </w:r>
      <w:r w:rsidR="003B5D07">
        <w:t>GO </w:t>
      </w:r>
      <w:r w:rsidRPr="00434BA6" w:rsidR="009D1E9A">
        <w:t>131-D was first adopted</w:t>
      </w:r>
      <w:r w:rsidRPr="00434BA6" w:rsidR="3101A3C7">
        <w:t xml:space="preserve">. </w:t>
      </w:r>
      <w:r w:rsidRPr="00434BA6" w:rsidR="21A93A95">
        <w:t>Many</w:t>
      </w:r>
      <w:r w:rsidRPr="00434BA6" w:rsidR="009D1E9A">
        <w:t xml:space="preserve"> of th</w:t>
      </w:r>
      <w:r w:rsidRPr="00434BA6" w:rsidR="0064476A">
        <w:t>os</w:t>
      </w:r>
      <w:r w:rsidRPr="00434BA6" w:rsidR="009D1E9A">
        <w:t>e sections specify that the CEC must consult with the C</w:t>
      </w:r>
      <w:r w:rsidRPr="00434BA6" w:rsidR="3101A3C7">
        <w:t xml:space="preserve">ommission to </w:t>
      </w:r>
      <w:r w:rsidRPr="00434BA6" w:rsidR="69F148D6">
        <w:t xml:space="preserve">report on </w:t>
      </w:r>
      <w:r w:rsidRPr="00434BA6" w:rsidR="009D1E9A">
        <w:t xml:space="preserve">integrated energy policy reporting. </w:t>
      </w:r>
      <w:r w:rsidRPr="00434BA6" w:rsidR="79D6BDE8">
        <w:t>Therefore, t</w:t>
      </w:r>
      <w:r w:rsidRPr="00434BA6" w:rsidR="009D1E9A">
        <w:t xml:space="preserve">he inclusion of this </w:t>
      </w:r>
      <w:r w:rsidRPr="00434BA6" w:rsidR="6C82F48E">
        <w:t xml:space="preserve">reporting </w:t>
      </w:r>
      <w:r w:rsidRPr="00434BA6" w:rsidR="009D1E9A">
        <w:t xml:space="preserve">requirement in </w:t>
      </w:r>
      <w:r w:rsidR="003B5D07">
        <w:t>GO </w:t>
      </w:r>
      <w:r w:rsidRPr="00434BA6" w:rsidR="009D1E9A">
        <w:t>131-</w:t>
      </w:r>
      <w:r w:rsidRPr="00434BA6" w:rsidR="00A232CA">
        <w:t>E</w:t>
      </w:r>
      <w:r w:rsidRPr="00434BA6" w:rsidR="00624288">
        <w:t xml:space="preserve">, as we update </w:t>
      </w:r>
      <w:r w:rsidR="003B5D07">
        <w:t>GO </w:t>
      </w:r>
      <w:r w:rsidRPr="00434BA6" w:rsidR="00B70D4D">
        <w:t>131-D</w:t>
      </w:r>
      <w:r w:rsidRPr="00434BA6" w:rsidR="009D1E9A">
        <w:t xml:space="preserve"> </w:t>
      </w:r>
      <w:r w:rsidRPr="00434BA6" w:rsidR="00A232CA">
        <w:t>would not</w:t>
      </w:r>
      <w:r w:rsidRPr="00434BA6" w:rsidR="009D1E9A">
        <w:t xml:space="preserve"> </w:t>
      </w:r>
      <w:r w:rsidRPr="00434BA6" w:rsidR="00DB48B1">
        <w:t xml:space="preserve">accurately </w:t>
      </w:r>
      <w:r w:rsidRPr="00434BA6" w:rsidR="009D1E9A">
        <w:t>reflect current practice</w:t>
      </w:r>
      <w:r w:rsidRPr="00434BA6" w:rsidR="57C71214">
        <w:t>.</w:t>
      </w:r>
      <w:r w:rsidRPr="00434BA6" w:rsidR="009D1E9A">
        <w:t xml:space="preserve"> </w:t>
      </w:r>
      <w:r w:rsidRPr="00434BA6" w:rsidR="57C71214">
        <w:lastRenderedPageBreak/>
        <w:t>As</w:t>
      </w:r>
      <w:r w:rsidRPr="00434BA6" w:rsidR="009D1E9A">
        <w:t xml:space="preserve"> SCE </w:t>
      </w:r>
      <w:r w:rsidRPr="00434BA6" w:rsidR="57C71214">
        <w:t xml:space="preserve">notes, </w:t>
      </w:r>
      <w:r w:rsidRPr="00434BA6" w:rsidR="009D1E9A">
        <w:t xml:space="preserve">utilities provide an array of data to the CEC that is not consolidated into a single report. Beyond </w:t>
      </w:r>
      <w:r w:rsidRPr="00434BA6" w:rsidR="1FBDFF42">
        <w:t xml:space="preserve">the </w:t>
      </w:r>
      <w:r w:rsidRPr="00434BA6" w:rsidR="009D1E9A">
        <w:t>feasibility</w:t>
      </w:r>
      <w:r w:rsidRPr="00434BA6" w:rsidR="1FBDFF42">
        <w:t xml:space="preserve"> of reporting this information</w:t>
      </w:r>
      <w:r w:rsidRPr="00434BA6" w:rsidR="009D1E9A">
        <w:t xml:space="preserve">, </w:t>
      </w:r>
      <w:bookmarkStart w:name="_Hlk177640582" w:id="173"/>
      <w:r w:rsidRPr="00434BA6" w:rsidR="009D1E9A">
        <w:t xml:space="preserve">there is no indication that </w:t>
      </w:r>
      <w:r w:rsidR="003B5D07">
        <w:t>GO </w:t>
      </w:r>
      <w:r w:rsidRPr="00434BA6" w:rsidR="009D1E9A">
        <w:t>131</w:t>
      </w:r>
      <w:r w:rsidRPr="00434BA6" w:rsidR="07512B20">
        <w:t>-D</w:t>
      </w:r>
      <w:r w:rsidR="00CE6CB9">
        <w:t>,</w:t>
      </w:r>
      <w:r w:rsidRPr="00434BA6" w:rsidR="009D1E9A">
        <w:t xml:space="preserve"> </w:t>
      </w:r>
      <w:r w:rsidR="00DC14AC">
        <w:t>Section </w:t>
      </w:r>
      <w:r w:rsidRPr="00434BA6" w:rsidR="009D1E9A">
        <w:t>IV reports are received or used by</w:t>
      </w:r>
      <w:r w:rsidRPr="00434BA6" w:rsidR="4BB728BE">
        <w:t xml:space="preserve"> </w:t>
      </w:r>
      <w:r w:rsidRPr="00434BA6" w:rsidR="13090F91">
        <w:t xml:space="preserve">the </w:t>
      </w:r>
      <w:r w:rsidRPr="00434BA6" w:rsidR="009D1E9A">
        <w:t>C</w:t>
      </w:r>
      <w:r w:rsidRPr="00434BA6" w:rsidR="6455C018">
        <w:t>ommission’s</w:t>
      </w:r>
      <w:r w:rsidRPr="00434BA6" w:rsidR="009D1E9A">
        <w:t xml:space="preserve"> </w:t>
      </w:r>
      <w:r w:rsidRPr="00434BA6" w:rsidR="682D76BD">
        <w:t xml:space="preserve">Staff that oversees </w:t>
      </w:r>
      <w:r w:rsidRPr="00434BA6" w:rsidR="5052F801">
        <w:t xml:space="preserve">matters related to </w:t>
      </w:r>
      <w:r w:rsidRPr="00434BA6" w:rsidR="009D1E9A">
        <w:t>CEQA</w:t>
      </w:r>
      <w:r w:rsidRPr="00434BA6" w:rsidR="682D76BD">
        <w:t xml:space="preserve">, </w:t>
      </w:r>
      <w:r w:rsidRPr="00434BA6" w:rsidR="009D1E9A">
        <w:t>FERC</w:t>
      </w:r>
      <w:r w:rsidRPr="00434BA6" w:rsidR="682D76BD">
        <w:t>,</w:t>
      </w:r>
      <w:r w:rsidRPr="00434BA6" w:rsidR="009D1E9A">
        <w:t xml:space="preserve"> Electric Planning</w:t>
      </w:r>
      <w:r w:rsidRPr="00434BA6" w:rsidR="5052F801">
        <w:t>,</w:t>
      </w:r>
      <w:r w:rsidRPr="00434BA6" w:rsidR="009D1E9A">
        <w:t xml:space="preserve"> and Market Design </w:t>
      </w:r>
      <w:r w:rsidRPr="00434BA6" w:rsidR="4BB728BE">
        <w:t xml:space="preserve">beyond </w:t>
      </w:r>
      <w:r w:rsidRPr="00434BA6" w:rsidR="009D1E9A">
        <w:t xml:space="preserve">existing coordination with the CEC. Finally, Appendix B.IV of </w:t>
      </w:r>
      <w:r w:rsidR="003B5D07">
        <w:t>GO </w:t>
      </w:r>
      <w:r w:rsidRPr="00434BA6" w:rsidR="009D1E9A">
        <w:t xml:space="preserve">131-D separately specifies that CPCN applications for electric generating facilities must include relevant load and resource data. For these reasons, </w:t>
      </w:r>
      <w:r w:rsidRPr="00434BA6" w:rsidR="64BDD297">
        <w:t xml:space="preserve">we </w:t>
      </w:r>
      <w:r w:rsidRPr="00434BA6" w:rsidR="009D1E9A">
        <w:t>delet</w:t>
      </w:r>
      <w:r w:rsidRPr="00434BA6" w:rsidR="15B99346">
        <w:t>e</w:t>
      </w:r>
      <w:r w:rsidRPr="00434BA6" w:rsidR="009D1E9A">
        <w:t xml:space="preserve"> </w:t>
      </w:r>
      <w:r w:rsidR="003B5D07">
        <w:t>GO </w:t>
      </w:r>
      <w:r w:rsidRPr="00434BA6" w:rsidR="3DC4AE6D">
        <w:t>131-D</w:t>
      </w:r>
      <w:r w:rsidR="00CE6CB9">
        <w:t>,</w:t>
      </w:r>
      <w:r w:rsidRPr="00434BA6" w:rsidR="3DC4AE6D">
        <w:t xml:space="preserve"> </w:t>
      </w:r>
      <w:r w:rsidR="00DC14AC">
        <w:t>Section </w:t>
      </w:r>
      <w:r w:rsidRPr="00434BA6" w:rsidR="009D1E9A">
        <w:t xml:space="preserve">IV in </w:t>
      </w:r>
      <w:r w:rsidR="003B5D07">
        <w:t>GO </w:t>
      </w:r>
      <w:r w:rsidRPr="00434BA6" w:rsidR="009D1E9A">
        <w:t>131-E.</w:t>
      </w:r>
      <w:r w:rsidR="009D1E9A">
        <w:t> </w:t>
      </w:r>
      <w:bookmarkEnd w:id="173"/>
    </w:p>
    <w:p w:rsidR="00883D30" w:rsidP="00804F6F" w:rsidRDefault="007D24E0" w14:paraId="7F0EA449" w14:textId="77777777">
      <w:pPr>
        <w:pStyle w:val="Heading1"/>
      </w:pPr>
      <w:bookmarkStart w:name="_Toc189738520" w:id="174"/>
      <w:r>
        <w:t>Advice Letter Protest Process</w:t>
      </w:r>
      <w:bookmarkEnd w:id="174"/>
    </w:p>
    <w:p w:rsidR="00CB2678" w:rsidP="00883D30" w:rsidRDefault="00CB2678" w14:paraId="6FC176C8" w14:textId="77777777">
      <w:pPr>
        <w:pStyle w:val="Standard"/>
      </w:pPr>
      <w:r>
        <w:t>As discussed below, we adopt revisions</w:t>
      </w:r>
      <w:r w:rsidR="00026AC1">
        <w:t xml:space="preserve"> that will be reflected </w:t>
      </w:r>
      <w:r>
        <w:t xml:space="preserve">in </w:t>
      </w:r>
      <w:r w:rsidR="003B5D07">
        <w:t>GO</w:t>
      </w:r>
      <w:r w:rsidR="00AD2306">
        <w:t> </w:t>
      </w:r>
      <w:r>
        <w:t>131</w:t>
      </w:r>
      <w:r w:rsidR="00AD2306">
        <w:noBreakHyphen/>
      </w:r>
      <w:r>
        <w:t>E</w:t>
      </w:r>
      <w:r w:rsidR="00CE6CB9">
        <w:t>, Section X</w:t>
      </w:r>
      <w:r w:rsidR="009D38B7">
        <w:t xml:space="preserve"> </w:t>
      </w:r>
      <w:r w:rsidR="00A861E4">
        <w:t xml:space="preserve">and adopt </w:t>
      </w:r>
      <w:r>
        <w:t>the proposal from PG&amp;E, SCE, and SDG&amp;E that an advice letter will take effect under the disposition letter pending Commission review.</w:t>
      </w:r>
      <w:r w:rsidR="000D4D01">
        <w:t xml:space="preserve"> </w:t>
      </w:r>
      <w:r w:rsidRPr="001C0CAB" w:rsidR="000D4D01">
        <w:t xml:space="preserve">To </w:t>
      </w:r>
      <w:r w:rsidRPr="001C0CAB" w:rsidR="004F6BB8">
        <w:t>implement</w:t>
      </w:r>
      <w:r w:rsidRPr="001C0CAB" w:rsidR="69664E8B">
        <w:t xml:space="preserve"> </w:t>
      </w:r>
      <w:r w:rsidRPr="001C0CAB" w:rsidR="000D4D01">
        <w:t>AB 551</w:t>
      </w:r>
      <w:r w:rsidRPr="001C0CAB" w:rsidR="00706702">
        <w:t xml:space="preserve"> provisions</w:t>
      </w:r>
      <w:r w:rsidRPr="001C0CAB" w:rsidR="000D4D01">
        <w:t xml:space="preserve">, we </w:t>
      </w:r>
      <w:r w:rsidRPr="001C0CAB" w:rsidR="00C036C5">
        <w:t>require</w:t>
      </w:r>
      <w:r w:rsidRPr="001C0CAB" w:rsidR="000D4D01">
        <w:t xml:space="preserve"> that</w:t>
      </w:r>
      <w:r w:rsidRPr="001C0CAB" w:rsidR="00CA0527">
        <w:t xml:space="preserve"> </w:t>
      </w:r>
      <w:r w:rsidRPr="001C0CAB" w:rsidR="00EF0640">
        <w:t>protests</w:t>
      </w:r>
      <w:r w:rsidRPr="001C0CAB" w:rsidR="00CA0527">
        <w:t xml:space="preserve"> </w:t>
      </w:r>
      <w:r w:rsidRPr="001C0CAB" w:rsidR="009C0788">
        <w:t>of</w:t>
      </w:r>
      <w:r w:rsidRPr="001C0CAB" w:rsidR="00B77972">
        <w:t xml:space="preserve"> Commission disposition</w:t>
      </w:r>
      <w:r w:rsidRPr="001C0CAB" w:rsidR="003B02F0">
        <w:t xml:space="preserve">s </w:t>
      </w:r>
      <w:r w:rsidRPr="001C0CAB" w:rsidR="00B77972">
        <w:t>of</w:t>
      </w:r>
      <w:r w:rsidRPr="001C0CAB" w:rsidR="009C0788">
        <w:t xml:space="preserve"> </w:t>
      </w:r>
      <w:r w:rsidRPr="001C0CAB" w:rsidR="007B3B01">
        <w:t>advice letter</w:t>
      </w:r>
      <w:r w:rsidRPr="001C0CAB" w:rsidR="00793423">
        <w:t>s</w:t>
      </w:r>
      <w:r w:rsidRPr="001C0CAB" w:rsidR="007B3B01">
        <w:t xml:space="preserve"> that gra</w:t>
      </w:r>
      <w:r w:rsidRPr="001C0CAB" w:rsidR="00C14D9D">
        <w:t>nt PTC exemption</w:t>
      </w:r>
      <w:r w:rsidRPr="001C0CAB" w:rsidR="00327FD9">
        <w:t xml:space="preserve">s to projects must be </w:t>
      </w:r>
      <w:r w:rsidRPr="001C0CAB" w:rsidR="004F6BB8">
        <w:t xml:space="preserve">addressed through </w:t>
      </w:r>
      <w:r w:rsidRPr="001C0CAB" w:rsidR="009C0788">
        <w:t xml:space="preserve">rehearing </w:t>
      </w:r>
      <w:r w:rsidRPr="001C0CAB" w:rsidR="004F6BB8">
        <w:t>application</w:t>
      </w:r>
      <w:r w:rsidRPr="001C0CAB" w:rsidR="009C0788">
        <w:t>s</w:t>
      </w:r>
      <w:r w:rsidRPr="001C0CAB" w:rsidR="00604C02">
        <w:t xml:space="preserve"> </w:t>
      </w:r>
      <w:r w:rsidRPr="001C0CAB" w:rsidR="0050294C">
        <w:t xml:space="preserve">filed </w:t>
      </w:r>
      <w:r w:rsidRPr="001C0CAB" w:rsidR="00604C02">
        <w:t xml:space="preserve">within 10 days after </w:t>
      </w:r>
      <w:r w:rsidRPr="001C0CAB" w:rsidR="00341B9D">
        <w:t>disposition issuance</w:t>
      </w:r>
      <w:r w:rsidRPr="001C0CAB" w:rsidR="009C0788">
        <w:t>.</w:t>
      </w:r>
    </w:p>
    <w:p w:rsidR="00446252" w:rsidP="00883D30" w:rsidRDefault="003B5D07" w14:paraId="6BF6D702" w14:textId="77777777">
      <w:pPr>
        <w:pStyle w:val="Standard"/>
      </w:pPr>
      <w:r>
        <w:t>GO </w:t>
      </w:r>
      <w:r w:rsidRPr="00883D30" w:rsidR="00883D30">
        <w:t>131-D</w:t>
      </w:r>
      <w:r w:rsidR="00CE6CB9">
        <w:t>, Section X</w:t>
      </w:r>
      <w:r w:rsidRPr="00883D30" w:rsidR="00883D30">
        <w:t xml:space="preserve"> establis</w:t>
      </w:r>
      <w:r w:rsidR="00D475F2">
        <w:t>he</w:t>
      </w:r>
      <w:r w:rsidR="00FF7B15">
        <w:t>s</w:t>
      </w:r>
      <w:r w:rsidRPr="00883D30" w:rsidR="00883D30">
        <w:t xml:space="preserve"> a process </w:t>
      </w:r>
      <w:r w:rsidR="00FF7B15">
        <w:t xml:space="preserve">for </w:t>
      </w:r>
      <w:r w:rsidR="00D475F2">
        <w:t>filin</w:t>
      </w:r>
      <w:r w:rsidR="00F97E4C">
        <w:t>g</w:t>
      </w:r>
      <w:r w:rsidR="00D475F2">
        <w:t xml:space="preserve"> advice letter</w:t>
      </w:r>
      <w:r w:rsidR="00557CFE">
        <w:t xml:space="preserve"> </w:t>
      </w:r>
      <w:r w:rsidR="00F97E4C">
        <w:t>protests that contest the construction of projects</w:t>
      </w:r>
      <w:r w:rsidR="00D475F2">
        <w:t xml:space="preserve"> that </w:t>
      </w:r>
      <w:r w:rsidR="00F97E4C">
        <w:t>receive a</w:t>
      </w:r>
      <w:r w:rsidR="00D475F2">
        <w:t xml:space="preserve"> PTC exemption.</w:t>
      </w:r>
      <w:r w:rsidRPr="00D475F2" w:rsidR="00D475F2">
        <w:t xml:space="preserve"> </w:t>
      </w:r>
      <w:r w:rsidR="00D475F2">
        <w:t xml:space="preserve">Protests </w:t>
      </w:r>
      <w:r w:rsidR="00446252">
        <w:t>can</w:t>
      </w:r>
      <w:r w:rsidR="00D475F2">
        <w:t xml:space="preserve"> be </w:t>
      </w:r>
      <w:r w:rsidR="00F97E4C">
        <w:t>filed</w:t>
      </w:r>
      <w:r w:rsidR="00D475F2">
        <w:t xml:space="preserve"> by interested parties</w:t>
      </w:r>
      <w:r w:rsidR="00FF7B15">
        <w:t xml:space="preserve"> </w:t>
      </w:r>
      <w:r w:rsidR="00557CFE">
        <w:t xml:space="preserve">that participate in a PTC proceeding </w:t>
      </w:r>
      <w:r w:rsidR="00EE7D8E">
        <w:t xml:space="preserve">or receive notice of construction </w:t>
      </w:r>
      <w:r w:rsidR="00557CFE">
        <w:t>within 20 days after</w:t>
      </w:r>
      <w:r w:rsidRPr="00883D30" w:rsidR="00557CFE">
        <w:t xml:space="preserve"> </w:t>
      </w:r>
      <w:r w:rsidR="00EE7D8E">
        <w:t xml:space="preserve">the </w:t>
      </w:r>
      <w:r w:rsidR="00557CFE">
        <w:t>notice has been mailed and published</w:t>
      </w:r>
      <w:r w:rsidR="00446252">
        <w:t xml:space="preserve">. Each protest must be filed with Staff in accordance with </w:t>
      </w:r>
      <w:r>
        <w:t>GO</w:t>
      </w:r>
      <w:r w:rsidR="00AD2306">
        <w:t> </w:t>
      </w:r>
      <w:r w:rsidR="00446252">
        <w:t>96</w:t>
      </w:r>
      <w:r w:rsidR="00AD2306">
        <w:noBreakHyphen/>
      </w:r>
      <w:r w:rsidR="00446252">
        <w:t>B Sections 3.11, 7.4.1, and 7.4.2.</w:t>
      </w:r>
    </w:p>
    <w:p w:rsidR="00010EA8" w:rsidP="00446252" w:rsidRDefault="00771A93" w14:paraId="77A34768" w14:textId="77777777">
      <w:pPr>
        <w:pStyle w:val="Standard"/>
      </w:pPr>
      <w:r>
        <w:t xml:space="preserve">When a protest is filed, protestants must serve a copy to </w:t>
      </w:r>
      <w:r w:rsidR="00446252">
        <w:t>the</w:t>
      </w:r>
      <w:r w:rsidR="00EE7D8E">
        <w:t xml:space="preserve"> </w:t>
      </w:r>
      <w:r w:rsidR="00557CFE">
        <w:t>utilit</w:t>
      </w:r>
      <w:r w:rsidR="00EE7D8E">
        <w:t>y</w:t>
      </w:r>
      <w:r w:rsidR="00557CFE">
        <w:t xml:space="preserve"> </w:t>
      </w:r>
      <w:r>
        <w:t>that intends to construct the noticed project</w:t>
      </w:r>
      <w:r w:rsidR="00EE7D8E">
        <w:t>. The utility</w:t>
      </w:r>
      <w:r w:rsidR="00557CFE">
        <w:t xml:space="preserve"> must respond </w:t>
      </w:r>
      <w:r w:rsidR="00EE7D8E">
        <w:t xml:space="preserve">to </w:t>
      </w:r>
      <w:r>
        <w:t xml:space="preserve">a </w:t>
      </w:r>
      <w:r w:rsidR="00EE7D8E">
        <w:t>protest</w:t>
      </w:r>
      <w:r>
        <w:t xml:space="preserve"> </w:t>
      </w:r>
      <w:r w:rsidR="00EE7D8E">
        <w:t xml:space="preserve">within five days of receipt </w:t>
      </w:r>
      <w:r w:rsidR="00446252">
        <w:t xml:space="preserve">and serve responses to Staff and the protestant. </w:t>
      </w:r>
      <w:r w:rsidR="00154FD7">
        <w:t xml:space="preserve">Within 30 </w:t>
      </w:r>
      <w:r w:rsidR="009460D4">
        <w:t xml:space="preserve">days </w:t>
      </w:r>
      <w:r w:rsidR="00D342A4">
        <w:t xml:space="preserve">after receipt of the utility’s response, after consultation with Staff, the </w:t>
      </w:r>
      <w:r w:rsidR="00D342A4">
        <w:lastRenderedPageBreak/>
        <w:t xml:space="preserve">Commission’s Executive </w:t>
      </w:r>
      <w:r w:rsidR="009460D4">
        <w:t xml:space="preserve">Director </w:t>
      </w:r>
      <w:r w:rsidR="00D342A4">
        <w:t xml:space="preserve">must issue an Executive Resolution to either (1) direct the utility to file a PTC application or (2) dismiss the protest </w:t>
      </w:r>
      <w:r w:rsidR="009460D4">
        <w:t xml:space="preserve">if a </w:t>
      </w:r>
      <w:r w:rsidR="00D342A4">
        <w:t xml:space="preserve">valid reason </w:t>
      </w:r>
      <w:r w:rsidR="009460D4">
        <w:t>was not provided by the protestant.</w:t>
      </w:r>
      <w:r w:rsidR="003F14DA">
        <w:t xml:space="preserve"> The validity of the protest </w:t>
      </w:r>
      <w:r w:rsidR="00C15755">
        <w:t xml:space="preserve">is determined if </w:t>
      </w:r>
      <w:r w:rsidR="003F14DA">
        <w:t xml:space="preserve">any of the </w:t>
      </w:r>
      <w:r w:rsidRPr="00D342A4" w:rsidR="00D342A4">
        <w:t xml:space="preserve">conditions described in </w:t>
      </w:r>
      <w:r w:rsidR="00DC14AC">
        <w:t>Section </w:t>
      </w:r>
      <w:r w:rsidRPr="00D342A4" w:rsidR="00D342A4">
        <w:t xml:space="preserve">III.B.2 </w:t>
      </w:r>
      <w:r w:rsidR="009460D4">
        <w:t xml:space="preserve">exist or </w:t>
      </w:r>
      <w:r w:rsidR="003F14DA">
        <w:t xml:space="preserve">if </w:t>
      </w:r>
      <w:r w:rsidRPr="00D342A4" w:rsidR="00D342A4">
        <w:t xml:space="preserve">the utility incorrectly applied an exemption as defined in </w:t>
      </w:r>
      <w:r w:rsidR="00DC14AC">
        <w:t>Section </w:t>
      </w:r>
      <w:r w:rsidRPr="00D342A4" w:rsidR="00D342A4">
        <w:t>III</w:t>
      </w:r>
      <w:r w:rsidR="009460D4">
        <w:t>.</w:t>
      </w:r>
      <w:r w:rsidR="00FC5CBB">
        <w:rPr>
          <w:rStyle w:val="FootnoteReference"/>
        </w:rPr>
        <w:footnoteReference w:id="222"/>
      </w:r>
    </w:p>
    <w:p w:rsidRPr="00883D30" w:rsidR="00883D30" w:rsidP="00FF7B15" w:rsidRDefault="0059357A" w14:paraId="4DF75F56" w14:textId="77777777">
      <w:pPr>
        <w:pStyle w:val="Standard"/>
      </w:pPr>
      <w:r>
        <w:t>While</w:t>
      </w:r>
      <w:r w:rsidR="00C15755">
        <w:t xml:space="preserve"> </w:t>
      </w:r>
      <w:r w:rsidR="003B5D07">
        <w:t>GO </w:t>
      </w:r>
      <w:r w:rsidR="00C15755">
        <w:t>131-D</w:t>
      </w:r>
      <w:r>
        <w:t xml:space="preserve"> provides specific direction</w:t>
      </w:r>
      <w:r w:rsidR="00C15755">
        <w:t xml:space="preserve"> to resolve </w:t>
      </w:r>
      <w:r>
        <w:t xml:space="preserve">PTC exemption-related </w:t>
      </w:r>
      <w:r w:rsidR="00106269">
        <w:t xml:space="preserve">advice letter </w:t>
      </w:r>
      <w:r w:rsidR="00C15755">
        <w:t>protests</w:t>
      </w:r>
      <w:r w:rsidR="009460D4">
        <w:t xml:space="preserve">, </w:t>
      </w:r>
      <w:r w:rsidR="003B5D07">
        <w:t>GO </w:t>
      </w:r>
      <w:r w:rsidRPr="00883D30" w:rsidR="00883D30">
        <w:t>96-B</w:t>
      </w:r>
      <w:r w:rsidR="00795591">
        <w:t xml:space="preserve"> General</w:t>
      </w:r>
      <w:r w:rsidR="00C15755">
        <w:t xml:space="preserve"> </w:t>
      </w:r>
      <w:r w:rsidRPr="00883D30" w:rsidR="00883D30">
        <w:t xml:space="preserve">Rule 7.6.2 </w:t>
      </w:r>
      <w:r>
        <w:t>provides</w:t>
      </w:r>
      <w:r w:rsidR="00795591">
        <w:t xml:space="preserve"> broad direction on </w:t>
      </w:r>
      <w:r w:rsidRPr="00883D30" w:rsidR="00883D30">
        <w:t xml:space="preserve">disposition of protests </w:t>
      </w:r>
      <w:r w:rsidR="00106269">
        <w:t>through Commissioner voting and approval</w:t>
      </w:r>
      <w:r w:rsidRPr="00883D30" w:rsidR="00883D30">
        <w:t xml:space="preserve"> </w:t>
      </w:r>
      <w:r w:rsidR="00795591">
        <w:t xml:space="preserve">at business meetings. </w:t>
      </w:r>
      <w:r w:rsidR="00106269">
        <w:t xml:space="preserve">Alternatively, </w:t>
      </w:r>
      <w:r w:rsidR="009460D4">
        <w:t>Staff</w:t>
      </w:r>
      <w:r w:rsidR="00106269">
        <w:t xml:space="preserve"> is also delegated authority to </w:t>
      </w:r>
      <w:r w:rsidRPr="00883D30" w:rsidR="00883D30">
        <w:t xml:space="preserve">approve or reject </w:t>
      </w:r>
      <w:r w:rsidR="009460D4">
        <w:t xml:space="preserve">advice letter </w:t>
      </w:r>
      <w:r w:rsidRPr="00883D30" w:rsidR="00883D30">
        <w:t>protests</w:t>
      </w:r>
      <w:r w:rsidR="00106269">
        <w:t>,</w:t>
      </w:r>
      <w:r w:rsidRPr="00106269" w:rsidR="00106269">
        <w:t xml:space="preserve"> </w:t>
      </w:r>
      <w:r w:rsidR="00106269">
        <w:t xml:space="preserve">pursuant to </w:t>
      </w:r>
      <w:r w:rsidR="003B5D07">
        <w:t>GO </w:t>
      </w:r>
      <w:r w:rsidRPr="00883D30" w:rsidR="00106269">
        <w:t>96-B</w:t>
      </w:r>
      <w:r w:rsidR="00106269">
        <w:t xml:space="preserve"> </w:t>
      </w:r>
      <w:r w:rsidRPr="00883D30" w:rsidR="00106269">
        <w:t>General Rules 5.3,</w:t>
      </w:r>
      <w:r w:rsidR="00106269">
        <w:t xml:space="preserve"> </w:t>
      </w:r>
      <w:r w:rsidRPr="00883D30" w:rsidR="00106269">
        <w:t>7.5.1, or 7.6.1</w:t>
      </w:r>
      <w:r w:rsidR="00106269">
        <w:t xml:space="preserve">. </w:t>
      </w:r>
    </w:p>
    <w:p w:rsidR="00CC74F9" w:rsidP="00CC74F9" w:rsidRDefault="00814454" w14:paraId="26113824" w14:textId="77777777">
      <w:pPr>
        <w:pStyle w:val="Standard"/>
      </w:pPr>
      <w:r>
        <w:t>The</w:t>
      </w:r>
      <w:r w:rsidR="00106269">
        <w:t xml:space="preserve"> Settl</w:t>
      </w:r>
      <w:r>
        <w:t xml:space="preserve">ing </w:t>
      </w:r>
      <w:r w:rsidR="00106269">
        <w:t xml:space="preserve">Parties contend </w:t>
      </w:r>
      <w:r w:rsidR="00154FD7">
        <w:t>that</w:t>
      </w:r>
      <w:r w:rsidRPr="00883D30" w:rsidR="00883D30">
        <w:t xml:space="preserve"> </w:t>
      </w:r>
      <w:r w:rsidRPr="00883D30" w:rsidR="00D40CAB">
        <w:t xml:space="preserve">construction of critical </w:t>
      </w:r>
      <w:r w:rsidR="00D40CAB">
        <w:t xml:space="preserve">transmission </w:t>
      </w:r>
      <w:r w:rsidRPr="00883D30" w:rsidR="00D40CAB">
        <w:t>projects</w:t>
      </w:r>
      <w:r w:rsidR="00D40CAB">
        <w:t xml:space="preserve"> </w:t>
      </w:r>
      <w:r w:rsidR="00955D6D">
        <w:t>may</w:t>
      </w:r>
      <w:r w:rsidR="00D40CAB">
        <w:t xml:space="preserve"> be delayed</w:t>
      </w:r>
      <w:r w:rsidRPr="00883D30" w:rsidR="00D40CAB">
        <w:t xml:space="preserve"> by several months</w:t>
      </w:r>
      <w:r w:rsidR="00D40CAB">
        <w:t xml:space="preserve"> </w:t>
      </w:r>
      <w:r w:rsidR="00955D6D">
        <w:t xml:space="preserve">due to the Commission’s </w:t>
      </w:r>
      <w:r w:rsidR="00FD5076">
        <w:t>lengthy</w:t>
      </w:r>
      <w:r w:rsidR="00955D6D">
        <w:t xml:space="preserve"> process </w:t>
      </w:r>
      <w:r w:rsidR="00FD5076">
        <w:t xml:space="preserve">for </w:t>
      </w:r>
      <w:r w:rsidR="00D40CAB">
        <w:t>dispos</w:t>
      </w:r>
      <w:r w:rsidR="00FD5076">
        <w:t>ition</w:t>
      </w:r>
      <w:r w:rsidR="00955D6D">
        <w:t xml:space="preserve"> of</w:t>
      </w:r>
      <w:r w:rsidR="00D40CAB">
        <w:t xml:space="preserve"> </w:t>
      </w:r>
      <w:r w:rsidRPr="00883D30" w:rsidR="00D40CAB">
        <w:t>advice letter</w:t>
      </w:r>
      <w:r w:rsidR="00D40CAB">
        <w:t xml:space="preserve"> protests</w:t>
      </w:r>
      <w:r w:rsidR="00955D6D">
        <w:t xml:space="preserve">. </w:t>
      </w:r>
      <w:r w:rsidR="00FD5076">
        <w:t xml:space="preserve">According </w:t>
      </w:r>
      <w:r w:rsidR="004F7A4C">
        <w:t xml:space="preserve">to </w:t>
      </w:r>
      <w:r w:rsidR="00FD5076">
        <w:t xml:space="preserve">the </w:t>
      </w:r>
      <w:r>
        <w:t xml:space="preserve">Settling </w:t>
      </w:r>
      <w:r w:rsidR="00FD5076">
        <w:t xml:space="preserve">Parties, this process may require an extended period for </w:t>
      </w:r>
      <w:r w:rsidR="00955D6D">
        <w:t xml:space="preserve">Staff </w:t>
      </w:r>
      <w:r w:rsidR="00FD5076">
        <w:t>to e</w:t>
      </w:r>
      <w:r w:rsidR="00955D6D">
        <w:t>valuat</w:t>
      </w:r>
      <w:r w:rsidR="00FD5076">
        <w:t xml:space="preserve">e the </w:t>
      </w:r>
      <w:r w:rsidR="003C47A6">
        <w:t xml:space="preserve">advice letter </w:t>
      </w:r>
      <w:r w:rsidR="00FD5076">
        <w:t xml:space="preserve">protest and </w:t>
      </w:r>
      <w:r w:rsidR="00955D6D">
        <w:t>place</w:t>
      </w:r>
      <w:r w:rsidR="00FD5076">
        <w:t xml:space="preserve"> a resolution </w:t>
      </w:r>
      <w:r w:rsidR="003C47A6">
        <w:t xml:space="preserve">that disposes of the matter </w:t>
      </w:r>
      <w:r w:rsidR="00FD5076">
        <w:t>on a Commission meeting agenda</w:t>
      </w:r>
      <w:r w:rsidR="00D672A4">
        <w:t xml:space="preserve">, where it is </w:t>
      </w:r>
      <w:r w:rsidR="00FD5076">
        <w:t>subject to Commissioner vote</w:t>
      </w:r>
      <w:r w:rsidR="00CC74F9">
        <w:t xml:space="preserve">. To address this concern, the </w:t>
      </w:r>
      <w:r>
        <w:t>Settling</w:t>
      </w:r>
      <w:r w:rsidR="00CC74F9">
        <w:t xml:space="preserve"> Parties put forth a proposal that </w:t>
      </w:r>
      <w:r w:rsidR="008223B5">
        <w:t xml:space="preserve">they assert </w:t>
      </w:r>
      <w:r w:rsidR="00CC74F9">
        <w:t>would streamline this process</w:t>
      </w:r>
      <w:r w:rsidR="0099766C">
        <w:t xml:space="preserve"> that </w:t>
      </w:r>
      <w:r w:rsidR="00955D6D">
        <w:t xml:space="preserve">we </w:t>
      </w:r>
      <w:r w:rsidR="0099766C">
        <w:t>will now review.</w:t>
      </w:r>
    </w:p>
    <w:p w:rsidR="00CC74F9" w:rsidP="0040311A" w:rsidRDefault="00B90B6C" w14:paraId="7DA38501" w14:textId="77777777">
      <w:pPr>
        <w:pStyle w:val="Standard"/>
      </w:pPr>
      <w:r>
        <w:t>In the Settlement Agreement, t</w:t>
      </w:r>
      <w:r w:rsidR="0099766C">
        <w:t>he</w:t>
      </w:r>
      <w:r w:rsidRPr="00883D30" w:rsidR="0099766C">
        <w:t xml:space="preserve"> </w:t>
      </w:r>
      <w:r w:rsidR="00814454">
        <w:t xml:space="preserve">Settling </w:t>
      </w:r>
      <w:r w:rsidR="0099766C">
        <w:t>P</w:t>
      </w:r>
      <w:r w:rsidRPr="00883D30" w:rsidR="0099766C">
        <w:t xml:space="preserve">arties </w:t>
      </w:r>
      <w:r w:rsidR="00955D6D">
        <w:t xml:space="preserve">propose </w:t>
      </w:r>
      <w:r w:rsidR="004A187D">
        <w:t xml:space="preserve">revisions to </w:t>
      </w:r>
      <w:r w:rsidR="00DC14AC">
        <w:t>Section </w:t>
      </w:r>
      <w:r w:rsidRPr="00883D30" w:rsidR="0099766C">
        <w:t xml:space="preserve">XIII </w:t>
      </w:r>
      <w:r w:rsidR="00856C2A">
        <w:t xml:space="preserve">of GO 131-D </w:t>
      </w:r>
      <w:r w:rsidR="004A187D">
        <w:t>t</w:t>
      </w:r>
      <w:r w:rsidR="00D672A4">
        <w:t>hat</w:t>
      </w:r>
      <w:r w:rsidR="0099766C">
        <w:t xml:space="preserve"> </w:t>
      </w:r>
      <w:r w:rsidR="004A187D">
        <w:t xml:space="preserve">authorizes </w:t>
      </w:r>
      <w:r w:rsidR="00955D6D">
        <w:t xml:space="preserve">Staff </w:t>
      </w:r>
      <w:r w:rsidR="00D672A4">
        <w:t xml:space="preserve">to </w:t>
      </w:r>
      <w:r w:rsidRPr="00883D30" w:rsidR="0099766C">
        <w:t>dispos</w:t>
      </w:r>
      <w:r w:rsidR="00D672A4">
        <w:t xml:space="preserve">e </w:t>
      </w:r>
      <w:r w:rsidRPr="00883D30" w:rsidR="0099766C">
        <w:t>all protests</w:t>
      </w:r>
      <w:r w:rsidR="004A187D">
        <w:t xml:space="preserve"> of advice letters that concern PTC-exempt projects, </w:t>
      </w:r>
      <w:r w:rsidRPr="00883D30" w:rsidR="0099766C">
        <w:t xml:space="preserve">despite </w:t>
      </w:r>
      <w:r w:rsidR="004A187D">
        <w:t>specific</w:t>
      </w:r>
      <w:r w:rsidRPr="00883D30" w:rsidR="0099766C">
        <w:t xml:space="preserve"> direction </w:t>
      </w:r>
      <w:r w:rsidR="004A187D">
        <w:t xml:space="preserve">provided in </w:t>
      </w:r>
      <w:r w:rsidR="003B5D07">
        <w:t>GO </w:t>
      </w:r>
      <w:r w:rsidRPr="00883D30" w:rsidR="0099766C">
        <w:t>96-B</w:t>
      </w:r>
      <w:r w:rsidR="004A187D">
        <w:t xml:space="preserve"> that delegat</w:t>
      </w:r>
      <w:r w:rsidR="00F90FDA">
        <w:t>ion</w:t>
      </w:r>
      <w:r w:rsidR="004A187D">
        <w:t xml:space="preserve"> </w:t>
      </w:r>
      <w:r w:rsidR="00F90FDA">
        <w:t xml:space="preserve">of </w:t>
      </w:r>
      <w:r w:rsidR="004A187D">
        <w:t xml:space="preserve">such authority </w:t>
      </w:r>
      <w:r w:rsidR="00F90FDA">
        <w:t xml:space="preserve">to Staff is contingent upon satisfying requirements specified in </w:t>
      </w:r>
      <w:r w:rsidRPr="00883D30" w:rsidR="00F90FDA">
        <w:t>General Rules 5.3,</w:t>
      </w:r>
      <w:r w:rsidR="00F90FDA">
        <w:t xml:space="preserve"> </w:t>
      </w:r>
      <w:r w:rsidRPr="00883D30" w:rsidR="00F90FDA">
        <w:t>7.5.1, or 7.6.1</w:t>
      </w:r>
      <w:r w:rsidR="00F90FDA">
        <w:t xml:space="preserve">. In lieu of adhering to </w:t>
      </w:r>
      <w:r w:rsidR="003B5D07">
        <w:lastRenderedPageBreak/>
        <w:t>GO </w:t>
      </w:r>
      <w:r w:rsidR="00F90FDA">
        <w:t xml:space="preserve">96-B rules, the </w:t>
      </w:r>
      <w:r w:rsidR="00814454">
        <w:t>Settling</w:t>
      </w:r>
      <w:r w:rsidR="00F90FDA">
        <w:t xml:space="preserve"> P</w:t>
      </w:r>
      <w:r w:rsidRPr="00883D30" w:rsidR="00CC74F9">
        <w:t xml:space="preserve">arties </w:t>
      </w:r>
      <w:r w:rsidR="00F90FDA">
        <w:t>suggest that</w:t>
      </w:r>
      <w:r w:rsidRPr="00883D30" w:rsidR="00CC74F9">
        <w:t xml:space="preserve"> </w:t>
      </w:r>
      <w:r w:rsidR="00F90FDA">
        <w:t xml:space="preserve">resolution of these </w:t>
      </w:r>
      <w:r w:rsidRPr="00883D30" w:rsidR="00CC74F9">
        <w:t>protests</w:t>
      </w:r>
      <w:r w:rsidR="00F90FDA">
        <w:t xml:space="preserve"> should</w:t>
      </w:r>
      <w:r w:rsidR="00FC5CBB">
        <w:t xml:space="preserve"> follow direction provided in </w:t>
      </w:r>
      <w:r w:rsidRPr="00883D30" w:rsidR="00CC74F9">
        <w:t>Rule 2.6</w:t>
      </w:r>
      <w:r w:rsidR="00FC5CBB">
        <w:t xml:space="preserve">. which </w:t>
      </w:r>
      <w:r w:rsidRPr="00883D30" w:rsidR="00CC74F9">
        <w:t xml:space="preserve">establishes procedures for protests of applications </w:t>
      </w:r>
      <w:r w:rsidR="0099766C">
        <w:t>not</w:t>
      </w:r>
      <w:r w:rsidRPr="00883D30" w:rsidR="00CC74F9">
        <w:t xml:space="preserve"> advice letters.</w:t>
      </w:r>
      <w:r w:rsidR="00FC5CBB">
        <w:rPr>
          <w:rStyle w:val="FootnoteReference"/>
        </w:rPr>
        <w:footnoteReference w:id="223"/>
      </w:r>
    </w:p>
    <w:p w:rsidRPr="00CC74F9" w:rsidR="009B42F4" w:rsidP="0040311A" w:rsidRDefault="009B42F4" w14:paraId="053285F5" w14:textId="77777777">
      <w:pPr>
        <w:pStyle w:val="Standard"/>
      </w:pPr>
      <w:r>
        <w:t xml:space="preserve">Prior to the passage of AB 551, Staff offered two proposals for the Commission to dispose of protests to advice letters. </w:t>
      </w:r>
    </w:p>
    <w:p w:rsidRPr="00434BA6" w:rsidR="00FC5CBB" w:rsidP="00354117" w:rsidRDefault="00FC5CBB" w14:paraId="7E49AE97" w14:textId="77777777">
      <w:pPr>
        <w:pStyle w:val="Standard"/>
      </w:pPr>
      <w:r>
        <w:t xml:space="preserve">Staff Proposal </w:t>
      </w:r>
      <w:r w:rsidR="00DC14AC">
        <w:t>Section </w:t>
      </w:r>
      <w:r w:rsidR="00BC4D88">
        <w:t xml:space="preserve">3.4, Proposal </w:t>
      </w:r>
      <w:r w:rsidR="00354117">
        <w:t>1</w:t>
      </w:r>
      <w:r w:rsidRPr="64DEED12" w:rsidR="00354117">
        <w:rPr>
          <w:rFonts w:ascii="Garamond" w:hAnsi="Garamond" w:cs="Garamond"/>
          <w:sz w:val="24"/>
          <w:szCs w:val="24"/>
        </w:rPr>
        <w:t xml:space="preserve"> </w:t>
      </w:r>
      <w:r w:rsidR="00354117">
        <w:t xml:space="preserve">would retain the Executive Resolution process as described in </w:t>
      </w:r>
      <w:r w:rsidR="00DC14AC">
        <w:t>Section </w:t>
      </w:r>
      <w:r w:rsidR="00354117">
        <w:t xml:space="preserve">XIII of </w:t>
      </w:r>
      <w:r w:rsidR="003B5D07">
        <w:t>GO </w:t>
      </w:r>
      <w:r w:rsidR="00354117">
        <w:t xml:space="preserve">131-D but would amend </w:t>
      </w:r>
      <w:r w:rsidR="00DC14AC">
        <w:t>Section </w:t>
      </w:r>
      <w:r w:rsidR="00354117">
        <w:t xml:space="preserve">XIII to clarify that protesters may request Commission review of the </w:t>
      </w:r>
      <w:r w:rsidRPr="00434BA6" w:rsidR="00354117">
        <w:t xml:space="preserve">Executive Director’s or Energy Division’s disposition of an advice letter pursuant to </w:t>
      </w:r>
      <w:r w:rsidR="003B5D07">
        <w:t>GO </w:t>
      </w:r>
      <w:r w:rsidRPr="00434BA6" w:rsidR="00354117">
        <w:t>96-B, General Rule 7.6.3.</w:t>
      </w:r>
      <w:r w:rsidRPr="00434BA6" w:rsidR="007C394B">
        <w:t xml:space="preserve"> </w:t>
      </w:r>
    </w:p>
    <w:p w:rsidRPr="00434BA6" w:rsidR="00354117" w:rsidP="00C95AED" w:rsidRDefault="00771538" w14:paraId="6BBBC599" w14:textId="77777777">
      <w:pPr>
        <w:pStyle w:val="Standard"/>
      </w:pPr>
      <w:r w:rsidRPr="00434BA6">
        <w:t xml:space="preserve">Staff Proposal </w:t>
      </w:r>
      <w:r w:rsidR="00DC14AC">
        <w:t>Section </w:t>
      </w:r>
      <w:r w:rsidRPr="00434BA6">
        <w:t xml:space="preserve">3.4, </w:t>
      </w:r>
      <w:r w:rsidRPr="00434BA6" w:rsidR="00C95AED">
        <w:t>Staff Proposal 2</w:t>
      </w:r>
      <w:r w:rsidRPr="00434BA6" w:rsidR="00354117">
        <w:t xml:space="preserve"> would make no changes to </w:t>
      </w:r>
      <w:r w:rsidR="00DC14AC">
        <w:t>Section </w:t>
      </w:r>
      <w:r w:rsidRPr="00434BA6" w:rsidR="00354117">
        <w:t xml:space="preserve">XIII of </w:t>
      </w:r>
      <w:r w:rsidR="003B5D07">
        <w:t>GO </w:t>
      </w:r>
      <w:r w:rsidRPr="00434BA6" w:rsidR="00354117">
        <w:t xml:space="preserve">131-D, </w:t>
      </w:r>
      <w:r w:rsidRPr="00434BA6" w:rsidR="00C95AED">
        <w:t xml:space="preserve">which </w:t>
      </w:r>
      <w:r w:rsidRPr="00434BA6" w:rsidR="00354117">
        <w:t>retain</w:t>
      </w:r>
      <w:r w:rsidRPr="00434BA6" w:rsidR="00C95AED">
        <w:t>s</w:t>
      </w:r>
      <w:r w:rsidRPr="00434BA6" w:rsidR="00354117">
        <w:t xml:space="preserve"> the Executive Resolution</w:t>
      </w:r>
      <w:r w:rsidRPr="00434BA6" w:rsidR="00C95AED">
        <w:t xml:space="preserve"> </w:t>
      </w:r>
      <w:r w:rsidRPr="00434BA6" w:rsidR="00354117">
        <w:t xml:space="preserve">process as recommended by the </w:t>
      </w:r>
      <w:r w:rsidRPr="00434BA6" w:rsidR="00C95AED">
        <w:t>S</w:t>
      </w:r>
      <w:r w:rsidRPr="00434BA6" w:rsidR="00354117">
        <w:t xml:space="preserve">ettling </w:t>
      </w:r>
      <w:r w:rsidRPr="00434BA6" w:rsidR="00C95AED">
        <w:t>P</w:t>
      </w:r>
      <w:r w:rsidRPr="00434BA6" w:rsidR="00354117">
        <w:t>arties in the</w:t>
      </w:r>
      <w:r w:rsidRPr="00434BA6" w:rsidR="00C95AED">
        <w:t xml:space="preserve"> </w:t>
      </w:r>
      <w:r w:rsidRPr="00434BA6" w:rsidR="00354117">
        <w:t>Settlement</w:t>
      </w:r>
      <w:r w:rsidRPr="00434BA6" w:rsidR="00C95AED">
        <w:t xml:space="preserve"> </w:t>
      </w:r>
      <w:r w:rsidRPr="00434BA6" w:rsidR="00354117">
        <w:t>Agreement.</w:t>
      </w:r>
    </w:p>
    <w:p w:rsidRPr="00D07554" w:rsidR="00D07554" w:rsidP="007C394B" w:rsidRDefault="00D07554" w14:paraId="1D986A68" w14:textId="77777777">
      <w:pPr>
        <w:pStyle w:val="Standard"/>
      </w:pPr>
      <w:r w:rsidRPr="00434BA6">
        <w:t xml:space="preserve">Cal Advocates and </w:t>
      </w:r>
      <w:r w:rsidR="001524A1">
        <w:t>Transmission Owners</w:t>
      </w:r>
      <w:r w:rsidRPr="00434BA6">
        <w:t xml:space="preserve"> support </w:t>
      </w:r>
      <w:r w:rsidRPr="00434BA6" w:rsidR="0099243C">
        <w:t xml:space="preserve">Staff Proposal </w:t>
      </w:r>
      <w:r w:rsidR="0099243C">
        <w:t>Section </w:t>
      </w:r>
      <w:r w:rsidRPr="00434BA6" w:rsidR="0099243C">
        <w:t xml:space="preserve">3.4, </w:t>
      </w:r>
      <w:r w:rsidRPr="00434BA6">
        <w:t>Proposal 1</w:t>
      </w:r>
      <w:r w:rsidRPr="00434BA6" w:rsidR="007C394B">
        <w:t>.</w:t>
      </w:r>
      <w:r w:rsidRPr="00434BA6" w:rsidR="007C394B">
        <w:rPr>
          <w:rStyle w:val="FootnoteReference"/>
        </w:rPr>
        <w:footnoteReference w:id="224"/>
      </w:r>
      <w:r w:rsidRPr="00434BA6">
        <w:t xml:space="preserve"> CEERT opposes </w:t>
      </w:r>
      <w:r w:rsidRPr="00434BA6" w:rsidR="0007451A">
        <w:t xml:space="preserve">Staff Proposal </w:t>
      </w:r>
      <w:r w:rsidR="0007451A">
        <w:t>Section </w:t>
      </w:r>
      <w:r w:rsidRPr="00434BA6" w:rsidR="0007451A">
        <w:t xml:space="preserve">3.4, </w:t>
      </w:r>
      <w:r w:rsidRPr="00434BA6">
        <w:t>Proposal 1</w:t>
      </w:r>
      <w:r w:rsidRPr="00434BA6" w:rsidR="4A9C9430">
        <w:t xml:space="preserve"> b</w:t>
      </w:r>
      <w:r w:rsidRPr="00434BA6" w:rsidR="37473E04">
        <w:t>ecause</w:t>
      </w:r>
      <w:r w:rsidRPr="00434BA6" w:rsidR="109DA51F">
        <w:t xml:space="preserve"> </w:t>
      </w:r>
      <w:r w:rsidR="00133F03">
        <w:t xml:space="preserve">they contend that </w:t>
      </w:r>
      <w:r w:rsidRPr="00434BA6" w:rsidR="109DA51F">
        <w:t xml:space="preserve">it would </w:t>
      </w:r>
      <w:r w:rsidRPr="00434BA6" w:rsidR="39389570">
        <w:t xml:space="preserve">not comport with </w:t>
      </w:r>
      <w:r w:rsidR="00DC14AC">
        <w:t>SB </w:t>
      </w:r>
      <w:r w:rsidRPr="00434BA6" w:rsidR="39389570">
        <w:t>529’s intent to accelerate the Commission’s permitting process</w:t>
      </w:r>
      <w:r w:rsidRPr="00434BA6" w:rsidR="4743E990">
        <w:t>.</w:t>
      </w:r>
      <w:r w:rsidRPr="00434BA6" w:rsidR="007C394B">
        <w:rPr>
          <w:rStyle w:val="FootnoteReference"/>
        </w:rPr>
        <w:footnoteReference w:id="225"/>
      </w:r>
      <w:r w:rsidRPr="00434BA6" w:rsidR="4743E990">
        <w:t xml:space="preserve"> </w:t>
      </w:r>
      <w:r w:rsidRPr="00434BA6">
        <w:t xml:space="preserve">PG&amp;E, SCE, and SDG&amp;E propose modifications to </w:t>
      </w:r>
      <w:r w:rsidR="003B5D07">
        <w:t>GO </w:t>
      </w:r>
      <w:r w:rsidRPr="00434BA6">
        <w:t>131-D</w:t>
      </w:r>
      <w:r w:rsidR="00856C2A">
        <w:t>,</w:t>
      </w:r>
      <w:r w:rsidRPr="00434BA6">
        <w:t xml:space="preserve"> </w:t>
      </w:r>
      <w:r w:rsidR="00DC14AC">
        <w:t>Section </w:t>
      </w:r>
      <w:r w:rsidRPr="00434BA6">
        <w:t>XII</w:t>
      </w:r>
      <w:r w:rsidRPr="00434BA6" w:rsidR="00C95AED">
        <w:t>I</w:t>
      </w:r>
      <w:r w:rsidR="00856C2A">
        <w:t>,</w:t>
      </w:r>
      <w:r w:rsidRPr="00434BA6">
        <w:t xml:space="preserve"> that impose a 90-day </w:t>
      </w:r>
      <w:r w:rsidRPr="00434BA6" w:rsidR="00546902">
        <w:t>timeline</w:t>
      </w:r>
      <w:r w:rsidRPr="00434BA6">
        <w:t xml:space="preserve"> for the Commission to review and dispose of the advice letter protest</w:t>
      </w:r>
      <w:r w:rsidRPr="00434BA6" w:rsidR="00546902">
        <w:t xml:space="preserve">, during which the advice letter would take effect under the disposition letter pending review. Further, PG&amp;E, SCE, and SDG&amp;E </w:t>
      </w:r>
      <w:r w:rsidRPr="00434BA6" w:rsidR="0040311A">
        <w:t xml:space="preserve">suggest </w:t>
      </w:r>
      <w:r w:rsidRPr="00434BA6" w:rsidR="00B21931">
        <w:t xml:space="preserve">that a </w:t>
      </w:r>
      <w:r w:rsidRPr="00434BA6" w:rsidR="0040311A">
        <w:t>“</w:t>
      </w:r>
      <w:r w:rsidRPr="00434BA6" w:rsidR="00546902">
        <w:t>third-party with interest in the relief sought by the advice letter</w:t>
      </w:r>
      <w:r w:rsidRPr="00434BA6" w:rsidR="0040311A">
        <w:t xml:space="preserve">” versus </w:t>
      </w:r>
      <w:r w:rsidRPr="00434BA6" w:rsidR="00B21931">
        <w:t>a generic</w:t>
      </w:r>
      <w:r w:rsidRPr="00434BA6" w:rsidR="0040311A">
        <w:t xml:space="preserve"> </w:t>
      </w:r>
      <w:r w:rsidRPr="00434BA6" w:rsidR="00B21931">
        <w:t>“</w:t>
      </w:r>
      <w:r w:rsidRPr="00434BA6" w:rsidR="0040311A">
        <w:t>entity</w:t>
      </w:r>
      <w:r w:rsidRPr="00434BA6" w:rsidR="00B21931">
        <w:t>”</w:t>
      </w:r>
      <w:r w:rsidRPr="00434BA6" w:rsidR="00546902">
        <w:t xml:space="preserve"> may request </w:t>
      </w:r>
      <w:r w:rsidRPr="00434BA6" w:rsidR="00B21931">
        <w:t xml:space="preserve">the </w:t>
      </w:r>
      <w:r w:rsidRPr="00434BA6" w:rsidR="00546902">
        <w:lastRenderedPageBreak/>
        <w:t>Commission</w:t>
      </w:r>
      <w:r w:rsidRPr="00434BA6" w:rsidR="00B21931">
        <w:t xml:space="preserve">’s </w:t>
      </w:r>
      <w:r w:rsidRPr="00434BA6" w:rsidR="00546902">
        <w:t>Executive Director</w:t>
      </w:r>
      <w:r w:rsidRPr="00434BA6" w:rsidR="00B21931">
        <w:t xml:space="preserve"> </w:t>
      </w:r>
      <w:r w:rsidRPr="00434BA6" w:rsidR="00546902">
        <w:t>or Staff</w:t>
      </w:r>
      <w:r w:rsidRPr="00434BA6" w:rsidR="00B21931">
        <w:t xml:space="preserve"> to</w:t>
      </w:r>
      <w:r w:rsidRPr="00434BA6" w:rsidR="00546902">
        <w:t xml:space="preserve"> dispos</w:t>
      </w:r>
      <w:r w:rsidRPr="00434BA6" w:rsidR="00B21931">
        <w:t>e the</w:t>
      </w:r>
      <w:r w:rsidRPr="00434BA6" w:rsidR="00546902">
        <w:t xml:space="preserve"> advice l</w:t>
      </w:r>
      <w:r w:rsidRPr="00434BA6" w:rsidR="00B21931">
        <w:t xml:space="preserve">etter protest </w:t>
      </w:r>
      <w:r w:rsidRPr="00434BA6" w:rsidR="00546902">
        <w:t xml:space="preserve">pursuant to </w:t>
      </w:r>
      <w:r w:rsidR="003B5D07">
        <w:t>GO </w:t>
      </w:r>
      <w:r w:rsidRPr="00434BA6" w:rsidR="00546902">
        <w:t>96-B, General Rule 7.6.3 (or a successor regulation).</w:t>
      </w:r>
      <w:r w:rsidRPr="00434BA6" w:rsidR="0040311A">
        <w:rPr>
          <w:rStyle w:val="FootnoteReference"/>
        </w:rPr>
        <w:footnoteReference w:id="226"/>
      </w:r>
    </w:p>
    <w:p w:rsidR="00B947C8" w:rsidP="0091010A" w:rsidRDefault="09EDBAAA" w14:paraId="7B36D9F1" w14:textId="77777777">
      <w:pPr>
        <w:pStyle w:val="Standard"/>
      </w:pPr>
      <w:r w:rsidRPr="00822243">
        <w:t xml:space="preserve">We </w:t>
      </w:r>
      <w:r w:rsidRPr="00822243" w:rsidR="003C77B2">
        <w:t>are not persuaded by</w:t>
      </w:r>
      <w:r w:rsidRPr="00822243" w:rsidR="5E5E1A8B">
        <w:t xml:space="preserve"> PG&amp;E, SCE, </w:t>
      </w:r>
      <w:r w:rsidRPr="00822243" w:rsidR="000E48FE">
        <w:t xml:space="preserve">and </w:t>
      </w:r>
      <w:r w:rsidRPr="00822243" w:rsidR="5E5E1A8B">
        <w:t>SDG&amp;E</w:t>
      </w:r>
      <w:r w:rsidRPr="00822243" w:rsidR="4B344EDC">
        <w:t xml:space="preserve"> that</w:t>
      </w:r>
      <w:r w:rsidRPr="00822243" w:rsidR="5E5E1A8B">
        <w:t xml:space="preserve"> </w:t>
      </w:r>
      <w:r w:rsidRPr="00822243" w:rsidR="41372D20">
        <w:t xml:space="preserve">resolution </w:t>
      </w:r>
      <w:r w:rsidRPr="00822243" w:rsidR="4B344EDC">
        <w:t xml:space="preserve">of an </w:t>
      </w:r>
      <w:r w:rsidRPr="00822243" w:rsidDel="4B344EDC" w:rsidR="00FA7A3E">
        <w:t xml:space="preserve">advice letter </w:t>
      </w:r>
      <w:r w:rsidRPr="00822243" w:rsidR="4B344EDC">
        <w:t xml:space="preserve">protest </w:t>
      </w:r>
      <w:r w:rsidRPr="00822243" w:rsidR="72C9AA5F">
        <w:t xml:space="preserve">must be </w:t>
      </w:r>
      <w:r w:rsidRPr="00822243" w:rsidR="2EE76B07">
        <w:t xml:space="preserve">achieved </w:t>
      </w:r>
      <w:r w:rsidRPr="00822243" w:rsidR="4B344EDC">
        <w:t>within 90 days.</w:t>
      </w:r>
      <w:r w:rsidRPr="00822243" w:rsidR="5E5E1A8B">
        <w:t xml:space="preserve"> </w:t>
      </w:r>
      <w:bookmarkStart w:name="_Hlk181884687" w:id="175"/>
      <w:r w:rsidRPr="00822243" w:rsidR="00A52C6C">
        <w:t xml:space="preserve">We </w:t>
      </w:r>
      <w:r w:rsidRPr="00822243" w:rsidR="5E5E1A8B">
        <w:t xml:space="preserve">acknowledge that </w:t>
      </w:r>
      <w:r w:rsidRPr="00822243" w:rsidR="0BE475FE">
        <w:t>90</w:t>
      </w:r>
      <w:r w:rsidR="005A58BA">
        <w:t> </w:t>
      </w:r>
      <w:r w:rsidRPr="00822243" w:rsidR="0BE475FE">
        <w:t xml:space="preserve">days </w:t>
      </w:r>
      <w:r w:rsidRPr="00822243" w:rsidR="66C19961">
        <w:t xml:space="preserve">may not be an adequate period </w:t>
      </w:r>
      <w:r w:rsidRPr="00822243" w:rsidR="5E5E1A8B">
        <w:t>for</w:t>
      </w:r>
      <w:r w:rsidRPr="00822243" w:rsidR="0BE475FE">
        <w:t xml:space="preserve"> </w:t>
      </w:r>
      <w:r w:rsidRPr="00822243" w:rsidR="5E5E1A8B">
        <w:t>S</w:t>
      </w:r>
      <w:r w:rsidRPr="00822243" w:rsidR="0BE475FE">
        <w:t>taff to draft a</w:t>
      </w:r>
      <w:r w:rsidRPr="00822243" w:rsidR="49FD5C59">
        <w:t>nd prioritize</w:t>
      </w:r>
      <w:r w:rsidRPr="00822243" w:rsidR="0BE475FE">
        <w:t xml:space="preserve"> resolution</w:t>
      </w:r>
      <w:r w:rsidRPr="00822243" w:rsidR="49FD5C59">
        <w:t>s</w:t>
      </w:r>
      <w:r w:rsidRPr="00822243" w:rsidR="0BE475FE">
        <w:t xml:space="preserve"> </w:t>
      </w:r>
      <w:r w:rsidRPr="00822243" w:rsidR="4B344EDC">
        <w:t xml:space="preserve">that dispose of either an advice letter or advice letter protest </w:t>
      </w:r>
      <w:r w:rsidRPr="00822243" w:rsidR="0BE475FE">
        <w:t xml:space="preserve">and </w:t>
      </w:r>
      <w:r w:rsidRPr="00822243" w:rsidR="4B344EDC">
        <w:t>then place it</w:t>
      </w:r>
      <w:r w:rsidRPr="00822243" w:rsidR="0BE475FE">
        <w:t xml:space="preserve"> on a</w:t>
      </w:r>
      <w:r w:rsidRPr="00822243" w:rsidR="4B344EDC">
        <w:t>n agenda for a</w:t>
      </w:r>
      <w:r w:rsidRPr="00822243" w:rsidR="0BE475FE">
        <w:t xml:space="preserve"> Commission voting agenda within approximately 50</w:t>
      </w:r>
      <w:r w:rsidR="005A58BA">
        <w:t> </w:t>
      </w:r>
      <w:r w:rsidRPr="00822243" w:rsidR="0BE475FE">
        <w:t>days.</w:t>
      </w:r>
      <w:bookmarkEnd w:id="175"/>
      <w:r w:rsidDel="4B344EDC" w:rsidR="00FA7A3E">
        <w:t xml:space="preserve"> </w:t>
      </w:r>
    </w:p>
    <w:p w:rsidRPr="00592223" w:rsidR="009B75BB" w:rsidP="009928B5" w:rsidRDefault="00400815" w14:paraId="0253DB4E" w14:textId="77777777">
      <w:pPr>
        <w:pStyle w:val="Standard"/>
      </w:pPr>
      <w:r>
        <w:t>W</w:t>
      </w:r>
      <w:r w:rsidR="00D546E8">
        <w:t xml:space="preserve">e </w:t>
      </w:r>
      <w:r w:rsidR="009916C0">
        <w:t>d</w:t>
      </w:r>
      <w:r>
        <w:t>ecline to</w:t>
      </w:r>
      <w:r w:rsidR="009916C0">
        <w:t xml:space="preserve"> adopt</w:t>
      </w:r>
      <w:r w:rsidRPr="006D2FE3" w:rsidR="007C394B">
        <w:t xml:space="preserve"> </w:t>
      </w:r>
      <w:r w:rsidR="005E1F57">
        <w:t xml:space="preserve">the </w:t>
      </w:r>
      <w:r w:rsidR="00CA683D">
        <w:t>S</w:t>
      </w:r>
      <w:r w:rsidRPr="006D2FE3" w:rsidR="007C394B">
        <w:t xml:space="preserve">ettling </w:t>
      </w:r>
      <w:r w:rsidR="00CA683D">
        <w:t>P</w:t>
      </w:r>
      <w:r w:rsidRPr="006D2FE3" w:rsidR="007C394B">
        <w:t>artie</w:t>
      </w:r>
      <w:r w:rsidR="00CA683D">
        <w:t xml:space="preserve">s’ proposal to </w:t>
      </w:r>
      <w:r w:rsidR="0064670D">
        <w:t xml:space="preserve">require compliance with </w:t>
      </w:r>
      <w:r w:rsidRPr="007C394B" w:rsidR="007C394B">
        <w:t>Rule 2.6</w:t>
      </w:r>
      <w:r w:rsidR="006A2B69">
        <w:t xml:space="preserve"> </w:t>
      </w:r>
      <w:r w:rsidR="0064670D">
        <w:t>to</w:t>
      </w:r>
      <w:r w:rsidR="00CA4B67">
        <w:t xml:space="preserve"> dispos</w:t>
      </w:r>
      <w:r w:rsidR="0064670D">
        <w:t>e</w:t>
      </w:r>
      <w:r w:rsidR="00CA4B67">
        <w:t xml:space="preserve"> of advice letter protests because this Rule</w:t>
      </w:r>
      <w:r w:rsidRPr="007C394B" w:rsidR="007C394B">
        <w:t xml:space="preserve"> </w:t>
      </w:r>
      <w:r w:rsidR="00B51003">
        <w:t xml:space="preserve">only </w:t>
      </w:r>
      <w:r w:rsidRPr="007C394B" w:rsidR="007C394B">
        <w:t xml:space="preserve">applies to </w:t>
      </w:r>
      <w:r w:rsidRPr="00592223" w:rsidR="008C0E6A">
        <w:t>protests</w:t>
      </w:r>
      <w:r w:rsidRPr="00592223" w:rsidR="00B51003">
        <w:t xml:space="preserve"> of</w:t>
      </w:r>
      <w:r w:rsidRPr="00592223" w:rsidR="008C0E6A">
        <w:t xml:space="preserve"> </w:t>
      </w:r>
      <w:r w:rsidRPr="00592223" w:rsidR="007C394B">
        <w:t xml:space="preserve">applications. </w:t>
      </w:r>
      <w:r w:rsidRPr="00592223" w:rsidR="00261EEC">
        <w:t>More</w:t>
      </w:r>
      <w:r w:rsidRPr="00592223" w:rsidR="00D546E8">
        <w:t xml:space="preserve"> importan</w:t>
      </w:r>
      <w:r w:rsidRPr="00592223" w:rsidR="00037232">
        <w:t>t</w:t>
      </w:r>
      <w:r w:rsidRPr="00592223" w:rsidR="00D546E8">
        <w:t>ly</w:t>
      </w:r>
      <w:r w:rsidRPr="00592223" w:rsidR="00261EEC">
        <w:t xml:space="preserve">, </w:t>
      </w:r>
      <w:r w:rsidRPr="00592223" w:rsidR="007C394B">
        <w:t>D.23-12-035</w:t>
      </w:r>
      <w:r w:rsidRPr="00592223" w:rsidR="009916C0">
        <w:t>,</w:t>
      </w:r>
      <w:r w:rsidRPr="00592223" w:rsidR="00EB24A2">
        <w:t xml:space="preserve"> </w:t>
      </w:r>
      <w:r w:rsidRPr="00592223" w:rsidR="00612B1D">
        <w:t>resolving Phase 1 issues</w:t>
      </w:r>
      <w:r w:rsidRPr="00592223" w:rsidDel="00612B1D" w:rsidR="009916C0">
        <w:t>,</w:t>
      </w:r>
      <w:r w:rsidRPr="00592223" w:rsidR="00EB24A2">
        <w:t xml:space="preserve"> </w:t>
      </w:r>
      <w:r w:rsidRPr="00592223" w:rsidR="007C394B">
        <w:t>require</w:t>
      </w:r>
      <w:r w:rsidRPr="00592223" w:rsidR="000B6997">
        <w:t>s</w:t>
      </w:r>
      <w:r w:rsidRPr="00592223" w:rsidR="007C394B">
        <w:t xml:space="preserve"> that </w:t>
      </w:r>
      <w:r w:rsidRPr="00592223" w:rsidR="00210156">
        <w:t xml:space="preserve">advice letter </w:t>
      </w:r>
      <w:r w:rsidRPr="00592223" w:rsidR="007C394B">
        <w:t xml:space="preserve">protests </w:t>
      </w:r>
      <w:r w:rsidRPr="00592223" w:rsidR="00EB24A2">
        <w:t xml:space="preserve">should </w:t>
      </w:r>
      <w:r w:rsidRPr="00592223" w:rsidR="007C394B">
        <w:t xml:space="preserve">be filed in accordance with </w:t>
      </w:r>
      <w:r w:rsidR="003B5D07">
        <w:t>GO </w:t>
      </w:r>
      <w:r w:rsidRPr="00592223" w:rsidR="007C394B">
        <w:t>96-B, Sections 3.11</w:t>
      </w:r>
      <w:r w:rsidR="007F2505">
        <w:t xml:space="preserve"> and</w:t>
      </w:r>
      <w:r w:rsidRPr="00592223" w:rsidR="007C394B">
        <w:t xml:space="preserve"> 7.4.1</w:t>
      </w:r>
      <w:r w:rsidRPr="00592223" w:rsidR="00CC15FC">
        <w:t xml:space="preserve">, and does not provide </w:t>
      </w:r>
      <w:r w:rsidRPr="00592223" w:rsidR="00D62ED2">
        <w:t xml:space="preserve">for the use of other rules </w:t>
      </w:r>
      <w:r w:rsidRPr="00592223" w:rsidR="008A0555">
        <w:t>for this purpose.</w:t>
      </w:r>
      <w:r w:rsidRPr="00592223" w:rsidR="009B75BB">
        <w:t xml:space="preserve"> </w:t>
      </w:r>
    </w:p>
    <w:p w:rsidR="007F2505" w:rsidP="0041330F" w:rsidRDefault="5525F52A" w14:paraId="6610F069" w14:textId="77777777">
      <w:pPr>
        <w:pStyle w:val="Standard"/>
      </w:pPr>
      <w:r w:rsidRPr="00592223">
        <w:t>Pursuant to AB 551,</w:t>
      </w:r>
      <w:r w:rsidRPr="00592223" w:rsidR="4414E52D">
        <w:t xml:space="preserve"> </w:t>
      </w:r>
      <w:r w:rsidRPr="00592223">
        <w:t xml:space="preserve">we </w:t>
      </w:r>
      <w:r w:rsidRPr="00592223" w:rsidR="54354EC4">
        <w:t xml:space="preserve">adopt revisions to </w:t>
      </w:r>
      <w:r w:rsidR="003B5D07">
        <w:t>GO </w:t>
      </w:r>
      <w:r w:rsidRPr="00592223" w:rsidR="54354EC4">
        <w:t>131-E</w:t>
      </w:r>
      <w:r w:rsidR="00DC0D16">
        <w:t>, Section X</w:t>
      </w:r>
      <w:r w:rsidR="00920E05">
        <w:t>,</w:t>
      </w:r>
      <w:r w:rsidRPr="00592223" w:rsidR="54354EC4">
        <w:t xml:space="preserve"> that would authorize </w:t>
      </w:r>
      <w:r w:rsidRPr="00592223" w:rsidR="7A378B50">
        <w:t xml:space="preserve">the utility, any persons that filed a protest to the advice letter, any third party whose name and interest in the relief sought appear on the face of the advice letter, or a person authorized under exceptional circumstances as set forth in </w:t>
      </w:r>
      <w:r w:rsidR="003B5D07">
        <w:t>GO </w:t>
      </w:r>
      <w:r w:rsidRPr="00592223" w:rsidR="7A378B50">
        <w:t>96-B or its successor regulation</w:t>
      </w:r>
      <w:r w:rsidRPr="00592223" w:rsidR="2FDFC87A">
        <w:t xml:space="preserve"> </w:t>
      </w:r>
      <w:r w:rsidRPr="00592223" w:rsidR="5AB66BBA">
        <w:t xml:space="preserve">to </w:t>
      </w:r>
      <w:r w:rsidRPr="00592223" w:rsidR="2A9652C1">
        <w:t>c</w:t>
      </w:r>
      <w:r w:rsidRPr="00592223" w:rsidR="002D4D1C">
        <w:t>hallenge</w:t>
      </w:r>
      <w:r w:rsidRPr="00592223" w:rsidDel="5AB66BBA" w:rsidR="009B7D47">
        <w:t xml:space="preserve"> </w:t>
      </w:r>
      <w:r w:rsidRPr="00592223" w:rsidR="56599B2A">
        <w:t xml:space="preserve">an Executive Director </w:t>
      </w:r>
      <w:r w:rsidRPr="00592223" w:rsidR="094F78D1">
        <w:t>disposition</w:t>
      </w:r>
      <w:r w:rsidRPr="00592223" w:rsidR="5AB66BBA">
        <w:t xml:space="preserve"> of</w:t>
      </w:r>
      <w:r w:rsidRPr="00592223" w:rsidR="16427D3C">
        <w:t xml:space="preserve"> an</w:t>
      </w:r>
      <w:r w:rsidRPr="00592223" w:rsidR="5AB66BBA">
        <w:t xml:space="preserve"> </w:t>
      </w:r>
      <w:r w:rsidRPr="00592223" w:rsidR="626FB7F3">
        <w:t xml:space="preserve">advice </w:t>
      </w:r>
      <w:r w:rsidRPr="00592223" w:rsidR="7136790B">
        <w:t xml:space="preserve">letter </w:t>
      </w:r>
      <w:r w:rsidRPr="00592223" w:rsidR="1D1408C6">
        <w:t>grant</w:t>
      </w:r>
      <w:r w:rsidRPr="00592223" w:rsidR="22AE49C4">
        <w:t>ing a</w:t>
      </w:r>
      <w:r w:rsidRPr="00592223" w:rsidR="1D1408C6">
        <w:t xml:space="preserve"> PTC exemption </w:t>
      </w:r>
      <w:r w:rsidRPr="00592223" w:rsidR="7A06120A">
        <w:t>by</w:t>
      </w:r>
      <w:r w:rsidRPr="00592223" w:rsidR="349D9598">
        <w:t xml:space="preserve"> filing </w:t>
      </w:r>
      <w:r w:rsidRPr="00592223" w:rsidR="2F856041">
        <w:t>an application for</w:t>
      </w:r>
      <w:r w:rsidRPr="00592223" w:rsidR="349D9598">
        <w:t xml:space="preserve"> </w:t>
      </w:r>
      <w:r w:rsidRPr="00592223" w:rsidR="47B6A8A3">
        <w:t xml:space="preserve">rehearing </w:t>
      </w:r>
      <w:r w:rsidRPr="00592223" w:rsidR="389B96C3">
        <w:t xml:space="preserve">consistent with Rule 16.1 </w:t>
      </w:r>
      <w:r w:rsidRPr="00592223" w:rsidR="47B6A8A3">
        <w:t xml:space="preserve">within 10 days </w:t>
      </w:r>
      <w:r w:rsidRPr="00592223" w:rsidR="0F6850B2">
        <w:t xml:space="preserve">of </w:t>
      </w:r>
      <w:r w:rsidRPr="00592223" w:rsidR="0CF00DE7">
        <w:t xml:space="preserve">the </w:t>
      </w:r>
      <w:r w:rsidRPr="00592223" w:rsidR="51C54641">
        <w:t xml:space="preserve">issuance of a </w:t>
      </w:r>
      <w:r w:rsidRPr="00592223" w:rsidR="47B6A8A3">
        <w:t>disposition</w:t>
      </w:r>
      <w:r w:rsidRPr="00592223" w:rsidR="48673F85">
        <w:t xml:space="preserve"> letter</w:t>
      </w:r>
      <w:r w:rsidRPr="00592223" w:rsidDel="756FDD9B" w:rsidR="009B7D47">
        <w:t>.</w:t>
      </w:r>
    </w:p>
    <w:p w:rsidR="000A0484" w:rsidP="00804F6F" w:rsidRDefault="007D24E0" w14:paraId="32E3EB60" w14:textId="77777777">
      <w:pPr>
        <w:pStyle w:val="Heading1"/>
      </w:pPr>
      <w:bookmarkStart w:name="_Toc189738521" w:id="176"/>
      <w:r>
        <w:lastRenderedPageBreak/>
        <w:t>Permitting of Battery Storage Facilities</w:t>
      </w:r>
      <w:bookmarkEnd w:id="176"/>
    </w:p>
    <w:p w:rsidRPr="00B00976" w:rsidR="00330FE7" w:rsidRDefault="1CAFCF05" w14:paraId="6CC99CB0" w14:textId="77777777">
      <w:pPr>
        <w:pStyle w:val="Standard"/>
      </w:pPr>
      <w:r w:rsidRPr="00B00976">
        <w:t>Upon careful review of party comments</w:t>
      </w:r>
      <w:r w:rsidRPr="00B00976" w:rsidR="2E1395D6">
        <w:t xml:space="preserve">, we conclude that we lack </w:t>
      </w:r>
      <w:r w:rsidRPr="00B00976" w:rsidR="37D10627">
        <w:t>sufficient record on</w:t>
      </w:r>
      <w:r w:rsidRPr="00B00976">
        <w:t xml:space="preserve"> </w:t>
      </w:r>
      <w:r w:rsidRPr="00B00976" w:rsidR="2E1395D6">
        <w:t xml:space="preserve">the </w:t>
      </w:r>
      <w:r w:rsidRPr="00B00976" w:rsidR="5872F7A9">
        <w:t xml:space="preserve">issue of </w:t>
      </w:r>
      <w:r w:rsidRPr="00B00976" w:rsidR="2E1395D6">
        <w:t>battery energy storage systems (BESS)</w:t>
      </w:r>
      <w:r w:rsidRPr="00B00976" w:rsidR="0DFAD051">
        <w:t xml:space="preserve"> permitting</w:t>
      </w:r>
      <w:r w:rsidRPr="00B00976" w:rsidDel="0DFAD051" w:rsidR="00DF48ED">
        <w:t>,</w:t>
      </w:r>
      <w:r w:rsidRPr="00B00976" w:rsidR="0DFAD051">
        <w:t xml:space="preserve"> at this time</w:t>
      </w:r>
      <w:r w:rsidRPr="00B00976" w:rsidR="7D0D691A">
        <w:t>. A</w:t>
      </w:r>
      <w:r w:rsidRPr="00B00976" w:rsidR="131E185A">
        <w:t>s discussed below, we therefore</w:t>
      </w:r>
      <w:r w:rsidRPr="00B00976" w:rsidR="2E1395D6">
        <w:t xml:space="preserve"> </w:t>
      </w:r>
      <w:r w:rsidRPr="00B00976" w:rsidR="49229FC3">
        <w:t xml:space="preserve">do not adopt any </w:t>
      </w:r>
      <w:r w:rsidR="00FD28F9">
        <w:t xml:space="preserve">of the proposed </w:t>
      </w:r>
      <w:r w:rsidRPr="00B00976" w:rsidR="14B97F4B">
        <w:t xml:space="preserve">revisions </w:t>
      </w:r>
      <w:r w:rsidR="000C06FE">
        <w:t>and</w:t>
      </w:r>
      <w:r w:rsidRPr="00B00976" w:rsidR="625D4E5D">
        <w:t xml:space="preserve"> rules</w:t>
      </w:r>
      <w:r w:rsidR="000C06FE">
        <w:t>; instead we</w:t>
      </w:r>
      <w:r w:rsidRPr="00B00976" w:rsidR="1C28D5C4">
        <w:t xml:space="preserve"> </w:t>
      </w:r>
      <w:r w:rsidRPr="00B00976" w:rsidR="2E1395D6">
        <w:t>instruc</w:t>
      </w:r>
      <w:r w:rsidRPr="00B00976" w:rsidR="1C28D5C4">
        <w:t>t</w:t>
      </w:r>
      <w:r w:rsidRPr="00B00976" w:rsidR="2E1395D6">
        <w:t xml:space="preserve"> Staff to continue to coordinate with the CEC to support the permitting of BESS projects subject to </w:t>
      </w:r>
      <w:r w:rsidRPr="00B00976" w:rsidR="7901D866">
        <w:t xml:space="preserve">CEC's </w:t>
      </w:r>
      <w:r w:rsidR="004F631D">
        <w:t>o</w:t>
      </w:r>
      <w:r w:rsidRPr="00B00976" w:rsidR="7901D866">
        <w:t>pt-</w:t>
      </w:r>
      <w:r w:rsidR="004F631D">
        <w:t>i</w:t>
      </w:r>
      <w:r w:rsidRPr="00B00976" w:rsidR="7901D866">
        <w:t>n</w:t>
      </w:r>
      <w:r w:rsidRPr="00B00976" w:rsidR="2E1395D6">
        <w:t xml:space="preserve"> </w:t>
      </w:r>
      <w:r w:rsidR="00BF7CB9">
        <w:t xml:space="preserve">certification </w:t>
      </w:r>
      <w:r w:rsidRPr="00B00976" w:rsidR="2E1395D6">
        <w:t>process wherein the C</w:t>
      </w:r>
      <w:r w:rsidRPr="00B00976" w:rsidR="17BF6760">
        <w:t>ommission</w:t>
      </w:r>
      <w:r w:rsidRPr="00B00976" w:rsidR="2E1395D6">
        <w:t xml:space="preserve"> </w:t>
      </w:r>
      <w:r w:rsidR="00343486">
        <w:t>may be</w:t>
      </w:r>
      <w:r w:rsidRPr="00B00976" w:rsidR="2E1395D6">
        <w:t xml:space="preserve"> a CEQA responsible agency. </w:t>
      </w:r>
      <w:r w:rsidRPr="00B00976" w:rsidR="44AF38CD">
        <w:t>Relatedly</w:t>
      </w:r>
      <w:r w:rsidRPr="00B00976" w:rsidR="08556EF8">
        <w:t xml:space="preserve"> and in</w:t>
      </w:r>
      <w:r w:rsidRPr="00B00976" w:rsidR="58CE0F75">
        <w:t xml:space="preserve"> </w:t>
      </w:r>
      <w:r w:rsidRPr="00B00976" w:rsidR="08556EF8">
        <w:t>respon</w:t>
      </w:r>
      <w:r w:rsidRPr="00B00976" w:rsidR="58CE0F75">
        <w:t>s</w:t>
      </w:r>
      <w:r w:rsidRPr="00B00976" w:rsidR="08556EF8">
        <w:t xml:space="preserve">e </w:t>
      </w:r>
      <w:r w:rsidRPr="00B00976" w:rsidR="58CE0F75">
        <w:t>to</w:t>
      </w:r>
      <w:r w:rsidR="00343486">
        <w:t xml:space="preserve"> the</w:t>
      </w:r>
      <w:r w:rsidRPr="00B00976" w:rsidR="58CE0F75">
        <w:t xml:space="preserve"> Staff </w:t>
      </w:r>
      <w:r w:rsidR="00343486">
        <w:t>P</w:t>
      </w:r>
      <w:r w:rsidRPr="00B00976" w:rsidR="4B16EFB7">
        <w:t xml:space="preserve">roposal and </w:t>
      </w:r>
      <w:r w:rsidRPr="00B00976" w:rsidR="58CE0F75">
        <w:t>party comments</w:t>
      </w:r>
      <w:r w:rsidRPr="00B00976" w:rsidR="44AF38CD">
        <w:t xml:space="preserve">, </w:t>
      </w:r>
      <w:r w:rsidRPr="00B00976" w:rsidR="00BF7847">
        <w:t>we remove</w:t>
      </w:r>
      <w:r w:rsidRPr="00B00976">
        <w:t xml:space="preserve"> the reference to energy storage from the “extension” definition in </w:t>
      </w:r>
      <w:r w:rsidR="00DC14AC">
        <w:t>Section </w:t>
      </w:r>
      <w:r w:rsidRPr="00B00976">
        <w:t>I.</w:t>
      </w:r>
      <w:r w:rsidR="00744F92">
        <w:t>F</w:t>
      </w:r>
      <w:r w:rsidRPr="00B00976">
        <w:t xml:space="preserve">.2 and from the “upgrade” definition in </w:t>
      </w:r>
      <w:r w:rsidR="00DC14AC">
        <w:t>Section </w:t>
      </w:r>
      <w:r w:rsidRPr="00B00976">
        <w:t xml:space="preserve">I.H. </w:t>
      </w:r>
    </w:p>
    <w:p w:rsidRPr="00B00976" w:rsidR="007B49B7" w:rsidP="00340579" w:rsidRDefault="003B5D07" w14:paraId="0D8CEB79" w14:textId="77777777">
      <w:pPr>
        <w:pStyle w:val="Standard"/>
      </w:pPr>
      <w:r>
        <w:t>GO </w:t>
      </w:r>
      <w:r w:rsidRPr="00B00976" w:rsidR="00E167D6">
        <w:t>131-D does not include</w:t>
      </w:r>
      <w:r w:rsidRPr="00B00976" w:rsidR="00B57816">
        <w:t xml:space="preserve"> specific</w:t>
      </w:r>
      <w:r w:rsidRPr="00B00976" w:rsidR="00E167D6">
        <w:t xml:space="preserve"> rules that govern the permitting of </w:t>
      </w:r>
      <w:r w:rsidRPr="00B00976" w:rsidR="0086578C">
        <w:t>BESS</w:t>
      </w:r>
      <w:r w:rsidRPr="00B00976" w:rsidR="00B57816">
        <w:t xml:space="preserve">, </w:t>
      </w:r>
      <w:r w:rsidRPr="00B00976" w:rsidR="00335891">
        <w:t>which</w:t>
      </w:r>
      <w:r w:rsidRPr="00B00976" w:rsidR="00172F30">
        <w:t xml:space="preserve"> are subject</w:t>
      </w:r>
      <w:r w:rsidRPr="00B00976" w:rsidR="00335891">
        <w:t xml:space="preserve"> </w:t>
      </w:r>
      <w:r w:rsidRPr="00B00976" w:rsidR="00C8047F">
        <w:t>to</w:t>
      </w:r>
      <w:r w:rsidRPr="00B00976" w:rsidR="006E18AC">
        <w:t xml:space="preserve"> </w:t>
      </w:r>
      <w:r w:rsidRPr="00B00976" w:rsidR="00AB4162">
        <w:t xml:space="preserve">rules </w:t>
      </w:r>
      <w:r w:rsidRPr="00B00976" w:rsidR="00C8047F">
        <w:t xml:space="preserve">in </w:t>
      </w:r>
      <w:r w:rsidR="00DC14AC">
        <w:t>Section </w:t>
      </w:r>
      <w:r w:rsidRPr="00B00976" w:rsidR="00C8047F">
        <w:t xml:space="preserve">XIV </w:t>
      </w:r>
      <w:r w:rsidRPr="00B00976" w:rsidR="00AB4162">
        <w:t>pertain</w:t>
      </w:r>
      <w:r w:rsidRPr="00B00976" w:rsidR="006E18AC">
        <w:t xml:space="preserve">ing </w:t>
      </w:r>
      <w:r w:rsidRPr="00B00976" w:rsidR="00AB4162">
        <w:t xml:space="preserve">to </w:t>
      </w:r>
      <w:r w:rsidRPr="00B00976" w:rsidR="00031287">
        <w:t>electric faciliti</w:t>
      </w:r>
      <w:r w:rsidRPr="00B00976" w:rsidR="000B1C60">
        <w:t>es</w:t>
      </w:r>
      <w:r w:rsidRPr="00B00976" w:rsidR="00172F30">
        <w:t xml:space="preserve">. Historically, </w:t>
      </w:r>
      <w:r w:rsidRPr="00B00976" w:rsidR="00CD669B">
        <w:t xml:space="preserve">local jurisdictions have </w:t>
      </w:r>
      <w:r w:rsidRPr="00B00976" w:rsidR="0007469C">
        <w:t xml:space="preserve">served as lead agencies </w:t>
      </w:r>
      <w:r w:rsidRPr="00B00976" w:rsidR="00B76181">
        <w:t>tasked with BESS permitting</w:t>
      </w:r>
      <w:r w:rsidRPr="00B00976" w:rsidR="00A10D10">
        <w:t>.</w:t>
      </w:r>
      <w:r w:rsidRPr="00B00976" w:rsidR="00D138DC">
        <w:t xml:space="preserve"> </w:t>
      </w:r>
    </w:p>
    <w:p w:rsidRPr="00B00976" w:rsidR="00D70F22" w:rsidP="00340579" w:rsidRDefault="27B60103" w14:paraId="72324B35" w14:textId="77777777">
      <w:pPr>
        <w:pStyle w:val="Standard"/>
      </w:pPr>
      <w:r w:rsidRPr="00B00976">
        <w:t xml:space="preserve">In 2022, </w:t>
      </w:r>
      <w:r w:rsidRPr="00B00976" w:rsidR="0270B123">
        <w:t>A</w:t>
      </w:r>
      <w:r w:rsidRPr="00B00976" w:rsidR="314410D8">
        <w:t>B 205</w:t>
      </w:r>
      <w:r w:rsidRPr="00B00976" w:rsidR="4B11EEFD">
        <w:t xml:space="preserve"> </w:t>
      </w:r>
      <w:r w:rsidRPr="00B00976" w:rsidR="665289A7">
        <w:t>(Ting; Stats. 2022, Ch. 61)</w:t>
      </w:r>
      <w:r w:rsidRPr="00B00976" w:rsidR="35A49047">
        <w:t xml:space="preserve"> </w:t>
      </w:r>
      <w:r w:rsidRPr="00B00976" w:rsidR="0270B123">
        <w:t xml:space="preserve">established </w:t>
      </w:r>
      <w:r w:rsidRPr="00B00976" w:rsidR="6726CEED">
        <w:t>a new process</w:t>
      </w:r>
      <w:r w:rsidRPr="00B00976" w:rsidR="65DE2C76">
        <w:t xml:space="preserve"> </w:t>
      </w:r>
      <w:r w:rsidRPr="00B00976" w:rsidR="358459B2">
        <w:t>that authorizes the CEC</w:t>
      </w:r>
      <w:r w:rsidRPr="00B00976" w:rsidR="3141E913">
        <w:t>, as</w:t>
      </w:r>
      <w:r w:rsidRPr="00B00976" w:rsidR="4BD7F674">
        <w:t xml:space="preserve"> a</w:t>
      </w:r>
      <w:r w:rsidRPr="00B00976" w:rsidR="3141E913">
        <w:t xml:space="preserve"> lead agency,</w:t>
      </w:r>
      <w:r w:rsidRPr="00B00976" w:rsidR="358459B2">
        <w:t xml:space="preserve"> </w:t>
      </w:r>
      <w:r w:rsidRPr="00B00976" w:rsidR="6AE61D9A">
        <w:t xml:space="preserve">to certify </w:t>
      </w:r>
      <w:r w:rsidRPr="00B00976" w:rsidR="212BD5C5">
        <w:t>certain</w:t>
      </w:r>
      <w:r w:rsidRPr="00B00976" w:rsidR="72993303">
        <w:t xml:space="preserve"> clean and</w:t>
      </w:r>
      <w:r w:rsidRPr="00B00976" w:rsidR="212BD5C5">
        <w:t xml:space="preserve"> renewable </w:t>
      </w:r>
      <w:r w:rsidRPr="00B00976" w:rsidR="6726CEED">
        <w:t xml:space="preserve">generation resources, including </w:t>
      </w:r>
      <w:r w:rsidRPr="00B00976" w:rsidR="21C3E216">
        <w:t>B</w:t>
      </w:r>
      <w:r w:rsidRPr="00B00976" w:rsidR="1C00836C">
        <w:t xml:space="preserve">ESS </w:t>
      </w:r>
      <w:r w:rsidRPr="00B00976" w:rsidR="4078D8B2">
        <w:t xml:space="preserve">with </w:t>
      </w:r>
      <w:r w:rsidRPr="00B00976" w:rsidR="2C14D6DC">
        <w:t xml:space="preserve">capacities </w:t>
      </w:r>
      <w:r w:rsidRPr="00B00976" w:rsidR="577A0EAC">
        <w:t xml:space="preserve">at or </w:t>
      </w:r>
      <w:r w:rsidRPr="00B00976" w:rsidR="2C14D6DC">
        <w:t xml:space="preserve">above </w:t>
      </w:r>
      <w:r w:rsidRPr="00B00976" w:rsidR="6E1FCAF9">
        <w:t>200 MWh</w:t>
      </w:r>
      <w:r w:rsidRPr="00B00976" w:rsidR="42143F5D">
        <w:t>.</w:t>
      </w:r>
      <w:r w:rsidRPr="00B00976" w:rsidR="65DE2C76">
        <w:t xml:space="preserve"> </w:t>
      </w:r>
      <w:r w:rsidRPr="00B00976" w:rsidR="1A14EF4B">
        <w:t>AB</w:t>
      </w:r>
      <w:r w:rsidR="005A58BA">
        <w:t> </w:t>
      </w:r>
      <w:r w:rsidRPr="00B00976" w:rsidR="1A14EF4B">
        <w:t>20</w:t>
      </w:r>
      <w:r w:rsidRPr="00B00976" w:rsidR="1C1A3ED0">
        <w:t xml:space="preserve">5 also </w:t>
      </w:r>
      <w:r w:rsidRPr="00B00976" w:rsidR="1A14EF4B">
        <w:t>includes a provision t</w:t>
      </w:r>
      <w:r w:rsidRPr="00B00976" w:rsidR="46A84320">
        <w:t xml:space="preserve">hat offers </w:t>
      </w:r>
      <w:r w:rsidRPr="00B00976" w:rsidR="4A219CE3">
        <w:t xml:space="preserve">project </w:t>
      </w:r>
      <w:r w:rsidRPr="00B00976" w:rsidR="198931BA">
        <w:t xml:space="preserve">applicants </w:t>
      </w:r>
      <w:r w:rsidRPr="00B00976" w:rsidR="45CBE758">
        <w:t>a choice</w:t>
      </w:r>
      <w:r w:rsidRPr="00B00976" w:rsidR="7D37F865">
        <w:t>, until June</w:t>
      </w:r>
      <w:r w:rsidR="005A58BA">
        <w:t> </w:t>
      </w:r>
      <w:r w:rsidRPr="00B00976" w:rsidR="7D37F865">
        <w:t>30, 2029,</w:t>
      </w:r>
      <w:r w:rsidRPr="00B00976" w:rsidR="45CBE758">
        <w:t xml:space="preserve"> </w:t>
      </w:r>
      <w:r w:rsidRPr="00B00976" w:rsidR="1C1A3ED0">
        <w:t xml:space="preserve">to </w:t>
      </w:r>
      <w:r w:rsidRPr="00B00976" w:rsidR="45CBE758">
        <w:t xml:space="preserve">file an </w:t>
      </w:r>
      <w:r w:rsidRPr="00B00976" w:rsidR="32B64F9F">
        <w:t>application</w:t>
      </w:r>
      <w:r w:rsidRPr="00B00976" w:rsidR="6511F4BF">
        <w:t xml:space="preserve"> with the CEC</w:t>
      </w:r>
      <w:r w:rsidRPr="00B00976" w:rsidR="32B64F9F">
        <w:t xml:space="preserve"> for</w:t>
      </w:r>
      <w:r w:rsidRPr="00B00976" w:rsidR="4B9B0421">
        <w:t xml:space="preserve"> an expedited</w:t>
      </w:r>
      <w:r w:rsidRPr="00B00976" w:rsidR="32B64F9F">
        <w:t xml:space="preserve"> certification</w:t>
      </w:r>
      <w:r w:rsidRPr="00B00976" w:rsidR="21D62FA6">
        <w:t xml:space="preserve"> timeline</w:t>
      </w:r>
      <w:r w:rsidRPr="00B00976" w:rsidR="6BD05607">
        <w:t xml:space="preserve"> </w:t>
      </w:r>
      <w:r w:rsidRPr="00B00976" w:rsidR="212BD5C5">
        <w:t>of certain generation resources (opt-in certification)</w:t>
      </w:r>
      <w:r w:rsidRPr="00B00976" w:rsidR="18C36608">
        <w:t xml:space="preserve">. In the </w:t>
      </w:r>
      <w:r w:rsidRPr="00B00976" w:rsidR="212BD5C5">
        <w:t xml:space="preserve">opt-in certification </w:t>
      </w:r>
      <w:r w:rsidRPr="00B00976" w:rsidR="18C36608">
        <w:t xml:space="preserve">process, </w:t>
      </w:r>
      <w:r w:rsidRPr="00B00976" w:rsidR="32B64F9F">
        <w:t xml:space="preserve">the </w:t>
      </w:r>
      <w:r w:rsidRPr="00B00976" w:rsidR="18C36608">
        <w:t xml:space="preserve">CEC has </w:t>
      </w:r>
      <w:r w:rsidRPr="00B00976" w:rsidR="32B64F9F">
        <w:t xml:space="preserve">exclusive </w:t>
      </w:r>
      <w:r w:rsidRPr="00B00976" w:rsidR="6088C611">
        <w:t>authority</w:t>
      </w:r>
      <w:r w:rsidRPr="00B00976" w:rsidR="32B64F9F">
        <w:t xml:space="preserve"> to certify</w:t>
      </w:r>
      <w:r w:rsidRPr="00B00976" w:rsidR="15E0F264">
        <w:t xml:space="preserve"> such</w:t>
      </w:r>
      <w:r w:rsidRPr="00B00976" w:rsidR="18C36608">
        <w:t xml:space="preserve"> </w:t>
      </w:r>
      <w:r w:rsidRPr="00B00976" w:rsidR="45904F68">
        <w:t>project</w:t>
      </w:r>
      <w:r w:rsidRPr="00B00976" w:rsidR="15E0F264">
        <w:t>s</w:t>
      </w:r>
      <w:r w:rsidRPr="00B00976" w:rsidR="45904F68">
        <w:t>.</w:t>
      </w:r>
    </w:p>
    <w:p w:rsidRPr="00B00976" w:rsidR="006E4D13" w:rsidP="006E4D13" w:rsidRDefault="542D892F" w14:paraId="0E7C30AF" w14:textId="77777777">
      <w:pPr>
        <w:pStyle w:val="Standard"/>
      </w:pPr>
      <w:r w:rsidRPr="00B00976">
        <w:t>However, AB 205</w:t>
      </w:r>
      <w:r w:rsidRPr="00B00976" w:rsidR="00E91123">
        <w:t>,</w:t>
      </w:r>
      <w:r w:rsidRPr="00B00976">
        <w:t xml:space="preserve"> </w:t>
      </w:r>
      <w:r w:rsidRPr="00B00976" w:rsidR="00E91123">
        <w:t>which is</w:t>
      </w:r>
      <w:r w:rsidRPr="00B00976">
        <w:t xml:space="preserve"> </w:t>
      </w:r>
      <w:r w:rsidRPr="00B00976" w:rsidR="07BD4A43">
        <w:t xml:space="preserve">codified </w:t>
      </w:r>
      <w:r w:rsidRPr="00B00976" w:rsidR="00E91123">
        <w:t xml:space="preserve">in </w:t>
      </w:r>
      <w:r w:rsidRPr="00B00976" w:rsidR="0F7D9AB8">
        <w:t>P</w:t>
      </w:r>
      <w:r w:rsidRPr="00B00976" w:rsidR="00E91123">
        <w:t xml:space="preserve">ub. </w:t>
      </w:r>
      <w:r w:rsidRPr="00B00976" w:rsidR="0F7D9AB8">
        <w:t>R</w:t>
      </w:r>
      <w:r w:rsidRPr="00B00976" w:rsidR="00E91123">
        <w:t xml:space="preserve">es. </w:t>
      </w:r>
      <w:r w:rsidRPr="00B00976" w:rsidR="3275BD37">
        <w:t xml:space="preserve">Code </w:t>
      </w:r>
      <w:r w:rsidR="00DC14AC">
        <w:t>Section </w:t>
      </w:r>
      <w:r w:rsidRPr="00B00976" w:rsidR="0F7D9AB8">
        <w:t>25545.1(a)</w:t>
      </w:r>
      <w:r w:rsidRPr="00B00976" w:rsidR="00E91123">
        <w:t>,</w:t>
      </w:r>
      <w:r w:rsidRPr="00B00976" w:rsidR="0F7D9AB8">
        <w:t xml:space="preserve"> </w:t>
      </w:r>
      <w:r w:rsidRPr="00B00976" w:rsidR="160F49F2">
        <w:t xml:space="preserve">states </w:t>
      </w:r>
      <w:r w:rsidRPr="00B00976" w:rsidR="07BD4A43">
        <w:t>th</w:t>
      </w:r>
      <w:r w:rsidRPr="00B00976" w:rsidR="383DC247">
        <w:t>at</w:t>
      </w:r>
      <w:r w:rsidRPr="00B00976" w:rsidR="21D14C5A">
        <w:t xml:space="preserve"> </w:t>
      </w:r>
      <w:r w:rsidRPr="00B00976" w:rsidR="7DA48AB1">
        <w:t xml:space="preserve">the </w:t>
      </w:r>
      <w:r w:rsidRPr="00B00976" w:rsidR="1CA1F60F">
        <w:t xml:space="preserve">CEC’s oversight of </w:t>
      </w:r>
      <w:r w:rsidRPr="00B00976" w:rsidR="41AD1070">
        <w:t xml:space="preserve">project certification </w:t>
      </w:r>
      <w:r w:rsidRPr="00B00976" w:rsidR="0F7D9AB8">
        <w:t>does not modify the C</w:t>
      </w:r>
      <w:r w:rsidRPr="00B00976" w:rsidR="4750003C">
        <w:t>ommission’s</w:t>
      </w:r>
      <w:r w:rsidRPr="00B00976" w:rsidR="0F7D9AB8">
        <w:t xml:space="preserve"> jurisdiction </w:t>
      </w:r>
      <w:r w:rsidRPr="00B00976" w:rsidR="66529C0E">
        <w:t>to issue permits for</w:t>
      </w:r>
      <w:r w:rsidRPr="00B00976" w:rsidR="0F7D9AB8">
        <w:t xml:space="preserve"> facilities</w:t>
      </w:r>
      <w:r w:rsidRPr="00B00976" w:rsidR="41AD1070">
        <w:t>, including CPCNs</w:t>
      </w:r>
      <w:r w:rsidRPr="00B00976" w:rsidR="0F7D9AB8">
        <w:t xml:space="preserve">. </w:t>
      </w:r>
      <w:r w:rsidRPr="00B00976" w:rsidR="634E34B6">
        <w:t>Despit</w:t>
      </w:r>
      <w:r w:rsidRPr="00B00976" w:rsidR="116A95E7">
        <w:t xml:space="preserve">e </w:t>
      </w:r>
      <w:r w:rsidRPr="00B00976" w:rsidR="174E9B47">
        <w:t>this clarification</w:t>
      </w:r>
      <w:r w:rsidRPr="00B00976" w:rsidR="3540C435">
        <w:t xml:space="preserve">, </w:t>
      </w:r>
      <w:r w:rsidRPr="00B00976" w:rsidR="0F7D9AB8">
        <w:t xml:space="preserve">utilities </w:t>
      </w:r>
      <w:r w:rsidRPr="00B00976" w:rsidR="6387B503">
        <w:t xml:space="preserve">under the </w:t>
      </w:r>
      <w:r w:rsidRPr="00B00976" w:rsidR="0F7D9AB8">
        <w:t>C</w:t>
      </w:r>
      <w:r w:rsidRPr="00B00976" w:rsidR="6387B503">
        <w:t xml:space="preserve">ommission’s </w:t>
      </w:r>
      <w:r w:rsidRPr="00B00976" w:rsidR="1D4383C2">
        <w:t>authority</w:t>
      </w:r>
      <w:r w:rsidRPr="00B00976" w:rsidR="6387B503">
        <w:t xml:space="preserve"> </w:t>
      </w:r>
      <w:r w:rsidRPr="00B00976" w:rsidR="0F7D9AB8">
        <w:t xml:space="preserve">may </w:t>
      </w:r>
      <w:r w:rsidRPr="00B00976" w:rsidR="0F7D9AB8">
        <w:lastRenderedPageBreak/>
        <w:t xml:space="preserve">nonetheless choose to pursue the CEC’s </w:t>
      </w:r>
      <w:r w:rsidRPr="00B00976" w:rsidR="212BD5C5">
        <w:t xml:space="preserve">opt-in certification </w:t>
      </w:r>
      <w:r w:rsidRPr="00B00976" w:rsidR="0F7D9AB8">
        <w:t xml:space="preserve">process </w:t>
      </w:r>
      <w:r w:rsidRPr="00B00976" w:rsidR="774C4EB9">
        <w:t>to permit</w:t>
      </w:r>
      <w:r w:rsidRPr="00B00976" w:rsidR="0F7D9AB8">
        <w:t xml:space="preserve"> eligible projects pursuant to AB 205.</w:t>
      </w:r>
    </w:p>
    <w:p w:rsidRPr="00B00976" w:rsidR="004D21D9" w:rsidP="009C2384" w:rsidRDefault="000661B6" w14:paraId="4D6469F0" w14:textId="77777777">
      <w:pPr>
        <w:pStyle w:val="Standard"/>
      </w:pPr>
      <w:r w:rsidRPr="00B00976">
        <w:t>While</w:t>
      </w:r>
      <w:r w:rsidRPr="00B00976" w:rsidR="00712129">
        <w:t xml:space="preserve"> </w:t>
      </w:r>
      <w:r w:rsidRPr="00B00976" w:rsidR="001B0FA4">
        <w:t>p</w:t>
      </w:r>
      <w:r w:rsidRPr="00B00976">
        <w:t>a</w:t>
      </w:r>
      <w:r w:rsidRPr="00B00976" w:rsidR="001B0FA4">
        <w:t>rties</w:t>
      </w:r>
      <w:r w:rsidRPr="00B00976" w:rsidR="00513AAB">
        <w:t xml:space="preserve"> </w:t>
      </w:r>
      <w:r w:rsidRPr="00B00976" w:rsidR="00AF5A46">
        <w:t>did not</w:t>
      </w:r>
      <w:r w:rsidRPr="00B00976" w:rsidR="00B2653E">
        <w:t xml:space="preserve"> </w:t>
      </w:r>
      <w:r w:rsidRPr="00B00976" w:rsidR="00AF5A46">
        <w:t>propos</w:t>
      </w:r>
      <w:r w:rsidRPr="00B00976" w:rsidR="00712129">
        <w:t>e</w:t>
      </w:r>
      <w:r w:rsidRPr="00B00976" w:rsidR="00B2653E">
        <w:t xml:space="preserve"> </w:t>
      </w:r>
      <w:r w:rsidRPr="00B00976" w:rsidR="00665C4F">
        <w:t>how to</w:t>
      </w:r>
      <w:r w:rsidRPr="00B00976" w:rsidR="00AF5A46">
        <w:t xml:space="preserve"> </w:t>
      </w:r>
      <w:r w:rsidRPr="00B00976" w:rsidR="0006331E">
        <w:t>modif</w:t>
      </w:r>
      <w:r w:rsidRPr="00B00976" w:rsidR="00B2653E">
        <w:t xml:space="preserve">y </w:t>
      </w:r>
      <w:r w:rsidR="003B5D07">
        <w:t>GO </w:t>
      </w:r>
      <w:r w:rsidRPr="00B00976" w:rsidR="0006331E">
        <w:t>131-D</w:t>
      </w:r>
      <w:r w:rsidRPr="00B00976" w:rsidR="00C53781">
        <w:t xml:space="preserve"> rules</w:t>
      </w:r>
      <w:r w:rsidRPr="00B00976" w:rsidR="0006331E">
        <w:t xml:space="preserve"> to </w:t>
      </w:r>
      <w:r w:rsidRPr="00B00976" w:rsidR="00712129">
        <w:t>address</w:t>
      </w:r>
      <w:r w:rsidRPr="00B00976" w:rsidR="00C53781">
        <w:t xml:space="preserve"> BESS permitting</w:t>
      </w:r>
      <w:r w:rsidRPr="00B00976" w:rsidR="00206C18">
        <w:t>, St</w:t>
      </w:r>
      <w:r w:rsidRPr="00B00976">
        <w:t xml:space="preserve">aff </w:t>
      </w:r>
      <w:r w:rsidRPr="00B00976" w:rsidR="000E3D63">
        <w:t>offers two proposals to</w:t>
      </w:r>
      <w:r w:rsidRPr="00B00976" w:rsidR="00712129">
        <w:t xml:space="preserve"> </w:t>
      </w:r>
      <w:r w:rsidRPr="00B00976" w:rsidR="0098442E">
        <w:t xml:space="preserve">address this </w:t>
      </w:r>
      <w:r w:rsidRPr="00B00976" w:rsidR="006D329D">
        <w:t xml:space="preserve">issue </w:t>
      </w:r>
      <w:r w:rsidRPr="00B00976" w:rsidR="008849DB">
        <w:t>that we will now review.</w:t>
      </w:r>
    </w:p>
    <w:p w:rsidR="009C2384" w:rsidP="009C2384" w:rsidRDefault="009C2384" w14:paraId="2040F727" w14:textId="77777777">
      <w:pPr>
        <w:pStyle w:val="Standard"/>
      </w:pPr>
      <w:r w:rsidRPr="00B00976">
        <w:t>Staff Proposal</w:t>
      </w:r>
      <w:r w:rsidRPr="00B00976" w:rsidR="0021280C">
        <w:t xml:space="preserve"> </w:t>
      </w:r>
      <w:r w:rsidR="00DC14AC">
        <w:t>Section </w:t>
      </w:r>
      <w:r w:rsidRPr="00B00976" w:rsidR="0021280C">
        <w:t>3.5, Proposal</w:t>
      </w:r>
      <w:r w:rsidRPr="00B00976">
        <w:t xml:space="preserve"> 1</w:t>
      </w:r>
      <w:r w:rsidRPr="00B00976">
        <w:rPr>
          <w:rFonts w:ascii="Garamond" w:hAnsi="Garamond" w:cs="Garamond"/>
          <w:sz w:val="24"/>
          <w:szCs w:val="24"/>
        </w:rPr>
        <w:t xml:space="preserve"> </w:t>
      </w:r>
      <w:r w:rsidRPr="00B00976">
        <w:t xml:space="preserve">would </w:t>
      </w:r>
      <w:r w:rsidRPr="00B00976" w:rsidR="003B4044">
        <w:t xml:space="preserve">create a PTC permitting requirement for transmission components of BESS by including “energy storage” in the definition of “extension” in </w:t>
      </w:r>
      <w:r w:rsidR="00DC14AC">
        <w:t>Section </w:t>
      </w:r>
      <w:r w:rsidRPr="00B00976" w:rsidR="003B4044">
        <w:t>I.F.2 as follows: “Generation tie-line (gen-tie) segments, i.e., the construction of a new transmission or power line from an existing electrical transmission facility to connect to a new energy storage or generation facility (i.e., the portion of the new line that will be owned by the transmission operator)</w:t>
      </w:r>
      <w:r w:rsidRPr="00B00976" w:rsidR="00E634AF">
        <w:t>.</w:t>
      </w:r>
      <w:r w:rsidRPr="00B00976" w:rsidR="003B4044">
        <w:t>”</w:t>
      </w:r>
    </w:p>
    <w:p w:rsidR="008849DB" w:rsidP="00314564" w:rsidRDefault="001537F1" w14:paraId="77565A46" w14:textId="77777777">
      <w:pPr>
        <w:pStyle w:val="Standard"/>
      </w:pPr>
      <w:r>
        <w:t xml:space="preserve">Staff Proposal </w:t>
      </w:r>
      <w:r w:rsidR="00DC14AC">
        <w:t>Section </w:t>
      </w:r>
      <w:r w:rsidR="0021280C">
        <w:t xml:space="preserve">3.5, Proposal </w:t>
      </w:r>
      <w:r>
        <w:t>2</w:t>
      </w:r>
      <w:r w:rsidR="000D189D">
        <w:t xml:space="preserve"> would </w:t>
      </w:r>
      <w:r w:rsidR="0051045E">
        <w:t xml:space="preserve">create </w:t>
      </w:r>
      <w:r w:rsidRPr="001537F1">
        <w:t xml:space="preserve">a PTC permitting requirement for BESS within or adjacent to existing substations by adding the following example to the “upgrade” definition in </w:t>
      </w:r>
      <w:r w:rsidR="0021763B">
        <w:t>GO 131-E</w:t>
      </w:r>
      <w:r w:rsidR="00856C2A">
        <w:t>,</w:t>
      </w:r>
      <w:r w:rsidR="0021763B">
        <w:t xml:space="preserve"> </w:t>
      </w:r>
      <w:r w:rsidR="00DC14AC">
        <w:t>Section </w:t>
      </w:r>
      <w:r w:rsidRPr="001537F1">
        <w:t>I.H: “Adding battery energy storage systems to an existing substation or expanding an existing substation to include battery energy storage systems</w:t>
      </w:r>
      <w:r w:rsidR="00E634AF">
        <w:t>.</w:t>
      </w:r>
      <w:r w:rsidRPr="001537F1">
        <w:t>” </w:t>
      </w:r>
    </w:p>
    <w:p w:rsidRPr="008849DB" w:rsidR="008C0018" w:rsidP="00B841EA" w:rsidRDefault="008C0018" w14:paraId="46D217BB" w14:textId="77777777">
      <w:pPr>
        <w:pStyle w:val="Standard"/>
      </w:pPr>
      <w:r>
        <w:t xml:space="preserve">Staff </w:t>
      </w:r>
      <w:r w:rsidR="00471D96">
        <w:t>s</w:t>
      </w:r>
      <w:r w:rsidR="00842F8B">
        <w:t>upport</w:t>
      </w:r>
      <w:r w:rsidR="00471D96">
        <w:t>s</w:t>
      </w:r>
      <w:r w:rsidR="00842F8B">
        <w:t xml:space="preserve"> </w:t>
      </w:r>
      <w:r w:rsidR="00471D96">
        <w:t>a</w:t>
      </w:r>
      <w:r w:rsidR="00FB219B">
        <w:t xml:space="preserve">doption of </w:t>
      </w:r>
      <w:r w:rsidR="00FB7D20">
        <w:t xml:space="preserve">both </w:t>
      </w:r>
      <w:r w:rsidR="002A7033">
        <w:t xml:space="preserve">Staff Proposal </w:t>
      </w:r>
      <w:r w:rsidR="00DC14AC">
        <w:t>Section </w:t>
      </w:r>
      <w:r w:rsidR="002A7033">
        <w:t xml:space="preserve">3.5, </w:t>
      </w:r>
      <w:r w:rsidR="00FB219B">
        <w:t>Proposal 1 and Proposal 2</w:t>
      </w:r>
      <w:r w:rsidR="000A606B">
        <w:t>.</w:t>
      </w:r>
      <w:r w:rsidR="00187DD5">
        <w:t xml:space="preserve"> </w:t>
      </w:r>
      <w:r w:rsidR="006109A3">
        <w:t xml:space="preserve">Staff’s </w:t>
      </w:r>
      <w:r w:rsidRPr="00F238A0" w:rsidR="00326448">
        <w:t>r</w:t>
      </w:r>
      <w:r w:rsidR="001926CF">
        <w:t>ationale</w:t>
      </w:r>
      <w:r w:rsidRPr="00F238A0" w:rsidR="0030017D">
        <w:t xml:space="preserve"> </w:t>
      </w:r>
      <w:r w:rsidRPr="00F238A0" w:rsidR="006109A3">
        <w:t xml:space="preserve">for </w:t>
      </w:r>
      <w:r w:rsidRPr="00F238A0" w:rsidR="0030017D">
        <w:t>recommending</w:t>
      </w:r>
      <w:r w:rsidR="006109A3">
        <w:t xml:space="preserve"> </w:t>
      </w:r>
      <w:r w:rsidR="00277BFD">
        <w:t>their proposals</w:t>
      </w:r>
      <w:r w:rsidR="006109A3">
        <w:t xml:space="preserve"> stems from party comments that advocate for clarifying the</w:t>
      </w:r>
      <w:r w:rsidR="00F13085">
        <w:t xml:space="preserve"> </w:t>
      </w:r>
      <w:r w:rsidR="000C7674">
        <w:t>permitting</w:t>
      </w:r>
      <w:r w:rsidR="00D44297">
        <w:t xml:space="preserve"> </w:t>
      </w:r>
      <w:r w:rsidR="00FB7D20">
        <w:t>process</w:t>
      </w:r>
      <w:r w:rsidR="00E270CA">
        <w:t xml:space="preserve">. </w:t>
      </w:r>
      <w:r w:rsidR="00FE6F5B">
        <w:t xml:space="preserve">These comments stress </w:t>
      </w:r>
      <w:r w:rsidR="00132965">
        <w:t xml:space="preserve">the importance of </w:t>
      </w:r>
      <w:r w:rsidR="00F2035E">
        <w:t>identifying similarities</w:t>
      </w:r>
      <w:r w:rsidR="00017A82">
        <w:t xml:space="preserve"> or differences</w:t>
      </w:r>
      <w:r w:rsidR="00F2035E">
        <w:t xml:space="preserve"> between </w:t>
      </w:r>
      <w:r w:rsidR="008C7317">
        <w:t>permitting energy storage systems</w:t>
      </w:r>
      <w:r w:rsidR="00E74BFB">
        <w:t xml:space="preserve">, </w:t>
      </w:r>
      <w:r w:rsidR="008C7317">
        <w:t>substations</w:t>
      </w:r>
      <w:r w:rsidR="00E74BFB">
        <w:t>, and</w:t>
      </w:r>
      <w:r w:rsidR="008C7317">
        <w:t xml:space="preserve"> power lines</w:t>
      </w:r>
      <w:r w:rsidR="003C0F98">
        <w:t>,</w:t>
      </w:r>
      <w:r w:rsidR="00E74BFB">
        <w:t xml:space="preserve"> </w:t>
      </w:r>
      <w:r w:rsidR="00017A82">
        <w:t xml:space="preserve">setting a </w:t>
      </w:r>
      <w:r w:rsidR="006823D2">
        <w:t xml:space="preserve">capacity threshold for </w:t>
      </w:r>
      <w:r w:rsidR="00132965">
        <w:t>energy storage systems</w:t>
      </w:r>
      <w:r w:rsidR="003C0F98">
        <w:t xml:space="preserve">, and </w:t>
      </w:r>
      <w:r w:rsidR="008C7317">
        <w:t>determin</w:t>
      </w:r>
      <w:r w:rsidR="007D520A">
        <w:t>ing</w:t>
      </w:r>
      <w:r w:rsidR="008C7317">
        <w:t xml:space="preserve"> </w:t>
      </w:r>
      <w:r w:rsidR="00692B04">
        <w:t>the appropriate</w:t>
      </w:r>
      <w:r w:rsidR="008C7317">
        <w:t xml:space="preserve"> </w:t>
      </w:r>
      <w:r w:rsidR="003E043A">
        <w:t xml:space="preserve">level of </w:t>
      </w:r>
      <w:r w:rsidR="008C7317">
        <w:t>permit</w:t>
      </w:r>
      <w:r w:rsidR="003E043A">
        <w:t>ting</w:t>
      </w:r>
      <w:r w:rsidR="008C7317">
        <w:t xml:space="preserve"> </w:t>
      </w:r>
      <w:r w:rsidR="00692B04">
        <w:t>for proposed projects</w:t>
      </w:r>
      <w:r w:rsidR="008C7317">
        <w:t xml:space="preserve"> (i.e. PTC versus CPCN</w:t>
      </w:r>
      <w:r w:rsidRPr="00F238A0" w:rsidR="008C7317">
        <w:t>)</w:t>
      </w:r>
      <w:r w:rsidRPr="00F238A0" w:rsidR="00202612">
        <w:t xml:space="preserve">. </w:t>
      </w:r>
      <w:r w:rsidRPr="00F238A0" w:rsidR="00B5026C">
        <w:t>S</w:t>
      </w:r>
      <w:r w:rsidRPr="00F238A0" w:rsidR="00194B86">
        <w:t xml:space="preserve">taff </w:t>
      </w:r>
      <w:r w:rsidRPr="00F238A0" w:rsidR="009B1A56">
        <w:t>state that</w:t>
      </w:r>
      <w:r w:rsidRPr="00F238A0" w:rsidR="00194B86">
        <w:t xml:space="preserve"> </w:t>
      </w:r>
      <w:r w:rsidR="00B96043">
        <w:t xml:space="preserve">their proposals </w:t>
      </w:r>
      <w:r w:rsidR="008E6674">
        <w:t xml:space="preserve">address suggestions from </w:t>
      </w:r>
      <w:r w:rsidR="00DE2E14">
        <w:t xml:space="preserve">some </w:t>
      </w:r>
      <w:r w:rsidR="008E6674">
        <w:t xml:space="preserve">parties that </w:t>
      </w:r>
      <w:r w:rsidR="00B538A3">
        <w:t>PTC</w:t>
      </w:r>
      <w:r w:rsidR="00194B86">
        <w:t xml:space="preserve"> </w:t>
      </w:r>
      <w:r w:rsidR="00AA3025">
        <w:t>exemptions</w:t>
      </w:r>
      <w:r w:rsidR="00FA610E">
        <w:t xml:space="preserve"> </w:t>
      </w:r>
      <w:r w:rsidR="007115F9">
        <w:t xml:space="preserve">should be granted to </w:t>
      </w:r>
      <w:r w:rsidR="00FA610E">
        <w:t xml:space="preserve">energy storage systems </w:t>
      </w:r>
      <w:r w:rsidR="008E6674">
        <w:t>that are in</w:t>
      </w:r>
      <w:r w:rsidR="00FA610E">
        <w:t xml:space="preserve"> proximity to</w:t>
      </w:r>
      <w:r w:rsidR="00F90BEC">
        <w:t xml:space="preserve"> </w:t>
      </w:r>
      <w:r w:rsidR="0011688A">
        <w:t>substations</w:t>
      </w:r>
      <w:r w:rsidR="009C429D">
        <w:t xml:space="preserve">, </w:t>
      </w:r>
      <w:r w:rsidR="009C429D">
        <w:lastRenderedPageBreak/>
        <w:t xml:space="preserve">while other parties </w:t>
      </w:r>
      <w:r w:rsidR="006F3968">
        <w:t>strongly oppose this</w:t>
      </w:r>
      <w:r w:rsidR="004C1168">
        <w:t xml:space="preserve"> measure</w:t>
      </w:r>
      <w:r w:rsidR="00B841EA">
        <w:t xml:space="preserve">. </w:t>
      </w:r>
      <w:r w:rsidR="006823D2">
        <w:t>Further</w:t>
      </w:r>
      <w:r w:rsidR="00842F8B">
        <w:t>,</w:t>
      </w:r>
      <w:r w:rsidR="006C7CAE">
        <w:t xml:space="preserve"> </w:t>
      </w:r>
      <w:r w:rsidR="00842F8B">
        <w:t>Staff</w:t>
      </w:r>
      <w:r w:rsidR="00F50828">
        <w:t xml:space="preserve"> cite</w:t>
      </w:r>
      <w:r w:rsidR="00842F8B">
        <w:t xml:space="preserve"> </w:t>
      </w:r>
      <w:r w:rsidR="00CB2AF7">
        <w:t xml:space="preserve">party comments </w:t>
      </w:r>
      <w:r w:rsidR="00363E18">
        <w:t xml:space="preserve">that </w:t>
      </w:r>
      <w:r w:rsidR="006A6285">
        <w:t>point out</w:t>
      </w:r>
      <w:r w:rsidR="00847367">
        <w:t xml:space="preserve"> </w:t>
      </w:r>
      <w:r w:rsidR="008B3DCB">
        <w:t>that l</w:t>
      </w:r>
      <w:r w:rsidRPr="000E399F" w:rsidR="000E399F">
        <w:t>ocal</w:t>
      </w:r>
      <w:r w:rsidR="000E399F">
        <w:t xml:space="preserve"> </w:t>
      </w:r>
      <w:r w:rsidRPr="000E399F" w:rsidR="000E399F">
        <w:t>agenc</w:t>
      </w:r>
      <w:r w:rsidR="003B2B74">
        <w:t>ies have</w:t>
      </w:r>
      <w:r w:rsidR="00847367">
        <w:t xml:space="preserve"> jurisdiction</w:t>
      </w:r>
      <w:r w:rsidRPr="000E399F" w:rsidR="000E399F">
        <w:t xml:space="preserve"> </w:t>
      </w:r>
      <w:r w:rsidR="00467812">
        <w:t>to permit non-</w:t>
      </w:r>
      <w:r w:rsidR="00F07357">
        <w:t xml:space="preserve">utility </w:t>
      </w:r>
      <w:r w:rsidRPr="000E399F" w:rsidR="000E399F">
        <w:t>projects</w:t>
      </w:r>
      <w:r w:rsidR="00F07357">
        <w:t xml:space="preserve"> and therefore </w:t>
      </w:r>
      <w:r w:rsidR="008B3DCB">
        <w:t>should not be</w:t>
      </w:r>
      <w:r w:rsidR="00F07357">
        <w:t xml:space="preserve"> </w:t>
      </w:r>
      <w:r w:rsidRPr="000E399F" w:rsidR="000E399F">
        <w:t>subject to</w:t>
      </w:r>
      <w:r w:rsidR="003B2B74">
        <w:t xml:space="preserve"> </w:t>
      </w:r>
      <w:r w:rsidR="002865CD">
        <w:t>Commission permitting requirements</w:t>
      </w:r>
      <w:r w:rsidRPr="000E399F" w:rsidR="000E399F">
        <w:t>.</w:t>
      </w:r>
    </w:p>
    <w:p w:rsidR="004712AC" w:rsidP="00887605" w:rsidRDefault="009C6641" w14:paraId="04E534C8" w14:textId="77777777">
      <w:pPr>
        <w:pStyle w:val="Standard"/>
      </w:pPr>
      <w:r w:rsidRPr="009C6641">
        <w:t>REV Renewables</w:t>
      </w:r>
      <w:r w:rsidR="006239FD">
        <w:t xml:space="preserve"> supports </w:t>
      </w:r>
      <w:r w:rsidR="006D0E48">
        <w:t xml:space="preserve">Staff Proposal </w:t>
      </w:r>
      <w:r w:rsidR="00DC14AC">
        <w:t>Section </w:t>
      </w:r>
      <w:r w:rsidR="006D0E48">
        <w:t xml:space="preserve">3.5, </w:t>
      </w:r>
      <w:r w:rsidR="006239FD">
        <w:t>Proposal 1</w:t>
      </w:r>
      <w:r w:rsidR="008A01DE">
        <w:t xml:space="preserve"> because it </w:t>
      </w:r>
      <w:r w:rsidR="009F37DB">
        <w:t>could</w:t>
      </w:r>
      <w:r w:rsidR="00D67EF4">
        <w:t xml:space="preserve"> accelerate</w:t>
      </w:r>
      <w:r w:rsidR="0091655F">
        <w:t xml:space="preserve"> interconnection of new energy storage and generation facilities</w:t>
      </w:r>
      <w:r w:rsidR="00222977">
        <w:t>.</w:t>
      </w:r>
      <w:r w:rsidR="00AF4325">
        <w:rPr>
          <w:rStyle w:val="FootnoteReference"/>
        </w:rPr>
        <w:footnoteReference w:id="227"/>
      </w:r>
      <w:r w:rsidR="005322FB">
        <w:t xml:space="preserve"> </w:t>
      </w:r>
      <w:r w:rsidRPr="009C6641">
        <w:t>SDG&amp;E, PG&amp;E, SCE, CBD, LSA, ACP</w:t>
      </w:r>
      <w:r w:rsidR="005322FB">
        <w:t xml:space="preserve"> oppose </w:t>
      </w:r>
      <w:r w:rsidR="006D0E48">
        <w:t xml:space="preserve">Staff Proposal </w:t>
      </w:r>
      <w:r w:rsidR="00DC14AC">
        <w:t>Section </w:t>
      </w:r>
      <w:r w:rsidR="006D0E48">
        <w:t xml:space="preserve">3.5, </w:t>
      </w:r>
      <w:r w:rsidR="007D6F0E">
        <w:t>Proposal 1</w:t>
      </w:r>
      <w:r w:rsidR="005322FB">
        <w:t>.</w:t>
      </w:r>
      <w:r w:rsidR="00991CD9">
        <w:t xml:space="preserve"> </w:t>
      </w:r>
      <w:r w:rsidR="00777804">
        <w:t xml:space="preserve">SDG&amp;E claims that adoption of </w:t>
      </w:r>
      <w:r w:rsidR="006D0E48">
        <w:t xml:space="preserve">Staff Proposal </w:t>
      </w:r>
      <w:r w:rsidR="00DC14AC">
        <w:t>Section </w:t>
      </w:r>
      <w:r w:rsidR="006D0E48">
        <w:t>3.5,</w:t>
      </w:r>
      <w:r w:rsidR="00777804">
        <w:t xml:space="preserve"> Proposal 1 would cause significant </w:t>
      </w:r>
      <w:r w:rsidR="00B630DC">
        <w:t xml:space="preserve">project </w:t>
      </w:r>
      <w:r w:rsidR="00777804">
        <w:t xml:space="preserve">delays by </w:t>
      </w:r>
      <w:r w:rsidR="00F63517">
        <w:t xml:space="preserve">requiring PTCs for </w:t>
      </w:r>
      <w:r w:rsidR="00753A9C">
        <w:t>energy storage system</w:t>
      </w:r>
      <w:r w:rsidR="00777804">
        <w:t xml:space="preserve"> projects on substation property that currently do not require</w:t>
      </w:r>
      <w:r w:rsidR="00C549DD">
        <w:t xml:space="preserve"> Commission</w:t>
      </w:r>
      <w:r w:rsidR="00255CEB">
        <w:t>-</w:t>
      </w:r>
      <w:r w:rsidR="00C549DD">
        <w:t>issued permits</w:t>
      </w:r>
      <w:r w:rsidR="00777804">
        <w:t>.</w:t>
      </w:r>
      <w:r w:rsidR="00255CEB">
        <w:rPr>
          <w:rStyle w:val="FootnoteReference"/>
        </w:rPr>
        <w:footnoteReference w:id="228"/>
      </w:r>
      <w:r w:rsidR="00777804">
        <w:t xml:space="preserve"> </w:t>
      </w:r>
      <w:r w:rsidR="002E53D5">
        <w:t>ACP</w:t>
      </w:r>
      <w:r w:rsidR="00187459">
        <w:t>’s</w:t>
      </w:r>
      <w:r w:rsidR="002E53D5">
        <w:t xml:space="preserve"> concern</w:t>
      </w:r>
      <w:r w:rsidR="00187459">
        <w:t xml:space="preserve"> is</w:t>
      </w:r>
      <w:r w:rsidR="002E53D5">
        <w:t xml:space="preserve"> that</w:t>
      </w:r>
      <w:r w:rsidR="00D50DE0">
        <w:t xml:space="preserve"> PTCs </w:t>
      </w:r>
      <w:r w:rsidR="00931532">
        <w:t>for energy</w:t>
      </w:r>
      <w:r w:rsidR="005B18A4">
        <w:t xml:space="preserve"> storage projects that are </w:t>
      </w:r>
      <w:r w:rsidR="00C91727">
        <w:t xml:space="preserve">substation </w:t>
      </w:r>
      <w:r w:rsidR="00D5054E">
        <w:t>expansion</w:t>
      </w:r>
      <w:r w:rsidR="00F76406">
        <w:t>s</w:t>
      </w:r>
      <w:r w:rsidR="00D5054E">
        <w:t xml:space="preserve"> </w:t>
      </w:r>
      <w:r w:rsidR="002514F2">
        <w:t>on utility-owned land c</w:t>
      </w:r>
      <w:r w:rsidR="007D2DEB">
        <w:t xml:space="preserve">ould provide </w:t>
      </w:r>
      <w:r w:rsidR="00A02AB7">
        <w:t>utilities wi</w:t>
      </w:r>
      <w:r w:rsidR="007A2070">
        <w:t xml:space="preserve">th </w:t>
      </w:r>
      <w:r w:rsidR="007D2DEB">
        <w:t>a competitive advantage</w:t>
      </w:r>
      <w:r w:rsidR="0027233F">
        <w:t>.</w:t>
      </w:r>
      <w:r w:rsidR="007A2070">
        <w:rPr>
          <w:rStyle w:val="FootnoteReference"/>
        </w:rPr>
        <w:footnoteReference w:id="229"/>
      </w:r>
      <w:r w:rsidR="007A2070">
        <w:t xml:space="preserve"> </w:t>
      </w:r>
      <w:r w:rsidR="4AA9C59D">
        <w:t>T</w:t>
      </w:r>
      <w:r w:rsidR="450D25C9">
        <w:t>o</w:t>
      </w:r>
      <w:r w:rsidR="007D6F0E">
        <w:t xml:space="preserve"> address their </w:t>
      </w:r>
      <w:r w:rsidR="006E1F76">
        <w:t xml:space="preserve">concerns, </w:t>
      </w:r>
      <w:r w:rsidRPr="009C6641">
        <w:t xml:space="preserve">PG&amp;E, SCE, and SDG&amp;E recommend modifying </w:t>
      </w:r>
      <w:r w:rsidR="006D0E48">
        <w:t xml:space="preserve">Staff Proposal </w:t>
      </w:r>
      <w:r w:rsidR="00DC14AC">
        <w:t>Section </w:t>
      </w:r>
      <w:r w:rsidR="006D0E48">
        <w:t xml:space="preserve">3.5, </w:t>
      </w:r>
      <w:r w:rsidR="0029381B">
        <w:t xml:space="preserve">Proposal 1 such that the </w:t>
      </w:r>
      <w:r w:rsidRPr="009C6641">
        <w:t xml:space="preserve">definition </w:t>
      </w:r>
      <w:r w:rsidR="0029381B">
        <w:t xml:space="preserve">of “extension” </w:t>
      </w:r>
      <w:r w:rsidRPr="009C6641">
        <w:t xml:space="preserve">in </w:t>
      </w:r>
      <w:r w:rsidR="000B5915">
        <w:t>GO 131-E</w:t>
      </w:r>
      <w:r w:rsidR="00856C2A">
        <w:t>,</w:t>
      </w:r>
      <w:r w:rsidR="000B5915">
        <w:t xml:space="preserve"> </w:t>
      </w:r>
      <w:r w:rsidR="00DC14AC">
        <w:t>Section </w:t>
      </w:r>
      <w:r w:rsidRPr="009C6641">
        <w:t>I.</w:t>
      </w:r>
      <w:r w:rsidR="000B5915">
        <w:t>F</w:t>
      </w:r>
      <w:r w:rsidRPr="009C6641">
        <w:t>.2.</w:t>
      </w:r>
      <w:r w:rsidR="00856C2A">
        <w:t>,</w:t>
      </w:r>
      <w:r w:rsidRPr="009C6641">
        <w:t xml:space="preserve"> does not include a line t</w:t>
      </w:r>
      <w:r w:rsidR="00242CC3">
        <w:t>hat</w:t>
      </w:r>
      <w:r w:rsidRPr="009C6641">
        <w:t xml:space="preserve"> connect</w:t>
      </w:r>
      <w:r w:rsidR="00242CC3">
        <w:t>s</w:t>
      </w:r>
      <w:r w:rsidRPr="009C6641">
        <w:t xml:space="preserve"> to a new battery energy storage facility located on existing utility-owned property that contains or contained substation, electric generation or energy storage infrastructure and/or on contiguous previously disturbed land</w:t>
      </w:r>
      <w:r w:rsidR="76613F57">
        <w:t>.</w:t>
      </w:r>
      <w:r w:rsidR="006A3E22">
        <w:rPr>
          <w:rStyle w:val="FootnoteReference"/>
        </w:rPr>
        <w:footnoteReference w:id="230"/>
      </w:r>
      <w:r w:rsidRPr="009C6641">
        <w:t> </w:t>
      </w:r>
    </w:p>
    <w:p w:rsidR="00062228" w:rsidP="00887605" w:rsidRDefault="00062228" w14:paraId="682699F2" w14:textId="77777777">
      <w:pPr>
        <w:pStyle w:val="Standard"/>
      </w:pPr>
      <w:r w:rsidRPr="00062228">
        <w:t>Most parties</w:t>
      </w:r>
      <w:r>
        <w:t xml:space="preserve">, including </w:t>
      </w:r>
      <w:r w:rsidRPr="00062228">
        <w:t xml:space="preserve">ATC, RCRC, SCE, PG&amp;E, SDG&amp;E, CBD, </w:t>
      </w:r>
      <w:r w:rsidR="005E22C6">
        <w:t xml:space="preserve">and </w:t>
      </w:r>
      <w:r w:rsidRPr="00062228">
        <w:t>ACP</w:t>
      </w:r>
      <w:r>
        <w:t>,</w:t>
      </w:r>
      <w:r w:rsidRPr="00062228">
        <w:t xml:space="preserve"> oppose the inclusion of BESS in the definition of “upgrade”</w:t>
      </w:r>
      <w:r>
        <w:t xml:space="preserve"> in </w:t>
      </w:r>
      <w:r w:rsidR="004F4710">
        <w:t xml:space="preserve">Staff Proposal </w:t>
      </w:r>
      <w:r w:rsidR="00DC14AC">
        <w:t>Section </w:t>
      </w:r>
      <w:r w:rsidR="004F4710">
        <w:t xml:space="preserve">3.5, </w:t>
      </w:r>
      <w:r>
        <w:t>Proposal 2</w:t>
      </w:r>
      <w:r w:rsidRPr="00062228">
        <w:t xml:space="preserve">. </w:t>
      </w:r>
      <w:r w:rsidR="002A7FCA">
        <w:t xml:space="preserve">For example, </w:t>
      </w:r>
      <w:r w:rsidR="00890A6E">
        <w:t xml:space="preserve">ATC </w:t>
      </w:r>
      <w:r w:rsidR="00777E86">
        <w:t xml:space="preserve">supports RCRC’s assertion that the </w:t>
      </w:r>
      <w:r w:rsidR="00777E86">
        <w:lastRenderedPageBreak/>
        <w:t xml:space="preserve">lack of specificity in </w:t>
      </w:r>
      <w:r w:rsidR="00BE0667">
        <w:t xml:space="preserve">Staff Proposal </w:t>
      </w:r>
      <w:r w:rsidR="00DC14AC">
        <w:t>Section </w:t>
      </w:r>
      <w:r w:rsidR="00BE0667">
        <w:t>3.5,</w:t>
      </w:r>
      <w:r w:rsidR="00777E86">
        <w:t xml:space="preserve"> Proposal 2 could ope</w:t>
      </w:r>
      <w:r w:rsidR="001D6D60">
        <w:t>n the door for energy storage systems</w:t>
      </w:r>
      <w:r w:rsidR="00817B57">
        <w:t xml:space="preserve"> </w:t>
      </w:r>
      <w:r w:rsidR="00AD11A0">
        <w:t xml:space="preserve">of indeterminant size </w:t>
      </w:r>
      <w:r w:rsidR="009D2ED6">
        <w:t xml:space="preserve">to be </w:t>
      </w:r>
      <w:r w:rsidR="00A23C92">
        <w:t>permitted as substation upgrades.</w:t>
      </w:r>
      <w:r w:rsidR="000C2666">
        <w:rPr>
          <w:rStyle w:val="FootnoteReference"/>
        </w:rPr>
        <w:footnoteReference w:id="231"/>
      </w:r>
      <w:r w:rsidR="000C2666">
        <w:t xml:space="preserve"> </w:t>
      </w:r>
      <w:r w:rsidRPr="00062228">
        <w:t>ACP, IEP</w:t>
      </w:r>
      <w:r>
        <w:t>,</w:t>
      </w:r>
      <w:r w:rsidRPr="00062228">
        <w:t xml:space="preserve"> and REV Renewables suggest that </w:t>
      </w:r>
      <w:r>
        <w:t xml:space="preserve">there must be a demonstrated need and cost evaluation for </w:t>
      </w:r>
      <w:r w:rsidRPr="00062228">
        <w:t>utility-owned BESS</w:t>
      </w:r>
      <w:r>
        <w:t xml:space="preserve">, </w:t>
      </w:r>
      <w:r w:rsidRPr="00062228">
        <w:t>as required by a CPCN</w:t>
      </w:r>
      <w:r>
        <w:t xml:space="preserve"> review</w:t>
      </w:r>
      <w:r w:rsidRPr="00062228">
        <w:t xml:space="preserve">, rather than “undergoing only </w:t>
      </w:r>
      <w:r>
        <w:t xml:space="preserve">(an) </w:t>
      </w:r>
      <w:r w:rsidRPr="00062228">
        <w:t>environmental review.”</w:t>
      </w:r>
      <w:r w:rsidR="000C6037">
        <w:rPr>
          <w:rStyle w:val="FootnoteReference"/>
        </w:rPr>
        <w:footnoteReference w:id="232"/>
      </w:r>
      <w:r w:rsidRPr="00062228">
        <w:t xml:space="preserve"> EDF</w:t>
      </w:r>
      <w:r w:rsidR="00856FA4">
        <w:t xml:space="preserve"> </w:t>
      </w:r>
      <w:r w:rsidRPr="00062228">
        <w:t>support</w:t>
      </w:r>
      <w:r w:rsidR="00E13280">
        <w:t>s</w:t>
      </w:r>
      <w:r w:rsidRPr="00062228">
        <w:t xml:space="preserve"> the inclusion of BESS in the definition of “upgrade”</w:t>
      </w:r>
      <w:r>
        <w:t xml:space="preserve"> </w:t>
      </w:r>
      <w:r w:rsidR="00DD3578">
        <w:t xml:space="preserve">in </w:t>
      </w:r>
      <w:r w:rsidRPr="00434BA6" w:rsidR="00A6008B">
        <w:t xml:space="preserve">Staff Proposal </w:t>
      </w:r>
      <w:r w:rsidR="00A6008B">
        <w:t>Section </w:t>
      </w:r>
      <w:r w:rsidRPr="00434BA6" w:rsidR="00A6008B">
        <w:t>3.</w:t>
      </w:r>
      <w:r w:rsidR="00E61297">
        <w:t>5</w:t>
      </w:r>
      <w:r w:rsidRPr="00434BA6" w:rsidR="00A6008B">
        <w:t xml:space="preserve">, </w:t>
      </w:r>
      <w:r w:rsidR="00DD3578">
        <w:t xml:space="preserve">Proposal 2 </w:t>
      </w:r>
      <w:r w:rsidRPr="00062228">
        <w:t xml:space="preserve">but suggest that </w:t>
      </w:r>
      <w:r>
        <w:t xml:space="preserve">further </w:t>
      </w:r>
      <w:r w:rsidRPr="00062228">
        <w:t>clarif</w:t>
      </w:r>
      <w:r w:rsidR="005C560B">
        <w:t xml:space="preserve">ication is needed </w:t>
      </w:r>
      <w:r w:rsidRPr="00062228">
        <w:t xml:space="preserve"> </w:t>
      </w:r>
      <w:r w:rsidR="00856FA4">
        <w:t xml:space="preserve">concerning </w:t>
      </w:r>
      <w:r w:rsidR="0059407F">
        <w:t>the Commission’s</w:t>
      </w:r>
      <w:r w:rsidR="00856FA4">
        <w:t xml:space="preserve"> </w:t>
      </w:r>
      <w:r w:rsidR="00E82B6F">
        <w:t>preemption of loca</w:t>
      </w:r>
      <w:r w:rsidR="006B2171">
        <w:t>l</w:t>
      </w:r>
      <w:r w:rsidR="00E82B6F">
        <w:t xml:space="preserve"> jurisdictional authority </w:t>
      </w:r>
      <w:r w:rsidR="00622D87">
        <w:t xml:space="preserve">for BESS permitting </w:t>
      </w:r>
      <w:r w:rsidR="00856FA4">
        <w:t>to avoid</w:t>
      </w:r>
      <w:r w:rsidR="00EF2523">
        <w:t xml:space="preserve"> any disputes</w:t>
      </w:r>
      <w:r w:rsidR="00D64550">
        <w:t>.</w:t>
      </w:r>
      <w:r w:rsidR="00D64550">
        <w:rPr>
          <w:rStyle w:val="FootnoteReference"/>
        </w:rPr>
        <w:footnoteReference w:id="233"/>
      </w:r>
    </w:p>
    <w:p w:rsidRPr="009C6641" w:rsidR="00DD3578" w:rsidP="00887605" w:rsidRDefault="00DD3578" w14:paraId="2BECC915" w14:textId="77777777">
      <w:pPr>
        <w:pStyle w:val="Standard"/>
      </w:pPr>
      <w:r w:rsidRPr="00291EC2">
        <w:t xml:space="preserve">EDF recommends that </w:t>
      </w:r>
      <w:r w:rsidR="003B5D07">
        <w:t>GO </w:t>
      </w:r>
      <w:r w:rsidRPr="00291EC2">
        <w:t xml:space="preserve">131-E should explicitly describe a PTC process for BESS, and that </w:t>
      </w:r>
      <w:r w:rsidR="003B5D07">
        <w:t>GO </w:t>
      </w:r>
      <w:r w:rsidRPr="00291EC2">
        <w:t>131-D</w:t>
      </w:r>
      <w:r w:rsidR="00630DCA">
        <w:t>,</w:t>
      </w:r>
      <w:r w:rsidRPr="00291EC2">
        <w:t xml:space="preserve"> </w:t>
      </w:r>
      <w:r w:rsidR="00DC14AC">
        <w:t>Section </w:t>
      </w:r>
      <w:r w:rsidRPr="00291EC2">
        <w:t>XIV</w:t>
      </w:r>
      <w:r w:rsidR="00630DCA">
        <w:t>,</w:t>
      </w:r>
      <w:r w:rsidRPr="00291EC2">
        <w:t xml:space="preserve"> (renumbered to </w:t>
      </w:r>
      <w:r w:rsidR="00DC14AC">
        <w:t>Section </w:t>
      </w:r>
      <w:r w:rsidRPr="00291EC2">
        <w:t>XIII in the Staff Proposal</w:t>
      </w:r>
      <w:r w:rsidR="00EA7F4E">
        <w:t xml:space="preserve"> and to Section XI in GO 131-E</w:t>
      </w:r>
      <w:r w:rsidRPr="00291EC2">
        <w:t>) should be revised to clearly preempt local agency jurisdiction to permit BESS projects.</w:t>
      </w:r>
      <w:r w:rsidRPr="00291EC2" w:rsidR="009A69FD">
        <w:rPr>
          <w:rStyle w:val="FootnoteReference"/>
        </w:rPr>
        <w:footnoteReference w:id="234"/>
      </w:r>
      <w:r w:rsidRPr="00291EC2">
        <w:t xml:space="preserve"> LSA suggests amending </w:t>
      </w:r>
      <w:r w:rsidR="00DC14AC">
        <w:t>Section </w:t>
      </w:r>
      <w:r w:rsidRPr="00291EC2" w:rsidR="005B13F0">
        <w:t>III.A</w:t>
      </w:r>
      <w:r w:rsidRPr="00291EC2" w:rsidR="0021280C">
        <w:t xml:space="preserve"> </w:t>
      </w:r>
      <w:r w:rsidRPr="00291EC2">
        <w:t xml:space="preserve">to include BESS </w:t>
      </w:r>
      <w:r w:rsidR="00EA7F4E">
        <w:t xml:space="preserve">projects </w:t>
      </w:r>
      <w:r w:rsidRPr="00291EC2">
        <w:t>if they provide transmission support, or transmission and generation benefits, subject to CAISO and Commission requirements and oversight</w:t>
      </w:r>
      <w:r w:rsidRPr="00291EC2" w:rsidR="009A69FD">
        <w:t>.</w:t>
      </w:r>
      <w:r w:rsidRPr="00291EC2" w:rsidR="009A69FD">
        <w:rPr>
          <w:rStyle w:val="FootnoteReference"/>
        </w:rPr>
        <w:footnoteReference w:id="235"/>
      </w:r>
      <w:r w:rsidRPr="00291EC2" w:rsidR="009A69FD">
        <w:t xml:space="preserve"> </w:t>
      </w:r>
      <w:r w:rsidRPr="00291EC2">
        <w:t>REV Renewables</w:t>
      </w:r>
      <w:r w:rsidRPr="00291EC2" w:rsidR="00066459">
        <w:t>, LLC</w:t>
      </w:r>
      <w:r w:rsidRPr="00291EC2">
        <w:t xml:space="preserve"> asserts</w:t>
      </w:r>
      <w:r w:rsidRPr="00291EC2" w:rsidR="009A69FD">
        <w:t xml:space="preserve"> that </w:t>
      </w:r>
      <w:r w:rsidRPr="00291EC2">
        <w:t xml:space="preserve">the Commission should </w:t>
      </w:r>
      <w:r w:rsidRPr="00291EC2" w:rsidR="009A69FD">
        <w:t xml:space="preserve">set a threshold of 50 MW for BESS projects that are included in </w:t>
      </w:r>
      <w:r w:rsidRPr="00291EC2">
        <w:t>the definition of “upgrade”</w:t>
      </w:r>
      <w:r w:rsidRPr="00291EC2" w:rsidR="009A69FD">
        <w:t>, while BESS projects</w:t>
      </w:r>
      <w:r w:rsidRPr="00291EC2">
        <w:t xml:space="preserve"> </w:t>
      </w:r>
      <w:r w:rsidRPr="00291EC2" w:rsidR="009A69FD">
        <w:t xml:space="preserve">with capacities </w:t>
      </w:r>
      <w:r w:rsidRPr="00291EC2">
        <w:t xml:space="preserve">above </w:t>
      </w:r>
      <w:r w:rsidRPr="00291EC2" w:rsidR="009A69FD">
        <w:t xml:space="preserve">the 50 MW capacity threshold </w:t>
      </w:r>
      <w:r w:rsidRPr="00291EC2">
        <w:t xml:space="preserve">should </w:t>
      </w:r>
      <w:r w:rsidRPr="00291EC2" w:rsidR="009A69FD">
        <w:t>adhere</w:t>
      </w:r>
      <w:r w:rsidRPr="00291EC2" w:rsidR="004F13C6">
        <w:t xml:space="preserve"> to the CPCN permitting </w:t>
      </w:r>
      <w:r w:rsidRPr="00291EC2">
        <w:t>process</w:t>
      </w:r>
      <w:r w:rsidRPr="00291EC2" w:rsidR="004F13C6">
        <w:t xml:space="preserve">, outlined in </w:t>
      </w:r>
      <w:r w:rsidR="00DC14AC">
        <w:t>Section </w:t>
      </w:r>
      <w:r w:rsidRPr="00291EC2" w:rsidR="004F13C6">
        <w:t>III.A,</w:t>
      </w:r>
      <w:r w:rsidRPr="00291EC2">
        <w:t xml:space="preserve"> as other utility-owned generating plants</w:t>
      </w:r>
      <w:r w:rsidRPr="00291EC2" w:rsidR="009A69FD">
        <w:t>.</w:t>
      </w:r>
      <w:r w:rsidRPr="00291EC2" w:rsidR="00C07AAE">
        <w:rPr>
          <w:rStyle w:val="FootnoteReference"/>
        </w:rPr>
        <w:footnoteReference w:id="236"/>
      </w:r>
      <w:r w:rsidRPr="00DD3578">
        <w:t xml:space="preserve"> </w:t>
      </w:r>
    </w:p>
    <w:p w:rsidRPr="00ED5802" w:rsidR="000F65E9" w:rsidP="006A5C0C" w:rsidRDefault="00271B4F" w14:paraId="35EB013F" w14:textId="77777777">
      <w:pPr>
        <w:pStyle w:val="Standard"/>
      </w:pPr>
      <w:r w:rsidRPr="00D72890">
        <w:lastRenderedPageBreak/>
        <w:t>Upon careful review of party comments</w:t>
      </w:r>
      <w:r w:rsidRPr="00D72890" w:rsidR="00887605">
        <w:t>,</w:t>
      </w:r>
      <w:r w:rsidRPr="00D72890" w:rsidR="00E838FB">
        <w:t xml:space="preserve"> </w:t>
      </w:r>
      <w:r w:rsidRPr="00D72890" w:rsidR="00CF06CE">
        <w:t xml:space="preserve">we </w:t>
      </w:r>
      <w:r w:rsidRPr="00D72890" w:rsidR="00E6038E">
        <w:t>are persuade</w:t>
      </w:r>
      <w:r w:rsidRPr="00D72890" w:rsidR="00BD2D4C">
        <w:t>d</w:t>
      </w:r>
      <w:r w:rsidRPr="00D72890" w:rsidR="00E6038E">
        <w:t xml:space="preserve"> by</w:t>
      </w:r>
      <w:r w:rsidRPr="00D72890" w:rsidR="00887605">
        <w:t xml:space="preserve"> PG&amp;E, SCE, SDG&amp;E and</w:t>
      </w:r>
      <w:r w:rsidRPr="00D72890" w:rsidR="00CF06CE">
        <w:t xml:space="preserve"> </w:t>
      </w:r>
      <w:r w:rsidRPr="00D72890" w:rsidR="38638849">
        <w:t>remove</w:t>
      </w:r>
      <w:r w:rsidRPr="00D72890" w:rsidR="00ED5802">
        <w:t xml:space="preserve"> the </w:t>
      </w:r>
      <w:r w:rsidRPr="00D72890" w:rsidR="00DD5F95">
        <w:t>reference to</w:t>
      </w:r>
      <w:r w:rsidRPr="00D72890" w:rsidR="00ED5802">
        <w:t xml:space="preserve"> energy storage from the “extension” definition in </w:t>
      </w:r>
      <w:r w:rsidR="00DC14AC">
        <w:t>Section </w:t>
      </w:r>
      <w:r w:rsidRPr="00D72890" w:rsidR="00ED5802">
        <w:t>I.</w:t>
      </w:r>
      <w:r w:rsidR="00BA2B0C">
        <w:t>F</w:t>
      </w:r>
      <w:r w:rsidRPr="00D72890" w:rsidR="00ED5802">
        <w:t xml:space="preserve">.2 and from the “upgrade” definition in </w:t>
      </w:r>
      <w:r w:rsidR="00DC14AC">
        <w:t>Section </w:t>
      </w:r>
      <w:r w:rsidRPr="00D72890" w:rsidR="00ED5802">
        <w:t>I.H.5.</w:t>
      </w:r>
      <w:r w:rsidR="00ED5802">
        <w:t xml:space="preserve"> </w:t>
      </w:r>
      <w:r w:rsidR="007535C3">
        <w:t>In this p</w:t>
      </w:r>
      <w:r w:rsidR="00E052D1">
        <w:t>roceeding,</w:t>
      </w:r>
      <w:r w:rsidR="007535C3">
        <w:t xml:space="preserve"> there </w:t>
      </w:r>
      <w:r w:rsidR="00957C69">
        <w:t xml:space="preserve">is </w:t>
      </w:r>
      <w:r w:rsidR="0021280C">
        <w:t xml:space="preserve">insufficient record </w:t>
      </w:r>
      <w:r w:rsidR="007535C3">
        <w:t xml:space="preserve">on how to </w:t>
      </w:r>
      <w:r w:rsidR="00BD1883">
        <w:t>develop</w:t>
      </w:r>
      <w:r w:rsidR="007535C3">
        <w:t xml:space="preserve"> </w:t>
      </w:r>
      <w:r w:rsidR="003B5D07">
        <w:t>GO </w:t>
      </w:r>
      <w:r w:rsidR="007535C3">
        <w:t xml:space="preserve">131-E rules for BESS permitting, including the extent of the Commission’s jurisdiction over permitting BESS projects, that may entail preemption of local agency jurisdiction. The near-term effect of not including BESS permitting rules in </w:t>
      </w:r>
      <w:r w:rsidR="003B5D07">
        <w:t>GO </w:t>
      </w:r>
      <w:r w:rsidR="007535C3">
        <w:t>131-E is that permitting of transmission components of BESS projects would</w:t>
      </w:r>
      <w:r w:rsidR="00121ADD">
        <w:t xml:space="preserve"> continue to</w:t>
      </w:r>
      <w:r w:rsidR="007535C3">
        <w:t xml:space="preserve"> be handled on a case-by-case basis by the Commission. In this scenario, the Commission acts as a CEQA responsible agency on BESS projects processed through the CEC’s AB 205 opt-in certification process.</w:t>
      </w:r>
      <w:r w:rsidR="00BD1883">
        <w:t xml:space="preserve"> We therefore</w:t>
      </w:r>
      <w:r w:rsidR="00037404">
        <w:t xml:space="preserve"> close the instant proceeding while </w:t>
      </w:r>
      <w:r w:rsidR="002701B6">
        <w:t xml:space="preserve">instructing </w:t>
      </w:r>
      <w:r w:rsidR="00037404">
        <w:t xml:space="preserve">Staff </w:t>
      </w:r>
      <w:r w:rsidR="002701B6">
        <w:t>to</w:t>
      </w:r>
      <w:r w:rsidR="00037404">
        <w:t xml:space="preserve"> continue </w:t>
      </w:r>
      <w:r w:rsidR="00683CAB">
        <w:t xml:space="preserve">to </w:t>
      </w:r>
      <w:r w:rsidR="00037404">
        <w:t>support the permitting of BESS projects subject to the AB 205 opt-in certification process wherein the C</w:t>
      </w:r>
      <w:r w:rsidR="001D3042">
        <w:t>ommission</w:t>
      </w:r>
      <w:r w:rsidR="00037404">
        <w:t xml:space="preserve"> </w:t>
      </w:r>
      <w:r w:rsidR="7ED41C9F">
        <w:t>may be</w:t>
      </w:r>
      <w:r w:rsidR="00037404">
        <w:t xml:space="preserve"> a CEQA responsible agency.  </w:t>
      </w:r>
      <w:r w:rsidR="002455D8">
        <w:t xml:space="preserve">   </w:t>
      </w:r>
    </w:p>
    <w:p w:rsidR="007D24E0" w:rsidP="00804F6F" w:rsidRDefault="007D24E0" w14:paraId="139BA6D4" w14:textId="77777777">
      <w:pPr>
        <w:pStyle w:val="Heading1"/>
      </w:pPr>
      <w:bookmarkStart w:name="_Toc189738522" w:id="177"/>
      <w:r>
        <w:t>ROW Sharing Between Incumbent and Non-Incumbent Utilities</w:t>
      </w:r>
      <w:bookmarkEnd w:id="177"/>
      <w:r>
        <w:t xml:space="preserve"> </w:t>
      </w:r>
    </w:p>
    <w:p w:rsidR="00317B96" w:rsidP="00490BCD" w:rsidRDefault="00317B96" w14:paraId="555BDDCB" w14:textId="77777777">
      <w:pPr>
        <w:pStyle w:val="Standard"/>
      </w:pPr>
      <w:r w:rsidRPr="002C6075">
        <w:t xml:space="preserve">Below we </w:t>
      </w:r>
      <w:r w:rsidRPr="002C6075" w:rsidR="0011193B">
        <w:t>consider</w:t>
      </w:r>
      <w:r w:rsidRPr="002C6075">
        <w:t xml:space="preserve"> Cal Advocates’ ROW sharing proposal </w:t>
      </w:r>
      <w:r w:rsidRPr="002C6075" w:rsidR="00530FF7">
        <w:t>and related comments</w:t>
      </w:r>
      <w:r w:rsidR="00D6198C">
        <w:t>. A</w:t>
      </w:r>
      <w:r w:rsidRPr="002C6075" w:rsidR="0066392C">
        <w:t xml:space="preserve">s discussed, </w:t>
      </w:r>
      <w:r w:rsidRPr="002C6075" w:rsidR="00096B0C">
        <w:t xml:space="preserve">we </w:t>
      </w:r>
      <w:r w:rsidRPr="002C6075" w:rsidR="00C810B3">
        <w:t>do not adopt</w:t>
      </w:r>
      <w:r w:rsidRPr="002C6075">
        <w:t xml:space="preserve"> the </w:t>
      </w:r>
      <w:r w:rsidRPr="002C6075" w:rsidR="00C810B3">
        <w:t>proposal</w:t>
      </w:r>
      <w:r w:rsidRPr="00CD3022" w:rsidR="00CD3022">
        <w:t>.</w:t>
      </w:r>
    </w:p>
    <w:p w:rsidRPr="00496C45" w:rsidR="009F4906" w:rsidP="00490BCD" w:rsidRDefault="5EFA75BE" w14:paraId="4058993A" w14:textId="77777777">
      <w:pPr>
        <w:pStyle w:val="Standard"/>
      </w:pPr>
      <w:r w:rsidRPr="00496C45">
        <w:t>CAISO uses a competitive bid solicitation process to select a project sponsor for certain projects approved in CAISO’s TPP</w:t>
      </w:r>
      <w:r w:rsidRPr="00496C45" w:rsidR="0DCA553C">
        <w:t>.</w:t>
      </w:r>
      <w:r w:rsidRPr="00496C45" w:rsidR="009F4906">
        <w:t xml:space="preserve"> </w:t>
      </w:r>
      <w:r w:rsidRPr="00496C45" w:rsidR="00490BCD">
        <w:t>A</w:t>
      </w:r>
      <w:r w:rsidRPr="00496C45" w:rsidR="004B3E7C">
        <w:t xml:space="preserve">ccess to </w:t>
      </w:r>
      <w:r w:rsidRPr="00496C45" w:rsidR="00AB5D18">
        <w:t>ROW</w:t>
      </w:r>
      <w:r w:rsidRPr="00496C45" w:rsidR="004B3E7C">
        <w:t xml:space="preserve"> to</w:t>
      </w:r>
      <w:r w:rsidRPr="00496C45" w:rsidR="00AB5D18">
        <w:t xml:space="preserve"> site </w:t>
      </w:r>
      <w:r w:rsidRPr="00496C45" w:rsidR="009F4906">
        <w:t xml:space="preserve">is a </w:t>
      </w:r>
      <w:r w:rsidRPr="00496C45" w:rsidR="00490BCD">
        <w:t xml:space="preserve">selection </w:t>
      </w:r>
      <w:r w:rsidRPr="00496C45" w:rsidR="004B3E7C">
        <w:t>facto</w:t>
      </w:r>
      <w:r w:rsidRPr="00496C45" w:rsidR="00490BCD">
        <w:t xml:space="preserve">r in the </w:t>
      </w:r>
      <w:r w:rsidRPr="00496C45" w:rsidR="1D381822">
        <w:t>CAISO</w:t>
      </w:r>
      <w:r w:rsidRPr="00496C45" w:rsidR="3E2DBF7A">
        <w:t>’s</w:t>
      </w:r>
      <w:r w:rsidRPr="00496C45" w:rsidR="00490BCD">
        <w:t xml:space="preserve"> solicitation process</w:t>
      </w:r>
      <w:r w:rsidRPr="00496C45" w:rsidR="009F4906">
        <w:t>.</w:t>
      </w:r>
      <w:r w:rsidRPr="00496C45" w:rsidR="00490BCD">
        <w:t xml:space="preserve"> While i</w:t>
      </w:r>
      <w:r w:rsidRPr="00496C45" w:rsidR="009F4906">
        <w:t>ncumbent utilities, such as</w:t>
      </w:r>
      <w:r w:rsidRPr="00496C45" w:rsidR="0021131F">
        <w:t xml:space="preserve"> </w:t>
      </w:r>
      <w:r w:rsidRPr="00496C45" w:rsidR="009F4906">
        <w:t xml:space="preserve">California’s large IOUs, own and maintain transmission infrastructure </w:t>
      </w:r>
      <w:r w:rsidRPr="00496C45" w:rsidR="0021131F">
        <w:t>in</w:t>
      </w:r>
      <w:r w:rsidRPr="00496C45" w:rsidR="009F4906">
        <w:t xml:space="preserve"> existing ROWs</w:t>
      </w:r>
      <w:r w:rsidRPr="00496C45" w:rsidR="00490BCD">
        <w:t>, non-incumbent utilities cannot</w:t>
      </w:r>
      <w:r w:rsidRPr="00496C45" w:rsidR="009F4906">
        <w:t xml:space="preserve"> leverage existing</w:t>
      </w:r>
      <w:r w:rsidRPr="00496C45" w:rsidR="004B3E7C">
        <w:t xml:space="preserve"> </w:t>
      </w:r>
      <w:r w:rsidRPr="00496C45" w:rsidR="009F4906">
        <w:t>ROW agreements</w:t>
      </w:r>
      <w:r w:rsidRPr="00496C45" w:rsidR="00890445">
        <w:t xml:space="preserve"> to the same extent</w:t>
      </w:r>
      <w:r w:rsidRPr="00496C45" w:rsidR="00490BCD">
        <w:t xml:space="preserve">. </w:t>
      </w:r>
      <w:r w:rsidRPr="00496C45" w:rsidR="4EE099AD">
        <w:t>In the CAISO</w:t>
      </w:r>
      <w:r w:rsidRPr="00496C45" w:rsidR="7CCA1CB5">
        <w:t>’s solicitation process</w:t>
      </w:r>
      <w:r w:rsidRPr="00496C45" w:rsidR="00890445">
        <w:t>, this creates a disadvantage for non-incumbent utilities.</w:t>
      </w:r>
      <w:r w:rsidR="00890445">
        <w:t xml:space="preserve"> </w:t>
      </w:r>
    </w:p>
    <w:p w:rsidRPr="00E92E4D" w:rsidR="009F4906" w:rsidP="00773BDE" w:rsidRDefault="00890445" w14:paraId="21FB0FCD" w14:textId="77777777">
      <w:pPr>
        <w:pStyle w:val="Standard"/>
      </w:pPr>
      <w:r>
        <w:lastRenderedPageBreak/>
        <w:t xml:space="preserve">To create a streamlined, efficient, and cost-effective process, </w:t>
      </w:r>
      <w:r w:rsidRPr="009F4906" w:rsidR="009F4906">
        <w:t>Cal Advocates proposes</w:t>
      </w:r>
      <w:r>
        <w:t xml:space="preserve"> t</w:t>
      </w:r>
      <w:r w:rsidRPr="009F4906" w:rsidR="009F4906">
        <w:t>hat the C</w:t>
      </w:r>
      <w:r>
        <w:t>ommission</w:t>
      </w:r>
      <w:r w:rsidRPr="009F4906" w:rsidR="009F4906">
        <w:t xml:space="preserve"> amend </w:t>
      </w:r>
      <w:r w:rsidR="003B5D07">
        <w:t>GO </w:t>
      </w:r>
      <w:r w:rsidRPr="009F4906" w:rsidR="009F4906">
        <w:t xml:space="preserve">131-D </w:t>
      </w:r>
      <w:r>
        <w:t xml:space="preserve">rules </w:t>
      </w:r>
      <w:r w:rsidRPr="009F4906" w:rsidR="009F4906">
        <w:t>to require</w:t>
      </w:r>
      <w:r>
        <w:t xml:space="preserve"> </w:t>
      </w:r>
      <w:r w:rsidRPr="009F4906" w:rsidR="009F4906">
        <w:t>ROW sharing between non</w:t>
      </w:r>
      <w:r>
        <w:t>-</w:t>
      </w:r>
      <w:r w:rsidRPr="009F4906" w:rsidR="009F4906">
        <w:t>incumbent and incumbent electric utilities</w:t>
      </w:r>
      <w:r>
        <w:t>.</w:t>
      </w:r>
      <w:r>
        <w:rPr>
          <w:rStyle w:val="FootnoteReference"/>
        </w:rPr>
        <w:footnoteReference w:id="237"/>
      </w:r>
      <w:r w:rsidRPr="009F4906" w:rsidR="009F4906">
        <w:t xml:space="preserve"> </w:t>
      </w:r>
      <w:r w:rsidR="00773BDE">
        <w:t>We now review Cal Advocates’ proposal.</w:t>
      </w:r>
    </w:p>
    <w:p w:rsidR="00E60EE5" w:rsidP="00E60EE5" w:rsidRDefault="00890445" w14:paraId="3799FB1F" w14:textId="77777777">
      <w:pPr>
        <w:pStyle w:val="Standard"/>
      </w:pPr>
      <w:r>
        <w:t>Cal Advocates supports a ROW sharing process</w:t>
      </w:r>
      <w:r w:rsidRPr="009F4906">
        <w:t xml:space="preserve"> because it would enable non-incumbent electric utilities to: (1) build on</w:t>
      </w:r>
      <w:r>
        <w:t xml:space="preserve"> </w:t>
      </w:r>
      <w:r w:rsidRPr="009F4906">
        <w:t>already-permitted land; (2) use already-constructed assets; and (3) locate construction on land parcels that</w:t>
      </w:r>
      <w:r>
        <w:t xml:space="preserve"> </w:t>
      </w:r>
      <w:r w:rsidRPr="009F4906">
        <w:t>have already undergone some form of environmental review</w:t>
      </w:r>
      <w:r w:rsidR="00B54452">
        <w:t xml:space="preserve">. Further, Cal Advocates contends that ROW sharing </w:t>
      </w:r>
      <w:r w:rsidRPr="009F4906">
        <w:t>would</w:t>
      </w:r>
      <w:r w:rsidR="00773BDE">
        <w:t xml:space="preserve"> </w:t>
      </w:r>
      <w:r w:rsidRPr="009F4906">
        <w:t>be consistent with the State’s long standing Garamendi Principles outlined in SB</w:t>
      </w:r>
      <w:r w:rsidR="00C45D1D">
        <w:t xml:space="preserve"> </w:t>
      </w:r>
      <w:r w:rsidRPr="009F4906">
        <w:t>2431</w:t>
      </w:r>
      <w:r w:rsidR="00773BDE">
        <w:t xml:space="preserve"> </w:t>
      </w:r>
      <w:r w:rsidRPr="009F4906">
        <w:t>(Garamendi, C</w:t>
      </w:r>
      <w:r w:rsidR="00773BDE">
        <w:t>h.</w:t>
      </w:r>
      <w:r w:rsidRPr="009F4906">
        <w:t>1457, Stat</w:t>
      </w:r>
      <w:r w:rsidR="00773BDE">
        <w:t>s.</w:t>
      </w:r>
      <w:r w:rsidRPr="009F4906">
        <w:t xml:space="preserve"> 1988)</w:t>
      </w:r>
      <w:r w:rsidR="00B54452">
        <w:t xml:space="preserve">, which encourages the </w:t>
      </w:r>
      <w:r w:rsidR="185EE6D7">
        <w:t>use of existing</w:t>
      </w:r>
      <w:r w:rsidR="00B54452">
        <w:t xml:space="preserve"> ROWs.</w:t>
      </w:r>
      <w:r w:rsidR="00121F47">
        <w:rPr>
          <w:rStyle w:val="FootnoteReference"/>
        </w:rPr>
        <w:footnoteReference w:id="238"/>
      </w:r>
      <w:r w:rsidRPr="009F4906">
        <w:t xml:space="preserve"> Cal Advocates highlights that IOUs use ratepayer funds to</w:t>
      </w:r>
      <w:r>
        <w:t xml:space="preserve"> </w:t>
      </w:r>
      <w:r w:rsidRPr="009F4906">
        <w:t xml:space="preserve">obtain ROWs and related assets. </w:t>
      </w:r>
    </w:p>
    <w:p w:rsidRPr="008A640D" w:rsidR="00890445" w:rsidP="00E60EE5" w:rsidRDefault="00504BA0" w14:paraId="2943B153" w14:textId="77777777">
      <w:pPr>
        <w:pStyle w:val="Standard"/>
      </w:pPr>
      <w:r>
        <w:t>To structure this process,</w:t>
      </w:r>
      <w:r w:rsidR="00121F47">
        <w:t xml:space="preserve"> </w:t>
      </w:r>
      <w:r w:rsidRPr="009F4906" w:rsidR="00890445">
        <w:t>Cal Advocates proposes</w:t>
      </w:r>
      <w:r w:rsidR="00AC7321">
        <w:t xml:space="preserve"> that </w:t>
      </w:r>
      <w:r w:rsidR="00355E3E">
        <w:t>j</w:t>
      </w:r>
      <w:r w:rsidRPr="009F4906" w:rsidR="00890445">
        <w:t xml:space="preserve">oint </w:t>
      </w:r>
      <w:r w:rsidR="00355E3E">
        <w:t>u</w:t>
      </w:r>
      <w:r w:rsidRPr="009F4906" w:rsidR="00890445">
        <w:t xml:space="preserve">se </w:t>
      </w:r>
      <w:r w:rsidR="00355E3E">
        <w:t>a</w:t>
      </w:r>
      <w:r w:rsidRPr="009F4906" w:rsidR="00890445">
        <w:t>greements</w:t>
      </w:r>
      <w:r w:rsidR="00AC7321">
        <w:t xml:space="preserve">, </w:t>
      </w:r>
      <w:r w:rsidR="00121F47">
        <w:t>such as</w:t>
      </w:r>
      <w:r w:rsidRPr="009F4906" w:rsidR="00890445">
        <w:t xml:space="preserve"> arrangements between</w:t>
      </w:r>
      <w:r w:rsidR="00890445">
        <w:t xml:space="preserve"> </w:t>
      </w:r>
      <w:r w:rsidRPr="009F4906" w:rsidR="00890445">
        <w:t xml:space="preserve">telecommunications providers and </w:t>
      </w:r>
      <w:r w:rsidRPr="008A640D" w:rsidR="00890445">
        <w:t>electrical utilities</w:t>
      </w:r>
      <w:r w:rsidRPr="008A640D" w:rsidR="00AC7321">
        <w:t xml:space="preserve">, should be used to </w:t>
      </w:r>
      <w:r w:rsidRPr="008A640D" w:rsidR="00355E3E">
        <w:t>develop</w:t>
      </w:r>
      <w:r w:rsidRPr="008A640D" w:rsidR="00AC7321">
        <w:t xml:space="preserve"> ROW sharing</w:t>
      </w:r>
      <w:r w:rsidRPr="008A640D" w:rsidR="00355E3E">
        <w:t xml:space="preserve"> agreements</w:t>
      </w:r>
      <w:r w:rsidRPr="008A640D" w:rsidR="00AC7321">
        <w:t xml:space="preserve">. In support of this approach, Cal Advocates cites </w:t>
      </w:r>
      <w:r w:rsidRPr="008A640D" w:rsidR="00890445">
        <w:t>Pub</w:t>
      </w:r>
      <w:r w:rsidRPr="008A640D" w:rsidR="00773BDE">
        <w:t>.</w:t>
      </w:r>
      <w:r w:rsidRPr="008A640D" w:rsidR="00890445">
        <w:t xml:space="preserve"> Util</w:t>
      </w:r>
      <w:r w:rsidRPr="008A640D" w:rsidR="00773BDE">
        <w:t>.</w:t>
      </w:r>
      <w:r w:rsidRPr="008A640D" w:rsidR="00890445">
        <w:t xml:space="preserve"> Code </w:t>
      </w:r>
      <w:r w:rsidR="00DC14AC">
        <w:t>Section </w:t>
      </w:r>
      <w:r w:rsidRPr="008A640D" w:rsidR="00890445">
        <w:t xml:space="preserve">767 </w:t>
      </w:r>
      <w:r w:rsidRPr="008A640D" w:rsidR="00AC7321">
        <w:t xml:space="preserve">which </w:t>
      </w:r>
      <w:r w:rsidRPr="008A640D" w:rsidR="00890445">
        <w:t>states that the C</w:t>
      </w:r>
      <w:r w:rsidRPr="008A640D" w:rsidR="00773BDE">
        <w:t>ommission</w:t>
      </w:r>
      <w:r w:rsidRPr="008A640D" w:rsidR="00890445">
        <w:t xml:space="preserve"> may order a public utility to allow another public utility to use its ROW or facilities and prescribe reasonable compensation and </w:t>
      </w:r>
      <w:r w:rsidRPr="008A640D" w:rsidR="00890445">
        <w:lastRenderedPageBreak/>
        <w:t xml:space="preserve">terms and conditions for </w:t>
      </w:r>
      <w:r w:rsidRPr="008A640D" w:rsidR="000D15ED">
        <w:t>joint</w:t>
      </w:r>
      <w:r w:rsidRPr="008A640D" w:rsidR="00890445">
        <w:t xml:space="preserve"> use, when required by the public convenience and necessity</w:t>
      </w:r>
      <w:r w:rsidRPr="008A640D" w:rsidR="00AC7321">
        <w:t>.</w:t>
      </w:r>
      <w:r w:rsidRPr="008A640D" w:rsidR="00AC7321">
        <w:rPr>
          <w:rStyle w:val="FootnoteReference"/>
        </w:rPr>
        <w:footnoteReference w:id="239"/>
      </w:r>
    </w:p>
    <w:p w:rsidRPr="008A640D" w:rsidR="00E60EE5" w:rsidP="0015060E" w:rsidRDefault="00890445" w14:paraId="24F6878F" w14:textId="77777777">
      <w:pPr>
        <w:pStyle w:val="Standard"/>
      </w:pPr>
      <w:r w:rsidRPr="008A640D">
        <w:t>Cal Advocates asserts</w:t>
      </w:r>
      <w:r w:rsidRPr="008A640D" w:rsidR="00773BDE">
        <w:t xml:space="preserve"> </w:t>
      </w:r>
      <w:r w:rsidRPr="008A640D">
        <w:t xml:space="preserve">that its ROW </w:t>
      </w:r>
      <w:r w:rsidRPr="008A640D" w:rsidR="00B1547A">
        <w:t xml:space="preserve">sharing </w:t>
      </w:r>
      <w:r w:rsidRPr="008A640D">
        <w:t>proposal would not pose a</w:t>
      </w:r>
      <w:r w:rsidRPr="008A640D" w:rsidR="00E60EE5">
        <w:t xml:space="preserve"> property </w:t>
      </w:r>
      <w:r w:rsidRPr="008A640D">
        <w:t xml:space="preserve">takings </w:t>
      </w:r>
      <w:r w:rsidRPr="008A640D" w:rsidR="00E60EE5">
        <w:t xml:space="preserve">or forfeiture </w:t>
      </w:r>
      <w:r w:rsidRPr="008A640D">
        <w:t>issu</w:t>
      </w:r>
      <w:r w:rsidRPr="008A640D" w:rsidR="00121F47">
        <w:t>e p</w:t>
      </w:r>
      <w:r w:rsidRPr="008A640D">
        <w:t xml:space="preserve">ursuant to the Fifth Amendment </w:t>
      </w:r>
      <w:r w:rsidRPr="008A640D" w:rsidR="00121F47">
        <w:t>due to the provisions of</w:t>
      </w:r>
      <w:r w:rsidRPr="008A640D">
        <w:t xml:space="preserve"> Pu</w:t>
      </w:r>
      <w:r w:rsidRPr="008A640D" w:rsidR="00121F47">
        <w:t>b.</w:t>
      </w:r>
      <w:r w:rsidRPr="008A640D">
        <w:t xml:space="preserve"> Util</w:t>
      </w:r>
      <w:r w:rsidRPr="008A640D" w:rsidR="00121F47">
        <w:t>.</w:t>
      </w:r>
      <w:r w:rsidRPr="008A640D">
        <w:t xml:space="preserve"> Code </w:t>
      </w:r>
      <w:r w:rsidR="00DC14AC">
        <w:t>Section </w:t>
      </w:r>
      <w:r w:rsidRPr="008A640D">
        <w:t>762</w:t>
      </w:r>
      <w:r w:rsidRPr="008A640D" w:rsidR="00E60EE5">
        <w:t xml:space="preserve">, which states that </w:t>
      </w:r>
      <w:r w:rsidRPr="008A640D" w:rsidR="00121F47">
        <w:t xml:space="preserve">the incumbent and non-incumbent utility will agree on the division of costs </w:t>
      </w:r>
      <w:r w:rsidRPr="008A640D" w:rsidR="00E60EE5">
        <w:t xml:space="preserve">prior </w:t>
      </w:r>
      <w:r w:rsidRPr="008A640D" w:rsidR="00121F47">
        <w:t>to when</w:t>
      </w:r>
      <w:r w:rsidRPr="008A640D" w:rsidR="00E60EE5">
        <w:t xml:space="preserve"> </w:t>
      </w:r>
      <w:r w:rsidRPr="008A640D" w:rsidR="00121F47">
        <w:t>the R</w:t>
      </w:r>
      <w:r w:rsidRPr="008A640D" w:rsidR="00E60EE5">
        <w:t xml:space="preserve">OW </w:t>
      </w:r>
      <w:r w:rsidRPr="008A640D" w:rsidR="00121F47">
        <w:t xml:space="preserve">is shared. </w:t>
      </w:r>
      <w:r w:rsidRPr="008A640D" w:rsidR="00A83002">
        <w:t>Cal Advocates states that if</w:t>
      </w:r>
      <w:r w:rsidRPr="008A640D" w:rsidR="00121F47">
        <w:t xml:space="preserve"> an agreement cannot be reached, the Commission will decide what proportion of costs should be allocated to each utility in the ROW sharing arrangement.</w:t>
      </w:r>
      <w:r w:rsidRPr="008A640D" w:rsidR="00121F47">
        <w:rPr>
          <w:rStyle w:val="FootnoteReference"/>
        </w:rPr>
        <w:footnoteReference w:id="240"/>
      </w:r>
      <w:r w:rsidRPr="008A640D" w:rsidR="00E60EE5">
        <w:t xml:space="preserve"> </w:t>
      </w:r>
    </w:p>
    <w:p w:rsidRPr="00890445" w:rsidR="00890445" w:rsidP="00B1547A" w:rsidRDefault="00B1547A" w14:paraId="20BB3A97" w14:textId="77777777">
      <w:pPr>
        <w:pStyle w:val="Standard"/>
      </w:pPr>
      <w:r w:rsidRPr="008A640D">
        <w:t xml:space="preserve">Of </w:t>
      </w:r>
      <w:proofErr w:type="gramStart"/>
      <w:r w:rsidRPr="008A640D">
        <w:t>note</w:t>
      </w:r>
      <w:proofErr w:type="gramEnd"/>
      <w:r w:rsidRPr="008A640D">
        <w:t xml:space="preserve">, </w:t>
      </w:r>
      <w:r w:rsidRPr="008A640D" w:rsidR="00890445">
        <w:t>ROW sharing by incumbent public utilities may be subject to Pub</w:t>
      </w:r>
      <w:r w:rsidRPr="008A640D">
        <w:t>.</w:t>
      </w:r>
      <w:r w:rsidRPr="008A640D" w:rsidR="00890445">
        <w:t xml:space="preserve"> Util</w:t>
      </w:r>
      <w:r w:rsidRPr="008A640D">
        <w:t>.</w:t>
      </w:r>
      <w:r w:rsidRPr="008A640D" w:rsidR="00890445">
        <w:t xml:space="preserve"> Code </w:t>
      </w:r>
      <w:r w:rsidR="00DC14AC">
        <w:t>Section </w:t>
      </w:r>
      <w:r w:rsidRPr="008A640D" w:rsidR="00890445">
        <w:t xml:space="preserve">851 or, if applicable, </w:t>
      </w:r>
      <w:r w:rsidR="003B5D07">
        <w:t>GO </w:t>
      </w:r>
      <w:r w:rsidRPr="008A640D" w:rsidR="00890445">
        <w:t xml:space="preserve">173. </w:t>
      </w:r>
      <w:r w:rsidRPr="008A640D">
        <w:t xml:space="preserve">Pursuant </w:t>
      </w:r>
      <w:r w:rsidRPr="008A640D" w:rsidR="00890445">
        <w:t xml:space="preserve">to </w:t>
      </w:r>
      <w:r w:rsidRPr="008A640D">
        <w:t xml:space="preserve">Pub. Util. Code </w:t>
      </w:r>
      <w:r w:rsidR="00DC14AC">
        <w:t>Section </w:t>
      </w:r>
      <w:r w:rsidRPr="008A640D">
        <w:t>851</w:t>
      </w:r>
      <w:r w:rsidRPr="008A640D" w:rsidR="00890445">
        <w:t xml:space="preserve">, </w:t>
      </w:r>
      <w:r w:rsidRPr="008A640D">
        <w:t xml:space="preserve">prior to entering a ROW sharing agreement, </w:t>
      </w:r>
      <w:r w:rsidRPr="008A640D" w:rsidR="00890445">
        <w:t>a public utility</w:t>
      </w:r>
      <w:r w:rsidRPr="008A640D">
        <w:t xml:space="preserve"> may </w:t>
      </w:r>
      <w:r w:rsidRPr="008A640D" w:rsidR="00624DF9">
        <w:t xml:space="preserve">be </w:t>
      </w:r>
      <w:r w:rsidRPr="008A640D">
        <w:t>require</w:t>
      </w:r>
      <w:r w:rsidRPr="008A640D" w:rsidR="00624DF9">
        <w:t>d</w:t>
      </w:r>
      <w:r w:rsidRPr="008A640D">
        <w:t xml:space="preserve"> to</w:t>
      </w:r>
      <w:r w:rsidRPr="008A640D" w:rsidR="00890445">
        <w:t xml:space="preserve"> secure a C</w:t>
      </w:r>
      <w:r w:rsidRPr="008A640D">
        <w:t xml:space="preserve">ommission </w:t>
      </w:r>
      <w:r w:rsidRPr="008A640D" w:rsidR="00624DF9">
        <w:t xml:space="preserve">order </w:t>
      </w:r>
      <w:r w:rsidRPr="008A640D">
        <w:t xml:space="preserve">or file an advice letter to </w:t>
      </w:r>
      <w:r w:rsidRPr="008A640D" w:rsidR="00624DF9">
        <w:t>secure</w:t>
      </w:r>
      <w:r w:rsidRPr="008A640D" w:rsidR="00890445">
        <w:t xml:space="preserve"> authoriz</w:t>
      </w:r>
      <w:r w:rsidRPr="008A640D" w:rsidR="00624DF9">
        <w:t>ation</w:t>
      </w:r>
      <w:r w:rsidRPr="008A640D">
        <w:t>.</w:t>
      </w:r>
      <w:r>
        <w:t xml:space="preserve"> </w:t>
      </w:r>
    </w:p>
    <w:p w:rsidR="00FC7793" w:rsidP="00F642ED" w:rsidRDefault="006823EA" w14:paraId="49C36AD4" w14:textId="77777777">
      <w:pPr>
        <w:pStyle w:val="Standard"/>
      </w:pPr>
      <w:r>
        <w:t>Staff Proposal</w:t>
      </w:r>
      <w:r w:rsidR="00B228BB">
        <w:t xml:space="preserve"> </w:t>
      </w:r>
      <w:r w:rsidR="00DC14AC">
        <w:t>Section </w:t>
      </w:r>
      <w:r w:rsidR="00B228BB">
        <w:t>3.6</w:t>
      </w:r>
      <w:r w:rsidR="00636C2D">
        <w:t>,</w:t>
      </w:r>
      <w:r>
        <w:t xml:space="preserve"> Proposal 1</w:t>
      </w:r>
      <w:r w:rsidR="00E12F53">
        <w:t xml:space="preserve"> recommends consideration of Cal Advocates’ ROW sharing proposal. To implement Cal Ad</w:t>
      </w:r>
      <w:r w:rsidR="008D3010">
        <w:t>vocates’</w:t>
      </w:r>
      <w:r w:rsidR="00E12F53">
        <w:t xml:space="preserve"> proposal, Staff suggests th</w:t>
      </w:r>
      <w:r w:rsidR="008D3010">
        <w:t>e addition of</w:t>
      </w:r>
      <w:r w:rsidR="00E12F53">
        <w:t xml:space="preserve"> </w:t>
      </w:r>
      <w:r w:rsidR="00DC14AC">
        <w:t>Section </w:t>
      </w:r>
      <w:r w:rsidRPr="00FC7793" w:rsidR="00FC7793">
        <w:t xml:space="preserve">IX.D </w:t>
      </w:r>
      <w:r w:rsidR="00E12F53">
        <w:t>t</w:t>
      </w:r>
      <w:r w:rsidR="008D3010">
        <w:t>o</w:t>
      </w:r>
      <w:r w:rsidR="00E12F53">
        <w:t xml:space="preserve"> </w:t>
      </w:r>
      <w:r w:rsidR="003B5D07">
        <w:t>GO </w:t>
      </w:r>
      <w:r w:rsidR="008D3010">
        <w:t>131-E wherein</w:t>
      </w:r>
      <w:r w:rsidR="00E12F53">
        <w:t xml:space="preserve"> </w:t>
      </w:r>
      <w:r w:rsidRPr="00FC7793" w:rsidR="00FC7793">
        <w:t>incumbent and non</w:t>
      </w:r>
      <w:r>
        <w:t>-</w:t>
      </w:r>
      <w:r w:rsidRPr="00FC7793" w:rsidR="00FC7793">
        <w:t>incumbent</w:t>
      </w:r>
      <w:r>
        <w:t xml:space="preserve"> </w:t>
      </w:r>
      <w:r w:rsidRPr="00FC7793" w:rsidR="00FC7793">
        <w:t>utilities</w:t>
      </w:r>
      <w:r>
        <w:t xml:space="preserve"> </w:t>
      </w:r>
      <w:r w:rsidR="00E83707">
        <w:t>would be</w:t>
      </w:r>
      <w:r w:rsidR="008D3010">
        <w:t xml:space="preserve"> required to</w:t>
      </w:r>
      <w:r w:rsidRPr="00FC7793" w:rsidR="00FC7793">
        <w:t xml:space="preserve"> negotiate</w:t>
      </w:r>
      <w:r w:rsidR="00DE68B3">
        <w:t xml:space="preserve"> a</w:t>
      </w:r>
      <w:r w:rsidRPr="00FC7793" w:rsidR="00FC7793">
        <w:t xml:space="preserve"> </w:t>
      </w:r>
      <w:r w:rsidR="00DE68B3">
        <w:t>j</w:t>
      </w:r>
      <w:r w:rsidRPr="00FC7793" w:rsidR="00DE68B3">
        <w:t xml:space="preserve">oint </w:t>
      </w:r>
      <w:r w:rsidR="00DE68B3">
        <w:t>u</w:t>
      </w:r>
      <w:r w:rsidRPr="00FC7793" w:rsidR="00DE68B3">
        <w:t xml:space="preserve">se </w:t>
      </w:r>
      <w:r w:rsidR="00DE68B3">
        <w:t>a</w:t>
      </w:r>
      <w:r w:rsidRPr="00FC7793" w:rsidR="00DE68B3">
        <w:t>greement</w:t>
      </w:r>
      <w:r w:rsidR="00DE68B3">
        <w:t xml:space="preserve"> for ROW sharing </w:t>
      </w:r>
      <w:r w:rsidR="00F642ED">
        <w:t xml:space="preserve">based on </w:t>
      </w:r>
      <w:r w:rsidRPr="00DE68B3" w:rsidR="00DE68B3">
        <w:t>reasonable terms and conditions</w:t>
      </w:r>
      <w:r w:rsidR="00DE68B3">
        <w:t>.</w:t>
      </w:r>
      <w:r w:rsidRPr="00DE68B3" w:rsidR="00DE68B3">
        <w:t xml:space="preserve"> </w:t>
      </w:r>
      <w:r w:rsidR="00F642ED">
        <w:t>Further, incumbent and non-incumbent utilities engaged in a ROW sharing agreement would be required to sign an agreement t</w:t>
      </w:r>
      <w:r w:rsidR="00600BF7">
        <w:t>hat</w:t>
      </w:r>
      <w:r w:rsidR="00F642ED">
        <w:t xml:space="preserve"> </w:t>
      </w:r>
      <w:r w:rsidR="00600BF7">
        <w:t>reasonably</w:t>
      </w:r>
      <w:r w:rsidR="00F642ED">
        <w:t xml:space="preserve"> compensate</w:t>
      </w:r>
      <w:r w:rsidR="00600BF7">
        <w:t>s</w:t>
      </w:r>
      <w:r w:rsidR="00F642ED">
        <w:t xml:space="preserve"> incumbent utilities. </w:t>
      </w:r>
      <w:r w:rsidR="00DC14AC">
        <w:t>Section </w:t>
      </w:r>
      <w:r w:rsidRPr="00FC7793" w:rsidR="00FC7793">
        <w:t>IX</w:t>
      </w:r>
      <w:r w:rsidR="00F642ED">
        <w:t>.D</w:t>
      </w:r>
      <w:r w:rsidRPr="00FC7793" w:rsidR="00FC7793">
        <w:t xml:space="preserve"> </w:t>
      </w:r>
      <w:r w:rsidR="00F642ED">
        <w:t>would also specify</w:t>
      </w:r>
      <w:r w:rsidRPr="00FC7793" w:rsidR="00FC7793">
        <w:t xml:space="preserve"> procedures </w:t>
      </w:r>
      <w:r w:rsidR="00F642ED">
        <w:t xml:space="preserve">for </w:t>
      </w:r>
      <w:r w:rsidRPr="00FC7793" w:rsidR="00F642ED">
        <w:t>non-incumbent electric utili</w:t>
      </w:r>
      <w:r w:rsidR="00F642ED">
        <w:t>ties to</w:t>
      </w:r>
      <w:r w:rsidRPr="00FC7793" w:rsidR="00F642ED">
        <w:t xml:space="preserve"> </w:t>
      </w:r>
      <w:r w:rsidRPr="00FC7793" w:rsidR="00FC7793">
        <w:t xml:space="preserve">initiate ROW sharing </w:t>
      </w:r>
      <w:r w:rsidR="00600BF7">
        <w:t xml:space="preserve">when </w:t>
      </w:r>
      <w:r w:rsidRPr="00FC7793" w:rsidR="00FC7793">
        <w:t>access to an incumbent electric utility’s</w:t>
      </w:r>
      <w:r>
        <w:t xml:space="preserve"> </w:t>
      </w:r>
      <w:r w:rsidR="00600BF7">
        <w:t>R</w:t>
      </w:r>
      <w:r w:rsidRPr="00FC7793" w:rsidR="00FC7793">
        <w:t>OW</w:t>
      </w:r>
      <w:r w:rsidR="00624DF9">
        <w:t xml:space="preserve"> is </w:t>
      </w:r>
      <w:r w:rsidR="00624DF9">
        <w:lastRenderedPageBreak/>
        <w:t>needed</w:t>
      </w:r>
      <w:r w:rsidR="00600BF7">
        <w:t xml:space="preserve">. If the incumbent and non-incumbent utilities cannot reach an agreement, </w:t>
      </w:r>
      <w:r w:rsidR="00DC14AC">
        <w:t>Section </w:t>
      </w:r>
      <w:r w:rsidR="00600BF7">
        <w:t xml:space="preserve">IX.D </w:t>
      </w:r>
      <w:r w:rsidR="00506943">
        <w:t xml:space="preserve">would </w:t>
      </w:r>
      <w:r w:rsidR="00600BF7">
        <w:t xml:space="preserve">set rules for the </w:t>
      </w:r>
      <w:r w:rsidRPr="00FC7793" w:rsidR="00FC7793">
        <w:t xml:space="preserve">Commission to </w:t>
      </w:r>
      <w:r w:rsidR="00600BF7">
        <w:t>issue an</w:t>
      </w:r>
      <w:r w:rsidRPr="00FC7793" w:rsidR="00FC7793">
        <w:t xml:space="preserve"> order </w:t>
      </w:r>
      <w:r w:rsidR="00600BF7">
        <w:t xml:space="preserve">that </w:t>
      </w:r>
      <w:r w:rsidRPr="00FC7793" w:rsidR="00FC7793">
        <w:t>determin</w:t>
      </w:r>
      <w:r w:rsidR="00600BF7">
        <w:t>es both</w:t>
      </w:r>
      <w:r w:rsidRPr="00FC7793" w:rsidR="00FC7793">
        <w:t xml:space="preserve"> reasonable terms</w:t>
      </w:r>
      <w:r w:rsidR="00600BF7">
        <w:t xml:space="preserve"> conditions</w:t>
      </w:r>
      <w:r w:rsidRPr="00FC7793" w:rsidR="00FC7793">
        <w:t xml:space="preserve"> and </w:t>
      </w:r>
      <w:r w:rsidR="00600BF7">
        <w:t xml:space="preserve">reasonable </w:t>
      </w:r>
      <w:r w:rsidRPr="00FC7793" w:rsidR="00FC7793">
        <w:t xml:space="preserve">compensation </w:t>
      </w:r>
      <w:r w:rsidR="00600BF7">
        <w:t xml:space="preserve">for </w:t>
      </w:r>
      <w:r w:rsidRPr="00FC7793" w:rsidR="00FC7793">
        <w:t xml:space="preserve">ROW </w:t>
      </w:r>
      <w:r w:rsidR="00600BF7">
        <w:t>sharing.</w:t>
      </w:r>
      <w:r w:rsidR="005F5682">
        <w:rPr>
          <w:rStyle w:val="FootnoteReference"/>
        </w:rPr>
        <w:footnoteReference w:id="241"/>
      </w:r>
    </w:p>
    <w:p w:rsidR="00510558" w:rsidP="00510558" w:rsidRDefault="00E12F53" w14:paraId="68E614CA" w14:textId="77777777">
      <w:pPr>
        <w:pStyle w:val="Standard"/>
      </w:pPr>
      <w:r w:rsidRPr="00E12F53">
        <w:t xml:space="preserve">Cal Advocates </w:t>
      </w:r>
      <w:r>
        <w:t>maintains</w:t>
      </w:r>
      <w:r w:rsidRPr="00E12F53">
        <w:t xml:space="preserve"> support</w:t>
      </w:r>
      <w:r>
        <w:t xml:space="preserve"> of</w:t>
      </w:r>
      <w:r w:rsidRPr="00E12F53">
        <w:t xml:space="preserve"> the</w:t>
      </w:r>
      <w:r>
        <w:t>ir</w:t>
      </w:r>
      <w:r w:rsidRPr="00E12F53">
        <w:t xml:space="preserve"> </w:t>
      </w:r>
      <w:r w:rsidR="00E63A5F">
        <w:t xml:space="preserve">ROW sharing </w:t>
      </w:r>
      <w:r w:rsidRPr="00E12F53">
        <w:t xml:space="preserve">proposal. </w:t>
      </w:r>
      <w:r w:rsidR="001524A1">
        <w:t xml:space="preserve">Transmission Owners and </w:t>
      </w:r>
      <w:r w:rsidR="004E6DE8">
        <w:t>CBD</w:t>
      </w:r>
      <w:r w:rsidR="00707EBF">
        <w:t xml:space="preserve"> </w:t>
      </w:r>
      <w:r>
        <w:t xml:space="preserve">request </w:t>
      </w:r>
      <w:r w:rsidRPr="00E12F53">
        <w:t>further consideration of Cal Advocates</w:t>
      </w:r>
      <w:r>
        <w:t>’</w:t>
      </w:r>
      <w:r w:rsidRPr="00E12F53">
        <w:t xml:space="preserve"> proposal in a future or separate proceeding. </w:t>
      </w:r>
      <w:r w:rsidR="001524A1">
        <w:t>Transmission Owners</w:t>
      </w:r>
      <w:r w:rsidR="00510558">
        <w:t xml:space="preserve"> </w:t>
      </w:r>
      <w:r w:rsidR="00F80C2C">
        <w:t>point to the need to discuss</w:t>
      </w:r>
      <w:r w:rsidR="00510558">
        <w:t xml:space="preserve"> complex</w:t>
      </w:r>
      <w:r w:rsidR="00620F27">
        <w:t xml:space="preserve"> issues including </w:t>
      </w:r>
      <w:r w:rsidR="00D20B69">
        <w:t>apportionment of costs and liability between incumbent and non-incumbent utilities</w:t>
      </w:r>
      <w:r w:rsidR="00F80C2C">
        <w:t xml:space="preserve"> and potential reliability impacts.</w:t>
      </w:r>
      <w:r w:rsidR="002327F0">
        <w:rPr>
          <w:rStyle w:val="FootnoteReference"/>
        </w:rPr>
        <w:footnoteReference w:id="242"/>
      </w:r>
      <w:r w:rsidR="00F80C2C">
        <w:t xml:space="preserve"> </w:t>
      </w:r>
      <w:r w:rsidR="00095EA8">
        <w:t xml:space="preserve">CBD suggests that public interest in </w:t>
      </w:r>
      <w:r w:rsidR="00644D3F">
        <w:t xml:space="preserve">promoting </w:t>
      </w:r>
      <w:r w:rsidR="00095EA8">
        <w:t>competit</w:t>
      </w:r>
      <w:r w:rsidR="00411B85">
        <w:t>ion for siting transmission projects</w:t>
      </w:r>
      <w:r w:rsidR="00095EA8">
        <w:t xml:space="preserve"> and </w:t>
      </w:r>
      <w:r w:rsidR="00644D3F">
        <w:t>environ</w:t>
      </w:r>
      <w:r w:rsidR="002327F0">
        <w:t xml:space="preserve">mental impacts associated with ROW </w:t>
      </w:r>
      <w:r w:rsidR="00835012">
        <w:t xml:space="preserve">sharing </w:t>
      </w:r>
      <w:r w:rsidR="00194E7E">
        <w:t>warrants additional review</w:t>
      </w:r>
      <w:r w:rsidR="00835012">
        <w:t>.</w:t>
      </w:r>
      <w:r w:rsidR="00835012">
        <w:rPr>
          <w:rStyle w:val="FootnoteReference"/>
        </w:rPr>
        <w:footnoteReference w:id="243"/>
      </w:r>
      <w:r w:rsidR="006D4B5C">
        <w:t xml:space="preserve"> </w:t>
      </w:r>
    </w:p>
    <w:p w:rsidR="002749E3" w:rsidP="00561FB6" w:rsidRDefault="00E12F53" w14:paraId="5DB8780D" w14:textId="77777777">
      <w:pPr>
        <w:pStyle w:val="Standard"/>
      </w:pPr>
      <w:r w:rsidRPr="00E12F53">
        <w:t>LSPGC,</w:t>
      </w:r>
      <w:r w:rsidR="001E60B7">
        <w:t xml:space="preserve"> </w:t>
      </w:r>
      <w:r w:rsidRPr="00E12F53">
        <w:t xml:space="preserve">ACP, RCRC, and CFBF support further consideration of the Cal Advocates proposal but raise some concerns and suggest limited modifications. </w:t>
      </w:r>
      <w:r w:rsidR="009A597F">
        <w:t>LSPGC suggests five modifications that include</w:t>
      </w:r>
      <w:r w:rsidR="00ED7C57">
        <w:t xml:space="preserve"> (1)</w:t>
      </w:r>
      <w:r w:rsidR="009A597F">
        <w:t xml:space="preserve"> </w:t>
      </w:r>
      <w:r w:rsidR="00BE2608">
        <w:t xml:space="preserve">redefining “non-incumbent utility” to include parties </w:t>
      </w:r>
      <w:r w:rsidR="00D523EA">
        <w:t xml:space="preserve">on a CAISO </w:t>
      </w:r>
      <w:r w:rsidR="004F49FF">
        <w:t>Approved Project Sponsor</w:t>
      </w:r>
      <w:r w:rsidR="00D523EA">
        <w:t xml:space="preserve"> list </w:t>
      </w:r>
      <w:r w:rsidR="00BE2608">
        <w:t xml:space="preserve">that become utilities upon receipt of a CPCN or PTC, </w:t>
      </w:r>
      <w:r w:rsidR="00ED7C57">
        <w:t xml:space="preserve">(2) </w:t>
      </w:r>
      <w:r w:rsidR="002C0B10">
        <w:t>adding a “ratepayer</w:t>
      </w:r>
      <w:r w:rsidR="00B72D42">
        <w:t xml:space="preserve">-funded right-of-way” that includes </w:t>
      </w:r>
      <w:r w:rsidR="006545BA">
        <w:t xml:space="preserve">ROWs, </w:t>
      </w:r>
      <w:r w:rsidR="00B72D42">
        <w:t>easements, le</w:t>
      </w:r>
      <w:r w:rsidR="006545BA">
        <w:t xml:space="preserve">ases, licenses, and deed ownership, and other forms of utility </w:t>
      </w:r>
      <w:r w:rsidR="002F264C">
        <w:t xml:space="preserve">property ownership, </w:t>
      </w:r>
      <w:r w:rsidR="00ED7C57">
        <w:t xml:space="preserve">(3) </w:t>
      </w:r>
      <w:r w:rsidR="00BE570A">
        <w:t xml:space="preserve">requiring utilities to develop pro forma ROW access or joint use agreements, </w:t>
      </w:r>
      <w:r w:rsidR="00ED7C57">
        <w:t xml:space="preserve">(4) </w:t>
      </w:r>
      <w:r w:rsidR="00C53655">
        <w:t xml:space="preserve">clarifying that CAISO </w:t>
      </w:r>
      <w:r w:rsidR="00434BF1">
        <w:t>can reduce its reliance</w:t>
      </w:r>
      <w:r w:rsidR="00FD183F">
        <w:t xml:space="preserve"> on “access to </w:t>
      </w:r>
      <w:r w:rsidR="00E15466">
        <w:t xml:space="preserve">ROW” as </w:t>
      </w:r>
      <w:r w:rsidR="00434BF1">
        <w:t xml:space="preserve">a factor in competitive solicitation processes </w:t>
      </w:r>
      <w:r w:rsidR="00B26F7E">
        <w:t xml:space="preserve">to select transmission projects, and (5) </w:t>
      </w:r>
      <w:r w:rsidR="001755E3">
        <w:t xml:space="preserve">removing Staff’s proposal that a second </w:t>
      </w:r>
      <w:r w:rsidR="001755E3">
        <w:lastRenderedPageBreak/>
        <w:t xml:space="preserve">hearing is needed if </w:t>
      </w:r>
      <w:r w:rsidR="0006519A">
        <w:t>incumbent and non-incumbent utilities cannot enter into a joint use agreement.</w:t>
      </w:r>
      <w:r w:rsidR="008046FE">
        <w:t xml:space="preserve"> </w:t>
      </w:r>
      <w:r w:rsidR="00DF69E8">
        <w:t xml:space="preserve">ACP </w:t>
      </w:r>
      <w:r w:rsidR="00C067F0">
        <w:t xml:space="preserve">suggests that </w:t>
      </w:r>
      <w:r w:rsidR="00C400CB">
        <w:t>the Commission should not consider ROW sharing in a pilot</w:t>
      </w:r>
      <w:r w:rsidR="002B7532">
        <w:t xml:space="preserve">. Instead, ACP recommends that </w:t>
      </w:r>
      <w:r w:rsidR="00572BD5">
        <w:t>the Commission should coordinate with the CAISO to identify proposed projects that may require a ROW sharing agreement.</w:t>
      </w:r>
      <w:r w:rsidR="00DE4046">
        <w:rPr>
          <w:rStyle w:val="FootnoteReference"/>
        </w:rPr>
        <w:footnoteReference w:id="244"/>
      </w:r>
      <w:r w:rsidR="00561FB6">
        <w:t xml:space="preserve">  </w:t>
      </w:r>
      <w:r w:rsidR="005E4256">
        <w:t>RCRC is concerned abou</w:t>
      </w:r>
      <w:r w:rsidR="00BE2DFD">
        <w:t>t how to</w:t>
      </w:r>
      <w:r w:rsidR="007F482E">
        <w:t xml:space="preserve"> maintain responsibility for easement areas and protect landowner property </w:t>
      </w:r>
      <w:r w:rsidR="00026783">
        <w:t>in a ROW sharing agreement</w:t>
      </w:r>
      <w:r w:rsidR="00642705">
        <w:t xml:space="preserve">. </w:t>
      </w:r>
      <w:r w:rsidR="008467F8">
        <w:t xml:space="preserve">However, </w:t>
      </w:r>
      <w:r w:rsidR="00642705">
        <w:t>RCRC indicates that</w:t>
      </w:r>
      <w:r w:rsidR="008203A0">
        <w:t xml:space="preserve"> further</w:t>
      </w:r>
      <w:r w:rsidR="00E56489">
        <w:t xml:space="preserve"> </w:t>
      </w:r>
      <w:r w:rsidR="00A63279">
        <w:t>comment on this topic will b</w:t>
      </w:r>
      <w:r w:rsidR="00E34782">
        <w:t xml:space="preserve">e deferred until </w:t>
      </w:r>
      <w:r w:rsidR="00875F73">
        <w:t>an</w:t>
      </w:r>
      <w:r w:rsidR="00E34782">
        <w:t xml:space="preserve"> ap</w:t>
      </w:r>
      <w:r w:rsidR="00F77BC9">
        <w:t xml:space="preserve">propriate time </w:t>
      </w:r>
      <w:r w:rsidR="004D5983">
        <w:t xml:space="preserve">or </w:t>
      </w:r>
      <w:r w:rsidR="00875F73">
        <w:t>when the</w:t>
      </w:r>
      <w:r w:rsidR="004D5983">
        <w:t xml:space="preserve"> appropriate regulatory venue is determined.</w:t>
      </w:r>
      <w:r w:rsidR="003E5EE3">
        <w:rPr>
          <w:rStyle w:val="FootnoteReference"/>
        </w:rPr>
        <w:footnoteReference w:id="245"/>
      </w:r>
      <w:r w:rsidR="00367748">
        <w:t xml:space="preserve"> </w:t>
      </w:r>
      <w:r w:rsidR="00561FB6">
        <w:t xml:space="preserve">CFBF suggests that significant unresolved questions regarding </w:t>
      </w:r>
      <w:r w:rsidR="00ED127D">
        <w:t>ROW</w:t>
      </w:r>
      <w:r w:rsidR="00561FB6">
        <w:t xml:space="preserve"> access</w:t>
      </w:r>
      <w:r w:rsidR="00ED127D">
        <w:t xml:space="preserve"> and the potential impacts</w:t>
      </w:r>
      <w:r w:rsidR="00561FB6">
        <w:t xml:space="preserve"> to </w:t>
      </w:r>
      <w:r w:rsidR="00ED127D">
        <w:t>landowners</w:t>
      </w:r>
      <w:r w:rsidR="00561FB6">
        <w:t xml:space="preserve"> associated with projects in shared ROWs warrants further evaluation.</w:t>
      </w:r>
      <w:r w:rsidR="00561FB6">
        <w:rPr>
          <w:rStyle w:val="FootnoteReference"/>
        </w:rPr>
        <w:footnoteReference w:id="246"/>
      </w:r>
    </w:p>
    <w:p w:rsidRPr="00A17589" w:rsidR="00730774" w:rsidP="000D20EE" w:rsidRDefault="00E12F53" w14:paraId="08E26F6E" w14:textId="77777777">
      <w:pPr>
        <w:pStyle w:val="Standard"/>
      </w:pPr>
      <w:r w:rsidRPr="00E12F53">
        <w:t>PG&amp;E, SCE, SDG&amp;E, and CUE oppose the Cal Advocates proposal.</w:t>
      </w:r>
      <w:r w:rsidR="00C1325A">
        <w:t xml:space="preserve"> </w:t>
      </w:r>
      <w:r w:rsidR="005E0A46">
        <w:t xml:space="preserve">PG&amp;E states that an imposed requirement for ROW sharing with non-incumbent utilities is equivalent to a mandatory transfer of property, </w:t>
      </w:r>
      <w:r w:rsidR="00FF6D48">
        <w:t xml:space="preserve">would circumvent local area jurisdiction and </w:t>
      </w:r>
      <w:r w:rsidR="005E0A46">
        <w:t>is infeasible because utility ROWs may not be able to accommodate non-incumbent utility infrastructure.</w:t>
      </w:r>
      <w:r w:rsidR="005E0A46">
        <w:rPr>
          <w:rStyle w:val="FootnoteReference"/>
        </w:rPr>
        <w:footnoteReference w:id="247"/>
      </w:r>
      <w:r w:rsidR="005E0A46">
        <w:t xml:space="preserve"> </w:t>
      </w:r>
      <w:r w:rsidR="000D20EE">
        <w:t xml:space="preserve">According to </w:t>
      </w:r>
      <w:r w:rsidR="005E0A46">
        <w:t>SCE</w:t>
      </w:r>
      <w:r w:rsidR="000D20EE">
        <w:t>,</w:t>
      </w:r>
      <w:r w:rsidR="005E0A46">
        <w:t xml:space="preserve"> </w:t>
      </w:r>
      <w:r w:rsidRPr="00A17589" w:rsidR="000D20EE">
        <w:t xml:space="preserve">Cal Advocates’ </w:t>
      </w:r>
      <w:r w:rsidR="006B00FC">
        <w:t xml:space="preserve">proposal </w:t>
      </w:r>
      <w:r w:rsidRPr="00A17589" w:rsidR="000D20EE">
        <w:t>ignores fundamental legal principles underlying longstanding easement and franchise rights, violates Constitutional principles regarding private property rights and the sanctity of contracts, is not authorized by the Pub</w:t>
      </w:r>
      <w:r w:rsidRPr="00A17589" w:rsidR="00D95C78">
        <w:t>.</w:t>
      </w:r>
      <w:r w:rsidRPr="00A17589" w:rsidR="000D20EE">
        <w:t xml:space="preserve"> Util</w:t>
      </w:r>
      <w:r w:rsidRPr="00A17589" w:rsidR="00D95C78">
        <w:t>.</w:t>
      </w:r>
      <w:r w:rsidRPr="00A17589" w:rsidR="000D20EE">
        <w:t xml:space="preserve"> Code; and would subject non-incumbent utilities to ejection if the property they occupied were needed by a priority-rights holder.</w:t>
      </w:r>
      <w:r w:rsidRPr="00A17589" w:rsidR="000D20EE">
        <w:rPr>
          <w:rStyle w:val="FootnoteReference"/>
        </w:rPr>
        <w:t xml:space="preserve"> </w:t>
      </w:r>
      <w:r w:rsidRPr="00A17589" w:rsidR="000D20EE">
        <w:rPr>
          <w:rStyle w:val="FootnoteReference"/>
        </w:rPr>
        <w:footnoteReference w:id="248"/>
      </w:r>
      <w:r w:rsidRPr="00A17589" w:rsidR="000D20EE">
        <w:t xml:space="preserve"> SDG&amp;E </w:t>
      </w:r>
      <w:r w:rsidR="00441707">
        <w:lastRenderedPageBreak/>
        <w:t>asserts</w:t>
      </w:r>
      <w:r w:rsidRPr="00A17589" w:rsidR="000D20EE">
        <w:t xml:space="preserve"> that Cal Advocates’ proposal would ignore a utility’s franchise rights,</w:t>
      </w:r>
      <w:r w:rsidRPr="00A17589" w:rsidR="002E0D38">
        <w:t xml:space="preserve"> does not mention that</w:t>
      </w:r>
      <w:r w:rsidRPr="00A17589" w:rsidR="000D20EE">
        <w:t xml:space="preserve"> </w:t>
      </w:r>
      <w:r w:rsidRPr="00A17589" w:rsidR="002E0D38">
        <w:t xml:space="preserve">easement contractual agreements require consent from </w:t>
      </w:r>
      <w:r w:rsidRPr="00A17589" w:rsidR="000D20EE">
        <w:t xml:space="preserve">local governments </w:t>
      </w:r>
      <w:r w:rsidRPr="00A17589" w:rsidR="002E0D38">
        <w:t>before any proposed land</w:t>
      </w:r>
      <w:r w:rsidRPr="00A17589" w:rsidR="000D20EE">
        <w:t xml:space="preserve"> use changes </w:t>
      </w:r>
      <w:r w:rsidRPr="00A17589" w:rsidR="002E0D38">
        <w:t xml:space="preserve">to construct non-incumbent utility projects, and should correctly interpret Pub. Util. Code </w:t>
      </w:r>
      <w:r w:rsidR="00DC14AC">
        <w:t>Section </w:t>
      </w:r>
      <w:r w:rsidRPr="00A17589" w:rsidR="002E0D38">
        <w:t>767 such that only joint use of existing infrastructure is permissible</w:t>
      </w:r>
      <w:r w:rsidRPr="00A17589" w:rsidR="001D4A99">
        <w:t>,</w:t>
      </w:r>
      <w:r w:rsidRPr="00A17589" w:rsidR="002E0D38">
        <w:t xml:space="preserve"> not ROW sharing agreements.</w:t>
      </w:r>
      <w:r w:rsidRPr="00A17589" w:rsidR="002E0D38">
        <w:rPr>
          <w:rStyle w:val="FootnoteReference"/>
        </w:rPr>
        <w:footnoteReference w:id="249"/>
      </w:r>
      <w:r w:rsidRPr="00A17589" w:rsidR="008046FE">
        <w:t xml:space="preserve"> CUE argues that implementing a process for ROW sharing would require utilities to acquire access to additional ROWs to site their project which would ultimately increase ratepayer costs.</w:t>
      </w:r>
      <w:r w:rsidRPr="00A17589" w:rsidR="008046FE">
        <w:rPr>
          <w:rStyle w:val="FootnoteReference"/>
        </w:rPr>
        <w:footnoteReference w:id="250"/>
      </w:r>
    </w:p>
    <w:p w:rsidRPr="00E71A56" w:rsidR="00600BF7" w:rsidP="003F3AC6" w:rsidRDefault="00EF3CC4" w14:paraId="71D9873B" w14:textId="77777777">
      <w:pPr>
        <w:pStyle w:val="Standard"/>
      </w:pPr>
      <w:r w:rsidRPr="00A17589">
        <w:t>We</w:t>
      </w:r>
      <w:r w:rsidRPr="00A17589" w:rsidR="00600BF7">
        <w:t xml:space="preserve"> </w:t>
      </w:r>
      <w:r w:rsidRPr="00A17589" w:rsidR="006272CE">
        <w:t>acknowledge</w:t>
      </w:r>
      <w:r w:rsidRPr="00A17589" w:rsidR="00600BF7">
        <w:t xml:space="preserve"> </w:t>
      </w:r>
      <w:r w:rsidRPr="00A17589">
        <w:t xml:space="preserve">that Cal Advocates’ </w:t>
      </w:r>
      <w:r w:rsidRPr="00A17589" w:rsidR="006272CE">
        <w:t>ROW sharing</w:t>
      </w:r>
      <w:r w:rsidRPr="00A17589" w:rsidR="00600BF7">
        <w:t xml:space="preserve"> </w:t>
      </w:r>
      <w:r w:rsidRPr="00A17589">
        <w:t>proposal may provide benefits to</w:t>
      </w:r>
      <w:r w:rsidRPr="00A17589" w:rsidR="00600BF7">
        <w:t xml:space="preserve"> ratepayers, communities, and the environment</w:t>
      </w:r>
      <w:r w:rsidRPr="00A17589" w:rsidR="00CA4E06">
        <w:t xml:space="preserve">, while </w:t>
      </w:r>
      <w:r w:rsidRPr="00A17589" w:rsidR="005D17F4">
        <w:t>weighing</w:t>
      </w:r>
      <w:r w:rsidRPr="00A17589">
        <w:t xml:space="preserve"> </w:t>
      </w:r>
      <w:r w:rsidRPr="00A17589" w:rsidR="005D17F4">
        <w:t xml:space="preserve">the </w:t>
      </w:r>
      <w:r w:rsidRPr="00A17589">
        <w:t xml:space="preserve">strong concerns raised by PG&amp;E, SCE, and SDG&amp;E. </w:t>
      </w:r>
      <w:r w:rsidRPr="00A17589" w:rsidR="006650B0">
        <w:t>We also note that the record is insufficient on this issue. Accordingly, w</w:t>
      </w:r>
      <w:r w:rsidRPr="00A17589" w:rsidR="00D50AED">
        <w:t xml:space="preserve">e reject </w:t>
      </w:r>
      <w:r w:rsidRPr="00A17589" w:rsidR="009B29B9">
        <w:t>this proposal</w:t>
      </w:r>
      <w:r w:rsidRPr="00A17589" w:rsidR="00600BF7">
        <w:t>.</w:t>
      </w:r>
      <w:r w:rsidR="00600BF7">
        <w:t xml:space="preserve"> </w:t>
      </w:r>
    </w:p>
    <w:p w:rsidR="007B6C6F" w:rsidP="00804F6F" w:rsidRDefault="007B6C6F" w14:paraId="4125CC15" w14:textId="77777777">
      <w:pPr>
        <w:pStyle w:val="Heading1"/>
      </w:pPr>
      <w:bookmarkStart w:name="_Toc189738523" w:id="179"/>
      <w:bookmarkStart w:name="_Toc177326721" w:id="180"/>
      <w:r>
        <w:t>A</w:t>
      </w:r>
      <w:r w:rsidR="00BF6DFF">
        <w:t xml:space="preserve">doption of </w:t>
      </w:r>
      <w:r w:rsidR="003B5D07">
        <w:t>GO </w:t>
      </w:r>
      <w:r w:rsidR="00BF6DFF">
        <w:t>131-E</w:t>
      </w:r>
      <w:bookmarkEnd w:id="179"/>
      <w:r>
        <w:t xml:space="preserve"> </w:t>
      </w:r>
      <w:bookmarkEnd w:id="180"/>
      <w:r>
        <w:t xml:space="preserve"> </w:t>
      </w:r>
    </w:p>
    <w:p w:rsidRPr="00600BF7" w:rsidR="00D84E11" w:rsidP="00BF7011" w:rsidRDefault="00BF7011" w14:paraId="62131FF6" w14:textId="77777777">
      <w:pPr>
        <w:pStyle w:val="Standard"/>
      </w:pPr>
      <w:r>
        <w:t xml:space="preserve">This decision adopts </w:t>
      </w:r>
      <w:r w:rsidR="003B5D07">
        <w:t>GO </w:t>
      </w:r>
      <w:r w:rsidR="00BF6DFF">
        <w:t>131-E</w:t>
      </w:r>
      <w:r>
        <w:t xml:space="preserve">, attached to this decision as Attachment </w:t>
      </w:r>
      <w:r w:rsidR="00DF0F9A">
        <w:t>B</w:t>
      </w:r>
      <w:r w:rsidR="001A4DC4">
        <w:t xml:space="preserve">, which </w:t>
      </w:r>
      <w:r w:rsidR="00BF6DFF">
        <w:t>reflect</w:t>
      </w:r>
      <w:r w:rsidR="001A4DC4">
        <w:t xml:space="preserve">s </w:t>
      </w:r>
      <w:r w:rsidR="00BF6DFF">
        <w:t xml:space="preserve">all of the modifications discussed and adopted </w:t>
      </w:r>
      <w:r>
        <w:t>in</w:t>
      </w:r>
      <w:r w:rsidR="001A4DC4">
        <w:t xml:space="preserve"> the previous Sections of </w:t>
      </w:r>
      <w:r>
        <w:t>this decision.</w:t>
      </w:r>
      <w:r w:rsidR="00BF6DFF">
        <w:t xml:space="preserve"> </w:t>
      </w:r>
    </w:p>
    <w:p w:rsidRPr="00101D2A" w:rsidR="005F12AD" w:rsidP="00804F6F" w:rsidRDefault="005939A5" w14:paraId="12BE1482" w14:textId="77777777">
      <w:pPr>
        <w:pStyle w:val="Heading1"/>
        <w:rPr>
          <w:rFonts w:cs="Arial"/>
        </w:rPr>
      </w:pPr>
      <w:bookmarkStart w:name="_Toc8123723" w:id="181"/>
      <w:bookmarkStart w:name="_Toc141799174" w:id="182"/>
      <w:bookmarkStart w:name="_Toc189738524" w:id="183"/>
      <w:r w:rsidRPr="001E5A6C">
        <w:t>Comments on Proposed Decision</w:t>
      </w:r>
      <w:bookmarkEnd w:id="181"/>
      <w:bookmarkEnd w:id="182"/>
      <w:bookmarkEnd w:id="183"/>
    </w:p>
    <w:p w:rsidR="009832FD" w:rsidP="000D0DF8" w:rsidRDefault="005C58FA" w14:paraId="21258789" w14:textId="77777777">
      <w:pPr>
        <w:pStyle w:val="Standard"/>
      </w:pPr>
      <w:r w:rsidRPr="000D0DF8">
        <w:t xml:space="preserve">The proposed decision of </w:t>
      </w:r>
      <w:r w:rsidRPr="000D0DF8" w:rsidR="00E03B1B">
        <w:t>Commissioner Douglas</w:t>
      </w:r>
      <w:r w:rsidRPr="000D0DF8">
        <w:t xml:space="preserve"> in this matter was mailed to the parties in accordance with </w:t>
      </w:r>
      <w:r w:rsidR="00DC14AC">
        <w:t>Section </w:t>
      </w:r>
      <w:r w:rsidRPr="000D0DF8">
        <w:t>311 of the Pub</w:t>
      </w:r>
      <w:r w:rsidRPr="00F238A0" w:rsidR="00D95C78">
        <w:t>.</w:t>
      </w:r>
      <w:r w:rsidRPr="00F238A0">
        <w:t xml:space="preserve"> Util</w:t>
      </w:r>
      <w:r w:rsidRPr="00F238A0" w:rsidR="00D95C78">
        <w:t>.</w:t>
      </w:r>
      <w:r w:rsidRPr="000D0DF8">
        <w:t xml:space="preserve"> Code and comments were allowed under Rule 14.3 of the Commission’s Rules of Practice and Procedure. </w:t>
      </w:r>
    </w:p>
    <w:p w:rsidRPr="00C92010" w:rsidR="00C92010" w:rsidP="00C92010" w:rsidRDefault="00C92010" w14:paraId="37CD511C" w14:textId="77777777">
      <w:pPr>
        <w:rPr>
          <w:rFonts w:eastAsia="Aptos" w:cs="Times New Roman"/>
          <w:kern w:val="2"/>
          <w14:ligatures w14:val="standardContextual"/>
        </w:rPr>
      </w:pPr>
      <w:r w:rsidRPr="094914D4">
        <w:rPr>
          <w:rFonts w:eastAsia="Aptos" w:cs="Times New Roman"/>
        </w:rPr>
        <w:t xml:space="preserve">On January 16, 2025, the Acton Town Council, Anza-Borrego Foundation, Cal Advocates, CAISO, CBD, CEERT, CUE, DOW, EDF, IEP, LSA, LSPGC, PG&amp;E, SCE, and SDG&amp;E filed opening comments, and CFBF and </w:t>
      </w:r>
      <w:r w:rsidRPr="23FE69CB">
        <w:rPr>
          <w:rFonts w:eastAsia="Aptos" w:cs="Times New Roman"/>
        </w:rPr>
        <w:t>PCF</w:t>
      </w:r>
      <w:r w:rsidRPr="094914D4">
        <w:rPr>
          <w:rFonts w:eastAsia="Aptos" w:cs="Times New Roman"/>
        </w:rPr>
        <w:t xml:space="preserve"> filed joint </w:t>
      </w:r>
      <w:r w:rsidRPr="094914D4">
        <w:rPr>
          <w:rFonts w:eastAsia="Aptos" w:cs="Times New Roman"/>
        </w:rPr>
        <w:lastRenderedPageBreak/>
        <w:t xml:space="preserve">opening comments. On January 21, 2024, ACP, the Acton Town Council, Cal Advocates, </w:t>
      </w:r>
      <w:r w:rsidRPr="23FE69CB">
        <w:rPr>
          <w:rFonts w:eastAsia="Aptos" w:cs="Times New Roman"/>
        </w:rPr>
        <w:t>CEERT, CUE, DOW, EDF, IEP, LSPGC, PG&amp;E, RCRC, SCE, and SDG&amp;E filed reply comments, and PacifiCorp, Liberty Utilities, LLC</w:t>
      </w:r>
      <w:r w:rsidRPr="00677C47" w:rsidR="019FDC46">
        <w:rPr>
          <w:rFonts w:eastAsia="Aptos" w:cs="Times New Roman"/>
        </w:rPr>
        <w:t xml:space="preserve"> (</w:t>
      </w:r>
      <w:proofErr w:type="spellStart"/>
      <w:r w:rsidRPr="00677C47" w:rsidR="019FDC46">
        <w:rPr>
          <w:rFonts w:eastAsia="Aptos" w:cs="Times New Roman"/>
        </w:rPr>
        <w:t>CalPeco</w:t>
      </w:r>
      <w:proofErr w:type="spellEnd"/>
      <w:r w:rsidRPr="00677C47" w:rsidR="019FDC46">
        <w:rPr>
          <w:rFonts w:eastAsia="Aptos" w:cs="Times New Roman"/>
        </w:rPr>
        <w:t xml:space="preserve"> Electric)</w:t>
      </w:r>
      <w:r w:rsidRPr="00677C47" w:rsidR="5D589D7F">
        <w:rPr>
          <w:rFonts w:eastAsia="Aptos" w:cs="Times New Roman"/>
        </w:rPr>
        <w:t xml:space="preserve">, </w:t>
      </w:r>
      <w:r w:rsidRPr="00677C47" w:rsidR="5529BDB7">
        <w:rPr>
          <w:rFonts w:eastAsia="Aptos" w:cs="Times New Roman"/>
        </w:rPr>
        <w:t>and</w:t>
      </w:r>
      <w:r w:rsidRPr="23FE69CB">
        <w:rPr>
          <w:rFonts w:eastAsia="Aptos" w:cs="Times New Roman"/>
        </w:rPr>
        <w:t xml:space="preserve"> Bear Valley Electric Service, Inc</w:t>
      </w:r>
      <w:r w:rsidRPr="007263BF" w:rsidR="00F309E5">
        <w:rPr>
          <w:rFonts w:eastAsia="Aptos" w:cs="Times New Roman"/>
        </w:rPr>
        <w:t>.</w:t>
      </w:r>
      <w:r w:rsidRPr="00677C47">
        <w:rPr>
          <w:rFonts w:eastAsia="Aptos" w:cs="Times New Roman"/>
        </w:rPr>
        <w:t xml:space="preserve"> </w:t>
      </w:r>
      <w:r w:rsidRPr="094914D4">
        <w:rPr>
          <w:rFonts w:eastAsia="Aptos" w:cs="Times New Roman"/>
        </w:rPr>
        <w:t>filed joint reply comments.</w:t>
      </w:r>
      <w:r w:rsidRPr="094914D4" w:rsidR="00D6060D">
        <w:rPr>
          <w:rFonts w:eastAsia="Aptos" w:cs="Times New Roman"/>
        </w:rPr>
        <w:t xml:space="preserve"> </w:t>
      </w:r>
      <w:r w:rsidRPr="094914D4" w:rsidR="00CF6537">
        <w:rPr>
          <w:rFonts w:eastAsia="Aptos" w:cs="Times New Roman"/>
        </w:rPr>
        <w:t xml:space="preserve">We </w:t>
      </w:r>
      <w:r w:rsidRPr="094914D4" w:rsidR="00784D52">
        <w:rPr>
          <w:rFonts w:eastAsia="Aptos" w:cs="Times New Roman"/>
        </w:rPr>
        <w:t>address</w:t>
      </w:r>
      <w:r w:rsidRPr="094914D4" w:rsidR="00CF6537">
        <w:rPr>
          <w:rFonts w:eastAsia="Aptos" w:cs="Times New Roman"/>
        </w:rPr>
        <w:t xml:space="preserve"> those comments below.</w:t>
      </w:r>
    </w:p>
    <w:p w:rsidRPr="007263BF" w:rsidR="00C92010" w:rsidP="007263BF" w:rsidRDefault="00C92010" w14:paraId="5AAD7DCE" w14:textId="77777777">
      <w:pPr>
        <w:spacing w:after="240" w:line="240" w:lineRule="auto"/>
        <w:ind w:left="720" w:right="1170" w:firstLine="0"/>
        <w:rPr>
          <w:rFonts w:eastAsia="Aptos" w:cs="Times New Roman"/>
          <w:i/>
          <w:iCs/>
          <w:kern w:val="2"/>
          <w:szCs w:val="26"/>
          <w:u w:val="single"/>
          <w14:ligatures w14:val="standardContextual"/>
        </w:rPr>
      </w:pPr>
      <w:r w:rsidRPr="007263BF">
        <w:rPr>
          <w:rFonts w:eastAsia="Aptos" w:cs="Times New Roman"/>
          <w:i/>
          <w:iCs/>
          <w:kern w:val="2"/>
          <w:szCs w:val="26"/>
          <w:u w:val="single"/>
          <w14:ligatures w14:val="standardContextual"/>
        </w:rPr>
        <w:t>Applicant-prepared draft versions of CEQA documents</w:t>
      </w:r>
      <w:r w:rsidRPr="007263BF" w:rsidDel="00992D6E">
        <w:rPr>
          <w:rFonts w:eastAsia="Aptos" w:cs="Times New Roman"/>
          <w:i/>
          <w:iCs/>
          <w:kern w:val="2"/>
          <w:szCs w:val="26"/>
          <w:u w:val="single"/>
          <w14:ligatures w14:val="standardContextual"/>
        </w:rPr>
        <w:t xml:space="preserve"> </w:t>
      </w:r>
      <w:r w:rsidRPr="007263BF">
        <w:rPr>
          <w:rFonts w:eastAsia="Aptos" w:cs="Times New Roman"/>
          <w:i/>
          <w:iCs/>
          <w:kern w:val="2"/>
          <w:szCs w:val="26"/>
          <w:u w:val="single"/>
          <w14:ligatures w14:val="standardContextual"/>
        </w:rPr>
        <w:t>&amp; CAISO findings of project need:</w:t>
      </w:r>
    </w:p>
    <w:p w:rsidRPr="00C92010" w:rsidR="00C92010" w:rsidP="00C92010" w:rsidRDefault="00C92010" w14:paraId="4CC0317C" w14:textId="77777777">
      <w:pPr>
        <w:rPr>
          <w:rFonts w:eastAsia="Aptos" w:cs="Times New Roman"/>
          <w:kern w:val="2"/>
          <w:szCs w:val="26"/>
          <w14:ligatures w14:val="standardContextual"/>
        </w:rPr>
      </w:pPr>
      <w:r w:rsidRPr="00C92010">
        <w:rPr>
          <w:rFonts w:eastAsia="Aptos" w:cs="Times New Roman"/>
          <w:kern w:val="2"/>
          <w:szCs w:val="26"/>
          <w14:ligatures w14:val="standardContextual"/>
        </w:rPr>
        <w:t>A broad range of parties generally support the proposed decision’s direction (1) authorizing permit applicants to submit applicant-prepared draft versions of CEQA documents</w:t>
      </w:r>
      <w:r w:rsidR="002C4A70">
        <w:rPr>
          <w:rFonts w:eastAsia="Aptos" w:cs="Times New Roman"/>
          <w:kern w:val="2"/>
          <w:szCs w:val="26"/>
          <w14:ligatures w14:val="standardContextual"/>
        </w:rPr>
        <w:t xml:space="preserve"> </w:t>
      </w:r>
      <w:r w:rsidRPr="002C4A70" w:rsidR="002C4A70">
        <w:rPr>
          <w:rFonts w:eastAsia="Aptos" w:cs="Times New Roman"/>
          <w:kern w:val="2"/>
          <w:szCs w:val="26"/>
          <w14:ligatures w14:val="standardContextual"/>
        </w:rPr>
        <w:t>to Energy Division staff</w:t>
      </w:r>
      <w:r w:rsidRPr="00C92010">
        <w:rPr>
          <w:rFonts w:eastAsia="Aptos" w:cs="Times New Roman"/>
          <w:kern w:val="2"/>
          <w:szCs w:val="26"/>
          <w14:ligatures w14:val="standardContextual"/>
        </w:rPr>
        <w:t xml:space="preserve">, in lieu of the current requirement to submit a PEA, and (2) establishing a rebuttable presumption in favor of CAISO governing board findings of project need per AB 1373 and providing that project alternatives in a draft EIR may be limited to alternative routes or locations for the relevant CAISO-approved project and the “no action” alternative. </w:t>
      </w:r>
    </w:p>
    <w:p w:rsidRPr="007263BF" w:rsidR="00C92010" w:rsidP="00C92010" w:rsidRDefault="00C92010" w14:paraId="0437403C" w14:textId="77777777">
      <w:pPr>
        <w:rPr>
          <w:rFonts w:eastAsia="Aptos" w:cs="Times New Roman"/>
          <w:i/>
          <w:iCs/>
          <w:kern w:val="2"/>
          <w:szCs w:val="26"/>
          <w:u w:val="single"/>
          <w14:ligatures w14:val="standardContextual"/>
        </w:rPr>
      </w:pPr>
      <w:r w:rsidRPr="007263BF">
        <w:rPr>
          <w:rFonts w:eastAsia="Aptos" w:cs="Times New Roman"/>
          <w:i/>
          <w:iCs/>
          <w:kern w:val="2"/>
          <w:szCs w:val="26"/>
          <w:u w:val="single"/>
          <w14:ligatures w14:val="standardContextual"/>
        </w:rPr>
        <w:t>Pre-filing consultation:</w:t>
      </w:r>
    </w:p>
    <w:p w:rsidRPr="00C92010" w:rsidR="00C92010" w:rsidP="00C92010" w:rsidRDefault="00C92010" w14:paraId="56A7FDA2" w14:textId="77777777">
      <w:pPr>
        <w:rPr>
          <w:rFonts w:eastAsia="Aptos" w:cs="Times New Roman"/>
          <w:kern w:val="2"/>
          <w:szCs w:val="26"/>
          <w14:ligatures w14:val="standardContextual"/>
        </w:rPr>
      </w:pPr>
      <w:r w:rsidRPr="00C92010">
        <w:rPr>
          <w:rFonts w:eastAsia="Aptos" w:cs="Times New Roman"/>
          <w:kern w:val="2"/>
          <w:szCs w:val="26"/>
          <w14:ligatures w14:val="standardContextual"/>
        </w:rPr>
        <w:t>Parties also generally support establishing the requirement for applicants to initiate pre-filing consultation with Energy Division staff six months prior to filing a CPCN or PTC application. While LSPGC suggests shortening the notice requirement from 12 months to six months prior to application filing, the 12-month noticing requirement is necessary to ensure that Energy Division staff will have adequate time to select a CEQA consultant and execute a contract before the applicant provides the application materials for pre-filing review.</w:t>
      </w:r>
      <w:r w:rsidRPr="00C92010">
        <w:rPr>
          <w:rFonts w:eastAsia="Aptos" w:cs="Times New Roman"/>
          <w:kern w:val="2"/>
          <w:szCs w:val="26"/>
          <w:vertAlign w:val="superscript"/>
          <w14:ligatures w14:val="standardContextual"/>
        </w:rPr>
        <w:footnoteReference w:id="251"/>
      </w:r>
      <w:r w:rsidRPr="00C92010">
        <w:rPr>
          <w:rFonts w:eastAsia="Aptos" w:cs="Times New Roman"/>
          <w:kern w:val="2"/>
          <w:szCs w:val="26"/>
          <w:vertAlign w:val="superscript"/>
          <w14:ligatures w14:val="standardContextual"/>
        </w:rPr>
        <w:t xml:space="preserve"> </w:t>
      </w:r>
      <w:r w:rsidRPr="00C92010">
        <w:rPr>
          <w:rFonts w:eastAsia="Aptos" w:cs="Times New Roman"/>
          <w:kern w:val="2"/>
          <w:szCs w:val="26"/>
          <w14:ligatures w14:val="standardContextual"/>
        </w:rPr>
        <w:t>Additionally, the proposed GO 131-E</w:t>
      </w:r>
      <w:r w:rsidR="00A12AD2">
        <w:rPr>
          <w:rFonts w:eastAsia="Aptos" w:cs="Times New Roman"/>
          <w:kern w:val="2"/>
          <w:szCs w:val="26"/>
          <w14:ligatures w14:val="standardContextual"/>
        </w:rPr>
        <w:t xml:space="preserve">, attached to this </w:t>
      </w:r>
      <w:r w:rsidR="001603AD">
        <w:rPr>
          <w:rFonts w:eastAsia="Aptos" w:cs="Times New Roman"/>
          <w:kern w:val="2"/>
          <w:szCs w:val="26"/>
          <w14:ligatures w14:val="standardContextual"/>
        </w:rPr>
        <w:t>decision,</w:t>
      </w:r>
      <w:r w:rsidRPr="00C92010">
        <w:rPr>
          <w:rFonts w:eastAsia="Aptos" w:cs="Times New Roman"/>
          <w:kern w:val="2"/>
          <w:szCs w:val="26"/>
          <w14:ligatures w14:val="standardContextual"/>
        </w:rPr>
        <w:t xml:space="preserve"> already provides </w:t>
      </w:r>
      <w:r w:rsidRPr="00C92010">
        <w:rPr>
          <w:rFonts w:eastAsia="Aptos" w:cs="Times New Roman"/>
          <w:kern w:val="2"/>
          <w:szCs w:val="26"/>
          <w14:ligatures w14:val="standardContextual"/>
        </w:rPr>
        <w:lastRenderedPageBreak/>
        <w:t>flexibility for Energy Division staff to authorize a shorter period in writing</w:t>
      </w:r>
      <w:r w:rsidR="00982FF5">
        <w:rPr>
          <w:rFonts w:eastAsia="Aptos" w:cs="Times New Roman"/>
          <w:kern w:val="2"/>
          <w:szCs w:val="26"/>
          <w14:ligatures w14:val="standardContextual"/>
        </w:rPr>
        <w:t xml:space="preserve">, </w:t>
      </w:r>
      <w:r w:rsidR="00500EBB">
        <w:rPr>
          <w:rFonts w:eastAsia="Aptos" w:cs="Times New Roman"/>
          <w:kern w:val="2"/>
          <w:szCs w:val="26"/>
          <w14:ligatures w14:val="standardContextual"/>
        </w:rPr>
        <w:t>as needed</w:t>
      </w:r>
      <w:r w:rsidRPr="00C92010">
        <w:rPr>
          <w:rFonts w:eastAsia="Aptos" w:cs="Times New Roman"/>
          <w:kern w:val="2"/>
          <w:szCs w:val="26"/>
          <w14:ligatures w14:val="standardContextual"/>
        </w:rPr>
        <w:t>.</w:t>
      </w:r>
    </w:p>
    <w:p w:rsidRPr="007263BF" w:rsidR="00C92010" w:rsidP="00C92010" w:rsidRDefault="00C92010" w14:paraId="05BA26C4" w14:textId="77777777">
      <w:pPr>
        <w:rPr>
          <w:rFonts w:eastAsia="Aptos" w:cs="Times New Roman"/>
          <w:i/>
          <w:iCs/>
          <w:szCs w:val="26"/>
          <w:u w:val="single"/>
        </w:rPr>
      </w:pPr>
      <w:r w:rsidRPr="007263BF">
        <w:rPr>
          <w:rFonts w:eastAsia="Aptos" w:cs="Times New Roman"/>
          <w:i/>
          <w:iCs/>
          <w:szCs w:val="26"/>
          <w:u w:val="single"/>
        </w:rPr>
        <w:t>CEQA review timeline and pilot:</w:t>
      </w:r>
    </w:p>
    <w:p w:rsidRPr="00C92010" w:rsidR="00C92010" w:rsidP="00C92010" w:rsidRDefault="00C92010" w14:paraId="516DEACB" w14:textId="77777777">
      <w:pPr>
        <w:rPr>
          <w:rFonts w:eastAsia="Aptos" w:cs="Times New Roman"/>
        </w:rPr>
      </w:pPr>
      <w:r w:rsidRPr="00C92010">
        <w:rPr>
          <w:rFonts w:eastAsia="Aptos" w:cs="Times New Roman"/>
        </w:rPr>
        <w:t>CEERT and LSA reiterate that the Commission must adhere to a 270-day deadline to complete CEQA reviews and issue CEQA documents</w:t>
      </w:r>
      <w:r w:rsidRPr="00C92010">
        <w:rPr>
          <w:rFonts w:eastAsia="Aptos" w:cs="Times New Roman"/>
          <w:szCs w:val="26"/>
        </w:rPr>
        <w:t>.</w:t>
      </w:r>
      <w:r w:rsidRPr="00C92010">
        <w:rPr>
          <w:rFonts w:eastAsia="Aptos" w:cs="Times New Roman"/>
          <w:vertAlign w:val="superscript"/>
        </w:rPr>
        <w:footnoteReference w:id="252"/>
      </w:r>
      <w:r w:rsidRPr="00C92010">
        <w:rPr>
          <w:rFonts w:eastAsia="Aptos" w:cs="Times New Roman"/>
        </w:rPr>
        <w:t xml:space="preserve"> EDF, IEP, LSPGC, PG&amp;E, SCE, and SDG&amp;E recommend that the Commission specify in GO 131-E that it “shall” meet the existing CEQA review deadlines rather than committing to “strive to” meet those deadlines</w:t>
      </w:r>
      <w:r w:rsidRPr="00C92010">
        <w:rPr>
          <w:rFonts w:eastAsia="Aptos" w:cs="Times New Roman"/>
          <w:szCs w:val="26"/>
        </w:rPr>
        <w:t>.</w:t>
      </w:r>
      <w:r w:rsidRPr="00C92010">
        <w:rPr>
          <w:rFonts w:eastAsia="Aptos" w:cs="Times New Roman"/>
          <w:vertAlign w:val="superscript"/>
        </w:rPr>
        <w:footnoteReference w:id="253"/>
      </w:r>
      <w:r w:rsidRPr="00C92010">
        <w:rPr>
          <w:rFonts w:eastAsia="Aptos" w:cs="Times New Roman"/>
          <w:szCs w:val="26"/>
        </w:rPr>
        <w:t xml:space="preserve"> </w:t>
      </w:r>
    </w:p>
    <w:p w:rsidRPr="00C92010" w:rsidR="00C92010" w:rsidP="00C92010" w:rsidRDefault="00C92010" w14:paraId="00D5536E" w14:textId="77777777">
      <w:pPr>
        <w:rPr>
          <w:rFonts w:eastAsia="Aptos" w:cs="Times New Roman"/>
        </w:rPr>
      </w:pPr>
      <w:r w:rsidRPr="00C92010">
        <w:rPr>
          <w:rFonts w:eastAsia="Aptos" w:cs="Times New Roman"/>
        </w:rPr>
        <w:t xml:space="preserve">CEERT </w:t>
      </w:r>
      <w:r w:rsidR="00320BD1">
        <w:rPr>
          <w:rFonts w:eastAsia="Aptos" w:cs="Times New Roman"/>
        </w:rPr>
        <w:t>argue</w:t>
      </w:r>
      <w:r w:rsidRPr="00C92010">
        <w:rPr>
          <w:rFonts w:eastAsia="Aptos" w:cs="Times New Roman"/>
        </w:rPr>
        <w:t>s that establishing a pilot to track project timeframes and evaluate criteria to accelerate CEQA review is a conciliatory and limited measure that sidesteps the adoption of firm deadlines to complete CEQA reviews</w:t>
      </w:r>
      <w:r w:rsidRPr="00C92010">
        <w:rPr>
          <w:rFonts w:eastAsia="Aptos" w:cs="Times New Roman"/>
          <w:szCs w:val="26"/>
        </w:rPr>
        <w:t>.</w:t>
      </w:r>
      <w:r w:rsidRPr="00C92010">
        <w:rPr>
          <w:rFonts w:eastAsia="Aptos" w:cs="Times New Roman"/>
          <w:vertAlign w:val="superscript"/>
        </w:rPr>
        <w:footnoteReference w:id="254"/>
      </w:r>
      <w:r w:rsidRPr="00C92010">
        <w:rPr>
          <w:rFonts w:eastAsia="Aptos" w:cs="Times New Roman"/>
          <w:szCs w:val="26"/>
        </w:rPr>
        <w:t xml:space="preserve"> </w:t>
      </w:r>
      <w:r w:rsidRPr="00C92010">
        <w:rPr>
          <w:rFonts w:eastAsia="Aptos" w:cs="Times New Roman"/>
        </w:rPr>
        <w:t>Conversely, CAISO supports the Commission’s development of a pilot program and encourages the Commission’s adoption of best practices</w:t>
      </w:r>
      <w:r w:rsidR="00CD25DC">
        <w:rPr>
          <w:rFonts w:eastAsia="Aptos" w:cs="Times New Roman"/>
        </w:rPr>
        <w:t>.</w:t>
      </w:r>
      <w:r w:rsidR="00CD25DC">
        <w:rPr>
          <w:rStyle w:val="FootnoteReference"/>
          <w:rFonts w:eastAsia="Aptos" w:cs="Times New Roman"/>
        </w:rPr>
        <w:footnoteReference w:id="255"/>
      </w:r>
      <w:r w:rsidRPr="00C92010">
        <w:rPr>
          <w:rFonts w:eastAsia="Aptos" w:cs="Times New Roman"/>
        </w:rPr>
        <w:t xml:space="preserve"> EDF suggests that parties should be engaged in the pilot process to ensure transparency.</w:t>
      </w:r>
      <w:r w:rsidRPr="00C92010">
        <w:rPr>
          <w:rFonts w:eastAsia="Aptos" w:cs="Times New Roman"/>
          <w:vertAlign w:val="superscript"/>
        </w:rPr>
        <w:footnoteReference w:id="256"/>
      </w:r>
      <w:r w:rsidRPr="00C92010">
        <w:rPr>
          <w:rFonts w:eastAsia="Aptos" w:cs="Times New Roman"/>
          <w:szCs w:val="26"/>
        </w:rPr>
        <w:t xml:space="preserve"> </w:t>
      </w:r>
    </w:p>
    <w:p w:rsidRPr="00C92010" w:rsidR="00C92010" w:rsidP="00C92010" w:rsidRDefault="00C92010" w14:paraId="12EE42BC" w14:textId="77777777">
      <w:pPr>
        <w:rPr>
          <w:rFonts w:eastAsia="Aptos" w:cs="Times New Roman"/>
        </w:rPr>
      </w:pPr>
      <w:r w:rsidRPr="00C92010">
        <w:rPr>
          <w:rFonts w:eastAsia="Aptos" w:cs="Times New Roman"/>
        </w:rPr>
        <w:t xml:space="preserve">As discussed in Section 5.3.2, the Commission must comply with CEQA and must ensure a thorough review of the record in each CPCN or PTC </w:t>
      </w:r>
      <w:r w:rsidR="002B689A">
        <w:rPr>
          <w:rFonts w:eastAsia="Aptos" w:cs="Times New Roman"/>
        </w:rPr>
        <w:t>proceeding</w:t>
      </w:r>
      <w:r w:rsidRPr="00C92010">
        <w:rPr>
          <w:rFonts w:eastAsia="Aptos" w:cs="Times New Roman"/>
        </w:rPr>
        <w:t xml:space="preserve"> for decision-makers and stakeholders to deliberate on reasonable project alternatives during CEQA reviews. </w:t>
      </w:r>
      <w:r w:rsidR="00485AD4">
        <w:rPr>
          <w:rFonts w:eastAsia="Aptos" w:cs="Times New Roman"/>
        </w:rPr>
        <w:t>On</w:t>
      </w:r>
      <w:r w:rsidRPr="00C92010">
        <w:rPr>
          <w:rFonts w:eastAsia="Aptos" w:cs="Times New Roman"/>
        </w:rPr>
        <w:t xml:space="preserve"> this point, language in Section XIII in GO 131-E </w:t>
      </w:r>
      <w:r w:rsidR="000178F0">
        <w:rPr>
          <w:rFonts w:eastAsia="Aptos" w:cs="Times New Roman"/>
        </w:rPr>
        <w:t xml:space="preserve">will be </w:t>
      </w:r>
      <w:r w:rsidR="004052D4">
        <w:rPr>
          <w:rFonts w:eastAsia="Aptos" w:cs="Times New Roman"/>
        </w:rPr>
        <w:t>clarif</w:t>
      </w:r>
      <w:r w:rsidR="00902537">
        <w:rPr>
          <w:rFonts w:eastAsia="Aptos" w:cs="Times New Roman"/>
        </w:rPr>
        <w:t xml:space="preserve">ied to </w:t>
      </w:r>
      <w:r w:rsidR="005B3F62">
        <w:rPr>
          <w:rFonts w:eastAsia="Aptos" w:cs="Times New Roman"/>
        </w:rPr>
        <w:t>affirm</w:t>
      </w:r>
      <w:r w:rsidR="00902537">
        <w:rPr>
          <w:rFonts w:eastAsia="Aptos" w:cs="Times New Roman"/>
        </w:rPr>
        <w:t xml:space="preserve"> </w:t>
      </w:r>
      <w:r w:rsidRPr="00C92010">
        <w:rPr>
          <w:rFonts w:eastAsia="Aptos" w:cs="Times New Roman"/>
        </w:rPr>
        <w:t xml:space="preserve">that the Commission </w:t>
      </w:r>
      <w:r w:rsidR="00247C9B">
        <w:rPr>
          <w:rFonts w:eastAsia="Aptos" w:cs="Times New Roman"/>
        </w:rPr>
        <w:t>is</w:t>
      </w:r>
      <w:r w:rsidRPr="00C92010">
        <w:rPr>
          <w:rFonts w:eastAsia="Aptos" w:cs="Times New Roman"/>
        </w:rPr>
        <w:t xml:space="preserve"> </w:t>
      </w:r>
      <w:r w:rsidR="0001141C">
        <w:rPr>
          <w:rFonts w:eastAsia="Aptos" w:cs="Times New Roman"/>
        </w:rPr>
        <w:t>subject</w:t>
      </w:r>
      <w:r w:rsidRPr="094914D4" w:rsidR="5D589D7F">
        <w:rPr>
          <w:rFonts w:eastAsia="Aptos" w:cs="Times New Roman"/>
        </w:rPr>
        <w:t xml:space="preserve"> </w:t>
      </w:r>
      <w:r w:rsidRPr="00C92010">
        <w:rPr>
          <w:rFonts w:eastAsia="Aptos" w:cs="Times New Roman"/>
        </w:rPr>
        <w:t xml:space="preserve">to the </w:t>
      </w:r>
      <w:r w:rsidRPr="00C92010">
        <w:rPr>
          <w:rFonts w:eastAsia="Aptos" w:cs="Times New Roman"/>
        </w:rPr>
        <w:lastRenderedPageBreak/>
        <w:t xml:space="preserve">timeframes and deadlines set forth in the CEQA statute and CEQA Guidelines, including those that </w:t>
      </w:r>
      <w:r w:rsidR="00524183">
        <w:rPr>
          <w:rFonts w:eastAsia="Aptos" w:cs="Times New Roman"/>
        </w:rPr>
        <w:t>set forth</w:t>
      </w:r>
      <w:r w:rsidRPr="094914D4" w:rsidR="5D589D7F">
        <w:rPr>
          <w:rFonts w:eastAsia="Aptos" w:cs="Times New Roman"/>
        </w:rPr>
        <w:t xml:space="preserve"> timeline</w:t>
      </w:r>
      <w:r w:rsidR="00524183">
        <w:rPr>
          <w:rFonts w:eastAsia="Aptos" w:cs="Times New Roman"/>
        </w:rPr>
        <w:t>s</w:t>
      </w:r>
      <w:r w:rsidRPr="00C92010">
        <w:rPr>
          <w:rFonts w:eastAsia="Aptos" w:cs="Times New Roman"/>
        </w:rPr>
        <w:t xml:space="preserve"> for review and issuance of CEQA documents, and those that provide for additional time as needed to comply with CEQA mandates. </w:t>
      </w:r>
    </w:p>
    <w:p w:rsidRPr="00C92010" w:rsidR="00C92010" w:rsidP="00C92010" w:rsidRDefault="00C92010" w14:paraId="5982DA5F" w14:textId="77777777">
      <w:pPr>
        <w:rPr>
          <w:rFonts w:eastAsia="Aptos" w:cs="Times New Roman"/>
        </w:rPr>
      </w:pPr>
      <w:r w:rsidRPr="21D11AA6">
        <w:rPr>
          <w:rFonts w:eastAsia="Aptos" w:cs="Times New Roman"/>
        </w:rPr>
        <w:t xml:space="preserve">Finally, to continue to examine how the </w:t>
      </w:r>
      <w:r w:rsidRPr="21D11AA6" w:rsidR="008D7192">
        <w:rPr>
          <w:rFonts w:eastAsia="Aptos" w:cs="Times New Roman"/>
        </w:rPr>
        <w:t xml:space="preserve">Commission’s </w:t>
      </w:r>
      <w:r w:rsidRPr="21D11AA6">
        <w:rPr>
          <w:rFonts w:eastAsia="Aptos" w:cs="Times New Roman"/>
        </w:rPr>
        <w:t xml:space="preserve">CEQA review process </w:t>
      </w:r>
      <w:r w:rsidRPr="21D11AA6" w:rsidR="008D7192">
        <w:rPr>
          <w:rFonts w:eastAsia="Aptos" w:cs="Times New Roman"/>
        </w:rPr>
        <w:t>for electric transmission projects</w:t>
      </w:r>
      <w:r w:rsidRPr="21D11AA6">
        <w:rPr>
          <w:rFonts w:eastAsia="Aptos" w:cs="Times New Roman"/>
        </w:rPr>
        <w:t xml:space="preserve"> can be </w:t>
      </w:r>
      <w:r w:rsidRPr="21D11AA6" w:rsidR="005B3F62">
        <w:rPr>
          <w:rFonts w:eastAsia="Aptos" w:cs="Times New Roman"/>
        </w:rPr>
        <w:t xml:space="preserve">streamlined and </w:t>
      </w:r>
      <w:r w:rsidRPr="21D11AA6" w:rsidR="008D7192">
        <w:rPr>
          <w:rFonts w:eastAsia="Aptos" w:cs="Times New Roman"/>
        </w:rPr>
        <w:t>accelerated</w:t>
      </w:r>
      <w:r w:rsidRPr="21D11AA6">
        <w:rPr>
          <w:rFonts w:eastAsia="Aptos" w:cs="Times New Roman"/>
        </w:rPr>
        <w:t xml:space="preserve">, the pilot </w:t>
      </w:r>
      <w:r w:rsidRPr="21D11AA6" w:rsidR="008D7192">
        <w:rPr>
          <w:rFonts w:eastAsia="Aptos" w:cs="Times New Roman"/>
        </w:rPr>
        <w:t>program</w:t>
      </w:r>
      <w:r w:rsidRPr="21D11AA6">
        <w:rPr>
          <w:rFonts w:eastAsia="Aptos" w:cs="Times New Roman"/>
        </w:rPr>
        <w:t xml:space="preserve"> </w:t>
      </w:r>
      <w:r w:rsidRPr="21D11AA6" w:rsidR="008B75AF">
        <w:rPr>
          <w:rFonts w:eastAsia="Aptos" w:cs="Times New Roman"/>
        </w:rPr>
        <w:t>will</w:t>
      </w:r>
      <w:r w:rsidRPr="21D11AA6">
        <w:rPr>
          <w:rFonts w:eastAsia="Aptos" w:cs="Times New Roman"/>
        </w:rPr>
        <w:t xml:space="preserve"> be established and administered by Energy Division staff for the Commission to identify and implement lessons learned from the pilot. </w:t>
      </w:r>
    </w:p>
    <w:p w:rsidRPr="007263BF" w:rsidR="00C92010" w:rsidP="00C92010" w:rsidRDefault="00C92010" w14:paraId="0C005D12" w14:textId="77777777">
      <w:pPr>
        <w:rPr>
          <w:rFonts w:eastAsia="Aptos" w:cs="Times New Roman"/>
          <w:i/>
          <w:u w:val="single"/>
        </w:rPr>
      </w:pPr>
      <w:r w:rsidRPr="007263BF">
        <w:rPr>
          <w:rFonts w:eastAsia="Aptos" w:cs="Times New Roman"/>
          <w:i/>
          <w:u w:val="single"/>
        </w:rPr>
        <w:t>Definitions:</w:t>
      </w:r>
    </w:p>
    <w:p w:rsidRPr="00C92010" w:rsidR="00C92010" w:rsidP="00C92010" w:rsidRDefault="00C92010" w14:paraId="04FF4293" w14:textId="77777777">
      <w:pPr>
        <w:rPr>
          <w:rFonts w:eastAsia="Aptos" w:cs="Times New Roman"/>
        </w:rPr>
      </w:pPr>
      <w:r w:rsidRPr="00C92010">
        <w:rPr>
          <w:rFonts w:eastAsia="Aptos" w:cs="Times New Roman"/>
        </w:rPr>
        <w:t>The Acton Town Council supports the decision’s definition</w:t>
      </w:r>
      <w:r w:rsidR="005058D7">
        <w:rPr>
          <w:rFonts w:eastAsia="Aptos" w:cs="Times New Roman"/>
        </w:rPr>
        <w:t>s</w:t>
      </w:r>
      <w:r w:rsidRPr="00C92010">
        <w:rPr>
          <w:rFonts w:eastAsia="Aptos" w:cs="Times New Roman"/>
        </w:rPr>
        <w:t xml:space="preserve"> of the terms “equivalent facilities or structures”, “modification”</w:t>
      </w:r>
      <w:r w:rsidR="00510721">
        <w:rPr>
          <w:rFonts w:eastAsia="Aptos" w:cs="Times New Roman"/>
        </w:rPr>
        <w:t>,</w:t>
      </w:r>
      <w:r w:rsidRPr="00C92010">
        <w:rPr>
          <w:rFonts w:eastAsia="Aptos" w:cs="Times New Roman"/>
        </w:rPr>
        <w:t xml:space="preserve"> and “accessories”.</w:t>
      </w:r>
      <w:r w:rsidRPr="00C92010">
        <w:rPr>
          <w:rFonts w:eastAsia="Aptos" w:cs="Times New Roman"/>
          <w:vertAlign w:val="superscript"/>
        </w:rPr>
        <w:footnoteReference w:id="257"/>
      </w:r>
      <w:r w:rsidRPr="00C92010">
        <w:rPr>
          <w:rFonts w:eastAsia="Aptos" w:cs="Times New Roman"/>
        </w:rPr>
        <w:t xml:space="preserve"> CFBF and EDF support the definitions of extension”, “expansion”, “upgrade”, and “modification”</w:t>
      </w:r>
      <w:r w:rsidRPr="00C92010">
        <w:rPr>
          <w:rFonts w:eastAsia="Aptos" w:cs="Times New Roman"/>
          <w:szCs w:val="26"/>
        </w:rPr>
        <w:t>.</w:t>
      </w:r>
      <w:r w:rsidRPr="00C92010">
        <w:rPr>
          <w:rFonts w:eastAsia="Aptos" w:cs="Times New Roman"/>
          <w:vertAlign w:val="superscript"/>
        </w:rPr>
        <w:footnoteReference w:id="258"/>
      </w:r>
      <w:r w:rsidRPr="00C92010">
        <w:rPr>
          <w:rFonts w:eastAsia="Aptos" w:cs="Times New Roman"/>
          <w:szCs w:val="26"/>
        </w:rPr>
        <w:t xml:space="preserve"> </w:t>
      </w:r>
    </w:p>
    <w:p w:rsidRPr="000526A5" w:rsidR="001F266C" w:rsidP="00C92010" w:rsidRDefault="00C92010" w14:paraId="4FA9BC5F" w14:textId="77777777">
      <w:pPr>
        <w:rPr>
          <w:rFonts w:eastAsia="Aptos" w:cs="Times New Roman"/>
        </w:rPr>
      </w:pPr>
      <w:r w:rsidRPr="00C92010">
        <w:rPr>
          <w:rFonts w:eastAsia="Aptos" w:cs="Times New Roman"/>
        </w:rPr>
        <w:t>PG&amp;E, SCE, and SDG&amp;E recommend that the definition of “extension” should only consider extensions within existing transmission easements, rights-of-way, or franchise agreements, that the term “towers” should be changed to “structures” in the definition of “expansion”, and that the clause “without extending or expanding the physical footprint of the facility” should be deleted from the definition of modification</w:t>
      </w:r>
      <w:r w:rsidRPr="663AF9ED">
        <w:rPr>
          <w:rFonts w:eastAsia="Aptos" w:cs="Times New Roman"/>
        </w:rPr>
        <w:t>.</w:t>
      </w:r>
      <w:r w:rsidRPr="00C92010">
        <w:rPr>
          <w:rFonts w:eastAsia="Aptos" w:cs="Times New Roman"/>
          <w:vertAlign w:val="superscript"/>
        </w:rPr>
        <w:footnoteReference w:id="259"/>
      </w:r>
      <w:r w:rsidRPr="663AF9ED">
        <w:rPr>
          <w:rFonts w:eastAsia="Aptos" w:cs="Times New Roman"/>
        </w:rPr>
        <w:t xml:space="preserve"> </w:t>
      </w:r>
    </w:p>
    <w:p w:rsidRPr="00C92010" w:rsidR="00C92010" w:rsidP="00C92010" w:rsidRDefault="00C92010" w14:paraId="3DAC607A" w14:textId="77777777">
      <w:pPr>
        <w:rPr>
          <w:rFonts w:eastAsia="Aptos" w:cs="Times New Roman"/>
        </w:rPr>
      </w:pPr>
      <w:r w:rsidRPr="00C92010">
        <w:rPr>
          <w:rFonts w:eastAsia="Aptos" w:cs="Times New Roman"/>
        </w:rPr>
        <w:t xml:space="preserve">LSPGC, PG&amp;E, SCE, and SDG&amp;E propose edits to GO 131-E that </w:t>
      </w:r>
      <w:r w:rsidR="00771A21">
        <w:rPr>
          <w:rFonts w:eastAsia="Aptos" w:cs="Times New Roman"/>
        </w:rPr>
        <w:t>they assert</w:t>
      </w:r>
      <w:r w:rsidRPr="00C92010">
        <w:rPr>
          <w:rFonts w:eastAsia="Aptos" w:cs="Times New Roman"/>
        </w:rPr>
        <w:t xml:space="preserve"> would ensure the </w:t>
      </w:r>
      <w:r w:rsidR="00921CD3">
        <w:rPr>
          <w:rFonts w:eastAsia="Aptos" w:cs="Times New Roman"/>
        </w:rPr>
        <w:t xml:space="preserve">permit-exempt </w:t>
      </w:r>
      <w:r w:rsidRPr="00C92010">
        <w:rPr>
          <w:rFonts w:eastAsia="Aptos" w:cs="Times New Roman"/>
        </w:rPr>
        <w:t>status quo</w:t>
      </w:r>
      <w:r w:rsidR="00771A21">
        <w:rPr>
          <w:rFonts w:eastAsia="Aptos" w:cs="Times New Roman"/>
        </w:rPr>
        <w:t xml:space="preserve"> </w:t>
      </w:r>
      <w:r w:rsidRPr="00C92010">
        <w:rPr>
          <w:rFonts w:eastAsia="Aptos" w:cs="Times New Roman"/>
        </w:rPr>
        <w:t xml:space="preserve">is retained for internal </w:t>
      </w:r>
      <w:r w:rsidRPr="00C92010">
        <w:rPr>
          <w:rFonts w:eastAsia="Aptos" w:cs="Times New Roman"/>
        </w:rPr>
        <w:lastRenderedPageBreak/>
        <w:t>substation projects.</w:t>
      </w:r>
      <w:r w:rsidRPr="00C92010">
        <w:rPr>
          <w:rFonts w:eastAsia="Aptos" w:cs="Times New Roman"/>
          <w:vertAlign w:val="superscript"/>
        </w:rPr>
        <w:footnoteReference w:id="260"/>
      </w:r>
      <w:r w:rsidRPr="00C92010">
        <w:rPr>
          <w:rFonts w:eastAsia="Aptos" w:cs="Times New Roman"/>
          <w:szCs w:val="26"/>
        </w:rPr>
        <w:t xml:space="preserve"> </w:t>
      </w:r>
      <w:r w:rsidRPr="00C92010">
        <w:rPr>
          <w:rFonts w:eastAsia="Aptos" w:cs="Times New Roman"/>
        </w:rPr>
        <w:t xml:space="preserve">PG&amp;E </w:t>
      </w:r>
      <w:r w:rsidR="006C1C13">
        <w:rPr>
          <w:rFonts w:eastAsia="Aptos" w:cs="Times New Roman"/>
        </w:rPr>
        <w:t>contends</w:t>
      </w:r>
      <w:r w:rsidRPr="00C92010">
        <w:rPr>
          <w:rFonts w:eastAsia="Aptos" w:cs="Times New Roman"/>
        </w:rPr>
        <w:t xml:space="preserve"> that the </w:t>
      </w:r>
      <w:r w:rsidR="004F64CF">
        <w:rPr>
          <w:rFonts w:eastAsia="Aptos" w:cs="Times New Roman"/>
        </w:rPr>
        <w:t xml:space="preserve">proposed </w:t>
      </w:r>
      <w:r w:rsidRPr="00C92010">
        <w:rPr>
          <w:rFonts w:eastAsia="Aptos" w:cs="Times New Roman"/>
        </w:rPr>
        <w:t xml:space="preserve">decision’s treatment of this issue </w:t>
      </w:r>
      <w:r w:rsidR="00C64636">
        <w:rPr>
          <w:rFonts w:eastAsia="Aptos" w:cs="Times New Roman"/>
        </w:rPr>
        <w:t>would</w:t>
      </w:r>
      <w:r w:rsidRPr="00C92010">
        <w:rPr>
          <w:rFonts w:eastAsia="Aptos" w:cs="Times New Roman"/>
        </w:rPr>
        <w:t xml:space="preserve"> require permitting </w:t>
      </w:r>
      <w:r w:rsidR="00D7716D">
        <w:rPr>
          <w:rFonts w:eastAsia="Aptos" w:cs="Times New Roman"/>
        </w:rPr>
        <w:t>for</w:t>
      </w:r>
      <w:r w:rsidRPr="00C92010">
        <w:rPr>
          <w:rFonts w:eastAsia="Aptos" w:cs="Times New Roman"/>
        </w:rPr>
        <w:t xml:space="preserve"> routine, minor projects including maintenance work entirely within or on existing substations or poles, small pole replacement projects, and minor distribution substation work. </w:t>
      </w:r>
    </w:p>
    <w:p w:rsidR="007B15E9" w:rsidP="00C92010" w:rsidRDefault="00751717" w14:paraId="18FE0B9A" w14:textId="77777777">
      <w:pPr>
        <w:rPr>
          <w:rFonts w:eastAsia="Aptos" w:cs="Times New Roman"/>
        </w:rPr>
      </w:pPr>
      <w:r>
        <w:rPr>
          <w:rFonts w:eastAsia="Aptos" w:cs="Times New Roman"/>
        </w:rPr>
        <w:t>Upon review</w:t>
      </w:r>
      <w:r w:rsidR="00581D2E">
        <w:rPr>
          <w:rFonts w:eastAsia="Aptos" w:cs="Times New Roman"/>
        </w:rPr>
        <w:t>, w</w:t>
      </w:r>
      <w:r w:rsidRPr="00C92010" w:rsidR="00C92010">
        <w:rPr>
          <w:rFonts w:eastAsia="Aptos" w:cs="Times New Roman"/>
        </w:rPr>
        <w:t>e a</w:t>
      </w:r>
      <w:r w:rsidR="001743E8">
        <w:rPr>
          <w:rFonts w:eastAsia="Aptos" w:cs="Times New Roman"/>
        </w:rPr>
        <w:t xml:space="preserve">re not persuaded </w:t>
      </w:r>
      <w:r w:rsidR="004C3019">
        <w:rPr>
          <w:rFonts w:eastAsia="Aptos" w:cs="Times New Roman"/>
        </w:rPr>
        <w:t>and therefore reject</w:t>
      </w:r>
      <w:r w:rsidRPr="00C92010" w:rsidR="00C92010">
        <w:rPr>
          <w:rFonts w:eastAsia="Aptos" w:cs="Times New Roman"/>
        </w:rPr>
        <w:t xml:space="preserve"> the proposal by PG&amp;E, SCE, and SDG&amp;E to change the term “towers” to “structures” in the definition of “expansion” as the term “structure</w:t>
      </w:r>
      <w:r w:rsidR="00FE0AEF">
        <w:rPr>
          <w:rFonts w:eastAsia="Aptos" w:cs="Times New Roman"/>
        </w:rPr>
        <w:t>s</w:t>
      </w:r>
      <w:r w:rsidRPr="00C92010" w:rsidR="00C92010">
        <w:rPr>
          <w:rFonts w:eastAsia="Aptos" w:cs="Times New Roman"/>
        </w:rPr>
        <w:t xml:space="preserve">” is vague and would be subject to broad interpretation. </w:t>
      </w:r>
      <w:r w:rsidR="00BD6B8B">
        <w:rPr>
          <w:rFonts w:eastAsia="Aptos" w:cs="Times New Roman"/>
        </w:rPr>
        <w:t>As for the</w:t>
      </w:r>
      <w:r w:rsidRPr="00572A3C" w:rsidR="00572A3C">
        <w:rPr>
          <w:rFonts w:eastAsia="Aptos" w:cs="Times New Roman"/>
        </w:rPr>
        <w:t xml:space="preserve"> proposed e</w:t>
      </w:r>
      <w:r w:rsidRPr="000C7467" w:rsidR="000C7467">
        <w:rPr>
          <w:rFonts w:eastAsia="Aptos" w:cs="Times New Roman"/>
        </w:rPr>
        <w:t>xpan</w:t>
      </w:r>
      <w:r w:rsidR="000C7467">
        <w:rPr>
          <w:rFonts w:eastAsia="Aptos" w:cs="Times New Roman"/>
        </w:rPr>
        <w:t>sion</w:t>
      </w:r>
      <w:r w:rsidRPr="000C7467" w:rsidR="000C7467">
        <w:rPr>
          <w:rFonts w:eastAsia="Aptos" w:cs="Times New Roman"/>
        </w:rPr>
        <w:t xml:space="preserve"> </w:t>
      </w:r>
      <w:r w:rsidR="000C7467">
        <w:rPr>
          <w:rFonts w:eastAsia="Aptos" w:cs="Times New Roman"/>
        </w:rPr>
        <w:t xml:space="preserve">of </w:t>
      </w:r>
      <w:r w:rsidRPr="000C7467" w:rsidR="000C7467">
        <w:rPr>
          <w:rFonts w:eastAsia="Aptos" w:cs="Times New Roman"/>
        </w:rPr>
        <w:t xml:space="preserve">the load carrying capacity of existing </w:t>
      </w:r>
      <w:r w:rsidR="00EF6676">
        <w:rPr>
          <w:rFonts w:eastAsia="Aptos" w:cs="Times New Roman"/>
        </w:rPr>
        <w:t>“</w:t>
      </w:r>
      <w:r w:rsidRPr="000C7467" w:rsidR="000C7467">
        <w:rPr>
          <w:rFonts w:eastAsia="Aptos" w:cs="Times New Roman"/>
        </w:rPr>
        <w:t>structures</w:t>
      </w:r>
      <w:r w:rsidR="00EF6676">
        <w:rPr>
          <w:rFonts w:eastAsia="Aptos" w:cs="Times New Roman"/>
        </w:rPr>
        <w:t>”</w:t>
      </w:r>
      <w:r w:rsidRPr="001D7424" w:rsidDel="00556B01" w:rsidR="001D7424">
        <w:t xml:space="preserve"> </w:t>
      </w:r>
      <w:r w:rsidRPr="001D7424" w:rsidR="001D7424">
        <w:rPr>
          <w:rFonts w:eastAsia="Aptos" w:cs="Times New Roman"/>
        </w:rPr>
        <w:t>by PG&amp;E, SCE, and SDG&amp;E</w:t>
      </w:r>
      <w:r w:rsidR="001D7424">
        <w:rPr>
          <w:rFonts w:eastAsia="Aptos" w:cs="Times New Roman"/>
        </w:rPr>
        <w:t>,</w:t>
      </w:r>
      <w:r w:rsidRPr="00572A3C" w:rsidR="00572A3C">
        <w:rPr>
          <w:rFonts w:eastAsia="Aptos" w:cs="Times New Roman"/>
        </w:rPr>
        <w:t xml:space="preserve"> </w:t>
      </w:r>
      <w:r w:rsidR="005E03D1">
        <w:rPr>
          <w:rFonts w:eastAsia="Aptos" w:cs="Times New Roman"/>
        </w:rPr>
        <w:t xml:space="preserve">such scenarios </w:t>
      </w:r>
      <w:r w:rsidR="005A2ED3">
        <w:rPr>
          <w:rFonts w:eastAsia="Aptos" w:cs="Times New Roman"/>
        </w:rPr>
        <w:t xml:space="preserve">could include </w:t>
      </w:r>
      <w:r w:rsidR="00A90BE2">
        <w:rPr>
          <w:rFonts w:eastAsia="Aptos" w:cs="Times New Roman"/>
        </w:rPr>
        <w:t xml:space="preserve">substations </w:t>
      </w:r>
      <w:r w:rsidR="0068096A">
        <w:rPr>
          <w:rFonts w:eastAsia="Aptos" w:cs="Times New Roman"/>
        </w:rPr>
        <w:t xml:space="preserve">or other transmission equipment </w:t>
      </w:r>
      <w:r w:rsidRPr="00572A3C" w:rsidR="00572A3C">
        <w:rPr>
          <w:rFonts w:eastAsia="Aptos" w:cs="Times New Roman"/>
        </w:rPr>
        <w:t>that are not within existing transmission easements, rights-of-way, or franchise agreements</w:t>
      </w:r>
      <w:r w:rsidR="00AA0DDB">
        <w:rPr>
          <w:rFonts w:eastAsia="Aptos" w:cs="Times New Roman"/>
        </w:rPr>
        <w:t>; and t</w:t>
      </w:r>
      <w:r w:rsidR="00194C8C">
        <w:rPr>
          <w:rFonts w:eastAsia="Aptos" w:cs="Times New Roman"/>
        </w:rPr>
        <w:t>h</w:t>
      </w:r>
      <w:r w:rsidR="00CD759E">
        <w:rPr>
          <w:rFonts w:eastAsia="Aptos" w:cs="Times New Roman"/>
        </w:rPr>
        <w:t>at</w:t>
      </w:r>
      <w:r w:rsidRPr="00572A3C" w:rsidR="00572A3C">
        <w:rPr>
          <w:rFonts w:eastAsia="Aptos" w:cs="Times New Roman"/>
        </w:rPr>
        <w:t xml:space="preserve"> could open the potential for </w:t>
      </w:r>
      <w:r w:rsidR="005F72EE">
        <w:rPr>
          <w:rFonts w:eastAsia="Aptos" w:cs="Times New Roman"/>
        </w:rPr>
        <w:t>such “structures”</w:t>
      </w:r>
      <w:r w:rsidRPr="00572A3C" w:rsidR="00572A3C">
        <w:rPr>
          <w:rFonts w:eastAsia="Aptos" w:cs="Times New Roman"/>
        </w:rPr>
        <w:t xml:space="preserve"> to be exempted from the CPCN process. As such, we decline to adopt such </w:t>
      </w:r>
      <w:r w:rsidR="00EA3AAD">
        <w:rPr>
          <w:rFonts w:eastAsia="Aptos" w:cs="Times New Roman"/>
        </w:rPr>
        <w:t>a modification to the definition of</w:t>
      </w:r>
      <w:r w:rsidRPr="00572A3C" w:rsidR="00572A3C">
        <w:rPr>
          <w:rFonts w:eastAsia="Aptos" w:cs="Times New Roman"/>
        </w:rPr>
        <w:t xml:space="preserve"> proposed ex</w:t>
      </w:r>
      <w:r w:rsidR="00EA3AAD">
        <w:rPr>
          <w:rFonts w:eastAsia="Aptos" w:cs="Times New Roman"/>
        </w:rPr>
        <w:t>pansion</w:t>
      </w:r>
      <w:r w:rsidR="00C44CAE">
        <w:rPr>
          <w:rFonts w:eastAsia="Aptos" w:cs="Times New Roman"/>
        </w:rPr>
        <w:t xml:space="preserve"> that includes the term “structures</w:t>
      </w:r>
      <w:r w:rsidR="004C3019">
        <w:rPr>
          <w:rFonts w:eastAsia="Aptos" w:cs="Times New Roman"/>
        </w:rPr>
        <w:t>.</w:t>
      </w:r>
      <w:r w:rsidR="00C44CAE">
        <w:rPr>
          <w:rFonts w:eastAsia="Aptos" w:cs="Times New Roman"/>
        </w:rPr>
        <w:t>”</w:t>
      </w:r>
      <w:r w:rsidRPr="00572A3C" w:rsidR="00572A3C">
        <w:rPr>
          <w:rFonts w:eastAsia="Aptos" w:cs="Times New Roman"/>
        </w:rPr>
        <w:t xml:space="preserve"> </w:t>
      </w:r>
    </w:p>
    <w:p w:rsidRPr="007263BF" w:rsidR="00C92010" w:rsidP="00C92010" w:rsidRDefault="00C92010" w14:paraId="650FE045" w14:textId="77777777">
      <w:pPr>
        <w:rPr>
          <w:rFonts w:eastAsia="Aptos" w:cs="Times New Roman"/>
          <w:i/>
          <w:iCs/>
          <w:u w:val="single"/>
        </w:rPr>
      </w:pPr>
      <w:r w:rsidRPr="007263BF">
        <w:rPr>
          <w:rFonts w:eastAsia="Aptos" w:cs="Times New Roman"/>
          <w:i/>
          <w:iCs/>
          <w:u w:val="single"/>
        </w:rPr>
        <w:t xml:space="preserve">PTC exemptions:  </w:t>
      </w:r>
    </w:p>
    <w:p w:rsidR="00D1751A" w:rsidP="00C92010" w:rsidRDefault="00C92010" w14:paraId="2D1BA24A" w14:textId="77777777">
      <w:pPr>
        <w:rPr>
          <w:rFonts w:eastAsia="Aptos" w:cs="Times New Roman"/>
        </w:rPr>
      </w:pPr>
      <w:r w:rsidRPr="00C92010">
        <w:rPr>
          <w:rFonts w:eastAsia="Aptos" w:cs="Times New Roman"/>
        </w:rPr>
        <w:t>PG&amp;E, SCE, and SDG&amp;E generally support the decision’s modification of GO 131-D PTC exemptions “f” and “g” (which would be GO 131-E PTC exemptions “e” and “f”, respectively), but propose that in GO 131-E PTC exemption “g”, the words “transmission or” should be added before the word “power line”</w:t>
      </w:r>
      <w:r w:rsidR="003A01D9">
        <w:rPr>
          <w:rFonts w:eastAsia="Aptos" w:cs="Times New Roman"/>
        </w:rPr>
        <w:t xml:space="preserve"> at the end of the second clause as follows: “</w:t>
      </w:r>
      <w:r w:rsidRPr="003A01D9" w:rsidR="003A01D9">
        <w:rPr>
          <w:rFonts w:eastAsia="Aptos" w:cs="Times New Roman"/>
        </w:rPr>
        <w:t>or power line facilities, substations, or switchyards in an existing right- of-way (ROW), fee-owned property, or other property on which a public utility has a legal right to operate existing transmission or power line facilities, substations, or switchyards</w:t>
      </w:r>
      <w:r w:rsidRPr="00C92010">
        <w:rPr>
          <w:rFonts w:eastAsia="Aptos" w:cs="Times New Roman"/>
        </w:rPr>
        <w:t xml:space="preserve">”. </w:t>
      </w:r>
    </w:p>
    <w:p w:rsidRPr="00C92010" w:rsidR="00C92010" w:rsidP="00C92010" w:rsidRDefault="00C92010" w14:paraId="182DC7F4" w14:textId="77777777">
      <w:pPr>
        <w:rPr>
          <w:rFonts w:eastAsia="Aptos" w:cs="Times New Roman"/>
        </w:rPr>
      </w:pPr>
      <w:r w:rsidRPr="00C92010">
        <w:rPr>
          <w:rFonts w:eastAsia="Aptos" w:cs="Times New Roman"/>
        </w:rPr>
        <w:lastRenderedPageBreak/>
        <w:t xml:space="preserve">SCE and SDG&amp;E assert that GO 131-E </w:t>
      </w:r>
      <w:r w:rsidR="007A3496">
        <w:rPr>
          <w:rFonts w:eastAsia="Aptos" w:cs="Times New Roman"/>
        </w:rPr>
        <w:t>Section III.B.3</w:t>
      </w:r>
      <w:r w:rsidRPr="00C92010">
        <w:rPr>
          <w:rFonts w:eastAsia="Aptos" w:cs="Times New Roman"/>
        </w:rPr>
        <w:t xml:space="preserve"> should be revised to clarify that the possibility of impact to an environmental resource of hazardous or critical concern would not preclude qualification for GO 131-E PTC exemption “e”</w:t>
      </w:r>
      <w:r w:rsidR="007A3496">
        <w:rPr>
          <w:rFonts w:eastAsia="Aptos" w:cs="Times New Roman"/>
        </w:rPr>
        <w:t>.</w:t>
      </w:r>
      <w:r w:rsidRPr="00C92010">
        <w:rPr>
          <w:rFonts w:eastAsia="Aptos" w:cs="Times New Roman"/>
        </w:rPr>
        <w:t xml:space="preserve"> </w:t>
      </w:r>
      <w:r w:rsidRPr="00C92010">
        <w:rPr>
          <w:rFonts w:eastAsia="Aptos" w:cs="Times New Roman"/>
          <w:vertAlign w:val="superscript"/>
        </w:rPr>
        <w:footnoteReference w:id="261"/>
      </w:r>
      <w:r w:rsidRPr="00C92010">
        <w:rPr>
          <w:rFonts w:eastAsia="Aptos" w:cs="Times New Roman"/>
        </w:rPr>
        <w:t xml:space="preserve"> </w:t>
      </w:r>
    </w:p>
    <w:p w:rsidRPr="00C92010" w:rsidR="00C92010" w:rsidP="00C92010" w:rsidRDefault="00C92010" w14:paraId="2F5C91AA" w14:textId="77777777">
      <w:pPr>
        <w:rPr>
          <w:rFonts w:eastAsia="Aptos" w:cs="Times New Roman"/>
        </w:rPr>
      </w:pPr>
      <w:r w:rsidRPr="00C92010">
        <w:rPr>
          <w:rFonts w:eastAsia="Aptos" w:cs="Times New Roman"/>
        </w:rPr>
        <w:t>Upon review, Section III.B.3 is clarified such that exemption “e”</w:t>
      </w:r>
      <w:r w:rsidRPr="003E498D">
        <w:rPr>
          <w:rFonts w:eastAsia="Aptos" w:cs="Times New Roman"/>
        </w:rPr>
        <w:t xml:space="preserve"> </w:t>
      </w:r>
      <w:r w:rsidRPr="0093683D" w:rsidR="1E607DCC">
        <w:rPr>
          <w:rFonts w:eastAsia="Aptos" w:cs="Times New Roman"/>
        </w:rPr>
        <w:t>would not</w:t>
      </w:r>
      <w:r w:rsidRPr="00C92010" w:rsidR="1E607DCC">
        <w:rPr>
          <w:rFonts w:eastAsia="Aptos" w:cs="Times New Roman"/>
        </w:rPr>
        <w:t xml:space="preserve"> be </w:t>
      </w:r>
      <w:r w:rsidRPr="0093683D" w:rsidR="1E607DCC">
        <w:rPr>
          <w:rFonts w:eastAsia="Aptos" w:cs="Times New Roman"/>
        </w:rPr>
        <w:t>subject to</w:t>
      </w:r>
      <w:r w:rsidRPr="007263BF" w:rsidR="1E607DCC">
        <w:rPr>
          <w:rFonts w:eastAsia="Aptos" w:cs="Times New Roman"/>
        </w:rPr>
        <w:t xml:space="preserve"> </w:t>
      </w:r>
      <w:r w:rsidRPr="003E498D" w:rsidR="005E1463">
        <w:rPr>
          <w:rFonts w:eastAsia="Aptos" w:cs="Times New Roman"/>
        </w:rPr>
        <w:t xml:space="preserve">the </w:t>
      </w:r>
      <w:r w:rsidRPr="007263BF" w:rsidR="005E1463">
        <w:rPr>
          <w:rFonts w:eastAsia="Aptos" w:cs="Times New Roman"/>
        </w:rPr>
        <w:t>exception in</w:t>
      </w:r>
      <w:r w:rsidRPr="0093683D" w:rsidR="1E607DCC">
        <w:rPr>
          <w:rFonts w:eastAsia="Aptos" w:cs="Times New Roman"/>
        </w:rPr>
        <w:t xml:space="preserve"> Section III.B.3 because the </w:t>
      </w:r>
      <w:r w:rsidRPr="00C92010" w:rsidR="1E607DCC">
        <w:rPr>
          <w:rFonts w:eastAsia="Aptos" w:cs="Times New Roman"/>
        </w:rPr>
        <w:t xml:space="preserve">project </w:t>
      </w:r>
      <w:r w:rsidRPr="0093683D" w:rsidR="1E607DCC">
        <w:rPr>
          <w:rFonts w:eastAsia="Aptos" w:cs="Times New Roman"/>
        </w:rPr>
        <w:t>would have already gone through full</w:t>
      </w:r>
      <w:r w:rsidRPr="00C92010" w:rsidR="1E607DCC">
        <w:rPr>
          <w:rFonts w:eastAsia="Aptos" w:cs="Times New Roman"/>
        </w:rPr>
        <w:t xml:space="preserve"> environmental </w:t>
      </w:r>
      <w:r w:rsidRPr="0093683D" w:rsidR="1E607DCC">
        <w:rPr>
          <w:rFonts w:eastAsia="Aptos" w:cs="Times New Roman"/>
        </w:rPr>
        <w:t>review</w:t>
      </w:r>
      <w:r w:rsidRPr="007263BF" w:rsidR="00014B43">
        <w:rPr>
          <w:rFonts w:eastAsia="Aptos" w:cs="Times New Roman"/>
        </w:rPr>
        <w:t>.</w:t>
      </w:r>
      <w:r w:rsidR="00014B43">
        <w:rPr>
          <w:rFonts w:eastAsia="Aptos" w:cs="Times New Roman"/>
        </w:rPr>
        <w:t xml:space="preserve"> In addition,</w:t>
      </w:r>
      <w:r w:rsidRPr="00C92010">
        <w:rPr>
          <w:rFonts w:eastAsia="Aptos" w:cs="Times New Roman"/>
        </w:rPr>
        <w:t xml:space="preserve"> the words “transmission or” are added before the word “power line” </w:t>
      </w:r>
      <w:r w:rsidRPr="0093683D" w:rsidR="00014B43">
        <w:rPr>
          <w:rFonts w:eastAsia="Aptos" w:cs="Times New Roman"/>
        </w:rPr>
        <w:t>at</w:t>
      </w:r>
      <w:r w:rsidR="00014B43">
        <w:rPr>
          <w:rFonts w:eastAsia="Aptos" w:cs="Times New Roman"/>
        </w:rPr>
        <w:t xml:space="preserve"> the end of the second clause of</w:t>
      </w:r>
      <w:r w:rsidRPr="00C92010">
        <w:rPr>
          <w:rFonts w:eastAsia="Aptos" w:cs="Times New Roman"/>
        </w:rPr>
        <w:t xml:space="preserve"> PTC exemption “g” of GO 131-D (which would be GO 131-E exemption "f") so that this exemption </w:t>
      </w:r>
      <w:r w:rsidR="00B83334">
        <w:rPr>
          <w:rFonts w:eastAsia="Aptos" w:cs="Times New Roman"/>
        </w:rPr>
        <w:t>also</w:t>
      </w:r>
      <w:r w:rsidRPr="094914D4" w:rsidR="5D589D7F">
        <w:rPr>
          <w:rFonts w:eastAsia="Aptos" w:cs="Times New Roman"/>
        </w:rPr>
        <w:t xml:space="preserve"> </w:t>
      </w:r>
      <w:r w:rsidRPr="00C92010">
        <w:rPr>
          <w:rFonts w:eastAsia="Aptos" w:cs="Times New Roman"/>
        </w:rPr>
        <w:t xml:space="preserve">applies to proposed </w:t>
      </w:r>
      <w:r w:rsidR="00B83334">
        <w:rPr>
          <w:rFonts w:eastAsia="Aptos" w:cs="Times New Roman"/>
        </w:rPr>
        <w:t xml:space="preserve">power line, substation, and switchyard </w:t>
      </w:r>
      <w:r w:rsidRPr="00C92010">
        <w:rPr>
          <w:rFonts w:eastAsia="Aptos" w:cs="Times New Roman"/>
        </w:rPr>
        <w:t>projects located on property on which a public utility has a legal right to operate existing transmission lines.</w:t>
      </w:r>
    </w:p>
    <w:p w:rsidRPr="00D1751A" w:rsidR="00C92010" w:rsidRDefault="5BE6BFA2" w14:paraId="0D4CFF2D" w14:textId="77777777">
      <w:pPr>
        <w:rPr>
          <w:rFonts w:eastAsia="Book Antiqua" w:cs="Book Antiqua"/>
        </w:rPr>
      </w:pPr>
      <w:r w:rsidRPr="007263BF">
        <w:rPr>
          <w:rFonts w:eastAsia="Book Antiqua" w:cs="Book Antiqua"/>
        </w:rPr>
        <w:t xml:space="preserve">Several parties, including PG&amp;E, SCE, SDG&amp;E, LSPGC, LSA, CUE, and CASMU are concerned that existing permit exemptions for minor substation modification or expansion projects would be removed with proposed Section III.C.1.c of GO 131-E. PG&amp;E, SCE, SDG&amp;E, LSPGC, and CASMU propose to revise Section III.C.1.c of GO 131-E to enable minor substation expansions to also proceed without the need for a PTC or notification via advice letter. </w:t>
      </w:r>
      <w:r w:rsidRPr="005F0174" w:rsidR="00F84E3E">
        <w:t>Parties refer to a clause in existing Section III.B of GO 131-D that states that “An upgraded substation is one in which there is an increase in substation land area beyond the existing utility-owned property…”</w:t>
      </w:r>
      <w:r w:rsidR="00F84E3E">
        <w:t>.</w:t>
      </w:r>
      <w:r w:rsidRPr="005F0174" w:rsidR="00F84E3E">
        <w:t xml:space="preserve"> As a result, the text of Section III.C.1.c and III.C.1.d </w:t>
      </w:r>
      <w:r w:rsidR="00F84E3E">
        <w:t>has been</w:t>
      </w:r>
      <w:r w:rsidRPr="005F0174" w:rsidR="00F84E3E">
        <w:t xml:space="preserve"> modified to maintain this existing language.</w:t>
      </w:r>
      <w:r w:rsidR="00F84E3E">
        <w:t xml:space="preserve"> </w:t>
      </w:r>
      <w:r w:rsidR="00F84E3E">
        <w:rPr>
          <w:rFonts w:eastAsia="Book Antiqua" w:cs="Book Antiqua"/>
        </w:rPr>
        <w:t>Furthermore,</w:t>
      </w:r>
      <w:r w:rsidRPr="007263BF">
        <w:rPr>
          <w:rFonts w:eastAsia="Book Antiqua" w:cs="Book Antiqua"/>
        </w:rPr>
        <w:t xml:space="preserve"> minor substation expansions could qualify for multiple PTC exemptions under Sections III.B.2.e., f., g., and h.</w:t>
      </w:r>
    </w:p>
    <w:p w:rsidRPr="007263BF" w:rsidR="00C92010" w:rsidP="005A58BA" w:rsidRDefault="00C92010" w14:paraId="5DE621B6" w14:textId="77777777">
      <w:pPr>
        <w:keepNext/>
        <w:rPr>
          <w:rFonts w:eastAsia="Aptos" w:cs="Times New Roman"/>
          <w:i/>
          <w:u w:val="single"/>
        </w:rPr>
      </w:pPr>
      <w:r w:rsidRPr="007263BF">
        <w:rPr>
          <w:rFonts w:eastAsia="Aptos" w:cs="Times New Roman"/>
          <w:i/>
          <w:u w:val="single"/>
        </w:rPr>
        <w:lastRenderedPageBreak/>
        <w:t>Reporting requirements:</w:t>
      </w:r>
    </w:p>
    <w:p w:rsidR="00C21212" w:rsidP="00C92010" w:rsidRDefault="00C92010" w14:paraId="60A81E14" w14:textId="77777777">
      <w:pPr>
        <w:rPr>
          <w:rFonts w:eastAsia="Book Antiqua" w:cs="Book Antiqua"/>
        </w:rPr>
      </w:pPr>
      <w:r w:rsidRPr="00C92010">
        <w:rPr>
          <w:rFonts w:eastAsia="Aptos" w:cs="Times New Roman"/>
        </w:rPr>
        <w:t>PG&amp;E, SCE, SDG&amp;E, and CASMU point to the time-intensive process that is required to report data and information related to non-FERC</w:t>
      </w:r>
      <w:r w:rsidR="007E0241">
        <w:rPr>
          <w:rFonts w:eastAsia="Aptos" w:cs="Times New Roman"/>
        </w:rPr>
        <w:t>-</w:t>
      </w:r>
      <w:r w:rsidRPr="006C1C13" w:rsidR="00741501">
        <w:rPr>
          <w:rFonts w:eastAsia="Aptos" w:cs="Times New Roman"/>
        </w:rPr>
        <w:t>jurisdictional</w:t>
      </w:r>
      <w:r w:rsidRPr="00C92010">
        <w:rPr>
          <w:rFonts w:eastAsia="Aptos" w:cs="Times New Roman"/>
        </w:rPr>
        <w:t xml:space="preserve"> projects.</w:t>
      </w:r>
      <w:r w:rsidRPr="00C92010">
        <w:rPr>
          <w:rFonts w:eastAsia="Aptos" w:cs="Times New Roman"/>
          <w:vertAlign w:val="superscript"/>
        </w:rPr>
        <w:footnoteReference w:id="262"/>
      </w:r>
      <w:r w:rsidRPr="094914D4">
        <w:rPr>
          <w:rFonts w:eastAsia="Aptos" w:cs="Times New Roman"/>
        </w:rPr>
        <w:t xml:space="preserve"> </w:t>
      </w:r>
      <w:r w:rsidRPr="007263BF" w:rsidR="78668D6B">
        <w:rPr>
          <w:rFonts w:eastAsia="Book Antiqua" w:cs="Book Antiqua"/>
        </w:rPr>
        <w:t>FERC-jurisdictional projects that are exempt from C</w:t>
      </w:r>
      <w:r w:rsidRPr="007263BF" w:rsidR="002928E2">
        <w:rPr>
          <w:rFonts w:eastAsia="Book Antiqua" w:cs="Book Antiqua"/>
        </w:rPr>
        <w:t>ommission</w:t>
      </w:r>
      <w:r w:rsidRPr="007263BF" w:rsidR="78668D6B">
        <w:rPr>
          <w:rFonts w:eastAsia="Book Antiqua" w:cs="Book Antiqua"/>
        </w:rPr>
        <w:t xml:space="preserve"> permits are reported in the </w:t>
      </w:r>
      <w:r w:rsidRPr="007263BF" w:rsidR="00CD160F">
        <w:rPr>
          <w:rFonts w:eastAsia="Book Antiqua" w:cs="Book Antiqua"/>
        </w:rPr>
        <w:t xml:space="preserve">TPR </w:t>
      </w:r>
      <w:r w:rsidRPr="007263BF" w:rsidR="78668D6B">
        <w:rPr>
          <w:rFonts w:eastAsia="Book Antiqua" w:cs="Book Antiqua"/>
        </w:rPr>
        <w:t xml:space="preserve">data sets provided by the three major IOUs to </w:t>
      </w:r>
      <w:r w:rsidRPr="007263BF" w:rsidR="0028636F">
        <w:rPr>
          <w:rFonts w:eastAsia="Book Antiqua" w:cs="Book Antiqua"/>
        </w:rPr>
        <w:t xml:space="preserve">the </w:t>
      </w:r>
      <w:r w:rsidRPr="007263BF" w:rsidR="78668D6B">
        <w:rPr>
          <w:rFonts w:eastAsia="Book Antiqua" w:cs="Book Antiqua"/>
        </w:rPr>
        <w:t>Commission</w:t>
      </w:r>
      <w:r w:rsidRPr="007263BF" w:rsidR="0028636F">
        <w:rPr>
          <w:rFonts w:eastAsia="Book Antiqua" w:cs="Book Antiqua"/>
        </w:rPr>
        <w:t>. Additionally,</w:t>
      </w:r>
      <w:r w:rsidRPr="007263BF" w:rsidR="005A7A3E">
        <w:rPr>
          <w:rFonts w:eastAsia="Book Antiqua" w:cs="Book Antiqua"/>
        </w:rPr>
        <w:t xml:space="preserve"> Commission</w:t>
      </w:r>
      <w:r w:rsidRPr="007263BF" w:rsidR="78668D6B">
        <w:rPr>
          <w:rFonts w:eastAsia="Book Antiqua" w:cs="Book Antiqua"/>
        </w:rPr>
        <w:t xml:space="preserve"> </w:t>
      </w:r>
      <w:r w:rsidRPr="007263BF" w:rsidR="0028636F">
        <w:rPr>
          <w:rFonts w:eastAsia="Book Antiqua" w:cs="Book Antiqua"/>
        </w:rPr>
        <w:t>S</w:t>
      </w:r>
      <w:r w:rsidRPr="007263BF" w:rsidR="78668D6B">
        <w:rPr>
          <w:rFonts w:eastAsia="Book Antiqua" w:cs="Book Antiqua"/>
        </w:rPr>
        <w:t>taff have the ability to issue data requests to any public utility at any time regarding any of their projects. PG&amp;E and SDG&amp;E also</w:t>
      </w:r>
      <w:r w:rsidRPr="007263BF" w:rsidR="00433F9F">
        <w:rPr>
          <w:rFonts w:eastAsia="Book Antiqua" w:cs="Book Antiqua"/>
        </w:rPr>
        <w:t xml:space="preserve"> express concerns</w:t>
      </w:r>
      <w:r w:rsidRPr="007263BF" w:rsidR="78668D6B">
        <w:rPr>
          <w:rFonts w:eastAsia="Book Antiqua" w:cs="Book Antiqua"/>
        </w:rPr>
        <w:t xml:space="preserve"> that proposed new language in Section IV of GO 131-E could imply that reporting would be required for distribution facilities (i.e., with voltages less than 50 kV). </w:t>
      </w:r>
    </w:p>
    <w:p w:rsidRPr="00C92010" w:rsidR="00C92010" w:rsidP="00C92010" w:rsidRDefault="00C92010" w14:paraId="2C96D2BD" w14:textId="77777777">
      <w:pPr>
        <w:rPr>
          <w:rFonts w:eastAsia="Aptos" w:cs="Times New Roman"/>
        </w:rPr>
      </w:pPr>
      <w:r w:rsidRPr="00C92010">
        <w:rPr>
          <w:rFonts w:eastAsia="Aptos" w:cs="Times New Roman"/>
        </w:rPr>
        <w:t xml:space="preserve">Accordingly, we modify Section IV in GO 131-E to </w:t>
      </w:r>
      <w:r w:rsidRPr="006C1C13" w:rsidR="3DCF697E">
        <w:rPr>
          <w:rFonts w:eastAsia="Aptos" w:cs="Times New Roman"/>
        </w:rPr>
        <w:t>only</w:t>
      </w:r>
      <w:r w:rsidRPr="094914D4" w:rsidR="5D589D7F">
        <w:rPr>
          <w:rFonts w:eastAsia="Aptos" w:cs="Times New Roman"/>
        </w:rPr>
        <w:t xml:space="preserve"> </w:t>
      </w:r>
      <w:r w:rsidRPr="00C92010">
        <w:rPr>
          <w:rFonts w:eastAsia="Aptos" w:cs="Times New Roman"/>
        </w:rPr>
        <w:t>require reporting of transmission</w:t>
      </w:r>
      <w:r w:rsidR="00F11AF9">
        <w:rPr>
          <w:rFonts w:eastAsia="Aptos" w:cs="Times New Roman"/>
        </w:rPr>
        <w:t>, power line, substation, and/or switchyard facility</w:t>
      </w:r>
      <w:r w:rsidRPr="00C92010">
        <w:rPr>
          <w:rFonts w:eastAsia="Aptos" w:cs="Times New Roman"/>
        </w:rPr>
        <w:t xml:space="preserve"> projects with high side voltage exceeding 50 kV for which a CPCN or PTC application or advice letter has been filed or is expected to be filed and that had capital expenditures over $1 million in the prior five years or will have capital expenditures over $1 million in the next four years.</w:t>
      </w:r>
    </w:p>
    <w:p w:rsidRPr="007263BF" w:rsidR="00C92010" w:rsidRDefault="44C033B7" w14:paraId="311F5E99" w14:textId="77777777">
      <w:pPr>
        <w:rPr>
          <w:rFonts w:eastAsia="Book Antiqua" w:cs="Book Antiqua"/>
          <w:szCs w:val="26"/>
        </w:rPr>
      </w:pPr>
      <w:r w:rsidRPr="007263BF">
        <w:rPr>
          <w:rFonts w:eastAsia="Book Antiqua" w:cs="Book Antiqua"/>
          <w:szCs w:val="26"/>
        </w:rPr>
        <w:t xml:space="preserve">Cal Advocates and EDF reiterate their request to make annual and quarterly reports available to the public. </w:t>
      </w:r>
      <w:r w:rsidRPr="007263BF" w:rsidR="00132FB7">
        <w:rPr>
          <w:rFonts w:eastAsia="Book Antiqua" w:cs="Book Antiqua"/>
          <w:szCs w:val="26"/>
        </w:rPr>
        <w:t xml:space="preserve">In acknowledgement of the value of public disclosure </w:t>
      </w:r>
      <w:r w:rsidRPr="007263BF" w:rsidR="00E60AAB">
        <w:rPr>
          <w:rFonts w:eastAsia="Book Antiqua" w:cs="Book Antiqua"/>
          <w:szCs w:val="26"/>
        </w:rPr>
        <w:t xml:space="preserve">to ensure transparent planning and permitting of these critical public infrastructure projects, </w:t>
      </w:r>
      <w:r w:rsidRPr="007263BF" w:rsidR="00C249F8">
        <w:rPr>
          <w:rFonts w:eastAsia="Book Antiqua" w:cs="Book Antiqua"/>
          <w:szCs w:val="26"/>
        </w:rPr>
        <w:t>we</w:t>
      </w:r>
      <w:r w:rsidRPr="007263BF" w:rsidR="00E60AAB">
        <w:rPr>
          <w:rFonts w:eastAsia="Book Antiqua" w:cs="Book Antiqua"/>
          <w:szCs w:val="26"/>
        </w:rPr>
        <w:t xml:space="preserve"> direct Staff to coordinate with the reporting utilities to make these reports available to the public.</w:t>
      </w:r>
    </w:p>
    <w:p w:rsidRPr="007263BF" w:rsidR="00C92010" w:rsidP="5E3D5AFA" w:rsidRDefault="44C033B7" w14:paraId="1B7CE76E" w14:textId="77777777">
      <w:pPr>
        <w:rPr>
          <w:rFonts w:eastAsia="Book Antiqua" w:cs="Book Antiqua"/>
        </w:rPr>
      </w:pPr>
      <w:r w:rsidRPr="007263BF">
        <w:rPr>
          <w:rFonts w:eastAsia="Book Antiqua" w:cs="Book Antiqua"/>
        </w:rPr>
        <w:t>CAISO recommend</w:t>
      </w:r>
      <w:r w:rsidRPr="007263BF" w:rsidR="007C0EFC">
        <w:rPr>
          <w:rFonts w:eastAsia="Book Antiqua" w:cs="Book Antiqua"/>
        </w:rPr>
        <w:t>s</w:t>
      </w:r>
      <w:r w:rsidRPr="007263BF">
        <w:rPr>
          <w:rFonts w:eastAsia="Book Antiqua" w:cs="Book Antiqua"/>
        </w:rPr>
        <w:t xml:space="preserve"> requiring additional information regarding dollar amounts intended to be added to rate base as well as the status of </w:t>
      </w:r>
      <w:r w:rsidRPr="007263BF" w:rsidR="74949C1F">
        <w:rPr>
          <w:rFonts w:eastAsia="Book Antiqua" w:cs="Book Antiqua"/>
        </w:rPr>
        <w:t>approval</w:t>
      </w:r>
      <w:r w:rsidRPr="007263BF">
        <w:rPr>
          <w:rFonts w:eastAsia="Book Antiqua" w:cs="Book Antiqua"/>
        </w:rPr>
        <w:t xml:space="preserve"> of </w:t>
      </w:r>
      <w:r w:rsidRPr="007263BF">
        <w:rPr>
          <w:rFonts w:eastAsia="Book Antiqua" w:cs="Book Antiqua"/>
        </w:rPr>
        <w:lastRenderedPageBreak/>
        <w:t>FERC incentives for projects. This information has been added to the reporting requirements</w:t>
      </w:r>
      <w:r w:rsidRPr="007263BF" w:rsidR="0089391E">
        <w:rPr>
          <w:rFonts w:eastAsia="Book Antiqua" w:cs="Book Antiqua"/>
        </w:rPr>
        <w:t xml:space="preserve"> in GO 131-E Section IV and Appendix A</w:t>
      </w:r>
      <w:r w:rsidRPr="007263BF">
        <w:rPr>
          <w:rFonts w:eastAsia="Book Antiqua" w:cs="Book Antiqua"/>
        </w:rPr>
        <w:t>.</w:t>
      </w:r>
    </w:p>
    <w:p w:rsidRPr="007263BF" w:rsidR="00C92010" w:rsidP="00C92010" w:rsidRDefault="00C92010" w14:paraId="21C72441" w14:textId="77777777">
      <w:pPr>
        <w:rPr>
          <w:rFonts w:eastAsia="Aptos" w:cs="Times New Roman"/>
          <w:i/>
          <w:u w:val="single"/>
        </w:rPr>
      </w:pPr>
      <w:r w:rsidRPr="007263BF">
        <w:rPr>
          <w:rFonts w:eastAsia="Aptos" w:cs="Times New Roman"/>
          <w:i/>
          <w:u w:val="single"/>
        </w:rPr>
        <w:t>Tribal Governments:</w:t>
      </w:r>
    </w:p>
    <w:p w:rsidRPr="00C92010" w:rsidR="00C92010" w:rsidP="00C92010" w:rsidRDefault="00F16D57" w14:paraId="6FC69B6A" w14:textId="77777777">
      <w:pPr>
        <w:rPr>
          <w:rFonts w:eastAsia="Aptos" w:cs="Times New Roman"/>
        </w:rPr>
      </w:pPr>
      <w:r>
        <w:rPr>
          <w:rFonts w:eastAsia="Aptos" w:cs="Times New Roman"/>
        </w:rPr>
        <w:t>W</w:t>
      </w:r>
      <w:r w:rsidRPr="00C92010" w:rsidR="00C92010">
        <w:rPr>
          <w:rFonts w:eastAsia="Aptos" w:cs="Times New Roman"/>
        </w:rPr>
        <w:t xml:space="preserve">e modify Section VII.A.2.g and Section VII.B.2.d in GO 131-E to require CPCN and PTC applicants to include Tribal governments among the contacted agencies listed in their permit applications instead of treating notice to the Native American Heritage Commission (NAHC) as notice on Tribal governments. </w:t>
      </w:r>
    </w:p>
    <w:p w:rsidRPr="007263BF" w:rsidR="00C92010" w:rsidP="00C92010" w:rsidRDefault="00C92010" w14:paraId="31452E7D" w14:textId="77777777">
      <w:pPr>
        <w:rPr>
          <w:rFonts w:eastAsia="Aptos" w:cs="Times New Roman"/>
          <w:i/>
          <w:iCs/>
          <w:kern w:val="2"/>
          <w:szCs w:val="26"/>
          <w:u w:val="single"/>
          <w14:ligatures w14:val="standardContextual"/>
        </w:rPr>
      </w:pPr>
      <w:r w:rsidRPr="007263BF">
        <w:rPr>
          <w:rFonts w:eastAsia="Aptos" w:cs="Times New Roman"/>
          <w:i/>
          <w:iCs/>
          <w:kern w:val="2"/>
          <w:szCs w:val="26"/>
          <w:u w:val="single"/>
          <w14:ligatures w14:val="standardContextual"/>
        </w:rPr>
        <w:t>Other matters:</w:t>
      </w:r>
    </w:p>
    <w:p w:rsidRPr="007263BF" w:rsidR="00C92010" w:rsidP="007263BF" w:rsidRDefault="00C92010" w14:paraId="46154A5A" w14:textId="77777777">
      <w:pPr>
        <w:rPr>
          <w:rFonts w:eastAsia="Aptos" w:cs="Times New Roman"/>
          <w:kern w:val="2"/>
          <w:szCs w:val="26"/>
          <w14:ligatures w14:val="standardContextual"/>
        </w:rPr>
      </w:pPr>
      <w:r w:rsidRPr="00C92010">
        <w:rPr>
          <w:rFonts w:eastAsia="Aptos" w:cs="Times New Roman"/>
          <w:kern w:val="2"/>
          <w:szCs w:val="26"/>
          <w14:ligatures w14:val="standardContextual"/>
        </w:rPr>
        <w:t xml:space="preserve">We have carefully reviewed and considered </w:t>
      </w:r>
      <w:r>
        <w:rPr>
          <w:rFonts w:eastAsia="Aptos" w:cs="Times New Roman"/>
          <w:kern w:val="2"/>
          <w:szCs w:val="26"/>
          <w14:ligatures w14:val="standardContextual"/>
        </w:rPr>
        <w:t>all</w:t>
      </w:r>
      <w:r w:rsidRPr="00C92010">
        <w:rPr>
          <w:rFonts w:eastAsia="Aptos" w:cs="Times New Roman"/>
          <w:kern w:val="2"/>
          <w:szCs w:val="26"/>
          <w14:ligatures w14:val="standardContextual"/>
        </w:rPr>
        <w:t xml:space="preserve"> parties’ comments and made revisions and clarifications to the proposed decision, where warranted, including </w:t>
      </w:r>
      <w:r w:rsidR="00E5134B">
        <w:rPr>
          <w:rFonts w:eastAsia="Aptos" w:cs="Times New Roman"/>
          <w:kern w:val="2"/>
          <w:szCs w:val="26"/>
          <w14:ligatures w14:val="standardContextual"/>
        </w:rPr>
        <w:t xml:space="preserve">corrections of </w:t>
      </w:r>
      <w:r w:rsidRPr="00C92010">
        <w:rPr>
          <w:rFonts w:eastAsia="Aptos" w:cs="Times New Roman"/>
          <w:kern w:val="2"/>
          <w:szCs w:val="26"/>
          <w14:ligatures w14:val="standardContextual"/>
        </w:rPr>
        <w:t xml:space="preserve">inadvertent clerical errors. All comments not specifically addressed in this decision and/or by revisions to the proposed decision have been considered but </w:t>
      </w:r>
      <w:r w:rsidR="004B2673">
        <w:rPr>
          <w:rFonts w:eastAsia="Aptos" w:cs="Times New Roman"/>
          <w:kern w:val="2"/>
          <w:szCs w:val="26"/>
          <w14:ligatures w14:val="standardContextual"/>
        </w:rPr>
        <w:t>are</w:t>
      </w:r>
      <w:r w:rsidRPr="00C92010">
        <w:rPr>
          <w:rFonts w:eastAsia="Aptos" w:cs="Times New Roman"/>
          <w:kern w:val="2"/>
          <w:szCs w:val="26"/>
          <w14:ligatures w14:val="standardContextual"/>
        </w:rPr>
        <w:t xml:space="preserve"> found unpersuasive and do not warrant further modifications to the proposed decision. </w:t>
      </w:r>
    </w:p>
    <w:p w:rsidRPr="00B62A0B" w:rsidR="005939A5" w:rsidP="00804F6F" w:rsidRDefault="005939A5" w14:paraId="39D22979" w14:textId="77777777">
      <w:pPr>
        <w:pStyle w:val="Heading1"/>
        <w:rPr>
          <w:b w:val="0"/>
          <w:bCs/>
        </w:rPr>
      </w:pPr>
      <w:bookmarkStart w:name="_Toc8123724" w:id="184"/>
      <w:bookmarkStart w:name="_Toc141799175" w:id="185"/>
      <w:bookmarkStart w:name="_Toc189738525" w:id="186"/>
      <w:r w:rsidRPr="00B62A0B">
        <w:rPr>
          <w:rStyle w:val="Heading1Char"/>
          <w:b/>
          <w:bCs/>
        </w:rPr>
        <w:t xml:space="preserve">Assignment of </w:t>
      </w:r>
      <w:r w:rsidRPr="00B62A0B">
        <w:t>Proceeding</w:t>
      </w:r>
      <w:bookmarkEnd w:id="184"/>
      <w:bookmarkEnd w:id="185"/>
      <w:bookmarkEnd w:id="186"/>
    </w:p>
    <w:p w:rsidR="005939A5" w:rsidP="006E6574" w:rsidRDefault="007D24E0" w14:paraId="4E8DEB6F" w14:textId="77777777">
      <w:pPr>
        <w:pStyle w:val="Standard"/>
      </w:pPr>
      <w:r>
        <w:t xml:space="preserve">Karen Douglas </w:t>
      </w:r>
      <w:r w:rsidR="005939A5">
        <w:t xml:space="preserve">is the assigned Commissioner and </w:t>
      </w:r>
      <w:r w:rsidR="00BB289C">
        <w:t xml:space="preserve">Rajan Mutialu </w:t>
      </w:r>
      <w:r>
        <w:t xml:space="preserve">and Zhen Zhang </w:t>
      </w:r>
      <w:r w:rsidR="00BB289C">
        <w:t xml:space="preserve">are </w:t>
      </w:r>
      <w:r w:rsidR="005939A5">
        <w:t>the assigned Administrative Law Judge</w:t>
      </w:r>
      <w:r w:rsidR="00BB289C">
        <w:t>s</w:t>
      </w:r>
      <w:r w:rsidR="005939A5">
        <w:t xml:space="preserve"> in this proceeding.</w:t>
      </w:r>
    </w:p>
    <w:p w:rsidR="005939A5" w:rsidP="005939A5" w:rsidRDefault="005939A5" w14:paraId="358DF16B" w14:textId="77777777">
      <w:pPr>
        <w:pStyle w:val="Dummy"/>
      </w:pPr>
      <w:bookmarkStart w:name="_Toc8123725" w:id="187"/>
      <w:bookmarkStart w:name="_Toc141799176" w:id="188"/>
      <w:bookmarkStart w:name="_Toc189738526" w:id="189"/>
      <w:r>
        <w:t>Findings of Fact</w:t>
      </w:r>
      <w:bookmarkEnd w:id="187"/>
      <w:bookmarkEnd w:id="188"/>
      <w:bookmarkEnd w:id="189"/>
    </w:p>
    <w:p w:rsidRPr="001C0CAB" w:rsidR="000F1411" w:rsidP="008153EC" w:rsidRDefault="003B5D07" w14:paraId="21736586" w14:textId="77777777">
      <w:pPr>
        <w:pStyle w:val="FoF"/>
        <w:ind w:firstLine="360"/>
      </w:pPr>
      <w:bookmarkStart w:name="_Hlk141252475" w:id="190"/>
      <w:bookmarkStart w:name="_Toc8123726" w:id="191"/>
      <w:bookmarkStart w:name="_Toc141799177" w:id="192"/>
      <w:r>
        <w:t>GO </w:t>
      </w:r>
      <w:r w:rsidRPr="001C0CAB" w:rsidR="000F1411">
        <w:t>131-D is currently in effect and reflects the Commission</w:t>
      </w:r>
      <w:r w:rsidR="00B315AD">
        <w:t xml:space="preserve">’s </w:t>
      </w:r>
      <w:r w:rsidRPr="001C0CAB" w:rsidR="000F1411">
        <w:t>rules for the planning and construction of electric generation resources; transmission, power, or distribution lines; and electric substations located in California while setting forth the Commission</w:t>
      </w:r>
      <w:r w:rsidR="00B315AD">
        <w:t xml:space="preserve">’s </w:t>
      </w:r>
      <w:r w:rsidRPr="001C0CAB" w:rsidR="000F1411">
        <w:t>process that aligns with the environmental review process set out in CEQA.</w:t>
      </w:r>
    </w:p>
    <w:p w:rsidRPr="001C0CAB" w:rsidR="000F1411" w:rsidP="003B5D07" w:rsidRDefault="00DC14AC" w14:paraId="630A7C60" w14:textId="77777777">
      <w:pPr>
        <w:pStyle w:val="FoF"/>
        <w:keepNext/>
        <w:ind w:firstLine="360"/>
        <w:rPr>
          <w:szCs w:val="26"/>
        </w:rPr>
      </w:pPr>
      <w:r>
        <w:rPr>
          <w:szCs w:val="26"/>
        </w:rPr>
        <w:t>SB </w:t>
      </w:r>
      <w:r w:rsidRPr="001C0CAB" w:rsidR="000F1411">
        <w:rPr>
          <w:szCs w:val="26"/>
        </w:rPr>
        <w:t xml:space="preserve">529 added </w:t>
      </w:r>
      <w:r>
        <w:t>Section </w:t>
      </w:r>
      <w:r w:rsidRPr="001C0CAB" w:rsidR="000F1411">
        <w:rPr>
          <w:szCs w:val="26"/>
        </w:rPr>
        <w:t xml:space="preserve">564 </w:t>
      </w:r>
      <w:r w:rsidR="00AC79F5">
        <w:rPr>
          <w:szCs w:val="26"/>
        </w:rPr>
        <w:t>to the</w:t>
      </w:r>
      <w:r w:rsidRPr="001C0CAB" w:rsidR="00AC79F5">
        <w:rPr>
          <w:szCs w:val="26"/>
        </w:rPr>
        <w:t xml:space="preserve"> </w:t>
      </w:r>
      <w:r w:rsidRPr="001C0CAB" w:rsidR="000F1411">
        <w:rPr>
          <w:szCs w:val="26"/>
        </w:rPr>
        <w:t xml:space="preserve">Pub. Util. Code and required amendments to </w:t>
      </w:r>
      <w:r w:rsidR="003B5D07">
        <w:rPr>
          <w:szCs w:val="26"/>
        </w:rPr>
        <w:t>GO </w:t>
      </w:r>
      <w:r w:rsidRPr="001C0CAB" w:rsidR="000F1411">
        <w:rPr>
          <w:szCs w:val="26"/>
        </w:rPr>
        <w:t>131-D as follows:</w:t>
      </w:r>
    </w:p>
    <w:p w:rsidR="000F1411" w:rsidP="003B5D07" w:rsidRDefault="000F1411" w14:paraId="24525FA5" w14:textId="77777777">
      <w:pPr>
        <w:pStyle w:val="BlockQuote"/>
      </w:pPr>
      <w:r w:rsidRPr="001C0CAB">
        <w:t>By January 1, 2024, the Commission shall update General Order 131</w:t>
      </w:r>
      <w:r w:rsidR="0054267C">
        <w:noBreakHyphen/>
      </w:r>
      <w:r w:rsidRPr="001C0CAB">
        <w:t xml:space="preserve">D to authorize each public utility electrical corporation to use </w:t>
      </w:r>
      <w:r w:rsidRPr="001C0CAB">
        <w:lastRenderedPageBreak/>
        <w:t>the permit-to</w:t>
      </w:r>
      <w:r w:rsidRPr="002766E8">
        <w:t xml:space="preserve">-construct process or claim an exemption under </w:t>
      </w:r>
      <w:r w:rsidR="00DC14AC">
        <w:t>Section </w:t>
      </w:r>
      <w:r w:rsidRPr="002766E8">
        <w:t>III(B) of that general order to seek approval to construct an extension, expansion, upgrade, or other modification to its existing electrical transmission facilities, including electric transmission lines and substations within existing transmission easements, rights of way, or franchise</w:t>
      </w:r>
      <w:r w:rsidRPr="00C57F04">
        <w:t xml:space="preserve"> agreements, irrespective of whether the electrical transmission facility is above a 200-kilovolt voltage level</w:t>
      </w:r>
      <w:r>
        <w:t>.</w:t>
      </w:r>
    </w:p>
    <w:p w:rsidRPr="002B6536" w:rsidR="000F1411" w:rsidP="00CE20A7" w:rsidRDefault="00DC14AC" w14:paraId="072BFE95" w14:textId="77777777">
      <w:pPr>
        <w:pStyle w:val="FoF"/>
        <w:keepNext/>
        <w:ind w:firstLine="360"/>
        <w:rPr>
          <w:szCs w:val="26"/>
        </w:rPr>
      </w:pPr>
      <w:r>
        <w:rPr>
          <w:szCs w:val="26"/>
        </w:rPr>
        <w:t>SB </w:t>
      </w:r>
      <w:r w:rsidRPr="002B6536" w:rsidR="000F1411">
        <w:rPr>
          <w:szCs w:val="26"/>
        </w:rPr>
        <w:t xml:space="preserve">529 </w:t>
      </w:r>
      <w:r w:rsidRPr="008153EC" w:rsidR="000F1411">
        <w:t>modified</w:t>
      </w:r>
      <w:r w:rsidRPr="002B6536" w:rsidR="000F1411">
        <w:rPr>
          <w:szCs w:val="26"/>
        </w:rPr>
        <w:t xml:space="preserve"> </w:t>
      </w:r>
      <w:r>
        <w:rPr>
          <w:szCs w:val="26"/>
        </w:rPr>
        <w:t>Section </w:t>
      </w:r>
      <w:r w:rsidRPr="002B6536" w:rsidR="000F1411">
        <w:rPr>
          <w:szCs w:val="26"/>
        </w:rPr>
        <w:t xml:space="preserve">1001(b) of Pub. Util. Code to read as follows: </w:t>
      </w:r>
    </w:p>
    <w:p w:rsidRPr="002B6536" w:rsidR="000F1411" w:rsidP="00CE20A7" w:rsidRDefault="000F1411" w14:paraId="3DD2521A" w14:textId="77777777">
      <w:pPr>
        <w:pStyle w:val="BlockQuote"/>
      </w:pPr>
      <w:r w:rsidRPr="002B6536">
        <w:t>The extension, expansion, upgrade, or other modification of an existing electrical transmission facility, including transmission lines and substations, does not require a certificate that the present or future public convenience and necessity requires or will require its construction.</w:t>
      </w:r>
    </w:p>
    <w:p w:rsidRPr="002B6536" w:rsidR="000F1411" w:rsidP="008153EC" w:rsidRDefault="000F1411" w14:paraId="48A47D38" w14:textId="77777777">
      <w:pPr>
        <w:pStyle w:val="FoF"/>
        <w:ind w:firstLine="360"/>
      </w:pPr>
      <w:r w:rsidRPr="002B6536">
        <w:t xml:space="preserve">On May 23, 2023, the Commission issued the instant OIR to update and clarify </w:t>
      </w:r>
      <w:r w:rsidR="003B5D07">
        <w:t>GO </w:t>
      </w:r>
      <w:r w:rsidRPr="002B6536">
        <w:t xml:space="preserve">131-D pursuant to </w:t>
      </w:r>
      <w:r w:rsidR="00DC14AC">
        <w:t>SB </w:t>
      </w:r>
      <w:r w:rsidRPr="002B6536" w:rsidR="0001159B">
        <w:t>529</w:t>
      </w:r>
      <w:r w:rsidRPr="002B6536" w:rsidR="00037776">
        <w:t xml:space="preserve"> </w:t>
      </w:r>
      <w:r w:rsidRPr="002B6536" w:rsidR="00B315AD">
        <w:t>and</w:t>
      </w:r>
      <w:r w:rsidRPr="002B6536">
        <w:t xml:space="preserve"> </w:t>
      </w:r>
      <w:r w:rsidRPr="002B6536" w:rsidR="0031058B">
        <w:t xml:space="preserve">to </w:t>
      </w:r>
      <w:r w:rsidRPr="002B6536">
        <w:t xml:space="preserve">make other necessary clarifications and updates to the GO.  </w:t>
      </w:r>
    </w:p>
    <w:p w:rsidRPr="002B6536" w:rsidR="00382265" w:rsidP="003B5D07" w:rsidRDefault="000F1411" w14:paraId="6964BC03" w14:textId="77777777">
      <w:pPr>
        <w:pStyle w:val="FoF"/>
        <w:keepNext/>
        <w:ind w:firstLine="360"/>
      </w:pPr>
      <w:r w:rsidRPr="002B6536">
        <w:t xml:space="preserve">On September 29, 2023, SCE, PG&amp;E, and SDG&amp;E filed a Joint Motion for Adoption of Settlement Agreement </w:t>
      </w:r>
      <w:r w:rsidR="00441707">
        <w:t xml:space="preserve">on behalf of </w:t>
      </w:r>
      <w:r w:rsidR="0041743E">
        <w:t>some of the parties to this proceeding (</w:t>
      </w:r>
      <w:r w:rsidR="00441707">
        <w:t>Settling Parties</w:t>
      </w:r>
      <w:r w:rsidR="0041743E">
        <w:t>)</w:t>
      </w:r>
      <w:r w:rsidR="00441707">
        <w:t xml:space="preserve"> </w:t>
      </w:r>
      <w:r w:rsidRPr="002B6536">
        <w:t xml:space="preserve">and proposed revisions to </w:t>
      </w:r>
      <w:r w:rsidR="003B5D07">
        <w:t>GO </w:t>
      </w:r>
      <w:r w:rsidRPr="002B6536">
        <w:t>131-D that relate to</w:t>
      </w:r>
      <w:r w:rsidRPr="002B6536" w:rsidR="00A14A00">
        <w:t>:</w:t>
      </w:r>
      <w:r w:rsidRPr="002B6536">
        <w:t xml:space="preserve"> </w:t>
      </w:r>
    </w:p>
    <w:p w:rsidRPr="002B6536" w:rsidR="00813821" w:rsidP="003E7B36" w:rsidRDefault="000F1411" w14:paraId="588DA3CB" w14:textId="77777777">
      <w:pPr>
        <w:pStyle w:val="Standard"/>
        <w:spacing w:after="120" w:line="240" w:lineRule="auto"/>
        <w:ind w:left="1170" w:right="1440" w:hanging="450"/>
      </w:pPr>
      <w:r w:rsidRPr="002B6536">
        <w:t>(</w:t>
      </w:r>
      <w:r w:rsidRPr="002B6536" w:rsidR="00813821">
        <w:t>a</w:t>
      </w:r>
      <w:r w:rsidRPr="002B6536">
        <w:t>)</w:t>
      </w:r>
      <w:r w:rsidR="003E7B36">
        <w:tab/>
      </w:r>
      <w:r w:rsidR="00DC14AC">
        <w:t>SB </w:t>
      </w:r>
      <w:r w:rsidRPr="002B6536">
        <w:t xml:space="preserve">529 implementation; </w:t>
      </w:r>
    </w:p>
    <w:p w:rsidRPr="002B6536" w:rsidR="00D905C7" w:rsidP="003E7B36" w:rsidRDefault="00DE0C00" w14:paraId="4CD18161" w14:textId="77777777">
      <w:pPr>
        <w:pStyle w:val="Standard"/>
        <w:spacing w:after="120" w:line="240" w:lineRule="auto"/>
        <w:ind w:left="1170" w:right="1440" w:hanging="450"/>
      </w:pPr>
      <w:r w:rsidRPr="002B6536">
        <w:t>(b</w:t>
      </w:r>
      <w:r w:rsidRPr="002B6536" w:rsidR="000F1411">
        <w:t>)</w:t>
      </w:r>
      <w:r w:rsidR="003E7B36">
        <w:tab/>
      </w:r>
      <w:r w:rsidRPr="002B6536" w:rsidR="000F1411">
        <w:t xml:space="preserve">applicant-prepared </w:t>
      </w:r>
      <w:r w:rsidR="00441707">
        <w:t xml:space="preserve">draft </w:t>
      </w:r>
      <w:r w:rsidRPr="002B6536" w:rsidR="000F1411">
        <w:t xml:space="preserve">CEQA documents; </w:t>
      </w:r>
    </w:p>
    <w:p w:rsidRPr="002B6536" w:rsidR="00D905C7" w:rsidP="003E7B36" w:rsidRDefault="000F1411" w14:paraId="1C5D4FE4" w14:textId="77777777">
      <w:pPr>
        <w:pStyle w:val="Standard"/>
        <w:spacing w:after="120" w:line="240" w:lineRule="auto"/>
        <w:ind w:left="1170" w:right="1440" w:hanging="450"/>
      </w:pPr>
      <w:r w:rsidRPr="002B6536">
        <w:t>(</w:t>
      </w:r>
      <w:r w:rsidRPr="002B6536" w:rsidR="00D905C7">
        <w:t>c</w:t>
      </w:r>
      <w:r w:rsidRPr="002B6536">
        <w:t>)</w:t>
      </w:r>
      <w:r w:rsidR="003E7B36">
        <w:tab/>
      </w:r>
      <w:r w:rsidRPr="002B6536">
        <w:t xml:space="preserve">recognition of CAISO transmission planning findings; </w:t>
      </w:r>
    </w:p>
    <w:p w:rsidRPr="002B6536" w:rsidR="00DC4A4D" w:rsidP="003E7B36" w:rsidRDefault="000F1411" w14:paraId="42CE95A6" w14:textId="77777777">
      <w:pPr>
        <w:pStyle w:val="Standard"/>
        <w:spacing w:after="120" w:line="240" w:lineRule="auto"/>
        <w:ind w:left="1170" w:right="1440" w:hanging="450"/>
      </w:pPr>
      <w:r w:rsidRPr="002B6536">
        <w:t>(</w:t>
      </w:r>
      <w:r w:rsidRPr="002B6536" w:rsidR="00D905C7">
        <w:t>d</w:t>
      </w:r>
      <w:r w:rsidRPr="002B6536">
        <w:t>)</w:t>
      </w:r>
      <w:r w:rsidR="003E7B36">
        <w:tab/>
      </w:r>
      <w:r w:rsidRPr="002B6536">
        <w:t xml:space="preserve">Commission CEQA process deadlines; </w:t>
      </w:r>
    </w:p>
    <w:p w:rsidRPr="002B6536" w:rsidR="00DC4A4D" w:rsidP="003E7B36" w:rsidRDefault="000F1411" w14:paraId="0A4FE783" w14:textId="77777777">
      <w:pPr>
        <w:pStyle w:val="Standard"/>
        <w:spacing w:after="120" w:line="240" w:lineRule="auto"/>
        <w:ind w:left="1170" w:right="1440" w:hanging="450"/>
      </w:pPr>
      <w:r w:rsidRPr="002B6536">
        <w:t>(</w:t>
      </w:r>
      <w:r w:rsidRPr="002B6536" w:rsidR="00DC4A4D">
        <w:t>e</w:t>
      </w:r>
      <w:r w:rsidRPr="002B6536">
        <w:t>)</w:t>
      </w:r>
      <w:r w:rsidR="003E7B36">
        <w:tab/>
      </w:r>
      <w:r w:rsidRPr="002B6536">
        <w:t xml:space="preserve">protest filing, processing, and disposition procedures; </w:t>
      </w:r>
    </w:p>
    <w:p w:rsidRPr="002B6536" w:rsidR="00DC4A4D" w:rsidP="003E7B36" w:rsidRDefault="000F1411" w14:paraId="367136C6" w14:textId="77777777">
      <w:pPr>
        <w:pStyle w:val="Standard"/>
        <w:spacing w:after="120" w:line="240" w:lineRule="auto"/>
        <w:ind w:left="1170" w:right="1440" w:hanging="450"/>
      </w:pPr>
      <w:r w:rsidRPr="002B6536">
        <w:t>(</w:t>
      </w:r>
      <w:r w:rsidRPr="002B6536" w:rsidR="00DC4A4D">
        <w:t>f</w:t>
      </w:r>
      <w:r w:rsidRPr="002B6536">
        <w:t>)</w:t>
      </w:r>
      <w:r w:rsidR="003E7B36">
        <w:tab/>
      </w:r>
      <w:r w:rsidRPr="002B6536">
        <w:t xml:space="preserve">clarifications of </w:t>
      </w:r>
      <w:r w:rsidR="003B5D07">
        <w:t>GO </w:t>
      </w:r>
      <w:r w:rsidRPr="002B6536">
        <w:t>131-D</w:t>
      </w:r>
      <w:r w:rsidR="00630DCA">
        <w:t>,</w:t>
      </w:r>
      <w:r w:rsidRPr="002B6536">
        <w:t xml:space="preserve"> </w:t>
      </w:r>
      <w:r w:rsidR="00DC14AC">
        <w:t>Section </w:t>
      </w:r>
      <w:r w:rsidRPr="002B6536">
        <w:t>III.B.1.g</w:t>
      </w:r>
      <w:r w:rsidR="00630DCA">
        <w:t>,</w:t>
      </w:r>
      <w:r w:rsidRPr="002B6536">
        <w:t xml:space="preserve"> Permit to Construct (PTC) exemption language; </w:t>
      </w:r>
    </w:p>
    <w:p w:rsidRPr="002B6536" w:rsidR="00A767E4" w:rsidP="003E7B36" w:rsidRDefault="000F1411" w14:paraId="304F2DE3" w14:textId="77777777">
      <w:pPr>
        <w:pStyle w:val="Standard"/>
        <w:spacing w:after="120" w:line="240" w:lineRule="auto"/>
        <w:ind w:left="1170" w:right="1440" w:hanging="450"/>
      </w:pPr>
      <w:r w:rsidRPr="002B6536">
        <w:t>(</w:t>
      </w:r>
      <w:r w:rsidRPr="002B6536" w:rsidR="00A767E4">
        <w:t>g</w:t>
      </w:r>
      <w:r w:rsidRPr="002B6536">
        <w:t>)</w:t>
      </w:r>
      <w:r w:rsidR="003E7B36">
        <w:tab/>
      </w:r>
      <w:r w:rsidRPr="002B6536">
        <w:t>miscellaneous updates and general references; and</w:t>
      </w:r>
    </w:p>
    <w:p w:rsidRPr="002B6536" w:rsidR="000F1411" w:rsidP="003B5D07" w:rsidRDefault="00A767E4" w14:paraId="68A01CC7" w14:textId="77777777">
      <w:pPr>
        <w:pStyle w:val="Standard"/>
        <w:spacing w:after="180" w:line="240" w:lineRule="auto"/>
        <w:ind w:left="1170" w:right="1440" w:hanging="450"/>
      </w:pPr>
      <w:r w:rsidRPr="002B6536">
        <w:t>(h</w:t>
      </w:r>
      <w:r w:rsidRPr="002B6536" w:rsidR="000F1411">
        <w:t>)</w:t>
      </w:r>
      <w:r w:rsidR="003E7B36">
        <w:tab/>
      </w:r>
      <w:r w:rsidRPr="002B6536" w:rsidR="000F1411">
        <w:t xml:space="preserve">implementation of new legislation, including AB 1373. </w:t>
      </w:r>
    </w:p>
    <w:p w:rsidRPr="002B6536" w:rsidR="000F1411" w:rsidP="008153EC" w:rsidRDefault="000F1411" w14:paraId="617CEACA" w14:textId="77777777">
      <w:pPr>
        <w:pStyle w:val="FoF"/>
        <w:ind w:firstLine="360"/>
      </w:pPr>
      <w:r w:rsidRPr="002B6536">
        <w:t xml:space="preserve">On October 7, 2023, AB 1373 modified </w:t>
      </w:r>
      <w:r w:rsidR="00DC14AC">
        <w:t>Section </w:t>
      </w:r>
      <w:r w:rsidRPr="002B6536">
        <w:t xml:space="preserve">1001.1 of Pub. Util. Code to read as follows: </w:t>
      </w:r>
    </w:p>
    <w:p w:rsidRPr="002B6536" w:rsidR="000F1411" w:rsidP="003B5D07" w:rsidRDefault="000F1411" w14:paraId="104821D3" w14:textId="77777777">
      <w:pPr>
        <w:pStyle w:val="BlockQuote"/>
      </w:pPr>
      <w:r w:rsidRPr="002B6536">
        <w:lastRenderedPageBreak/>
        <w:t>In a proceeding evaluating the issuance of a certificate of public convenience and necessity for a proposed transmission project, the commission shall establish a rebuttable presumption with regard to need for the proposed transmission project in favor of an Independent System Operator governing board-approved need evaluation if all of the following are satisfied:</w:t>
      </w:r>
    </w:p>
    <w:p w:rsidRPr="002B6536" w:rsidR="000F1411" w:rsidP="003E7B36" w:rsidRDefault="000F1411" w14:paraId="3A465858" w14:textId="77777777">
      <w:pPr>
        <w:pStyle w:val="Standard"/>
        <w:spacing w:after="120" w:line="240" w:lineRule="auto"/>
        <w:ind w:left="1170" w:right="1440" w:hanging="450"/>
        <w:rPr>
          <w:szCs w:val="26"/>
        </w:rPr>
      </w:pPr>
      <w:r w:rsidRPr="002B6536">
        <w:rPr>
          <w:szCs w:val="26"/>
        </w:rPr>
        <w:t>(a)</w:t>
      </w:r>
      <w:r w:rsidR="003E7B36">
        <w:rPr>
          <w:szCs w:val="26"/>
        </w:rPr>
        <w:tab/>
      </w:r>
      <w:r w:rsidRPr="002B6536">
        <w:rPr>
          <w:szCs w:val="26"/>
        </w:rPr>
        <w:t>The Independent System Operator governing board has made explicit findings regarding the need for the proposed transmission project and has determined that the proposed project is the most cost-effective transmission solution.</w:t>
      </w:r>
    </w:p>
    <w:p w:rsidRPr="002B6536" w:rsidR="000F1411" w:rsidP="003E7B36" w:rsidRDefault="000F1411" w14:paraId="37B806C1" w14:textId="77777777">
      <w:pPr>
        <w:pStyle w:val="Standard"/>
        <w:spacing w:after="120" w:line="240" w:lineRule="auto"/>
        <w:ind w:left="1170" w:right="1440" w:hanging="450"/>
        <w:rPr>
          <w:szCs w:val="26"/>
        </w:rPr>
      </w:pPr>
      <w:r w:rsidRPr="002B6536">
        <w:rPr>
          <w:szCs w:val="26"/>
        </w:rPr>
        <w:t>(b)</w:t>
      </w:r>
      <w:r w:rsidR="003E7B36">
        <w:rPr>
          <w:szCs w:val="26"/>
        </w:rPr>
        <w:tab/>
      </w:r>
      <w:r w:rsidRPr="002B6536">
        <w:rPr>
          <w:szCs w:val="26"/>
        </w:rPr>
        <w:t>The Independent System Operator is a party to the proceeding.</w:t>
      </w:r>
    </w:p>
    <w:p w:rsidRPr="002B6536" w:rsidR="000F1411" w:rsidP="003E7B36" w:rsidRDefault="000F1411" w14:paraId="29E7EB56" w14:textId="77777777">
      <w:pPr>
        <w:pStyle w:val="Standard"/>
        <w:spacing w:after="120" w:line="240" w:lineRule="auto"/>
        <w:ind w:left="1170" w:right="1440" w:hanging="450"/>
        <w:rPr>
          <w:szCs w:val="26"/>
        </w:rPr>
      </w:pPr>
      <w:r w:rsidRPr="002B6536">
        <w:rPr>
          <w:szCs w:val="26"/>
        </w:rPr>
        <w:t>(c)</w:t>
      </w:r>
      <w:r w:rsidR="003E7B36">
        <w:rPr>
          <w:szCs w:val="26"/>
        </w:rPr>
        <w:tab/>
      </w:r>
      <w:r w:rsidRPr="002B6536">
        <w:rPr>
          <w:szCs w:val="26"/>
        </w:rPr>
        <w:t>The Independent System Operator governing board-approved need evaluation is submitted to the commission within sufficient time to be included within the scope of the proceeding.</w:t>
      </w:r>
    </w:p>
    <w:p w:rsidRPr="002B6536" w:rsidR="000F1411" w:rsidP="003E7B36" w:rsidRDefault="000F1411" w14:paraId="413C182F" w14:textId="77777777">
      <w:pPr>
        <w:pStyle w:val="Standard"/>
        <w:spacing w:after="120" w:line="240" w:lineRule="auto"/>
        <w:ind w:left="1170" w:right="1440" w:hanging="450"/>
        <w:rPr>
          <w:szCs w:val="26"/>
        </w:rPr>
      </w:pPr>
      <w:r w:rsidRPr="002B6536">
        <w:rPr>
          <w:szCs w:val="26"/>
        </w:rPr>
        <w:t>(d)</w:t>
      </w:r>
      <w:r w:rsidR="003E7B36">
        <w:rPr>
          <w:szCs w:val="26"/>
        </w:rPr>
        <w:tab/>
      </w:r>
      <w:r w:rsidRPr="002B6536">
        <w:rPr>
          <w:szCs w:val="26"/>
        </w:rPr>
        <w:t>There has been no substantial change to the scope, estimated cost, or timeline of the proposed transmission project as approved by the Independent System Operator governing board.</w:t>
      </w:r>
    </w:p>
    <w:p w:rsidRPr="002B6536" w:rsidR="000F1411" w:rsidP="008153EC" w:rsidRDefault="000F1411" w14:paraId="3978AA07" w14:textId="77777777">
      <w:pPr>
        <w:pStyle w:val="FoF"/>
        <w:ind w:firstLine="360"/>
      </w:pPr>
      <w:r w:rsidRPr="002B6536">
        <w:t>On December 14, 2023, the Commission issued D.23-12-</w:t>
      </w:r>
      <w:r w:rsidRPr="002B6536" w:rsidR="00F259E5">
        <w:t xml:space="preserve">035 </w:t>
      </w:r>
      <w:r w:rsidRPr="002B6536">
        <w:t xml:space="preserve">(Phase 1 Decision) which (a) adopted several modifications to </w:t>
      </w:r>
      <w:r w:rsidR="003B5D07">
        <w:t>GO </w:t>
      </w:r>
      <w:r w:rsidRPr="002B6536">
        <w:t xml:space="preserve">131-D to align its provisions with </w:t>
      </w:r>
      <w:r w:rsidR="00DC14AC">
        <w:t>SB </w:t>
      </w:r>
      <w:r w:rsidRPr="002B6536">
        <w:t>529 requirements, (b) made a few updates to outdated references in it, and (c) noted that issues addressed in the Settlement Agreement were outside of the Phase 1 scope and that the Settlement Agreement therefore would be considered during Phase 2.</w:t>
      </w:r>
    </w:p>
    <w:p w:rsidRPr="002B6536" w:rsidR="000F1411" w:rsidP="008153EC" w:rsidRDefault="000F1411" w14:paraId="651F980C" w14:textId="77777777">
      <w:pPr>
        <w:pStyle w:val="FoF"/>
        <w:ind w:firstLine="360"/>
      </w:pPr>
      <w:r w:rsidRPr="002B6536">
        <w:t xml:space="preserve">From December 18, 2023, parties were afforded ample opportunities to file comments on Phase 2 issues and the Settlement Agreement, including various definitions of terms in </w:t>
      </w:r>
      <w:r w:rsidR="003B5D07">
        <w:t>GO </w:t>
      </w:r>
      <w:r w:rsidRPr="002B6536">
        <w:t xml:space="preserve">131-D and Pub. Util. Code Sections 564 and 1001(b); and the parties filed comments on those issues.  </w:t>
      </w:r>
    </w:p>
    <w:p w:rsidR="00B30F91" w:rsidP="008153EC" w:rsidRDefault="000F1411" w14:paraId="0818E578" w14:textId="77777777">
      <w:pPr>
        <w:pStyle w:val="FoF"/>
        <w:ind w:firstLine="360"/>
      </w:pPr>
      <w:r w:rsidRPr="006B7D70">
        <w:lastRenderedPageBreak/>
        <w:t>On May 17, 2024, the assigned ALJ issued a ruling with</w:t>
      </w:r>
      <w:r w:rsidRPr="006B7D70" w:rsidDel="008518CB">
        <w:t xml:space="preserve"> </w:t>
      </w:r>
      <w:r w:rsidRPr="006B7D70">
        <w:t>the Staff Proposal on Phase 2 issues, directed the parties to file comments</w:t>
      </w:r>
      <w:r w:rsidRPr="006B7D70" w:rsidDel="00266A88">
        <w:t xml:space="preserve"> </w:t>
      </w:r>
      <w:r w:rsidRPr="006B7D70">
        <w:t>and noticed a related Staff workshop to be held on June 3, 2024; and the workshop was held and the parties filed comments</w:t>
      </w:r>
      <w:r w:rsidRPr="006B7D70" w:rsidDel="00266A88">
        <w:t>.</w:t>
      </w:r>
      <w:r w:rsidR="00B76015">
        <w:t xml:space="preserve"> </w:t>
      </w:r>
    </w:p>
    <w:p w:rsidRPr="0076248D" w:rsidR="003A4EDE" w:rsidP="002F7878" w:rsidRDefault="00E9670C" w14:paraId="3E27EFA8" w14:textId="477A211A">
      <w:pPr>
        <w:pStyle w:val="FoF"/>
        <w:ind w:firstLine="270"/>
      </w:pPr>
      <w:r w:rsidRPr="0076248D">
        <w:t xml:space="preserve">On September 20, 2024, AB 551 amended </w:t>
      </w:r>
      <w:r w:rsidR="00DC14AC">
        <w:t>Section</w:t>
      </w:r>
      <w:r w:rsidR="0041743E">
        <w:t>s</w:t>
      </w:r>
      <w:r w:rsidR="00DC14AC">
        <w:t> </w:t>
      </w:r>
      <w:r w:rsidRPr="0076248D">
        <w:t xml:space="preserve">311 and 1731 of Pub. Util. Code to prohibit a cause of action arising </w:t>
      </w:r>
      <w:r w:rsidRPr="0076248D" w:rsidR="004941E8">
        <w:t xml:space="preserve">out of a Commission </w:t>
      </w:r>
      <w:r w:rsidRPr="0076248D">
        <w:t xml:space="preserve">Executive </w:t>
      </w:r>
      <w:r w:rsidRPr="0076248D" w:rsidR="004941E8">
        <w:t>Director</w:t>
      </w:r>
      <w:r w:rsidRPr="0076248D">
        <w:t xml:space="preserve"> disposition of </w:t>
      </w:r>
      <w:r w:rsidRPr="0076248D" w:rsidR="00606D98">
        <w:t>a protest</w:t>
      </w:r>
      <w:r w:rsidRPr="0076248D" w:rsidR="00307F0F">
        <w:t xml:space="preserve"> </w:t>
      </w:r>
      <w:r w:rsidRPr="0076248D" w:rsidR="004941E8">
        <w:t xml:space="preserve">to a notice of </w:t>
      </w:r>
      <w:r w:rsidRPr="0076248D">
        <w:t xml:space="preserve">proposed project </w:t>
      </w:r>
      <w:r w:rsidRPr="0076248D" w:rsidR="004941E8">
        <w:t xml:space="preserve">deemed </w:t>
      </w:r>
      <w:r w:rsidRPr="0076248D" w:rsidR="00E33E2C">
        <w:t>to be</w:t>
      </w:r>
      <w:r w:rsidRPr="0076248D">
        <w:t xml:space="preserve"> PTC </w:t>
      </w:r>
      <w:r w:rsidRPr="0076248D" w:rsidR="004941E8">
        <w:t>exempt</w:t>
      </w:r>
      <w:r w:rsidRPr="0076248D">
        <w:t xml:space="preserve"> from accruing in any court to any entity or person unless </w:t>
      </w:r>
      <w:r w:rsidRPr="0076248D" w:rsidR="004941E8">
        <w:t>the</w:t>
      </w:r>
      <w:r w:rsidRPr="0076248D">
        <w:t xml:space="preserve"> entity or person </w:t>
      </w:r>
      <w:r w:rsidRPr="0076248D" w:rsidR="004941E8">
        <w:t>has filed</w:t>
      </w:r>
      <w:r w:rsidRPr="0076248D">
        <w:t xml:space="preserve"> a rehearing application </w:t>
      </w:r>
      <w:r w:rsidRPr="0076248D" w:rsidR="008730AC">
        <w:t>at the Commission</w:t>
      </w:r>
      <w:r w:rsidRPr="0076248D" w:rsidR="004941E8">
        <w:t xml:space="preserve"> </w:t>
      </w:r>
      <w:r w:rsidRPr="0076248D">
        <w:t xml:space="preserve">within 10 days after disposition </w:t>
      </w:r>
      <w:r w:rsidRPr="0076248D" w:rsidR="004941E8">
        <w:t xml:space="preserve">issuance. </w:t>
      </w:r>
      <w:r w:rsidR="003C149B">
        <w:t>AB 511</w:t>
      </w:r>
      <w:r w:rsidRPr="00F238A0" w:rsidR="0064170B">
        <w:t xml:space="preserve"> </w:t>
      </w:r>
      <w:r w:rsidRPr="00F238A0" w:rsidR="0057001F">
        <w:t xml:space="preserve">also </w:t>
      </w:r>
      <w:r w:rsidRPr="00F238A0" w:rsidR="004941E8">
        <w:t>require</w:t>
      </w:r>
      <w:r w:rsidRPr="00F238A0" w:rsidR="0057001F">
        <w:t>s</w:t>
      </w:r>
      <w:r w:rsidRPr="0076248D">
        <w:t xml:space="preserve"> </w:t>
      </w:r>
      <w:r w:rsidRPr="00B70AA0">
        <w:t xml:space="preserve">the </w:t>
      </w:r>
      <w:r w:rsidRPr="00B70AA0" w:rsidR="004941E8">
        <w:t>C</w:t>
      </w:r>
      <w:r w:rsidR="00B315AD">
        <w:t>ommission</w:t>
      </w:r>
      <w:r w:rsidRPr="00B70AA0" w:rsidR="004941E8">
        <w:t xml:space="preserve"> </w:t>
      </w:r>
      <w:r w:rsidRPr="0076248D">
        <w:t xml:space="preserve">to issue </w:t>
      </w:r>
      <w:r w:rsidRPr="0076248D" w:rsidR="004941E8">
        <w:t>its</w:t>
      </w:r>
      <w:r w:rsidRPr="0076248D">
        <w:t xml:space="preserve"> decision</w:t>
      </w:r>
      <w:r w:rsidRPr="00F238A0" w:rsidR="0048656E">
        <w:t>,</w:t>
      </w:r>
      <w:r w:rsidRPr="0076248D">
        <w:t xml:space="preserve"> order on </w:t>
      </w:r>
      <w:r w:rsidR="00ED7B2E">
        <w:t xml:space="preserve">the </w:t>
      </w:r>
      <w:r w:rsidRPr="0076248D">
        <w:t xml:space="preserve">rehearing </w:t>
      </w:r>
      <w:r w:rsidR="00ED7B2E">
        <w:t>application</w:t>
      </w:r>
      <w:r w:rsidRPr="0076248D">
        <w:t xml:space="preserve"> within 90 days after the filing of that application</w:t>
      </w:r>
      <w:r w:rsidRPr="00F238A0" w:rsidR="0048656E">
        <w:t>, and</w:t>
      </w:r>
      <w:r w:rsidRPr="0076248D" w:rsidR="00E266F8">
        <w:t xml:space="preserve"> provides </w:t>
      </w:r>
      <w:r w:rsidRPr="0076248D" w:rsidR="00AE7E62">
        <w:t>authority</w:t>
      </w:r>
      <w:r w:rsidRPr="0076248D" w:rsidR="00E266F8">
        <w:t xml:space="preserve"> for the Commission to amend the </w:t>
      </w:r>
      <w:r w:rsidR="00683040">
        <w:t xml:space="preserve">PEA </w:t>
      </w:r>
      <w:r w:rsidRPr="0076248D" w:rsidR="00E266F8">
        <w:t xml:space="preserve"> Guidelines</w:t>
      </w:r>
      <w:r w:rsidRPr="0076248D" w:rsidR="00B30F91">
        <w:t xml:space="preserve"> via resolution.</w:t>
      </w:r>
    </w:p>
    <w:p w:rsidRPr="0076248D" w:rsidR="00D95B42" w:rsidP="002F7878" w:rsidRDefault="00B76015" w14:paraId="1D21C950" w14:textId="77777777">
      <w:pPr>
        <w:pStyle w:val="FoF"/>
        <w:ind w:firstLine="270"/>
      </w:pPr>
      <w:r w:rsidRPr="0076248D">
        <w:t xml:space="preserve">On September 27, 2024, AB 2292 repealed </w:t>
      </w:r>
      <w:r w:rsidR="00DC14AC">
        <w:t>Section </w:t>
      </w:r>
      <w:r w:rsidRPr="0076248D">
        <w:t xml:space="preserve">1002.3 of the </w:t>
      </w:r>
      <w:r w:rsidRPr="00F238A0">
        <w:t>Pub</w:t>
      </w:r>
      <w:r w:rsidRPr="00F238A0" w:rsidR="0048656E">
        <w:t>.</w:t>
      </w:r>
      <w:r w:rsidRPr="00F238A0">
        <w:t xml:space="preserve"> Util</w:t>
      </w:r>
      <w:r w:rsidRPr="00F238A0" w:rsidR="0048656E">
        <w:t>.</w:t>
      </w:r>
      <w:r w:rsidRPr="00F238A0">
        <w:t xml:space="preserve"> Code</w:t>
      </w:r>
      <w:r w:rsidRPr="00F238A0" w:rsidR="002D1E7E">
        <w:t xml:space="preserve"> and</w:t>
      </w:r>
      <w:r w:rsidRPr="00F238A0" w:rsidR="007C4CF8">
        <w:t xml:space="preserve"> repeal</w:t>
      </w:r>
      <w:r w:rsidRPr="00F238A0" w:rsidR="002D1E7E">
        <w:t>ed</w:t>
      </w:r>
      <w:r w:rsidRPr="0076248D">
        <w:t xml:space="preserve"> the provision requiring that the Commission consider cost-effective alternatives that meet the need for an efficient, reliable, and affordable supply of electricity, including demand-side alternatives such as targeted energy efficiency, ultraclean distributed generation, as defined, and other demand reduction resources when considering </w:t>
      </w:r>
      <w:r w:rsidRPr="0076248D" w:rsidR="002D1B12">
        <w:t xml:space="preserve">a </w:t>
      </w:r>
      <w:r w:rsidRPr="0076248D">
        <w:t>CPCN application for a proposed electric transmission facility.</w:t>
      </w:r>
    </w:p>
    <w:p w:rsidRPr="006B7D70" w:rsidR="000F1411" w:rsidP="002F7878" w:rsidRDefault="000F1411" w14:paraId="3434CE44" w14:textId="77777777">
      <w:pPr>
        <w:pStyle w:val="FoF"/>
        <w:ind w:firstLine="270"/>
      </w:pPr>
      <w:r w:rsidRPr="006B7D70">
        <w:t>Rule 2.4 of the Commission Rules establishes Commission procedure for project applicants to comply with CEQA</w:t>
      </w:r>
      <w:r w:rsidR="0041743E">
        <w:t xml:space="preserve"> and</w:t>
      </w:r>
      <w:r w:rsidRPr="006B7D70">
        <w:t xml:space="preserve"> CEQA Guidelines</w:t>
      </w:r>
      <w:r w:rsidRPr="006B7D70" w:rsidDel="00B315AD">
        <w:t xml:space="preserve">, </w:t>
      </w:r>
      <w:r w:rsidRPr="006B7D70">
        <w:t xml:space="preserve">and </w:t>
      </w:r>
      <w:r w:rsidR="0031058B">
        <w:t xml:space="preserve">requires </w:t>
      </w:r>
      <w:r w:rsidRPr="006B7D70">
        <w:t xml:space="preserve">permit applications for projects that are not statutorily or categorically exempt from CEQA </w:t>
      </w:r>
      <w:r w:rsidR="0031058B">
        <w:t xml:space="preserve">to </w:t>
      </w:r>
      <w:r w:rsidRPr="006B7D70">
        <w:t xml:space="preserve">include a PEA, prepared in accordance with the Commission’s </w:t>
      </w:r>
      <w:r w:rsidRPr="00F238A0">
        <w:t>PEA Guidelines.</w:t>
      </w:r>
      <w:r w:rsidRPr="006B7D70">
        <w:t xml:space="preserve"> </w:t>
      </w:r>
    </w:p>
    <w:p w:rsidRPr="006B7D70" w:rsidR="000F1411" w:rsidP="002F7878" w:rsidRDefault="000F1411" w14:paraId="68D9D620" w14:textId="77777777">
      <w:pPr>
        <w:pStyle w:val="FoF"/>
        <w:ind w:firstLine="270"/>
      </w:pPr>
      <w:r w:rsidRPr="006B7D70">
        <w:lastRenderedPageBreak/>
        <w:t>A specific type of CEQA document (</w:t>
      </w:r>
      <w:r w:rsidRPr="000C7745">
        <w:rPr>
          <w:i/>
          <w:iCs/>
        </w:rPr>
        <w:t>e.g.</w:t>
      </w:r>
      <w:r w:rsidR="0041743E">
        <w:t>,</w:t>
      </w:r>
      <w:r w:rsidRPr="006B7D70">
        <w:t xml:space="preserve"> ND, MND, or EIR) is not necessarily used to review and approve a CPCN or PTC</w:t>
      </w:r>
      <w:r w:rsidR="001A18F7">
        <w:t xml:space="preserve"> application</w:t>
      </w:r>
      <w:r w:rsidRPr="006B7D70">
        <w:t xml:space="preserve">. Rather, the appropriate level of CEQA review is determined by each project’s details and impacts not by the permit type. </w:t>
      </w:r>
    </w:p>
    <w:p w:rsidRPr="006B7D70" w:rsidR="000F1411" w:rsidP="002F7878" w:rsidRDefault="000F1411" w14:paraId="07F87826" w14:textId="77777777">
      <w:pPr>
        <w:pStyle w:val="FoF"/>
        <w:ind w:firstLine="270"/>
      </w:pPr>
      <w:r w:rsidRPr="006B7D70">
        <w:t>Historically, CPCN applications tend</w:t>
      </w:r>
      <w:r w:rsidR="0041743E">
        <w:t>ed</w:t>
      </w:r>
      <w:r w:rsidRPr="006B7D70">
        <w:t xml:space="preserve"> to involve </w:t>
      </w:r>
      <w:r w:rsidR="0041743E">
        <w:t xml:space="preserve">larger and </w:t>
      </w:r>
      <w:r w:rsidRPr="006B7D70">
        <w:t>higher-voltage projects</w:t>
      </w:r>
      <w:r w:rsidR="0041743E">
        <w:t xml:space="preserve"> with</w:t>
      </w:r>
      <w:r w:rsidRPr="006B7D70">
        <w:t xml:space="preserve"> cross jurisdictional boundaries and impact</w:t>
      </w:r>
      <w:r w:rsidR="0041743E">
        <w:t>s to</w:t>
      </w:r>
      <w:r w:rsidRPr="006B7D70">
        <w:t xml:space="preserve"> more resource areas</w:t>
      </w:r>
      <w:r w:rsidR="0041743E">
        <w:t>;</w:t>
      </w:r>
      <w:r w:rsidRPr="006B7D70">
        <w:t xml:space="preserve"> accordingly, </w:t>
      </w:r>
      <w:r w:rsidR="0041743E">
        <w:t xml:space="preserve">they tended to </w:t>
      </w:r>
      <w:r w:rsidRPr="006B7D70">
        <w:t>carry a greater potential for significant environmental impacts</w:t>
      </w:r>
      <w:r w:rsidR="0041743E">
        <w:t xml:space="preserve"> and were</w:t>
      </w:r>
      <w:r w:rsidRPr="006B7D70">
        <w:t xml:space="preserve"> more likely to </w:t>
      </w:r>
      <w:r w:rsidR="0041743E">
        <w:t xml:space="preserve">result in </w:t>
      </w:r>
      <w:r w:rsidRPr="006B7D70">
        <w:t>prepar</w:t>
      </w:r>
      <w:r w:rsidR="0041743E">
        <w:t>ation of</w:t>
      </w:r>
      <w:r w:rsidRPr="006B7D70">
        <w:t xml:space="preserve"> an EIR. </w:t>
      </w:r>
    </w:p>
    <w:p w:rsidRPr="006B7D70" w:rsidR="000F1411" w:rsidP="002F7878" w:rsidRDefault="0041743E" w14:paraId="6225FA35" w14:textId="77777777">
      <w:pPr>
        <w:pStyle w:val="FoF"/>
        <w:ind w:firstLine="270"/>
      </w:pPr>
      <w:r>
        <w:t xml:space="preserve">Historically, </w:t>
      </w:r>
      <w:r w:rsidRPr="006B7D70" w:rsidR="000F1411">
        <w:t>PTC applications tend</w:t>
      </w:r>
      <w:r>
        <w:t>ed</w:t>
      </w:r>
      <w:r w:rsidRPr="006B7D70" w:rsidR="000F1411">
        <w:t xml:space="preserve"> to involve lower-voltage projects that </w:t>
      </w:r>
      <w:r>
        <w:t>we</w:t>
      </w:r>
      <w:r w:rsidRPr="006B7D70" w:rsidR="000F1411">
        <w:t xml:space="preserve">re more limited in scope and impacts; thus, PTC applications often resulted in </w:t>
      </w:r>
      <w:r w:rsidRPr="006B7D70" w:rsidR="00492497">
        <w:t>a</w:t>
      </w:r>
      <w:r w:rsidRPr="00B71C09" w:rsidR="00B71C09">
        <w:t xml:space="preserve"> mitigated negative declaration</w:t>
      </w:r>
      <w:r w:rsidRPr="006B7D70" w:rsidR="000F1411">
        <w:t xml:space="preserve"> or </w:t>
      </w:r>
      <w:r w:rsidR="007C64E3">
        <w:t xml:space="preserve">a </w:t>
      </w:r>
      <w:r w:rsidRPr="007C64E3" w:rsidR="007C64E3">
        <w:t>negative declaration</w:t>
      </w:r>
      <w:r w:rsidRPr="006B7D70" w:rsidR="000F1411">
        <w:t xml:space="preserve">. However, depending on factors such as environmental </w:t>
      </w:r>
      <w:r w:rsidR="00B4595C">
        <w:t>siting</w:t>
      </w:r>
      <w:r w:rsidRPr="006B7D70" w:rsidR="000F1411">
        <w:t xml:space="preserve">, initial evaluation of potential impacts, and level of public controversy, </w:t>
      </w:r>
      <w:r w:rsidR="00161F35">
        <w:t xml:space="preserve">some </w:t>
      </w:r>
      <w:r w:rsidRPr="006B7D70" w:rsidR="000F1411">
        <w:t>projects that qualif</w:t>
      </w:r>
      <w:r>
        <w:t>ied</w:t>
      </w:r>
      <w:r w:rsidRPr="006B7D70" w:rsidR="000F1411">
        <w:t xml:space="preserve"> for a PTC still require</w:t>
      </w:r>
      <w:r w:rsidR="00161F35">
        <w:t>d</w:t>
      </w:r>
      <w:r w:rsidRPr="006B7D70" w:rsidR="000F1411">
        <w:t xml:space="preserve"> EIR</w:t>
      </w:r>
      <w:r w:rsidR="00161F35">
        <w:t>s</w:t>
      </w:r>
      <w:r w:rsidRPr="006B7D70" w:rsidR="000F1411">
        <w:t xml:space="preserve">. </w:t>
      </w:r>
    </w:p>
    <w:p w:rsidRPr="006B7D70" w:rsidR="000F1411" w:rsidP="002F7878" w:rsidRDefault="000F1411" w14:paraId="65FCAA21" w14:textId="77777777">
      <w:pPr>
        <w:pStyle w:val="FoF"/>
        <w:ind w:firstLine="270"/>
      </w:pPr>
      <w:r w:rsidRPr="006B7D70">
        <w:t xml:space="preserve">The Commission reviews CPCN and PTC applications under two parallel but largely bifurcated processes: </w:t>
      </w:r>
      <w:r w:rsidR="00161F35">
        <w:t xml:space="preserve">(a) </w:t>
      </w:r>
      <w:r w:rsidRPr="006B7D70">
        <w:t xml:space="preserve">an environmental review pursuant to CEQA, and </w:t>
      </w:r>
      <w:r w:rsidR="00161F35">
        <w:t xml:space="preserve">(b) </w:t>
      </w:r>
      <w:r w:rsidRPr="006B7D70">
        <w:t>a review of formal proceeding issues, such as public convenience and necessity, maximum prudent and reasonable cost of the project (if approved), community values, and EMF issue</w:t>
      </w:r>
      <w:r w:rsidR="0031058B">
        <w:t>s</w:t>
      </w:r>
      <w:r w:rsidRPr="006B7D70">
        <w:t xml:space="preserve">. </w:t>
      </w:r>
    </w:p>
    <w:p w:rsidRPr="006B7D70" w:rsidR="000F1411" w:rsidP="002F7878" w:rsidRDefault="000F1411" w14:paraId="29179CE4" w14:textId="77777777">
      <w:pPr>
        <w:pStyle w:val="FoF"/>
        <w:ind w:firstLine="270"/>
        <w:rPr>
          <w:szCs w:val="26"/>
        </w:rPr>
      </w:pPr>
      <w:bookmarkStart w:name="_Toc177646992" w:id="193"/>
      <w:r w:rsidRPr="006B7D70">
        <w:t>Under t</w:t>
      </w:r>
      <w:bookmarkEnd w:id="193"/>
      <w:r w:rsidRPr="006B7D70">
        <w:rPr>
          <w:szCs w:val="26"/>
        </w:rPr>
        <w:t xml:space="preserve">he </w:t>
      </w:r>
      <w:r w:rsidRPr="008153EC">
        <w:t>Commission’s</w:t>
      </w:r>
      <w:r w:rsidRPr="006B7D70">
        <w:rPr>
          <w:szCs w:val="26"/>
        </w:rPr>
        <w:t xml:space="preserve"> current project approval practices and process, the Commission and permit applicants engage in a multi-step process to </w:t>
      </w:r>
      <w:r w:rsidR="001A18F7">
        <w:rPr>
          <w:szCs w:val="26"/>
        </w:rPr>
        <w:t xml:space="preserve">evaluate </w:t>
      </w:r>
      <w:r w:rsidRPr="006B7D70">
        <w:rPr>
          <w:szCs w:val="26"/>
        </w:rPr>
        <w:t>proposed projects and adopt or certify the appropriate CEQA documents, culminating in the issuance of a CPCN or PTC</w:t>
      </w:r>
      <w:r w:rsidR="00161F35">
        <w:rPr>
          <w:szCs w:val="26"/>
        </w:rPr>
        <w:t>. This process</w:t>
      </w:r>
      <w:r w:rsidRPr="006B7D70">
        <w:rPr>
          <w:szCs w:val="26"/>
        </w:rPr>
        <w:t xml:space="preserve"> can often be protracted. </w:t>
      </w:r>
    </w:p>
    <w:p w:rsidRPr="006B7D70" w:rsidR="000F1411" w:rsidP="002F7878" w:rsidRDefault="000F1411" w14:paraId="09EA95B2" w14:textId="77777777">
      <w:pPr>
        <w:pStyle w:val="FoF"/>
        <w:ind w:firstLine="270"/>
        <w:rPr>
          <w:szCs w:val="26"/>
        </w:rPr>
      </w:pPr>
      <w:r>
        <w:lastRenderedPageBreak/>
        <w:t>Projects involving new technologies</w:t>
      </w:r>
      <w:r w:rsidR="758E8808">
        <w:t xml:space="preserve">, including </w:t>
      </w:r>
      <w:r w:rsidRPr="00F238A0" w:rsidR="00430BCC">
        <w:t>BESS</w:t>
      </w:r>
      <w:r w:rsidR="758E8808">
        <w:t>,</w:t>
      </w:r>
      <w:r>
        <w:t xml:space="preserve"> </w:t>
      </w:r>
      <w:r w:rsidR="2CB2DF97">
        <w:t>ha</w:t>
      </w:r>
      <w:r w:rsidR="53226C04">
        <w:t>ve</w:t>
      </w:r>
      <w:r>
        <w:t xml:space="preserve"> added another layer of challenge and complexity to this current project approval practices and process.</w:t>
      </w:r>
    </w:p>
    <w:p w:rsidRPr="006B7D70" w:rsidR="000F1411" w:rsidP="002F7878" w:rsidRDefault="000F1411" w14:paraId="077D905B" w14:textId="77777777">
      <w:pPr>
        <w:pStyle w:val="FoF"/>
        <w:ind w:firstLine="270"/>
      </w:pPr>
      <w:r w:rsidRPr="006B7D70">
        <w:t xml:space="preserve">Staff </w:t>
      </w:r>
      <w:r w:rsidR="00B315AD">
        <w:t xml:space="preserve">Proposal </w:t>
      </w:r>
      <w:r w:rsidR="00DC14AC">
        <w:t>Section </w:t>
      </w:r>
      <w:r w:rsidR="00B315AD">
        <w:t xml:space="preserve">3.7, </w:t>
      </w:r>
      <w:r w:rsidRPr="006B7D70">
        <w:t xml:space="preserve">Proposal 1, Option 3, and related </w:t>
      </w:r>
      <w:r w:rsidR="003B5D07">
        <w:t>GO </w:t>
      </w:r>
      <w:r w:rsidRPr="006B7D70">
        <w:t xml:space="preserve">131-D revisions to be reflected in </w:t>
      </w:r>
      <w:r w:rsidR="003B5D07">
        <w:t>GO </w:t>
      </w:r>
      <w:r w:rsidRPr="006B7D70">
        <w:t>131-E, as modified below, are reasonable</w:t>
      </w:r>
      <w:r w:rsidR="00007317">
        <w:t xml:space="preserve"> </w:t>
      </w:r>
      <w:r w:rsidR="003E660A">
        <w:t>approaches t</w:t>
      </w:r>
      <w:r w:rsidRPr="00007317" w:rsidR="00007317">
        <w:t>o accelerate the processing time for CPCNs and PTC applications</w:t>
      </w:r>
      <w:r w:rsidRPr="006B7D70">
        <w:t xml:space="preserve">:  </w:t>
      </w:r>
    </w:p>
    <w:p w:rsidRPr="006B7D70" w:rsidR="000F1411" w:rsidP="00D13705" w:rsidRDefault="000F1411" w14:paraId="7717997E" w14:textId="77777777">
      <w:pPr>
        <w:pStyle w:val="Standard"/>
        <w:numPr>
          <w:ilvl w:val="0"/>
          <w:numId w:val="10"/>
        </w:numPr>
        <w:spacing w:after="120" w:line="240" w:lineRule="auto"/>
        <w:ind w:left="1170" w:right="1440" w:hanging="450"/>
      </w:pPr>
      <w:r w:rsidRPr="006B7D70">
        <w:t xml:space="preserve">to revise the GO, as required in </w:t>
      </w:r>
      <w:r w:rsidR="00B315AD">
        <w:t xml:space="preserve">Staff Proposal </w:t>
      </w:r>
      <w:r w:rsidR="00DC14AC">
        <w:t>Section </w:t>
      </w:r>
      <w:r w:rsidR="00B315AD">
        <w:t xml:space="preserve">3.7, </w:t>
      </w:r>
      <w:r w:rsidRPr="006B7D70">
        <w:t xml:space="preserve">Staff Proposal 1, Option 3, to </w:t>
      </w:r>
      <w:r w:rsidR="00D97571">
        <w:t>require utilities to initiate pre-filing consultation at least six months prior to filing a CPCN or PTC application</w:t>
      </w:r>
      <w:r w:rsidR="00EE2E69">
        <w:t>, but</w:t>
      </w:r>
      <w:r w:rsidR="00BE32AF">
        <w:t xml:space="preserve"> allow utilities to</w:t>
      </w:r>
      <w:r w:rsidR="00EE2E69">
        <w:t xml:space="preserve"> </w:t>
      </w:r>
      <w:r w:rsidR="000202FA">
        <w:t xml:space="preserve">initiate </w:t>
      </w:r>
      <w:r w:rsidR="00DB23B3">
        <w:t xml:space="preserve">pre-consultation </w:t>
      </w:r>
      <w:r w:rsidR="009153CF">
        <w:t>at a later date</w:t>
      </w:r>
      <w:r w:rsidRPr="006B7D70">
        <w:t xml:space="preserve"> if </w:t>
      </w:r>
      <w:r w:rsidR="00EE2E69">
        <w:t>autho</w:t>
      </w:r>
      <w:r w:rsidR="00753C0E">
        <w:t>rized by Staff in writing.</w:t>
      </w:r>
      <w:r w:rsidRPr="006B7D70">
        <w:t xml:space="preserve"> </w:t>
      </w:r>
    </w:p>
    <w:p w:rsidRPr="006B7D70" w:rsidR="000F1411" w:rsidP="00D13705" w:rsidRDefault="000F1411" w14:paraId="5F687DF1" w14:textId="77777777">
      <w:pPr>
        <w:pStyle w:val="Standard"/>
        <w:numPr>
          <w:ilvl w:val="0"/>
          <w:numId w:val="10"/>
        </w:numPr>
        <w:spacing w:after="120" w:line="240" w:lineRule="auto"/>
        <w:ind w:left="1170" w:right="1440" w:hanging="450"/>
      </w:pPr>
      <w:r w:rsidRPr="006B7D70">
        <w:t xml:space="preserve">to modify </w:t>
      </w:r>
      <w:r w:rsidR="00B315AD">
        <w:t xml:space="preserve">Staff Proposal </w:t>
      </w:r>
      <w:r w:rsidR="00DC14AC">
        <w:t>Section </w:t>
      </w:r>
      <w:r w:rsidR="00B315AD">
        <w:t xml:space="preserve">3.7, </w:t>
      </w:r>
      <w:r w:rsidRPr="006B7D70">
        <w:t xml:space="preserve">Proposal 1, Option 3, by adopting </w:t>
      </w:r>
      <w:r w:rsidR="0023532A">
        <w:t>revisions in Section VI and Section VII in GO 131</w:t>
      </w:r>
      <w:r w:rsidR="00126A00">
        <w:t>-</w:t>
      </w:r>
      <w:r w:rsidR="0023532A">
        <w:t>E t</w:t>
      </w:r>
      <w:r w:rsidRPr="006B7D70">
        <w:t xml:space="preserve">o update a revised list of permissible CEQA document types so that applicants may prepare and submit a draft version of an initial study, ND, MND, EIR, addendum, or analysis of the applicability of an exemption from CEQA in their applications in lieu of a PEA (proposed by PG&amp;E, SCE, SDG&amp;E, LSPGC, and </w:t>
      </w:r>
      <w:r w:rsidR="001524A1">
        <w:t>Transmission Owners</w:t>
      </w:r>
      <w:r w:rsidRPr="006B7D70">
        <w:t>);</w:t>
      </w:r>
    </w:p>
    <w:p w:rsidRPr="006B7D70" w:rsidR="000F1411" w:rsidP="00D13705" w:rsidRDefault="000F1411" w14:paraId="46B47A77" w14:textId="77777777">
      <w:pPr>
        <w:pStyle w:val="Standard"/>
        <w:numPr>
          <w:ilvl w:val="0"/>
          <w:numId w:val="10"/>
        </w:numPr>
        <w:spacing w:after="120" w:line="240" w:lineRule="auto"/>
        <w:ind w:left="1170" w:right="1440" w:hanging="450"/>
      </w:pPr>
      <w:r w:rsidRPr="006B7D70">
        <w:t xml:space="preserve">to insert “any required” before “issue-specific technical studies” in </w:t>
      </w:r>
      <w:r w:rsidR="00DC14AC">
        <w:t>Section </w:t>
      </w:r>
      <w:r w:rsidR="00DA5B94">
        <w:t>V</w:t>
      </w:r>
      <w:r w:rsidR="008E565B">
        <w:t>I</w:t>
      </w:r>
      <w:r w:rsidR="00B84573">
        <w:t>I</w:t>
      </w:r>
      <w:r w:rsidRPr="006B7D70">
        <w:t>.</w:t>
      </w:r>
      <w:r w:rsidR="008E565B">
        <w:t>C</w:t>
      </w:r>
      <w:r w:rsidRPr="006B7D70">
        <w:t>.1</w:t>
      </w:r>
      <w:r w:rsidR="008E565B">
        <w:t>.a</w:t>
      </w:r>
      <w:r w:rsidRPr="006B7D70">
        <w:t xml:space="preserve"> (proposed by PG&amp;E, SCE, and SDG&amp;E); and </w:t>
      </w:r>
    </w:p>
    <w:p w:rsidRPr="006B7D70" w:rsidR="000F1411" w:rsidP="00D13705" w:rsidRDefault="000F1411" w14:paraId="14CB00FF" w14:textId="77777777">
      <w:pPr>
        <w:pStyle w:val="Standard"/>
        <w:numPr>
          <w:ilvl w:val="0"/>
          <w:numId w:val="10"/>
        </w:numPr>
        <w:spacing w:after="120" w:line="240" w:lineRule="auto"/>
        <w:ind w:left="1170" w:right="1440" w:hanging="450"/>
      </w:pPr>
      <w:r w:rsidRPr="006B7D70">
        <w:t xml:space="preserve">to insert language in </w:t>
      </w:r>
      <w:r w:rsidR="00DC14AC">
        <w:t>Section </w:t>
      </w:r>
      <w:r w:rsidR="00B84573">
        <w:t>VII.</w:t>
      </w:r>
      <w:r w:rsidRPr="006B7D70">
        <w:t>C.1.a that identifies Staff and other C</w:t>
      </w:r>
      <w:r w:rsidR="00E457CE">
        <w:t>alifornia</w:t>
      </w:r>
      <w:r w:rsidRPr="006B7D70">
        <w:t xml:space="preserve"> agencies, as applicable, as the entities responsible for determining which technical studies are “required” for a particular project. </w:t>
      </w:r>
    </w:p>
    <w:p w:rsidRPr="006B7D70" w:rsidR="000F1411" w:rsidP="002F7878" w:rsidRDefault="000F1411" w14:paraId="4AF20157" w14:textId="448D9D61">
      <w:pPr>
        <w:pStyle w:val="FoF"/>
        <w:ind w:firstLine="270"/>
      </w:pPr>
      <w:r w:rsidRPr="006B7D70">
        <w:t xml:space="preserve">Staff </w:t>
      </w:r>
      <w:r w:rsidR="00686969">
        <w:t xml:space="preserve">Proposal </w:t>
      </w:r>
      <w:r w:rsidR="00DC14AC">
        <w:t>Section </w:t>
      </w:r>
      <w:r w:rsidR="00686969">
        <w:t>3.7, P</w:t>
      </w:r>
      <w:r w:rsidRPr="006B7D70">
        <w:t xml:space="preserve">roposal </w:t>
      </w:r>
      <w:r w:rsidR="00686969">
        <w:t xml:space="preserve">2 </w:t>
      </w:r>
      <w:r w:rsidRPr="006B7D70">
        <w:t xml:space="preserve">to consolidate EMF application requirements and related </w:t>
      </w:r>
      <w:r w:rsidR="003B5D07">
        <w:t>GO </w:t>
      </w:r>
      <w:r w:rsidRPr="006B7D70">
        <w:t xml:space="preserve">131-D revisions to be reflected in </w:t>
      </w:r>
      <w:r w:rsidR="003B5D07">
        <w:t>GO </w:t>
      </w:r>
      <w:r w:rsidRPr="006B7D70">
        <w:t>131-E are reasonable. </w:t>
      </w:r>
    </w:p>
    <w:p w:rsidRPr="00D4291C" w:rsidR="000F1411" w:rsidP="002F7878" w:rsidRDefault="000F1411" w14:paraId="412A441E" w14:textId="101D0676">
      <w:pPr>
        <w:pStyle w:val="FoF"/>
        <w:ind w:firstLine="270"/>
      </w:pPr>
      <w:r w:rsidRPr="00D4291C">
        <w:lastRenderedPageBreak/>
        <w:t xml:space="preserve">Staff </w:t>
      </w:r>
      <w:r w:rsidR="00B315AD">
        <w:t xml:space="preserve">Proposal </w:t>
      </w:r>
      <w:r w:rsidR="00DC14AC">
        <w:t>Section </w:t>
      </w:r>
      <w:r w:rsidR="00B315AD">
        <w:t>3.</w:t>
      </w:r>
      <w:r w:rsidR="00686969">
        <w:t>7</w:t>
      </w:r>
      <w:r w:rsidR="00B315AD">
        <w:t xml:space="preserve">, </w:t>
      </w:r>
      <w:r w:rsidRPr="00D4291C">
        <w:t>Proposal 3</w:t>
      </w:r>
      <w:r w:rsidRPr="006B7D70" w:rsidR="00197DC2">
        <w:t xml:space="preserve"> regarding </w:t>
      </w:r>
      <w:r w:rsidRPr="006B7D70" w:rsidR="00DD779F">
        <w:t>Rule 2.4 and the PEA Guidelines</w:t>
      </w:r>
      <w:r w:rsidRPr="006B7D70" w:rsidR="006B7D70">
        <w:t xml:space="preserve"> (setting</w:t>
      </w:r>
      <w:r w:rsidRPr="006B7D70" w:rsidR="00DD779F">
        <w:t xml:space="preserve"> requirements for utilities to notice and file a CPCN or PTC application not less than </w:t>
      </w:r>
      <w:r w:rsidR="003C2066">
        <w:t>12</w:t>
      </w:r>
      <w:r w:rsidRPr="006B7D70" w:rsidR="00DD779F">
        <w:t xml:space="preserve"> month</w:t>
      </w:r>
      <w:r w:rsidR="00C76743">
        <w:t>s</w:t>
      </w:r>
      <w:r w:rsidRPr="006B7D70" w:rsidR="00DD779F">
        <w:t xml:space="preserve"> before a Commission decision is required</w:t>
      </w:r>
      <w:r w:rsidRPr="006B7D70" w:rsidR="006B7D70">
        <w:t xml:space="preserve"> and </w:t>
      </w:r>
      <w:r w:rsidRPr="006B7D70" w:rsidR="00DD779F">
        <w:t xml:space="preserve">to initiate pre-filing consultation at least </w:t>
      </w:r>
      <w:r w:rsidR="003C2066">
        <w:t xml:space="preserve">six </w:t>
      </w:r>
      <w:r w:rsidRPr="006B7D70" w:rsidR="00DD779F">
        <w:t>months prior to filing a CPCN or PTC application</w:t>
      </w:r>
      <w:r w:rsidR="00FC4F36">
        <w:t>, or sooner b</w:t>
      </w:r>
      <w:r w:rsidRPr="006B7D70" w:rsidR="006B7D70">
        <w:t>)</w:t>
      </w:r>
      <w:r w:rsidRPr="00D4291C">
        <w:t xml:space="preserve"> and related </w:t>
      </w:r>
      <w:r w:rsidR="003B5D07">
        <w:t>GO </w:t>
      </w:r>
      <w:r w:rsidRPr="00D4291C">
        <w:t xml:space="preserve">131-D revisions to be reflected in </w:t>
      </w:r>
      <w:r w:rsidR="003B5D07">
        <w:t>GO </w:t>
      </w:r>
      <w:r w:rsidRPr="00D4291C">
        <w:t>131-E are reasonable.</w:t>
      </w:r>
    </w:p>
    <w:p w:rsidR="000F1411" w:rsidP="002F7878" w:rsidRDefault="00161F35" w14:paraId="0D8400C1" w14:textId="77777777">
      <w:pPr>
        <w:pStyle w:val="FoF"/>
        <w:ind w:firstLine="270"/>
      </w:pPr>
      <w:r>
        <w:t>In furtherance of the</w:t>
      </w:r>
      <w:r w:rsidR="00AB427C">
        <w:t xml:space="preserve"> efforts t</w:t>
      </w:r>
      <w:r>
        <w:t>o</w:t>
      </w:r>
      <w:r w:rsidRPr="006B7D70" w:rsidR="000F1411">
        <w:t xml:space="preserve"> accelerate the Commission’s CEQA review process, Staff </w:t>
      </w:r>
      <w:r w:rsidR="00686969">
        <w:t xml:space="preserve">Proposal </w:t>
      </w:r>
      <w:r w:rsidR="00DC14AC">
        <w:t>Section </w:t>
      </w:r>
      <w:r w:rsidR="00686969">
        <w:t xml:space="preserve">3.8, </w:t>
      </w:r>
      <w:r w:rsidRPr="006B7D70" w:rsidR="000F1411">
        <w:t xml:space="preserve">Proposal 1 and related </w:t>
      </w:r>
      <w:r w:rsidR="003B5D07">
        <w:t>GO </w:t>
      </w:r>
      <w:r w:rsidRPr="006B7D70" w:rsidR="000F1411">
        <w:t xml:space="preserve">131-D revisions to be reflected in </w:t>
      </w:r>
      <w:r w:rsidR="003B5D07">
        <w:t>GO </w:t>
      </w:r>
      <w:r w:rsidRPr="006B7D70" w:rsidR="000F1411">
        <w:t xml:space="preserve">131-E </w:t>
      </w:r>
      <w:r w:rsidR="00923F60">
        <w:t xml:space="preserve">(modifying GO 131-D to clarify that </w:t>
      </w:r>
      <w:r w:rsidR="006922A4">
        <w:t>the</w:t>
      </w:r>
      <w:r w:rsidR="00923F60">
        <w:t xml:space="preserve"> </w:t>
      </w:r>
      <w:r w:rsidR="006922A4">
        <w:t>Commission is</w:t>
      </w:r>
      <w:r w:rsidR="00923F60">
        <w:t xml:space="preserve"> subject to </w:t>
      </w:r>
      <w:r w:rsidR="006922A4">
        <w:t>the timeframes and deadlines set forth in CEQA and the CEQA Guidelines)</w:t>
      </w:r>
      <w:r w:rsidR="00923F60">
        <w:t xml:space="preserve"> </w:t>
      </w:r>
      <w:r>
        <w:t>are reasonable</w:t>
      </w:r>
      <w:r w:rsidR="007F50FA">
        <w:t>.</w:t>
      </w:r>
      <w:r>
        <w:t xml:space="preserve"> </w:t>
      </w:r>
    </w:p>
    <w:p w:rsidRPr="006B7D70" w:rsidR="000F1411" w:rsidP="002F7878" w:rsidRDefault="000F1411" w14:paraId="1C1D9507" w14:textId="77777777">
      <w:pPr>
        <w:pStyle w:val="FoF"/>
        <w:ind w:firstLine="270"/>
      </w:pPr>
      <w:r>
        <w:t xml:space="preserve">To further examine ways to accelerate </w:t>
      </w:r>
      <w:r w:rsidR="00AB427C">
        <w:t>the</w:t>
      </w:r>
      <w:r w:rsidR="00FB7AAB">
        <w:t xml:space="preserve"> </w:t>
      </w:r>
      <w:r>
        <w:t xml:space="preserve">Commission’s CEQA review process, Staff </w:t>
      </w:r>
      <w:r w:rsidR="00686969">
        <w:t xml:space="preserve">Proposal </w:t>
      </w:r>
      <w:r w:rsidR="00DC14AC">
        <w:t>Section </w:t>
      </w:r>
      <w:r w:rsidR="00686969">
        <w:t xml:space="preserve">3.8, </w:t>
      </w:r>
      <w:r>
        <w:t xml:space="preserve">Proposal </w:t>
      </w:r>
      <w:r w:rsidR="00686969">
        <w:t xml:space="preserve">2 </w:t>
      </w:r>
      <w:r>
        <w:t xml:space="preserve">(to </w:t>
      </w:r>
      <w:r w:rsidR="00A378D6">
        <w:t xml:space="preserve">formalize </w:t>
      </w:r>
      <w:r>
        <w:t>existing CEQA process</w:t>
      </w:r>
      <w:r w:rsidR="00FB7AAB">
        <w:t>es</w:t>
      </w:r>
      <w:r>
        <w:t xml:space="preserve"> and practice</w:t>
      </w:r>
      <w:r w:rsidR="00FB7AAB">
        <w:t>s</w:t>
      </w:r>
      <w:r>
        <w:t xml:space="preserve"> </w:t>
      </w:r>
      <w:r w:rsidR="00DB7D13">
        <w:t xml:space="preserve">and </w:t>
      </w:r>
      <w:r>
        <w:t xml:space="preserve">to establish a pilot program to be administered by Staff, to identify at least two projects where an MND may be completed within 270 days of </w:t>
      </w:r>
      <w:r w:rsidR="00684745">
        <w:t xml:space="preserve">deeming </w:t>
      </w:r>
      <w:r>
        <w:t xml:space="preserve">an application complete, and at least two projects where an EIR may be </w:t>
      </w:r>
      <w:r w:rsidR="30299E60">
        <w:t xml:space="preserve">completed </w:t>
      </w:r>
      <w:r>
        <w:t xml:space="preserve">within 455 days of an </w:t>
      </w:r>
      <w:r w:rsidR="00684745">
        <w:t xml:space="preserve">deeming an </w:t>
      </w:r>
      <w:r>
        <w:t xml:space="preserve">application complete) would </w:t>
      </w:r>
      <w:r w:rsidR="006B4063">
        <w:t xml:space="preserve">not </w:t>
      </w:r>
      <w:r w:rsidR="00CA69FD">
        <w:t xml:space="preserve">involve any </w:t>
      </w:r>
      <w:r w:rsidR="003B5D07">
        <w:t>GO </w:t>
      </w:r>
      <w:r w:rsidR="00CA69FD">
        <w:t xml:space="preserve">revision and </w:t>
      </w:r>
      <w:r w:rsidR="00400D9F">
        <w:t>is</w:t>
      </w:r>
      <w:r>
        <w:t xml:space="preserve"> reasonable. </w:t>
      </w:r>
    </w:p>
    <w:p w:rsidRPr="006B7D70" w:rsidR="000F1411" w:rsidP="002F7878" w:rsidRDefault="000F1411" w14:paraId="35EAE7C3" w14:textId="77777777">
      <w:pPr>
        <w:pStyle w:val="FoF"/>
        <w:ind w:firstLine="270"/>
      </w:pPr>
      <w:r w:rsidRPr="006B7D70">
        <w:t>To comply with AB 1373 and to preserve the Commission’s role as lead agency entrusted with the responsibility to</w:t>
      </w:r>
      <w:r w:rsidR="00874881">
        <w:t xml:space="preserve"> adopt MNDs and NDs and</w:t>
      </w:r>
      <w:r w:rsidRPr="006B7D70">
        <w:t xml:space="preserve"> certify </w:t>
      </w:r>
      <w:r w:rsidR="00ED623D">
        <w:t>EIRs</w:t>
      </w:r>
      <w:r w:rsidRPr="006B7D70" w:rsidR="00ED623D">
        <w:t xml:space="preserve"> </w:t>
      </w:r>
      <w:r w:rsidRPr="006B7D70">
        <w:t xml:space="preserve">that avoid or mitigate significant environmental impacts associated with proposed projects, revisions of </w:t>
      </w:r>
      <w:r w:rsidR="003B5D07">
        <w:t>GO </w:t>
      </w:r>
      <w:r w:rsidRPr="006B7D70">
        <w:t xml:space="preserve">131-D to add new sections, to be reflected in </w:t>
      </w:r>
      <w:r w:rsidR="003B5D07">
        <w:t>GO </w:t>
      </w:r>
      <w:r w:rsidRPr="006B7D70">
        <w:t>131-E, as proposed by Staff provisions as follows, are reasonable:</w:t>
      </w:r>
    </w:p>
    <w:p w:rsidRPr="006B7D70" w:rsidR="000F1411" w:rsidP="003B5D07" w:rsidRDefault="000F1411" w14:paraId="0FCA02DA" w14:textId="77777777">
      <w:pPr>
        <w:pStyle w:val="Standard"/>
        <w:numPr>
          <w:ilvl w:val="0"/>
          <w:numId w:val="6"/>
        </w:numPr>
        <w:spacing w:after="120" w:line="240" w:lineRule="auto"/>
        <w:ind w:left="1080" w:right="1440"/>
      </w:pPr>
      <w:bookmarkStart w:name="_Hlk183180304" w:id="194"/>
      <w:r w:rsidRPr="006B7D70">
        <w:t xml:space="preserve">As </w:t>
      </w:r>
      <w:r w:rsidR="00DC14AC">
        <w:t>Section </w:t>
      </w:r>
      <w:r w:rsidR="00943B62">
        <w:t>VII</w:t>
      </w:r>
      <w:r w:rsidRPr="006B7D70">
        <w:t>.C.2</w:t>
      </w:r>
      <w:r w:rsidR="006930EB">
        <w:t>.a</w:t>
      </w:r>
      <w:r w:rsidRPr="006B7D70">
        <w:t xml:space="preserve"> of </w:t>
      </w:r>
      <w:r w:rsidR="003B5D07">
        <w:t>GO </w:t>
      </w:r>
      <w:r w:rsidRPr="006B7D70">
        <w:t xml:space="preserve">131-E that CAISO objectives and purpose for a project approved in the CAISO Transmission Plan </w:t>
      </w:r>
      <w:r w:rsidRPr="00CC2FFB" w:rsidR="00D36B05">
        <w:t>sh</w:t>
      </w:r>
      <w:r w:rsidR="00D36B05">
        <w:t>all</w:t>
      </w:r>
      <w:r w:rsidRPr="00CC2FFB" w:rsidR="00D36B05">
        <w:t xml:space="preserve"> </w:t>
      </w:r>
      <w:r w:rsidR="00D36B05">
        <w:t>form the basis of</w:t>
      </w:r>
      <w:r w:rsidRPr="006B7D70">
        <w:t xml:space="preserve"> the statement of objectives in a Commission CEQA document;</w:t>
      </w:r>
    </w:p>
    <w:p w:rsidR="00BB44AB" w:rsidP="003B5D07" w:rsidRDefault="000F1411" w14:paraId="53DC24F5" w14:textId="77777777">
      <w:pPr>
        <w:pStyle w:val="Standard"/>
        <w:numPr>
          <w:ilvl w:val="0"/>
          <w:numId w:val="6"/>
        </w:numPr>
        <w:spacing w:after="120" w:line="240" w:lineRule="auto"/>
        <w:ind w:left="1080" w:right="1440"/>
      </w:pPr>
      <w:r w:rsidRPr="006B7D70">
        <w:lastRenderedPageBreak/>
        <w:t xml:space="preserve">As </w:t>
      </w:r>
      <w:r w:rsidR="00DC14AC">
        <w:t>Section </w:t>
      </w:r>
      <w:r w:rsidR="009F491E">
        <w:t>VII</w:t>
      </w:r>
      <w:r w:rsidRPr="006B7D70">
        <w:t xml:space="preserve">.C.2.b of </w:t>
      </w:r>
      <w:r w:rsidR="003B5D07">
        <w:t>GO </w:t>
      </w:r>
      <w:r w:rsidRPr="006B7D70">
        <w:t xml:space="preserve">131-E that incorporates AB 1373 provisions that the Commission shall establish rebuttable presumption in favor of the CAISO need evaluation when evaluating the issuance of a CPCN for a proposed transmission project, given that the project meets certain criteria specified in Public Utilities Code </w:t>
      </w:r>
      <w:r w:rsidR="00DC14AC">
        <w:t>Section </w:t>
      </w:r>
      <w:r w:rsidRPr="006B7D70">
        <w:t>1001.1</w:t>
      </w:r>
      <w:r w:rsidR="00BB44AB">
        <w:t xml:space="preserve">. </w:t>
      </w:r>
    </w:p>
    <w:p w:rsidRPr="006B7D70" w:rsidR="000F1411" w:rsidP="003B5D07" w:rsidRDefault="000F1411" w14:paraId="3F82BAF2" w14:textId="77777777">
      <w:pPr>
        <w:pStyle w:val="Standard"/>
        <w:numPr>
          <w:ilvl w:val="0"/>
          <w:numId w:val="6"/>
        </w:numPr>
        <w:spacing w:after="120" w:line="240" w:lineRule="auto"/>
        <w:ind w:left="1080" w:right="1440"/>
      </w:pPr>
      <w:r w:rsidRPr="006B7D70">
        <w:t xml:space="preserve">As </w:t>
      </w:r>
      <w:r w:rsidR="00DC14AC">
        <w:t>Section </w:t>
      </w:r>
      <w:r w:rsidR="009F491E">
        <w:t>VII</w:t>
      </w:r>
      <w:r w:rsidRPr="006B7D70">
        <w:t>.C.2.</w:t>
      </w:r>
      <w:r w:rsidR="009F491E">
        <w:t>c</w:t>
      </w:r>
      <w:r w:rsidRPr="006B7D70">
        <w:t xml:space="preserve"> of </w:t>
      </w:r>
      <w:r w:rsidR="003B5D07">
        <w:t>GO </w:t>
      </w:r>
      <w:r w:rsidR="00D36B05">
        <w:t>131-E that the range of reasonable alternatives to the proposed project in an initial draft EIR circulated for public comment may be limited to alternative routes or locations for construction of the relevant CAISO Transmission Plan-approved electric project and the “no action” alternative</w:t>
      </w:r>
      <w:r w:rsidRPr="006B7D70">
        <w:t>.</w:t>
      </w:r>
    </w:p>
    <w:bookmarkEnd w:id="194"/>
    <w:p w:rsidRPr="006B7D70" w:rsidR="000F1411" w:rsidP="002F7878" w:rsidRDefault="000F1411" w14:paraId="154ABDFE" w14:textId="77777777">
      <w:pPr>
        <w:pStyle w:val="FoF"/>
        <w:ind w:firstLine="270"/>
      </w:pPr>
      <w:r w:rsidRPr="006B7D70">
        <w:t xml:space="preserve">It is timely and necessary to update and clarify various terms, definitions and exemptions referenced in </w:t>
      </w:r>
      <w:r w:rsidR="003B5D07">
        <w:t>GO </w:t>
      </w:r>
      <w:r w:rsidRPr="006B7D70">
        <w:t xml:space="preserve">131-D, as discussed and addressed in this decision to be adopted in </w:t>
      </w:r>
      <w:r w:rsidR="003B5D07">
        <w:t>GO </w:t>
      </w:r>
      <w:r w:rsidRPr="006B7D70">
        <w:t>131-E.</w:t>
      </w:r>
    </w:p>
    <w:p w:rsidRPr="006B7D70" w:rsidR="000F1411" w:rsidP="002F7878" w:rsidRDefault="003B5D07" w14:paraId="6F677836" w14:textId="77777777">
      <w:pPr>
        <w:pStyle w:val="FoF"/>
        <w:ind w:firstLine="270"/>
      </w:pPr>
      <w:r>
        <w:t>GO </w:t>
      </w:r>
      <w:r w:rsidRPr="006B7D70" w:rsidR="000F1411">
        <w:t xml:space="preserve">131-D </w:t>
      </w:r>
      <w:r w:rsidR="00455E07">
        <w:t>currently</w:t>
      </w:r>
      <w:r w:rsidRPr="006B7D70" w:rsidR="000F1411">
        <w:t xml:space="preserve"> requires utilities to submit reports on forecasts of planned transmission lines, power lines, and substations, and transmission-related financial information to Staff and </w:t>
      </w:r>
      <w:r w:rsidR="00686969">
        <w:t>to furnish copies to Staff of</w:t>
      </w:r>
      <w:r w:rsidR="002B5903">
        <w:t xml:space="preserve"> </w:t>
      </w:r>
      <w:r w:rsidRPr="006B7D70" w:rsidR="000F1411">
        <w:t xml:space="preserve">reports on </w:t>
      </w:r>
      <w:r w:rsidR="00686969">
        <w:t xml:space="preserve">utility </w:t>
      </w:r>
      <w:r w:rsidRPr="006B7D70" w:rsidR="000F1411">
        <w:t>loads and resources to the CEC</w:t>
      </w:r>
      <w:r w:rsidR="00DA0941">
        <w:t xml:space="preserve">. </w:t>
      </w:r>
      <w:r w:rsidR="00036F99">
        <w:t>Amendments to these</w:t>
      </w:r>
      <w:r w:rsidRPr="00DA0941" w:rsidR="00DA0941">
        <w:t xml:space="preserve"> forecasting requirements </w:t>
      </w:r>
      <w:r w:rsidR="00036F99">
        <w:t xml:space="preserve">as </w:t>
      </w:r>
      <w:r w:rsidR="00F444FF">
        <w:t>reflected</w:t>
      </w:r>
      <w:r w:rsidR="00036F99">
        <w:t xml:space="preserve"> </w:t>
      </w:r>
      <w:r w:rsidRPr="00DA0941" w:rsidR="00DA0941">
        <w:t>in GO 131-E</w:t>
      </w:r>
      <w:r w:rsidR="00630DCA">
        <w:t>,</w:t>
      </w:r>
      <w:r w:rsidRPr="00DA0941" w:rsidR="00DA0941">
        <w:t xml:space="preserve"> Section IV</w:t>
      </w:r>
      <w:r w:rsidR="00630DCA">
        <w:t>,</w:t>
      </w:r>
      <w:r w:rsidRPr="00DA0941" w:rsidR="00DA0941">
        <w:t xml:space="preserve"> </w:t>
      </w:r>
      <w:r w:rsidR="00F444FF">
        <w:t xml:space="preserve">and discussed </w:t>
      </w:r>
      <w:r w:rsidRPr="00DA0941" w:rsidR="00DA0941">
        <w:t>in Section 7 of this decision</w:t>
      </w:r>
      <w:r w:rsidR="00036F99">
        <w:t xml:space="preserve"> are reasonable</w:t>
      </w:r>
      <w:r w:rsidR="00DA0941">
        <w:t>.</w:t>
      </w:r>
      <w:r w:rsidRPr="00DA0941" w:rsidR="00DA0941">
        <w:t xml:space="preserve"> </w:t>
      </w:r>
    </w:p>
    <w:p w:rsidRPr="006B7D70" w:rsidR="000F1411" w:rsidP="002F7878" w:rsidRDefault="000F1411" w14:paraId="6F7B9FA2" w14:textId="77777777">
      <w:pPr>
        <w:pStyle w:val="FoF"/>
        <w:ind w:firstLine="270"/>
        <w:rPr>
          <w:szCs w:val="26"/>
        </w:rPr>
      </w:pPr>
      <w:r w:rsidRPr="006B7D70">
        <w:rPr>
          <w:szCs w:val="26"/>
        </w:rPr>
        <w:t xml:space="preserve">Staff </w:t>
      </w:r>
      <w:r w:rsidRPr="008153EC">
        <w:t>proposals</w:t>
      </w:r>
      <w:r w:rsidRPr="006B7D70">
        <w:rPr>
          <w:szCs w:val="26"/>
        </w:rPr>
        <w:t xml:space="preserve"> </w:t>
      </w:r>
      <w:r w:rsidR="00F444FF">
        <w:rPr>
          <w:szCs w:val="26"/>
        </w:rPr>
        <w:t xml:space="preserve">on </w:t>
      </w:r>
      <w:r w:rsidRPr="00F444FF" w:rsidR="00F444FF">
        <w:rPr>
          <w:szCs w:val="26"/>
        </w:rPr>
        <w:t xml:space="preserve">certain financial reporting requirements </w:t>
      </w:r>
      <w:r w:rsidR="00CB13A5">
        <w:rPr>
          <w:szCs w:val="26"/>
        </w:rPr>
        <w:t>which</w:t>
      </w:r>
      <w:r w:rsidRPr="006B7D70">
        <w:rPr>
          <w:szCs w:val="26"/>
        </w:rPr>
        <w:t xml:space="preserve"> amend the list of financial information that must be reported by electric public utilities to the Commission, </w:t>
      </w:r>
      <w:r w:rsidR="005B0242">
        <w:rPr>
          <w:szCs w:val="26"/>
        </w:rPr>
        <w:t xml:space="preserve">as modified, </w:t>
      </w:r>
      <w:r w:rsidRPr="006B7D70">
        <w:rPr>
          <w:szCs w:val="26"/>
        </w:rPr>
        <w:t xml:space="preserve">to be reflected in </w:t>
      </w:r>
      <w:r w:rsidR="003B5D07">
        <w:rPr>
          <w:szCs w:val="26"/>
        </w:rPr>
        <w:t>GO </w:t>
      </w:r>
      <w:r w:rsidRPr="006B7D70">
        <w:rPr>
          <w:szCs w:val="26"/>
        </w:rPr>
        <w:t>131-E</w:t>
      </w:r>
      <w:r w:rsidR="00455E07">
        <w:rPr>
          <w:szCs w:val="26"/>
        </w:rPr>
        <w:t>,</w:t>
      </w:r>
      <w:r w:rsidRPr="006B7D70">
        <w:rPr>
          <w:szCs w:val="26"/>
        </w:rPr>
        <w:t xml:space="preserve"> are reasonable.</w:t>
      </w:r>
    </w:p>
    <w:p w:rsidRPr="006B7D70" w:rsidR="000F1411" w:rsidP="002F7878" w:rsidRDefault="003B5D07" w14:paraId="74A7F8F8" w14:textId="77777777">
      <w:pPr>
        <w:pStyle w:val="FoF"/>
        <w:ind w:firstLine="270"/>
        <w:rPr>
          <w:szCs w:val="26"/>
        </w:rPr>
      </w:pPr>
      <w:r>
        <w:rPr>
          <w:szCs w:val="26"/>
        </w:rPr>
        <w:t>GO </w:t>
      </w:r>
      <w:r w:rsidRPr="006B7D70" w:rsidR="000F1411">
        <w:rPr>
          <w:szCs w:val="26"/>
        </w:rPr>
        <w:t xml:space="preserve">131-D, </w:t>
      </w:r>
      <w:r w:rsidR="00DC14AC">
        <w:rPr>
          <w:szCs w:val="26"/>
        </w:rPr>
        <w:t>Section </w:t>
      </w:r>
      <w:r w:rsidRPr="006B7D70" w:rsidR="000F1411">
        <w:rPr>
          <w:szCs w:val="26"/>
        </w:rPr>
        <w:t xml:space="preserve">IV should be deleted because there is no indication that </w:t>
      </w:r>
      <w:r>
        <w:rPr>
          <w:szCs w:val="26"/>
        </w:rPr>
        <w:t>GO </w:t>
      </w:r>
      <w:r w:rsidRPr="006B7D70" w:rsidR="000F1411">
        <w:rPr>
          <w:szCs w:val="26"/>
        </w:rPr>
        <w:t>131-D</w:t>
      </w:r>
      <w:r w:rsidR="00630DCA">
        <w:rPr>
          <w:szCs w:val="26"/>
        </w:rPr>
        <w:t>,</w:t>
      </w:r>
      <w:r w:rsidRPr="006B7D70" w:rsidR="000F1411">
        <w:rPr>
          <w:szCs w:val="26"/>
        </w:rPr>
        <w:t xml:space="preserve"> </w:t>
      </w:r>
      <w:r w:rsidR="00DC14AC">
        <w:rPr>
          <w:szCs w:val="26"/>
        </w:rPr>
        <w:t>Section </w:t>
      </w:r>
      <w:r w:rsidRPr="006B7D70" w:rsidR="000F1411">
        <w:rPr>
          <w:szCs w:val="26"/>
        </w:rPr>
        <w:t>IV</w:t>
      </w:r>
      <w:r w:rsidR="00630DCA">
        <w:rPr>
          <w:szCs w:val="26"/>
        </w:rPr>
        <w:t>,</w:t>
      </w:r>
      <w:r w:rsidRPr="006B7D70" w:rsidR="000F1411">
        <w:rPr>
          <w:szCs w:val="26"/>
        </w:rPr>
        <w:t xml:space="preserve"> reports are received or used by Commission’s Staff that oversees matters related to CEQA, FERC, Electric Planning, and Market Design beyond existing coordination with the CEC, and </w:t>
      </w:r>
      <w:r w:rsidR="00CF5415">
        <w:rPr>
          <w:szCs w:val="26"/>
        </w:rPr>
        <w:t>Appendix B, Section</w:t>
      </w:r>
      <w:r w:rsidR="00A82BD1">
        <w:rPr>
          <w:szCs w:val="26"/>
        </w:rPr>
        <w:t xml:space="preserve"> </w:t>
      </w:r>
      <w:r w:rsidRPr="006B7D70" w:rsidR="000F1411">
        <w:rPr>
          <w:szCs w:val="26"/>
        </w:rPr>
        <w:t xml:space="preserve">IV of </w:t>
      </w:r>
      <w:r>
        <w:rPr>
          <w:szCs w:val="26"/>
        </w:rPr>
        <w:lastRenderedPageBreak/>
        <w:t>GO </w:t>
      </w:r>
      <w:r w:rsidRPr="006B7D70" w:rsidR="000F1411">
        <w:rPr>
          <w:szCs w:val="26"/>
        </w:rPr>
        <w:t xml:space="preserve">131-D separately specifies that CPCN applications for electric generating facilities must include relevant load and resource data. </w:t>
      </w:r>
    </w:p>
    <w:p w:rsidRPr="006B7D70" w:rsidR="000F1411" w:rsidP="002F7878" w:rsidRDefault="00F449D9" w14:paraId="6B072A51" w14:textId="77777777">
      <w:pPr>
        <w:pStyle w:val="FoF"/>
        <w:ind w:firstLine="270"/>
        <w:rPr>
          <w:szCs w:val="26"/>
        </w:rPr>
      </w:pPr>
      <w:r w:rsidRPr="008153EC">
        <w:t>Consistent</w:t>
      </w:r>
      <w:r w:rsidRPr="00F449D9">
        <w:rPr>
          <w:szCs w:val="26"/>
        </w:rPr>
        <w:t xml:space="preserve"> with </w:t>
      </w:r>
      <w:r w:rsidR="003B5D07">
        <w:rPr>
          <w:szCs w:val="26"/>
        </w:rPr>
        <w:t>GO </w:t>
      </w:r>
      <w:r w:rsidRPr="00F449D9">
        <w:rPr>
          <w:szCs w:val="26"/>
        </w:rPr>
        <w:t>96-B</w:t>
      </w:r>
      <w:r>
        <w:rPr>
          <w:szCs w:val="26"/>
        </w:rPr>
        <w:t>,</w:t>
      </w:r>
      <w:r w:rsidRPr="00F449D9" w:rsidDel="00F449D9">
        <w:rPr>
          <w:szCs w:val="26"/>
        </w:rPr>
        <w:t xml:space="preserve"> </w:t>
      </w:r>
      <w:r>
        <w:rPr>
          <w:szCs w:val="26"/>
        </w:rPr>
        <w:t>a</w:t>
      </w:r>
      <w:r w:rsidRPr="006B7D70" w:rsidR="000F1411">
        <w:rPr>
          <w:szCs w:val="26"/>
        </w:rPr>
        <w:t xml:space="preserve">n advice letter takes effect under the disposition letter pending Commission review; accordingly, consistent updates should be made in </w:t>
      </w:r>
      <w:r w:rsidR="003B5D07">
        <w:rPr>
          <w:szCs w:val="26"/>
        </w:rPr>
        <w:t>GO </w:t>
      </w:r>
      <w:r w:rsidRPr="006B7D70" w:rsidR="000F1411">
        <w:rPr>
          <w:szCs w:val="26"/>
        </w:rPr>
        <w:t>131-E.</w:t>
      </w:r>
    </w:p>
    <w:p w:rsidRPr="006B7D70" w:rsidR="000F1411" w:rsidP="002F7878" w:rsidRDefault="003B5D07" w14:paraId="0CEF58BE" w14:textId="77777777">
      <w:pPr>
        <w:pStyle w:val="FoF"/>
        <w:ind w:firstLine="270"/>
        <w:rPr>
          <w:szCs w:val="26"/>
        </w:rPr>
      </w:pPr>
      <w:r>
        <w:rPr>
          <w:szCs w:val="26"/>
        </w:rPr>
        <w:t>GO </w:t>
      </w:r>
      <w:r w:rsidRPr="006B7D70" w:rsidR="000F1411">
        <w:rPr>
          <w:szCs w:val="26"/>
        </w:rPr>
        <w:t>131-D does not currently include specific rules that govern the permitting of BESS</w:t>
      </w:r>
      <w:r w:rsidR="00E95794">
        <w:rPr>
          <w:szCs w:val="26"/>
        </w:rPr>
        <w:t xml:space="preserve"> projects</w:t>
      </w:r>
      <w:r w:rsidRPr="006B7D70" w:rsidR="000F1411">
        <w:rPr>
          <w:szCs w:val="26"/>
        </w:rPr>
        <w:t xml:space="preserve">, which are subject to rules in </w:t>
      </w:r>
      <w:r>
        <w:rPr>
          <w:szCs w:val="26"/>
        </w:rPr>
        <w:t>GO </w:t>
      </w:r>
      <w:r w:rsidR="00684745">
        <w:rPr>
          <w:szCs w:val="26"/>
        </w:rPr>
        <w:t>131-D</w:t>
      </w:r>
      <w:r w:rsidR="00630DCA">
        <w:rPr>
          <w:szCs w:val="26"/>
        </w:rPr>
        <w:t>,</w:t>
      </w:r>
      <w:r w:rsidR="00684745">
        <w:rPr>
          <w:szCs w:val="26"/>
        </w:rPr>
        <w:t xml:space="preserve"> </w:t>
      </w:r>
      <w:r w:rsidR="00DC14AC">
        <w:rPr>
          <w:szCs w:val="26"/>
        </w:rPr>
        <w:t>Section </w:t>
      </w:r>
      <w:r w:rsidRPr="006B7D70" w:rsidR="000F1411">
        <w:rPr>
          <w:szCs w:val="26"/>
        </w:rPr>
        <w:t>XIV</w:t>
      </w:r>
      <w:r w:rsidR="00630DCA">
        <w:rPr>
          <w:szCs w:val="26"/>
        </w:rPr>
        <w:t>,</w:t>
      </w:r>
      <w:r w:rsidRPr="006B7D70" w:rsidR="000F1411">
        <w:rPr>
          <w:szCs w:val="26"/>
        </w:rPr>
        <w:t xml:space="preserve"> pertaining to electric facilities. </w:t>
      </w:r>
    </w:p>
    <w:p w:rsidRPr="006B7D70" w:rsidR="000F1411" w:rsidP="002F7878" w:rsidRDefault="000F1411" w14:paraId="552C397A" w14:textId="77777777">
      <w:pPr>
        <w:pStyle w:val="FoF"/>
        <w:ind w:firstLine="270"/>
      </w:pPr>
      <w:r>
        <w:t>Historically, local jurisdictions have served as lead agencies tasked with BESS permitting.</w:t>
      </w:r>
    </w:p>
    <w:p w:rsidRPr="004E6B9B" w:rsidR="000F1411" w:rsidP="002F7878" w:rsidRDefault="000F1411" w14:paraId="1CA5EFF7" w14:textId="77777777">
      <w:pPr>
        <w:pStyle w:val="FoF"/>
        <w:ind w:firstLine="270"/>
      </w:pPr>
      <w:r>
        <w:t xml:space="preserve">In 2022, AB 205 established a new process that authorizes the CEC, as a lead agency, to certify </w:t>
      </w:r>
      <w:r w:rsidR="001B6CE2">
        <w:t xml:space="preserve">certain renewable </w:t>
      </w:r>
      <w:r>
        <w:t xml:space="preserve">generation resources, including BESS </w:t>
      </w:r>
      <w:r w:rsidR="00E95794">
        <w:t xml:space="preserve">projects </w:t>
      </w:r>
      <w:r>
        <w:t xml:space="preserve">with capacities at or above 200 MWh. AB 205 also includes a provision that offers project applicants </w:t>
      </w:r>
      <w:r w:rsidR="001B6CE2">
        <w:t>the</w:t>
      </w:r>
      <w:r>
        <w:t xml:space="preserve"> choice to file an “opt in” application for </w:t>
      </w:r>
      <w:r w:rsidR="001B6CE2">
        <w:t xml:space="preserve">streamlined </w:t>
      </w:r>
      <w:r>
        <w:t xml:space="preserve">certification, </w:t>
      </w:r>
      <w:r w:rsidR="001B6CE2">
        <w:t xml:space="preserve">of these generation resources (opt-in certification) </w:t>
      </w:r>
      <w:r>
        <w:t xml:space="preserve">with the CEC, until June 30, 2029. In the </w:t>
      </w:r>
      <w:r w:rsidR="00EA2B29">
        <w:t>opt-in certification</w:t>
      </w:r>
      <w:r>
        <w:t xml:space="preserve"> process, the CEC has exclusive authority to certify such projects</w:t>
      </w:r>
      <w:r w:rsidR="00EA2B29">
        <w:t xml:space="preserve"> pursuant to AB 205</w:t>
      </w:r>
      <w:r>
        <w:t>.</w:t>
      </w:r>
    </w:p>
    <w:p w:rsidRPr="00750C3F" w:rsidR="000F1411" w:rsidP="002F7878" w:rsidRDefault="004E6B9B" w14:paraId="24F386C3" w14:textId="77777777">
      <w:pPr>
        <w:pStyle w:val="FoF"/>
        <w:ind w:firstLine="270"/>
      </w:pPr>
      <w:r>
        <w:t>At</w:t>
      </w:r>
      <w:r w:rsidR="000F1411">
        <w:t xml:space="preserve"> this time</w:t>
      </w:r>
      <w:r>
        <w:t>, t</w:t>
      </w:r>
      <w:r w:rsidR="000F1411">
        <w:t>here</w:t>
      </w:r>
      <w:r w:rsidRPr="00750C3F" w:rsidR="000F1411">
        <w:t xml:space="preserve"> is </w:t>
      </w:r>
      <w:r w:rsidRPr="00750C3F" w:rsidR="00683CAB">
        <w:t>insufficient record</w:t>
      </w:r>
      <w:r w:rsidRPr="00750C3F" w:rsidR="000F1411">
        <w:t xml:space="preserve"> on how to develop </w:t>
      </w:r>
      <w:r w:rsidR="003B5D07">
        <w:t>GO </w:t>
      </w:r>
      <w:r w:rsidRPr="00750C3F" w:rsidR="000F1411">
        <w:t>131-E rules for BESS permitting</w:t>
      </w:r>
      <w:r w:rsidR="00A927B7">
        <w:t xml:space="preserve"> and related definitions</w:t>
      </w:r>
      <w:r w:rsidRPr="00750C3F" w:rsidR="000F1411">
        <w:t xml:space="preserve">, including the extent of the Commission’s jurisdiction over permitting BESS projects, that may entail preemption of local agency jurisdiction. </w:t>
      </w:r>
    </w:p>
    <w:p w:rsidRPr="00750C3F" w:rsidR="000F1411" w:rsidP="002F7878" w:rsidRDefault="000F1411" w14:paraId="2D85AAE0" w14:textId="77777777">
      <w:pPr>
        <w:pStyle w:val="FoF"/>
        <w:ind w:firstLine="270"/>
      </w:pPr>
      <w:r w:rsidRPr="00750C3F">
        <w:rPr>
          <w:szCs w:val="26"/>
        </w:rPr>
        <w:t xml:space="preserve">The </w:t>
      </w:r>
      <w:r w:rsidRPr="002F7878">
        <w:t>record</w:t>
      </w:r>
      <w:r w:rsidRPr="00750C3F">
        <w:rPr>
          <w:szCs w:val="26"/>
        </w:rPr>
        <w:t xml:space="preserve"> is insufficient on Cal Advocates’ ROW sharing proposal.</w:t>
      </w:r>
    </w:p>
    <w:p w:rsidRPr="006B7D70" w:rsidR="005939A5" w:rsidP="005939A5" w:rsidRDefault="005939A5" w14:paraId="7BF92A83" w14:textId="77777777">
      <w:pPr>
        <w:pStyle w:val="Dummy"/>
      </w:pPr>
      <w:bookmarkStart w:name="_Toc189738527" w:id="195"/>
      <w:bookmarkEnd w:id="190"/>
      <w:r w:rsidRPr="006B7D70">
        <w:t>Conclusions of Law</w:t>
      </w:r>
      <w:bookmarkEnd w:id="191"/>
      <w:bookmarkEnd w:id="192"/>
      <w:bookmarkEnd w:id="195"/>
    </w:p>
    <w:p w:rsidRPr="006B7D70" w:rsidR="00C41E69" w:rsidP="00D13705" w:rsidRDefault="003B5D07" w14:paraId="20E0ED4F" w14:textId="6796109D">
      <w:pPr>
        <w:pStyle w:val="CoL"/>
        <w:numPr>
          <w:ilvl w:val="6"/>
          <w:numId w:val="22"/>
        </w:numPr>
        <w:tabs>
          <w:tab w:val="clear" w:pos="1080"/>
        </w:tabs>
        <w:ind w:left="0" w:firstLine="360"/>
      </w:pPr>
      <w:r>
        <w:t>GO </w:t>
      </w:r>
      <w:r w:rsidRPr="002F7878" w:rsidR="00C41E69">
        <w:t>131</w:t>
      </w:r>
      <w:r w:rsidRPr="006B7D70" w:rsidR="00C41E69">
        <w:t xml:space="preserve">-E, attached to this decision as Attachment B, should be adopted and reflects all redlined revisions to </w:t>
      </w:r>
      <w:r>
        <w:t>GO </w:t>
      </w:r>
      <w:r w:rsidRPr="006B7D70" w:rsidR="00C41E69">
        <w:t>131-D, as reflected in Attachment A and as discussed in this decision.</w:t>
      </w:r>
    </w:p>
    <w:p w:rsidR="00C41E69" w:rsidP="00D13705" w:rsidRDefault="00C41E69" w14:paraId="6FFCC424" w14:textId="77777777">
      <w:pPr>
        <w:pStyle w:val="CoL"/>
        <w:numPr>
          <w:ilvl w:val="6"/>
          <w:numId w:val="22"/>
        </w:numPr>
        <w:tabs>
          <w:tab w:val="clear" w:pos="1080"/>
        </w:tabs>
        <w:ind w:left="0" w:firstLine="360"/>
      </w:pPr>
      <w:r w:rsidRPr="006B7D70">
        <w:lastRenderedPageBreak/>
        <w:t xml:space="preserve">All redlined revisions to </w:t>
      </w:r>
      <w:r w:rsidR="003B5D07">
        <w:t>GO </w:t>
      </w:r>
      <w:r w:rsidRPr="006B7D70">
        <w:t xml:space="preserve">131-D, </w:t>
      </w:r>
      <w:r w:rsidR="00563F8B">
        <w:t>including a</w:t>
      </w:r>
      <w:r w:rsidRPr="00563F8B" w:rsidR="00563F8B">
        <w:t xml:space="preserve">ll updates and clarifications to various terms, definitions and exemptions, as discussed and addressed in this decision, </w:t>
      </w:r>
      <w:r w:rsidRPr="006B7D70">
        <w:t>as reflected in Attachment A, and as discussed in this decision, should be adopted.</w:t>
      </w:r>
    </w:p>
    <w:p w:rsidR="00D13705" w:rsidP="00D13705" w:rsidRDefault="00D83A93" w14:paraId="76BAA03A" w14:textId="77777777">
      <w:pPr>
        <w:pStyle w:val="CoL"/>
        <w:numPr>
          <w:ilvl w:val="6"/>
          <w:numId w:val="22"/>
        </w:numPr>
        <w:tabs>
          <w:tab w:val="clear" w:pos="1080"/>
        </w:tabs>
        <w:ind w:left="0" w:firstLine="360"/>
      </w:pPr>
      <w:r>
        <w:t xml:space="preserve">Once adopted, </w:t>
      </w:r>
      <w:r w:rsidR="003B5D07">
        <w:t>GO </w:t>
      </w:r>
      <w:r w:rsidRPr="006B7D70" w:rsidR="00C41E69">
        <w:t xml:space="preserve">131-E, Attachment B to this decision, should replace and supersede </w:t>
      </w:r>
      <w:r w:rsidR="003B5D07">
        <w:t>GO </w:t>
      </w:r>
      <w:r w:rsidRPr="006B7D70" w:rsidR="00C41E69">
        <w:t>131-D.</w:t>
      </w:r>
      <w:bookmarkStart w:name="_Hlk177726512" w:id="196"/>
    </w:p>
    <w:p w:rsidRPr="006B7D70" w:rsidR="00F90BB4" w:rsidP="00D13705" w:rsidRDefault="00F90BB4" w14:paraId="7041E43F" w14:textId="6CA450BF">
      <w:pPr>
        <w:pStyle w:val="CoL"/>
        <w:numPr>
          <w:ilvl w:val="6"/>
          <w:numId w:val="22"/>
        </w:numPr>
        <w:tabs>
          <w:tab w:val="clear" w:pos="1080"/>
        </w:tabs>
        <w:ind w:left="0" w:firstLine="360"/>
      </w:pPr>
      <w:r w:rsidRPr="006B7D70">
        <w:t xml:space="preserve">Staff Proposal </w:t>
      </w:r>
      <w:r w:rsidR="00DC14AC">
        <w:t>Section </w:t>
      </w:r>
      <w:r w:rsidR="00FA0CF9">
        <w:t xml:space="preserve">3.7, Proposal </w:t>
      </w:r>
      <w:r w:rsidRPr="006B7D70">
        <w:t xml:space="preserve">1, Option 3, </w:t>
      </w:r>
      <w:bookmarkStart w:name="_Hlk177726825" w:id="197"/>
      <w:r w:rsidRPr="006B7D70">
        <w:t xml:space="preserve">and related </w:t>
      </w:r>
      <w:r w:rsidR="003B5D07">
        <w:t>GO </w:t>
      </w:r>
      <w:r w:rsidRPr="006B7D70">
        <w:t>131-D revisions</w:t>
      </w:r>
      <w:r w:rsidR="00D83A93">
        <w:t>, as</w:t>
      </w:r>
      <w:r w:rsidRPr="006B7D70">
        <w:t xml:space="preserve"> reflected in </w:t>
      </w:r>
      <w:r w:rsidRPr="00D83A93" w:rsidR="00D83A93">
        <w:t xml:space="preserve">Attachment B to this decision, </w:t>
      </w:r>
      <w:r w:rsidR="003B5D07">
        <w:t>GO </w:t>
      </w:r>
      <w:r w:rsidRPr="006B7D70">
        <w:t>131-E</w:t>
      </w:r>
      <w:bookmarkEnd w:id="197"/>
      <w:r w:rsidRPr="006B7D70">
        <w:t xml:space="preserve">, with below modifications, should be adopted:  </w:t>
      </w:r>
    </w:p>
    <w:bookmarkEnd w:id="196"/>
    <w:p w:rsidRPr="006B7D70" w:rsidR="00F90BB4" w:rsidP="00D13705" w:rsidRDefault="00F90BB4" w14:paraId="2ADE2C70" w14:textId="77777777">
      <w:pPr>
        <w:pStyle w:val="Standard"/>
        <w:numPr>
          <w:ilvl w:val="0"/>
          <w:numId w:val="12"/>
        </w:numPr>
        <w:spacing w:after="120" w:line="240" w:lineRule="auto"/>
        <w:ind w:left="1170" w:right="1440" w:hanging="450"/>
      </w:pPr>
      <w:r w:rsidRPr="006B7D70">
        <w:t xml:space="preserve">to revise the GO, as required in Staff Proposal 1, Option 3, to reduce the 12-month pre-filing requirement to six months and earlier if reasonably feasible </w:t>
      </w:r>
      <w:r w:rsidR="004F1DBC">
        <w:t>and authorized by Staff in writing</w:t>
      </w:r>
      <w:r w:rsidRPr="006B7D70">
        <w:t xml:space="preserve"> (proposed by PG&amp;E, SCE, and SDG&amp;E); </w:t>
      </w:r>
    </w:p>
    <w:p w:rsidRPr="006B7D70" w:rsidR="00F90BB4" w:rsidP="00D13705" w:rsidRDefault="00F90BB4" w14:paraId="285B9FBA" w14:textId="77777777">
      <w:pPr>
        <w:pStyle w:val="Standard"/>
        <w:numPr>
          <w:ilvl w:val="0"/>
          <w:numId w:val="12"/>
        </w:numPr>
        <w:spacing w:after="120" w:line="240" w:lineRule="auto"/>
        <w:ind w:left="1170" w:right="1440" w:hanging="450"/>
      </w:pPr>
      <w:r w:rsidRPr="006B7D70">
        <w:t xml:space="preserve">to modify Proposal 1, Option 3, by adopting to update a revised list of permissible CEQA document types so that applicants may prepare and submit a draft version of an initial study, ND, MND, EIR, addendum, or analysis of the applicability of an exemption from CEQA in their applications in lieu of a PEA (proposed by PG&amp;E, SCE, SDG&amp;E, LSPGC, and </w:t>
      </w:r>
      <w:r w:rsidR="001524A1">
        <w:t>Transmission Owners</w:t>
      </w:r>
      <w:r w:rsidRPr="006B7D70">
        <w:t>);</w:t>
      </w:r>
    </w:p>
    <w:p w:rsidRPr="006B7D70" w:rsidR="00F90BB4" w:rsidP="00D13705" w:rsidRDefault="00F90BB4" w14:paraId="5E0B70A5" w14:textId="77777777">
      <w:pPr>
        <w:pStyle w:val="Standard"/>
        <w:numPr>
          <w:ilvl w:val="0"/>
          <w:numId w:val="12"/>
        </w:numPr>
        <w:spacing w:after="120" w:line="240" w:lineRule="auto"/>
        <w:ind w:left="1170" w:right="1440" w:hanging="450"/>
      </w:pPr>
      <w:r w:rsidRPr="006B7D70">
        <w:t xml:space="preserve">to insert “any required” before “issue-specific technical studies” in </w:t>
      </w:r>
      <w:r w:rsidR="00DC14AC">
        <w:t>Section </w:t>
      </w:r>
      <w:r w:rsidR="0019500A">
        <w:t>VII</w:t>
      </w:r>
      <w:r w:rsidRPr="006B7D70">
        <w:t>.C</w:t>
      </w:r>
      <w:r w:rsidR="0019500A">
        <w:t>.</w:t>
      </w:r>
      <w:r w:rsidRPr="006B7D70">
        <w:t xml:space="preserve">1.a (proposed by PG&amp;E, SCE, and SDG&amp;E); and </w:t>
      </w:r>
    </w:p>
    <w:p w:rsidRPr="006B7D70" w:rsidR="00F90BB4" w:rsidP="00D13705" w:rsidRDefault="00F90BB4" w14:paraId="77ED4E1E" w14:textId="77777777">
      <w:pPr>
        <w:pStyle w:val="Standard"/>
        <w:numPr>
          <w:ilvl w:val="0"/>
          <w:numId w:val="12"/>
        </w:numPr>
        <w:spacing w:after="120" w:line="240" w:lineRule="auto"/>
        <w:ind w:left="1170" w:right="1440" w:hanging="450"/>
      </w:pPr>
      <w:r w:rsidRPr="006B7D70">
        <w:t xml:space="preserve">to insert language in </w:t>
      </w:r>
      <w:r w:rsidR="00DC14AC">
        <w:t>Section </w:t>
      </w:r>
      <w:r w:rsidR="0019500A">
        <w:t>VII</w:t>
      </w:r>
      <w:r w:rsidRPr="006B7D70">
        <w:t xml:space="preserve">.C.1.a that identifies Staff and other Commission agencies, as applicable, as the entities responsible for determining which technical studies are “required” for a particular project. </w:t>
      </w:r>
    </w:p>
    <w:p w:rsidRPr="006B7D70" w:rsidR="00F90BB4" w:rsidP="00D13705" w:rsidRDefault="00F90BB4" w14:paraId="65DACF7B" w14:textId="77777777">
      <w:pPr>
        <w:pStyle w:val="CoL"/>
        <w:numPr>
          <w:ilvl w:val="6"/>
          <w:numId w:val="22"/>
        </w:numPr>
        <w:tabs>
          <w:tab w:val="clear" w:pos="1080"/>
        </w:tabs>
        <w:ind w:left="0" w:firstLine="360"/>
      </w:pPr>
      <w:r w:rsidRPr="006B7D70">
        <w:t>Staff</w:t>
      </w:r>
      <w:r w:rsidR="00996966">
        <w:t xml:space="preserve"> Proposal </w:t>
      </w:r>
      <w:r w:rsidR="00DC14AC">
        <w:t>Section </w:t>
      </w:r>
      <w:r w:rsidR="00996966">
        <w:t xml:space="preserve">3.7, </w:t>
      </w:r>
      <w:r w:rsidR="00E160B6">
        <w:t>P</w:t>
      </w:r>
      <w:r w:rsidRPr="006B7D70">
        <w:t xml:space="preserve">roposal </w:t>
      </w:r>
      <w:r w:rsidR="00996966">
        <w:t xml:space="preserve">2 </w:t>
      </w:r>
      <w:r w:rsidRPr="006B7D70">
        <w:t xml:space="preserve">to consolidate EMF application requirements and related </w:t>
      </w:r>
      <w:r w:rsidR="003B5D07">
        <w:t>GO </w:t>
      </w:r>
      <w:r w:rsidRPr="006B7D70">
        <w:t>131-D revisions</w:t>
      </w:r>
      <w:r w:rsidR="00D83A93">
        <w:t>,</w:t>
      </w:r>
      <w:r w:rsidRPr="006B7D70">
        <w:t xml:space="preserve"> </w:t>
      </w:r>
      <w:r w:rsidR="00D83A93">
        <w:t>as</w:t>
      </w:r>
      <w:r w:rsidRPr="006B7D70">
        <w:t xml:space="preserve"> reflected in </w:t>
      </w:r>
      <w:r w:rsidRPr="00D83A93" w:rsidR="00D83A93">
        <w:t xml:space="preserve">Attachment B to this decision, </w:t>
      </w:r>
      <w:r w:rsidR="003B5D07">
        <w:t>GO </w:t>
      </w:r>
      <w:r w:rsidRPr="006B7D70">
        <w:t>131-E</w:t>
      </w:r>
      <w:r w:rsidR="00D83A93">
        <w:t>,</w:t>
      </w:r>
      <w:r w:rsidRPr="006B7D70">
        <w:t xml:space="preserve"> should be adopted. </w:t>
      </w:r>
    </w:p>
    <w:p w:rsidR="00F90BB4" w:rsidP="00D13705" w:rsidRDefault="00F90BB4" w14:paraId="165681D2" w14:textId="77777777">
      <w:pPr>
        <w:pStyle w:val="CoL"/>
        <w:numPr>
          <w:ilvl w:val="6"/>
          <w:numId w:val="22"/>
        </w:numPr>
        <w:tabs>
          <w:tab w:val="clear" w:pos="1080"/>
        </w:tabs>
        <w:ind w:left="0" w:firstLine="360"/>
      </w:pPr>
      <w:bookmarkStart w:name="_Hlk188971607" w:id="198"/>
      <w:r>
        <w:lastRenderedPageBreak/>
        <w:t xml:space="preserve">Staff </w:t>
      </w:r>
      <w:r w:rsidR="007E1D96">
        <w:t xml:space="preserve">Proposal </w:t>
      </w:r>
      <w:r w:rsidR="00DC14AC">
        <w:t>Section </w:t>
      </w:r>
      <w:r w:rsidR="007E1D96">
        <w:t xml:space="preserve">3.7, </w:t>
      </w:r>
      <w:r>
        <w:t>Proposal 3</w:t>
      </w:r>
      <w:r w:rsidR="006B7D70">
        <w:t xml:space="preserve"> (setting requirements for utilities to notice and file a CPCN or PTC application not less than 12</w:t>
      </w:r>
      <w:r w:rsidR="00C21210">
        <w:t>-</w:t>
      </w:r>
      <w:r w:rsidR="006B7D70">
        <w:t>month before a Commission decision is required and to initiate pre-filing consultation at least 6 months prior to filing a CPCN or PTC application)</w:t>
      </w:r>
      <w:r>
        <w:t xml:space="preserve"> and related </w:t>
      </w:r>
      <w:r w:rsidR="003B5D07">
        <w:t>GO </w:t>
      </w:r>
      <w:r>
        <w:t>131-D revisions</w:t>
      </w:r>
      <w:r w:rsidR="00D83A93">
        <w:t>,</w:t>
      </w:r>
      <w:r>
        <w:t xml:space="preserve"> </w:t>
      </w:r>
      <w:r w:rsidR="00D83A93">
        <w:t>as</w:t>
      </w:r>
      <w:r>
        <w:t xml:space="preserve"> reflected in </w:t>
      </w:r>
      <w:r w:rsidRPr="00D83A93" w:rsidR="00D83A93">
        <w:t xml:space="preserve">Attachment B to this decision, </w:t>
      </w:r>
      <w:r w:rsidR="003B5D07">
        <w:t>GO </w:t>
      </w:r>
      <w:r>
        <w:t>131-E</w:t>
      </w:r>
      <w:r w:rsidRPr="00D83A93" w:rsidR="00D83A93">
        <w:t xml:space="preserve">, </w:t>
      </w:r>
      <w:r>
        <w:t>should be adopted.</w:t>
      </w:r>
    </w:p>
    <w:p w:rsidRPr="007D173C" w:rsidR="00F90BB4" w:rsidP="00D13705" w:rsidRDefault="00F90BB4" w14:paraId="0FBF0A7E" w14:textId="77777777">
      <w:pPr>
        <w:pStyle w:val="CoL"/>
        <w:numPr>
          <w:ilvl w:val="6"/>
          <w:numId w:val="22"/>
        </w:numPr>
        <w:tabs>
          <w:tab w:val="clear" w:pos="1080"/>
        </w:tabs>
        <w:ind w:left="0" w:firstLine="360"/>
      </w:pPr>
      <w:bookmarkStart w:name="_Hlk177727224" w:id="199"/>
      <w:r w:rsidRPr="007D173C">
        <w:t xml:space="preserve">Staff </w:t>
      </w:r>
      <w:r w:rsidRPr="007D173C" w:rsidR="007E1D96">
        <w:t xml:space="preserve">Proposal </w:t>
      </w:r>
      <w:r w:rsidRPr="007D173C" w:rsidR="00DC14AC">
        <w:t>Section </w:t>
      </w:r>
      <w:r w:rsidRPr="007D173C" w:rsidR="007E1D96">
        <w:t xml:space="preserve">3.8, </w:t>
      </w:r>
      <w:r w:rsidRPr="007D173C">
        <w:t xml:space="preserve">Proposal 1 </w:t>
      </w:r>
      <w:bookmarkEnd w:id="199"/>
      <w:r w:rsidRPr="007D173C">
        <w:t xml:space="preserve">and related </w:t>
      </w:r>
      <w:r w:rsidRPr="007D173C" w:rsidR="003B5D07">
        <w:t>GO </w:t>
      </w:r>
      <w:r w:rsidRPr="007D173C">
        <w:t>131-D revisions</w:t>
      </w:r>
      <w:r w:rsidRPr="007D173C" w:rsidR="00D83A93">
        <w:t>,</w:t>
      </w:r>
      <w:r w:rsidRPr="007D173C">
        <w:t xml:space="preserve"> </w:t>
      </w:r>
      <w:r w:rsidRPr="007D173C" w:rsidR="00D83A93">
        <w:t>as</w:t>
      </w:r>
      <w:r w:rsidRPr="007D173C">
        <w:t xml:space="preserve"> reflected in </w:t>
      </w:r>
      <w:r w:rsidRPr="007D173C" w:rsidR="00D83A93">
        <w:t>Attachment B to this decision</w:t>
      </w:r>
      <w:r w:rsidRPr="007D173C">
        <w:t xml:space="preserve"> (modifying </w:t>
      </w:r>
      <w:r w:rsidRPr="007D173C" w:rsidR="003B5D07">
        <w:t>GO</w:t>
      </w:r>
      <w:r w:rsidRPr="007D173C" w:rsidR="001B60BE">
        <w:t xml:space="preserve"> 131-D</w:t>
      </w:r>
      <w:r w:rsidRPr="007D173C" w:rsidR="008B0F5E">
        <w:t xml:space="preserve"> Section</w:t>
      </w:r>
      <w:r w:rsidRPr="007D173C" w:rsidR="00111E44">
        <w:t xml:space="preserve"> XVI, which </w:t>
      </w:r>
      <w:r w:rsidRPr="007D173C" w:rsidR="00A96004">
        <w:t>would</w:t>
      </w:r>
      <w:r w:rsidRPr="007D173C" w:rsidR="00111E44">
        <w:t xml:space="preserve"> be GO 131-E Section XIII,</w:t>
      </w:r>
      <w:r w:rsidRPr="007D173C" w:rsidR="235EF07F">
        <w:t> </w:t>
      </w:r>
      <w:r w:rsidRPr="007D173C" w:rsidR="00111E44">
        <w:t>to clarify</w:t>
      </w:r>
      <w:r w:rsidRPr="007D173C" w:rsidR="00C21210">
        <w:t xml:space="preserve"> </w:t>
      </w:r>
      <w:r w:rsidRPr="007D173C" w:rsidR="1BE20099">
        <w:t xml:space="preserve">that the Commission is subject to the timeframes and deadlines set in CEQA and </w:t>
      </w:r>
      <w:r w:rsidRPr="007D173C">
        <w:t>the CEQA Guidelines</w:t>
      </w:r>
      <w:r w:rsidRPr="007D173C" w:rsidR="2F59866B">
        <w:t>)</w:t>
      </w:r>
      <w:r w:rsidRPr="007D173C" w:rsidR="00476B5E">
        <w:t>,</w:t>
      </w:r>
      <w:r w:rsidRPr="007D173C">
        <w:t xml:space="preserve"> should be adopted.  </w:t>
      </w:r>
    </w:p>
    <w:bookmarkEnd w:id="198"/>
    <w:p w:rsidR="00F90BB4" w:rsidP="00D13705" w:rsidRDefault="00F90BB4" w14:paraId="2F0235E7" w14:textId="77777777">
      <w:pPr>
        <w:pStyle w:val="CoL"/>
        <w:numPr>
          <w:ilvl w:val="6"/>
          <w:numId w:val="22"/>
        </w:numPr>
        <w:tabs>
          <w:tab w:val="clear" w:pos="1080"/>
        </w:tabs>
        <w:ind w:left="0" w:firstLine="360"/>
      </w:pPr>
      <w:r w:rsidRPr="00670A50">
        <w:t xml:space="preserve">Staff </w:t>
      </w:r>
      <w:r w:rsidR="007E1D96">
        <w:t xml:space="preserve">Proposal </w:t>
      </w:r>
      <w:r w:rsidR="00DC14AC">
        <w:t>Section </w:t>
      </w:r>
      <w:r w:rsidR="007E1D96">
        <w:t xml:space="preserve">3.8, </w:t>
      </w:r>
      <w:r w:rsidRPr="00670A50">
        <w:t xml:space="preserve">Proposal </w:t>
      </w:r>
      <w:r w:rsidR="0033230B">
        <w:t>2</w:t>
      </w:r>
      <w:r w:rsidRPr="00670A50" w:rsidR="0033230B">
        <w:t>, which</w:t>
      </w:r>
      <w:r>
        <w:t xml:space="preserve"> does not require </w:t>
      </w:r>
      <w:r w:rsidR="003B5D07">
        <w:t>GO </w:t>
      </w:r>
      <w:r>
        <w:t>revision to e</w:t>
      </w:r>
      <w:r w:rsidRPr="0014288D">
        <w:t>stablish a pilot program</w:t>
      </w:r>
      <w:r w:rsidR="008E09C5">
        <w:t xml:space="preserve"> to evaluate </w:t>
      </w:r>
      <w:r w:rsidR="00C06D55">
        <w:t>ways t</w:t>
      </w:r>
      <w:r w:rsidR="00A77748">
        <w:t>o</w:t>
      </w:r>
      <w:r w:rsidR="008E09C5">
        <w:t xml:space="preserve"> accelerat</w:t>
      </w:r>
      <w:r w:rsidR="00C06D55">
        <w:t>e</w:t>
      </w:r>
      <w:r w:rsidR="008E09C5">
        <w:t xml:space="preserve"> existing CEQA processes</w:t>
      </w:r>
      <w:r w:rsidR="00612EC2">
        <w:t>,</w:t>
      </w:r>
      <w:r w:rsidRPr="0014288D">
        <w:t xml:space="preserve"> </w:t>
      </w:r>
      <w:r w:rsidR="0033230B">
        <w:t xml:space="preserve">should be adopted. </w:t>
      </w:r>
      <w:r w:rsidR="00701931">
        <w:t xml:space="preserve">The </w:t>
      </w:r>
      <w:r w:rsidR="00612EC2">
        <w:t xml:space="preserve">pilot program </w:t>
      </w:r>
      <w:r w:rsidR="00701931">
        <w:t>will</w:t>
      </w:r>
      <w:r w:rsidRPr="0014288D">
        <w:t xml:space="preserve"> identify at least two projects where an MND may be completed within 270 days of </w:t>
      </w:r>
      <w:r w:rsidR="00D9173B">
        <w:t>deeming an application complete</w:t>
      </w:r>
      <w:r w:rsidRPr="0014288D">
        <w:t xml:space="preserve">, and at least two projects where an EIR may be issued within 455 days of </w:t>
      </w:r>
      <w:r w:rsidR="00D9173B">
        <w:t>deeming an application complete</w:t>
      </w:r>
      <w:r w:rsidR="00612EC2">
        <w:t>.</w:t>
      </w:r>
      <w:r>
        <w:t xml:space="preserve"> </w:t>
      </w:r>
      <w:r w:rsidR="00701931">
        <w:t>The</w:t>
      </w:r>
      <w:r>
        <w:t xml:space="preserve"> pilot should: </w:t>
      </w:r>
    </w:p>
    <w:p w:rsidR="00F90BB4" w:rsidP="00D13705" w:rsidRDefault="00F90BB4" w14:paraId="02DAA641" w14:textId="77777777">
      <w:pPr>
        <w:pStyle w:val="Standard"/>
        <w:numPr>
          <w:ilvl w:val="0"/>
          <w:numId w:val="15"/>
        </w:numPr>
        <w:spacing w:after="120" w:line="240" w:lineRule="auto"/>
        <w:ind w:left="1170" w:right="1440" w:hanging="450"/>
      </w:pPr>
      <w:r>
        <w:t xml:space="preserve">be administered by Staff, consistent with the Staff Proposal and using the </w:t>
      </w:r>
      <w:r w:rsidRPr="00A37D4E">
        <w:t xml:space="preserve">lists </w:t>
      </w:r>
      <w:r>
        <w:t xml:space="preserve">of </w:t>
      </w:r>
      <w:r w:rsidRPr="00A37D4E">
        <w:t xml:space="preserve">other potential project selection criteria for the pilot, and metrics </w:t>
      </w:r>
      <w:r>
        <w:t>to review,</w:t>
      </w:r>
      <w:r w:rsidRPr="00A37D4E">
        <w:t xml:space="preserve"> track and report pilot success</w:t>
      </w:r>
      <w:r>
        <w:t>,</w:t>
      </w:r>
    </w:p>
    <w:p w:rsidR="00F90BB4" w:rsidP="00D13705" w:rsidRDefault="00F90BB4" w14:paraId="1928BC18" w14:textId="77777777">
      <w:pPr>
        <w:pStyle w:val="Standard"/>
        <w:numPr>
          <w:ilvl w:val="0"/>
          <w:numId w:val="15"/>
        </w:numPr>
        <w:spacing w:after="120" w:line="240" w:lineRule="auto"/>
        <w:ind w:left="1170" w:right="1440" w:hanging="450"/>
      </w:pPr>
      <w:r w:rsidRPr="0014288D">
        <w:t xml:space="preserve">require the enrollment of at least one project </w:t>
      </w:r>
      <w:r w:rsidR="00063849">
        <w:t xml:space="preserve">each </w:t>
      </w:r>
      <w:r>
        <w:t>filed</w:t>
      </w:r>
      <w:r w:rsidRPr="0014288D">
        <w:t xml:space="preserve"> by PG&amp;E, SCE, and SDG&amp;E,</w:t>
      </w:r>
    </w:p>
    <w:p w:rsidR="00F90BB4" w:rsidP="00D13705" w:rsidRDefault="00F90BB4" w14:paraId="4AC4AC34" w14:textId="77777777">
      <w:pPr>
        <w:pStyle w:val="Standard"/>
        <w:numPr>
          <w:ilvl w:val="0"/>
          <w:numId w:val="15"/>
        </w:numPr>
        <w:spacing w:after="120" w:line="240" w:lineRule="auto"/>
        <w:ind w:left="1170" w:right="1440" w:hanging="450"/>
      </w:pPr>
      <w:r w:rsidRPr="0014288D">
        <w:t>inclu</w:t>
      </w:r>
      <w:r>
        <w:t xml:space="preserve">de </w:t>
      </w:r>
      <w:r w:rsidRPr="0014288D">
        <w:t xml:space="preserve">a mixture </w:t>
      </w:r>
      <w:r w:rsidR="001C0CAB">
        <w:t xml:space="preserve">of </w:t>
      </w:r>
      <w:r w:rsidRPr="0014288D">
        <w:t>competitively and non-competitively bid projects</w:t>
      </w:r>
      <w:r>
        <w:t>, and</w:t>
      </w:r>
    </w:p>
    <w:p w:rsidRPr="0014288D" w:rsidR="00F90BB4" w:rsidP="00D13705" w:rsidRDefault="00F90BB4" w14:paraId="760F1C4E" w14:textId="77777777">
      <w:pPr>
        <w:pStyle w:val="Standard"/>
        <w:numPr>
          <w:ilvl w:val="0"/>
          <w:numId w:val="15"/>
        </w:numPr>
        <w:spacing w:after="120" w:line="240" w:lineRule="auto"/>
        <w:ind w:left="1170" w:right="1440" w:hanging="450"/>
      </w:pPr>
      <w:r>
        <w:t>Instruct S</w:t>
      </w:r>
      <w:r w:rsidR="00063849">
        <w:t>t</w:t>
      </w:r>
      <w:r>
        <w:t xml:space="preserve">aff to report on the results of this pilot review by compliance filing on </w:t>
      </w:r>
      <w:r w:rsidRPr="001A5F51" w:rsidR="001A5F51">
        <w:t xml:space="preserve">December 1 </w:t>
      </w:r>
      <w:r w:rsidRPr="001C0CAB">
        <w:t>o</w:t>
      </w:r>
      <w:r>
        <w:t xml:space="preserve">f every even year starting with </w:t>
      </w:r>
      <w:r w:rsidRPr="001C0CAB" w:rsidR="001A5F51">
        <w:t>December 1</w:t>
      </w:r>
      <w:r w:rsidRPr="001C0CAB">
        <w:t xml:space="preserve"> o</w:t>
      </w:r>
      <w:r>
        <w:t xml:space="preserve">f 2026.  </w:t>
      </w:r>
    </w:p>
    <w:p w:rsidR="00F90BB4" w:rsidP="00D13705" w:rsidRDefault="37735528" w14:paraId="3CBDDF3C" w14:textId="77777777">
      <w:pPr>
        <w:pStyle w:val="CoL"/>
        <w:numPr>
          <w:ilvl w:val="6"/>
          <w:numId w:val="22"/>
        </w:numPr>
        <w:tabs>
          <w:tab w:val="clear" w:pos="1080"/>
        </w:tabs>
        <w:ind w:left="0" w:firstLine="360"/>
      </w:pPr>
      <w:bookmarkStart w:name="_Hlk177737305" w:id="200"/>
      <w:r>
        <w:lastRenderedPageBreak/>
        <w:t>To comply with AB</w:t>
      </w:r>
      <w:r w:rsidR="00F210C6">
        <w:t>s</w:t>
      </w:r>
      <w:r>
        <w:t xml:space="preserve"> 1373 </w:t>
      </w:r>
      <w:r w:rsidR="15EEBB46">
        <w:t xml:space="preserve">and 2292 </w:t>
      </w:r>
      <w:r>
        <w:t xml:space="preserve">and to preserve the Commission’s role as lead agency entrusted with the responsibility to </w:t>
      </w:r>
      <w:r w:rsidR="3C8CDCAF">
        <w:t>issue</w:t>
      </w:r>
      <w:r>
        <w:t xml:space="preserve"> CPCNs </w:t>
      </w:r>
      <w:r w:rsidR="6EAED2CC">
        <w:t>in compliance with CEQA</w:t>
      </w:r>
      <w:r>
        <w:t xml:space="preserve">, revisions of </w:t>
      </w:r>
      <w:r w:rsidR="003B5D07">
        <w:t>GO </w:t>
      </w:r>
      <w:r>
        <w:t xml:space="preserve">131-D to add new sections, </w:t>
      </w:r>
      <w:r w:rsidR="00C06D55">
        <w:t>as</w:t>
      </w:r>
      <w:r>
        <w:t xml:space="preserve"> reflected in </w:t>
      </w:r>
      <w:r w:rsidRPr="00C06D55" w:rsidR="00C06D55">
        <w:t xml:space="preserve">Attachment B to this decision, </w:t>
      </w:r>
      <w:r w:rsidR="003B5D07">
        <w:t>GO </w:t>
      </w:r>
      <w:r>
        <w:t xml:space="preserve">131-E, as proposed by Staff </w:t>
      </w:r>
      <w:r w:rsidR="000D43C5">
        <w:t>and as modified</w:t>
      </w:r>
      <w:r w:rsidR="00C06D55">
        <w:t xml:space="preserve"> below</w:t>
      </w:r>
      <w:r>
        <w:t>, should be adopted:</w:t>
      </w:r>
    </w:p>
    <w:p w:rsidR="00F90BB4" w:rsidP="00D13705" w:rsidRDefault="00824B28" w14:paraId="5B29E739" w14:textId="77777777">
      <w:pPr>
        <w:pStyle w:val="Standard"/>
        <w:numPr>
          <w:ilvl w:val="0"/>
          <w:numId w:val="16"/>
        </w:numPr>
        <w:spacing w:after="120" w:line="240" w:lineRule="auto"/>
        <w:ind w:left="1170" w:right="1440" w:hanging="450"/>
      </w:pPr>
      <w:r>
        <w:t>Proposed</w:t>
      </w:r>
      <w:r w:rsidR="00F90BB4">
        <w:t xml:space="preserve"> </w:t>
      </w:r>
      <w:r w:rsidR="00DC14AC">
        <w:t>Section </w:t>
      </w:r>
      <w:r w:rsidR="00BE6D80">
        <w:t>VII</w:t>
      </w:r>
      <w:r w:rsidR="00F90BB4">
        <w:t>.C.2</w:t>
      </w:r>
      <w:r w:rsidR="00BE6D80">
        <w:t>.a</w:t>
      </w:r>
      <w:r w:rsidR="00F90BB4">
        <w:t xml:space="preserve"> of </w:t>
      </w:r>
      <w:r w:rsidR="003B5D07">
        <w:t>GO </w:t>
      </w:r>
      <w:r w:rsidR="00F90BB4">
        <w:t xml:space="preserve">131-E that </w:t>
      </w:r>
      <w:r w:rsidRPr="00B70EB7" w:rsidR="00F90BB4">
        <w:t>CAISO objectives and purpose for</w:t>
      </w:r>
      <w:r w:rsidR="00F90BB4">
        <w:t xml:space="preserve"> a </w:t>
      </w:r>
      <w:r w:rsidRPr="00B70EB7" w:rsidR="00F90BB4">
        <w:t>project</w:t>
      </w:r>
      <w:r w:rsidR="00F90BB4">
        <w:t xml:space="preserve"> approved </w:t>
      </w:r>
      <w:r w:rsidRPr="00B70EB7" w:rsidR="00F90BB4">
        <w:t xml:space="preserve">in the </w:t>
      </w:r>
      <w:r w:rsidR="00F90BB4">
        <w:t xml:space="preserve">CAISO Transmission Plan </w:t>
      </w:r>
      <w:r w:rsidR="001473DA">
        <w:t>shall form the basis of</w:t>
      </w:r>
      <w:r w:rsidR="00F90BB4">
        <w:t xml:space="preserve"> statement of objectives in a Commission CEQA document; </w:t>
      </w:r>
    </w:p>
    <w:p w:rsidR="00BE6D80" w:rsidP="00D13705" w:rsidRDefault="003823B5" w14:paraId="71985B28" w14:textId="77777777">
      <w:pPr>
        <w:pStyle w:val="Standard"/>
        <w:numPr>
          <w:ilvl w:val="0"/>
          <w:numId w:val="16"/>
        </w:numPr>
        <w:spacing w:after="120" w:line="240" w:lineRule="auto"/>
        <w:ind w:left="1170" w:right="1440" w:hanging="450"/>
      </w:pPr>
      <w:r>
        <w:t>Proposed</w:t>
      </w:r>
      <w:r w:rsidR="00F90BB4">
        <w:t xml:space="preserve"> </w:t>
      </w:r>
      <w:r w:rsidR="00DC14AC">
        <w:t>Section </w:t>
      </w:r>
      <w:r w:rsidR="00BE6D80">
        <w:t>VII</w:t>
      </w:r>
      <w:r w:rsidR="00F90BB4">
        <w:t xml:space="preserve">.C.2.b of </w:t>
      </w:r>
      <w:r w:rsidR="003B5D07">
        <w:t>GO </w:t>
      </w:r>
      <w:r w:rsidR="00F90BB4">
        <w:t>131-E that incorporates AB 1373 provisions that the Commission shall establish</w:t>
      </w:r>
      <w:r w:rsidRPr="005C237B" w:rsidR="00F90BB4">
        <w:t xml:space="preserve"> rebuttable presumption in favor of the</w:t>
      </w:r>
      <w:r w:rsidR="00F90BB4">
        <w:t xml:space="preserve"> </w:t>
      </w:r>
      <w:r w:rsidRPr="005C237B" w:rsidR="00F90BB4">
        <w:t>CAISO need evaluation when evaluating the issuance of a CPCN for a proposed transmission project,</w:t>
      </w:r>
      <w:r w:rsidR="00F90BB4">
        <w:t xml:space="preserve"> given that the </w:t>
      </w:r>
      <w:r w:rsidRPr="005C237B" w:rsidR="00F90BB4">
        <w:t xml:space="preserve">project meets certain criteria specified in Public Utilities Code </w:t>
      </w:r>
      <w:r w:rsidR="00DC14AC">
        <w:t>Section </w:t>
      </w:r>
      <w:r w:rsidRPr="005C237B" w:rsidR="00F90BB4">
        <w:t>1001.1</w:t>
      </w:r>
      <w:r w:rsidR="00C06D55">
        <w:t>; and</w:t>
      </w:r>
    </w:p>
    <w:p w:rsidR="00F90BB4" w:rsidP="00D13705" w:rsidRDefault="003823B5" w14:paraId="7CEE0B7B" w14:textId="77777777">
      <w:pPr>
        <w:pStyle w:val="Standard"/>
        <w:numPr>
          <w:ilvl w:val="0"/>
          <w:numId w:val="16"/>
        </w:numPr>
        <w:spacing w:after="120" w:line="240" w:lineRule="auto"/>
        <w:ind w:left="1170" w:right="1440" w:hanging="450"/>
      </w:pPr>
      <w:r>
        <w:t>Proposed</w:t>
      </w:r>
      <w:r w:rsidR="00C40F4F">
        <w:t xml:space="preserve"> </w:t>
      </w:r>
      <w:r w:rsidR="00DC14AC">
        <w:t>Section </w:t>
      </w:r>
      <w:r w:rsidR="00C40F4F">
        <w:t xml:space="preserve">VII.C.2.c of </w:t>
      </w:r>
      <w:r w:rsidR="003B5D07">
        <w:t>GO </w:t>
      </w:r>
      <w:r w:rsidR="00C40F4F">
        <w:t>131-E that the range of reasonable alternatives to the proposed project in an initial draft EIR circulated for public comment may be limited to alternative routes or locations for construction of the relevant CAISO Transmission Plan-approved electric project and the “no action” alternative</w:t>
      </w:r>
      <w:r w:rsidRPr="005C237B" w:rsidR="00F90BB4">
        <w:t>.</w:t>
      </w:r>
    </w:p>
    <w:bookmarkEnd w:id="200"/>
    <w:p w:rsidR="00A54EE5" w:rsidP="00D13705" w:rsidRDefault="00F90BB4" w14:paraId="533B7AEC" w14:textId="77777777">
      <w:pPr>
        <w:pStyle w:val="CoL"/>
        <w:numPr>
          <w:ilvl w:val="6"/>
          <w:numId w:val="22"/>
        </w:numPr>
        <w:tabs>
          <w:tab w:val="clear" w:pos="1080"/>
        </w:tabs>
        <w:ind w:left="0" w:firstLine="270"/>
      </w:pPr>
      <w:r w:rsidRPr="00701E3A">
        <w:t>Staff</w:t>
      </w:r>
      <w:r w:rsidRPr="00701E3A" w:rsidR="003D3BE5">
        <w:t>’s</w:t>
      </w:r>
      <w:r w:rsidRPr="00701E3A">
        <w:t xml:space="preserve"> Proposal </w:t>
      </w:r>
      <w:r w:rsidRPr="00C06D55" w:rsidR="00C06D55">
        <w:t xml:space="preserve">on certain financial reporting requirements and proposals to amend the list of financial information that must be reported by electric public utilities to the Commission, </w:t>
      </w:r>
      <w:r w:rsidR="00C06D55">
        <w:t>should be modified as</w:t>
      </w:r>
      <w:r w:rsidRPr="00701E3A" w:rsidR="00A54EE5">
        <w:t xml:space="preserve"> reflected in </w:t>
      </w:r>
      <w:r w:rsidR="00C06D55">
        <w:t xml:space="preserve">Attachment B to this decision, </w:t>
      </w:r>
      <w:r w:rsidR="00A54EE5">
        <w:t>GO </w:t>
      </w:r>
      <w:r w:rsidRPr="00701E3A" w:rsidR="00A54EE5">
        <w:t>131-E</w:t>
      </w:r>
      <w:r w:rsidR="00A54EE5">
        <w:t xml:space="preserve">, </w:t>
      </w:r>
      <w:r w:rsidR="00C06D55">
        <w:t xml:space="preserve">and </w:t>
      </w:r>
      <w:r w:rsidR="00A54EE5">
        <w:t>be adopted</w:t>
      </w:r>
      <w:r w:rsidR="00FB0EAE">
        <w:t>.</w:t>
      </w:r>
    </w:p>
    <w:p w:rsidRPr="00701E3A" w:rsidR="003F4BC7" w:rsidP="00D13705" w:rsidRDefault="00A54EE5" w14:paraId="2BE798B6" w14:textId="77777777">
      <w:pPr>
        <w:pStyle w:val="CoL"/>
        <w:numPr>
          <w:ilvl w:val="6"/>
          <w:numId w:val="22"/>
        </w:numPr>
        <w:tabs>
          <w:tab w:val="clear" w:pos="1080"/>
        </w:tabs>
        <w:ind w:left="0" w:firstLine="270"/>
      </w:pPr>
      <w:r>
        <w:t>The</w:t>
      </w:r>
      <w:r w:rsidR="007C20DC">
        <w:t xml:space="preserve"> Commission’s direction that</w:t>
      </w:r>
      <w:r w:rsidR="00921FAD">
        <w:t xml:space="preserve"> </w:t>
      </w:r>
      <w:r w:rsidRPr="002B7247" w:rsidR="002B7247">
        <w:t xml:space="preserve">transmission forecasting reporting requirements </w:t>
      </w:r>
      <w:r w:rsidR="00F114C7">
        <w:t xml:space="preserve">to be provided by IOUs in </w:t>
      </w:r>
      <w:r w:rsidRPr="002B7247" w:rsidR="002B7247">
        <w:t>annual reports and quarterly briefings</w:t>
      </w:r>
      <w:r w:rsidR="00F114C7">
        <w:t xml:space="preserve"> </w:t>
      </w:r>
      <w:r w:rsidR="00C06D55">
        <w:t>as</w:t>
      </w:r>
      <w:r w:rsidR="00FB0EAE">
        <w:t xml:space="preserve"> reflected in GO 131-E, should be adopted. </w:t>
      </w:r>
    </w:p>
    <w:p w:rsidRPr="00D9173B" w:rsidR="003F4BC7" w:rsidP="00D13705" w:rsidRDefault="00F90BB4" w14:paraId="6EDA43F3" w14:textId="77777777">
      <w:pPr>
        <w:pStyle w:val="CoL"/>
        <w:numPr>
          <w:ilvl w:val="6"/>
          <w:numId w:val="22"/>
        </w:numPr>
        <w:tabs>
          <w:tab w:val="clear" w:pos="1080"/>
        </w:tabs>
        <w:ind w:left="0" w:firstLine="270"/>
      </w:pPr>
      <w:r w:rsidRPr="00D9173B">
        <w:t xml:space="preserve">All revisions consistent with </w:t>
      </w:r>
      <w:r w:rsidR="003B5D07">
        <w:t>GO </w:t>
      </w:r>
      <w:r w:rsidRPr="00D9173B">
        <w:t xml:space="preserve">96-B rules, should be made and adopted in </w:t>
      </w:r>
      <w:r w:rsidR="003B5D07">
        <w:t>GO </w:t>
      </w:r>
      <w:r w:rsidRPr="00D9173B">
        <w:t>131-E.</w:t>
      </w:r>
    </w:p>
    <w:p w:rsidRPr="006B7D70" w:rsidR="004135AA" w:rsidP="00D13705" w:rsidRDefault="004135AA" w14:paraId="466DA635" w14:textId="77777777">
      <w:pPr>
        <w:pStyle w:val="CoL"/>
        <w:numPr>
          <w:ilvl w:val="6"/>
          <w:numId w:val="22"/>
        </w:numPr>
        <w:tabs>
          <w:tab w:val="clear" w:pos="1080"/>
        </w:tabs>
        <w:ind w:left="0" w:firstLine="270"/>
      </w:pPr>
      <w:r w:rsidRPr="00862F6E">
        <w:lastRenderedPageBreak/>
        <w:t>Implementation of GO 131-E complies with the Commission’s Tribal Consultation Policy.</w:t>
      </w:r>
    </w:p>
    <w:p w:rsidRPr="00D9173B" w:rsidR="003F4BC7" w:rsidP="00D13705" w:rsidRDefault="00F90BB4" w14:paraId="778E0C80" w14:textId="77777777">
      <w:pPr>
        <w:pStyle w:val="CoL"/>
        <w:numPr>
          <w:ilvl w:val="6"/>
          <w:numId w:val="22"/>
        </w:numPr>
        <w:tabs>
          <w:tab w:val="clear" w:pos="1080"/>
        </w:tabs>
        <w:ind w:left="0" w:firstLine="270"/>
      </w:pPr>
      <w:r w:rsidRPr="00D9173B">
        <w:t xml:space="preserve">Reference to energy storage </w:t>
      </w:r>
      <w:r w:rsidR="009B12BC">
        <w:t>should not be included in th</w:t>
      </w:r>
      <w:r w:rsidR="00F41A78">
        <w:t>e</w:t>
      </w:r>
      <w:r w:rsidRPr="00D9173B">
        <w:t xml:space="preserve"> “extension” definition </w:t>
      </w:r>
      <w:r w:rsidR="00F41A78">
        <w:t>in</w:t>
      </w:r>
      <w:r w:rsidRPr="00D9173B">
        <w:t xml:space="preserve"> </w:t>
      </w:r>
      <w:r w:rsidR="003B5D07">
        <w:t>GO </w:t>
      </w:r>
      <w:r w:rsidR="00F41A78">
        <w:t>131-E</w:t>
      </w:r>
      <w:r w:rsidRPr="00D9173B">
        <w:t xml:space="preserve">, in </w:t>
      </w:r>
      <w:r w:rsidR="00DC14AC">
        <w:t>Section </w:t>
      </w:r>
      <w:r w:rsidRPr="00D9173B">
        <w:t>I.</w:t>
      </w:r>
      <w:r w:rsidR="00F41A78">
        <w:t>F</w:t>
      </w:r>
      <w:r w:rsidRPr="00D9173B">
        <w:t xml:space="preserve">.2, and </w:t>
      </w:r>
      <w:r w:rsidR="00F41A78">
        <w:t>in</w:t>
      </w:r>
      <w:r w:rsidRPr="00D9173B">
        <w:t xml:space="preserve"> the “upgrade” definition in </w:t>
      </w:r>
      <w:r w:rsidR="00DC14AC">
        <w:t>Section </w:t>
      </w:r>
      <w:r w:rsidRPr="00D9173B">
        <w:t>I.H.5.</w:t>
      </w:r>
    </w:p>
    <w:p w:rsidRPr="00D9173B" w:rsidR="003F4BC7" w:rsidP="00D13705" w:rsidRDefault="00F90BB4" w14:paraId="1F82951F" w14:textId="77777777">
      <w:pPr>
        <w:pStyle w:val="CoL"/>
        <w:numPr>
          <w:ilvl w:val="6"/>
          <w:numId w:val="22"/>
        </w:numPr>
        <w:tabs>
          <w:tab w:val="clear" w:pos="1080"/>
        </w:tabs>
        <w:ind w:left="0" w:firstLine="270"/>
      </w:pPr>
      <w:bookmarkStart w:name="_Hlk177732215" w:id="201"/>
      <w:r w:rsidRPr="00D9173B">
        <w:t xml:space="preserve">All proposals and revisions to </w:t>
      </w:r>
      <w:r w:rsidR="003B5D07">
        <w:t>GO </w:t>
      </w:r>
      <w:r w:rsidRPr="00D9173B">
        <w:t xml:space="preserve">131-D not expressly adopted and otherwise reflected in the attached </w:t>
      </w:r>
      <w:r w:rsidR="003B5D07">
        <w:t>GO </w:t>
      </w:r>
      <w:r w:rsidRPr="00D9173B">
        <w:t>131-E</w:t>
      </w:r>
      <w:r w:rsidR="00DA61F1">
        <w:t>, Attachment B,</w:t>
      </w:r>
      <w:r w:rsidRPr="00D9173B">
        <w:t xml:space="preserve"> should be rejected.</w:t>
      </w:r>
    </w:p>
    <w:p w:rsidRPr="00D9173B" w:rsidR="003F4BC7" w:rsidP="00D13705" w:rsidRDefault="00F90BB4" w14:paraId="6F9F7B3C" w14:textId="77777777">
      <w:pPr>
        <w:pStyle w:val="CoL"/>
        <w:numPr>
          <w:ilvl w:val="6"/>
          <w:numId w:val="22"/>
        </w:numPr>
        <w:tabs>
          <w:tab w:val="clear" w:pos="1080"/>
        </w:tabs>
        <w:ind w:left="0" w:firstLine="270"/>
      </w:pPr>
      <w:r w:rsidRPr="00D9173B">
        <w:t>All rulings issued by the assigned Commissioner and ALJs should be affirmed.</w:t>
      </w:r>
    </w:p>
    <w:p w:rsidRPr="00D9173B" w:rsidR="00F90BB4" w:rsidP="00D13705" w:rsidRDefault="00F90BB4" w14:paraId="544796BF" w14:textId="77777777">
      <w:pPr>
        <w:pStyle w:val="CoL"/>
        <w:numPr>
          <w:ilvl w:val="6"/>
          <w:numId w:val="22"/>
        </w:numPr>
        <w:tabs>
          <w:tab w:val="clear" w:pos="1080"/>
        </w:tabs>
        <w:ind w:left="0" w:firstLine="270"/>
      </w:pPr>
      <w:r w:rsidRPr="00D9173B">
        <w:t xml:space="preserve">All pending motions, not expressly ruled on to date should be denied.  </w:t>
      </w:r>
    </w:p>
    <w:p w:rsidRPr="008E4A1A" w:rsidR="000A5AE8" w:rsidP="00D13705" w:rsidRDefault="000A5AE8" w14:paraId="596EF13B" w14:textId="77777777">
      <w:pPr>
        <w:pStyle w:val="CoL"/>
        <w:numPr>
          <w:ilvl w:val="6"/>
          <w:numId w:val="22"/>
        </w:numPr>
        <w:tabs>
          <w:tab w:val="clear" w:pos="1080"/>
        </w:tabs>
        <w:ind w:left="0" w:firstLine="270"/>
      </w:pPr>
      <w:r>
        <w:t>Rulemaking</w:t>
      </w:r>
      <w:r w:rsidR="003B5D07">
        <w:t> </w:t>
      </w:r>
      <w:r>
        <w:t>23-0</w:t>
      </w:r>
      <w:r w:rsidR="00166552">
        <w:t>5</w:t>
      </w:r>
      <w:r>
        <w:t xml:space="preserve">-018 </w:t>
      </w:r>
      <w:r w:rsidR="008E4A1A">
        <w:t>should be</w:t>
      </w:r>
      <w:r>
        <w:t xml:space="preserve"> closed.</w:t>
      </w:r>
    </w:p>
    <w:p w:rsidR="00BB0243" w:rsidP="007D173C" w:rsidRDefault="005939A5" w14:paraId="10294817" w14:textId="77777777">
      <w:pPr>
        <w:pStyle w:val="Mainex"/>
        <w:spacing w:before="180"/>
      </w:pPr>
      <w:bookmarkStart w:name="_Toc141799178" w:id="202"/>
      <w:bookmarkStart w:name="_Toc189738528" w:id="203"/>
      <w:bookmarkEnd w:id="201"/>
      <w:r>
        <w:t>O</w:t>
      </w:r>
      <w:r w:rsidR="00722850">
        <w:t>RDER</w:t>
      </w:r>
      <w:bookmarkEnd w:id="202"/>
      <w:bookmarkEnd w:id="203"/>
    </w:p>
    <w:p w:rsidR="00CF2AC2" w:rsidP="002F7878" w:rsidRDefault="00BB0243" w14:paraId="1ABF642A" w14:textId="77777777">
      <w:pPr>
        <w:keepNext/>
      </w:pPr>
      <w:r w:rsidRPr="00BB0243">
        <w:rPr>
          <w:b/>
        </w:rPr>
        <w:t>IT IS ORDERED</w:t>
      </w:r>
      <w:r>
        <w:t xml:space="preserve"> that:</w:t>
      </w:r>
    </w:p>
    <w:p w:rsidRPr="007D173C" w:rsidR="00F96375" w:rsidP="00D13705" w:rsidRDefault="008B479A" w14:paraId="3B724F83" w14:textId="77777777">
      <w:pPr>
        <w:pStyle w:val="OP"/>
        <w:ind w:hanging="360"/>
      </w:pPr>
      <w:r w:rsidRPr="007D173C">
        <w:t>G</w:t>
      </w:r>
      <w:r w:rsidRPr="007D173C" w:rsidR="009451CC">
        <w:t xml:space="preserve">eneral </w:t>
      </w:r>
      <w:r w:rsidRPr="007D173C">
        <w:t>O</w:t>
      </w:r>
      <w:r w:rsidRPr="007D173C" w:rsidR="009451CC">
        <w:t>rder</w:t>
      </w:r>
      <w:r w:rsidRPr="007D173C" w:rsidR="002F7878">
        <w:t> </w:t>
      </w:r>
      <w:r w:rsidRPr="007D173C" w:rsidR="00243732">
        <w:t>131-E</w:t>
      </w:r>
      <w:r w:rsidRPr="007D173C" w:rsidR="009451CC">
        <w:t>, attached to this decision as Attachment B, is adopted</w:t>
      </w:r>
      <w:r w:rsidRPr="007D173C" w:rsidR="00A656E0">
        <w:t>.</w:t>
      </w:r>
    </w:p>
    <w:p w:rsidRPr="007D173C" w:rsidR="00DE1F33" w:rsidP="00D13705" w:rsidRDefault="00571B69" w14:paraId="2B612D88" w14:textId="77777777">
      <w:pPr>
        <w:pStyle w:val="OP"/>
        <w:ind w:left="0" w:firstLine="360"/>
      </w:pPr>
      <w:r w:rsidRPr="007D173C">
        <w:t>All</w:t>
      </w:r>
      <w:r w:rsidRPr="007D173C" w:rsidR="00DE1F33">
        <w:t xml:space="preserve"> redlined </w:t>
      </w:r>
      <w:r w:rsidRPr="007D173C" w:rsidR="007545DF">
        <w:t xml:space="preserve">revisions </w:t>
      </w:r>
      <w:r w:rsidRPr="007D173C" w:rsidR="00DE1F33">
        <w:t>to G</w:t>
      </w:r>
      <w:r w:rsidRPr="007D173C" w:rsidR="007545DF">
        <w:t>eneral Order</w:t>
      </w:r>
      <w:r w:rsidRPr="007D173C" w:rsidR="002F7878">
        <w:t> </w:t>
      </w:r>
      <w:r w:rsidRPr="007D173C" w:rsidR="00243732">
        <w:t>131-D</w:t>
      </w:r>
      <w:r w:rsidRPr="007D173C" w:rsidR="00DE1F33">
        <w:t>, as reflected in Attachment</w:t>
      </w:r>
      <w:r w:rsidRPr="007D173C" w:rsidR="00166552">
        <w:t xml:space="preserve"> </w:t>
      </w:r>
      <w:r w:rsidRPr="007D173C" w:rsidR="00DE1F33">
        <w:t>A</w:t>
      </w:r>
      <w:r w:rsidRPr="007D173C" w:rsidR="007545DF">
        <w:t>,</w:t>
      </w:r>
      <w:r w:rsidRPr="007D173C" w:rsidR="00DE1F33">
        <w:t xml:space="preserve"> and as discussed in this decision</w:t>
      </w:r>
      <w:r w:rsidRPr="007D173C" w:rsidR="00C41E69">
        <w:t>, are adopted</w:t>
      </w:r>
      <w:r w:rsidRPr="007D173C" w:rsidR="00314213">
        <w:t xml:space="preserve"> and reflected in Attachment B</w:t>
      </w:r>
      <w:r w:rsidRPr="007D173C" w:rsidR="00DE1F33">
        <w:t>.</w:t>
      </w:r>
    </w:p>
    <w:p w:rsidRPr="007D173C" w:rsidR="00455A28" w:rsidP="00D13705" w:rsidRDefault="002D1F81" w14:paraId="4A1C852F" w14:textId="77777777">
      <w:pPr>
        <w:pStyle w:val="OP"/>
        <w:ind w:left="0" w:firstLine="360"/>
      </w:pPr>
      <w:r w:rsidRPr="007D173C">
        <w:t>General Order</w:t>
      </w:r>
      <w:r w:rsidRPr="007D173C" w:rsidR="0054267C">
        <w:t> </w:t>
      </w:r>
      <w:r w:rsidRPr="007D173C" w:rsidR="00243732">
        <w:t>131-E</w:t>
      </w:r>
      <w:r w:rsidRPr="007D173C" w:rsidR="00AB64FC">
        <w:t>, Attachment B to this decision,</w:t>
      </w:r>
      <w:r w:rsidRPr="007D173C">
        <w:t xml:space="preserve"> replaces and supersedes </w:t>
      </w:r>
      <w:r w:rsidRPr="007D173C" w:rsidR="003B5D07">
        <w:t>G</w:t>
      </w:r>
      <w:r w:rsidRPr="007D173C" w:rsidR="00850081">
        <w:t xml:space="preserve">eneral </w:t>
      </w:r>
      <w:r w:rsidRPr="007D173C" w:rsidR="003B5D07">
        <w:t>O</w:t>
      </w:r>
      <w:r w:rsidRPr="007D173C" w:rsidR="00850081">
        <w:t>rder</w:t>
      </w:r>
      <w:r w:rsidRPr="007D173C" w:rsidR="003B5D07">
        <w:t> </w:t>
      </w:r>
      <w:r w:rsidRPr="007D173C" w:rsidR="00243732">
        <w:t>131-D</w:t>
      </w:r>
      <w:r w:rsidRPr="007D173C" w:rsidR="406883AB">
        <w:t>.</w:t>
      </w:r>
    </w:p>
    <w:p w:rsidR="00455A28" w:rsidP="00D13705" w:rsidRDefault="009905F1" w14:paraId="432E408E" w14:textId="77777777">
      <w:pPr>
        <w:pStyle w:val="OP"/>
        <w:keepNext/>
        <w:ind w:left="0" w:firstLine="360"/>
      </w:pPr>
      <w:r w:rsidRPr="00F238A0">
        <w:t>A</w:t>
      </w:r>
      <w:r>
        <w:t xml:space="preserve"> pilot program </w:t>
      </w:r>
      <w:bookmarkStart w:name="_Hlk177736637" w:id="204"/>
      <w:r w:rsidR="00686C8A">
        <w:t>to evaluate</w:t>
      </w:r>
      <w:r>
        <w:t xml:space="preserve"> the </w:t>
      </w:r>
      <w:r w:rsidR="005C685A">
        <w:t xml:space="preserve">Commission’s </w:t>
      </w:r>
      <w:r w:rsidR="00455A28">
        <w:t>existing C</w:t>
      </w:r>
      <w:r>
        <w:t xml:space="preserve">alifornia Environmental Quality Act </w:t>
      </w:r>
      <w:r w:rsidR="00E96937">
        <w:t xml:space="preserve">(CEQA) </w:t>
      </w:r>
      <w:r>
        <w:t xml:space="preserve">review </w:t>
      </w:r>
      <w:r w:rsidR="00455A28">
        <w:t xml:space="preserve">process </w:t>
      </w:r>
      <w:r w:rsidR="005C685A">
        <w:t xml:space="preserve">for electric transmission projects </w:t>
      </w:r>
      <w:r w:rsidR="00471C5B">
        <w:t>is</w:t>
      </w:r>
      <w:r w:rsidR="00455A28">
        <w:t xml:space="preserve"> e</w:t>
      </w:r>
      <w:r w:rsidRPr="0014288D" w:rsidR="00455A28">
        <w:t>stablish</w:t>
      </w:r>
      <w:r w:rsidR="00471C5B">
        <w:t>ed</w:t>
      </w:r>
      <w:r w:rsidR="00E96937">
        <w:t xml:space="preserve"> </w:t>
      </w:r>
      <w:r w:rsidR="00455A28">
        <w:t>to be administered by</w:t>
      </w:r>
      <w:r w:rsidRPr="0014288D" w:rsidR="00455A28">
        <w:t xml:space="preserve"> </w:t>
      </w:r>
      <w:r w:rsidR="00E96937">
        <w:t xml:space="preserve">the Commission’s Energy Division CEQA </w:t>
      </w:r>
      <w:r w:rsidRPr="0014288D" w:rsidR="00455A28">
        <w:t>Staff</w:t>
      </w:r>
      <w:r w:rsidR="00455A28">
        <w:t xml:space="preserve">, </w:t>
      </w:r>
      <w:r w:rsidR="00844953">
        <w:t xml:space="preserve">to review </w:t>
      </w:r>
      <w:r w:rsidR="005C685A">
        <w:t xml:space="preserve">at least two projects </w:t>
      </w:r>
      <w:r w:rsidRPr="0014288D" w:rsidR="00455A28">
        <w:t xml:space="preserve">where </w:t>
      </w:r>
      <w:r w:rsidRPr="00F238A0" w:rsidR="00455A28">
        <w:t>a M</w:t>
      </w:r>
      <w:r w:rsidRPr="00F238A0" w:rsidR="00063A1C">
        <w:t xml:space="preserve">itigated </w:t>
      </w:r>
      <w:r w:rsidRPr="00F238A0" w:rsidR="00455A28">
        <w:t>N</w:t>
      </w:r>
      <w:r w:rsidRPr="00F238A0" w:rsidR="008B20BC">
        <w:t xml:space="preserve">egative </w:t>
      </w:r>
      <w:r w:rsidRPr="00F238A0" w:rsidR="00455A28">
        <w:t>D</w:t>
      </w:r>
      <w:r w:rsidRPr="00F238A0" w:rsidR="008B20BC">
        <w:t>eclaration</w:t>
      </w:r>
      <w:r w:rsidRPr="00F238A0" w:rsidR="00455A28">
        <w:t xml:space="preserve"> may</w:t>
      </w:r>
      <w:r w:rsidRPr="0014288D" w:rsidR="00455A28">
        <w:t xml:space="preserve"> be completed within 270 days of </w:t>
      </w:r>
      <w:r w:rsidR="00D9173B">
        <w:t xml:space="preserve">deeming an application </w:t>
      </w:r>
      <w:r w:rsidR="00D9173B">
        <w:lastRenderedPageBreak/>
        <w:t>complete</w:t>
      </w:r>
      <w:r w:rsidRPr="0014288D" w:rsidR="00455A28">
        <w:t xml:space="preserve">, and at least two projects where </w:t>
      </w:r>
      <w:r w:rsidRPr="00F238A0" w:rsidR="00455A28">
        <w:t>an E</w:t>
      </w:r>
      <w:r w:rsidRPr="00F238A0" w:rsidR="00ED03EE">
        <w:t xml:space="preserve">nvironmental Impact Review </w:t>
      </w:r>
      <w:r w:rsidRPr="00F238A0" w:rsidR="00455A28">
        <w:t>may</w:t>
      </w:r>
      <w:r w:rsidRPr="0014288D" w:rsidR="00455A28">
        <w:t xml:space="preserve"> be issued within 455 days of </w:t>
      </w:r>
      <w:r w:rsidR="00D9173B">
        <w:t>deeming an application complete</w:t>
      </w:r>
      <w:r w:rsidR="00D323C6">
        <w:t>, as follows</w:t>
      </w:r>
      <w:r w:rsidR="00455A28">
        <w:t xml:space="preserve">: </w:t>
      </w:r>
    </w:p>
    <w:p w:rsidR="00455A28" w:rsidP="00D13705" w:rsidRDefault="00455A28" w14:paraId="606F5150" w14:textId="77777777">
      <w:pPr>
        <w:pStyle w:val="Standard"/>
        <w:numPr>
          <w:ilvl w:val="0"/>
          <w:numId w:val="13"/>
        </w:numPr>
        <w:spacing w:after="120" w:line="240" w:lineRule="auto"/>
        <w:ind w:left="1180" w:right="1440" w:hanging="460"/>
      </w:pPr>
      <w:r>
        <w:t xml:space="preserve">be administered by Staff, consistent with the Staff Proposal and using the </w:t>
      </w:r>
      <w:r w:rsidRPr="00A37D4E">
        <w:t xml:space="preserve">lists </w:t>
      </w:r>
      <w:r>
        <w:t xml:space="preserve">of </w:t>
      </w:r>
      <w:r w:rsidRPr="00A37D4E">
        <w:t xml:space="preserve">potential project selection criteria and metrics </w:t>
      </w:r>
      <w:r>
        <w:t xml:space="preserve">to </w:t>
      </w:r>
      <w:r w:rsidRPr="00A37D4E">
        <w:t xml:space="preserve">track and report </w:t>
      </w:r>
      <w:r w:rsidR="00EB1F10">
        <w:t>findings</w:t>
      </w:r>
      <w:r>
        <w:t>,</w:t>
      </w:r>
    </w:p>
    <w:p w:rsidR="00455A28" w:rsidP="00D13705" w:rsidRDefault="00455A28" w14:paraId="298F6014" w14:textId="77777777">
      <w:pPr>
        <w:pStyle w:val="Standard"/>
        <w:numPr>
          <w:ilvl w:val="0"/>
          <w:numId w:val="13"/>
        </w:numPr>
        <w:spacing w:after="120" w:line="240" w:lineRule="auto"/>
        <w:ind w:left="1180" w:right="1440" w:hanging="460"/>
      </w:pPr>
      <w:r w:rsidRPr="0014288D">
        <w:t xml:space="preserve">require the </w:t>
      </w:r>
      <w:r w:rsidRPr="00F238A0">
        <w:t xml:space="preserve">enrollment of at least one project </w:t>
      </w:r>
      <w:r w:rsidR="007A4DB6">
        <w:t>each</w:t>
      </w:r>
      <w:r w:rsidRPr="00F238A0">
        <w:t xml:space="preserve"> filed by P</w:t>
      </w:r>
      <w:r w:rsidRPr="00F238A0" w:rsidR="0009666E">
        <w:t xml:space="preserve">acific Gas </w:t>
      </w:r>
      <w:r w:rsidR="002F7878">
        <w:t>and</w:t>
      </w:r>
      <w:r w:rsidRPr="00F238A0" w:rsidR="0009666E">
        <w:t xml:space="preserve"> Electric Company</w:t>
      </w:r>
      <w:r w:rsidRPr="00F238A0">
        <w:t>, S</w:t>
      </w:r>
      <w:r w:rsidRPr="00F238A0" w:rsidR="0009666E">
        <w:t xml:space="preserve">outhern California Edison </w:t>
      </w:r>
      <w:r w:rsidRPr="00F238A0" w:rsidR="00F35BE5">
        <w:t>Company</w:t>
      </w:r>
      <w:r w:rsidRPr="00F238A0">
        <w:t xml:space="preserve">, and </w:t>
      </w:r>
      <w:r w:rsidRPr="00F238A0" w:rsidR="00F35BE5">
        <w:t>San Diego Gas &amp; Electric Company</w:t>
      </w:r>
      <w:r w:rsidRPr="00F238A0">
        <w:t>,</w:t>
      </w:r>
    </w:p>
    <w:p w:rsidR="00455A28" w:rsidP="00D13705" w:rsidRDefault="00455A28" w14:paraId="7C6595F6" w14:textId="77777777">
      <w:pPr>
        <w:pStyle w:val="Standard"/>
        <w:numPr>
          <w:ilvl w:val="0"/>
          <w:numId w:val="13"/>
        </w:numPr>
        <w:spacing w:after="120" w:line="240" w:lineRule="auto"/>
        <w:ind w:left="1180" w:right="1440" w:hanging="460"/>
      </w:pPr>
      <w:r w:rsidRPr="0014288D">
        <w:t>inclu</w:t>
      </w:r>
      <w:r>
        <w:t xml:space="preserve">de </w:t>
      </w:r>
      <w:r w:rsidRPr="0014288D">
        <w:t xml:space="preserve">a mixture </w:t>
      </w:r>
      <w:r w:rsidR="001C0CAB">
        <w:t xml:space="preserve">of </w:t>
      </w:r>
      <w:r w:rsidRPr="0014288D">
        <w:t>competitively and non-competitively bid projects</w:t>
      </w:r>
      <w:r>
        <w:t>, and</w:t>
      </w:r>
    </w:p>
    <w:p w:rsidRPr="0014288D" w:rsidR="00455A28" w:rsidP="00D13705" w:rsidRDefault="00DE4EC2" w14:paraId="6036EF22" w14:textId="77777777">
      <w:pPr>
        <w:pStyle w:val="Standard"/>
        <w:numPr>
          <w:ilvl w:val="0"/>
          <w:numId w:val="13"/>
        </w:numPr>
        <w:spacing w:after="120" w:line="240" w:lineRule="auto"/>
        <w:ind w:left="1180" w:right="1440" w:hanging="460"/>
      </w:pPr>
      <w:r>
        <w:t xml:space="preserve">direct </w:t>
      </w:r>
      <w:r w:rsidRPr="007D173C" w:rsidR="00455A28">
        <w:t>S</w:t>
      </w:r>
      <w:r w:rsidRPr="007D173C" w:rsidR="003D3BE5">
        <w:t>t</w:t>
      </w:r>
      <w:r w:rsidRPr="007D173C" w:rsidR="00455A28">
        <w:t>aff</w:t>
      </w:r>
      <w:r w:rsidRPr="007D173C" w:rsidR="16E169B8">
        <w:t xml:space="preserve"> </w:t>
      </w:r>
      <w:r w:rsidRPr="007D173C">
        <w:t>to</w:t>
      </w:r>
      <w:r w:rsidR="00455A28">
        <w:t xml:space="preserve"> report on the results of this pilot </w:t>
      </w:r>
      <w:r w:rsidR="008D4DF7">
        <w:t xml:space="preserve">program </w:t>
      </w:r>
      <w:r w:rsidR="00455A28">
        <w:t xml:space="preserve">by compliance filing on </w:t>
      </w:r>
      <w:r w:rsidRPr="001C0CAB" w:rsidR="00D358A3">
        <w:t xml:space="preserve">December 1 </w:t>
      </w:r>
      <w:r w:rsidRPr="001C0CAB" w:rsidR="00455A28">
        <w:t>o</w:t>
      </w:r>
      <w:r w:rsidR="00455A28">
        <w:t xml:space="preserve">f every even year starting with </w:t>
      </w:r>
      <w:r w:rsidRPr="001C0CAB" w:rsidR="00D358A3">
        <w:t xml:space="preserve">December 1 </w:t>
      </w:r>
      <w:r w:rsidRPr="001C0CAB" w:rsidR="00455A28">
        <w:t>o</w:t>
      </w:r>
      <w:r w:rsidR="00455A28">
        <w:t xml:space="preserve">f 2026.  </w:t>
      </w:r>
    </w:p>
    <w:bookmarkEnd w:id="204"/>
    <w:p w:rsidR="00455A28" w:rsidP="00D13705" w:rsidRDefault="00455A28" w14:paraId="3680D36E" w14:textId="77777777">
      <w:pPr>
        <w:pStyle w:val="OP"/>
        <w:ind w:left="0" w:firstLine="360"/>
      </w:pPr>
      <w:r>
        <w:t xml:space="preserve">All proposals and </w:t>
      </w:r>
      <w:r w:rsidR="003A23D5">
        <w:t xml:space="preserve">proposed </w:t>
      </w:r>
      <w:r>
        <w:t>revisions to G</w:t>
      </w:r>
      <w:r w:rsidR="002F7878">
        <w:t xml:space="preserve">eneral </w:t>
      </w:r>
      <w:r>
        <w:t>O</w:t>
      </w:r>
      <w:r w:rsidR="002F7878">
        <w:t xml:space="preserve">rder </w:t>
      </w:r>
      <w:r w:rsidR="007178E5">
        <w:t>131-</w:t>
      </w:r>
      <w:r>
        <w:t xml:space="preserve">D not expressly adopted and otherwise reflected in the attached </w:t>
      </w:r>
      <w:r w:rsidR="003B5D07">
        <w:t>G</w:t>
      </w:r>
      <w:r w:rsidR="00850081">
        <w:t xml:space="preserve">eneral </w:t>
      </w:r>
      <w:r w:rsidR="003B5D07">
        <w:t>O</w:t>
      </w:r>
      <w:r w:rsidR="00850081">
        <w:t>rder</w:t>
      </w:r>
      <w:r w:rsidR="003B5D07">
        <w:t> </w:t>
      </w:r>
      <w:r w:rsidR="007178E5">
        <w:t>131-</w:t>
      </w:r>
      <w:r>
        <w:t>E</w:t>
      </w:r>
      <w:r w:rsidR="00850081">
        <w:t>, Attachment B to this decision,</w:t>
      </w:r>
      <w:r>
        <w:t xml:space="preserve"> are rejected.</w:t>
      </w:r>
    </w:p>
    <w:p w:rsidR="00D358A3" w:rsidP="00D13705" w:rsidRDefault="00455A28" w14:paraId="073BE1E8" w14:textId="77777777">
      <w:pPr>
        <w:pStyle w:val="OP"/>
        <w:ind w:left="0" w:firstLine="360"/>
      </w:pPr>
      <w:r>
        <w:t>All rulings issued by the assigned Commissioner and A</w:t>
      </w:r>
      <w:r w:rsidR="002F7878">
        <w:t xml:space="preserve">dministrative </w:t>
      </w:r>
      <w:r>
        <w:t>L</w:t>
      </w:r>
      <w:r w:rsidR="002F7878">
        <w:t xml:space="preserve">aw </w:t>
      </w:r>
      <w:r>
        <w:t>J</w:t>
      </w:r>
      <w:r w:rsidR="002F7878">
        <w:t>udges</w:t>
      </w:r>
      <w:r>
        <w:t xml:space="preserve"> are affirmed.</w:t>
      </w:r>
    </w:p>
    <w:p w:rsidR="00455A28" w:rsidP="00D13705" w:rsidRDefault="00455A28" w14:paraId="1F562493" w14:textId="77777777">
      <w:pPr>
        <w:pStyle w:val="OP"/>
        <w:ind w:left="0" w:firstLine="360"/>
      </w:pPr>
      <w:r>
        <w:t xml:space="preserve">All pending motions, not expressly ruled on to </w:t>
      </w:r>
      <w:r w:rsidDel="00DF40A6">
        <w:t>date</w:t>
      </w:r>
      <w:r w:rsidR="00DF40A6">
        <w:t>,</w:t>
      </w:r>
      <w:r>
        <w:t xml:space="preserve"> are denied.</w:t>
      </w:r>
    </w:p>
    <w:p w:rsidR="00A656E0" w:rsidP="00D13705" w:rsidRDefault="0085289D" w14:paraId="46C5E415" w14:textId="77777777">
      <w:pPr>
        <w:pStyle w:val="OP"/>
        <w:keepNext/>
        <w:ind w:left="0" w:firstLine="360"/>
      </w:pPr>
      <w:bookmarkStart w:name="_Hlk177735084" w:id="205"/>
      <w:r>
        <w:lastRenderedPageBreak/>
        <w:t>Rulemaking</w:t>
      </w:r>
      <w:r w:rsidR="002F7878">
        <w:t> </w:t>
      </w:r>
      <w:r>
        <w:t>23-0</w:t>
      </w:r>
      <w:r w:rsidR="007D0169">
        <w:t>5</w:t>
      </w:r>
      <w:r>
        <w:t>-</w:t>
      </w:r>
      <w:r w:rsidR="005019E2">
        <w:t>018</w:t>
      </w:r>
      <w:r w:rsidR="00DE1F33">
        <w:t xml:space="preserve"> is closed.</w:t>
      </w:r>
    </w:p>
    <w:bookmarkEnd w:id="205"/>
    <w:p w:rsidR="008F0116" w:rsidP="00D13705" w:rsidRDefault="008F0116" w14:paraId="30CBDAD0" w14:textId="77777777">
      <w:pPr>
        <w:pStyle w:val="Standard"/>
        <w:keepNext/>
      </w:pPr>
      <w:r>
        <w:t>This order is effective today.</w:t>
      </w:r>
    </w:p>
    <w:p w:rsidR="00D36AAC" w:rsidP="00D13705" w:rsidRDefault="008F0116" w14:paraId="17962798" w14:textId="770EEA51">
      <w:pPr>
        <w:pStyle w:val="Standard"/>
        <w:keepNext/>
      </w:pPr>
      <w:r>
        <w:t xml:space="preserve">Dated </w:t>
      </w:r>
      <w:r w:rsidR="00D13705">
        <w:t>January 30, 2025</w:t>
      </w:r>
      <w:r>
        <w:t>, at Sa</w:t>
      </w:r>
      <w:r w:rsidR="002F7878">
        <w:t>cramento</w:t>
      </w:r>
      <w:r>
        <w:t>, California</w:t>
      </w:r>
      <w:r w:rsidR="00D13705">
        <w:t>.</w:t>
      </w:r>
    </w:p>
    <w:p w:rsidR="002F7878" w:rsidP="00D13705" w:rsidRDefault="002F7878" w14:paraId="7679B760" w14:textId="77777777">
      <w:pPr>
        <w:keepNext/>
      </w:pPr>
    </w:p>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A55C7D" w:rsidR="00D13705" w:rsidTr="00F34487" w14:paraId="787A6991" w14:textId="77777777">
        <w:tc>
          <w:tcPr>
            <w:tcW w:w="4675" w:type="dxa"/>
          </w:tcPr>
          <w:p w:rsidRPr="00A55C7D" w:rsidR="00D13705" w:rsidP="00D13705" w:rsidRDefault="00D13705" w14:paraId="4797C53E" w14:textId="77777777">
            <w:pPr>
              <w:keepNext/>
              <w:spacing w:line="240" w:lineRule="auto"/>
              <w:ind w:firstLine="0"/>
              <w:rPr>
                <w:szCs w:val="26"/>
              </w:rPr>
            </w:pPr>
          </w:p>
        </w:tc>
        <w:tc>
          <w:tcPr>
            <w:tcW w:w="4675" w:type="dxa"/>
          </w:tcPr>
          <w:p w:rsidRPr="00A55C7D" w:rsidR="00D13705" w:rsidP="00D13705" w:rsidRDefault="00D13705" w14:paraId="2476B13E" w14:textId="77777777">
            <w:pPr>
              <w:keepNext/>
              <w:spacing w:line="240" w:lineRule="auto"/>
              <w:ind w:left="345" w:firstLine="0"/>
              <w:rPr>
                <w:szCs w:val="26"/>
              </w:rPr>
            </w:pPr>
            <w:r w:rsidRPr="00A55C7D">
              <w:rPr>
                <w:szCs w:val="26"/>
              </w:rPr>
              <w:t>ALICE REYNOLDS</w:t>
            </w:r>
          </w:p>
        </w:tc>
      </w:tr>
      <w:tr w:rsidRPr="00A55C7D" w:rsidR="00D13705" w:rsidTr="00F34487" w14:paraId="4DCE4512" w14:textId="77777777">
        <w:tc>
          <w:tcPr>
            <w:tcW w:w="4675" w:type="dxa"/>
          </w:tcPr>
          <w:p w:rsidRPr="00A55C7D" w:rsidR="00D13705" w:rsidP="00D13705" w:rsidRDefault="00D13705" w14:paraId="0B30DBE9" w14:textId="77777777">
            <w:pPr>
              <w:keepNext/>
              <w:spacing w:line="240" w:lineRule="auto"/>
              <w:ind w:firstLine="0"/>
              <w:rPr>
                <w:szCs w:val="26"/>
              </w:rPr>
            </w:pPr>
          </w:p>
        </w:tc>
        <w:tc>
          <w:tcPr>
            <w:tcW w:w="4675" w:type="dxa"/>
          </w:tcPr>
          <w:p w:rsidRPr="00A55C7D" w:rsidR="00D13705" w:rsidP="00D13705" w:rsidRDefault="00D13705" w14:paraId="6C713369" w14:textId="77777777">
            <w:pPr>
              <w:keepNext/>
              <w:spacing w:line="240" w:lineRule="auto"/>
              <w:ind w:left="345" w:firstLine="1440"/>
              <w:rPr>
                <w:szCs w:val="26"/>
              </w:rPr>
            </w:pPr>
            <w:r w:rsidRPr="00A55C7D">
              <w:rPr>
                <w:szCs w:val="26"/>
              </w:rPr>
              <w:t>President</w:t>
            </w:r>
          </w:p>
        </w:tc>
      </w:tr>
      <w:tr w:rsidRPr="00A55C7D" w:rsidR="00D13705" w:rsidTr="00F34487" w14:paraId="56951CEF" w14:textId="77777777">
        <w:tc>
          <w:tcPr>
            <w:tcW w:w="4675" w:type="dxa"/>
          </w:tcPr>
          <w:p w:rsidRPr="00A55C7D" w:rsidR="00D13705" w:rsidP="00D13705" w:rsidRDefault="00D13705" w14:paraId="7D3C9C2D" w14:textId="77777777">
            <w:pPr>
              <w:keepNext/>
              <w:spacing w:line="240" w:lineRule="auto"/>
              <w:ind w:firstLine="0"/>
              <w:rPr>
                <w:szCs w:val="26"/>
              </w:rPr>
            </w:pPr>
          </w:p>
        </w:tc>
        <w:tc>
          <w:tcPr>
            <w:tcW w:w="4675" w:type="dxa"/>
          </w:tcPr>
          <w:p w:rsidRPr="00A55C7D" w:rsidR="00D13705" w:rsidP="00D13705" w:rsidRDefault="00D13705" w14:paraId="194065FB" w14:textId="77777777">
            <w:pPr>
              <w:keepNext/>
              <w:spacing w:line="240" w:lineRule="auto"/>
              <w:ind w:left="345" w:firstLine="0"/>
              <w:rPr>
                <w:szCs w:val="26"/>
              </w:rPr>
            </w:pPr>
            <w:r w:rsidRPr="00A55C7D">
              <w:rPr>
                <w:szCs w:val="26"/>
              </w:rPr>
              <w:t>DARCIE L. HOUCK</w:t>
            </w:r>
          </w:p>
        </w:tc>
      </w:tr>
      <w:tr w:rsidRPr="00A55C7D" w:rsidR="00D13705" w:rsidTr="00F34487" w14:paraId="6B2F55B5" w14:textId="77777777">
        <w:tc>
          <w:tcPr>
            <w:tcW w:w="4675" w:type="dxa"/>
          </w:tcPr>
          <w:p w:rsidRPr="00A55C7D" w:rsidR="00D13705" w:rsidP="00D13705" w:rsidRDefault="00D13705" w14:paraId="3183D2FE" w14:textId="77777777">
            <w:pPr>
              <w:keepNext/>
              <w:spacing w:line="240" w:lineRule="auto"/>
              <w:ind w:firstLine="0"/>
              <w:rPr>
                <w:szCs w:val="26"/>
              </w:rPr>
            </w:pPr>
          </w:p>
        </w:tc>
        <w:tc>
          <w:tcPr>
            <w:tcW w:w="4675" w:type="dxa"/>
          </w:tcPr>
          <w:p w:rsidRPr="00A55C7D" w:rsidR="00D13705" w:rsidP="00D13705" w:rsidRDefault="00D13705" w14:paraId="29422FC5" w14:textId="77777777">
            <w:pPr>
              <w:keepNext/>
              <w:spacing w:line="240" w:lineRule="auto"/>
              <w:ind w:left="345" w:firstLine="0"/>
              <w:rPr>
                <w:szCs w:val="26"/>
              </w:rPr>
            </w:pPr>
            <w:r w:rsidRPr="00A55C7D">
              <w:rPr>
                <w:szCs w:val="26"/>
              </w:rPr>
              <w:t>JOHN REYNOLDS</w:t>
            </w:r>
          </w:p>
        </w:tc>
      </w:tr>
      <w:tr w:rsidRPr="00A55C7D" w:rsidR="00D13705" w:rsidTr="00F34487" w14:paraId="3C0A99D8" w14:textId="77777777">
        <w:tc>
          <w:tcPr>
            <w:tcW w:w="4675" w:type="dxa"/>
          </w:tcPr>
          <w:p w:rsidRPr="00A55C7D" w:rsidR="00D13705" w:rsidP="00D13705" w:rsidRDefault="00D13705" w14:paraId="11F7E2FD" w14:textId="77777777">
            <w:pPr>
              <w:keepNext/>
              <w:spacing w:line="240" w:lineRule="auto"/>
              <w:ind w:firstLine="0"/>
              <w:rPr>
                <w:szCs w:val="26"/>
              </w:rPr>
            </w:pPr>
          </w:p>
        </w:tc>
        <w:tc>
          <w:tcPr>
            <w:tcW w:w="4675" w:type="dxa"/>
          </w:tcPr>
          <w:p w:rsidRPr="00A55C7D" w:rsidR="00D13705" w:rsidP="00D13705" w:rsidRDefault="00D13705" w14:paraId="6DCBBC7B" w14:textId="77777777">
            <w:pPr>
              <w:keepNext/>
              <w:spacing w:line="240" w:lineRule="auto"/>
              <w:ind w:left="345" w:firstLine="0"/>
              <w:rPr>
                <w:szCs w:val="26"/>
              </w:rPr>
            </w:pPr>
            <w:r w:rsidRPr="00A55C7D">
              <w:rPr>
                <w:szCs w:val="26"/>
              </w:rPr>
              <w:t>KAREN DOUGLAS</w:t>
            </w:r>
          </w:p>
        </w:tc>
      </w:tr>
      <w:tr w:rsidRPr="00A55C7D" w:rsidR="00D13705" w:rsidTr="00F34487" w14:paraId="3F93E48C" w14:textId="77777777">
        <w:tc>
          <w:tcPr>
            <w:tcW w:w="4675" w:type="dxa"/>
          </w:tcPr>
          <w:p w:rsidRPr="00A55C7D" w:rsidR="00D13705" w:rsidP="00D13705" w:rsidRDefault="00D13705" w14:paraId="7DBCC151" w14:textId="77777777">
            <w:pPr>
              <w:keepNext/>
              <w:spacing w:line="240" w:lineRule="auto"/>
              <w:ind w:firstLine="0"/>
              <w:rPr>
                <w:szCs w:val="26"/>
              </w:rPr>
            </w:pPr>
          </w:p>
        </w:tc>
        <w:tc>
          <w:tcPr>
            <w:tcW w:w="4675" w:type="dxa"/>
          </w:tcPr>
          <w:p w:rsidRPr="00A55C7D" w:rsidR="00D13705" w:rsidP="00D13705" w:rsidRDefault="00D13705" w14:paraId="4D513610" w14:textId="77777777">
            <w:pPr>
              <w:keepNext/>
              <w:spacing w:line="240" w:lineRule="auto"/>
              <w:ind w:left="345" w:firstLine="810"/>
              <w:rPr>
                <w:szCs w:val="26"/>
              </w:rPr>
            </w:pPr>
            <w:r w:rsidRPr="00A55C7D">
              <w:rPr>
                <w:szCs w:val="26"/>
              </w:rPr>
              <w:t>Commissioners</w:t>
            </w:r>
          </w:p>
        </w:tc>
      </w:tr>
      <w:tr w:rsidRPr="00A55C7D" w:rsidR="00D13705" w:rsidTr="00F34487" w14:paraId="4D4CDA84" w14:textId="77777777">
        <w:tc>
          <w:tcPr>
            <w:tcW w:w="4675" w:type="dxa"/>
          </w:tcPr>
          <w:p w:rsidRPr="00A55C7D" w:rsidR="00D13705" w:rsidP="00D13705" w:rsidRDefault="00D13705" w14:paraId="27B39572" w14:textId="77777777">
            <w:pPr>
              <w:keepNext/>
              <w:spacing w:line="240" w:lineRule="auto"/>
              <w:ind w:firstLine="0"/>
              <w:rPr>
                <w:szCs w:val="26"/>
              </w:rPr>
            </w:pPr>
          </w:p>
        </w:tc>
        <w:tc>
          <w:tcPr>
            <w:tcW w:w="4675" w:type="dxa"/>
          </w:tcPr>
          <w:p w:rsidRPr="00A55C7D" w:rsidR="00D13705" w:rsidP="00D13705" w:rsidRDefault="00D13705" w14:paraId="2F78EDF0" w14:textId="77777777">
            <w:pPr>
              <w:keepNext/>
              <w:spacing w:line="240" w:lineRule="auto"/>
              <w:ind w:firstLine="885"/>
              <w:rPr>
                <w:szCs w:val="26"/>
              </w:rPr>
            </w:pPr>
          </w:p>
        </w:tc>
      </w:tr>
      <w:tr w:rsidRPr="00A55C7D" w:rsidR="00D13705" w:rsidTr="00F34487" w14:paraId="367FA7DA" w14:textId="77777777">
        <w:tc>
          <w:tcPr>
            <w:tcW w:w="4675" w:type="dxa"/>
          </w:tcPr>
          <w:p w:rsidRPr="00A55C7D" w:rsidR="00D13705" w:rsidP="00D13705" w:rsidRDefault="00D13705" w14:paraId="1867DAFD" w14:textId="77777777">
            <w:pPr>
              <w:keepNext/>
              <w:spacing w:line="240" w:lineRule="auto"/>
              <w:ind w:firstLine="0"/>
              <w:rPr>
                <w:szCs w:val="26"/>
              </w:rPr>
            </w:pPr>
          </w:p>
        </w:tc>
        <w:tc>
          <w:tcPr>
            <w:tcW w:w="4675" w:type="dxa"/>
          </w:tcPr>
          <w:p w:rsidRPr="00A55C7D" w:rsidR="00D13705" w:rsidP="00D13705" w:rsidRDefault="00D13705" w14:paraId="6348D800" w14:textId="77777777">
            <w:pPr>
              <w:keepNext/>
              <w:spacing w:line="240" w:lineRule="auto"/>
              <w:ind w:firstLine="0"/>
              <w:rPr>
                <w:color w:val="000000"/>
                <w:szCs w:val="26"/>
              </w:rPr>
            </w:pPr>
            <w:r w:rsidRPr="00A55C7D">
              <w:rPr>
                <w:color w:val="000000"/>
                <w:szCs w:val="26"/>
              </w:rPr>
              <w:t>Commissioner Matthew Baker recused himself from this agenda item and was not part of the quorum in its</w:t>
            </w:r>
          </w:p>
          <w:p w:rsidR="00D13705" w:rsidP="00D13705" w:rsidRDefault="00D13705" w14:paraId="3B485F45" w14:textId="77777777">
            <w:pPr>
              <w:keepNext/>
              <w:spacing w:line="240" w:lineRule="auto"/>
              <w:ind w:firstLine="0"/>
              <w:rPr>
                <w:color w:val="000000"/>
                <w:szCs w:val="26"/>
              </w:rPr>
            </w:pPr>
            <w:r w:rsidRPr="00A55C7D">
              <w:rPr>
                <w:color w:val="000000"/>
                <w:szCs w:val="26"/>
              </w:rPr>
              <w:t>consideration.</w:t>
            </w:r>
          </w:p>
          <w:p w:rsidRPr="00A55C7D" w:rsidR="00D13705" w:rsidP="00D13705" w:rsidRDefault="00D13705" w14:paraId="3E9A0A08" w14:textId="5DE75EBB">
            <w:pPr>
              <w:keepNext/>
              <w:spacing w:line="240" w:lineRule="auto"/>
              <w:ind w:firstLine="0"/>
              <w:rPr>
                <w:szCs w:val="26"/>
              </w:rPr>
            </w:pPr>
          </w:p>
        </w:tc>
      </w:tr>
    </w:tbl>
    <w:p w:rsidR="002F7878" w:rsidP="00D13705" w:rsidRDefault="002F7878" w14:paraId="6D63ADFA" w14:textId="77777777">
      <w:pPr>
        <w:keepNext/>
      </w:pPr>
    </w:p>
    <w:p w:rsidR="002F7878" w:rsidP="002F7878" w:rsidRDefault="002F7878" w14:paraId="241637AC" w14:textId="77777777">
      <w:pPr>
        <w:keepNext/>
        <w:sectPr w:rsidR="002F7878" w:rsidSect="004F5101">
          <w:headerReference w:type="even" r:id="rId17"/>
          <w:footerReference w:type="default" r:id="rId18"/>
          <w:headerReference w:type="first" r:id="rId19"/>
          <w:footerReference w:type="first" r:id="rId20"/>
          <w:pgSz w:w="12240" w:h="15840"/>
          <w:pgMar w:top="1728" w:right="1440" w:bottom="1440" w:left="1440" w:header="720" w:footer="720" w:gutter="0"/>
          <w:pgNumType w:start="2"/>
          <w:cols w:space="720"/>
          <w:docGrid w:linePitch="360"/>
        </w:sectPr>
      </w:pPr>
    </w:p>
    <w:p w:rsidRPr="00D36AAC" w:rsidR="00714CF2" w:rsidP="002F7878" w:rsidRDefault="00714CF2" w14:paraId="03629209" w14:textId="77777777">
      <w:pPr>
        <w:ind w:firstLine="0"/>
        <w:jc w:val="center"/>
        <w:rPr>
          <w:b/>
          <w:bCs/>
        </w:rPr>
      </w:pPr>
    </w:p>
    <w:p w:rsidRPr="00D36AAC" w:rsidR="00D36AAC" w:rsidP="002F7878" w:rsidRDefault="00D36AAC" w14:paraId="778920DC" w14:textId="77777777">
      <w:pPr>
        <w:ind w:firstLine="0"/>
        <w:jc w:val="center"/>
        <w:rPr>
          <w:b/>
          <w:bCs/>
        </w:rPr>
      </w:pPr>
    </w:p>
    <w:p w:rsidR="00D36AAC" w:rsidP="002F7878" w:rsidRDefault="00D36AAC" w14:paraId="62BE7D99" w14:textId="77777777">
      <w:pPr>
        <w:ind w:firstLine="0"/>
        <w:jc w:val="center"/>
        <w:rPr>
          <w:b/>
          <w:bCs/>
        </w:rPr>
      </w:pPr>
      <w:r w:rsidRPr="00D36AAC">
        <w:rPr>
          <w:b/>
          <w:bCs/>
        </w:rPr>
        <w:t>ATTACHMENT A</w:t>
      </w:r>
    </w:p>
    <w:p w:rsidR="002F7878" w:rsidP="002F7878" w:rsidRDefault="002F7878" w14:paraId="40E54327" w14:textId="77777777">
      <w:pPr>
        <w:ind w:firstLine="0"/>
        <w:jc w:val="center"/>
        <w:rPr>
          <w:b/>
          <w:bCs/>
        </w:rPr>
      </w:pPr>
    </w:p>
    <w:p w:rsidR="002F7878" w:rsidP="002F7878" w:rsidRDefault="002F7878" w14:paraId="364E1093" w14:textId="77777777">
      <w:pPr>
        <w:ind w:firstLine="0"/>
        <w:jc w:val="center"/>
        <w:rPr>
          <w:b/>
          <w:bCs/>
        </w:rPr>
        <w:sectPr w:rsidR="002F7878" w:rsidSect="004F5101">
          <w:footerReference w:type="default" r:id="rId21"/>
          <w:pgSz w:w="12240" w:h="15840"/>
          <w:pgMar w:top="1728" w:right="1440" w:bottom="1440" w:left="1440" w:header="720" w:footer="720" w:gutter="0"/>
          <w:pgNumType w:start="2"/>
          <w:cols w:space="720"/>
          <w:docGrid w:linePitch="360"/>
        </w:sectPr>
      </w:pPr>
    </w:p>
    <w:p w:rsidR="00D36AAC" w:rsidP="00D36AAC" w:rsidRDefault="00D36AAC" w14:paraId="6BDEB656" w14:textId="77777777">
      <w:pPr>
        <w:ind w:firstLine="0"/>
        <w:jc w:val="center"/>
        <w:rPr>
          <w:b/>
          <w:bCs/>
        </w:rPr>
      </w:pPr>
    </w:p>
    <w:p w:rsidR="00D36AAC" w:rsidP="00D36AAC" w:rsidRDefault="00D36AAC" w14:paraId="5A05E066" w14:textId="77777777">
      <w:pPr>
        <w:ind w:firstLine="0"/>
        <w:jc w:val="center"/>
        <w:rPr>
          <w:b/>
          <w:bCs/>
        </w:rPr>
      </w:pPr>
    </w:p>
    <w:p w:rsidRPr="00D36AAC" w:rsidR="00D36AAC" w:rsidP="00D36AAC" w:rsidRDefault="00D36AAC" w14:paraId="2E7E9D45" w14:textId="77777777">
      <w:pPr>
        <w:ind w:firstLine="0"/>
        <w:jc w:val="center"/>
        <w:rPr>
          <w:b/>
          <w:bCs/>
        </w:rPr>
      </w:pPr>
      <w:r w:rsidRPr="00D36AAC">
        <w:rPr>
          <w:b/>
          <w:bCs/>
        </w:rPr>
        <w:t xml:space="preserve">ATTACHMENT </w:t>
      </w:r>
      <w:r>
        <w:rPr>
          <w:b/>
          <w:bCs/>
        </w:rPr>
        <w:t>B</w:t>
      </w:r>
    </w:p>
    <w:p w:rsidRPr="00D36AAC" w:rsidR="00D36AAC" w:rsidP="00D36AAC" w:rsidRDefault="00D36AAC" w14:paraId="4A642F57" w14:textId="77777777">
      <w:pPr>
        <w:ind w:firstLine="0"/>
        <w:jc w:val="center"/>
        <w:rPr>
          <w:b/>
          <w:bCs/>
        </w:rPr>
      </w:pPr>
    </w:p>
    <w:p w:rsidR="00096482" w:rsidRDefault="00096482" w14:paraId="0078FD31" w14:textId="77777777"/>
    <w:sectPr w:rsidR="00096482" w:rsidSect="004F5101">
      <w:pgSz w:w="12240" w:h="15840"/>
      <w:pgMar w:top="1728" w:right="1440" w:bottom="1440" w:left="1440" w:header="720" w:footer="720" w:gutter="0"/>
      <w:pgNumType w:start="2"/>
      <w:cols w:space="720"/>
      <w:docGrid w:linePitch="360"/>
    </w:sectPr>
    <w:p>
      <w:r>
        <w:t xml:space="preserve"/>
      </w:r>
    </w:p>
    <w:p>
      <w:r>
        <w:t xml:space="preserve">Attachment 1: </w:t>
      </w:r>
    </w:p>
    <w:p>
      <w:hyperlink w:history="true" r:id="Rbcb5c21173fe4774">
        <w:r w:rsidRPr="00CB1292">
          <w:rPr>
            <w:rStyle w:val="Hyperlink"/>
            <w:color w:val="2E74B5" w:themeColor="accent1" w:themeShade="BF"/>
            <w:u w:val="single"/>
          </w:rPr>
          <w:t>D2501055 Attachment A GO 131-D Redline</w:t>
        </w:r>
      </w:hyperlink>
    </w:p>
    <w:p>
      <w:r>
        <w:t xml:space="preserve"/>
      </w:r>
    </w:p>
    <w:p>
      <w:r>
        <w:t xml:space="preserve">Attachment 2: </w:t>
      </w:r>
    </w:p>
    <w:p>
      <w:hyperlink w:history="true" r:id="Rad1aa28a26ce4fab">
        <w:r w:rsidRPr="00CB1292">
          <w:rPr>
            <w:rStyle w:val="Hyperlink"/>
            <w:color w:val="2E74B5" w:themeColor="accent1" w:themeShade="BF"/>
            <w:u w:val="single"/>
          </w:rPr>
          <w:t>D2501055 Attachment B General Order 131-E</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498E1" w14:textId="77777777" w:rsidR="00E55872" w:rsidRDefault="00E55872" w:rsidP="0098138E">
      <w:pPr>
        <w:spacing w:line="240" w:lineRule="auto"/>
      </w:pPr>
      <w:r>
        <w:separator/>
      </w:r>
    </w:p>
  </w:endnote>
  <w:endnote w:type="continuationSeparator" w:id="0">
    <w:p w14:paraId="0E3165CF" w14:textId="77777777" w:rsidR="00E55872" w:rsidRDefault="00E55872" w:rsidP="0098138E">
      <w:pPr>
        <w:spacing w:line="240" w:lineRule="auto"/>
      </w:pPr>
      <w:r>
        <w:continuationSeparator/>
      </w:r>
    </w:p>
  </w:endnote>
  <w:endnote w:type="continuationNotice" w:id="1">
    <w:p w14:paraId="6CFCF72D" w14:textId="77777777" w:rsidR="00E55872" w:rsidRDefault="00E558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F6D3B" w14:textId="77777777" w:rsidR="004F5101" w:rsidRPr="004F5101" w:rsidRDefault="004F5101" w:rsidP="004F5101">
    <w:pPr>
      <w:spacing w:line="240" w:lineRule="auto"/>
      <w:ind w:firstLine="0"/>
      <w:jc w:val="center"/>
    </w:pPr>
    <w:r>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i</w:t>
        </w:r>
        <w:r>
          <w:rPr>
            <w:noProof/>
          </w:rPr>
          <w:fldChar w:fldCharType="end"/>
        </w:r>
        <w:r>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82E4" w14:textId="1ABA2945" w:rsidR="004F5101" w:rsidRDefault="00D13705" w:rsidP="004F5101">
    <w:pPr>
      <w:tabs>
        <w:tab w:val="center" w:pos="4680"/>
      </w:tabs>
      <w:spacing w:line="240" w:lineRule="auto"/>
      <w:ind w:firstLine="0"/>
      <w:rPr>
        <w:noProof/>
      </w:rPr>
    </w:pPr>
    <w:r w:rsidRPr="00D13705">
      <w:rPr>
        <w:sz w:val="16"/>
        <w:szCs w:val="16"/>
      </w:rPr>
      <w:t>556483080</w:t>
    </w:r>
    <w:sdt>
      <w:sdtPr>
        <w:id w:val="-1352874971"/>
        <w:docPartObj>
          <w:docPartGallery w:val="Page Numbers (Bottom of Page)"/>
          <w:docPartUnique/>
        </w:docPartObj>
      </w:sdtPr>
      <w:sdtEndPr>
        <w:rPr>
          <w:noProof/>
        </w:rPr>
      </w:sdtEndPr>
      <w:sdtContent>
        <w:r w:rsidR="004F5101">
          <w:rPr>
            <w:rFonts w:ascii="Arial" w:hAnsi="Arial" w:cs="Arial"/>
            <w:sz w:val="16"/>
            <w:szCs w:val="16"/>
          </w:rPr>
          <w:tab/>
        </w:r>
        <w:r w:rsidR="004F5101">
          <w:t xml:space="preserve">- </w:t>
        </w:r>
        <w:r w:rsidR="004F5101">
          <w:fldChar w:fldCharType="begin"/>
        </w:r>
        <w:r w:rsidR="004F5101">
          <w:instrText xml:space="preserve"> PAGE   \* MERGEFORMAT </w:instrText>
        </w:r>
        <w:r w:rsidR="004F5101">
          <w:fldChar w:fldCharType="separate"/>
        </w:r>
        <w:r w:rsidR="004F5101">
          <w:t>1</w:t>
        </w:r>
        <w:r w:rsidR="004F5101">
          <w:rPr>
            <w:noProof/>
          </w:rPr>
          <w:fldChar w:fldCharType="end"/>
        </w:r>
      </w:sdtContent>
    </w:sdt>
    <w:r w:rsidR="004F5101">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60B3" w14:textId="77777777" w:rsidR="004F5101" w:rsidRDefault="001A4CC9" w:rsidP="004F5101">
    <w:pPr>
      <w:tabs>
        <w:tab w:val="center" w:pos="4680"/>
      </w:tabs>
      <w:spacing w:line="240" w:lineRule="auto"/>
      <w:ind w:firstLine="0"/>
      <w:jc w:val="center"/>
      <w:rPr>
        <w:noProof/>
      </w:rPr>
    </w:pPr>
    <w:sdt>
      <w:sdtPr>
        <w:id w:val="471333345"/>
        <w:docPartObj>
          <w:docPartGallery w:val="Page Numbers (Bottom of Page)"/>
          <w:docPartUnique/>
        </w:docPartObj>
      </w:sdtPr>
      <w:sdtEndPr>
        <w:rPr>
          <w:noProof/>
        </w:rPr>
      </w:sdtEndPr>
      <w:sdtContent>
        <w:r w:rsidR="004F5101">
          <w:t xml:space="preserve">- </w:t>
        </w:r>
        <w:r w:rsidR="004F5101">
          <w:fldChar w:fldCharType="begin"/>
        </w:r>
        <w:r w:rsidR="004F5101">
          <w:instrText xml:space="preserve"> PAGE   \* MERGEFORMAT </w:instrText>
        </w:r>
        <w:r w:rsidR="004F5101">
          <w:fldChar w:fldCharType="separate"/>
        </w:r>
        <w:r w:rsidR="004F5101">
          <w:t>1</w:t>
        </w:r>
        <w:r w:rsidR="004F5101">
          <w:rPr>
            <w:noProof/>
          </w:rPr>
          <w:fldChar w:fldCharType="end"/>
        </w:r>
      </w:sdtContent>
    </w:sdt>
    <w:r w:rsidR="004F5101">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E8BB" w14:textId="77777777" w:rsidR="00E23CBB" w:rsidRDefault="00E23CBB" w:rsidP="004F5101">
    <w:pPr>
      <w:spacing w:line="240" w:lineRule="auto"/>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78CEF7" w14:paraId="2AA35904" w14:textId="77777777" w:rsidTr="0076248D">
      <w:trPr>
        <w:trHeight w:val="300"/>
      </w:trPr>
      <w:tc>
        <w:tcPr>
          <w:tcW w:w="3120" w:type="dxa"/>
        </w:tcPr>
        <w:p w14:paraId="4B663FB3" w14:textId="77777777" w:rsidR="6B78CEF7" w:rsidRDefault="6B78CEF7" w:rsidP="0076248D">
          <w:pPr>
            <w:pStyle w:val="Header"/>
            <w:ind w:left="-115"/>
          </w:pPr>
        </w:p>
      </w:tc>
      <w:tc>
        <w:tcPr>
          <w:tcW w:w="3120" w:type="dxa"/>
        </w:tcPr>
        <w:p w14:paraId="2CA69BA2" w14:textId="77777777" w:rsidR="6B78CEF7" w:rsidRDefault="6B78CEF7" w:rsidP="0076248D">
          <w:pPr>
            <w:pStyle w:val="Header"/>
            <w:jc w:val="center"/>
          </w:pPr>
        </w:p>
      </w:tc>
      <w:tc>
        <w:tcPr>
          <w:tcW w:w="3120" w:type="dxa"/>
        </w:tcPr>
        <w:p w14:paraId="0EAD5505" w14:textId="77777777" w:rsidR="6B78CEF7" w:rsidRDefault="6B78CEF7" w:rsidP="0076248D">
          <w:pPr>
            <w:pStyle w:val="Header"/>
            <w:ind w:right="-115"/>
            <w:jc w:val="right"/>
          </w:pPr>
        </w:p>
      </w:tc>
    </w:tr>
  </w:tbl>
  <w:p w14:paraId="579AAAC5" w14:textId="77777777" w:rsidR="6B78CEF7" w:rsidRDefault="6B78CEF7" w:rsidP="007624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35D8" w14:textId="77777777" w:rsidR="00D36AAC" w:rsidRDefault="00D36AAC" w:rsidP="004F5101">
    <w:pPr>
      <w:spacing w:line="240" w:lineRule="auto"/>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CC553" w14:textId="77777777" w:rsidR="00E55872" w:rsidRDefault="00E55872" w:rsidP="00DF58E7">
      <w:pPr>
        <w:spacing w:line="240" w:lineRule="auto"/>
        <w:ind w:firstLine="0"/>
      </w:pPr>
      <w:r>
        <w:separator/>
      </w:r>
    </w:p>
  </w:footnote>
  <w:footnote w:type="continuationSeparator" w:id="0">
    <w:p w14:paraId="6D945865" w14:textId="77777777" w:rsidR="00E55872" w:rsidRDefault="00E55872" w:rsidP="00DF58E7">
      <w:pPr>
        <w:spacing w:line="240" w:lineRule="auto"/>
        <w:ind w:firstLine="0"/>
      </w:pPr>
      <w:r>
        <w:continuationSeparator/>
      </w:r>
    </w:p>
  </w:footnote>
  <w:footnote w:type="continuationNotice" w:id="1">
    <w:p w14:paraId="5882ADE6" w14:textId="77777777" w:rsidR="00E55872" w:rsidRPr="00DF58E7" w:rsidRDefault="00E55872" w:rsidP="00DF58E7">
      <w:pPr>
        <w:spacing w:line="240" w:lineRule="auto"/>
        <w:ind w:firstLine="0"/>
        <w:jc w:val="right"/>
        <w:rPr>
          <w:i/>
          <w:sz w:val="22"/>
        </w:rPr>
      </w:pPr>
      <w:r w:rsidRPr="00DF58E7">
        <w:rPr>
          <w:i/>
          <w:sz w:val="22"/>
        </w:rPr>
        <w:t>Footnote continued on next page.</w:t>
      </w:r>
    </w:p>
  </w:footnote>
  <w:footnote w:id="2">
    <w:p w14:paraId="63557D60" w14:textId="77777777" w:rsidR="0072589C" w:rsidRDefault="0072589C" w:rsidP="00C15998">
      <w:pPr>
        <w:pStyle w:val="FootnoteText"/>
      </w:pPr>
      <w:r>
        <w:rPr>
          <w:rStyle w:val="FootnoteReference"/>
        </w:rPr>
        <w:footnoteRef/>
      </w:r>
      <w:r>
        <w:t xml:space="preserve"> </w:t>
      </w:r>
      <w:r w:rsidR="00C15998">
        <w:t xml:space="preserve"> </w:t>
      </w:r>
      <w:r w:rsidR="00AD5B05">
        <w:t xml:space="preserve">The </w:t>
      </w:r>
      <w:r w:rsidR="009E3759">
        <w:t>September 23, 202</w:t>
      </w:r>
      <w:r w:rsidR="006C5A3D">
        <w:t xml:space="preserve">3 </w:t>
      </w:r>
      <w:r>
        <w:t xml:space="preserve">Joint Motion also sought </w:t>
      </w:r>
      <w:r w:rsidRPr="0072589C">
        <w:t xml:space="preserve">an </w:t>
      </w:r>
      <w:r w:rsidR="00A2697F">
        <w:t>o</w:t>
      </w:r>
      <w:r w:rsidRPr="0072589C">
        <w:t xml:space="preserve">rder </w:t>
      </w:r>
      <w:r w:rsidR="00A2697F">
        <w:t>s</w:t>
      </w:r>
      <w:r w:rsidRPr="0072589C">
        <w:t xml:space="preserve">hortening </w:t>
      </w:r>
      <w:r w:rsidR="00A2697F">
        <w:t>t</w:t>
      </w:r>
      <w:r w:rsidRPr="0072589C">
        <w:t xml:space="preserve">ime for Comments and Reply Comments on the Settlement </w:t>
      </w:r>
      <w:r w:rsidR="003D5D96">
        <w:t>Agreement</w:t>
      </w:r>
      <w:r w:rsidR="00A2697F">
        <w:t>.</w:t>
      </w:r>
    </w:p>
  </w:footnote>
  <w:footnote w:id="3">
    <w:p w14:paraId="61B7AAA8" w14:textId="77777777" w:rsidR="00010EF4" w:rsidRDefault="00010EF4" w:rsidP="00C15998">
      <w:pPr>
        <w:pStyle w:val="FootnoteText"/>
      </w:pPr>
      <w:r>
        <w:rPr>
          <w:rStyle w:val="FootnoteReference"/>
        </w:rPr>
        <w:footnoteRef/>
      </w:r>
      <w:r>
        <w:t xml:space="preserve"> </w:t>
      </w:r>
      <w:r w:rsidR="00C15998">
        <w:t xml:space="preserve"> </w:t>
      </w:r>
      <w:r w:rsidR="002356A6">
        <w:t xml:space="preserve">The Settling Parties include </w:t>
      </w:r>
      <w:r>
        <w:t>PG&amp;E, SCE, SDG&amp;E, Bear Valley</w:t>
      </w:r>
      <w:r w:rsidR="00A46BFB">
        <w:t xml:space="preserve"> Electric Service, Inc., C</w:t>
      </w:r>
      <w:r w:rsidR="00C20333">
        <w:t xml:space="preserve">al Peco Electric, PacifiCorp, </w:t>
      </w:r>
      <w:r w:rsidR="00DE03CA">
        <w:t>ACP</w:t>
      </w:r>
      <w:r w:rsidR="00C20333">
        <w:t>, IEP, CEERT, EDF, L</w:t>
      </w:r>
      <w:r w:rsidR="002356A6">
        <w:t xml:space="preserve">SPGC, </w:t>
      </w:r>
      <w:r w:rsidR="002356A6" w:rsidRPr="00695D2D">
        <w:rPr>
          <w:szCs w:val="26"/>
        </w:rPr>
        <w:t>REV Renewables</w:t>
      </w:r>
      <w:r w:rsidR="002356A6">
        <w:rPr>
          <w:szCs w:val="26"/>
        </w:rPr>
        <w:t xml:space="preserve">, </w:t>
      </w:r>
      <w:r w:rsidR="002356A6" w:rsidRPr="00695D2D">
        <w:rPr>
          <w:szCs w:val="26"/>
        </w:rPr>
        <w:t>Large-Scale Solar Association</w:t>
      </w:r>
      <w:r w:rsidR="002356A6">
        <w:rPr>
          <w:szCs w:val="26"/>
        </w:rPr>
        <w:t>,</w:t>
      </w:r>
      <w:r w:rsidR="002356A6" w:rsidRPr="00695D2D">
        <w:rPr>
          <w:szCs w:val="26"/>
        </w:rPr>
        <w:t xml:space="preserve"> </w:t>
      </w:r>
      <w:r w:rsidR="002356A6">
        <w:rPr>
          <w:szCs w:val="26"/>
        </w:rPr>
        <w:t>California Energy Storage Alliance, City of Long Beach, and Transmission Owners.</w:t>
      </w:r>
    </w:p>
  </w:footnote>
  <w:footnote w:id="4">
    <w:p w14:paraId="5E1AE69E" w14:textId="77777777" w:rsidR="000602AB" w:rsidRPr="0076248D" w:rsidRDefault="000602AB" w:rsidP="00C15998">
      <w:pPr>
        <w:pStyle w:val="FootnoteText"/>
        <w:rPr>
          <w:i/>
          <w:iCs/>
        </w:rPr>
      </w:pPr>
      <w:r w:rsidRPr="00DD4FD4">
        <w:rPr>
          <w:rStyle w:val="FootnoteReference"/>
        </w:rPr>
        <w:footnoteRef/>
      </w:r>
      <w:r w:rsidRPr="00DD4FD4">
        <w:t xml:space="preserve"> </w:t>
      </w:r>
      <w:r w:rsidR="00C15998">
        <w:t xml:space="preserve"> </w:t>
      </w:r>
      <w:r w:rsidRPr="00DD4FD4">
        <w:t>California Pub</w:t>
      </w:r>
      <w:r w:rsidR="00CF1D66">
        <w:t>.</w:t>
      </w:r>
      <w:r w:rsidRPr="00DD4FD4">
        <w:t xml:space="preserve"> Res</w:t>
      </w:r>
      <w:r w:rsidR="00CF1D66">
        <w:t>.</w:t>
      </w:r>
      <w:r w:rsidRPr="00DD4FD4">
        <w:t xml:space="preserve"> </w:t>
      </w:r>
      <w:r w:rsidR="00C5235E">
        <w:t xml:space="preserve">(Pub. Res.) </w:t>
      </w:r>
      <w:r w:rsidRPr="00DD4FD4">
        <w:t xml:space="preserve">Code </w:t>
      </w:r>
      <w:r w:rsidR="00D95C78" w:rsidRPr="00DD4FD4">
        <w:t>S</w:t>
      </w:r>
      <w:r w:rsidRPr="00DD4FD4">
        <w:t xml:space="preserve">ections 21000 </w:t>
      </w:r>
      <w:r w:rsidRPr="00DD4FD4">
        <w:rPr>
          <w:i/>
        </w:rPr>
        <w:t>et seq.</w:t>
      </w:r>
    </w:p>
  </w:footnote>
  <w:footnote w:id="5">
    <w:p w14:paraId="490E1157" w14:textId="77777777" w:rsidR="00297078" w:rsidRDefault="00297078" w:rsidP="00C15998">
      <w:pPr>
        <w:pStyle w:val="FootnoteText"/>
      </w:pPr>
      <w:r>
        <w:rPr>
          <w:rStyle w:val="FootnoteReference"/>
        </w:rPr>
        <w:footnoteRef/>
      </w:r>
      <w:r w:rsidR="064A553F">
        <w:t xml:space="preserve"> </w:t>
      </w:r>
      <w:r w:rsidR="00C15998">
        <w:t xml:space="preserve"> </w:t>
      </w:r>
      <w:r w:rsidR="064A553F">
        <w:t>Under t</w:t>
      </w:r>
      <w:r w:rsidR="064A553F" w:rsidRPr="003B0DC5">
        <w:t xml:space="preserve">he Warren-Alquist State Energy Resources Conservation and Development Act of 1974 (Pub. Res. Code </w:t>
      </w:r>
      <w:r w:rsidR="00AA5D06">
        <w:t>Sections</w:t>
      </w:r>
      <w:r w:rsidR="064A553F" w:rsidRPr="003B0DC5">
        <w:t xml:space="preserve">  25000 </w:t>
      </w:r>
      <w:r w:rsidR="064A553F" w:rsidRPr="004667EF">
        <w:rPr>
          <w:i/>
        </w:rPr>
        <w:t>et seq</w:t>
      </w:r>
      <w:r w:rsidR="064A553F" w:rsidRPr="003B0DC5">
        <w:t xml:space="preserve">.) the </w:t>
      </w:r>
      <w:r w:rsidR="001B3577">
        <w:t>California Energy Commission (</w:t>
      </w:r>
      <w:r w:rsidR="064A553F" w:rsidRPr="003B0DC5">
        <w:t>CEC</w:t>
      </w:r>
      <w:r w:rsidR="001B3577">
        <w:t>)</w:t>
      </w:r>
      <w:r w:rsidR="064A553F" w:rsidRPr="003B0DC5">
        <w:t xml:space="preserve"> is the lead environmental permitting authority for all thermal power plants 50 megawatts and greater that are proposed for construction in California. This authority also covers the projects’ associated infrastructure such as electric transmission lines, natural gas lines, and water pipelines. </w:t>
      </w:r>
      <w:r w:rsidR="00AF751D" w:rsidRPr="003B0DC5">
        <w:t>Thus,</w:t>
      </w:r>
      <w:r w:rsidDel="064A553F">
        <w:t xml:space="preserve"> </w:t>
      </w:r>
      <w:r w:rsidR="064A553F" w:rsidRPr="003B0DC5">
        <w:t>requiring CEC</w:t>
      </w:r>
      <w:r w:rsidDel="064A553F">
        <w:t xml:space="preserve"> </w:t>
      </w:r>
      <w:r w:rsidR="064A553F" w:rsidRPr="003B0DC5">
        <w:t>to certify the need for the plant and the suitability of the site of the plant—effectively making the CEC the lead agency for such projects rather than the C</w:t>
      </w:r>
      <w:r w:rsidR="009474A2">
        <w:t>ommission</w:t>
      </w:r>
      <w:r w:rsidR="064A553F" w:rsidRPr="003B0DC5">
        <w:t>. However, GO 131-D still includes processes for C</w:t>
      </w:r>
      <w:r w:rsidR="009474A2">
        <w:t>ommission</w:t>
      </w:r>
      <w:r w:rsidR="064A553F" w:rsidRPr="003B0DC5">
        <w:t xml:space="preserve"> review of CEC-jurisdictional projects proposed by electric public utilities.</w:t>
      </w:r>
    </w:p>
  </w:footnote>
  <w:footnote w:id="6">
    <w:p w14:paraId="3BBC1D8F" w14:textId="77777777" w:rsidR="00297078" w:rsidRDefault="00297078" w:rsidP="00C15998">
      <w:pPr>
        <w:pStyle w:val="FootnoteText"/>
      </w:pPr>
      <w:r>
        <w:rPr>
          <w:rStyle w:val="FootnoteReference"/>
        </w:rPr>
        <w:footnoteRef/>
      </w:r>
      <w:r>
        <w:t xml:space="preserve"> </w:t>
      </w:r>
      <w:r w:rsidR="00C15998">
        <w:t xml:space="preserve"> </w:t>
      </w:r>
      <w:r w:rsidRPr="00831397">
        <w:t xml:space="preserve">Pub. Util. Code </w:t>
      </w:r>
      <w:r w:rsidR="00DC14AC">
        <w:t>Section </w:t>
      </w:r>
      <w:r w:rsidRPr="00831397">
        <w:t>1001</w:t>
      </w:r>
      <w:r>
        <w:t>.</w:t>
      </w:r>
    </w:p>
  </w:footnote>
  <w:footnote w:id="7">
    <w:p w14:paraId="3AC6C074" w14:textId="77777777" w:rsidR="009243C4" w:rsidRDefault="009243C4" w:rsidP="00C15998">
      <w:pPr>
        <w:pStyle w:val="FootnoteText"/>
      </w:pPr>
      <w:r>
        <w:rPr>
          <w:rStyle w:val="FootnoteReference"/>
        </w:rPr>
        <w:footnoteRef/>
      </w:r>
      <w:r>
        <w:t xml:space="preserve"> </w:t>
      </w:r>
      <w:r w:rsidR="00C15998">
        <w:t xml:space="preserve"> </w:t>
      </w:r>
      <w:r w:rsidR="004E299E">
        <w:rPr>
          <w:i/>
          <w:iCs/>
        </w:rPr>
        <w:t xml:space="preserve">Id. </w:t>
      </w:r>
      <w:r w:rsidR="004E299E">
        <w:t>at</w:t>
      </w:r>
      <w:r>
        <w:t xml:space="preserve"> </w:t>
      </w:r>
      <w:r w:rsidR="00DC14AC">
        <w:t>Section </w:t>
      </w:r>
      <w:r>
        <w:t>1005.5(a)</w:t>
      </w:r>
      <w:r w:rsidR="00A627EA">
        <w:t>.</w:t>
      </w:r>
    </w:p>
  </w:footnote>
  <w:footnote w:id="8">
    <w:p w14:paraId="75D2033F" w14:textId="77777777" w:rsidR="00A627EA" w:rsidRDefault="00A627EA" w:rsidP="00C15998">
      <w:pPr>
        <w:pStyle w:val="FootnoteText"/>
      </w:pPr>
      <w:r>
        <w:rPr>
          <w:rStyle w:val="FootnoteReference"/>
        </w:rPr>
        <w:footnoteRef/>
      </w:r>
      <w:r>
        <w:t xml:space="preserve"> </w:t>
      </w:r>
      <w:r w:rsidR="00C15998">
        <w:t xml:space="preserve"> </w:t>
      </w:r>
      <w:r w:rsidR="004E299E">
        <w:rPr>
          <w:i/>
          <w:iCs/>
        </w:rPr>
        <w:t xml:space="preserve">Id. </w:t>
      </w:r>
      <w:r w:rsidR="004E299E">
        <w:t>at</w:t>
      </w:r>
      <w:r w:rsidR="00767000">
        <w:t xml:space="preserve"> </w:t>
      </w:r>
      <w:r w:rsidR="00DC14AC">
        <w:t>Section </w:t>
      </w:r>
      <w:r w:rsidR="004364B0" w:rsidRPr="004364B0">
        <w:t>1002(a)(1)</w:t>
      </w:r>
      <w:r w:rsidR="004364B0">
        <w:t>.</w:t>
      </w:r>
    </w:p>
  </w:footnote>
  <w:footnote w:id="9">
    <w:p w14:paraId="14D37150" w14:textId="77777777" w:rsidR="00623374" w:rsidRDefault="00623374" w:rsidP="00C15998">
      <w:pPr>
        <w:pStyle w:val="FootnoteText"/>
      </w:pPr>
      <w:r>
        <w:rPr>
          <w:rStyle w:val="FootnoteReference"/>
        </w:rPr>
        <w:footnoteRef/>
      </w:r>
      <w:r>
        <w:t xml:space="preserve"> </w:t>
      </w:r>
      <w:r w:rsidR="00C15998">
        <w:t xml:space="preserve"> </w:t>
      </w:r>
      <w:r w:rsidR="00BD25ED">
        <w:t xml:space="preserve">GO 131-D, </w:t>
      </w:r>
      <w:r w:rsidR="00DC14AC">
        <w:t>Section </w:t>
      </w:r>
      <w:r w:rsidR="00BD25ED">
        <w:t>X.</w:t>
      </w:r>
    </w:p>
  </w:footnote>
  <w:footnote w:id="10">
    <w:p w14:paraId="0EAED36C" w14:textId="77777777" w:rsidR="00297078" w:rsidRDefault="00297078" w:rsidP="00C15998">
      <w:pPr>
        <w:pStyle w:val="FootnoteText"/>
      </w:pPr>
      <w:r>
        <w:rPr>
          <w:rStyle w:val="FootnoteReference"/>
        </w:rPr>
        <w:footnoteRef/>
      </w:r>
      <w:r>
        <w:t xml:space="preserve"> </w:t>
      </w:r>
      <w:r w:rsidR="00C15998">
        <w:t xml:space="preserve"> </w:t>
      </w:r>
      <w:r>
        <w:t xml:space="preserve">Pub. Util. Code </w:t>
      </w:r>
      <w:r w:rsidR="0078255A" w:rsidRPr="00050286">
        <w:t xml:space="preserve">Sections </w:t>
      </w:r>
      <w:r w:rsidRPr="00F13712">
        <w:t xml:space="preserve">1001 </w:t>
      </w:r>
      <w:r w:rsidRPr="00050286">
        <w:rPr>
          <w:i/>
        </w:rPr>
        <w:t>et seq.</w:t>
      </w:r>
      <w:r w:rsidRPr="00F13712">
        <w:t xml:space="preserve"> and</w:t>
      </w:r>
      <w:r>
        <w:t xml:space="preserve"> </w:t>
      </w:r>
      <w:r w:rsidRPr="00F13712">
        <w:t>Sections III.A and IX.A of GO 131-D</w:t>
      </w:r>
      <w:r>
        <w:t xml:space="preserve">, and Pub. Util. Code </w:t>
      </w:r>
      <w:r w:rsidR="00DC14AC">
        <w:t>Section </w:t>
      </w:r>
      <w:r w:rsidRPr="00F13712">
        <w:t>100</w:t>
      </w:r>
      <w:r>
        <w:t xml:space="preserve">2.3, respectively require Commission review of CPCN project need and cost. Pub. Util. Code </w:t>
      </w:r>
      <w:r w:rsidR="00DC14AC">
        <w:t>Section </w:t>
      </w:r>
      <w:r w:rsidRPr="00F13712">
        <w:t>100</w:t>
      </w:r>
      <w:r>
        <w:t xml:space="preserve">5.5 (a) requires that the Commission consider cost-effective alternatives to transmission facilities in CPCN project applications. </w:t>
      </w:r>
    </w:p>
  </w:footnote>
  <w:footnote w:id="11">
    <w:p w14:paraId="63F1830A" w14:textId="77777777" w:rsidR="00AF0274" w:rsidRDefault="00AF0274" w:rsidP="00C15998">
      <w:pPr>
        <w:pStyle w:val="FootnoteText"/>
      </w:pPr>
      <w:r>
        <w:rPr>
          <w:rStyle w:val="FootnoteReference"/>
        </w:rPr>
        <w:footnoteRef/>
      </w:r>
      <w:r>
        <w:t xml:space="preserve"> </w:t>
      </w:r>
      <w:r w:rsidR="00C15998">
        <w:t xml:space="preserve"> </w:t>
      </w:r>
      <w:r>
        <w:t xml:space="preserve">GO 131-D, </w:t>
      </w:r>
      <w:r w:rsidR="00DC14AC">
        <w:t>Section </w:t>
      </w:r>
      <w:r w:rsidRPr="00AF0274">
        <w:t>XI.B</w:t>
      </w:r>
      <w:r>
        <w:t>.</w:t>
      </w:r>
    </w:p>
  </w:footnote>
  <w:footnote w:id="12">
    <w:p w14:paraId="433D084D" w14:textId="77777777" w:rsidR="00BA0A1A" w:rsidRDefault="00BA0A1A" w:rsidP="00C15998">
      <w:pPr>
        <w:pStyle w:val="FootnoteText"/>
      </w:pPr>
      <w:r>
        <w:rPr>
          <w:rStyle w:val="FootnoteReference"/>
        </w:rPr>
        <w:footnoteRef/>
      </w:r>
      <w:r>
        <w:t xml:space="preserve"> </w:t>
      </w:r>
      <w:r w:rsidR="00C15998">
        <w:t xml:space="preserve"> </w:t>
      </w:r>
      <w:r w:rsidR="00360C86" w:rsidRPr="00360C86">
        <w:t>California Code of Regulations</w:t>
      </w:r>
      <w:r w:rsidR="00651B18">
        <w:t xml:space="preserve"> (CCR)</w:t>
      </w:r>
      <w:r w:rsidR="00360C86" w:rsidRPr="00360C86">
        <w:t xml:space="preserve">, Title 14, </w:t>
      </w:r>
      <w:r w:rsidR="00FE6CEF">
        <w:t>Sections</w:t>
      </w:r>
      <w:r w:rsidR="00360C86" w:rsidRPr="00360C86">
        <w:t xml:space="preserve"> 15000 </w:t>
      </w:r>
      <w:r w:rsidR="00360C86" w:rsidRPr="000A7F2E">
        <w:rPr>
          <w:i/>
        </w:rPr>
        <w:t>et seq</w:t>
      </w:r>
      <w:r w:rsidR="00360C86" w:rsidRPr="00360C86">
        <w:t xml:space="preserve">. </w:t>
      </w:r>
    </w:p>
  </w:footnote>
  <w:footnote w:id="13">
    <w:p w14:paraId="17743A82" w14:textId="77777777" w:rsidR="00765FA4" w:rsidRDefault="00765FA4" w:rsidP="00C15998">
      <w:pPr>
        <w:pStyle w:val="FootnoteText"/>
      </w:pPr>
      <w:r>
        <w:rPr>
          <w:rStyle w:val="FootnoteReference"/>
        </w:rPr>
        <w:footnoteRef/>
      </w:r>
      <w:r w:rsidR="00C15998">
        <w:t xml:space="preserve"> </w:t>
      </w:r>
      <w:r>
        <w:t xml:space="preserve"> </w:t>
      </w:r>
      <w:r w:rsidRPr="00765FA4">
        <w:t>GO 131-D, III.B.2.</w:t>
      </w:r>
    </w:p>
  </w:footnote>
  <w:footnote w:id="14">
    <w:p w14:paraId="60F53A1B" w14:textId="77777777" w:rsidR="00BA0A1A" w:rsidRDefault="00BA0A1A" w:rsidP="00C15998">
      <w:pPr>
        <w:pStyle w:val="FootnoteText"/>
      </w:pPr>
      <w:r>
        <w:rPr>
          <w:rStyle w:val="FootnoteReference"/>
        </w:rPr>
        <w:footnoteRef/>
      </w:r>
      <w:r w:rsidR="00C15998">
        <w:t xml:space="preserve"> </w:t>
      </w:r>
      <w:r>
        <w:t xml:space="preserve"> </w:t>
      </w:r>
      <w:r w:rsidRPr="00790106">
        <w:rPr>
          <w:i/>
          <w:iCs/>
        </w:rPr>
        <w:t>Id.</w:t>
      </w:r>
      <w:r>
        <w:t xml:space="preserve"> at </w:t>
      </w:r>
      <w:r w:rsidR="00DC14AC">
        <w:t>Section </w:t>
      </w:r>
      <w:r w:rsidRPr="00BA0A1A">
        <w:t>XIII</w:t>
      </w:r>
      <w:r>
        <w:t>.</w:t>
      </w:r>
    </w:p>
  </w:footnote>
  <w:footnote w:id="15">
    <w:p w14:paraId="3AC31672" w14:textId="77777777" w:rsidR="0094044B" w:rsidRDefault="0094044B" w:rsidP="00C15998">
      <w:pPr>
        <w:pStyle w:val="FootnoteText"/>
      </w:pPr>
      <w:r>
        <w:rPr>
          <w:rStyle w:val="FootnoteReference"/>
        </w:rPr>
        <w:footnoteRef/>
      </w:r>
      <w:r>
        <w:t xml:space="preserve"> </w:t>
      </w:r>
      <w:r w:rsidR="00C15998">
        <w:t xml:space="preserve"> </w:t>
      </w:r>
      <w:r>
        <w:t xml:space="preserve">GO 131-D, </w:t>
      </w:r>
      <w:r w:rsidR="00DC14AC">
        <w:t>Section </w:t>
      </w:r>
      <w:r>
        <w:t>X.</w:t>
      </w:r>
    </w:p>
  </w:footnote>
  <w:footnote w:id="16">
    <w:p w14:paraId="6940D7D2" w14:textId="77777777" w:rsidR="0094044B" w:rsidRDefault="0094044B" w:rsidP="00C15998">
      <w:pPr>
        <w:pStyle w:val="FootnoteText"/>
      </w:pPr>
      <w:r>
        <w:rPr>
          <w:rStyle w:val="FootnoteReference"/>
        </w:rPr>
        <w:footnoteRef/>
      </w:r>
      <w:r>
        <w:t xml:space="preserve"> </w:t>
      </w:r>
      <w:r w:rsidR="00C15998">
        <w:t xml:space="preserve"> </w:t>
      </w:r>
      <w:r>
        <w:t xml:space="preserve">Pub. Util. Code </w:t>
      </w:r>
      <w:r w:rsidR="00DC14AC">
        <w:t>Section </w:t>
      </w:r>
      <w:r w:rsidRPr="00F13712">
        <w:t xml:space="preserve">1001 </w:t>
      </w:r>
      <w:r w:rsidRPr="00341716">
        <w:rPr>
          <w:i/>
        </w:rPr>
        <w:t>et seq.</w:t>
      </w:r>
      <w:r w:rsidRPr="00F13712">
        <w:t xml:space="preserve"> and</w:t>
      </w:r>
      <w:r>
        <w:t xml:space="preserve"> </w:t>
      </w:r>
      <w:r w:rsidRPr="00F13712">
        <w:t>Sections III.A and IX.A of GO 131-D</w:t>
      </w:r>
      <w:r>
        <w:t xml:space="preserve">, respectively require Commission review of CPCN project need and cost. Pub. Util. Code </w:t>
      </w:r>
      <w:r w:rsidR="00DC14AC">
        <w:t>Section </w:t>
      </w:r>
      <w:r w:rsidRPr="00F13712">
        <w:t>100</w:t>
      </w:r>
      <w:r>
        <w:t xml:space="preserve">5.5 (a) requires that the Commission consider cost-effective alternatives to transmission facilities in CPCN project applications. </w:t>
      </w:r>
    </w:p>
  </w:footnote>
  <w:footnote w:id="17">
    <w:p w14:paraId="77A48D45" w14:textId="77777777" w:rsidR="0043574B" w:rsidRDefault="0043574B" w:rsidP="00C15998">
      <w:pPr>
        <w:pStyle w:val="FootnoteText"/>
      </w:pPr>
      <w:r>
        <w:rPr>
          <w:rStyle w:val="FootnoteReference"/>
        </w:rPr>
        <w:footnoteRef/>
      </w:r>
      <w:r>
        <w:t xml:space="preserve"> </w:t>
      </w:r>
      <w:r w:rsidR="00C15998">
        <w:t xml:space="preserve"> </w:t>
      </w:r>
      <w:r>
        <w:t>Governor’s Office of Planning and Research</w:t>
      </w:r>
      <w:r w:rsidR="009413A5">
        <w:t xml:space="preserve">, CEQA Process Overview </w:t>
      </w:r>
      <w:hyperlink r:id="rId1" w:history="1">
        <w:r w:rsidRPr="0043574B">
          <w:rPr>
            <w:rStyle w:val="Hyperlink"/>
          </w:rPr>
          <w:t>Getting Started with CEQA - Office of Planning and Research (ca.gov)</w:t>
        </w:r>
      </w:hyperlink>
    </w:p>
  </w:footnote>
  <w:footnote w:id="18">
    <w:p w14:paraId="7ECC852D" w14:textId="77777777" w:rsidR="00B50CD3" w:rsidRDefault="00B50CD3" w:rsidP="00C15998">
      <w:pPr>
        <w:pStyle w:val="FootnoteText"/>
      </w:pPr>
      <w:r>
        <w:rPr>
          <w:rStyle w:val="FootnoteReference"/>
        </w:rPr>
        <w:footnoteRef/>
      </w:r>
      <w:r>
        <w:t xml:space="preserve"> </w:t>
      </w:r>
      <w:r w:rsidR="00C15998">
        <w:t xml:space="preserve"> </w:t>
      </w:r>
      <w:r w:rsidRPr="00147365">
        <w:t>CEQA is codified in Pub</w:t>
      </w:r>
      <w:r w:rsidR="00CF1D66">
        <w:t>.</w:t>
      </w:r>
      <w:r w:rsidRPr="00147365">
        <w:t xml:space="preserve"> Res</w:t>
      </w:r>
      <w:r w:rsidR="00CF1D66">
        <w:t>.</w:t>
      </w:r>
      <w:r w:rsidRPr="00147365">
        <w:t xml:space="preserve"> Code </w:t>
      </w:r>
      <w:r w:rsidR="00CF1D66">
        <w:t>Sections</w:t>
      </w:r>
      <w:r w:rsidRPr="00147365">
        <w:t xml:space="preserve"> 21000-21189. The “CEQA Guidelines” codified in CCR, Title 14,</w:t>
      </w:r>
      <w:r w:rsidR="00657A49">
        <w:t xml:space="preserve"> </w:t>
      </w:r>
      <w:r w:rsidR="00D049B0">
        <w:t>S</w:t>
      </w:r>
      <w:r w:rsidR="00830AE1">
        <w:t>e</w:t>
      </w:r>
      <w:r w:rsidR="00D049B0">
        <w:t>ction</w:t>
      </w:r>
      <w:r w:rsidR="00830AE1">
        <w:t>s</w:t>
      </w:r>
      <w:r w:rsidRPr="00147365">
        <w:t xml:space="preserve"> 15000 </w:t>
      </w:r>
      <w:r w:rsidRPr="002A3858">
        <w:rPr>
          <w:i/>
        </w:rPr>
        <w:t>et seq</w:t>
      </w:r>
      <w:r w:rsidRPr="00147365">
        <w:t>. are regulations prescribed by the Secretary for Natural Resources to be followed by all state and local agencies in California in the implementation of CEQA. These Guidelines are binding on all public agencies in California.</w:t>
      </w:r>
    </w:p>
  </w:footnote>
  <w:footnote w:id="19">
    <w:p w14:paraId="071E0BF5" w14:textId="77777777" w:rsidR="00176AF6" w:rsidRDefault="00176AF6" w:rsidP="00C15998">
      <w:pPr>
        <w:pStyle w:val="FootnoteText"/>
      </w:pPr>
      <w:r>
        <w:rPr>
          <w:rStyle w:val="FootnoteReference"/>
        </w:rPr>
        <w:footnoteRef/>
      </w:r>
      <w:r>
        <w:t xml:space="preserve"> </w:t>
      </w:r>
      <w:r w:rsidR="00C15998">
        <w:t xml:space="preserve"> </w:t>
      </w:r>
      <w:r w:rsidRPr="007F325F">
        <w:t xml:space="preserve">CEQA </w:t>
      </w:r>
      <w:r>
        <w:t xml:space="preserve">Guidelines </w:t>
      </w:r>
      <w:r w:rsidR="00DC14AC">
        <w:t>Section </w:t>
      </w:r>
      <w:r w:rsidRPr="007F325F">
        <w:t>21002</w:t>
      </w:r>
      <w:r>
        <w:t>.</w:t>
      </w:r>
    </w:p>
  </w:footnote>
  <w:footnote w:id="20">
    <w:p w14:paraId="26BD6C2E" w14:textId="77777777" w:rsidR="00327BA4" w:rsidRDefault="00327BA4" w:rsidP="00C15998">
      <w:pPr>
        <w:pStyle w:val="FootnoteText"/>
      </w:pPr>
      <w:r>
        <w:rPr>
          <w:rStyle w:val="FootnoteReference"/>
        </w:rPr>
        <w:footnoteRef/>
      </w:r>
      <w:r>
        <w:t xml:space="preserve"> </w:t>
      </w:r>
      <w:r w:rsidR="00C15998">
        <w:t xml:space="preserve"> </w:t>
      </w:r>
      <w:r w:rsidR="0071792B">
        <w:t xml:space="preserve">14 CCR </w:t>
      </w:r>
      <w:r w:rsidR="00830AE1">
        <w:t xml:space="preserve">Sections </w:t>
      </w:r>
      <w:r>
        <w:t>15260</w:t>
      </w:r>
      <w:r w:rsidR="0071792B">
        <w:t>-15285</w:t>
      </w:r>
      <w:r>
        <w:t>.</w:t>
      </w:r>
    </w:p>
  </w:footnote>
  <w:footnote w:id="21">
    <w:p w14:paraId="4BEBE0B3" w14:textId="77777777" w:rsidR="00327BA4" w:rsidRDefault="00327BA4" w:rsidP="00C15998">
      <w:pPr>
        <w:pStyle w:val="FootnoteText"/>
      </w:pPr>
      <w:r>
        <w:rPr>
          <w:rStyle w:val="FootnoteReference"/>
        </w:rPr>
        <w:footnoteRef/>
      </w:r>
      <w:r>
        <w:t xml:space="preserve"> </w:t>
      </w:r>
      <w:r w:rsidR="00C15998">
        <w:t xml:space="preserve"> </w:t>
      </w:r>
      <w:r w:rsidR="00397709" w:rsidRPr="002A3858">
        <w:rPr>
          <w:i/>
        </w:rPr>
        <w:t>Id.</w:t>
      </w:r>
      <w:r w:rsidR="00397709">
        <w:t xml:space="preserve"> at</w:t>
      </w:r>
      <w:r>
        <w:t xml:space="preserve"> </w:t>
      </w:r>
      <w:r w:rsidR="00830AE1" w:rsidRPr="00830AE1">
        <w:t xml:space="preserve">Sections </w:t>
      </w:r>
      <w:r>
        <w:t>1530</w:t>
      </w:r>
      <w:r w:rsidR="0071792B">
        <w:t>0-15333</w:t>
      </w:r>
      <w:r>
        <w:t>.</w:t>
      </w:r>
    </w:p>
  </w:footnote>
  <w:footnote w:id="22">
    <w:p w14:paraId="33181183" w14:textId="77777777" w:rsidR="0071792B" w:rsidRDefault="0071792B" w:rsidP="00C15998">
      <w:pPr>
        <w:pStyle w:val="FootnoteText"/>
      </w:pPr>
      <w:r>
        <w:rPr>
          <w:rStyle w:val="FootnoteReference"/>
        </w:rPr>
        <w:footnoteRef/>
      </w:r>
      <w:r w:rsidR="00C15998">
        <w:rPr>
          <w:i/>
        </w:rPr>
        <w:t xml:space="preserve"> </w:t>
      </w:r>
      <w:r w:rsidRPr="002A3858">
        <w:rPr>
          <w:i/>
        </w:rPr>
        <w:t xml:space="preserve"> </w:t>
      </w:r>
      <w:r w:rsidR="00397709" w:rsidRPr="002A3858">
        <w:rPr>
          <w:i/>
        </w:rPr>
        <w:t>Id</w:t>
      </w:r>
      <w:r w:rsidR="00397709" w:rsidRPr="00397709">
        <w:t>. at</w:t>
      </w:r>
      <w:r>
        <w:t xml:space="preserve"> </w:t>
      </w:r>
      <w:r w:rsidR="00DC14AC">
        <w:t>Section </w:t>
      </w:r>
      <w:r>
        <w:t>15268</w:t>
      </w:r>
      <w:r w:rsidR="00830AE1">
        <w:t>.</w:t>
      </w:r>
      <w:r>
        <w:t xml:space="preserve"> </w:t>
      </w:r>
    </w:p>
  </w:footnote>
  <w:footnote w:id="23">
    <w:p w14:paraId="3D64AA4D" w14:textId="77777777" w:rsidR="0071792B" w:rsidRDefault="0071792B" w:rsidP="00C15998">
      <w:pPr>
        <w:pStyle w:val="FootnoteText"/>
      </w:pPr>
      <w:r>
        <w:rPr>
          <w:rStyle w:val="FootnoteReference"/>
        </w:rPr>
        <w:footnoteRef/>
      </w:r>
      <w:r>
        <w:t xml:space="preserve"> </w:t>
      </w:r>
      <w:r w:rsidR="00C15998">
        <w:t xml:space="preserve"> </w:t>
      </w:r>
      <w:r w:rsidR="00397709" w:rsidRPr="002A3858">
        <w:rPr>
          <w:i/>
        </w:rPr>
        <w:t>Id.</w:t>
      </w:r>
      <w:r w:rsidR="00397709" w:rsidRPr="00397709">
        <w:t xml:space="preserve"> at</w:t>
      </w:r>
      <w:r>
        <w:t xml:space="preserve"> </w:t>
      </w:r>
      <w:r w:rsidR="00DC14AC">
        <w:t>Section </w:t>
      </w:r>
      <w:r>
        <w:t>15369</w:t>
      </w:r>
      <w:r w:rsidR="002D51AA">
        <w:t>.</w:t>
      </w:r>
    </w:p>
  </w:footnote>
  <w:footnote w:id="24">
    <w:p w14:paraId="59E63266" w14:textId="77777777" w:rsidR="0071792B" w:rsidRDefault="0071792B" w:rsidP="00C15998">
      <w:pPr>
        <w:pStyle w:val="FootnoteText"/>
      </w:pPr>
      <w:r>
        <w:rPr>
          <w:rStyle w:val="FootnoteReference"/>
        </w:rPr>
        <w:footnoteRef/>
      </w:r>
      <w:r>
        <w:t xml:space="preserve"> </w:t>
      </w:r>
      <w:r w:rsidR="00C15998">
        <w:t xml:space="preserve"> </w:t>
      </w:r>
      <w:r w:rsidR="00397709" w:rsidRPr="002A3858">
        <w:rPr>
          <w:i/>
        </w:rPr>
        <w:t>Id.</w:t>
      </w:r>
      <w:r w:rsidR="00397709" w:rsidRPr="00397709">
        <w:t xml:space="preserve"> at</w:t>
      </w:r>
      <w:r>
        <w:t xml:space="preserve"> </w:t>
      </w:r>
      <w:r w:rsidR="00DC14AC">
        <w:t>Section </w:t>
      </w:r>
      <w:r>
        <w:t>15300</w:t>
      </w:r>
      <w:r w:rsidR="002D51AA">
        <w:t>.</w:t>
      </w:r>
    </w:p>
  </w:footnote>
  <w:footnote w:id="25">
    <w:p w14:paraId="6F285881" w14:textId="77777777" w:rsidR="0071792B" w:rsidRDefault="0071792B" w:rsidP="00C15998">
      <w:pPr>
        <w:pStyle w:val="FootnoteText"/>
      </w:pPr>
      <w:r>
        <w:rPr>
          <w:rStyle w:val="FootnoteReference"/>
        </w:rPr>
        <w:footnoteRef/>
      </w:r>
      <w:r>
        <w:t xml:space="preserve"> </w:t>
      </w:r>
      <w:r w:rsidR="00C15998">
        <w:t xml:space="preserve"> </w:t>
      </w:r>
      <w:r w:rsidR="00397709" w:rsidRPr="002A3858">
        <w:rPr>
          <w:i/>
        </w:rPr>
        <w:t>Id</w:t>
      </w:r>
      <w:r w:rsidR="00397709" w:rsidRPr="00397709">
        <w:t>. at</w:t>
      </w:r>
      <w:r>
        <w:t xml:space="preserve"> </w:t>
      </w:r>
      <w:r w:rsidR="00DC14AC">
        <w:t>Section </w:t>
      </w:r>
      <w:r>
        <w:t>15300.2</w:t>
      </w:r>
      <w:r w:rsidR="002D51AA">
        <w:t>.</w:t>
      </w:r>
    </w:p>
  </w:footnote>
  <w:footnote w:id="26">
    <w:p w14:paraId="79D84AD1" w14:textId="77777777" w:rsidR="008D6EE0" w:rsidRDefault="008D6EE0" w:rsidP="00C15998">
      <w:pPr>
        <w:pStyle w:val="FootnoteText"/>
      </w:pPr>
      <w:r>
        <w:rPr>
          <w:rStyle w:val="FootnoteReference"/>
        </w:rPr>
        <w:footnoteRef/>
      </w:r>
      <w:r>
        <w:t xml:space="preserve"> </w:t>
      </w:r>
      <w:r w:rsidR="00C15998">
        <w:t xml:space="preserve"> </w:t>
      </w:r>
      <w:r w:rsidR="006D30F0" w:rsidRPr="00AC74C3">
        <w:t xml:space="preserve">CEQA Guidelines </w:t>
      </w:r>
      <w:r w:rsidR="002D51AA" w:rsidRPr="002D51AA">
        <w:t xml:space="preserve">Sections </w:t>
      </w:r>
      <w:r w:rsidR="006D30F0" w:rsidRPr="00AC74C3">
        <w:t>15</w:t>
      </w:r>
      <w:r w:rsidR="006D30F0">
        <w:t>063, 15365</w:t>
      </w:r>
      <w:r w:rsidR="00657A49">
        <w:t xml:space="preserve"> and</w:t>
      </w:r>
      <w:r w:rsidR="006D30F0">
        <w:t xml:space="preserve"> P</w:t>
      </w:r>
      <w:r w:rsidR="00FC2A44">
        <w:t xml:space="preserve">ub. Res. Code </w:t>
      </w:r>
      <w:r w:rsidR="00983877">
        <w:t xml:space="preserve">Sections </w:t>
      </w:r>
      <w:r w:rsidR="00CB4C65">
        <w:t>21080.1</w:t>
      </w:r>
      <w:r w:rsidR="00C56BEC">
        <w:t>.</w:t>
      </w:r>
    </w:p>
  </w:footnote>
  <w:footnote w:id="27">
    <w:p w14:paraId="79BB1ACD" w14:textId="77777777" w:rsidR="00141EC4" w:rsidRDefault="00141EC4" w:rsidP="00C15998">
      <w:pPr>
        <w:pStyle w:val="FootnoteText"/>
      </w:pPr>
      <w:r>
        <w:rPr>
          <w:rStyle w:val="FootnoteReference"/>
        </w:rPr>
        <w:footnoteRef/>
      </w:r>
      <w:r>
        <w:t xml:space="preserve"> </w:t>
      </w:r>
      <w:r w:rsidR="00C15998">
        <w:t xml:space="preserve"> </w:t>
      </w:r>
      <w:r w:rsidR="009F5332">
        <w:t xml:space="preserve">Governor’s Office of Planning and Research, </w:t>
      </w:r>
      <w:hyperlink r:id="rId2" w:history="1">
        <w:r w:rsidR="00C86DA7" w:rsidRPr="00D553D3">
          <w:rPr>
            <w:rStyle w:val="Hyperlink"/>
          </w:rPr>
          <w:t>CEQA 101 (ca.gov)</w:t>
        </w:r>
      </w:hyperlink>
    </w:p>
  </w:footnote>
  <w:footnote w:id="28">
    <w:p w14:paraId="1A001373" w14:textId="77777777" w:rsidR="009B36A2" w:rsidRDefault="009B36A2" w:rsidP="00C15998">
      <w:pPr>
        <w:pStyle w:val="FootnoteText"/>
      </w:pPr>
      <w:r>
        <w:rPr>
          <w:rStyle w:val="FootnoteReference"/>
        </w:rPr>
        <w:footnoteRef/>
      </w:r>
      <w:r>
        <w:t xml:space="preserve"> </w:t>
      </w:r>
      <w:r w:rsidR="00C15998">
        <w:t xml:space="preserve"> </w:t>
      </w:r>
      <w:r>
        <w:t>P</w:t>
      </w:r>
      <w:r w:rsidR="00A66BF6">
        <w:t xml:space="preserve">ub. Res. Code </w:t>
      </w:r>
      <w:r w:rsidR="004C23B7">
        <w:t>S</w:t>
      </w:r>
      <w:r w:rsidR="00490E25">
        <w:t>e</w:t>
      </w:r>
      <w:r w:rsidR="004C23B7">
        <w:t>ction</w:t>
      </w:r>
      <w:r w:rsidR="00490E25">
        <w:t xml:space="preserve">s </w:t>
      </w:r>
      <w:r>
        <w:t>21064 and 21080.</w:t>
      </w:r>
    </w:p>
  </w:footnote>
  <w:footnote w:id="29">
    <w:p w14:paraId="0FF6E8B0" w14:textId="77777777" w:rsidR="00DD62B1" w:rsidRDefault="00DD62B1" w:rsidP="00C15998">
      <w:pPr>
        <w:pStyle w:val="FootnoteText"/>
      </w:pPr>
      <w:r>
        <w:rPr>
          <w:rStyle w:val="FootnoteReference"/>
        </w:rPr>
        <w:footnoteRef/>
      </w:r>
      <w:r>
        <w:t xml:space="preserve"> </w:t>
      </w:r>
      <w:r w:rsidR="00C15998">
        <w:t xml:space="preserve"> </w:t>
      </w:r>
      <w:r w:rsidR="00556FF0" w:rsidRPr="009D7F97">
        <w:rPr>
          <w:i/>
        </w:rPr>
        <w:t>Id.</w:t>
      </w:r>
      <w:r w:rsidR="00556FF0" w:rsidRPr="00556FF0">
        <w:t xml:space="preserve"> at</w:t>
      </w:r>
      <w:r w:rsidR="00490E25" w:rsidRPr="00490E25">
        <w:t xml:space="preserve"> </w:t>
      </w:r>
      <w:r w:rsidR="00DC14AC">
        <w:t>Section </w:t>
      </w:r>
      <w:r w:rsidRPr="00AB3B23">
        <w:t>21064.5</w:t>
      </w:r>
      <w:r>
        <w:t>.</w:t>
      </w:r>
    </w:p>
  </w:footnote>
  <w:footnote w:id="30">
    <w:p w14:paraId="0E496D79" w14:textId="77777777" w:rsidR="00D74CF6" w:rsidRDefault="00D74CF6" w:rsidP="00C15998">
      <w:pPr>
        <w:pStyle w:val="FootnoteText"/>
      </w:pPr>
      <w:r>
        <w:rPr>
          <w:rStyle w:val="FootnoteReference"/>
        </w:rPr>
        <w:footnoteRef/>
      </w:r>
      <w:r>
        <w:t xml:space="preserve"> </w:t>
      </w:r>
      <w:r w:rsidR="00C15998">
        <w:t xml:space="preserve"> </w:t>
      </w:r>
      <w:r>
        <w:t xml:space="preserve">CEQA </w:t>
      </w:r>
      <w:r w:rsidRPr="00D74CF6">
        <w:t xml:space="preserve">Guidelines </w:t>
      </w:r>
      <w:r w:rsidR="00490E25">
        <w:t xml:space="preserve">Sections </w:t>
      </w:r>
      <w:r w:rsidRPr="00D74CF6">
        <w:t>15082, 15083.</w:t>
      </w:r>
    </w:p>
  </w:footnote>
  <w:footnote w:id="31">
    <w:p w14:paraId="31F98403" w14:textId="77777777" w:rsidR="00FF0458" w:rsidRDefault="00FF0458" w:rsidP="00C15998">
      <w:pPr>
        <w:pStyle w:val="FootnoteText"/>
      </w:pPr>
      <w:r>
        <w:rPr>
          <w:rStyle w:val="FootnoteReference"/>
        </w:rPr>
        <w:footnoteRef/>
      </w:r>
      <w:r>
        <w:t xml:space="preserve"> </w:t>
      </w:r>
      <w:r w:rsidR="00C15998">
        <w:t xml:space="preserve"> </w:t>
      </w:r>
      <w:r w:rsidR="00556FF0" w:rsidRPr="009D7F97">
        <w:rPr>
          <w:i/>
        </w:rPr>
        <w:t xml:space="preserve">Id. </w:t>
      </w:r>
      <w:r w:rsidR="00556FF0" w:rsidRPr="00556FF0">
        <w:t>at</w:t>
      </w:r>
      <w:r>
        <w:t xml:space="preserve"> </w:t>
      </w:r>
      <w:bookmarkStart w:id="130" w:name="_Hlk181643739"/>
      <w:r w:rsidR="00DC14AC">
        <w:t>Section </w:t>
      </w:r>
      <w:r w:rsidRPr="00FF0458">
        <w:t>15105.</w:t>
      </w:r>
      <w:bookmarkEnd w:id="130"/>
    </w:p>
  </w:footnote>
  <w:footnote w:id="32">
    <w:p w14:paraId="4C4A44C0" w14:textId="77777777" w:rsidR="0072491B" w:rsidRDefault="0072491B" w:rsidP="00C15998">
      <w:pPr>
        <w:pStyle w:val="FootnoteText"/>
      </w:pPr>
      <w:r>
        <w:rPr>
          <w:rStyle w:val="FootnoteReference"/>
        </w:rPr>
        <w:footnoteRef/>
      </w:r>
      <w:r>
        <w:t xml:space="preserve"> </w:t>
      </w:r>
      <w:r w:rsidR="00C15998">
        <w:t xml:space="preserve"> </w:t>
      </w:r>
      <w:r>
        <w:t xml:space="preserve">CEQA </w:t>
      </w:r>
      <w:r w:rsidRPr="0072491B">
        <w:t xml:space="preserve">Guidelines </w:t>
      </w:r>
      <w:r w:rsidR="00DC14AC">
        <w:t>Section </w:t>
      </w:r>
      <w:r w:rsidRPr="0072491B">
        <w:t>15</w:t>
      </w:r>
      <w:r w:rsidR="00FC67FF">
        <w:t>088(b)</w:t>
      </w:r>
      <w:r w:rsidRPr="0072491B">
        <w:t>.</w:t>
      </w:r>
    </w:p>
  </w:footnote>
  <w:footnote w:id="33">
    <w:p w14:paraId="583C5589" w14:textId="77777777" w:rsidR="00E00477" w:rsidRDefault="00E00477" w:rsidP="00C15998">
      <w:pPr>
        <w:pStyle w:val="FootnoteText"/>
      </w:pPr>
      <w:r>
        <w:rPr>
          <w:rStyle w:val="FootnoteReference"/>
        </w:rPr>
        <w:footnoteRef/>
      </w:r>
      <w:r>
        <w:t xml:space="preserve"> </w:t>
      </w:r>
      <w:r w:rsidR="00C15998">
        <w:t xml:space="preserve"> </w:t>
      </w:r>
      <w:r w:rsidRPr="002A28D5">
        <w:t xml:space="preserve">CEQA </w:t>
      </w:r>
      <w:r>
        <w:t xml:space="preserve">Guidelines </w:t>
      </w:r>
      <w:r w:rsidR="00DC14AC">
        <w:t>Section </w:t>
      </w:r>
      <w:r w:rsidRPr="002A28D5">
        <w:t>21082 provides that public agencies must adopt their own objectives, criteria, and procedures for CEQA review</w:t>
      </w:r>
      <w:r>
        <w:t>.</w:t>
      </w:r>
    </w:p>
  </w:footnote>
  <w:footnote w:id="34">
    <w:p w14:paraId="1DAA562B" w14:textId="77777777" w:rsidR="007E71A9" w:rsidRDefault="007E71A9" w:rsidP="00C15998">
      <w:pPr>
        <w:pStyle w:val="FootnoteText"/>
      </w:pPr>
      <w:r>
        <w:rPr>
          <w:rStyle w:val="FootnoteReference"/>
        </w:rPr>
        <w:footnoteRef/>
      </w:r>
      <w:r w:rsidR="00303F75">
        <w:t xml:space="preserve"> </w:t>
      </w:r>
      <w:r w:rsidR="00C15998">
        <w:t xml:space="preserve"> </w:t>
      </w:r>
      <w:r w:rsidR="00303F75">
        <w:t>Commission’s Guidelines</w:t>
      </w:r>
      <w:r>
        <w:t xml:space="preserve"> </w:t>
      </w:r>
      <w:r w:rsidR="00C25299" w:rsidRPr="002A28D5">
        <w:t>Pre-filing and Proponent’s Environmental Assessments (Version 1.0, November 2019)</w:t>
      </w:r>
      <w:r w:rsidR="004F0012">
        <w:t>.</w:t>
      </w:r>
    </w:p>
  </w:footnote>
  <w:footnote w:id="35">
    <w:p w14:paraId="2AB86A97" w14:textId="77777777" w:rsidR="00414890" w:rsidRDefault="00414890" w:rsidP="00C15998">
      <w:pPr>
        <w:pStyle w:val="FootnoteText"/>
      </w:pPr>
      <w:r>
        <w:rPr>
          <w:rStyle w:val="FootnoteReference"/>
        </w:rPr>
        <w:footnoteRef/>
      </w:r>
      <w:r>
        <w:t xml:space="preserve"> </w:t>
      </w:r>
      <w:r w:rsidR="00C15998">
        <w:t xml:space="preserve"> </w:t>
      </w:r>
      <w:r>
        <w:t>Staff Proposal at</w:t>
      </w:r>
      <w:r w:rsidR="00D43242">
        <w:t xml:space="preserve"> 9.</w:t>
      </w:r>
    </w:p>
  </w:footnote>
  <w:footnote w:id="36">
    <w:p w14:paraId="7FDDFAD1" w14:textId="77777777" w:rsidR="00231C08" w:rsidRDefault="00231C08" w:rsidP="00C15998">
      <w:pPr>
        <w:pStyle w:val="FootnoteText"/>
      </w:pPr>
      <w:r>
        <w:rPr>
          <w:rStyle w:val="FootnoteReference"/>
        </w:rPr>
        <w:footnoteRef/>
      </w:r>
      <w:r>
        <w:t xml:space="preserve"> </w:t>
      </w:r>
      <w:r w:rsidR="00C15998">
        <w:t xml:space="preserve"> </w:t>
      </w:r>
      <w:r w:rsidR="0067017F" w:rsidRPr="0067017F">
        <w:t xml:space="preserve">California Government Code </w:t>
      </w:r>
      <w:r w:rsidR="00DC14AC">
        <w:t>Section </w:t>
      </w:r>
      <w:r w:rsidR="0067017F" w:rsidRPr="0067017F">
        <w:t>65940(a)(1) requires that each public agency compile one or more lists that shall specify in detail the information that will be required from any applicant for a development project.</w:t>
      </w:r>
    </w:p>
  </w:footnote>
  <w:footnote w:id="37">
    <w:p w14:paraId="01EC2D93" w14:textId="77777777" w:rsidR="007F3A4E" w:rsidRDefault="007F3A4E" w:rsidP="00C15998">
      <w:pPr>
        <w:pStyle w:val="FootnoteText"/>
      </w:pPr>
      <w:r>
        <w:rPr>
          <w:rStyle w:val="FootnoteReference"/>
        </w:rPr>
        <w:footnoteRef/>
      </w:r>
      <w:r>
        <w:t xml:space="preserve"> </w:t>
      </w:r>
      <w:r w:rsidR="00C15998">
        <w:t xml:space="preserve"> </w:t>
      </w:r>
      <w:r>
        <w:t xml:space="preserve">CEQA Guidelines </w:t>
      </w:r>
      <w:r w:rsidR="00DC14AC">
        <w:t>Section </w:t>
      </w:r>
      <w:r>
        <w:t>21082</w:t>
      </w:r>
      <w:r w:rsidR="00823BDE">
        <w:t>.</w:t>
      </w:r>
    </w:p>
  </w:footnote>
  <w:footnote w:id="38">
    <w:p w14:paraId="5C9D0770" w14:textId="77777777" w:rsidR="002434FA" w:rsidRDefault="002434FA" w:rsidP="00C15998">
      <w:pPr>
        <w:pStyle w:val="FootnoteText"/>
      </w:pPr>
      <w:r>
        <w:rPr>
          <w:rStyle w:val="FootnoteReference"/>
        </w:rPr>
        <w:footnoteRef/>
      </w:r>
      <w:r>
        <w:t xml:space="preserve"> </w:t>
      </w:r>
      <w:r w:rsidR="00C15998">
        <w:t xml:space="preserve"> </w:t>
      </w:r>
      <w:r>
        <w:t xml:space="preserve">CEQA Guidelines </w:t>
      </w:r>
      <w:r w:rsidR="00DC14AC">
        <w:t>Section </w:t>
      </w:r>
      <w:r>
        <w:t>15101.</w:t>
      </w:r>
    </w:p>
  </w:footnote>
  <w:footnote w:id="39">
    <w:p w14:paraId="0F3345E2" w14:textId="77777777" w:rsidR="0024538E" w:rsidRDefault="0024538E" w:rsidP="00C15998">
      <w:pPr>
        <w:pStyle w:val="FootnoteText"/>
      </w:pPr>
      <w:r>
        <w:rPr>
          <w:rStyle w:val="FootnoteReference"/>
        </w:rPr>
        <w:footnoteRef/>
      </w:r>
      <w:r>
        <w:t xml:space="preserve"> </w:t>
      </w:r>
      <w:r w:rsidR="00C15998">
        <w:t xml:space="preserve"> </w:t>
      </w:r>
      <w:r w:rsidR="00EB5688" w:rsidRPr="009D7F97">
        <w:rPr>
          <w:i/>
        </w:rPr>
        <w:t>Id</w:t>
      </w:r>
      <w:r w:rsidR="00EB5688" w:rsidRPr="00EB5688">
        <w:t>. at</w:t>
      </w:r>
      <w:r>
        <w:t xml:space="preserve"> </w:t>
      </w:r>
      <w:r w:rsidR="00DC14AC">
        <w:t>Section </w:t>
      </w:r>
      <w:r>
        <w:t>15102.</w:t>
      </w:r>
    </w:p>
  </w:footnote>
  <w:footnote w:id="40">
    <w:p w14:paraId="3D0CB2B0" w14:textId="77777777" w:rsidR="00FA5B99" w:rsidRDefault="00FA5B99" w:rsidP="00C15998">
      <w:pPr>
        <w:pStyle w:val="FootnoteText"/>
      </w:pPr>
      <w:r>
        <w:rPr>
          <w:rStyle w:val="FootnoteReference"/>
        </w:rPr>
        <w:footnoteRef/>
      </w:r>
      <w:r>
        <w:t xml:space="preserve"> </w:t>
      </w:r>
      <w:r w:rsidR="00C15998">
        <w:t xml:space="preserve"> </w:t>
      </w:r>
      <w:r w:rsidR="00EB5688" w:rsidRPr="009D7F97">
        <w:rPr>
          <w:i/>
        </w:rPr>
        <w:t>I</w:t>
      </w:r>
      <w:r w:rsidR="00A714A1">
        <w:rPr>
          <w:i/>
        </w:rPr>
        <w:t>bi</w:t>
      </w:r>
      <w:r w:rsidR="00EB5688" w:rsidRPr="009D7F97">
        <w:rPr>
          <w:i/>
        </w:rPr>
        <w:t>d</w:t>
      </w:r>
      <w:r w:rsidR="00FE609D">
        <w:t>.</w:t>
      </w:r>
    </w:p>
  </w:footnote>
  <w:footnote w:id="41">
    <w:p w14:paraId="2B2FDDA2" w14:textId="77777777" w:rsidR="003D2F7D" w:rsidRDefault="003D2F7D" w:rsidP="00C15998">
      <w:pPr>
        <w:pStyle w:val="FootnoteText"/>
      </w:pPr>
      <w:r w:rsidRPr="009A0F0C">
        <w:rPr>
          <w:rStyle w:val="FootnoteReference"/>
        </w:rPr>
        <w:footnoteRef/>
      </w:r>
      <w:r w:rsidRPr="009A0F0C">
        <w:t xml:space="preserve"> </w:t>
      </w:r>
      <w:r w:rsidR="00C15998">
        <w:t xml:space="preserve"> </w:t>
      </w:r>
      <w:r w:rsidR="009E7077">
        <w:t>Pub. Util. Code</w:t>
      </w:r>
      <w:r w:rsidR="009A0F0C">
        <w:t xml:space="preserve"> </w:t>
      </w:r>
      <w:r w:rsidR="00DC14AC">
        <w:t>Section </w:t>
      </w:r>
      <w:r w:rsidR="009A0F0C" w:rsidRPr="00A41BC1">
        <w:t xml:space="preserve">21081(b) and CEQA Guidelines </w:t>
      </w:r>
      <w:r w:rsidR="00DC14AC">
        <w:t>Section </w:t>
      </w:r>
      <w:r w:rsidR="009A0F0C" w:rsidRPr="00A41BC1">
        <w:t>15093</w:t>
      </w:r>
      <w:r w:rsidR="009E7077">
        <w:t>.</w:t>
      </w:r>
    </w:p>
  </w:footnote>
  <w:footnote w:id="42">
    <w:p w14:paraId="66566591" w14:textId="77777777" w:rsidR="003C36AC" w:rsidRDefault="003C36AC" w:rsidP="00C15998">
      <w:pPr>
        <w:pStyle w:val="FootnoteText"/>
      </w:pPr>
      <w:r>
        <w:rPr>
          <w:rStyle w:val="FootnoteReference"/>
        </w:rPr>
        <w:footnoteRef/>
      </w:r>
      <w:r>
        <w:t xml:space="preserve"> </w:t>
      </w:r>
      <w:r w:rsidR="00C15998">
        <w:t xml:space="preserve"> </w:t>
      </w:r>
      <w:r>
        <w:t xml:space="preserve">Pub. Util. Code </w:t>
      </w:r>
      <w:r w:rsidR="00DC14AC">
        <w:t>Section </w:t>
      </w:r>
      <w:r w:rsidRPr="00450484">
        <w:t>100</w:t>
      </w:r>
      <w:r>
        <w:t>1.</w:t>
      </w:r>
    </w:p>
  </w:footnote>
  <w:footnote w:id="43">
    <w:p w14:paraId="1B836417" w14:textId="77777777" w:rsidR="003C36AC" w:rsidRDefault="003C36AC" w:rsidP="00C15998">
      <w:pPr>
        <w:pStyle w:val="FootnoteText"/>
      </w:pPr>
      <w:r>
        <w:rPr>
          <w:rStyle w:val="FootnoteReference"/>
        </w:rPr>
        <w:footnoteRef/>
      </w:r>
      <w:r>
        <w:t xml:space="preserve"> </w:t>
      </w:r>
      <w:r w:rsidR="00C15998">
        <w:t xml:space="preserve"> </w:t>
      </w:r>
      <w:r w:rsidR="009E7077">
        <w:rPr>
          <w:i/>
          <w:iCs/>
        </w:rPr>
        <w:t>Id</w:t>
      </w:r>
      <w:r w:rsidR="00F53464">
        <w:rPr>
          <w:i/>
          <w:iCs/>
        </w:rPr>
        <w:t>.</w:t>
      </w:r>
      <w:r w:rsidR="00F53464">
        <w:t xml:space="preserve"> at</w:t>
      </w:r>
      <w:r>
        <w:t xml:space="preserve"> </w:t>
      </w:r>
      <w:r w:rsidR="00DC14AC">
        <w:t>Section </w:t>
      </w:r>
      <w:r>
        <w:t>1005.5(a).</w:t>
      </w:r>
    </w:p>
  </w:footnote>
  <w:footnote w:id="44">
    <w:p w14:paraId="1AA375DD" w14:textId="77777777" w:rsidR="003C36AC" w:rsidRDefault="003C36AC" w:rsidP="00C15998">
      <w:pPr>
        <w:pStyle w:val="FootnoteText"/>
      </w:pPr>
      <w:r>
        <w:rPr>
          <w:rStyle w:val="FootnoteReference"/>
        </w:rPr>
        <w:footnoteRef/>
      </w:r>
      <w:r>
        <w:t xml:space="preserve"> </w:t>
      </w:r>
      <w:r w:rsidR="00C15998">
        <w:t xml:space="preserve"> </w:t>
      </w:r>
      <w:r w:rsidR="00F53464" w:rsidRPr="00A41BC1">
        <w:rPr>
          <w:i/>
          <w:iCs/>
        </w:rPr>
        <w:t>Id</w:t>
      </w:r>
      <w:r w:rsidR="00F53464">
        <w:t>. at</w:t>
      </w:r>
      <w:r>
        <w:t xml:space="preserve"> </w:t>
      </w:r>
      <w:r w:rsidR="00DC14AC">
        <w:t>Section </w:t>
      </w:r>
      <w:r w:rsidRPr="004364B0">
        <w:t>1002(a)(1)</w:t>
      </w:r>
      <w:r>
        <w:t>.</w:t>
      </w:r>
    </w:p>
  </w:footnote>
  <w:footnote w:id="45">
    <w:p w14:paraId="0BED58E9" w14:textId="77777777" w:rsidR="003C36AC" w:rsidRDefault="003C36AC" w:rsidP="00C15998">
      <w:pPr>
        <w:pStyle w:val="FootnoteText"/>
      </w:pPr>
      <w:r>
        <w:rPr>
          <w:rStyle w:val="FootnoteReference"/>
        </w:rPr>
        <w:footnoteRef/>
      </w:r>
      <w:r>
        <w:t xml:space="preserve"> </w:t>
      </w:r>
      <w:r w:rsidR="00C15998">
        <w:t xml:space="preserve"> </w:t>
      </w:r>
      <w:r>
        <w:t xml:space="preserve">GO 131-D, </w:t>
      </w:r>
      <w:r w:rsidR="00DC14AC">
        <w:t>Section </w:t>
      </w:r>
      <w:r>
        <w:t>X.</w:t>
      </w:r>
    </w:p>
  </w:footnote>
  <w:footnote w:id="46">
    <w:p w14:paraId="2B7889E9" w14:textId="77777777" w:rsidR="00530692" w:rsidRDefault="00530692" w:rsidP="00C15998">
      <w:pPr>
        <w:pStyle w:val="FootnoteText"/>
      </w:pPr>
      <w:r>
        <w:rPr>
          <w:rStyle w:val="FootnoteReference"/>
        </w:rPr>
        <w:footnoteRef/>
      </w:r>
      <w:r>
        <w:t xml:space="preserve"> </w:t>
      </w:r>
      <w:r w:rsidR="00C15998">
        <w:t xml:space="preserve"> </w:t>
      </w:r>
      <w:r>
        <w:t>Assigned Commissioner’s Scoping Memo and Ruling at 3-4.</w:t>
      </w:r>
    </w:p>
  </w:footnote>
  <w:footnote w:id="47">
    <w:p w14:paraId="4A4F6A03" w14:textId="77777777" w:rsidR="00C92570" w:rsidRDefault="00C92570" w:rsidP="00C15998">
      <w:pPr>
        <w:pStyle w:val="FootnoteText"/>
      </w:pPr>
      <w:r>
        <w:rPr>
          <w:rStyle w:val="FootnoteReference"/>
        </w:rPr>
        <w:footnoteRef/>
      </w:r>
      <w:r>
        <w:t xml:space="preserve"> </w:t>
      </w:r>
      <w:r w:rsidR="00C15998">
        <w:t xml:space="preserve"> </w:t>
      </w:r>
      <w:r>
        <w:t>Cal Advocates’ Opening Comments on Pha</w:t>
      </w:r>
      <w:r w:rsidR="00D00A84">
        <w:t>s</w:t>
      </w:r>
      <w:r>
        <w:t xml:space="preserve">e 2 Issues at 13 and Staff Proposal at 92. </w:t>
      </w:r>
    </w:p>
  </w:footnote>
  <w:footnote w:id="48">
    <w:p w14:paraId="63A2E209" w14:textId="77777777" w:rsidR="00C92570" w:rsidRDefault="00C92570" w:rsidP="00C15998">
      <w:pPr>
        <w:pStyle w:val="FootnoteText"/>
      </w:pPr>
      <w:r>
        <w:rPr>
          <w:rStyle w:val="FootnoteReference"/>
        </w:rPr>
        <w:footnoteRef/>
      </w:r>
      <w:r>
        <w:t xml:space="preserve"> </w:t>
      </w:r>
      <w:r w:rsidR="00C15998">
        <w:t xml:space="preserve"> </w:t>
      </w:r>
      <w:r>
        <w:t>Staff Proposal at 92-94.</w:t>
      </w:r>
    </w:p>
  </w:footnote>
  <w:footnote w:id="49">
    <w:p w14:paraId="7AC65127" w14:textId="77777777" w:rsidR="00BF0196" w:rsidRDefault="00BF0196" w:rsidP="00C15998">
      <w:pPr>
        <w:pStyle w:val="FootnoteText"/>
      </w:pPr>
      <w:r>
        <w:rPr>
          <w:rStyle w:val="FootnoteReference"/>
        </w:rPr>
        <w:footnoteRef/>
      </w:r>
      <w:r>
        <w:t xml:space="preserve"> </w:t>
      </w:r>
      <w:r w:rsidR="00C15998">
        <w:t xml:space="preserve"> </w:t>
      </w:r>
      <w:r>
        <w:t>T</w:t>
      </w:r>
      <w:r w:rsidRPr="0095176A">
        <w:t xml:space="preserve">he Pre-Filing Guidelines </w:t>
      </w:r>
      <w:r>
        <w:t xml:space="preserve">in the PEA Guidelines provides, </w:t>
      </w:r>
      <w:r w:rsidRPr="00F85B89">
        <w:rPr>
          <w:i/>
          <w:iCs/>
        </w:rPr>
        <w:t>inter alia</w:t>
      </w:r>
      <w:r>
        <w:t xml:space="preserve">, the following guidance on the following topics: meeting with Commission staff, consultant resources, draft PEAs provided prior to PEA filing, project site visits, consultation with public agencies, alternatives development, formal PEA submittal, transmission and distribution system data and technical accuracy, applicant </w:t>
      </w:r>
      <w:r w:rsidRPr="00DB0DF6">
        <w:t>proposed</w:t>
      </w:r>
      <w:r>
        <w:t xml:space="preserve"> measures, PEA checklist deviations, submittal of confidential information, and a</w:t>
      </w:r>
      <w:r w:rsidRPr="0058234B">
        <w:t xml:space="preserve">dditional CEQA </w:t>
      </w:r>
      <w:r>
        <w:t>i</w:t>
      </w:r>
      <w:r w:rsidRPr="0058234B">
        <w:t xml:space="preserve">mpact </w:t>
      </w:r>
      <w:r>
        <w:t>q</w:t>
      </w:r>
      <w:r w:rsidRPr="0058234B">
        <w:t>uestions</w:t>
      </w:r>
      <w:r>
        <w:t xml:space="preserve">. </w:t>
      </w:r>
      <w:hyperlink r:id="rId3" w:history="1">
        <w:r w:rsidRPr="00181EF3">
          <w:rPr>
            <w:rStyle w:val="Hyperlink"/>
          </w:rPr>
          <w:t>https://www.cpuc.ca.gov/-/media/cpuc-website/files/legacyfiles/c/6442463239-ceqa-pre-filing-guidelines-pea-checklist-nov-2019.pdf</w:t>
        </w:r>
      </w:hyperlink>
      <w:r>
        <w:rPr>
          <w:rStyle w:val="Hyperlink"/>
        </w:rPr>
        <w:t>.</w:t>
      </w:r>
    </w:p>
  </w:footnote>
  <w:footnote w:id="50">
    <w:p w14:paraId="252435DD" w14:textId="77777777" w:rsidR="00CE6202" w:rsidRDefault="00CE6202" w:rsidP="00C15998">
      <w:pPr>
        <w:pStyle w:val="FootnoteText"/>
      </w:pPr>
      <w:r>
        <w:rPr>
          <w:rStyle w:val="FootnoteReference"/>
        </w:rPr>
        <w:footnoteRef/>
      </w:r>
      <w:r>
        <w:t xml:space="preserve"> </w:t>
      </w:r>
      <w:r w:rsidR="00C15998">
        <w:t xml:space="preserve"> </w:t>
      </w:r>
      <w:r>
        <w:t>PEA Guidelines at iv.</w:t>
      </w:r>
    </w:p>
  </w:footnote>
  <w:footnote w:id="51">
    <w:p w14:paraId="793319F3" w14:textId="77777777" w:rsidR="00C92570" w:rsidRDefault="00C92570" w:rsidP="00C15998">
      <w:pPr>
        <w:pStyle w:val="FootnoteText"/>
      </w:pPr>
      <w:r>
        <w:rPr>
          <w:rStyle w:val="FootnoteReference"/>
        </w:rPr>
        <w:footnoteRef/>
      </w:r>
      <w:r>
        <w:t xml:space="preserve"> </w:t>
      </w:r>
      <w:r w:rsidR="00C15998">
        <w:t xml:space="preserve"> </w:t>
      </w:r>
      <w:r>
        <w:t>Commission Rule 2.4(b)</w:t>
      </w:r>
    </w:p>
  </w:footnote>
  <w:footnote w:id="52">
    <w:p w14:paraId="38778819" w14:textId="77777777" w:rsidR="00C92570" w:rsidRDefault="00C92570" w:rsidP="00C15998">
      <w:pPr>
        <w:pStyle w:val="FootnoteText"/>
      </w:pPr>
      <w:r>
        <w:rPr>
          <w:rStyle w:val="FootnoteReference"/>
        </w:rPr>
        <w:footnoteRef/>
      </w:r>
      <w:r>
        <w:t xml:space="preserve"> </w:t>
      </w:r>
      <w:r w:rsidR="00C15998">
        <w:t xml:space="preserve"> </w:t>
      </w:r>
      <w:r>
        <w:t xml:space="preserve">Staff Proposal at 69. </w:t>
      </w:r>
      <w:r w:rsidRPr="008B1128">
        <w:t>GO 131-D</w:t>
      </w:r>
      <w:r w:rsidR="00630DCA">
        <w:t>,</w:t>
      </w:r>
      <w:r w:rsidRPr="008B1128">
        <w:t xml:space="preserve"> Sections VIII and IX.A.1</w:t>
      </w:r>
      <w:r>
        <w:t xml:space="preserve"> require that CPCN applications include </w:t>
      </w:r>
      <w:r w:rsidRPr="008B1128">
        <w:t>a detailed</w:t>
      </w:r>
      <w:r>
        <w:t xml:space="preserve"> </w:t>
      </w:r>
      <w:r w:rsidRPr="008B1128">
        <w:t>description of proposed facilities; a proposed schedule; a map; a statement of why the public convenience</w:t>
      </w:r>
      <w:r>
        <w:t xml:space="preserve"> </w:t>
      </w:r>
      <w:r w:rsidRPr="008B1128">
        <w:t>and necessity require the construction of the project; a detailed statement of the estimated cost of the</w:t>
      </w:r>
      <w:r>
        <w:t xml:space="preserve"> </w:t>
      </w:r>
      <w:r w:rsidRPr="008B1128">
        <w:t>project; routing alternatives; a list of required permits; and a summary of consultation with public agencies.</w:t>
      </w:r>
      <w:r>
        <w:t xml:space="preserve"> GO 131-D</w:t>
      </w:r>
      <w:r w:rsidR="00630DCA">
        <w:t>,</w:t>
      </w:r>
      <w:r>
        <w:t xml:space="preserve"> </w:t>
      </w:r>
      <w:r w:rsidR="00DC14AC">
        <w:t>Section </w:t>
      </w:r>
      <w:r w:rsidRPr="008B1128">
        <w:t>IX.B.1</w:t>
      </w:r>
      <w:r w:rsidR="00630DCA">
        <w:t>,</w:t>
      </w:r>
      <w:r>
        <w:t xml:space="preserve"> requires that PTC </w:t>
      </w:r>
      <w:r w:rsidRPr="008B1128">
        <w:t>applications must include most information required for</w:t>
      </w:r>
      <w:r>
        <w:t xml:space="preserve"> </w:t>
      </w:r>
      <w:r w:rsidRPr="008B1128">
        <w:t xml:space="preserve">CPCNs, except </w:t>
      </w:r>
      <w:r>
        <w:t xml:space="preserve">for </w:t>
      </w:r>
      <w:r w:rsidRPr="008B1128">
        <w:t xml:space="preserve">a detailed analysis of </w:t>
      </w:r>
      <w:r w:rsidR="00AE70C6">
        <w:t>public convenience and necessity</w:t>
      </w:r>
      <w:r w:rsidRPr="008B1128">
        <w:t>, a detailed</w:t>
      </w:r>
      <w:r>
        <w:t xml:space="preserve"> </w:t>
      </w:r>
      <w:r w:rsidRPr="008B1128">
        <w:t>estimate of cost and economic analysis, a detailed schedule, or a detailed description of construction</w:t>
      </w:r>
      <w:r>
        <w:t xml:space="preserve"> </w:t>
      </w:r>
      <w:r w:rsidRPr="008B1128">
        <w:t>methods beyond that required for CEQA compliance.</w:t>
      </w:r>
    </w:p>
  </w:footnote>
  <w:footnote w:id="53">
    <w:p w14:paraId="5CACF4A2" w14:textId="77777777" w:rsidR="00C92570" w:rsidRDefault="00C92570" w:rsidP="00C15998">
      <w:pPr>
        <w:pStyle w:val="FootnoteText"/>
      </w:pPr>
      <w:r>
        <w:rPr>
          <w:rStyle w:val="FootnoteReference"/>
        </w:rPr>
        <w:footnoteRef/>
      </w:r>
      <w:r>
        <w:t xml:space="preserve"> </w:t>
      </w:r>
      <w:r w:rsidR="00C15998">
        <w:t xml:space="preserve"> </w:t>
      </w:r>
      <w:r>
        <w:t xml:space="preserve">Staff Proposal at 76. </w:t>
      </w:r>
      <w:r w:rsidRPr="00D06B19">
        <w:t xml:space="preserve">D.23-12-035 deleted </w:t>
      </w:r>
      <w:r w:rsidR="00DC14AC">
        <w:t>Section </w:t>
      </w:r>
      <w:r w:rsidRPr="00D06B19">
        <w:t>X.B, leav</w:t>
      </w:r>
      <w:r>
        <w:t>ing</w:t>
      </w:r>
      <w:r w:rsidRPr="00D06B19">
        <w:t xml:space="preserve"> a brief paragraph (formerly </w:t>
      </w:r>
      <w:r w:rsidR="00DC14AC">
        <w:t>Section </w:t>
      </w:r>
      <w:r w:rsidRPr="00D06B19">
        <w:t>X.A) re</w:t>
      </w:r>
      <w:r>
        <w:t>quiring</w:t>
      </w:r>
      <w:r w:rsidRPr="00D06B19">
        <w:t xml:space="preserve"> that CPCN and PTC applications “shal</w:t>
      </w:r>
      <w:r>
        <w:t xml:space="preserve">l </w:t>
      </w:r>
      <w:r w:rsidRPr="00D06B19">
        <w:t>describe the measures taken or proposed by the utility to reduce the potential exposure to electric and</w:t>
      </w:r>
      <w:r>
        <w:t xml:space="preserve"> </w:t>
      </w:r>
      <w:r w:rsidRPr="00D06B19">
        <w:t>magnetic fields generated by the proposed facilities, in compliance with Commission order”.</w:t>
      </w:r>
    </w:p>
  </w:footnote>
  <w:footnote w:id="54">
    <w:p w14:paraId="7231C49D" w14:textId="77777777" w:rsidR="00C92570" w:rsidRDefault="00C92570" w:rsidP="00C15998">
      <w:pPr>
        <w:pStyle w:val="FootnoteText"/>
      </w:pPr>
      <w:r>
        <w:rPr>
          <w:rStyle w:val="FootnoteReference"/>
        </w:rPr>
        <w:footnoteRef/>
      </w:r>
      <w:r>
        <w:t xml:space="preserve"> </w:t>
      </w:r>
      <w:r w:rsidR="00C15998">
        <w:t xml:space="preserve"> </w:t>
      </w:r>
      <w:r>
        <w:t xml:space="preserve">Notification of applicants about CPCN and PTC application deficiencies is required pursuant to </w:t>
      </w:r>
      <w:r w:rsidRPr="00FF28D8">
        <w:t>Government Code</w:t>
      </w:r>
      <w:r>
        <w:t xml:space="preserve"> </w:t>
      </w:r>
      <w:r w:rsidR="00DC14AC">
        <w:t>Section </w:t>
      </w:r>
      <w:r w:rsidRPr="00FF28D8">
        <w:t>65943</w:t>
      </w:r>
      <w:r w:rsidR="00F87C69">
        <w:t xml:space="preserve"> and </w:t>
      </w:r>
      <w:r w:rsidR="00F87C69" w:rsidRPr="00F87C69">
        <w:t>CEQA Guidelines Section 15101</w:t>
      </w:r>
      <w:r>
        <w:t>.</w:t>
      </w:r>
    </w:p>
  </w:footnote>
  <w:footnote w:id="55">
    <w:p w14:paraId="7A50AC19" w14:textId="77777777" w:rsidR="00C92570" w:rsidRDefault="00C92570" w:rsidP="00C15998">
      <w:pPr>
        <w:pStyle w:val="FootnoteText"/>
      </w:pPr>
      <w:r>
        <w:rPr>
          <w:rStyle w:val="FootnoteReference"/>
        </w:rPr>
        <w:footnoteRef/>
      </w:r>
      <w:r>
        <w:t xml:space="preserve"> </w:t>
      </w:r>
      <w:r w:rsidR="00C15998">
        <w:t xml:space="preserve"> </w:t>
      </w:r>
      <w:r w:rsidR="00B91AC5" w:rsidRPr="0076248D">
        <w:t>Staff Proposal at 93.</w:t>
      </w:r>
    </w:p>
  </w:footnote>
  <w:footnote w:id="56">
    <w:p w14:paraId="03E73F09" w14:textId="77777777" w:rsidR="00C92570" w:rsidRDefault="00C92570" w:rsidP="00C15998">
      <w:pPr>
        <w:pStyle w:val="FootnoteText"/>
      </w:pPr>
      <w:r>
        <w:rPr>
          <w:rStyle w:val="FootnoteReference"/>
        </w:rPr>
        <w:footnoteRef/>
      </w:r>
      <w:r w:rsidR="00321740">
        <w:t xml:space="preserve"> </w:t>
      </w:r>
      <w:r w:rsidR="00C15998">
        <w:t xml:space="preserve"> </w:t>
      </w:r>
      <w:r w:rsidR="00D7360A">
        <w:t xml:space="preserve">Joint Motion for Adoption of </w:t>
      </w:r>
      <w:r w:rsidR="00321740">
        <w:t>Settling Parties</w:t>
      </w:r>
      <w:r w:rsidR="00D7360A">
        <w:t>’ Settlement Agreement</w:t>
      </w:r>
      <w:r w:rsidR="00C829D6">
        <w:t xml:space="preserve"> </w:t>
      </w:r>
      <w:r w:rsidR="00D7360A">
        <w:t>a</w:t>
      </w:r>
      <w:r w:rsidR="00C829D6">
        <w:t>t 9.</w:t>
      </w:r>
    </w:p>
  </w:footnote>
  <w:footnote w:id="57">
    <w:p w14:paraId="5969EACC" w14:textId="77777777" w:rsidR="00C92570" w:rsidRDefault="00C92570" w:rsidP="00C15998">
      <w:pPr>
        <w:pStyle w:val="FootnoteText"/>
      </w:pPr>
      <w:r>
        <w:rPr>
          <w:rStyle w:val="FootnoteReference"/>
        </w:rPr>
        <w:footnoteRef/>
      </w:r>
      <w:r>
        <w:t xml:space="preserve"> </w:t>
      </w:r>
      <w:r w:rsidR="00C15998">
        <w:t xml:space="preserve"> </w:t>
      </w:r>
      <w:r>
        <w:t xml:space="preserve">Staff Proposal at 77-78 </w:t>
      </w:r>
      <w:r w:rsidR="00856C2A" w:rsidRPr="00856C2A">
        <w:t xml:space="preserve">provides a </w:t>
      </w:r>
      <w:r>
        <w:t>full description.</w:t>
      </w:r>
    </w:p>
  </w:footnote>
  <w:footnote w:id="58">
    <w:p w14:paraId="4F618C98" w14:textId="77777777" w:rsidR="00C92570" w:rsidRDefault="00C92570" w:rsidP="00C15998">
      <w:pPr>
        <w:pStyle w:val="FootnoteText"/>
      </w:pPr>
      <w:r>
        <w:rPr>
          <w:rStyle w:val="FootnoteReference"/>
        </w:rPr>
        <w:footnoteRef/>
      </w:r>
      <w:r w:rsidR="00D94FAD">
        <w:t xml:space="preserve"> </w:t>
      </w:r>
      <w:r w:rsidR="00C15998">
        <w:t xml:space="preserve"> </w:t>
      </w:r>
      <w:r w:rsidR="00D94FAD">
        <w:t>Joint Motion for Adoption of Settling Parties’ Settlement Agreement at 10.</w:t>
      </w:r>
    </w:p>
  </w:footnote>
  <w:footnote w:id="59">
    <w:p w14:paraId="6C5B800D" w14:textId="77777777" w:rsidR="00C92570" w:rsidRDefault="00C92570" w:rsidP="00C15998">
      <w:pPr>
        <w:pStyle w:val="FootnoteText"/>
      </w:pPr>
      <w:r>
        <w:rPr>
          <w:rStyle w:val="FootnoteReference"/>
        </w:rPr>
        <w:footnoteRef/>
      </w:r>
      <w:r w:rsidR="00D94FAD">
        <w:t xml:space="preserve"> </w:t>
      </w:r>
      <w:r w:rsidR="00C15998">
        <w:t xml:space="preserve"> </w:t>
      </w:r>
      <w:r>
        <w:t>Staff Proposal at 78.</w:t>
      </w:r>
    </w:p>
  </w:footnote>
  <w:footnote w:id="60">
    <w:p w14:paraId="0D4C74F4" w14:textId="77777777" w:rsidR="00C92570" w:rsidRDefault="00C92570" w:rsidP="00C15998">
      <w:pPr>
        <w:pStyle w:val="FootnoteText"/>
      </w:pPr>
      <w:r>
        <w:rPr>
          <w:rStyle w:val="FootnoteReference"/>
        </w:rPr>
        <w:footnoteRef/>
      </w:r>
      <w:r>
        <w:t xml:space="preserve"> </w:t>
      </w:r>
      <w:r w:rsidR="00C15998">
        <w:t xml:space="preserve"> </w:t>
      </w:r>
      <w:r w:rsidRPr="00563803">
        <w:rPr>
          <w:i/>
          <w:iCs/>
        </w:rPr>
        <w:t>Id.</w:t>
      </w:r>
      <w:r>
        <w:t xml:space="preserve"> at 79.</w:t>
      </w:r>
    </w:p>
  </w:footnote>
  <w:footnote w:id="61">
    <w:p w14:paraId="492F5C6D" w14:textId="77777777" w:rsidR="00C92570" w:rsidRDefault="00C92570" w:rsidP="00C15998">
      <w:pPr>
        <w:pStyle w:val="FootnoteText"/>
      </w:pPr>
      <w:r>
        <w:rPr>
          <w:rStyle w:val="FootnoteReference"/>
        </w:rPr>
        <w:footnoteRef/>
      </w:r>
      <w:r>
        <w:t xml:space="preserve"> </w:t>
      </w:r>
      <w:r w:rsidR="00C15998">
        <w:t xml:space="preserve"> </w:t>
      </w:r>
      <w:r w:rsidRPr="00563803">
        <w:rPr>
          <w:i/>
          <w:iCs/>
        </w:rPr>
        <w:t>Id.</w:t>
      </w:r>
      <w:r>
        <w:t xml:space="preserve"> at 79.</w:t>
      </w:r>
    </w:p>
  </w:footnote>
  <w:footnote w:id="62">
    <w:p w14:paraId="38F9ACBF" w14:textId="77777777" w:rsidR="00C92570" w:rsidRDefault="00C92570" w:rsidP="00C15998">
      <w:pPr>
        <w:pStyle w:val="FootnoteText"/>
      </w:pPr>
      <w:r>
        <w:rPr>
          <w:rStyle w:val="FootnoteReference"/>
        </w:rPr>
        <w:footnoteRef/>
      </w:r>
      <w:r>
        <w:t xml:space="preserve"> </w:t>
      </w:r>
      <w:r w:rsidR="00C15998">
        <w:t xml:space="preserve"> </w:t>
      </w:r>
      <w:r w:rsidRPr="00C50207">
        <w:rPr>
          <w:i/>
          <w:iCs/>
        </w:rPr>
        <w:t>Id.</w:t>
      </w:r>
      <w:r>
        <w:t xml:space="preserve"> at 81-82.</w:t>
      </w:r>
    </w:p>
  </w:footnote>
  <w:footnote w:id="63">
    <w:p w14:paraId="5D64EB7C" w14:textId="77777777" w:rsidR="00C92570" w:rsidRDefault="00C92570" w:rsidP="00C15998">
      <w:pPr>
        <w:pStyle w:val="FootnoteText"/>
      </w:pPr>
      <w:r>
        <w:rPr>
          <w:rStyle w:val="FootnoteReference"/>
        </w:rPr>
        <w:footnoteRef/>
      </w:r>
      <w:r w:rsidR="00D94FAD">
        <w:t xml:space="preserve"> </w:t>
      </w:r>
      <w:r w:rsidR="00C15998">
        <w:t xml:space="preserve"> </w:t>
      </w:r>
      <w:r>
        <w:t>Staff Proposal at 86.</w:t>
      </w:r>
    </w:p>
  </w:footnote>
  <w:footnote w:id="64">
    <w:p w14:paraId="03AAD48F" w14:textId="77777777" w:rsidR="00C92570" w:rsidRDefault="00C92570" w:rsidP="00C15998">
      <w:pPr>
        <w:pStyle w:val="FootnoteText"/>
      </w:pPr>
      <w:r>
        <w:rPr>
          <w:rStyle w:val="FootnoteReference"/>
        </w:rPr>
        <w:footnoteRef/>
      </w:r>
      <w:r>
        <w:t xml:space="preserve"> </w:t>
      </w:r>
      <w:r w:rsidR="00C15998">
        <w:t xml:space="preserve"> </w:t>
      </w:r>
      <w:r w:rsidRPr="00603AD8">
        <w:rPr>
          <w:i/>
          <w:iCs/>
        </w:rPr>
        <w:t>Id.</w:t>
      </w:r>
      <w:r>
        <w:t xml:space="preserve"> at 83.</w:t>
      </w:r>
    </w:p>
  </w:footnote>
  <w:footnote w:id="65">
    <w:p w14:paraId="4BA923A0" w14:textId="77777777" w:rsidR="00C92570" w:rsidRDefault="00C92570" w:rsidP="00C15998">
      <w:pPr>
        <w:pStyle w:val="FootnoteText"/>
      </w:pPr>
      <w:r>
        <w:rPr>
          <w:rStyle w:val="FootnoteReference"/>
        </w:rPr>
        <w:footnoteRef/>
      </w:r>
      <w:r>
        <w:t xml:space="preserve"> </w:t>
      </w:r>
      <w:r w:rsidR="00C15998">
        <w:t xml:space="preserve"> </w:t>
      </w:r>
      <w:r w:rsidRPr="00940882">
        <w:rPr>
          <w:i/>
          <w:iCs/>
        </w:rPr>
        <w:t>Id.</w:t>
      </w:r>
      <w:r>
        <w:t xml:space="preserve"> at 84.</w:t>
      </w:r>
    </w:p>
  </w:footnote>
  <w:footnote w:id="66">
    <w:p w14:paraId="32C89B60" w14:textId="77777777" w:rsidR="00656780" w:rsidRDefault="00656780">
      <w:pPr>
        <w:pStyle w:val="FootnoteText"/>
      </w:pPr>
      <w:r>
        <w:rPr>
          <w:rStyle w:val="FootnoteReference"/>
        </w:rPr>
        <w:footnoteRef/>
      </w:r>
      <w:r>
        <w:t xml:space="preserve"> </w:t>
      </w:r>
      <w:r w:rsidR="007B0FAF">
        <w:t xml:space="preserve"> </w:t>
      </w:r>
      <w:r>
        <w:rPr>
          <w:i/>
          <w:iCs/>
        </w:rPr>
        <w:t>Id.</w:t>
      </w:r>
      <w:r>
        <w:t xml:space="preserve"> at Appendix C.</w:t>
      </w:r>
    </w:p>
  </w:footnote>
  <w:footnote w:id="67">
    <w:p w14:paraId="54FD7B14" w14:textId="77777777" w:rsidR="007D30AC" w:rsidRDefault="007D30AC" w:rsidP="007D30AC">
      <w:pPr>
        <w:pStyle w:val="FootnoteText"/>
      </w:pPr>
      <w:r>
        <w:rPr>
          <w:rStyle w:val="FootnoteReference"/>
        </w:rPr>
        <w:footnoteRef/>
      </w:r>
      <w:r>
        <w:t xml:space="preserve">  </w:t>
      </w:r>
      <w:r w:rsidRPr="007058EC">
        <w:rPr>
          <w:i/>
          <w:iCs/>
        </w:rPr>
        <w:t>Id.</w:t>
      </w:r>
      <w:r>
        <w:t xml:space="preserve"> at 88.</w:t>
      </w:r>
    </w:p>
  </w:footnote>
  <w:footnote w:id="68">
    <w:p w14:paraId="1B6799DD" w14:textId="77777777" w:rsidR="00C92570" w:rsidRDefault="00C92570" w:rsidP="00C15998">
      <w:pPr>
        <w:pStyle w:val="FootnoteText"/>
      </w:pPr>
      <w:r>
        <w:rPr>
          <w:rStyle w:val="FootnoteReference"/>
        </w:rPr>
        <w:footnoteRef/>
      </w:r>
      <w:r>
        <w:t xml:space="preserve"> </w:t>
      </w:r>
      <w:r w:rsidR="00C15998">
        <w:t xml:space="preserve"> </w:t>
      </w:r>
      <w:r w:rsidRPr="00EF4D16">
        <w:rPr>
          <w:i/>
          <w:iCs/>
        </w:rPr>
        <w:t>Id.</w:t>
      </w:r>
      <w:r>
        <w:t xml:space="preserve"> at 90.</w:t>
      </w:r>
    </w:p>
  </w:footnote>
  <w:footnote w:id="69">
    <w:p w14:paraId="708686D4" w14:textId="77777777" w:rsidR="00C92570" w:rsidRPr="000228DF" w:rsidRDefault="00C92570" w:rsidP="00C15998">
      <w:pPr>
        <w:pStyle w:val="FootnoteText"/>
      </w:pPr>
      <w:r w:rsidRPr="000228DF">
        <w:rPr>
          <w:rStyle w:val="FootnoteReference"/>
        </w:rPr>
        <w:footnoteRef/>
      </w:r>
      <w:r w:rsidR="009A3EA4">
        <w:t xml:space="preserve"> </w:t>
      </w:r>
      <w:r w:rsidR="00C15998">
        <w:t xml:space="preserve"> </w:t>
      </w:r>
      <w:r w:rsidRPr="000228DF">
        <w:t xml:space="preserve">PG&amp;E Opening Comments </w:t>
      </w:r>
      <w:r w:rsidR="00D94FAD">
        <w:t xml:space="preserve">on Staff Proposal </w:t>
      </w:r>
      <w:r w:rsidRPr="000228DF">
        <w:t>at 16.</w:t>
      </w:r>
    </w:p>
  </w:footnote>
  <w:footnote w:id="70">
    <w:p w14:paraId="73EF6128" w14:textId="77777777" w:rsidR="00C92570" w:rsidRPr="000228DF" w:rsidRDefault="00C92570" w:rsidP="00C15998">
      <w:pPr>
        <w:pStyle w:val="FootnoteText"/>
      </w:pPr>
      <w:r w:rsidRPr="000228DF">
        <w:rPr>
          <w:rStyle w:val="FootnoteReference"/>
        </w:rPr>
        <w:footnoteRef/>
      </w:r>
      <w:r w:rsidR="009A3EA4" w:rsidRPr="00543C60">
        <w:rPr>
          <w:iCs/>
        </w:rPr>
        <w:t xml:space="preserve"> </w:t>
      </w:r>
      <w:r w:rsidR="00C15998">
        <w:rPr>
          <w:iCs/>
        </w:rPr>
        <w:t xml:space="preserve"> </w:t>
      </w:r>
      <w:r w:rsidR="009A3EA4" w:rsidRPr="001C0CAB">
        <w:rPr>
          <w:iCs/>
        </w:rPr>
        <w:t>IE</w:t>
      </w:r>
      <w:r w:rsidR="00543C60">
        <w:t>P</w:t>
      </w:r>
      <w:r w:rsidR="00D94FAD">
        <w:t xml:space="preserve"> Opening Comments on Staff Proposal at 5.</w:t>
      </w:r>
    </w:p>
  </w:footnote>
  <w:footnote w:id="71">
    <w:p w14:paraId="416F3C55" w14:textId="77777777" w:rsidR="00C92570" w:rsidRPr="000228DF" w:rsidRDefault="00C92570" w:rsidP="00C15998">
      <w:pPr>
        <w:pStyle w:val="FootnoteText"/>
      </w:pPr>
      <w:r w:rsidRPr="000228DF">
        <w:rPr>
          <w:rStyle w:val="FootnoteReference"/>
        </w:rPr>
        <w:footnoteRef/>
      </w:r>
      <w:r w:rsidR="00C76BF7" w:rsidRPr="000228DF">
        <w:t xml:space="preserve"> </w:t>
      </w:r>
      <w:r w:rsidR="00C15998">
        <w:t xml:space="preserve"> </w:t>
      </w:r>
      <w:r w:rsidRPr="000228DF">
        <w:t xml:space="preserve">SDG&amp;E Opening Comments </w:t>
      </w:r>
      <w:r w:rsidR="00D94FAD">
        <w:t xml:space="preserve">on Staff Proposal </w:t>
      </w:r>
      <w:r w:rsidRPr="000228DF">
        <w:t>at 62.</w:t>
      </w:r>
    </w:p>
  </w:footnote>
  <w:footnote w:id="72">
    <w:p w14:paraId="636A6C02" w14:textId="77777777" w:rsidR="00C92570" w:rsidRPr="000228DF" w:rsidRDefault="00C92570" w:rsidP="00C15998">
      <w:pPr>
        <w:pStyle w:val="FootnoteText"/>
      </w:pPr>
      <w:r w:rsidRPr="000228DF">
        <w:rPr>
          <w:rStyle w:val="FootnoteReference"/>
        </w:rPr>
        <w:footnoteRef/>
      </w:r>
      <w:r w:rsidR="00C76BF7" w:rsidRPr="000228DF">
        <w:t xml:space="preserve"> </w:t>
      </w:r>
      <w:r w:rsidR="00C15998">
        <w:t xml:space="preserve"> </w:t>
      </w:r>
      <w:r w:rsidRPr="000228DF">
        <w:t xml:space="preserve">LSPGC Opening Comments </w:t>
      </w:r>
      <w:r w:rsidR="00D94FAD">
        <w:t xml:space="preserve">on Staff Proposal </w:t>
      </w:r>
      <w:r w:rsidRPr="000228DF">
        <w:t>at 10.</w:t>
      </w:r>
    </w:p>
  </w:footnote>
  <w:footnote w:id="73">
    <w:p w14:paraId="04BE6E7C" w14:textId="77777777" w:rsidR="00C92570" w:rsidRDefault="00C92570" w:rsidP="00C15998">
      <w:pPr>
        <w:pStyle w:val="FootnoteText"/>
      </w:pPr>
      <w:r w:rsidRPr="00A1082E">
        <w:rPr>
          <w:rStyle w:val="FootnoteReference"/>
        </w:rPr>
        <w:footnoteRef/>
      </w:r>
      <w:r w:rsidR="00C76BF7">
        <w:t xml:space="preserve"> </w:t>
      </w:r>
      <w:r w:rsidR="00C15998">
        <w:t xml:space="preserve"> </w:t>
      </w:r>
      <w:r w:rsidR="00A1082E" w:rsidRPr="001C0CAB">
        <w:t>SCE Reply Comments on Staff Proposal at 19.</w:t>
      </w:r>
    </w:p>
  </w:footnote>
  <w:footnote w:id="74">
    <w:p w14:paraId="18A131CA" w14:textId="77777777" w:rsidR="00C92570" w:rsidRDefault="00C92570" w:rsidP="00C15998">
      <w:pPr>
        <w:pStyle w:val="FootnoteText"/>
      </w:pPr>
      <w:r>
        <w:rPr>
          <w:rStyle w:val="FootnoteReference"/>
        </w:rPr>
        <w:footnoteRef/>
      </w:r>
      <w:r w:rsidR="00C76BF7">
        <w:t xml:space="preserve"> </w:t>
      </w:r>
      <w:r w:rsidR="00C15998">
        <w:t xml:space="preserve"> </w:t>
      </w:r>
      <w:r>
        <w:t>PG&amp;E Opening Comments at 16.</w:t>
      </w:r>
    </w:p>
  </w:footnote>
  <w:footnote w:id="75">
    <w:p w14:paraId="7AFFC255" w14:textId="77777777" w:rsidR="00C92570" w:rsidRDefault="00C92570" w:rsidP="00C15998">
      <w:pPr>
        <w:pStyle w:val="FootnoteText"/>
      </w:pPr>
      <w:r>
        <w:rPr>
          <w:rStyle w:val="FootnoteReference"/>
        </w:rPr>
        <w:footnoteRef/>
      </w:r>
      <w:r w:rsidR="00C76BF7">
        <w:t xml:space="preserve"> </w:t>
      </w:r>
      <w:r w:rsidR="00C15998">
        <w:t xml:space="preserve"> </w:t>
      </w:r>
      <w:r>
        <w:t>Cal Advocates Opening Comments at 12.</w:t>
      </w:r>
    </w:p>
  </w:footnote>
  <w:footnote w:id="76">
    <w:p w14:paraId="40CF40AC" w14:textId="77777777" w:rsidR="00C92570" w:rsidRDefault="00C92570" w:rsidP="00C15998">
      <w:pPr>
        <w:pStyle w:val="FootnoteText"/>
      </w:pPr>
      <w:r>
        <w:rPr>
          <w:rStyle w:val="FootnoteReference"/>
        </w:rPr>
        <w:footnoteRef/>
      </w:r>
      <w:r w:rsidR="00513A09">
        <w:t xml:space="preserve"> </w:t>
      </w:r>
      <w:r w:rsidR="00C15998">
        <w:t xml:space="preserve"> </w:t>
      </w:r>
      <w:r w:rsidR="0083747A" w:rsidRPr="0083747A">
        <w:t xml:space="preserve">Horizon West Transmission, LLC, </w:t>
      </w:r>
      <w:r w:rsidR="00AB634A">
        <w:t xml:space="preserve">Trans Bay Cable LLC, </w:t>
      </w:r>
      <w:r w:rsidR="0083747A" w:rsidRPr="0083747A">
        <w:t xml:space="preserve">and </w:t>
      </w:r>
      <w:r w:rsidR="0083747A" w:rsidRPr="0083747A">
        <w:t>GridLiance West LLC</w:t>
      </w:r>
      <w:r>
        <w:t xml:space="preserve"> Opening Comments at 18.</w:t>
      </w:r>
    </w:p>
  </w:footnote>
  <w:footnote w:id="77">
    <w:p w14:paraId="69F0E1D2" w14:textId="77777777" w:rsidR="00C92570" w:rsidRDefault="00C92570" w:rsidP="00C15998">
      <w:pPr>
        <w:pStyle w:val="FootnoteText"/>
      </w:pPr>
      <w:r>
        <w:rPr>
          <w:rStyle w:val="FootnoteReference"/>
        </w:rPr>
        <w:footnoteRef/>
      </w:r>
      <w:r>
        <w:t xml:space="preserve"> </w:t>
      </w:r>
      <w:r w:rsidR="00C15998">
        <w:t xml:space="preserve"> </w:t>
      </w:r>
      <w:r>
        <w:t>Cal Advocates Opening Comment at 14.</w:t>
      </w:r>
    </w:p>
  </w:footnote>
  <w:footnote w:id="78">
    <w:p w14:paraId="59141F3D" w14:textId="77777777" w:rsidR="00C92570" w:rsidRDefault="00C92570" w:rsidP="00C15998">
      <w:pPr>
        <w:pStyle w:val="FootnoteText"/>
      </w:pPr>
      <w:r>
        <w:rPr>
          <w:rStyle w:val="FootnoteReference"/>
        </w:rPr>
        <w:footnoteRef/>
      </w:r>
      <w:r>
        <w:t xml:space="preserve"> </w:t>
      </w:r>
      <w:r w:rsidR="00C15998">
        <w:t xml:space="preserve"> </w:t>
      </w:r>
      <w:r>
        <w:t>Staff Proposal at 78.</w:t>
      </w:r>
    </w:p>
  </w:footnote>
  <w:footnote w:id="79">
    <w:p w14:paraId="73FF3ADA" w14:textId="77777777" w:rsidR="00AE603B" w:rsidRDefault="00AE603B">
      <w:pPr>
        <w:pStyle w:val="FootnoteText"/>
      </w:pPr>
      <w:r>
        <w:rPr>
          <w:rStyle w:val="FootnoteReference"/>
        </w:rPr>
        <w:footnoteRef/>
      </w:r>
      <w:r>
        <w:t xml:space="preserve"> </w:t>
      </w:r>
      <w:r w:rsidR="006F0ED0">
        <w:t xml:space="preserve"> </w:t>
      </w:r>
      <w:r w:rsidR="006963F8">
        <w:t>Note that a</w:t>
      </w:r>
      <w:r w:rsidR="006F0ED0">
        <w:t xml:space="preserve"> </w:t>
      </w:r>
      <w:r>
        <w:t>draft version</w:t>
      </w:r>
      <w:r w:rsidR="006963F8">
        <w:t xml:space="preserve"> of a CEQA document is </w:t>
      </w:r>
      <w:r w:rsidR="0048158B">
        <w:t xml:space="preserve">not the </w:t>
      </w:r>
      <w:r w:rsidR="00326420" w:rsidRPr="00326420">
        <w:t>public draft CEQA document for the project.</w:t>
      </w:r>
    </w:p>
  </w:footnote>
  <w:footnote w:id="80">
    <w:p w14:paraId="2181B947" w14:textId="77777777" w:rsidR="00C92570" w:rsidRDefault="00C92570" w:rsidP="00C15998">
      <w:pPr>
        <w:pStyle w:val="FootnoteText"/>
      </w:pPr>
      <w:r>
        <w:rPr>
          <w:rStyle w:val="FootnoteReference"/>
        </w:rPr>
        <w:footnoteRef/>
      </w:r>
      <w:r>
        <w:t xml:space="preserve"> </w:t>
      </w:r>
      <w:r w:rsidR="00C15998">
        <w:t xml:space="preserve"> </w:t>
      </w:r>
      <w:r>
        <w:t>Staff Proposal at 80.</w:t>
      </w:r>
    </w:p>
  </w:footnote>
  <w:footnote w:id="81">
    <w:p w14:paraId="08ADAAD8" w14:textId="77777777" w:rsidR="00C92570" w:rsidRDefault="00C92570" w:rsidP="00C15998">
      <w:pPr>
        <w:pStyle w:val="FootnoteText"/>
      </w:pPr>
      <w:r>
        <w:rPr>
          <w:rStyle w:val="FootnoteReference"/>
        </w:rPr>
        <w:footnoteRef/>
      </w:r>
      <w:r>
        <w:t xml:space="preserve"> </w:t>
      </w:r>
      <w:r w:rsidR="00C15998">
        <w:t xml:space="preserve"> </w:t>
      </w:r>
      <w:r w:rsidRPr="00B55C4E">
        <w:rPr>
          <w:i/>
          <w:iCs/>
        </w:rPr>
        <w:t>Id.</w:t>
      </w:r>
      <w:r>
        <w:t xml:space="preserve"> at 11.</w:t>
      </w:r>
    </w:p>
  </w:footnote>
  <w:footnote w:id="82">
    <w:p w14:paraId="097FCFFA" w14:textId="77777777" w:rsidR="00C92570" w:rsidRDefault="00C92570" w:rsidP="00C15998">
      <w:pPr>
        <w:pStyle w:val="FootnoteText"/>
      </w:pPr>
      <w:r>
        <w:rPr>
          <w:rStyle w:val="FootnoteReference"/>
        </w:rPr>
        <w:footnoteRef/>
      </w:r>
      <w:r>
        <w:t xml:space="preserve"> </w:t>
      </w:r>
      <w:r w:rsidR="00C15998">
        <w:t xml:space="preserve"> </w:t>
      </w:r>
      <w:r w:rsidRPr="00205A83">
        <w:rPr>
          <w:i/>
          <w:iCs/>
        </w:rPr>
        <w:t>Id.</w:t>
      </w:r>
      <w:r>
        <w:t xml:space="preserve"> at 40-41.</w:t>
      </w:r>
    </w:p>
  </w:footnote>
  <w:footnote w:id="83">
    <w:p w14:paraId="075A6372" w14:textId="77777777" w:rsidR="00C92570" w:rsidRDefault="00C92570" w:rsidP="00C15998">
      <w:pPr>
        <w:pStyle w:val="FootnoteText"/>
      </w:pPr>
      <w:r>
        <w:rPr>
          <w:rStyle w:val="FootnoteReference"/>
        </w:rPr>
        <w:footnoteRef/>
      </w:r>
      <w:r>
        <w:t xml:space="preserve"> </w:t>
      </w:r>
      <w:r w:rsidR="00C15998">
        <w:t xml:space="preserve"> </w:t>
      </w:r>
      <w:r>
        <w:t>Cal Advocates’ Opening Comments on Phase 2 Issues at 13.</w:t>
      </w:r>
    </w:p>
  </w:footnote>
  <w:footnote w:id="84">
    <w:p w14:paraId="31A5B3AD" w14:textId="77777777" w:rsidR="00C92570" w:rsidRDefault="00C92570" w:rsidP="00C15998">
      <w:pPr>
        <w:pStyle w:val="FootnoteText"/>
      </w:pPr>
      <w:r>
        <w:rPr>
          <w:rStyle w:val="FootnoteReference"/>
        </w:rPr>
        <w:footnoteRef/>
      </w:r>
      <w:r w:rsidR="00A51E18" w:rsidRPr="001C0CAB">
        <w:rPr>
          <w:i/>
        </w:rPr>
        <w:t xml:space="preserve"> </w:t>
      </w:r>
      <w:r w:rsidR="00C15998">
        <w:rPr>
          <w:i/>
        </w:rPr>
        <w:t xml:space="preserve"> </w:t>
      </w:r>
      <w:r>
        <w:t>Staff Proposal at 95.</w:t>
      </w:r>
    </w:p>
  </w:footnote>
  <w:footnote w:id="85">
    <w:p w14:paraId="3CEAD495" w14:textId="77777777" w:rsidR="00C92570" w:rsidRDefault="00C92570" w:rsidP="00C15998">
      <w:pPr>
        <w:pStyle w:val="FootnoteText"/>
      </w:pPr>
      <w:r>
        <w:rPr>
          <w:rStyle w:val="FootnoteReference"/>
        </w:rPr>
        <w:footnoteRef/>
      </w:r>
      <w:r>
        <w:t xml:space="preserve"> </w:t>
      </w:r>
      <w:r w:rsidR="00C15998">
        <w:t xml:space="preserve"> </w:t>
      </w:r>
      <w:r w:rsidRPr="00AE2FC3">
        <w:rPr>
          <w:i/>
          <w:iCs/>
        </w:rPr>
        <w:t>Id.</w:t>
      </w:r>
      <w:r>
        <w:t xml:space="preserve"> at 96-97.</w:t>
      </w:r>
    </w:p>
  </w:footnote>
  <w:footnote w:id="86">
    <w:p w14:paraId="17EA1EB7" w14:textId="77777777" w:rsidR="00C92570" w:rsidRDefault="00C92570" w:rsidP="00C15998">
      <w:pPr>
        <w:pStyle w:val="FootnoteText"/>
      </w:pPr>
      <w:r>
        <w:rPr>
          <w:rStyle w:val="FootnoteReference"/>
        </w:rPr>
        <w:footnoteRef/>
      </w:r>
      <w:r w:rsidR="007F13BB" w:rsidRPr="00F91523">
        <w:t xml:space="preserve"> </w:t>
      </w:r>
      <w:r w:rsidR="00C15998">
        <w:t xml:space="preserve"> </w:t>
      </w:r>
      <w:r>
        <w:t>Staff Proposal at 101-103.</w:t>
      </w:r>
    </w:p>
  </w:footnote>
  <w:footnote w:id="87">
    <w:p w14:paraId="0BA90A01" w14:textId="77777777" w:rsidR="00C92570" w:rsidRDefault="00C92570" w:rsidP="00C15998">
      <w:pPr>
        <w:pStyle w:val="FootnoteText"/>
      </w:pPr>
      <w:r>
        <w:rPr>
          <w:rStyle w:val="FootnoteReference"/>
        </w:rPr>
        <w:footnoteRef/>
      </w:r>
      <w:r>
        <w:t xml:space="preserve"> </w:t>
      </w:r>
      <w:r w:rsidR="00C15998">
        <w:t xml:space="preserve"> </w:t>
      </w:r>
      <w:r w:rsidRPr="00B16471">
        <w:rPr>
          <w:i/>
          <w:iCs/>
        </w:rPr>
        <w:t>Id.</w:t>
      </w:r>
      <w:r>
        <w:t xml:space="preserve"> at 97-100.</w:t>
      </w:r>
    </w:p>
  </w:footnote>
  <w:footnote w:id="88">
    <w:p w14:paraId="6EF192B1" w14:textId="77777777" w:rsidR="00C92570" w:rsidRDefault="00C92570" w:rsidP="00C15998">
      <w:pPr>
        <w:pStyle w:val="FootnoteText"/>
      </w:pPr>
      <w:r>
        <w:rPr>
          <w:rStyle w:val="FootnoteReference"/>
        </w:rPr>
        <w:footnoteRef/>
      </w:r>
      <w:r w:rsidR="007F13BB">
        <w:t xml:space="preserve"> </w:t>
      </w:r>
      <w:r w:rsidR="00C15998">
        <w:t xml:space="preserve"> </w:t>
      </w:r>
      <w:r w:rsidR="007F13BB">
        <w:t>Sta</w:t>
      </w:r>
      <w:r>
        <w:t>ff Proposal at 101-107.</w:t>
      </w:r>
    </w:p>
  </w:footnote>
  <w:footnote w:id="89">
    <w:p w14:paraId="44957155" w14:textId="77777777" w:rsidR="00C92570" w:rsidRPr="00595B40" w:rsidRDefault="00C92570" w:rsidP="00C15998">
      <w:pPr>
        <w:pStyle w:val="Standard"/>
        <w:spacing w:after="120" w:line="240" w:lineRule="auto"/>
        <w:ind w:firstLine="0"/>
        <w:rPr>
          <w:i/>
          <w:iCs/>
          <w:sz w:val="22"/>
        </w:rPr>
      </w:pPr>
      <w:r w:rsidRPr="00595B40">
        <w:rPr>
          <w:rStyle w:val="FootnoteReference"/>
          <w:sz w:val="22"/>
        </w:rPr>
        <w:footnoteRef/>
      </w:r>
      <w:r w:rsidR="000E177F" w:rsidRPr="00595B40">
        <w:rPr>
          <w:sz w:val="22"/>
        </w:rPr>
        <w:t xml:space="preserve"> </w:t>
      </w:r>
      <w:r w:rsidR="00C15998">
        <w:rPr>
          <w:sz w:val="22"/>
        </w:rPr>
        <w:t xml:space="preserve"> </w:t>
      </w:r>
      <w:r w:rsidRPr="00595B40">
        <w:rPr>
          <w:sz w:val="22"/>
        </w:rPr>
        <w:t>Cal Advocates’ Opening Comments on the Administrative Law Judges’ Ruling Inviting Comment on Phase 2 Issues, February 5, 2024, at 13-15</w:t>
      </w:r>
      <w:r w:rsidR="00E22333">
        <w:rPr>
          <w:sz w:val="22"/>
        </w:rPr>
        <w:t>.</w:t>
      </w:r>
    </w:p>
  </w:footnote>
  <w:footnote w:id="90">
    <w:p w14:paraId="3429AC69" w14:textId="77777777" w:rsidR="00C92570" w:rsidRDefault="00C92570" w:rsidP="00C15998">
      <w:pPr>
        <w:pStyle w:val="FootnoteText"/>
      </w:pPr>
      <w:r>
        <w:rPr>
          <w:rStyle w:val="FootnoteReference"/>
        </w:rPr>
        <w:footnoteRef/>
      </w:r>
      <w:r>
        <w:t xml:space="preserve"> </w:t>
      </w:r>
      <w:r w:rsidR="00C15998">
        <w:t xml:space="preserve"> </w:t>
      </w:r>
      <w:r>
        <w:t>Staff Proposal at 107.</w:t>
      </w:r>
    </w:p>
  </w:footnote>
  <w:footnote w:id="91">
    <w:p w14:paraId="3DC80C84" w14:textId="77777777" w:rsidR="00C92570" w:rsidRDefault="00C92570" w:rsidP="00C15998">
      <w:pPr>
        <w:pStyle w:val="FootnoteText"/>
      </w:pPr>
      <w:r w:rsidRPr="00DC2B4E">
        <w:rPr>
          <w:rStyle w:val="FootnoteReference"/>
        </w:rPr>
        <w:footnoteRef/>
      </w:r>
      <w:r w:rsidR="000E177F">
        <w:t xml:space="preserve"> </w:t>
      </w:r>
      <w:r w:rsidR="00C15998">
        <w:t xml:space="preserve"> </w:t>
      </w:r>
      <w:r>
        <w:t>Cal Advocates Opening Comments on Staff Proposal at 15.</w:t>
      </w:r>
    </w:p>
  </w:footnote>
  <w:footnote w:id="92">
    <w:p w14:paraId="3E94EBA9" w14:textId="77777777" w:rsidR="00C92570" w:rsidRDefault="00C92570" w:rsidP="00C15998">
      <w:pPr>
        <w:pStyle w:val="FootnoteText"/>
      </w:pPr>
      <w:r>
        <w:rPr>
          <w:rStyle w:val="FootnoteReference"/>
        </w:rPr>
        <w:footnoteRef/>
      </w:r>
      <w:r w:rsidR="000E177F">
        <w:t xml:space="preserve"> </w:t>
      </w:r>
      <w:r w:rsidR="00C15998">
        <w:t xml:space="preserve"> </w:t>
      </w:r>
      <w:r>
        <w:t>CBD and PCF Joint Opening Comments on Staff Proposal at 18.</w:t>
      </w:r>
    </w:p>
  </w:footnote>
  <w:footnote w:id="93">
    <w:p w14:paraId="722185B6" w14:textId="77777777" w:rsidR="00C92570" w:rsidRDefault="00C92570" w:rsidP="00C15998">
      <w:pPr>
        <w:pStyle w:val="FootnoteText"/>
      </w:pPr>
      <w:r>
        <w:rPr>
          <w:rStyle w:val="FootnoteReference"/>
        </w:rPr>
        <w:footnoteRef/>
      </w:r>
      <w:r w:rsidR="000E177F">
        <w:t xml:space="preserve"> </w:t>
      </w:r>
      <w:r w:rsidR="00C15998">
        <w:t xml:space="preserve"> </w:t>
      </w:r>
      <w:r>
        <w:t>RCRC Opening Comments on Staff Proposal at 11.</w:t>
      </w:r>
    </w:p>
  </w:footnote>
  <w:footnote w:id="94">
    <w:p w14:paraId="0B1396B9" w14:textId="77777777" w:rsidR="00C92570" w:rsidRDefault="00C92570" w:rsidP="00C15998">
      <w:pPr>
        <w:pStyle w:val="FootnoteText"/>
      </w:pPr>
      <w:r>
        <w:rPr>
          <w:rStyle w:val="FootnoteReference"/>
        </w:rPr>
        <w:footnoteRef/>
      </w:r>
      <w:r w:rsidR="000E177F">
        <w:t xml:space="preserve"> </w:t>
      </w:r>
      <w:r w:rsidR="00C15998">
        <w:t xml:space="preserve"> </w:t>
      </w:r>
      <w:r>
        <w:t>IEP Opening Comments on Staff Proposal at 6.</w:t>
      </w:r>
    </w:p>
  </w:footnote>
  <w:footnote w:id="95">
    <w:p w14:paraId="0989F793" w14:textId="77777777" w:rsidR="00C92570" w:rsidRDefault="00C92570" w:rsidP="00C15998">
      <w:pPr>
        <w:pStyle w:val="FootnoteText"/>
      </w:pPr>
      <w:r>
        <w:rPr>
          <w:rStyle w:val="FootnoteReference"/>
        </w:rPr>
        <w:footnoteRef/>
      </w:r>
      <w:r w:rsidR="00D959EB">
        <w:t xml:space="preserve"> </w:t>
      </w:r>
      <w:r w:rsidR="00C15998">
        <w:t xml:space="preserve"> </w:t>
      </w:r>
      <w:r>
        <w:t>LSA Opening Comments on Staff Proposal at 3.</w:t>
      </w:r>
    </w:p>
  </w:footnote>
  <w:footnote w:id="96">
    <w:p w14:paraId="0CEB7701" w14:textId="77777777" w:rsidR="00C92570" w:rsidRDefault="00C92570" w:rsidP="00C15998">
      <w:pPr>
        <w:pStyle w:val="FootnoteText"/>
      </w:pPr>
      <w:r>
        <w:rPr>
          <w:rStyle w:val="FootnoteReference"/>
        </w:rPr>
        <w:footnoteRef/>
      </w:r>
      <w:r w:rsidR="00D959EB">
        <w:t xml:space="preserve"> </w:t>
      </w:r>
      <w:r w:rsidR="00C15998">
        <w:t xml:space="preserve"> </w:t>
      </w:r>
      <w:r>
        <w:t>CEERT Opening Comments on Staff Proposal at 27.</w:t>
      </w:r>
    </w:p>
  </w:footnote>
  <w:footnote w:id="97">
    <w:p w14:paraId="40412878" w14:textId="77777777" w:rsidR="00C92570" w:rsidRDefault="00C92570" w:rsidP="00C15998">
      <w:pPr>
        <w:pStyle w:val="FootnoteText"/>
      </w:pPr>
      <w:r>
        <w:rPr>
          <w:rStyle w:val="FootnoteReference"/>
        </w:rPr>
        <w:footnoteRef/>
      </w:r>
      <w:r w:rsidR="00D959EB">
        <w:t xml:space="preserve"> </w:t>
      </w:r>
      <w:r w:rsidR="00C15998">
        <w:t xml:space="preserve"> </w:t>
      </w:r>
      <w:r>
        <w:t>LSPGC Opening Comments on Staff Proposal at 8.</w:t>
      </w:r>
    </w:p>
  </w:footnote>
  <w:footnote w:id="98">
    <w:p w14:paraId="1EBA6BE5" w14:textId="77777777" w:rsidR="00C92570" w:rsidRDefault="00C92570" w:rsidP="00C15998">
      <w:pPr>
        <w:pStyle w:val="FootnoteText"/>
      </w:pPr>
      <w:r>
        <w:rPr>
          <w:rStyle w:val="FootnoteReference"/>
        </w:rPr>
        <w:footnoteRef/>
      </w:r>
      <w:r w:rsidR="00D959EB">
        <w:t xml:space="preserve"> </w:t>
      </w:r>
      <w:r w:rsidR="00C15998">
        <w:t xml:space="preserve"> </w:t>
      </w:r>
      <w:r w:rsidR="002F4F00">
        <w:t>Transmission Owners’</w:t>
      </w:r>
      <w:r w:rsidR="00F46F18">
        <w:t xml:space="preserve"> </w:t>
      </w:r>
      <w:r w:rsidR="005B0821">
        <w:t xml:space="preserve">Opening Comments </w:t>
      </w:r>
      <w:r>
        <w:t>on Staff Proposal at 15.</w:t>
      </w:r>
    </w:p>
  </w:footnote>
  <w:footnote w:id="99">
    <w:p w14:paraId="70CA0409" w14:textId="77777777" w:rsidR="00C92570" w:rsidRDefault="00C92570" w:rsidP="00C15998">
      <w:pPr>
        <w:pStyle w:val="FootnoteText"/>
      </w:pPr>
      <w:r>
        <w:rPr>
          <w:rStyle w:val="FootnoteReference"/>
        </w:rPr>
        <w:footnoteRef/>
      </w:r>
      <w:r w:rsidR="00D959EB">
        <w:t xml:space="preserve"> </w:t>
      </w:r>
      <w:r w:rsidR="00C15998">
        <w:t xml:space="preserve"> </w:t>
      </w:r>
      <w:r>
        <w:t>SDG&amp;E Opening Comments on Staff Proposal at 65.</w:t>
      </w:r>
    </w:p>
  </w:footnote>
  <w:footnote w:id="100">
    <w:p w14:paraId="1109B0ED" w14:textId="77777777" w:rsidR="00C92570" w:rsidRDefault="00C92570" w:rsidP="00C15998">
      <w:pPr>
        <w:pStyle w:val="FootnoteText"/>
      </w:pPr>
      <w:r>
        <w:rPr>
          <w:rStyle w:val="FootnoteReference"/>
        </w:rPr>
        <w:footnoteRef/>
      </w:r>
      <w:r w:rsidR="00D959EB">
        <w:t xml:space="preserve"> </w:t>
      </w:r>
      <w:r w:rsidR="00C15998">
        <w:t xml:space="preserve"> </w:t>
      </w:r>
      <w:r>
        <w:t>SCE Opening Comments on Staff Proposal at 25.</w:t>
      </w:r>
    </w:p>
  </w:footnote>
  <w:footnote w:id="101">
    <w:p w14:paraId="3BD53E0D" w14:textId="77777777" w:rsidR="00C92570" w:rsidRDefault="00C92570" w:rsidP="00C15998">
      <w:pPr>
        <w:pStyle w:val="FootnoteText"/>
      </w:pPr>
      <w:r>
        <w:rPr>
          <w:rStyle w:val="FootnoteReference"/>
        </w:rPr>
        <w:footnoteRef/>
      </w:r>
      <w:r w:rsidR="00D959EB">
        <w:t xml:space="preserve"> </w:t>
      </w:r>
      <w:r w:rsidR="00C15998">
        <w:t xml:space="preserve"> </w:t>
      </w:r>
      <w:r>
        <w:t>Cal Advocates Opening Comments on Staff Proposal at 18.</w:t>
      </w:r>
    </w:p>
  </w:footnote>
  <w:footnote w:id="102">
    <w:p w14:paraId="7EBA5D46" w14:textId="77777777" w:rsidR="00C92570" w:rsidRDefault="00C92570" w:rsidP="00C15998">
      <w:pPr>
        <w:pStyle w:val="FootnoteText"/>
      </w:pPr>
      <w:r>
        <w:rPr>
          <w:rStyle w:val="FootnoteReference"/>
        </w:rPr>
        <w:footnoteRef/>
      </w:r>
      <w:r>
        <w:t xml:space="preserve"> </w:t>
      </w:r>
      <w:r w:rsidR="00C15998">
        <w:t xml:space="preserve"> </w:t>
      </w:r>
      <w:r>
        <w:t>Sierra Club Opening Comments on Staff Proposal at 9.</w:t>
      </w:r>
    </w:p>
  </w:footnote>
  <w:footnote w:id="103">
    <w:p w14:paraId="4E993D7D" w14:textId="77777777" w:rsidR="00C92570" w:rsidRDefault="00C92570" w:rsidP="00C15998">
      <w:pPr>
        <w:pStyle w:val="FootnoteText"/>
      </w:pPr>
      <w:r>
        <w:rPr>
          <w:rStyle w:val="FootnoteReference"/>
        </w:rPr>
        <w:footnoteRef/>
      </w:r>
      <w:r w:rsidR="00280869">
        <w:t xml:space="preserve"> </w:t>
      </w:r>
      <w:r w:rsidR="00C15998">
        <w:t xml:space="preserve"> </w:t>
      </w:r>
      <w:r>
        <w:t>PG&amp;E Opening Comments on Staff Proposal at 17.</w:t>
      </w:r>
    </w:p>
  </w:footnote>
  <w:footnote w:id="104">
    <w:p w14:paraId="67D8D660" w14:textId="77777777" w:rsidR="00C92570" w:rsidRDefault="00C92570" w:rsidP="00C15998">
      <w:pPr>
        <w:pStyle w:val="FootnoteText"/>
      </w:pPr>
      <w:r>
        <w:rPr>
          <w:rStyle w:val="FootnoteReference"/>
        </w:rPr>
        <w:footnoteRef/>
      </w:r>
      <w:r w:rsidR="00280869">
        <w:t xml:space="preserve"> </w:t>
      </w:r>
      <w:r w:rsidR="00C15998">
        <w:t xml:space="preserve"> </w:t>
      </w:r>
      <w:r>
        <w:t>SDG&amp;E Opening Comments on Staff Proposal at 78.</w:t>
      </w:r>
    </w:p>
  </w:footnote>
  <w:footnote w:id="105">
    <w:p w14:paraId="04A50548" w14:textId="77777777" w:rsidR="00C92570" w:rsidRDefault="00C92570" w:rsidP="00C15998">
      <w:pPr>
        <w:pStyle w:val="FootnoteText"/>
      </w:pPr>
      <w:r>
        <w:rPr>
          <w:rStyle w:val="FootnoteReference"/>
        </w:rPr>
        <w:footnoteRef/>
      </w:r>
      <w:r w:rsidR="00C15998">
        <w:t xml:space="preserve"> </w:t>
      </w:r>
      <w:r w:rsidR="00280869">
        <w:t xml:space="preserve"> </w:t>
      </w:r>
      <w:r>
        <w:t>CAISO Opening Comments on Staff Proposal at 2.</w:t>
      </w:r>
    </w:p>
  </w:footnote>
  <w:footnote w:id="106">
    <w:p w14:paraId="49C85DEB" w14:textId="77777777" w:rsidR="00C92570" w:rsidRDefault="00C92570" w:rsidP="00C15998">
      <w:pPr>
        <w:pStyle w:val="FootnoteText"/>
      </w:pPr>
      <w:r>
        <w:rPr>
          <w:rStyle w:val="FootnoteReference"/>
        </w:rPr>
        <w:footnoteRef/>
      </w:r>
      <w:r w:rsidR="003D54A5">
        <w:t xml:space="preserve"> </w:t>
      </w:r>
      <w:r w:rsidR="00C15998">
        <w:t xml:space="preserve"> </w:t>
      </w:r>
      <w:r>
        <w:t>CEERT Opening Comments on the Staff Proposal at 29.</w:t>
      </w:r>
    </w:p>
  </w:footnote>
  <w:footnote w:id="107">
    <w:p w14:paraId="26C7D425" w14:textId="77777777" w:rsidR="00C92570" w:rsidRDefault="00C92570" w:rsidP="00C15998">
      <w:pPr>
        <w:pStyle w:val="FootnoteText"/>
      </w:pPr>
      <w:r>
        <w:rPr>
          <w:rStyle w:val="FootnoteReference"/>
        </w:rPr>
        <w:footnoteRef/>
      </w:r>
      <w:r w:rsidR="003D54A5">
        <w:t xml:space="preserve"> </w:t>
      </w:r>
      <w:r w:rsidR="00C15998">
        <w:t xml:space="preserve"> </w:t>
      </w:r>
      <w:r>
        <w:t>CFBF Opening Comments on the Staff Proposal at 7.</w:t>
      </w:r>
    </w:p>
  </w:footnote>
  <w:footnote w:id="108">
    <w:p w14:paraId="5B2245C3" w14:textId="77777777" w:rsidR="00C92570" w:rsidRDefault="00C92570" w:rsidP="00C15998">
      <w:pPr>
        <w:pStyle w:val="FootnoteText"/>
      </w:pPr>
      <w:r>
        <w:rPr>
          <w:rStyle w:val="FootnoteReference"/>
        </w:rPr>
        <w:footnoteRef/>
      </w:r>
      <w:r w:rsidR="003D54A5">
        <w:t xml:space="preserve"> </w:t>
      </w:r>
      <w:r w:rsidR="00C15998">
        <w:t xml:space="preserve"> </w:t>
      </w:r>
      <w:r w:rsidR="002368EE" w:rsidRPr="0083747A">
        <w:t xml:space="preserve">Horizon West Transmission, LLC, </w:t>
      </w:r>
      <w:r w:rsidR="002368EE">
        <w:t xml:space="preserve">Trans Bay Cable LLC, </w:t>
      </w:r>
      <w:r w:rsidR="002368EE" w:rsidRPr="0083747A">
        <w:t xml:space="preserve">and </w:t>
      </w:r>
      <w:r w:rsidR="002368EE" w:rsidRPr="0083747A">
        <w:t>GridLiance West LLC</w:t>
      </w:r>
      <w:r w:rsidR="002630F5">
        <w:t xml:space="preserve"> Opening Comments</w:t>
      </w:r>
      <w:r w:rsidR="002368EE">
        <w:t xml:space="preserve"> </w:t>
      </w:r>
      <w:r>
        <w:t>on the Staff Proposal at 16.</w:t>
      </w:r>
    </w:p>
  </w:footnote>
  <w:footnote w:id="109">
    <w:p w14:paraId="4CDB3E21" w14:textId="77777777" w:rsidR="00C92570" w:rsidRDefault="00C92570" w:rsidP="00C15998">
      <w:pPr>
        <w:pStyle w:val="FootnoteText"/>
      </w:pPr>
      <w:r>
        <w:rPr>
          <w:rStyle w:val="FootnoteReference"/>
        </w:rPr>
        <w:footnoteRef/>
      </w:r>
      <w:r w:rsidR="003D54A5">
        <w:t xml:space="preserve"> </w:t>
      </w:r>
      <w:r w:rsidR="00C15998">
        <w:t xml:space="preserve"> </w:t>
      </w:r>
      <w:r>
        <w:t>SCE Opening Comments on the Staff Proposal at 27.</w:t>
      </w:r>
    </w:p>
  </w:footnote>
  <w:footnote w:id="110">
    <w:p w14:paraId="11EB4E3C" w14:textId="77777777" w:rsidR="00C92570" w:rsidRDefault="00C92570" w:rsidP="00C15998">
      <w:pPr>
        <w:pStyle w:val="FootnoteText"/>
      </w:pPr>
      <w:r>
        <w:rPr>
          <w:rStyle w:val="FootnoteReference"/>
        </w:rPr>
        <w:footnoteRef/>
      </w:r>
      <w:r w:rsidR="003D54A5">
        <w:t xml:space="preserve"> </w:t>
      </w:r>
      <w:r w:rsidR="00C15998">
        <w:t xml:space="preserve"> </w:t>
      </w:r>
      <w:r>
        <w:t>RCRC Opening Comments on the Staff Proposal at 10.</w:t>
      </w:r>
    </w:p>
  </w:footnote>
  <w:footnote w:id="111">
    <w:p w14:paraId="0B2509E6" w14:textId="77777777" w:rsidR="00C92570" w:rsidRDefault="00C92570" w:rsidP="00C15998">
      <w:pPr>
        <w:pStyle w:val="FootnoteText"/>
      </w:pPr>
      <w:r>
        <w:rPr>
          <w:rStyle w:val="FootnoteReference"/>
        </w:rPr>
        <w:footnoteRef/>
      </w:r>
      <w:r w:rsidR="003D54A5">
        <w:t xml:space="preserve"> </w:t>
      </w:r>
      <w:r w:rsidR="00C15998">
        <w:t xml:space="preserve"> </w:t>
      </w:r>
      <w:r>
        <w:t>Cal Advocates Opening Comments on the Staff Proposal at 15.</w:t>
      </w:r>
    </w:p>
  </w:footnote>
  <w:footnote w:id="112">
    <w:p w14:paraId="26F97594" w14:textId="77777777" w:rsidR="00C92570" w:rsidRDefault="00C92570" w:rsidP="00C15998">
      <w:pPr>
        <w:pStyle w:val="FootnoteText"/>
      </w:pPr>
      <w:r>
        <w:rPr>
          <w:rStyle w:val="FootnoteReference"/>
        </w:rPr>
        <w:footnoteRef/>
      </w:r>
      <w:r>
        <w:t xml:space="preserve"> </w:t>
      </w:r>
      <w:r w:rsidR="00C15998">
        <w:t xml:space="preserve"> </w:t>
      </w:r>
      <w:r>
        <w:t>CBD Opening Comments on the Staff Proposal at 19.</w:t>
      </w:r>
    </w:p>
  </w:footnote>
  <w:footnote w:id="113">
    <w:p w14:paraId="4B206B02" w14:textId="77777777" w:rsidR="00C92570" w:rsidRDefault="00C92570" w:rsidP="00C15998">
      <w:pPr>
        <w:pStyle w:val="FootnoteText"/>
      </w:pPr>
      <w:r>
        <w:rPr>
          <w:rStyle w:val="FootnoteReference"/>
        </w:rPr>
        <w:footnoteRef/>
      </w:r>
      <w:r>
        <w:t xml:space="preserve"> </w:t>
      </w:r>
      <w:r w:rsidR="00C15998">
        <w:t xml:space="preserve"> </w:t>
      </w:r>
      <w:r w:rsidR="00DC14AC">
        <w:t>SB </w:t>
      </w:r>
      <w:r w:rsidRPr="00AC42E0">
        <w:t xml:space="preserve">149 provides </w:t>
      </w:r>
      <w:r>
        <w:t>for an expedited judicial process to complete CEQA reviews of Governor-certified projects</w:t>
      </w:r>
      <w:r w:rsidRPr="00AC42E0">
        <w:t xml:space="preserve"> within 270 days.</w:t>
      </w:r>
    </w:p>
  </w:footnote>
  <w:footnote w:id="114">
    <w:p w14:paraId="35B60711" w14:textId="77777777" w:rsidR="00C92570" w:rsidRDefault="00C92570" w:rsidP="00C15998">
      <w:pPr>
        <w:pStyle w:val="FootnoteText"/>
      </w:pPr>
      <w:r>
        <w:rPr>
          <w:rStyle w:val="FootnoteReference"/>
        </w:rPr>
        <w:footnoteRef/>
      </w:r>
      <w:r w:rsidR="003D54A5">
        <w:t xml:space="preserve"> </w:t>
      </w:r>
      <w:r w:rsidR="00C15998">
        <w:t xml:space="preserve"> </w:t>
      </w:r>
      <w:r>
        <w:t>IEP Opening Comments on the Staff Proposal at 6.</w:t>
      </w:r>
    </w:p>
  </w:footnote>
  <w:footnote w:id="115">
    <w:p w14:paraId="2339DAC3" w14:textId="77777777" w:rsidR="00C92570" w:rsidRDefault="00C92570" w:rsidP="00C15998">
      <w:pPr>
        <w:pStyle w:val="FootnoteText"/>
      </w:pPr>
      <w:r>
        <w:rPr>
          <w:rStyle w:val="FootnoteReference"/>
        </w:rPr>
        <w:footnoteRef/>
      </w:r>
      <w:r w:rsidR="003D54A5">
        <w:t xml:space="preserve"> </w:t>
      </w:r>
      <w:r w:rsidR="00C15998">
        <w:t xml:space="preserve"> </w:t>
      </w:r>
      <w:r>
        <w:t>CEERT Opening Comments on the Staff Proposal at 31.</w:t>
      </w:r>
    </w:p>
  </w:footnote>
  <w:footnote w:id="116">
    <w:p w14:paraId="7D8A3E88" w14:textId="77777777" w:rsidR="00C92570" w:rsidRDefault="00C92570" w:rsidP="00C15998">
      <w:pPr>
        <w:pStyle w:val="FootnoteText"/>
      </w:pPr>
      <w:r>
        <w:rPr>
          <w:rStyle w:val="FootnoteReference"/>
        </w:rPr>
        <w:footnoteRef/>
      </w:r>
      <w:r w:rsidR="003D54A5">
        <w:t xml:space="preserve"> </w:t>
      </w:r>
      <w:r w:rsidR="00C15998">
        <w:t xml:space="preserve"> </w:t>
      </w:r>
      <w:r>
        <w:t>SCE Opening Comments on the Staff Proposal at 27.</w:t>
      </w:r>
    </w:p>
  </w:footnote>
  <w:footnote w:id="117">
    <w:p w14:paraId="3B8DE37D" w14:textId="77777777" w:rsidR="00C92570" w:rsidRDefault="00C92570" w:rsidP="00C15998">
      <w:pPr>
        <w:pStyle w:val="FootnoteText"/>
      </w:pPr>
      <w:r>
        <w:rPr>
          <w:rStyle w:val="FootnoteReference"/>
        </w:rPr>
        <w:footnoteRef/>
      </w:r>
      <w:r w:rsidR="00C15998">
        <w:t xml:space="preserve"> </w:t>
      </w:r>
      <w:r w:rsidR="003D54A5">
        <w:t xml:space="preserve"> </w:t>
      </w:r>
      <w:r>
        <w:t xml:space="preserve">CEERT Opening Comments on the </w:t>
      </w:r>
      <w:r w:rsidR="00620CDE">
        <w:t>Staff Proposal</w:t>
      </w:r>
      <w:r>
        <w:t xml:space="preserve"> at 31.</w:t>
      </w:r>
    </w:p>
  </w:footnote>
  <w:footnote w:id="118">
    <w:p w14:paraId="4D5D0475" w14:textId="77777777" w:rsidR="00C92570" w:rsidRDefault="00C92570" w:rsidP="00C15998">
      <w:pPr>
        <w:pStyle w:val="FootnoteText"/>
      </w:pPr>
      <w:r>
        <w:rPr>
          <w:rStyle w:val="FootnoteReference"/>
        </w:rPr>
        <w:footnoteRef/>
      </w:r>
      <w:r w:rsidR="00C15998">
        <w:t xml:space="preserve"> </w:t>
      </w:r>
      <w:r w:rsidR="003D54A5">
        <w:t xml:space="preserve"> </w:t>
      </w:r>
      <w:r>
        <w:t xml:space="preserve">RCRC Opening Comments on the </w:t>
      </w:r>
      <w:r w:rsidR="00620CDE">
        <w:t>Staff Proposal</w:t>
      </w:r>
      <w:r>
        <w:t xml:space="preserve"> at 11.</w:t>
      </w:r>
    </w:p>
  </w:footnote>
  <w:footnote w:id="119">
    <w:p w14:paraId="0480D260" w14:textId="77777777" w:rsidR="00C92570" w:rsidRDefault="00C92570" w:rsidP="00C15998">
      <w:pPr>
        <w:pStyle w:val="FootnoteText"/>
      </w:pPr>
      <w:r>
        <w:rPr>
          <w:rStyle w:val="FootnoteReference"/>
        </w:rPr>
        <w:footnoteRef/>
      </w:r>
      <w:r w:rsidR="00C15998">
        <w:t xml:space="preserve"> </w:t>
      </w:r>
      <w:r w:rsidR="003D54A5">
        <w:t xml:space="preserve"> </w:t>
      </w:r>
      <w:r>
        <w:t xml:space="preserve">Sierra Club Opening Comments on the </w:t>
      </w:r>
      <w:r w:rsidR="00620CDE">
        <w:t>Staff Proposal</w:t>
      </w:r>
      <w:r>
        <w:t xml:space="preserve"> at 9.</w:t>
      </w:r>
    </w:p>
  </w:footnote>
  <w:footnote w:id="120">
    <w:p w14:paraId="5D13667E" w14:textId="77777777" w:rsidR="00FB227F" w:rsidRDefault="00FB227F" w:rsidP="00C15998">
      <w:pPr>
        <w:pStyle w:val="FootnoteText"/>
      </w:pPr>
      <w:r>
        <w:rPr>
          <w:rStyle w:val="FootnoteReference"/>
        </w:rPr>
        <w:footnoteRef/>
      </w:r>
      <w:r w:rsidR="00C15998">
        <w:t xml:space="preserve"> </w:t>
      </w:r>
      <w:r w:rsidR="003D54A5">
        <w:t xml:space="preserve"> </w:t>
      </w:r>
      <w:r w:rsidRPr="0014288D">
        <w:t xml:space="preserve">ACP Opening Comments on the </w:t>
      </w:r>
      <w:r w:rsidR="00620CDE">
        <w:t>Staff Proposal</w:t>
      </w:r>
      <w:r w:rsidRPr="0014288D">
        <w:t>, July 1, 2024, at 11 and 12. </w:t>
      </w:r>
    </w:p>
  </w:footnote>
  <w:footnote w:id="121">
    <w:p w14:paraId="4C4FE3C3" w14:textId="77777777" w:rsidR="009F01A6" w:rsidRDefault="009F01A6" w:rsidP="00C15998">
      <w:pPr>
        <w:pStyle w:val="FootnoteText"/>
      </w:pPr>
      <w:r>
        <w:rPr>
          <w:rStyle w:val="FootnoteReference"/>
        </w:rPr>
        <w:footnoteRef/>
      </w:r>
      <w:r w:rsidR="00C15998">
        <w:t xml:space="preserve"> </w:t>
      </w:r>
      <w:r>
        <w:t xml:space="preserve"> </w:t>
      </w:r>
      <w:r w:rsidRPr="001C0CAB">
        <w:rPr>
          <w:i/>
          <w:iCs/>
        </w:rPr>
        <w:t>Id.</w:t>
      </w:r>
      <w:r>
        <w:t xml:space="preserve"> at 2.</w:t>
      </w:r>
    </w:p>
  </w:footnote>
  <w:footnote w:id="122">
    <w:p w14:paraId="2FE19093" w14:textId="77777777" w:rsidR="00C92570" w:rsidRDefault="00C92570" w:rsidP="00C15998">
      <w:pPr>
        <w:pStyle w:val="FootnoteText"/>
      </w:pPr>
      <w:r>
        <w:rPr>
          <w:rStyle w:val="FootnoteReference"/>
        </w:rPr>
        <w:footnoteRef/>
      </w:r>
      <w:r w:rsidR="00336550">
        <w:t xml:space="preserve"> </w:t>
      </w:r>
      <w:r w:rsidR="00C15998">
        <w:t xml:space="preserve"> </w:t>
      </w:r>
      <w:r w:rsidRPr="004A52C1">
        <w:t xml:space="preserve">CUE Opening Comments on the </w:t>
      </w:r>
      <w:r w:rsidR="00620CDE">
        <w:t>Staff Proposal</w:t>
      </w:r>
      <w:r w:rsidR="00336550">
        <w:t xml:space="preserve"> </w:t>
      </w:r>
      <w:r w:rsidRPr="004A52C1">
        <w:t>at 4</w:t>
      </w:r>
      <w:r>
        <w:t>.</w:t>
      </w:r>
    </w:p>
  </w:footnote>
  <w:footnote w:id="123">
    <w:p w14:paraId="7B741DFB" w14:textId="77777777" w:rsidR="00C92570" w:rsidRDefault="00C92570" w:rsidP="00C15998">
      <w:pPr>
        <w:pStyle w:val="FootnoteText"/>
      </w:pPr>
      <w:r>
        <w:rPr>
          <w:rStyle w:val="FootnoteReference"/>
        </w:rPr>
        <w:footnoteRef/>
      </w:r>
      <w:r w:rsidR="00336550">
        <w:t xml:space="preserve"> </w:t>
      </w:r>
      <w:r w:rsidR="00C15998">
        <w:t xml:space="preserve"> </w:t>
      </w:r>
      <w:r>
        <w:t>E</w:t>
      </w:r>
      <w:r w:rsidRPr="004A52C1">
        <w:t xml:space="preserve">DF Opening Comments on the </w:t>
      </w:r>
      <w:r w:rsidR="00620CDE">
        <w:t>Staff Proposal</w:t>
      </w:r>
      <w:r w:rsidR="00336550">
        <w:t xml:space="preserve"> </w:t>
      </w:r>
      <w:r w:rsidRPr="004A52C1">
        <w:t>at 20.</w:t>
      </w:r>
    </w:p>
  </w:footnote>
  <w:footnote w:id="124">
    <w:p w14:paraId="30AF2A6F" w14:textId="77777777" w:rsidR="00C92570" w:rsidRDefault="00C92570" w:rsidP="00C15998">
      <w:pPr>
        <w:pStyle w:val="FootnoteText"/>
      </w:pPr>
      <w:r>
        <w:rPr>
          <w:rStyle w:val="FootnoteReference"/>
        </w:rPr>
        <w:footnoteRef/>
      </w:r>
      <w:r w:rsidR="00336550">
        <w:t xml:space="preserve"> </w:t>
      </w:r>
      <w:r w:rsidR="00C15998">
        <w:t xml:space="preserve"> </w:t>
      </w:r>
      <w:r w:rsidR="00B40BAF" w:rsidRPr="0083747A">
        <w:t xml:space="preserve">Horizon West Transmission, LLC, </w:t>
      </w:r>
      <w:r w:rsidR="00B40BAF">
        <w:t xml:space="preserve">Trans Bay Cable LLC, </w:t>
      </w:r>
      <w:r w:rsidR="00B40BAF" w:rsidRPr="0083747A">
        <w:t xml:space="preserve">and </w:t>
      </w:r>
      <w:r w:rsidR="00B40BAF" w:rsidRPr="0083747A">
        <w:t>GridLiance West LLC</w:t>
      </w:r>
      <w:r w:rsidR="00B40BAF">
        <w:t xml:space="preserve"> </w:t>
      </w:r>
      <w:r w:rsidRPr="004A52C1">
        <w:t xml:space="preserve">on the </w:t>
      </w:r>
      <w:r w:rsidR="00620CDE">
        <w:t>Staff Proposal</w:t>
      </w:r>
      <w:r w:rsidR="00336550">
        <w:t xml:space="preserve"> </w:t>
      </w:r>
      <w:r w:rsidRPr="004A52C1">
        <w:t>at 17</w:t>
      </w:r>
      <w:r>
        <w:t>.</w:t>
      </w:r>
    </w:p>
  </w:footnote>
  <w:footnote w:id="125">
    <w:p w14:paraId="4AFBAEBA" w14:textId="77777777" w:rsidR="00C92570" w:rsidRDefault="00C92570" w:rsidP="00C15998">
      <w:pPr>
        <w:pStyle w:val="FootnoteText"/>
      </w:pPr>
      <w:r>
        <w:rPr>
          <w:rStyle w:val="FootnoteReference"/>
        </w:rPr>
        <w:footnoteRef/>
      </w:r>
      <w:r w:rsidR="00881D06">
        <w:t xml:space="preserve"> </w:t>
      </w:r>
      <w:r w:rsidR="00C15998">
        <w:t xml:space="preserve"> </w:t>
      </w:r>
      <w:r w:rsidRPr="004A52C1">
        <w:t xml:space="preserve">CUE Opening Comments on the </w:t>
      </w:r>
      <w:r w:rsidR="00620CDE">
        <w:t>Staff Proposal</w:t>
      </w:r>
      <w:r w:rsidR="00336550">
        <w:t xml:space="preserve"> </w:t>
      </w:r>
      <w:r w:rsidRPr="004A52C1">
        <w:t>at 4</w:t>
      </w:r>
      <w:r>
        <w:t>.</w:t>
      </w:r>
    </w:p>
  </w:footnote>
  <w:footnote w:id="126">
    <w:p w14:paraId="346AFD92" w14:textId="77777777" w:rsidR="00C36998" w:rsidRDefault="00C36998">
      <w:pPr>
        <w:pStyle w:val="FootnoteText"/>
      </w:pPr>
      <w:r>
        <w:rPr>
          <w:rStyle w:val="FootnoteReference"/>
        </w:rPr>
        <w:footnoteRef/>
      </w:r>
      <w:r>
        <w:t xml:space="preserve"> </w:t>
      </w:r>
      <w:r w:rsidRPr="00C36998">
        <w:t>Implementation of GO 131-E complies with the Commission’s Tribal Consultation Policy. The Commission will continue to conduct early and meaningful engagement with Tribes regarding projects within the Commission’s jurisdiction under GO 131-E.</w:t>
      </w:r>
    </w:p>
  </w:footnote>
  <w:footnote w:id="127">
    <w:p w14:paraId="078EA861" w14:textId="77777777" w:rsidR="002102C0" w:rsidRDefault="002102C0" w:rsidP="00C15998">
      <w:pPr>
        <w:pStyle w:val="FootnoteText"/>
      </w:pPr>
      <w:r>
        <w:rPr>
          <w:rStyle w:val="FootnoteReference"/>
        </w:rPr>
        <w:footnoteRef/>
      </w:r>
      <w:r w:rsidRPr="00AB4B9F">
        <w:rPr>
          <w:i/>
        </w:rPr>
        <w:t xml:space="preserve"> </w:t>
      </w:r>
      <w:r w:rsidR="00C15998">
        <w:rPr>
          <w:i/>
        </w:rPr>
        <w:t xml:space="preserve"> </w:t>
      </w:r>
      <w:r>
        <w:t xml:space="preserve">Staff Proposal at 46-47 </w:t>
      </w:r>
      <w:r w:rsidR="00856C2A" w:rsidRPr="00856C2A">
        <w:t xml:space="preserve">provides a </w:t>
      </w:r>
      <w:r>
        <w:t>full description.</w:t>
      </w:r>
    </w:p>
  </w:footnote>
  <w:footnote w:id="128">
    <w:p w14:paraId="06DE38A8" w14:textId="77777777" w:rsidR="00CE0F0D" w:rsidRDefault="00CE0F0D" w:rsidP="00C15998">
      <w:pPr>
        <w:pStyle w:val="FootnoteText"/>
      </w:pPr>
      <w:r w:rsidRPr="00184947">
        <w:rPr>
          <w:rStyle w:val="FootnoteReference"/>
        </w:rPr>
        <w:footnoteRef/>
      </w:r>
      <w:r w:rsidRPr="00184947">
        <w:t xml:space="preserve"> </w:t>
      </w:r>
      <w:r w:rsidR="00C15998">
        <w:t xml:space="preserve"> </w:t>
      </w:r>
      <w:r w:rsidR="00620CDE">
        <w:t>Staff Proposal</w:t>
      </w:r>
      <w:r w:rsidRPr="00184947">
        <w:t xml:space="preserve"> at </w:t>
      </w:r>
      <w:r w:rsidR="00184947" w:rsidRPr="00184947">
        <w:t>43.</w:t>
      </w:r>
    </w:p>
  </w:footnote>
  <w:footnote w:id="129">
    <w:p w14:paraId="163026FA" w14:textId="77777777" w:rsidR="00943F51" w:rsidRDefault="00943F51" w:rsidP="00C15998">
      <w:pPr>
        <w:pStyle w:val="FootnoteText"/>
      </w:pPr>
      <w:r>
        <w:rPr>
          <w:rStyle w:val="FootnoteReference"/>
        </w:rPr>
        <w:footnoteRef/>
      </w:r>
      <w:r>
        <w:t xml:space="preserve"> </w:t>
      </w:r>
      <w:r w:rsidR="00C15998">
        <w:t xml:space="preserve"> </w:t>
      </w:r>
      <w:r>
        <w:t>CAISO Board-Approved Transmission Plan 2022-2023, Table 3-4-1 at 62.</w:t>
      </w:r>
    </w:p>
  </w:footnote>
  <w:footnote w:id="130">
    <w:p w14:paraId="50540329" w14:textId="77777777" w:rsidR="003C6132" w:rsidRDefault="003C6132" w:rsidP="00C15998">
      <w:pPr>
        <w:pStyle w:val="FootnoteText"/>
      </w:pPr>
      <w:r>
        <w:rPr>
          <w:rStyle w:val="FootnoteReference"/>
        </w:rPr>
        <w:footnoteRef/>
      </w:r>
      <w:r>
        <w:t xml:space="preserve"> </w:t>
      </w:r>
      <w:r w:rsidR="00C15998">
        <w:t xml:space="preserve"> </w:t>
      </w:r>
      <w:r w:rsidR="00A15507">
        <w:rPr>
          <w:i/>
          <w:iCs/>
        </w:rPr>
        <w:t>Id.</w:t>
      </w:r>
      <w:r>
        <w:t xml:space="preserve"> at 65.</w:t>
      </w:r>
    </w:p>
  </w:footnote>
  <w:footnote w:id="131">
    <w:p w14:paraId="420A1A87" w14:textId="77777777" w:rsidR="00CE0F0D" w:rsidRDefault="00CE0F0D" w:rsidP="00C15998">
      <w:pPr>
        <w:pStyle w:val="FootnoteText"/>
      </w:pPr>
      <w:r>
        <w:rPr>
          <w:rStyle w:val="FootnoteReference"/>
        </w:rPr>
        <w:footnoteRef/>
      </w:r>
      <w:r>
        <w:t xml:space="preserve"> </w:t>
      </w:r>
      <w:r w:rsidR="00C15998">
        <w:t xml:space="preserve"> </w:t>
      </w:r>
      <w:r w:rsidRPr="005D7634">
        <w:t>Pub</w:t>
      </w:r>
      <w:r>
        <w:t>.</w:t>
      </w:r>
      <w:r w:rsidRPr="005D7634">
        <w:t xml:space="preserve"> Util</w:t>
      </w:r>
      <w:r>
        <w:t>.</w:t>
      </w:r>
      <w:r w:rsidRPr="005D7634">
        <w:t xml:space="preserve"> Code </w:t>
      </w:r>
      <w:r w:rsidR="00DC14AC">
        <w:t>Section </w:t>
      </w:r>
      <w:r w:rsidRPr="005D7634">
        <w:t>1002.3</w:t>
      </w:r>
      <w:r>
        <w:t>.</w:t>
      </w:r>
    </w:p>
  </w:footnote>
  <w:footnote w:id="132">
    <w:p w14:paraId="18A896B2" w14:textId="77777777" w:rsidR="00CE0F0D" w:rsidRDefault="00CE0F0D" w:rsidP="00C15998">
      <w:pPr>
        <w:pStyle w:val="FootnoteText"/>
      </w:pPr>
      <w:r>
        <w:rPr>
          <w:rStyle w:val="FootnoteReference"/>
        </w:rPr>
        <w:footnoteRef/>
      </w:r>
      <w:r>
        <w:t xml:space="preserve"> </w:t>
      </w:r>
      <w:r w:rsidR="00C15998">
        <w:t xml:space="preserve"> </w:t>
      </w:r>
      <w:r w:rsidR="00A15507" w:rsidRPr="0041134E">
        <w:rPr>
          <w:i/>
          <w:iCs/>
        </w:rPr>
        <w:t xml:space="preserve">Id. </w:t>
      </w:r>
      <w:r w:rsidR="00A15507">
        <w:t>at</w:t>
      </w:r>
      <w:r w:rsidRPr="005D7634">
        <w:t xml:space="preserve"> </w:t>
      </w:r>
      <w:r w:rsidR="00DC14AC">
        <w:t>Section </w:t>
      </w:r>
      <w:r w:rsidRPr="005D7634">
        <w:t>100</w:t>
      </w:r>
      <w:r>
        <w:t>5</w:t>
      </w:r>
      <w:r w:rsidRPr="005D7634">
        <w:t>.</w:t>
      </w:r>
      <w:r>
        <w:t>5(a).</w:t>
      </w:r>
    </w:p>
  </w:footnote>
  <w:footnote w:id="133">
    <w:p w14:paraId="16A9E27D" w14:textId="77777777" w:rsidR="00CE0F0D" w:rsidRDefault="00CE0F0D" w:rsidP="00C15998">
      <w:pPr>
        <w:pStyle w:val="FootnoteText"/>
      </w:pPr>
      <w:r>
        <w:rPr>
          <w:rStyle w:val="FootnoteReference"/>
        </w:rPr>
        <w:footnoteRef/>
      </w:r>
      <w:r>
        <w:t xml:space="preserve"> </w:t>
      </w:r>
      <w:r w:rsidR="00C15998">
        <w:t xml:space="preserve"> </w:t>
      </w:r>
      <w:r>
        <w:t xml:space="preserve">CEQA Guidelines </w:t>
      </w:r>
      <w:r w:rsidR="00DC14AC">
        <w:t>Section </w:t>
      </w:r>
      <w:r>
        <w:t xml:space="preserve">15124(b) states that an EIR should include “a </w:t>
      </w:r>
      <w:r w:rsidRPr="004212B3">
        <w:t>statement of objectives sought by the proposed project. A clearly written statement of objectives will help the lead agency develop a reasonable range of alternatives to evaluate in the EIR and will aid the decision makers in preparing findings or a statement of overriding considerations, if necessary. The statement of objectives should include the underlying purpose of the project and may describe project benefits</w:t>
      </w:r>
      <w:r>
        <w:t>”</w:t>
      </w:r>
      <w:r w:rsidRPr="004212B3">
        <w:t>.</w:t>
      </w:r>
    </w:p>
  </w:footnote>
  <w:footnote w:id="134">
    <w:p w14:paraId="0E629541" w14:textId="77777777" w:rsidR="00CE0F0D" w:rsidRDefault="00CE0F0D" w:rsidP="00C15998">
      <w:pPr>
        <w:pStyle w:val="FootnoteText"/>
      </w:pPr>
      <w:r>
        <w:rPr>
          <w:rStyle w:val="FootnoteReference"/>
        </w:rPr>
        <w:footnoteRef/>
      </w:r>
      <w:r>
        <w:t xml:space="preserve"> </w:t>
      </w:r>
      <w:r w:rsidR="00C15998">
        <w:t xml:space="preserve"> </w:t>
      </w:r>
      <w:r>
        <w:t xml:space="preserve">CEQA Guidelines </w:t>
      </w:r>
      <w:r w:rsidR="00DC14AC">
        <w:t>Section </w:t>
      </w:r>
      <w:r w:rsidRPr="006259E8">
        <w:t>15093. Statement of Overriding Considerations. (a) CEQA requires the decision-making agency to balance, as applicable, the economic, legal, social, technological, or other benefits of a proposed project against its unavoidable environmental risks when determining whether to approve the project.</w:t>
      </w:r>
    </w:p>
  </w:footnote>
  <w:footnote w:id="135">
    <w:p w14:paraId="770488CB" w14:textId="77777777" w:rsidR="00CE0F0D" w:rsidRDefault="00CE0F0D" w:rsidP="00C15998">
      <w:pPr>
        <w:pStyle w:val="FootnoteText"/>
      </w:pPr>
      <w:r>
        <w:rPr>
          <w:rStyle w:val="FootnoteReference"/>
        </w:rPr>
        <w:footnoteRef/>
      </w:r>
      <w:r>
        <w:t xml:space="preserve"> </w:t>
      </w:r>
      <w:r w:rsidR="00C15998">
        <w:t xml:space="preserve"> </w:t>
      </w:r>
      <w:r>
        <w:t xml:space="preserve">CEQA Guidelines </w:t>
      </w:r>
      <w:r w:rsidR="00DC14AC">
        <w:t>Section </w:t>
      </w:r>
      <w:r w:rsidRPr="007D4539">
        <w:t>15126.6</w:t>
      </w:r>
      <w:r w:rsidR="00BD4421">
        <w:t xml:space="preserve"> </w:t>
      </w:r>
      <w:r w:rsidR="0021180C">
        <w:t>provides that a</w:t>
      </w:r>
      <w:r w:rsidRPr="004E6605">
        <w:t>n EIR shall describe a range of reasonable alternatives to the project, or to the location of the project, which would feasibly attain most of the basic objectives of the project but would avoid or substantially lessen any of the significant effects of the project, and evaluate the comparative merits of the alternatives. An EIR need not consider every conceivable alternative to a project. Rather it must consider a reasonable range of potentially feasible alternatives that will foster informed decision making and public participation. An EIR is not required to consider alternatives which are infeasible.</w:t>
      </w:r>
    </w:p>
  </w:footnote>
  <w:footnote w:id="136">
    <w:p w14:paraId="0400DE11" w14:textId="77777777" w:rsidR="00CE0F0D" w:rsidRDefault="00CE0F0D" w:rsidP="00C15998">
      <w:pPr>
        <w:pStyle w:val="Standard"/>
        <w:spacing w:after="120" w:line="240" w:lineRule="auto"/>
        <w:ind w:firstLine="0"/>
      </w:pPr>
      <w:r w:rsidRPr="005A58BA">
        <w:rPr>
          <w:rStyle w:val="FootnoteReference"/>
          <w:sz w:val="22"/>
        </w:rPr>
        <w:footnoteRef/>
      </w:r>
      <w:r>
        <w:t xml:space="preserve"> </w:t>
      </w:r>
      <w:r w:rsidR="00C15998">
        <w:t xml:space="preserve"> </w:t>
      </w:r>
      <w:r w:rsidRPr="00D96052">
        <w:rPr>
          <w:sz w:val="22"/>
        </w:rPr>
        <w:t>Joint Motion for</w:t>
      </w:r>
      <w:r w:rsidRPr="00003A7E">
        <w:rPr>
          <w:sz w:val="22"/>
        </w:rPr>
        <w:t xml:space="preserve"> Adoption of Phase 1 Settlement Agreement, September 29, 2023, at 28-29</w:t>
      </w:r>
      <w:r w:rsidR="00A15507">
        <w:rPr>
          <w:sz w:val="22"/>
        </w:rPr>
        <w:t>.</w:t>
      </w:r>
    </w:p>
  </w:footnote>
  <w:footnote w:id="137">
    <w:p w14:paraId="3053F1A4" w14:textId="77777777" w:rsidR="00CE0F0D" w:rsidRPr="00ED531D" w:rsidRDefault="00CE0F0D" w:rsidP="00C15998">
      <w:pPr>
        <w:pStyle w:val="Standard"/>
        <w:spacing w:after="120" w:line="240" w:lineRule="auto"/>
        <w:ind w:firstLine="0"/>
        <w:rPr>
          <w:sz w:val="22"/>
        </w:rPr>
      </w:pPr>
      <w:r w:rsidRPr="004F7729">
        <w:rPr>
          <w:rStyle w:val="FootnoteReference"/>
          <w:sz w:val="22"/>
        </w:rPr>
        <w:footnoteRef/>
      </w:r>
      <w:r w:rsidRPr="004F7729">
        <w:rPr>
          <w:sz w:val="22"/>
        </w:rPr>
        <w:t xml:space="preserve"> </w:t>
      </w:r>
      <w:r w:rsidR="00C15998">
        <w:rPr>
          <w:sz w:val="22"/>
        </w:rPr>
        <w:t xml:space="preserve"> </w:t>
      </w:r>
      <w:r w:rsidRPr="009F06B3">
        <w:rPr>
          <w:i/>
          <w:iCs/>
          <w:sz w:val="22"/>
        </w:rPr>
        <w:t>Id.</w:t>
      </w:r>
    </w:p>
  </w:footnote>
  <w:footnote w:id="138">
    <w:p w14:paraId="1F69F4A6" w14:textId="77777777" w:rsidR="00CE0F0D" w:rsidRDefault="00CE0F0D" w:rsidP="00C15998">
      <w:pPr>
        <w:pStyle w:val="FootnoteText"/>
      </w:pPr>
      <w:r>
        <w:rPr>
          <w:rStyle w:val="FootnoteReference"/>
        </w:rPr>
        <w:footnoteRef/>
      </w:r>
      <w:r w:rsidR="00C15998">
        <w:t xml:space="preserve"> </w:t>
      </w:r>
      <w:r>
        <w:t xml:space="preserve"> Staff Proposal at 46-47 </w:t>
      </w:r>
      <w:r w:rsidR="00856C2A" w:rsidRPr="00856C2A">
        <w:t>provides a</w:t>
      </w:r>
      <w:r>
        <w:t xml:space="preserve"> full description.</w:t>
      </w:r>
    </w:p>
  </w:footnote>
  <w:footnote w:id="139">
    <w:p w14:paraId="3EDB5680" w14:textId="77777777" w:rsidR="00CE0F0D" w:rsidRDefault="00CE0F0D" w:rsidP="00C15998">
      <w:pPr>
        <w:pStyle w:val="FootnoteText"/>
      </w:pPr>
      <w:r>
        <w:rPr>
          <w:rStyle w:val="FootnoteReference"/>
        </w:rPr>
        <w:footnoteRef/>
      </w:r>
      <w:r>
        <w:t xml:space="preserve"> </w:t>
      </w:r>
      <w:r w:rsidR="00C15998">
        <w:t xml:space="preserve"> </w:t>
      </w:r>
      <w:r w:rsidR="00856C2A">
        <w:rPr>
          <w:i/>
          <w:iCs/>
        </w:rPr>
        <w:t>I</w:t>
      </w:r>
      <w:r w:rsidRPr="00F5368C">
        <w:rPr>
          <w:i/>
          <w:iCs/>
        </w:rPr>
        <w:t>d.</w:t>
      </w:r>
      <w:r>
        <w:t xml:space="preserve"> at 49 </w:t>
      </w:r>
      <w:r w:rsidR="00856C2A" w:rsidRPr="00856C2A">
        <w:t>provides a</w:t>
      </w:r>
      <w:r>
        <w:t xml:space="preserve"> full description.</w:t>
      </w:r>
    </w:p>
  </w:footnote>
  <w:footnote w:id="140">
    <w:p w14:paraId="7F92504D" w14:textId="77777777" w:rsidR="00CE0F0D" w:rsidRDefault="00CE0F0D" w:rsidP="00C15998">
      <w:pPr>
        <w:pStyle w:val="FootnoteText"/>
      </w:pPr>
      <w:r>
        <w:rPr>
          <w:rStyle w:val="FootnoteReference"/>
        </w:rPr>
        <w:footnoteRef/>
      </w:r>
      <w:r w:rsidRPr="00067C8A">
        <w:rPr>
          <w:i/>
        </w:rPr>
        <w:t xml:space="preserve"> </w:t>
      </w:r>
      <w:r w:rsidR="00C15998">
        <w:rPr>
          <w:i/>
        </w:rPr>
        <w:t xml:space="preserve"> </w:t>
      </w:r>
      <w:r>
        <w:t xml:space="preserve">Staff Proposal at 47-48 </w:t>
      </w:r>
      <w:r w:rsidR="00856C2A" w:rsidRPr="00856C2A">
        <w:t xml:space="preserve">provides a </w:t>
      </w:r>
      <w:r>
        <w:t>full description.</w:t>
      </w:r>
    </w:p>
  </w:footnote>
  <w:footnote w:id="141">
    <w:p w14:paraId="2B1F9814" w14:textId="77777777" w:rsidR="00CE0F0D" w:rsidRDefault="00CE0F0D" w:rsidP="00C15998">
      <w:pPr>
        <w:pStyle w:val="FootnoteText"/>
      </w:pPr>
      <w:r>
        <w:rPr>
          <w:rStyle w:val="FootnoteReference"/>
        </w:rPr>
        <w:footnoteRef/>
      </w:r>
      <w:r w:rsidRPr="00067C8A">
        <w:rPr>
          <w:i/>
        </w:rPr>
        <w:t xml:space="preserve"> </w:t>
      </w:r>
      <w:r w:rsidR="00C15998">
        <w:rPr>
          <w:i/>
        </w:rPr>
        <w:t xml:space="preserve"> </w:t>
      </w:r>
      <w:r>
        <w:t xml:space="preserve">Staff Proposal at 49 </w:t>
      </w:r>
      <w:r w:rsidR="00856C2A" w:rsidRPr="00856C2A">
        <w:t xml:space="preserve">provides a </w:t>
      </w:r>
      <w:r>
        <w:t>full description.</w:t>
      </w:r>
    </w:p>
  </w:footnote>
  <w:footnote w:id="142">
    <w:p w14:paraId="761A05B6" w14:textId="77777777" w:rsidR="00CE0F0D" w:rsidRDefault="00CE0F0D" w:rsidP="00C15998">
      <w:pPr>
        <w:pStyle w:val="FootnoteText"/>
      </w:pPr>
      <w:r>
        <w:rPr>
          <w:rStyle w:val="FootnoteReference"/>
        </w:rPr>
        <w:footnoteRef/>
      </w:r>
      <w:r>
        <w:t xml:space="preserve"> </w:t>
      </w:r>
      <w:r w:rsidR="00C15998">
        <w:t xml:space="preserve"> </w:t>
      </w:r>
      <w:r w:rsidRPr="00216ED7">
        <w:rPr>
          <w:i/>
          <w:iCs/>
        </w:rPr>
        <w:t>Id.</w:t>
      </w:r>
      <w:r>
        <w:t xml:space="preserve"> at 51.</w:t>
      </w:r>
    </w:p>
  </w:footnote>
  <w:footnote w:id="143">
    <w:p w14:paraId="5F5A1E23" w14:textId="77777777" w:rsidR="00CE0F0D" w:rsidRDefault="00CE0F0D" w:rsidP="00C15998">
      <w:pPr>
        <w:pStyle w:val="FootnoteText"/>
      </w:pPr>
      <w:r w:rsidRPr="004E7666">
        <w:rPr>
          <w:rStyle w:val="FootnoteReference"/>
        </w:rPr>
        <w:footnoteRef/>
      </w:r>
      <w:r w:rsidRPr="004E7666">
        <w:t xml:space="preserve"> </w:t>
      </w:r>
      <w:r w:rsidR="00C15998">
        <w:t xml:space="preserve"> </w:t>
      </w:r>
      <w:r w:rsidR="001524A1">
        <w:t>Transmission Owners</w:t>
      </w:r>
      <w:r w:rsidR="004E7666">
        <w:t xml:space="preserve"> Opening Comments on </w:t>
      </w:r>
      <w:r w:rsidR="00620CDE">
        <w:t>Staff Proposal</w:t>
      </w:r>
      <w:r w:rsidR="004E7666">
        <w:t xml:space="preserve"> at 9.</w:t>
      </w:r>
    </w:p>
  </w:footnote>
  <w:footnote w:id="144">
    <w:p w14:paraId="1F430AD8" w14:textId="77777777" w:rsidR="00CE0F0D" w:rsidRPr="001C0CAB" w:rsidRDefault="00CE0F0D" w:rsidP="00C15998">
      <w:pPr>
        <w:pStyle w:val="FootnoteText"/>
        <w:rPr>
          <w:highlight w:val="yellow"/>
        </w:rPr>
      </w:pPr>
      <w:r w:rsidRPr="00222404">
        <w:rPr>
          <w:rStyle w:val="FootnoteReference"/>
        </w:rPr>
        <w:footnoteRef/>
      </w:r>
      <w:r w:rsidRPr="00222404">
        <w:t xml:space="preserve"> </w:t>
      </w:r>
      <w:r w:rsidR="00C15998">
        <w:t xml:space="preserve"> </w:t>
      </w:r>
      <w:r w:rsidR="00732515">
        <w:t xml:space="preserve">SCE Opening Comments on </w:t>
      </w:r>
      <w:r w:rsidR="00620CDE">
        <w:t>Staff Proposal</w:t>
      </w:r>
      <w:r w:rsidR="00732515">
        <w:t xml:space="preserve"> at </w:t>
      </w:r>
      <w:r w:rsidR="00222404">
        <w:t>B-23</w:t>
      </w:r>
      <w:r w:rsidR="00732515">
        <w:t>.</w:t>
      </w:r>
    </w:p>
  </w:footnote>
  <w:footnote w:id="145">
    <w:p w14:paraId="6A03CA0C" w14:textId="77777777" w:rsidR="00CE0F0D" w:rsidRDefault="00CE0F0D" w:rsidP="00C15998">
      <w:pPr>
        <w:pStyle w:val="FootnoteText"/>
      </w:pPr>
      <w:r w:rsidRPr="00261D36">
        <w:rPr>
          <w:rStyle w:val="FootnoteReference"/>
        </w:rPr>
        <w:footnoteRef/>
      </w:r>
      <w:r w:rsidRPr="00261D36">
        <w:t xml:space="preserve"> </w:t>
      </w:r>
      <w:r w:rsidR="00C15998">
        <w:t xml:space="preserve"> </w:t>
      </w:r>
      <w:r w:rsidR="00261D36" w:rsidRPr="001C0CAB">
        <w:t>E</w:t>
      </w:r>
      <w:r w:rsidR="00261D36" w:rsidRPr="00261D36">
        <w:t xml:space="preserve">DF </w:t>
      </w:r>
      <w:r w:rsidR="00261D36">
        <w:t xml:space="preserve">Opening Comments on </w:t>
      </w:r>
      <w:r w:rsidR="00620CDE">
        <w:t>Staff Proposal</w:t>
      </w:r>
      <w:r w:rsidR="00261D36">
        <w:t xml:space="preserve"> at 5</w:t>
      </w:r>
      <w:r w:rsidR="009374B8">
        <w:t>.</w:t>
      </w:r>
    </w:p>
  </w:footnote>
  <w:footnote w:id="146">
    <w:p w14:paraId="2E6B1670" w14:textId="77777777" w:rsidR="00101294" w:rsidRDefault="00101294" w:rsidP="00C15998">
      <w:pPr>
        <w:pStyle w:val="FootnoteText"/>
      </w:pPr>
      <w:r>
        <w:rPr>
          <w:rStyle w:val="FootnoteReference"/>
        </w:rPr>
        <w:footnoteRef/>
      </w:r>
      <w:r>
        <w:t xml:space="preserve"> </w:t>
      </w:r>
      <w:r w:rsidR="00C15998">
        <w:t xml:space="preserve"> </w:t>
      </w:r>
      <w:r>
        <w:t xml:space="preserve">Upgrades will not pertain to replacing existing support structures, adding battery energy storage systems to an existing substation, or expanding an existing substation to include battery energy storage systems, </w:t>
      </w:r>
      <w:r w:rsidR="00792ADC">
        <w:t xml:space="preserve">or </w:t>
      </w:r>
      <w:r>
        <w:t xml:space="preserve">replacing or adding equipment to </w:t>
      </w:r>
      <w:r w:rsidR="00792ADC">
        <w:t>a substation for the purpose of up</w:t>
      </w:r>
      <w:r w:rsidR="00B6516A">
        <w:t>r</w:t>
      </w:r>
      <w:r w:rsidR="00792ADC">
        <w:t>ating the substation, or the up</w:t>
      </w:r>
      <w:r w:rsidR="00B6516A">
        <w:t>rating of the individual components of a transmission line, power line, or substation.</w:t>
      </w:r>
    </w:p>
  </w:footnote>
  <w:footnote w:id="147">
    <w:p w14:paraId="5D4885A0" w14:textId="77777777" w:rsidR="00DE45CB" w:rsidRDefault="00DE45CB" w:rsidP="00C15998">
      <w:pPr>
        <w:pStyle w:val="FootnoteText"/>
      </w:pPr>
      <w:r>
        <w:rPr>
          <w:rStyle w:val="FootnoteReference"/>
        </w:rPr>
        <w:footnoteRef/>
      </w:r>
      <w:r>
        <w:t xml:space="preserve"> </w:t>
      </w:r>
      <w:r w:rsidR="00C15998">
        <w:t xml:space="preserve"> </w:t>
      </w:r>
      <w:r w:rsidR="00620CDE">
        <w:t>Staff Proposal</w:t>
      </w:r>
      <w:r>
        <w:t xml:space="preserve"> at 12.</w:t>
      </w:r>
    </w:p>
  </w:footnote>
  <w:footnote w:id="148">
    <w:p w14:paraId="423B3B25" w14:textId="77777777" w:rsidR="008B6764" w:rsidRDefault="008B6764" w:rsidP="00C15998">
      <w:pPr>
        <w:pStyle w:val="FootnoteText"/>
      </w:pPr>
      <w:r>
        <w:rPr>
          <w:rStyle w:val="FootnoteReference"/>
        </w:rPr>
        <w:footnoteRef/>
      </w:r>
      <w:r w:rsidR="00C15998">
        <w:t xml:space="preserve"> </w:t>
      </w:r>
      <w:r>
        <w:t xml:space="preserve"> </w:t>
      </w:r>
      <w:r w:rsidRPr="003A2F44">
        <w:rPr>
          <w:i/>
          <w:iCs/>
        </w:rPr>
        <w:t>I</w:t>
      </w:r>
      <w:r w:rsidR="003A2F44" w:rsidRPr="003A2F44">
        <w:rPr>
          <w:i/>
          <w:iCs/>
        </w:rPr>
        <w:t>bid.</w:t>
      </w:r>
    </w:p>
  </w:footnote>
  <w:footnote w:id="149">
    <w:p w14:paraId="7558C31E" w14:textId="77777777" w:rsidR="00D7033F" w:rsidRDefault="00D7033F" w:rsidP="00C15998">
      <w:pPr>
        <w:pStyle w:val="FootnoteText"/>
      </w:pPr>
      <w:r>
        <w:rPr>
          <w:rStyle w:val="FootnoteReference"/>
        </w:rPr>
        <w:footnoteRef/>
      </w:r>
      <w:r>
        <w:t xml:space="preserve"> </w:t>
      </w:r>
      <w:r w:rsidR="00C15998">
        <w:t xml:space="preserve"> </w:t>
      </w:r>
      <w:r w:rsidR="00620CDE">
        <w:t>Staff Proposal</w:t>
      </w:r>
      <w:r w:rsidR="003F2389">
        <w:t>,</w:t>
      </w:r>
      <w:r w:rsidR="003F2389" w:rsidRPr="003F2389">
        <w:t xml:space="preserve"> </w:t>
      </w:r>
      <w:r w:rsidR="00DC14AC">
        <w:t>Section </w:t>
      </w:r>
      <w:r w:rsidR="003F2389" w:rsidRPr="003F2389">
        <w:t>3.1.2</w:t>
      </w:r>
      <w:r w:rsidR="003F2389">
        <w:t>,</w:t>
      </w:r>
      <w:r>
        <w:t xml:space="preserve"> at </w:t>
      </w:r>
      <w:r w:rsidR="002C47FD">
        <w:t>15.</w:t>
      </w:r>
    </w:p>
  </w:footnote>
  <w:footnote w:id="150">
    <w:p w14:paraId="69425D71" w14:textId="77777777" w:rsidR="00195973" w:rsidRPr="001C0CAB" w:rsidRDefault="00195973" w:rsidP="00C15998">
      <w:pPr>
        <w:pStyle w:val="FootnoteText"/>
        <w:rPr>
          <w:highlight w:val="yellow"/>
        </w:rPr>
      </w:pPr>
      <w:r w:rsidRPr="000C729E">
        <w:rPr>
          <w:rStyle w:val="FootnoteReference"/>
        </w:rPr>
        <w:footnoteRef/>
      </w:r>
      <w:r w:rsidRPr="000C729E">
        <w:t xml:space="preserve"> </w:t>
      </w:r>
      <w:r w:rsidR="00C15998">
        <w:t xml:space="preserve"> </w:t>
      </w:r>
      <w:r w:rsidR="000C729E">
        <w:t>CFBF</w:t>
      </w:r>
      <w:r w:rsidR="000C729E" w:rsidRPr="009400FE">
        <w:t xml:space="preserve"> Opening Comments on </w:t>
      </w:r>
      <w:r w:rsidR="00620CDE">
        <w:t>Staff Proposal</w:t>
      </w:r>
      <w:r w:rsidR="000C729E" w:rsidRPr="009400FE">
        <w:t xml:space="preserve"> at </w:t>
      </w:r>
      <w:r w:rsidR="000C729E">
        <w:t>3</w:t>
      </w:r>
      <w:r w:rsidR="000C729E" w:rsidRPr="009400FE">
        <w:t>.</w:t>
      </w:r>
      <w:r w:rsidR="000C729E" w:rsidRPr="000C729E" w:rsidDel="000C729E">
        <w:rPr>
          <w:highlight w:val="yellow"/>
        </w:rPr>
        <w:t xml:space="preserve"> </w:t>
      </w:r>
    </w:p>
  </w:footnote>
  <w:footnote w:id="151">
    <w:p w14:paraId="3207A885" w14:textId="77777777" w:rsidR="00FB4CD8" w:rsidRPr="009400FE" w:rsidRDefault="00FB4CD8" w:rsidP="00C15998">
      <w:pPr>
        <w:pStyle w:val="FootnoteText"/>
      </w:pPr>
      <w:r w:rsidRPr="00A75274">
        <w:rPr>
          <w:rStyle w:val="FootnoteReference"/>
        </w:rPr>
        <w:footnoteRef/>
      </w:r>
      <w:r w:rsidRPr="00A75274">
        <w:t xml:space="preserve"> </w:t>
      </w:r>
      <w:r w:rsidR="00C15998">
        <w:t xml:space="preserve"> </w:t>
      </w:r>
      <w:r w:rsidR="00A75274">
        <w:t xml:space="preserve">CUE </w:t>
      </w:r>
      <w:r w:rsidR="00A75274" w:rsidRPr="009400FE">
        <w:t xml:space="preserve">Opening Comments on </w:t>
      </w:r>
      <w:r w:rsidR="00620CDE">
        <w:t>Staff Proposal</w:t>
      </w:r>
      <w:r w:rsidR="00A75274" w:rsidRPr="009400FE">
        <w:t xml:space="preserve"> at </w:t>
      </w:r>
      <w:r w:rsidR="00A75274">
        <w:t>1</w:t>
      </w:r>
      <w:r w:rsidR="00A75274" w:rsidRPr="009400FE">
        <w:t>.</w:t>
      </w:r>
      <w:r w:rsidR="00A75274" w:rsidRPr="000C729E" w:rsidDel="000C729E">
        <w:rPr>
          <w:highlight w:val="yellow"/>
        </w:rPr>
        <w:t xml:space="preserve"> </w:t>
      </w:r>
    </w:p>
  </w:footnote>
  <w:footnote w:id="152">
    <w:p w14:paraId="6AD8C271" w14:textId="77777777" w:rsidR="00D23277" w:rsidRDefault="00D23277" w:rsidP="00C15998">
      <w:pPr>
        <w:pStyle w:val="FootnoteText"/>
      </w:pPr>
      <w:r w:rsidRPr="009400FE">
        <w:rPr>
          <w:rStyle w:val="FootnoteReference"/>
        </w:rPr>
        <w:footnoteRef/>
      </w:r>
      <w:r w:rsidR="0020241E">
        <w:t xml:space="preserve"> </w:t>
      </w:r>
      <w:r w:rsidR="00C15998">
        <w:t xml:space="preserve"> </w:t>
      </w:r>
      <w:r w:rsidR="00F36872" w:rsidRPr="009400FE">
        <w:t xml:space="preserve">Sierra Club Opening Comments on </w:t>
      </w:r>
      <w:r w:rsidR="00620CDE">
        <w:t>Staff Proposal</w:t>
      </w:r>
      <w:r w:rsidR="00F36872" w:rsidRPr="009400FE">
        <w:t xml:space="preserve"> at </w:t>
      </w:r>
      <w:r w:rsidR="003D3668" w:rsidRPr="009400FE">
        <w:t>2</w:t>
      </w:r>
      <w:r w:rsidR="00F37D32" w:rsidRPr="009400FE">
        <w:t>.</w:t>
      </w:r>
    </w:p>
  </w:footnote>
  <w:footnote w:id="153">
    <w:p w14:paraId="18A857DF" w14:textId="77777777" w:rsidR="008B037A" w:rsidRDefault="008B037A" w:rsidP="00C15998">
      <w:pPr>
        <w:pStyle w:val="FootnoteText"/>
      </w:pPr>
      <w:r>
        <w:rPr>
          <w:rStyle w:val="FootnoteReference"/>
        </w:rPr>
        <w:footnoteRef/>
      </w:r>
      <w:r>
        <w:t xml:space="preserve"> </w:t>
      </w:r>
      <w:r w:rsidR="00C15998">
        <w:t xml:space="preserve"> </w:t>
      </w:r>
      <w:r>
        <w:t>GO 131-D at 2.</w:t>
      </w:r>
    </w:p>
  </w:footnote>
  <w:footnote w:id="154">
    <w:p w14:paraId="0D3FD25E" w14:textId="77777777" w:rsidR="009014D6" w:rsidRDefault="009014D6" w:rsidP="00C15998">
      <w:pPr>
        <w:pStyle w:val="FootnoteText"/>
      </w:pPr>
      <w:r>
        <w:rPr>
          <w:rStyle w:val="FootnoteReference"/>
        </w:rPr>
        <w:footnoteRef/>
      </w:r>
      <w:r>
        <w:t xml:space="preserve"> </w:t>
      </w:r>
      <w:r w:rsidR="00C15998">
        <w:t xml:space="preserve"> </w:t>
      </w:r>
      <w:r w:rsidRPr="003A2F44">
        <w:rPr>
          <w:i/>
          <w:iCs/>
        </w:rPr>
        <w:t>Ibid.</w:t>
      </w:r>
    </w:p>
  </w:footnote>
  <w:footnote w:id="155">
    <w:p w14:paraId="64761725" w14:textId="77777777" w:rsidR="00B20E8F" w:rsidRDefault="00B20E8F" w:rsidP="00C15998">
      <w:pPr>
        <w:pStyle w:val="FootnoteText"/>
      </w:pPr>
      <w:r>
        <w:rPr>
          <w:rStyle w:val="FootnoteReference"/>
        </w:rPr>
        <w:footnoteRef/>
      </w:r>
      <w:r>
        <w:t xml:space="preserve"> </w:t>
      </w:r>
      <w:r w:rsidR="00C15998">
        <w:t xml:space="preserve"> </w:t>
      </w:r>
      <w:r w:rsidR="00620CDE">
        <w:t>Staff Proposal</w:t>
      </w:r>
      <w:r>
        <w:t xml:space="preserve"> at 16-18.</w:t>
      </w:r>
    </w:p>
  </w:footnote>
  <w:footnote w:id="156">
    <w:p w14:paraId="2162CCB9" w14:textId="77777777" w:rsidR="006A2910" w:rsidRDefault="006A2910" w:rsidP="00C15998">
      <w:pPr>
        <w:pStyle w:val="FootnoteText"/>
      </w:pPr>
      <w:r>
        <w:rPr>
          <w:rStyle w:val="FootnoteReference"/>
        </w:rPr>
        <w:footnoteRef/>
      </w:r>
      <w:r w:rsidR="00E86C00">
        <w:t xml:space="preserve"> </w:t>
      </w:r>
      <w:r w:rsidR="00C15998">
        <w:t xml:space="preserve"> </w:t>
      </w:r>
      <w:r w:rsidR="00467BB0">
        <w:t xml:space="preserve">Sierra Club Opening Comments on </w:t>
      </w:r>
      <w:r w:rsidR="00620CDE">
        <w:t>Staff Proposal</w:t>
      </w:r>
      <w:r w:rsidR="00467BB0">
        <w:t xml:space="preserve"> at </w:t>
      </w:r>
      <w:r w:rsidR="000F0E6F">
        <w:t>2-8.</w:t>
      </w:r>
    </w:p>
  </w:footnote>
  <w:footnote w:id="157">
    <w:p w14:paraId="6654865C" w14:textId="77777777" w:rsidR="00A6247E" w:rsidRDefault="00A6247E" w:rsidP="00C15998">
      <w:pPr>
        <w:pStyle w:val="FootnoteText"/>
      </w:pPr>
      <w:r>
        <w:rPr>
          <w:rStyle w:val="FootnoteReference"/>
        </w:rPr>
        <w:footnoteRef/>
      </w:r>
      <w:r>
        <w:t xml:space="preserve"> </w:t>
      </w:r>
      <w:r w:rsidR="00C15998">
        <w:t xml:space="preserve"> </w:t>
      </w:r>
      <w:r w:rsidR="00007448">
        <w:t xml:space="preserve">DOW Opening Comments on </w:t>
      </w:r>
      <w:r w:rsidR="00620CDE">
        <w:t>Staff Proposal</w:t>
      </w:r>
      <w:r w:rsidR="00007448">
        <w:t xml:space="preserve"> at </w:t>
      </w:r>
      <w:r w:rsidR="00C1738A">
        <w:t>3.</w:t>
      </w:r>
    </w:p>
  </w:footnote>
  <w:footnote w:id="158">
    <w:p w14:paraId="53B35741" w14:textId="77777777" w:rsidR="00BF2044" w:rsidRDefault="00BF2044" w:rsidP="00C15998">
      <w:pPr>
        <w:pStyle w:val="FootnoteText"/>
      </w:pPr>
      <w:r>
        <w:rPr>
          <w:rStyle w:val="FootnoteReference"/>
        </w:rPr>
        <w:footnoteRef/>
      </w:r>
      <w:r>
        <w:t xml:space="preserve"> </w:t>
      </w:r>
      <w:r w:rsidR="00C15998">
        <w:t xml:space="preserve"> </w:t>
      </w:r>
      <w:r w:rsidR="008B7216">
        <w:t xml:space="preserve">CBD Opening Comments on </w:t>
      </w:r>
      <w:r w:rsidR="00620CDE">
        <w:t>Staff Proposal</w:t>
      </w:r>
      <w:r w:rsidR="008B7216">
        <w:t xml:space="preserve"> at </w:t>
      </w:r>
      <w:r w:rsidR="00B52F10">
        <w:t>6</w:t>
      </w:r>
      <w:r w:rsidR="008B7216">
        <w:t>.</w:t>
      </w:r>
    </w:p>
  </w:footnote>
  <w:footnote w:id="159">
    <w:p w14:paraId="22273EAB" w14:textId="77777777" w:rsidR="00E77043" w:rsidRDefault="00E77043" w:rsidP="00C15998">
      <w:pPr>
        <w:pStyle w:val="FootnoteText"/>
      </w:pPr>
      <w:r>
        <w:rPr>
          <w:rStyle w:val="FootnoteReference"/>
        </w:rPr>
        <w:footnoteRef/>
      </w:r>
      <w:r>
        <w:t xml:space="preserve"> </w:t>
      </w:r>
      <w:r w:rsidR="00C15998">
        <w:t xml:space="preserve"> </w:t>
      </w:r>
      <w:r>
        <w:t xml:space="preserve">PG&amp;E Opening Comments on </w:t>
      </w:r>
      <w:r w:rsidR="00620CDE">
        <w:t>Staff Proposal</w:t>
      </w:r>
      <w:r>
        <w:t xml:space="preserve"> at 5.</w:t>
      </w:r>
    </w:p>
  </w:footnote>
  <w:footnote w:id="160">
    <w:p w14:paraId="569BE8BB" w14:textId="77777777" w:rsidR="00E77043" w:rsidRDefault="00E77043" w:rsidP="00C15998">
      <w:pPr>
        <w:pStyle w:val="FootnoteText"/>
      </w:pPr>
      <w:r>
        <w:rPr>
          <w:rStyle w:val="FootnoteReference"/>
        </w:rPr>
        <w:footnoteRef/>
      </w:r>
      <w:r>
        <w:t xml:space="preserve"> </w:t>
      </w:r>
      <w:r w:rsidR="00C15998">
        <w:t xml:space="preserve"> </w:t>
      </w:r>
      <w:r>
        <w:t xml:space="preserve">SCE Opening Comments on </w:t>
      </w:r>
      <w:r w:rsidR="00620CDE">
        <w:t>Staff Proposal</w:t>
      </w:r>
      <w:r>
        <w:t xml:space="preserve"> at </w:t>
      </w:r>
      <w:r w:rsidR="00A16CE6">
        <w:t>A-3</w:t>
      </w:r>
      <w:r>
        <w:t>.</w:t>
      </w:r>
    </w:p>
  </w:footnote>
  <w:footnote w:id="161">
    <w:p w14:paraId="363C3A22" w14:textId="77777777" w:rsidR="00305C04" w:rsidRDefault="00305C04" w:rsidP="00C15998">
      <w:pPr>
        <w:pStyle w:val="FootnoteText"/>
      </w:pPr>
      <w:r>
        <w:rPr>
          <w:rStyle w:val="FootnoteReference"/>
        </w:rPr>
        <w:footnoteRef/>
      </w:r>
      <w:r>
        <w:t xml:space="preserve"> </w:t>
      </w:r>
      <w:r w:rsidR="00C15998">
        <w:t xml:space="preserve"> </w:t>
      </w:r>
      <w:r w:rsidR="002D62B2">
        <w:t>L</w:t>
      </w:r>
      <w:r w:rsidR="00DF3251">
        <w:t>SPGC</w:t>
      </w:r>
      <w:r w:rsidR="00537DD2">
        <w:t xml:space="preserve"> Reply Comments on </w:t>
      </w:r>
      <w:r w:rsidR="00620CDE">
        <w:t>Staff Proposal</w:t>
      </w:r>
      <w:r w:rsidR="00537DD2">
        <w:t xml:space="preserve"> at</w:t>
      </w:r>
      <w:r w:rsidR="009617FE">
        <w:t xml:space="preserve"> 4.</w:t>
      </w:r>
    </w:p>
  </w:footnote>
  <w:footnote w:id="162">
    <w:p w14:paraId="3F8EE8EB" w14:textId="77777777" w:rsidR="002B53F8" w:rsidRDefault="002B53F8" w:rsidP="00C15998">
      <w:pPr>
        <w:pStyle w:val="FootnoteText"/>
      </w:pPr>
      <w:r>
        <w:rPr>
          <w:rStyle w:val="FootnoteReference"/>
        </w:rPr>
        <w:footnoteRef/>
      </w:r>
      <w:r>
        <w:t xml:space="preserve"> </w:t>
      </w:r>
      <w:r w:rsidR="00C15998">
        <w:t xml:space="preserve"> </w:t>
      </w:r>
      <w:r w:rsidR="00E97E23">
        <w:t xml:space="preserve">EDF Opening Comments on </w:t>
      </w:r>
      <w:r w:rsidR="00620CDE">
        <w:t>Staff Proposal</w:t>
      </w:r>
      <w:r w:rsidR="00E97E23">
        <w:t xml:space="preserve"> at 4.</w:t>
      </w:r>
    </w:p>
  </w:footnote>
  <w:footnote w:id="163">
    <w:p w14:paraId="688A4C8C" w14:textId="77777777" w:rsidR="00FB53E3" w:rsidRDefault="00FB53E3" w:rsidP="00C15998">
      <w:pPr>
        <w:pStyle w:val="FootnoteText"/>
      </w:pPr>
      <w:r>
        <w:rPr>
          <w:rStyle w:val="FootnoteReference"/>
        </w:rPr>
        <w:footnoteRef/>
      </w:r>
      <w:r>
        <w:t xml:space="preserve"> </w:t>
      </w:r>
      <w:r w:rsidR="00C15998">
        <w:t xml:space="preserve"> </w:t>
      </w:r>
      <w:r w:rsidR="00620CDE">
        <w:t>Staff Proposal</w:t>
      </w:r>
      <w:r>
        <w:t xml:space="preserve">, Appendix A, </w:t>
      </w:r>
      <w:r w:rsidR="00DC14AC">
        <w:t>Section </w:t>
      </w:r>
      <w:r>
        <w:t>1.H.4, at 3</w:t>
      </w:r>
      <w:r w:rsidR="00A15507">
        <w:t>.</w:t>
      </w:r>
    </w:p>
  </w:footnote>
  <w:footnote w:id="164">
    <w:p w14:paraId="1CA77426" w14:textId="77777777" w:rsidR="00FB53E3" w:rsidRDefault="00FB53E3" w:rsidP="00C15998">
      <w:pPr>
        <w:pStyle w:val="FootnoteText"/>
      </w:pPr>
      <w:r>
        <w:rPr>
          <w:rStyle w:val="FootnoteReference"/>
        </w:rPr>
        <w:footnoteRef/>
      </w:r>
      <w:r>
        <w:t xml:space="preserve"> </w:t>
      </w:r>
      <w:r w:rsidR="00C15998">
        <w:t xml:space="preserve"> </w:t>
      </w:r>
      <w:r w:rsidR="00E3272B">
        <w:rPr>
          <w:i/>
          <w:iCs/>
        </w:rPr>
        <w:t>Id.</w:t>
      </w:r>
      <w:r>
        <w:t xml:space="preserve"> at 3</w:t>
      </w:r>
      <w:r w:rsidR="00A15507">
        <w:t>.</w:t>
      </w:r>
    </w:p>
  </w:footnote>
  <w:footnote w:id="165">
    <w:p w14:paraId="5F1F8EC0" w14:textId="77777777" w:rsidR="00FB53E3" w:rsidRDefault="00FB53E3" w:rsidP="00C15998">
      <w:pPr>
        <w:pStyle w:val="FootnoteText"/>
      </w:pPr>
      <w:r>
        <w:rPr>
          <w:rStyle w:val="FootnoteReference"/>
        </w:rPr>
        <w:footnoteRef/>
      </w:r>
      <w:r>
        <w:t xml:space="preserve"> </w:t>
      </w:r>
      <w:r w:rsidR="00C15998">
        <w:t xml:space="preserve"> </w:t>
      </w:r>
      <w:r w:rsidR="00E3272B">
        <w:rPr>
          <w:i/>
          <w:iCs/>
        </w:rPr>
        <w:t>Ibid.</w:t>
      </w:r>
    </w:p>
  </w:footnote>
  <w:footnote w:id="166">
    <w:p w14:paraId="58B43763" w14:textId="77777777" w:rsidR="009721D8" w:rsidRDefault="009721D8" w:rsidP="00C15998">
      <w:pPr>
        <w:pStyle w:val="FootnoteText"/>
      </w:pPr>
      <w:r>
        <w:rPr>
          <w:rStyle w:val="FootnoteReference"/>
        </w:rPr>
        <w:footnoteRef/>
      </w:r>
      <w:r>
        <w:t xml:space="preserve"> </w:t>
      </w:r>
      <w:r w:rsidR="00C15998">
        <w:t xml:space="preserve"> </w:t>
      </w:r>
      <w:r>
        <w:t xml:space="preserve">RCRC Opening Comments on </w:t>
      </w:r>
      <w:r w:rsidR="00620CDE">
        <w:t>Staff Proposal</w:t>
      </w:r>
      <w:r>
        <w:t xml:space="preserve"> at 3</w:t>
      </w:r>
      <w:r w:rsidR="00A15507">
        <w:t>.</w:t>
      </w:r>
    </w:p>
  </w:footnote>
  <w:footnote w:id="167">
    <w:p w14:paraId="14BDB06D" w14:textId="77777777" w:rsidR="007D121C" w:rsidRDefault="007D121C" w:rsidP="00C15998">
      <w:pPr>
        <w:pStyle w:val="FootnoteText"/>
      </w:pPr>
      <w:r>
        <w:rPr>
          <w:rStyle w:val="FootnoteReference"/>
        </w:rPr>
        <w:footnoteRef/>
      </w:r>
      <w:r>
        <w:t xml:space="preserve"> </w:t>
      </w:r>
      <w:r w:rsidR="00C15998">
        <w:t xml:space="preserve"> </w:t>
      </w:r>
      <w:r w:rsidRPr="00CA5DDC">
        <w:t xml:space="preserve">PG&amp;E Opening Comments on </w:t>
      </w:r>
      <w:r w:rsidR="00620CDE">
        <w:t>Staff Proposal</w:t>
      </w:r>
      <w:r w:rsidR="00E0764D">
        <w:t xml:space="preserve"> </w:t>
      </w:r>
      <w:r w:rsidRPr="00CA5DDC">
        <w:t>at 6</w:t>
      </w:r>
      <w:r>
        <w:t>.</w:t>
      </w:r>
    </w:p>
  </w:footnote>
  <w:footnote w:id="168">
    <w:p w14:paraId="4C2608CF" w14:textId="77777777" w:rsidR="007B5956" w:rsidRDefault="007B5956" w:rsidP="00C15998">
      <w:pPr>
        <w:pStyle w:val="FootnoteText"/>
      </w:pPr>
      <w:r>
        <w:rPr>
          <w:rStyle w:val="FootnoteReference"/>
        </w:rPr>
        <w:footnoteRef/>
      </w:r>
      <w:r>
        <w:t xml:space="preserve"> </w:t>
      </w:r>
      <w:r w:rsidR="00C15998">
        <w:t xml:space="preserve"> </w:t>
      </w:r>
      <w:r w:rsidR="00620CDE">
        <w:t>Staff Proposal</w:t>
      </w:r>
      <w:r>
        <w:t xml:space="preserve"> at 12-13.</w:t>
      </w:r>
    </w:p>
  </w:footnote>
  <w:footnote w:id="169">
    <w:p w14:paraId="6A2CC46A" w14:textId="77777777" w:rsidR="007B5956" w:rsidRDefault="007B5956" w:rsidP="00C15998">
      <w:pPr>
        <w:pStyle w:val="FootnoteText"/>
      </w:pPr>
      <w:r>
        <w:rPr>
          <w:rStyle w:val="FootnoteReference"/>
        </w:rPr>
        <w:footnoteRef/>
      </w:r>
      <w:r w:rsidR="00C15998">
        <w:t xml:space="preserve"> </w:t>
      </w:r>
      <w:r>
        <w:t xml:space="preserve"> </w:t>
      </w:r>
      <w:r w:rsidRPr="007B5956">
        <w:rPr>
          <w:i/>
          <w:iCs/>
        </w:rPr>
        <w:t>Ibid.</w:t>
      </w:r>
    </w:p>
  </w:footnote>
  <w:footnote w:id="170">
    <w:p w14:paraId="527800D5" w14:textId="77777777" w:rsidR="00F21259" w:rsidRDefault="00F21259" w:rsidP="00C15998">
      <w:pPr>
        <w:pStyle w:val="FootnoteText"/>
      </w:pPr>
      <w:r>
        <w:rPr>
          <w:rStyle w:val="FootnoteReference"/>
        </w:rPr>
        <w:footnoteRef/>
      </w:r>
      <w:r>
        <w:t xml:space="preserve"> </w:t>
      </w:r>
      <w:r w:rsidR="00C15998">
        <w:t xml:space="preserve"> </w:t>
      </w:r>
      <w:r>
        <w:t xml:space="preserve">Cal Advocates Opening Comments on </w:t>
      </w:r>
      <w:r w:rsidR="00620CDE">
        <w:t>Staff Proposal</w:t>
      </w:r>
      <w:r>
        <w:t xml:space="preserve"> at 4</w:t>
      </w:r>
      <w:r w:rsidR="00D94C0B">
        <w:t>.</w:t>
      </w:r>
    </w:p>
  </w:footnote>
  <w:footnote w:id="171">
    <w:p w14:paraId="60C4BB8D" w14:textId="77777777" w:rsidR="006F3794" w:rsidRDefault="006F3794" w:rsidP="00C15998">
      <w:pPr>
        <w:pStyle w:val="FootnoteText"/>
      </w:pPr>
      <w:r>
        <w:rPr>
          <w:rStyle w:val="FootnoteReference"/>
        </w:rPr>
        <w:footnoteRef/>
      </w:r>
      <w:r>
        <w:t xml:space="preserve"> </w:t>
      </w:r>
      <w:r w:rsidR="00C15998">
        <w:t xml:space="preserve"> </w:t>
      </w:r>
      <w:r w:rsidR="002063F3" w:rsidRPr="007E3AC4">
        <w:t xml:space="preserve">SDG&amp;E Opening Comments on </w:t>
      </w:r>
      <w:r w:rsidR="00620CDE">
        <w:t>Staff Proposal</w:t>
      </w:r>
      <w:r w:rsidR="003C18BF">
        <w:t xml:space="preserve"> at </w:t>
      </w:r>
      <w:r w:rsidR="002063F3" w:rsidRPr="007E3AC4">
        <w:t>30</w:t>
      </w:r>
      <w:r w:rsidR="003C18BF">
        <w:t>.</w:t>
      </w:r>
      <w:r w:rsidR="002063F3" w:rsidRPr="007E3AC4">
        <w:t> </w:t>
      </w:r>
    </w:p>
  </w:footnote>
  <w:footnote w:id="172">
    <w:p w14:paraId="765BF7B2" w14:textId="77777777" w:rsidR="002E32E2" w:rsidRDefault="002E32E2" w:rsidP="00C15998">
      <w:pPr>
        <w:pStyle w:val="FootnoteText"/>
      </w:pPr>
      <w:r>
        <w:rPr>
          <w:rStyle w:val="FootnoteReference"/>
        </w:rPr>
        <w:footnoteRef/>
      </w:r>
      <w:r>
        <w:t xml:space="preserve"> </w:t>
      </w:r>
      <w:r w:rsidR="00C15998">
        <w:t xml:space="preserve"> </w:t>
      </w:r>
      <w:r w:rsidR="002063F3">
        <w:rPr>
          <w:i/>
          <w:iCs/>
        </w:rPr>
        <w:t>Ibid.</w:t>
      </w:r>
    </w:p>
  </w:footnote>
  <w:footnote w:id="173">
    <w:p w14:paraId="413A61F3" w14:textId="77777777" w:rsidR="005944BB" w:rsidRDefault="005944BB" w:rsidP="00C15998">
      <w:pPr>
        <w:pStyle w:val="FootnoteText"/>
      </w:pPr>
      <w:r>
        <w:rPr>
          <w:rStyle w:val="FootnoteReference"/>
        </w:rPr>
        <w:footnoteRef/>
      </w:r>
      <w:r>
        <w:t xml:space="preserve"> </w:t>
      </w:r>
      <w:r w:rsidR="00C15998">
        <w:t xml:space="preserve"> </w:t>
      </w:r>
      <w:r w:rsidRPr="007B5956">
        <w:rPr>
          <w:i/>
          <w:iCs/>
        </w:rPr>
        <w:t>Ibid.</w:t>
      </w:r>
    </w:p>
  </w:footnote>
  <w:footnote w:id="174">
    <w:p w14:paraId="77CC6B89" w14:textId="77777777" w:rsidR="00CE48F3" w:rsidRDefault="00CE48F3" w:rsidP="00C15998">
      <w:pPr>
        <w:pStyle w:val="FootnoteText"/>
      </w:pPr>
      <w:r>
        <w:rPr>
          <w:rStyle w:val="FootnoteReference"/>
        </w:rPr>
        <w:footnoteRef/>
      </w:r>
      <w:r>
        <w:t xml:space="preserve"> </w:t>
      </w:r>
      <w:r w:rsidR="00C15998">
        <w:t xml:space="preserve"> </w:t>
      </w:r>
      <w:r w:rsidR="00620CDE">
        <w:t>Staff Proposal</w:t>
      </w:r>
      <w:r>
        <w:t xml:space="preserve"> at 33.</w:t>
      </w:r>
    </w:p>
  </w:footnote>
  <w:footnote w:id="175">
    <w:p w14:paraId="784652D0" w14:textId="77777777" w:rsidR="008A3A0B" w:rsidRDefault="008A3A0B" w:rsidP="00C15998">
      <w:pPr>
        <w:pStyle w:val="FootnoteText"/>
      </w:pPr>
      <w:r>
        <w:rPr>
          <w:rStyle w:val="FootnoteReference"/>
        </w:rPr>
        <w:footnoteRef/>
      </w:r>
      <w:r>
        <w:t xml:space="preserve"> </w:t>
      </w:r>
      <w:r w:rsidR="00C15998">
        <w:t xml:space="preserve"> </w:t>
      </w:r>
      <w:r>
        <w:t xml:space="preserve">Cal Advocates Opening Comments on </w:t>
      </w:r>
      <w:r w:rsidR="00620CDE">
        <w:t>Staff Proposal</w:t>
      </w:r>
      <w:r>
        <w:t xml:space="preserve"> at 4</w:t>
      </w:r>
      <w:r w:rsidR="00A15507">
        <w:t>.</w:t>
      </w:r>
    </w:p>
  </w:footnote>
  <w:footnote w:id="176">
    <w:p w14:paraId="3CE3F311" w14:textId="77777777" w:rsidR="00730AB5" w:rsidRDefault="00730AB5" w:rsidP="00C15998">
      <w:pPr>
        <w:pStyle w:val="FootnoteText"/>
      </w:pPr>
      <w:r>
        <w:rPr>
          <w:rStyle w:val="FootnoteReference"/>
        </w:rPr>
        <w:footnoteRef/>
      </w:r>
      <w:r>
        <w:t xml:space="preserve"> </w:t>
      </w:r>
      <w:r w:rsidR="00C15998">
        <w:t xml:space="preserve"> </w:t>
      </w:r>
      <w:r>
        <w:t xml:space="preserve">SDG&amp;E Opening Comments on </w:t>
      </w:r>
      <w:r w:rsidR="00620CDE">
        <w:t>Staff Proposal</w:t>
      </w:r>
      <w:r>
        <w:t xml:space="preserve"> at 30</w:t>
      </w:r>
      <w:r w:rsidR="005523BE">
        <w:t>-</w:t>
      </w:r>
      <w:r>
        <w:t xml:space="preserve">31 and A-3-A-4; SCE Opening Comments on </w:t>
      </w:r>
      <w:r w:rsidR="00620CDE">
        <w:t>Staff Proposal</w:t>
      </w:r>
      <w:r>
        <w:t xml:space="preserve"> at 21</w:t>
      </w:r>
      <w:r w:rsidR="005523BE">
        <w:t xml:space="preserve"> and B-4-B-5</w:t>
      </w:r>
      <w:r>
        <w:t xml:space="preserve">; </w:t>
      </w:r>
      <w:r w:rsidR="00B650AA">
        <w:t xml:space="preserve">and </w:t>
      </w:r>
      <w:r w:rsidR="005523BE">
        <w:t xml:space="preserve">PG&amp;E Opening Comments on </w:t>
      </w:r>
      <w:r w:rsidR="00620CDE">
        <w:t>Staff Proposal</w:t>
      </w:r>
      <w:r w:rsidR="005523BE">
        <w:t xml:space="preserve"> at </w:t>
      </w:r>
      <w:r w:rsidR="00B67336">
        <w:t xml:space="preserve">2 </w:t>
      </w:r>
      <w:r w:rsidR="005523BE">
        <w:t>and At</w:t>
      </w:r>
      <w:r w:rsidR="00875CC9">
        <w:t>tachment</w:t>
      </w:r>
      <w:r w:rsidR="005523BE">
        <w:t xml:space="preserve"> A.</w:t>
      </w:r>
    </w:p>
  </w:footnote>
  <w:footnote w:id="177">
    <w:p w14:paraId="0FF0B69C" w14:textId="77777777" w:rsidR="005523BE" w:rsidRDefault="005523BE" w:rsidP="00C15998">
      <w:pPr>
        <w:pStyle w:val="FootnoteText"/>
      </w:pPr>
      <w:r>
        <w:rPr>
          <w:rStyle w:val="FootnoteReference"/>
        </w:rPr>
        <w:footnoteRef/>
      </w:r>
      <w:r w:rsidR="00BC28AE">
        <w:t xml:space="preserve"> </w:t>
      </w:r>
      <w:r w:rsidR="00C15998">
        <w:t xml:space="preserve"> </w:t>
      </w:r>
      <w:r>
        <w:t xml:space="preserve">SDG&amp;E Opening Comments on </w:t>
      </w:r>
      <w:r w:rsidR="00620CDE">
        <w:t>Staff Proposal</w:t>
      </w:r>
      <w:r>
        <w:t xml:space="preserve"> at A-8; SCE Opening Comments on </w:t>
      </w:r>
      <w:r w:rsidR="00620CDE">
        <w:t>Staff Proposal</w:t>
      </w:r>
      <w:r>
        <w:t xml:space="preserve"> at B-9; </w:t>
      </w:r>
      <w:r w:rsidR="00B650AA">
        <w:t xml:space="preserve">and </w:t>
      </w:r>
      <w:r w:rsidR="00B67336">
        <w:t xml:space="preserve">PG&amp;E Opening Comments on </w:t>
      </w:r>
      <w:r w:rsidR="00620CDE">
        <w:t>Staff Proposal</w:t>
      </w:r>
      <w:r w:rsidR="00B67336">
        <w:t xml:space="preserve"> at At</w:t>
      </w:r>
      <w:r w:rsidR="00C15998">
        <w:t>ta</w:t>
      </w:r>
      <w:r w:rsidR="00B67336">
        <w:t>ch</w:t>
      </w:r>
      <w:r w:rsidR="00875CC9">
        <w:t>ment</w:t>
      </w:r>
      <w:r w:rsidR="00B67336">
        <w:t xml:space="preserve"> A.</w:t>
      </w:r>
    </w:p>
  </w:footnote>
  <w:footnote w:id="178">
    <w:p w14:paraId="209A3393" w14:textId="77777777" w:rsidR="00DE07B3" w:rsidRDefault="00DE07B3" w:rsidP="00C15998">
      <w:pPr>
        <w:pStyle w:val="FootnoteText"/>
      </w:pPr>
      <w:r>
        <w:rPr>
          <w:rStyle w:val="FootnoteReference"/>
        </w:rPr>
        <w:footnoteRef/>
      </w:r>
      <w:r w:rsidR="004433CF">
        <w:t xml:space="preserve"> </w:t>
      </w:r>
      <w:r w:rsidR="00C15998">
        <w:t xml:space="preserve"> </w:t>
      </w:r>
      <w:r w:rsidRPr="000F631A">
        <w:t xml:space="preserve">SDG&amp;E Opening Comments on </w:t>
      </w:r>
      <w:r w:rsidR="004433CF">
        <w:t>Phase S</w:t>
      </w:r>
      <w:r w:rsidRPr="000F631A">
        <w:t xml:space="preserve">taff Proposal at 73, </w:t>
      </w:r>
      <w:r>
        <w:t xml:space="preserve">Declaration of Ellen Allyn, </w:t>
      </w:r>
      <w:r w:rsidRPr="000F631A">
        <w:t>July 1, 2024</w:t>
      </w:r>
      <w:r>
        <w:t>.</w:t>
      </w:r>
    </w:p>
  </w:footnote>
  <w:footnote w:id="179">
    <w:p w14:paraId="56B94B05" w14:textId="77777777" w:rsidR="00DE07B3" w:rsidRDefault="00DE07B3" w:rsidP="00C15998">
      <w:pPr>
        <w:pStyle w:val="FootnoteText"/>
      </w:pPr>
      <w:r>
        <w:rPr>
          <w:rStyle w:val="FootnoteReference"/>
        </w:rPr>
        <w:footnoteRef/>
      </w:r>
      <w:r w:rsidR="004433CF">
        <w:t xml:space="preserve"> </w:t>
      </w:r>
      <w:r w:rsidR="00C15998">
        <w:t xml:space="preserve"> </w:t>
      </w:r>
      <w:r w:rsidRPr="000F631A">
        <w:t xml:space="preserve">Cal Advocates Reply Comments on </w:t>
      </w:r>
      <w:r w:rsidR="00620CDE">
        <w:t>Staff Proposal</w:t>
      </w:r>
      <w:r w:rsidR="004433CF">
        <w:t xml:space="preserve"> </w:t>
      </w:r>
      <w:r w:rsidRPr="000F631A">
        <w:t>at 9</w:t>
      </w:r>
      <w:r>
        <w:t>.</w:t>
      </w:r>
    </w:p>
  </w:footnote>
  <w:footnote w:id="180">
    <w:p w14:paraId="1D7FD6A3" w14:textId="77777777" w:rsidR="000F56CF" w:rsidRPr="00653C88" w:rsidRDefault="000F56CF" w:rsidP="00C15998">
      <w:pPr>
        <w:pStyle w:val="FootnoteText"/>
      </w:pPr>
      <w:r w:rsidRPr="00653C88">
        <w:rPr>
          <w:rStyle w:val="FootnoteReference"/>
        </w:rPr>
        <w:footnoteRef/>
      </w:r>
      <w:r w:rsidRPr="00653C88">
        <w:t xml:space="preserve"> </w:t>
      </w:r>
      <w:r w:rsidR="00C15998">
        <w:t xml:space="preserve"> </w:t>
      </w:r>
      <w:r w:rsidRPr="00653C88">
        <w:rPr>
          <w:i/>
          <w:iCs/>
        </w:rPr>
        <w:t>Id</w:t>
      </w:r>
      <w:r w:rsidRPr="00653C88">
        <w:t>. at 12.</w:t>
      </w:r>
    </w:p>
  </w:footnote>
  <w:footnote w:id="181">
    <w:p w14:paraId="4C59DA32" w14:textId="77777777" w:rsidR="000F56CF" w:rsidRPr="00653C88" w:rsidRDefault="000F56CF" w:rsidP="00C15998">
      <w:pPr>
        <w:pStyle w:val="FootnoteText"/>
      </w:pPr>
      <w:r w:rsidRPr="00653C88">
        <w:rPr>
          <w:rStyle w:val="FootnoteReference"/>
        </w:rPr>
        <w:footnoteRef/>
      </w:r>
      <w:r w:rsidR="00C675FE" w:rsidRPr="00653C88">
        <w:t xml:space="preserve"> </w:t>
      </w:r>
      <w:r w:rsidR="00C15998">
        <w:t xml:space="preserve"> </w:t>
      </w:r>
      <w:r w:rsidRPr="00653C88">
        <w:t xml:space="preserve">PCF and CBD Joint Reply Comments on </w:t>
      </w:r>
      <w:r w:rsidR="00620CDE">
        <w:t>Staff Proposal</w:t>
      </w:r>
      <w:r w:rsidR="00C675FE" w:rsidRPr="00653C88">
        <w:t xml:space="preserve"> </w:t>
      </w:r>
      <w:r w:rsidRPr="00653C88">
        <w:t>at 20-21.</w:t>
      </w:r>
    </w:p>
  </w:footnote>
  <w:footnote w:id="182">
    <w:p w14:paraId="2E1485BC" w14:textId="77777777" w:rsidR="00826A52" w:rsidRDefault="00826A52" w:rsidP="00C15998">
      <w:pPr>
        <w:pStyle w:val="FootnoteText"/>
      </w:pPr>
      <w:r w:rsidRPr="00653C88">
        <w:rPr>
          <w:rStyle w:val="FootnoteReference"/>
        </w:rPr>
        <w:footnoteRef/>
      </w:r>
      <w:r w:rsidRPr="00653C88">
        <w:t xml:space="preserve"> </w:t>
      </w:r>
      <w:r w:rsidR="00C15998">
        <w:t xml:space="preserve"> </w:t>
      </w:r>
      <w:r w:rsidRPr="00653C88">
        <w:t xml:space="preserve">Cal Advocates Opening Comments on </w:t>
      </w:r>
      <w:r w:rsidR="00620CDE">
        <w:t>Staff Proposal</w:t>
      </w:r>
      <w:r w:rsidRPr="00653C88">
        <w:t xml:space="preserve"> at 4.</w:t>
      </w:r>
    </w:p>
  </w:footnote>
  <w:footnote w:id="183">
    <w:p w14:paraId="645B4168" w14:textId="77777777" w:rsidR="007760AE" w:rsidRDefault="007760AE" w:rsidP="00C15998">
      <w:pPr>
        <w:pStyle w:val="FootnoteText"/>
      </w:pPr>
      <w:r>
        <w:rPr>
          <w:rStyle w:val="FootnoteReference"/>
        </w:rPr>
        <w:footnoteRef/>
      </w:r>
      <w:r>
        <w:t xml:space="preserve"> </w:t>
      </w:r>
      <w:r w:rsidR="00C15998">
        <w:t xml:space="preserve"> </w:t>
      </w:r>
      <w:r>
        <w:t>SDG&amp;E Opening Comments on the Scope of Phase 2, Declaration of Ellen Allyn, February</w:t>
      </w:r>
      <w:r w:rsidRPr="000F631A">
        <w:t xml:space="preserve"> </w:t>
      </w:r>
      <w:r>
        <w:t>5</w:t>
      </w:r>
      <w:r w:rsidRPr="000F631A">
        <w:t>, 2024</w:t>
      </w:r>
      <w:r w:rsidR="008825F8">
        <w:t>.</w:t>
      </w:r>
    </w:p>
  </w:footnote>
  <w:footnote w:id="184">
    <w:p w14:paraId="1BE910E5" w14:textId="77777777" w:rsidR="0014272B" w:rsidRDefault="0014272B" w:rsidP="00C15998">
      <w:pPr>
        <w:pStyle w:val="FootnoteText"/>
      </w:pPr>
      <w:r>
        <w:rPr>
          <w:rStyle w:val="FootnoteReference"/>
        </w:rPr>
        <w:footnoteRef/>
      </w:r>
      <w:r>
        <w:t xml:space="preserve"> </w:t>
      </w:r>
      <w:r w:rsidR="00C15998">
        <w:t xml:space="preserve"> </w:t>
      </w:r>
      <w:r w:rsidRPr="0087067B">
        <w:t>Decision 97-03-058,</w:t>
      </w:r>
      <w:r w:rsidR="00E06C13">
        <w:t>”Batiquitos”</w:t>
      </w:r>
      <w:r w:rsidRPr="0087067B">
        <w:t xml:space="preserve"> March 18, 1997</w:t>
      </w:r>
      <w:r w:rsidR="008825F8">
        <w:t>.</w:t>
      </w:r>
    </w:p>
  </w:footnote>
  <w:footnote w:id="185">
    <w:p w14:paraId="5739DA10" w14:textId="77777777" w:rsidR="00E5718C" w:rsidRDefault="00E5718C" w:rsidP="00C15998">
      <w:pPr>
        <w:pStyle w:val="FootnoteText"/>
      </w:pPr>
      <w:r>
        <w:rPr>
          <w:rStyle w:val="FootnoteReference"/>
        </w:rPr>
        <w:footnoteRef/>
      </w:r>
      <w:r>
        <w:t xml:space="preserve"> </w:t>
      </w:r>
      <w:r w:rsidR="00C15998">
        <w:t xml:space="preserve"> </w:t>
      </w:r>
      <w:r w:rsidR="00620CDE">
        <w:t>Staff Proposal</w:t>
      </w:r>
      <w:r w:rsidR="00DC3D5D">
        <w:t xml:space="preserve"> at 13, Footnote 7.</w:t>
      </w:r>
    </w:p>
  </w:footnote>
  <w:footnote w:id="186">
    <w:p w14:paraId="616F6C7B" w14:textId="77777777" w:rsidR="007D78DF" w:rsidRDefault="007D78DF" w:rsidP="00C15998">
      <w:pPr>
        <w:pStyle w:val="FootnoteText"/>
      </w:pPr>
      <w:r>
        <w:rPr>
          <w:rStyle w:val="FootnoteReference"/>
        </w:rPr>
        <w:footnoteRef/>
      </w:r>
      <w:r>
        <w:t xml:space="preserve"> </w:t>
      </w:r>
      <w:r w:rsidR="00C15998">
        <w:t xml:space="preserve"> </w:t>
      </w:r>
      <w:r w:rsidR="007030F1">
        <w:t xml:space="preserve">PG&amp;E Opening Comments on </w:t>
      </w:r>
      <w:r w:rsidR="00620CDE">
        <w:t>Staff Proposal</w:t>
      </w:r>
      <w:r w:rsidR="007030F1">
        <w:t xml:space="preserve"> at 14.</w:t>
      </w:r>
    </w:p>
  </w:footnote>
  <w:footnote w:id="187">
    <w:p w14:paraId="0AA18E44" w14:textId="77777777" w:rsidR="00B132D4" w:rsidRDefault="00B132D4" w:rsidP="00C15998">
      <w:pPr>
        <w:pStyle w:val="FootnoteText"/>
      </w:pPr>
      <w:r w:rsidRPr="00D01195">
        <w:rPr>
          <w:rStyle w:val="FootnoteReference"/>
        </w:rPr>
        <w:footnoteRef/>
      </w:r>
      <w:r w:rsidRPr="00D01195">
        <w:t xml:space="preserve"> </w:t>
      </w:r>
      <w:r w:rsidR="00C15998">
        <w:t xml:space="preserve"> </w:t>
      </w:r>
      <w:r w:rsidR="000C6C05">
        <w:t>Joint Motion for Adoption of Phase 1 Settlement Agreement, September 29, 2023 at</w:t>
      </w:r>
      <w:r w:rsidR="002675B3">
        <w:t xml:space="preserve"> 48-49.</w:t>
      </w:r>
    </w:p>
  </w:footnote>
  <w:footnote w:id="188">
    <w:p w14:paraId="72DB8989" w14:textId="77777777" w:rsidR="00A95CF0" w:rsidRPr="00E85CDD" w:rsidRDefault="00A95CF0" w:rsidP="00C15998">
      <w:pPr>
        <w:pStyle w:val="FootnoteText"/>
        <w:rPr>
          <w:highlight w:val="yellow"/>
        </w:rPr>
      </w:pPr>
      <w:r w:rsidRPr="00B62256">
        <w:rPr>
          <w:rStyle w:val="FootnoteReference"/>
        </w:rPr>
        <w:footnoteRef/>
      </w:r>
      <w:r w:rsidR="00C15998">
        <w:t xml:space="preserve"> </w:t>
      </w:r>
      <w:r w:rsidRPr="00B62256">
        <w:t xml:space="preserve"> </w:t>
      </w:r>
      <w:r w:rsidR="00B62256">
        <w:t>RCRC Opening</w:t>
      </w:r>
      <w:r w:rsidR="00B62256" w:rsidRPr="00D01195">
        <w:t xml:space="preserve"> Comments on </w:t>
      </w:r>
      <w:r w:rsidR="00620CDE">
        <w:t>Staff Proposal</w:t>
      </w:r>
      <w:r w:rsidR="00B62256" w:rsidRPr="00D01195">
        <w:t xml:space="preserve"> at </w:t>
      </w:r>
      <w:r w:rsidR="00B62256">
        <w:t>3.</w:t>
      </w:r>
      <w:r w:rsidR="00B62256" w:rsidRPr="00B62256" w:rsidDel="00B62256">
        <w:rPr>
          <w:highlight w:val="yellow"/>
        </w:rPr>
        <w:t xml:space="preserve"> </w:t>
      </w:r>
    </w:p>
  </w:footnote>
  <w:footnote w:id="189">
    <w:p w14:paraId="6B384DDE" w14:textId="77777777" w:rsidR="00A95CF0" w:rsidRPr="00D01195" w:rsidRDefault="00A95CF0" w:rsidP="00C15998">
      <w:pPr>
        <w:pStyle w:val="FootnoteText"/>
      </w:pPr>
      <w:r w:rsidRPr="00D01195">
        <w:rPr>
          <w:rStyle w:val="FootnoteReference"/>
        </w:rPr>
        <w:footnoteRef/>
      </w:r>
      <w:r w:rsidR="00C15998">
        <w:t xml:space="preserve"> </w:t>
      </w:r>
      <w:r w:rsidRPr="00D01195">
        <w:t xml:space="preserve"> </w:t>
      </w:r>
      <w:r w:rsidR="00997E54">
        <w:rPr>
          <w:i/>
          <w:iCs/>
        </w:rPr>
        <w:t>Ibid.</w:t>
      </w:r>
    </w:p>
  </w:footnote>
  <w:footnote w:id="190">
    <w:p w14:paraId="6A103CA6" w14:textId="77777777" w:rsidR="00650385" w:rsidRPr="00D01195" w:rsidRDefault="00650385" w:rsidP="00C15998">
      <w:pPr>
        <w:pStyle w:val="FootnoteText"/>
      </w:pPr>
      <w:r w:rsidRPr="00997E54">
        <w:rPr>
          <w:rStyle w:val="FootnoteReference"/>
        </w:rPr>
        <w:footnoteRef/>
      </w:r>
      <w:r w:rsidRPr="00997E54">
        <w:t xml:space="preserve"> </w:t>
      </w:r>
      <w:r w:rsidR="00C15998">
        <w:t xml:space="preserve"> </w:t>
      </w:r>
      <w:r w:rsidR="00997E54" w:rsidRPr="00997E54">
        <w:t>Cal</w:t>
      </w:r>
      <w:r w:rsidR="00997E54" w:rsidRPr="00D01195">
        <w:t xml:space="preserve"> Advocates’ Opening Comments on </w:t>
      </w:r>
      <w:r w:rsidR="00620CDE">
        <w:t>Staff Proposal</w:t>
      </w:r>
      <w:r w:rsidR="00997E54" w:rsidRPr="00D01195">
        <w:t xml:space="preserve"> at </w:t>
      </w:r>
      <w:r w:rsidR="00997E54">
        <w:t>4</w:t>
      </w:r>
      <w:r w:rsidR="00997E54" w:rsidRPr="00D01195">
        <w:t>.</w:t>
      </w:r>
    </w:p>
  </w:footnote>
  <w:footnote w:id="191">
    <w:p w14:paraId="0BF3A804" w14:textId="77777777" w:rsidR="00B414A2" w:rsidRPr="00D01195" w:rsidRDefault="00B414A2" w:rsidP="00C15998">
      <w:pPr>
        <w:pStyle w:val="FootnoteText"/>
      </w:pPr>
      <w:r w:rsidRPr="00D01195">
        <w:rPr>
          <w:rStyle w:val="FootnoteReference"/>
        </w:rPr>
        <w:footnoteRef/>
      </w:r>
      <w:r w:rsidRPr="00D01195">
        <w:t xml:space="preserve"> </w:t>
      </w:r>
      <w:r w:rsidR="00C15998">
        <w:t xml:space="preserve"> </w:t>
      </w:r>
      <w:r w:rsidRPr="00D01195">
        <w:t xml:space="preserve">LSPGC </w:t>
      </w:r>
      <w:r w:rsidR="005E7C80">
        <w:t>Opening</w:t>
      </w:r>
      <w:r w:rsidRPr="00D01195">
        <w:t xml:space="preserve"> Comments on </w:t>
      </w:r>
      <w:r w:rsidR="00620CDE">
        <w:t>Staff Proposal</w:t>
      </w:r>
      <w:r w:rsidRPr="00D01195">
        <w:t xml:space="preserve"> at</w:t>
      </w:r>
      <w:r w:rsidR="00795572">
        <w:t xml:space="preserve"> </w:t>
      </w:r>
      <w:r w:rsidR="00FD7D4A">
        <w:t>4.</w:t>
      </w:r>
    </w:p>
  </w:footnote>
  <w:footnote w:id="192">
    <w:p w14:paraId="1D8150A9" w14:textId="77777777" w:rsidR="00650385" w:rsidRDefault="00650385" w:rsidP="00C15998">
      <w:pPr>
        <w:pStyle w:val="FootnoteText"/>
      </w:pPr>
      <w:r w:rsidRPr="0093170F">
        <w:rPr>
          <w:rStyle w:val="FootnoteReference"/>
        </w:rPr>
        <w:footnoteRef/>
      </w:r>
      <w:r w:rsidRPr="0093170F">
        <w:t xml:space="preserve"> </w:t>
      </w:r>
      <w:r w:rsidR="00C15998">
        <w:t xml:space="preserve"> </w:t>
      </w:r>
      <w:r w:rsidR="0093170F">
        <w:t>IEP Opening</w:t>
      </w:r>
      <w:r w:rsidR="0093170F" w:rsidRPr="00D01195">
        <w:t xml:space="preserve"> Comments on </w:t>
      </w:r>
      <w:r w:rsidR="00620CDE">
        <w:t>Staff Proposal</w:t>
      </w:r>
      <w:r w:rsidR="0093170F" w:rsidRPr="00D01195">
        <w:t xml:space="preserve"> at</w:t>
      </w:r>
      <w:r w:rsidR="0093170F">
        <w:t xml:space="preserve"> 4.</w:t>
      </w:r>
    </w:p>
  </w:footnote>
  <w:footnote w:id="193">
    <w:p w14:paraId="05002782" w14:textId="77777777" w:rsidR="00C611B1" w:rsidRDefault="00C611B1" w:rsidP="00C15998">
      <w:pPr>
        <w:pStyle w:val="FootnoteText"/>
      </w:pPr>
      <w:r>
        <w:rPr>
          <w:rStyle w:val="FootnoteReference"/>
        </w:rPr>
        <w:footnoteRef/>
      </w:r>
      <w:r>
        <w:t xml:space="preserve"> </w:t>
      </w:r>
      <w:r w:rsidR="00C15998">
        <w:t xml:space="preserve"> </w:t>
      </w:r>
      <w:r w:rsidRPr="00C611B1">
        <w:t>CEQA Guidelines</w:t>
      </w:r>
      <w:r>
        <w:t xml:space="preserve"> </w:t>
      </w:r>
      <w:r w:rsidR="00DC14AC">
        <w:t>Section </w:t>
      </w:r>
      <w:r w:rsidRPr="00C611B1">
        <w:t>15260</w:t>
      </w:r>
      <w:r>
        <w:t>.</w:t>
      </w:r>
    </w:p>
  </w:footnote>
  <w:footnote w:id="194">
    <w:p w14:paraId="71F85DF8" w14:textId="77777777" w:rsidR="00450E1D" w:rsidRDefault="00450E1D" w:rsidP="00C15998">
      <w:pPr>
        <w:pStyle w:val="FootnoteText"/>
      </w:pPr>
      <w:r>
        <w:rPr>
          <w:rStyle w:val="FootnoteReference"/>
        </w:rPr>
        <w:footnoteRef/>
      </w:r>
      <w:r>
        <w:t xml:space="preserve"> </w:t>
      </w:r>
      <w:r w:rsidR="00C15998">
        <w:t xml:space="preserve"> </w:t>
      </w:r>
      <w:r w:rsidR="008825F8" w:rsidRPr="00734CFF">
        <w:rPr>
          <w:i/>
          <w:iCs/>
        </w:rPr>
        <w:t>Id</w:t>
      </w:r>
      <w:r w:rsidR="008825F8">
        <w:t>. at</w:t>
      </w:r>
      <w:r>
        <w:t xml:space="preserve"> </w:t>
      </w:r>
      <w:r w:rsidR="00DC14AC">
        <w:t>Section </w:t>
      </w:r>
      <w:r w:rsidRPr="00C611B1">
        <w:t>15</w:t>
      </w:r>
      <w:r>
        <w:t>061.</w:t>
      </w:r>
    </w:p>
  </w:footnote>
  <w:footnote w:id="195">
    <w:p w14:paraId="6039F8B0" w14:textId="77777777" w:rsidR="00450E1D" w:rsidRDefault="00450E1D" w:rsidP="00C15998">
      <w:pPr>
        <w:pStyle w:val="FootnoteText"/>
      </w:pPr>
      <w:r>
        <w:rPr>
          <w:rStyle w:val="FootnoteReference"/>
        </w:rPr>
        <w:footnoteRef/>
      </w:r>
      <w:r w:rsidRPr="001C0CAB">
        <w:rPr>
          <w:i/>
          <w:iCs/>
        </w:rPr>
        <w:t xml:space="preserve"> </w:t>
      </w:r>
      <w:r w:rsidR="00C15998">
        <w:rPr>
          <w:i/>
          <w:iCs/>
        </w:rPr>
        <w:t xml:space="preserve"> </w:t>
      </w:r>
      <w:r w:rsidR="00620CDE">
        <w:t>Staff Proposal</w:t>
      </w:r>
      <w:r>
        <w:t xml:space="preserve"> at 14 and </w:t>
      </w:r>
      <w:r w:rsidRPr="00C611B1">
        <w:t>CEQA Guideline</w:t>
      </w:r>
      <w:r w:rsidR="0024169C">
        <w:t>s</w:t>
      </w:r>
      <w:r>
        <w:t xml:space="preserve"> </w:t>
      </w:r>
      <w:r w:rsidR="00DC14AC">
        <w:t>Section </w:t>
      </w:r>
      <w:r w:rsidRPr="00C611B1">
        <w:t>15</w:t>
      </w:r>
      <w:r>
        <w:t>062.</w:t>
      </w:r>
    </w:p>
  </w:footnote>
  <w:footnote w:id="196">
    <w:p w14:paraId="2B06730C" w14:textId="77777777" w:rsidR="00E30AF7" w:rsidRPr="00615993" w:rsidRDefault="00E30AF7" w:rsidP="00C15998">
      <w:pPr>
        <w:pStyle w:val="FootnoteText"/>
      </w:pPr>
      <w:r w:rsidRPr="00615993">
        <w:rPr>
          <w:rStyle w:val="FootnoteReference"/>
        </w:rPr>
        <w:footnoteRef/>
      </w:r>
      <w:r w:rsidRPr="001C0CAB">
        <w:rPr>
          <w:i/>
          <w:iCs/>
        </w:rPr>
        <w:t xml:space="preserve"> </w:t>
      </w:r>
      <w:r w:rsidR="00C15998">
        <w:rPr>
          <w:i/>
          <w:iCs/>
        </w:rPr>
        <w:t xml:space="preserve"> </w:t>
      </w:r>
      <w:r w:rsidR="00461F7D">
        <w:rPr>
          <w:i/>
          <w:iCs/>
        </w:rPr>
        <w:t>Id.</w:t>
      </w:r>
      <w:r w:rsidRPr="00615993">
        <w:t xml:space="preserve"> at </w:t>
      </w:r>
      <w:r w:rsidR="002B7671" w:rsidRPr="00615993">
        <w:t>20-21 for complete description of Proposal 6.</w:t>
      </w:r>
    </w:p>
  </w:footnote>
  <w:footnote w:id="197">
    <w:p w14:paraId="3178578C" w14:textId="77777777" w:rsidR="00A17AA8" w:rsidRDefault="00A17AA8" w:rsidP="00C15998">
      <w:pPr>
        <w:pStyle w:val="FootnoteText"/>
      </w:pPr>
      <w:r w:rsidRPr="00615993">
        <w:rPr>
          <w:rStyle w:val="FootnoteReference"/>
        </w:rPr>
        <w:footnoteRef/>
      </w:r>
      <w:r w:rsidRPr="00615993">
        <w:t xml:space="preserve"> </w:t>
      </w:r>
      <w:r w:rsidR="00C15998">
        <w:t xml:space="preserve"> </w:t>
      </w:r>
      <w:r w:rsidRPr="00615993">
        <w:t xml:space="preserve">RCRC Opening Comments </w:t>
      </w:r>
      <w:r w:rsidR="00236C09">
        <w:t xml:space="preserve">on </w:t>
      </w:r>
      <w:r w:rsidR="00620CDE">
        <w:t>Staff Proposal</w:t>
      </w:r>
      <w:r w:rsidR="00236C09">
        <w:t xml:space="preserve"> </w:t>
      </w:r>
      <w:r w:rsidRPr="00615993">
        <w:t>at</w:t>
      </w:r>
      <w:r w:rsidR="00C82BC3" w:rsidRPr="00615993">
        <w:t xml:space="preserve"> </w:t>
      </w:r>
      <w:r w:rsidR="00236C09">
        <w:t>5</w:t>
      </w:r>
      <w:r w:rsidR="00C82BC3" w:rsidRPr="00615993">
        <w:t>.</w:t>
      </w:r>
    </w:p>
  </w:footnote>
  <w:footnote w:id="198">
    <w:p w14:paraId="70C35492" w14:textId="77777777" w:rsidR="000E0869" w:rsidRPr="00615993" w:rsidRDefault="000E0869" w:rsidP="00C15998">
      <w:pPr>
        <w:pStyle w:val="FootnoteText"/>
      </w:pPr>
      <w:r>
        <w:rPr>
          <w:rStyle w:val="FootnoteReference"/>
        </w:rPr>
        <w:footnoteRef/>
      </w:r>
      <w:r>
        <w:t xml:space="preserve"> </w:t>
      </w:r>
      <w:r w:rsidR="00C15998">
        <w:t xml:space="preserve"> </w:t>
      </w:r>
      <w:r w:rsidRPr="00BB06C1">
        <w:t>C</w:t>
      </w:r>
      <w:r w:rsidR="00BB06C1" w:rsidRPr="001C0CAB">
        <w:t xml:space="preserve">EERT </w:t>
      </w:r>
      <w:r w:rsidR="00BB06C1" w:rsidRPr="00BB06C1">
        <w:t>Opening</w:t>
      </w:r>
      <w:r w:rsidR="00BB06C1" w:rsidRPr="00615993">
        <w:t xml:space="preserve"> Comments </w:t>
      </w:r>
      <w:r w:rsidR="00BB06C1">
        <w:t xml:space="preserve">on </w:t>
      </w:r>
      <w:r w:rsidR="00620CDE">
        <w:t>Staff Proposal</w:t>
      </w:r>
      <w:r w:rsidR="00BB06C1">
        <w:t xml:space="preserve"> </w:t>
      </w:r>
      <w:r w:rsidR="00BB06C1" w:rsidRPr="00615993">
        <w:t xml:space="preserve">at </w:t>
      </w:r>
      <w:r w:rsidR="001E55C3">
        <w:t>2</w:t>
      </w:r>
      <w:r w:rsidR="00BB06C1">
        <w:t>5</w:t>
      </w:r>
      <w:r w:rsidR="00BB06C1" w:rsidRPr="00615993">
        <w:t>.</w:t>
      </w:r>
    </w:p>
  </w:footnote>
  <w:footnote w:id="199">
    <w:p w14:paraId="10906685" w14:textId="77777777" w:rsidR="001405DA" w:rsidRPr="00615993" w:rsidRDefault="001405DA" w:rsidP="00C15998">
      <w:pPr>
        <w:pStyle w:val="FootnoteText"/>
      </w:pPr>
      <w:r w:rsidRPr="00615993">
        <w:rPr>
          <w:rStyle w:val="FootnoteReference"/>
        </w:rPr>
        <w:footnoteRef/>
      </w:r>
      <w:r w:rsidRPr="00615993">
        <w:t xml:space="preserve"> </w:t>
      </w:r>
      <w:r w:rsidR="00C15998">
        <w:t xml:space="preserve"> </w:t>
      </w:r>
      <w:r w:rsidR="00FE1A69">
        <w:t>PG&amp;E</w:t>
      </w:r>
      <w:r w:rsidRPr="00615993">
        <w:t xml:space="preserve"> Opening Comments </w:t>
      </w:r>
      <w:r w:rsidR="00553091">
        <w:t xml:space="preserve">on </w:t>
      </w:r>
      <w:r w:rsidR="00620CDE">
        <w:t>Staff Proposal</w:t>
      </w:r>
      <w:r w:rsidR="00553091">
        <w:t xml:space="preserve"> </w:t>
      </w:r>
      <w:r w:rsidRPr="00615993">
        <w:t>at</w:t>
      </w:r>
      <w:r w:rsidR="00FE1A69">
        <w:t xml:space="preserve"> 11</w:t>
      </w:r>
      <w:r w:rsidRPr="00615993">
        <w:t>.</w:t>
      </w:r>
    </w:p>
  </w:footnote>
  <w:footnote w:id="200">
    <w:p w14:paraId="0EB9AB00" w14:textId="77777777" w:rsidR="002D61FB" w:rsidRPr="00615993" w:rsidRDefault="002D61FB" w:rsidP="00C15998">
      <w:pPr>
        <w:pStyle w:val="FootnoteText"/>
      </w:pPr>
      <w:r w:rsidRPr="00615993">
        <w:rPr>
          <w:rStyle w:val="FootnoteReference"/>
        </w:rPr>
        <w:footnoteRef/>
      </w:r>
      <w:r w:rsidRPr="00615993">
        <w:t xml:space="preserve"> </w:t>
      </w:r>
      <w:r w:rsidR="00C15998">
        <w:t xml:space="preserve"> </w:t>
      </w:r>
      <w:r w:rsidR="003C0179" w:rsidRPr="00615993">
        <w:t>Cal Advocates’ Opening Comments</w:t>
      </w:r>
      <w:r w:rsidR="00842D05">
        <w:t xml:space="preserve"> on </w:t>
      </w:r>
      <w:r w:rsidR="00620CDE">
        <w:t>Staff Proposal</w:t>
      </w:r>
      <w:r w:rsidR="003C0179" w:rsidRPr="00615993">
        <w:t xml:space="preserve"> at </w:t>
      </w:r>
      <w:r w:rsidR="00842D05">
        <w:t>8.</w:t>
      </w:r>
    </w:p>
  </w:footnote>
  <w:footnote w:id="201">
    <w:p w14:paraId="03E1D8B3" w14:textId="77777777" w:rsidR="00D81C51" w:rsidRDefault="00D81C51" w:rsidP="00C15998">
      <w:pPr>
        <w:pStyle w:val="FootnoteText"/>
      </w:pPr>
      <w:r w:rsidRPr="00615993">
        <w:rPr>
          <w:rStyle w:val="FootnoteReference"/>
        </w:rPr>
        <w:footnoteRef/>
      </w:r>
      <w:r w:rsidRPr="00615993">
        <w:t xml:space="preserve"> </w:t>
      </w:r>
      <w:r w:rsidR="00C15998">
        <w:t xml:space="preserve"> </w:t>
      </w:r>
      <w:r w:rsidR="00C15068" w:rsidRPr="00615993">
        <w:rPr>
          <w:szCs w:val="22"/>
        </w:rPr>
        <w:t>SDG&amp;E Opening Comments</w:t>
      </w:r>
      <w:r w:rsidR="00553091">
        <w:rPr>
          <w:szCs w:val="22"/>
        </w:rPr>
        <w:t xml:space="preserve"> </w:t>
      </w:r>
      <w:r w:rsidR="00AF6B64">
        <w:rPr>
          <w:szCs w:val="22"/>
        </w:rPr>
        <w:t xml:space="preserve">on </w:t>
      </w:r>
      <w:r w:rsidR="00620CDE">
        <w:rPr>
          <w:szCs w:val="22"/>
        </w:rPr>
        <w:t>Staff Proposal</w:t>
      </w:r>
      <w:r w:rsidR="00AF6B64">
        <w:rPr>
          <w:szCs w:val="22"/>
        </w:rPr>
        <w:t xml:space="preserve"> </w:t>
      </w:r>
      <w:r w:rsidR="00C15068" w:rsidRPr="00615993">
        <w:rPr>
          <w:szCs w:val="22"/>
        </w:rPr>
        <w:t>at 3</w:t>
      </w:r>
      <w:r w:rsidR="00AF6B64">
        <w:rPr>
          <w:szCs w:val="22"/>
        </w:rPr>
        <w:t>6</w:t>
      </w:r>
      <w:r w:rsidR="000D0D02" w:rsidRPr="00615993">
        <w:rPr>
          <w:szCs w:val="22"/>
        </w:rPr>
        <w:t>.</w:t>
      </w:r>
    </w:p>
  </w:footnote>
  <w:footnote w:id="202">
    <w:p w14:paraId="0A42F943" w14:textId="77777777" w:rsidR="00894996" w:rsidRDefault="00894996" w:rsidP="00C15998">
      <w:pPr>
        <w:pStyle w:val="FootnoteText"/>
      </w:pPr>
      <w:r>
        <w:rPr>
          <w:rStyle w:val="FootnoteReference"/>
        </w:rPr>
        <w:footnoteRef/>
      </w:r>
      <w:r>
        <w:t xml:space="preserve"> </w:t>
      </w:r>
      <w:r w:rsidR="00C15998">
        <w:t xml:space="preserve"> </w:t>
      </w:r>
      <w:r>
        <w:t>GO 131-D at 2.</w:t>
      </w:r>
    </w:p>
  </w:footnote>
  <w:footnote w:id="203">
    <w:p w14:paraId="46613596" w14:textId="77777777" w:rsidR="006652DE" w:rsidRDefault="006652DE" w:rsidP="00C15998">
      <w:pPr>
        <w:pStyle w:val="FootnoteText"/>
      </w:pPr>
      <w:r w:rsidRPr="00885044">
        <w:rPr>
          <w:rStyle w:val="FootnoteReference"/>
        </w:rPr>
        <w:footnoteRef/>
      </w:r>
      <w:r w:rsidR="00885044">
        <w:t xml:space="preserve"> </w:t>
      </w:r>
      <w:r w:rsidR="00C15998">
        <w:t xml:space="preserve"> </w:t>
      </w:r>
      <w:r w:rsidR="00885044" w:rsidRPr="006D62E0">
        <w:t xml:space="preserve">SCE Opening Comments on the </w:t>
      </w:r>
      <w:r w:rsidR="00620CDE">
        <w:t>Staff Proposal</w:t>
      </w:r>
      <w:r w:rsidR="00885044">
        <w:t xml:space="preserve"> </w:t>
      </w:r>
      <w:r w:rsidR="00885044" w:rsidRPr="006D62E0">
        <w:t>at 24</w:t>
      </w:r>
      <w:r w:rsidR="00885044">
        <w:t>.</w:t>
      </w:r>
    </w:p>
  </w:footnote>
  <w:footnote w:id="204">
    <w:p w14:paraId="1A51A8D1" w14:textId="77777777" w:rsidR="00536F8F" w:rsidRDefault="00536F8F" w:rsidP="00C15998">
      <w:pPr>
        <w:pStyle w:val="FootnoteText"/>
      </w:pPr>
      <w:r>
        <w:rPr>
          <w:rStyle w:val="FootnoteReference"/>
        </w:rPr>
        <w:footnoteRef/>
      </w:r>
      <w:r>
        <w:t xml:space="preserve"> </w:t>
      </w:r>
      <w:r w:rsidR="00C15998">
        <w:t xml:space="preserve"> </w:t>
      </w:r>
      <w:r w:rsidRPr="003B4A45">
        <w:t xml:space="preserve">PG&amp;E Opening Comments on the </w:t>
      </w:r>
      <w:r w:rsidR="00620CDE">
        <w:t>Staff Proposal</w:t>
      </w:r>
      <w:r w:rsidRPr="003B4A45">
        <w:t xml:space="preserve"> at 9. </w:t>
      </w:r>
    </w:p>
  </w:footnote>
  <w:footnote w:id="205">
    <w:p w14:paraId="49C60DED" w14:textId="77777777" w:rsidR="004C29D7" w:rsidRDefault="004C29D7" w:rsidP="00C15998">
      <w:pPr>
        <w:pStyle w:val="FootnoteText"/>
      </w:pPr>
      <w:r>
        <w:rPr>
          <w:rStyle w:val="FootnoteReference"/>
        </w:rPr>
        <w:footnoteRef/>
      </w:r>
      <w:r>
        <w:t xml:space="preserve"> </w:t>
      </w:r>
      <w:r w:rsidR="00C15998">
        <w:t xml:space="preserve"> </w:t>
      </w:r>
      <w:r w:rsidRPr="006D62E0">
        <w:t xml:space="preserve">SCE Opening Comments on the </w:t>
      </w:r>
      <w:r w:rsidR="00620CDE">
        <w:t>Staff Proposal</w:t>
      </w:r>
      <w:r w:rsidR="001E63B1">
        <w:t xml:space="preserve"> </w:t>
      </w:r>
      <w:r w:rsidRPr="006D62E0">
        <w:t>at 24</w:t>
      </w:r>
      <w:r>
        <w:t>.</w:t>
      </w:r>
    </w:p>
  </w:footnote>
  <w:footnote w:id="206">
    <w:p w14:paraId="4E11192F" w14:textId="77777777" w:rsidR="007F7FBC" w:rsidRDefault="007F7FBC" w:rsidP="00C15998">
      <w:pPr>
        <w:pStyle w:val="FootnoteText"/>
      </w:pPr>
      <w:r>
        <w:rPr>
          <w:rStyle w:val="FootnoteReference"/>
        </w:rPr>
        <w:footnoteRef/>
      </w:r>
      <w:r>
        <w:t xml:space="preserve"> </w:t>
      </w:r>
      <w:r w:rsidR="00C15998">
        <w:t xml:space="preserve"> </w:t>
      </w:r>
      <w:r w:rsidR="004F2242">
        <w:t xml:space="preserve">PG&amp;E Comments, </w:t>
      </w:r>
      <w:r w:rsidR="004F2242" w:rsidRPr="004F2242">
        <w:t xml:space="preserve">June 3, 2024 workshop </w:t>
      </w:r>
      <w:r w:rsidR="00AE77D2">
        <w:t xml:space="preserve">on </w:t>
      </w:r>
      <w:r w:rsidR="00620CDE">
        <w:t>Staff Proposal</w:t>
      </w:r>
      <w:r w:rsidR="00AE77D2">
        <w:t>.</w:t>
      </w:r>
      <w:r w:rsidR="004F2242">
        <w:t xml:space="preserve"> </w:t>
      </w:r>
    </w:p>
  </w:footnote>
  <w:footnote w:id="207">
    <w:p w14:paraId="010002FC" w14:textId="77777777" w:rsidR="00CA6469" w:rsidRDefault="00CA6469" w:rsidP="00C15998">
      <w:pPr>
        <w:pStyle w:val="FootnoteText"/>
      </w:pPr>
      <w:r>
        <w:rPr>
          <w:rStyle w:val="FootnoteReference"/>
        </w:rPr>
        <w:footnoteRef/>
      </w:r>
      <w:r w:rsidR="00DB634C">
        <w:t xml:space="preserve"> </w:t>
      </w:r>
      <w:r w:rsidR="00C15998">
        <w:t xml:space="preserve"> </w:t>
      </w:r>
      <w:r w:rsidRPr="00CA6469">
        <w:rPr>
          <w:szCs w:val="22"/>
        </w:rPr>
        <w:t xml:space="preserve">SDG&amp;E Opening Comments on the </w:t>
      </w:r>
      <w:r w:rsidR="00620CDE">
        <w:rPr>
          <w:szCs w:val="22"/>
        </w:rPr>
        <w:t>Staff Proposal</w:t>
      </w:r>
      <w:r w:rsidRPr="00CA6469">
        <w:rPr>
          <w:szCs w:val="22"/>
        </w:rPr>
        <w:t xml:space="preserve"> at 31</w:t>
      </w:r>
      <w:r>
        <w:rPr>
          <w:szCs w:val="22"/>
        </w:rPr>
        <w:t>.</w:t>
      </w:r>
    </w:p>
  </w:footnote>
  <w:footnote w:id="208">
    <w:p w14:paraId="787F2807" w14:textId="77777777" w:rsidR="00817ABA" w:rsidRDefault="00817ABA" w:rsidP="00C15998">
      <w:pPr>
        <w:pStyle w:val="FootnoteText"/>
      </w:pPr>
      <w:r>
        <w:rPr>
          <w:rStyle w:val="FootnoteReference"/>
        </w:rPr>
        <w:footnoteRef/>
      </w:r>
      <w:r>
        <w:t xml:space="preserve"> </w:t>
      </w:r>
      <w:r w:rsidR="00C15998">
        <w:t xml:space="preserve"> </w:t>
      </w:r>
      <w:r>
        <w:t>Staff Proposal at 36 and GO 131-D</w:t>
      </w:r>
      <w:r w:rsidR="00630DCA">
        <w:t>,</w:t>
      </w:r>
      <w:r>
        <w:t xml:space="preserve"> </w:t>
      </w:r>
      <w:r w:rsidR="00DC14AC">
        <w:t>Section</w:t>
      </w:r>
      <w:r w:rsidR="00630DCA">
        <w:t>s</w:t>
      </w:r>
      <w:r w:rsidR="00DC14AC">
        <w:t> </w:t>
      </w:r>
      <w:r>
        <w:t xml:space="preserve">IV, V, and VI </w:t>
      </w:r>
      <w:r w:rsidR="00856C2A" w:rsidRPr="00856C2A">
        <w:t>provide a</w:t>
      </w:r>
      <w:r>
        <w:t xml:space="preserve"> full description. </w:t>
      </w:r>
    </w:p>
  </w:footnote>
  <w:footnote w:id="209">
    <w:p w14:paraId="412F945F" w14:textId="77777777" w:rsidR="00C07844" w:rsidRPr="00810904" w:rsidRDefault="00C07844" w:rsidP="00C15998">
      <w:pPr>
        <w:pStyle w:val="FootnoteText"/>
      </w:pPr>
      <w:r w:rsidRPr="00E3272B">
        <w:rPr>
          <w:rStyle w:val="FootnoteReference"/>
        </w:rPr>
        <w:footnoteRef/>
      </w:r>
      <w:r w:rsidRPr="00E3272B">
        <w:t xml:space="preserve"> </w:t>
      </w:r>
      <w:r w:rsidR="00C15998">
        <w:t xml:space="preserve"> </w:t>
      </w:r>
      <w:r w:rsidR="00810904" w:rsidRPr="00E3272B">
        <w:t xml:space="preserve">PG&amp;E </w:t>
      </w:r>
      <w:r w:rsidR="00810904" w:rsidRPr="00E3272B">
        <w:rPr>
          <w:szCs w:val="22"/>
        </w:rPr>
        <w:t xml:space="preserve">Opening Comments on the </w:t>
      </w:r>
      <w:r w:rsidR="00620CDE">
        <w:rPr>
          <w:szCs w:val="22"/>
        </w:rPr>
        <w:t>Staff Proposal</w:t>
      </w:r>
      <w:r w:rsidR="00810904" w:rsidRPr="00E3272B">
        <w:rPr>
          <w:szCs w:val="22"/>
        </w:rPr>
        <w:t xml:space="preserve"> at 15.</w:t>
      </w:r>
    </w:p>
  </w:footnote>
  <w:footnote w:id="210">
    <w:p w14:paraId="595BE13E" w14:textId="77777777" w:rsidR="00A075D7" w:rsidRDefault="00A075D7" w:rsidP="00C15998">
      <w:pPr>
        <w:pStyle w:val="FootnoteText"/>
      </w:pPr>
      <w:r>
        <w:rPr>
          <w:rStyle w:val="FootnoteReference"/>
        </w:rPr>
        <w:footnoteRef/>
      </w:r>
      <w:r>
        <w:t xml:space="preserve"> </w:t>
      </w:r>
      <w:r w:rsidR="00C15998">
        <w:t xml:space="preserve"> </w:t>
      </w:r>
      <w:r w:rsidR="005A0EB6">
        <w:t xml:space="preserve">EDF </w:t>
      </w:r>
      <w:r w:rsidR="005A0EB6" w:rsidRPr="00CA6469">
        <w:rPr>
          <w:szCs w:val="22"/>
        </w:rPr>
        <w:t xml:space="preserve">Opening Comments on the </w:t>
      </w:r>
      <w:r w:rsidR="00620CDE">
        <w:rPr>
          <w:szCs w:val="22"/>
        </w:rPr>
        <w:t>Staff Proposal</w:t>
      </w:r>
      <w:r w:rsidR="005A0EB6" w:rsidRPr="00CA6469">
        <w:rPr>
          <w:szCs w:val="22"/>
        </w:rPr>
        <w:t xml:space="preserve"> at </w:t>
      </w:r>
      <w:r w:rsidR="005A0EB6">
        <w:rPr>
          <w:szCs w:val="22"/>
        </w:rPr>
        <w:t>1</w:t>
      </w:r>
      <w:r w:rsidR="00E64FCA">
        <w:rPr>
          <w:szCs w:val="22"/>
        </w:rPr>
        <w:t>0</w:t>
      </w:r>
      <w:r w:rsidR="005A0EB6">
        <w:rPr>
          <w:szCs w:val="22"/>
        </w:rPr>
        <w:t>.</w:t>
      </w:r>
    </w:p>
  </w:footnote>
  <w:footnote w:id="211">
    <w:p w14:paraId="34DCF478" w14:textId="77777777" w:rsidR="00C07844" w:rsidRPr="00E3272B" w:rsidRDefault="00C07844" w:rsidP="00C15998">
      <w:pPr>
        <w:pStyle w:val="FootnoteText"/>
      </w:pPr>
      <w:r w:rsidRPr="00E3272B">
        <w:rPr>
          <w:rStyle w:val="FootnoteReference"/>
        </w:rPr>
        <w:footnoteRef/>
      </w:r>
      <w:r w:rsidRPr="00E3272B">
        <w:t xml:space="preserve"> </w:t>
      </w:r>
      <w:r w:rsidR="00C15998">
        <w:t xml:space="preserve"> </w:t>
      </w:r>
      <w:r w:rsidR="000971D2" w:rsidRPr="00E3272B">
        <w:t>L</w:t>
      </w:r>
      <w:r w:rsidR="00AA68D0" w:rsidRPr="00E3272B">
        <w:t>SPGC</w:t>
      </w:r>
      <w:r w:rsidR="00636107" w:rsidRPr="00E3272B">
        <w:t xml:space="preserve"> </w:t>
      </w:r>
      <w:r w:rsidR="00636107" w:rsidRPr="00E3272B">
        <w:rPr>
          <w:szCs w:val="22"/>
        </w:rPr>
        <w:t xml:space="preserve">Opening Comments on the </w:t>
      </w:r>
      <w:r w:rsidR="00620CDE">
        <w:rPr>
          <w:szCs w:val="22"/>
        </w:rPr>
        <w:t>Staff Proposal</w:t>
      </w:r>
      <w:r w:rsidR="00636107" w:rsidRPr="00E3272B">
        <w:rPr>
          <w:szCs w:val="22"/>
        </w:rPr>
        <w:t xml:space="preserve"> at </w:t>
      </w:r>
      <w:r w:rsidR="000971D2" w:rsidRPr="00E3272B">
        <w:rPr>
          <w:szCs w:val="22"/>
        </w:rPr>
        <w:t>5</w:t>
      </w:r>
      <w:r w:rsidR="00636107" w:rsidRPr="00E3272B">
        <w:rPr>
          <w:szCs w:val="22"/>
        </w:rPr>
        <w:t>.</w:t>
      </w:r>
    </w:p>
  </w:footnote>
  <w:footnote w:id="212">
    <w:p w14:paraId="1B9B7D7B" w14:textId="77777777" w:rsidR="00F82329" w:rsidRPr="00E3272B" w:rsidRDefault="00F82329" w:rsidP="00C15998">
      <w:pPr>
        <w:pStyle w:val="FootnoteText"/>
      </w:pPr>
      <w:r w:rsidRPr="00E3272B">
        <w:rPr>
          <w:rStyle w:val="FootnoteReference"/>
        </w:rPr>
        <w:footnoteRef/>
      </w:r>
      <w:r w:rsidRPr="00E3272B">
        <w:t xml:space="preserve"> </w:t>
      </w:r>
      <w:r w:rsidR="00C15998">
        <w:t xml:space="preserve"> </w:t>
      </w:r>
      <w:r w:rsidR="003C4EE0" w:rsidRPr="00E3272B">
        <w:t xml:space="preserve">SDG&amp;E </w:t>
      </w:r>
      <w:r w:rsidR="003C4EE0" w:rsidRPr="00E3272B">
        <w:rPr>
          <w:szCs w:val="22"/>
        </w:rPr>
        <w:t xml:space="preserve">Opening Comments on the </w:t>
      </w:r>
      <w:r w:rsidR="00620CDE">
        <w:rPr>
          <w:szCs w:val="22"/>
        </w:rPr>
        <w:t>Staff Proposal</w:t>
      </w:r>
      <w:r w:rsidR="003C4EE0" w:rsidRPr="00E3272B">
        <w:rPr>
          <w:szCs w:val="22"/>
        </w:rPr>
        <w:t xml:space="preserve"> at </w:t>
      </w:r>
      <w:r w:rsidR="0088318E" w:rsidRPr="00E3272B">
        <w:rPr>
          <w:szCs w:val="22"/>
        </w:rPr>
        <w:t>43</w:t>
      </w:r>
      <w:r w:rsidR="003C4EE0" w:rsidRPr="00E3272B">
        <w:rPr>
          <w:szCs w:val="22"/>
        </w:rPr>
        <w:t>.</w:t>
      </w:r>
    </w:p>
  </w:footnote>
  <w:footnote w:id="213">
    <w:p w14:paraId="3729A203" w14:textId="77777777" w:rsidR="0054636B" w:rsidRPr="00E3272B" w:rsidRDefault="0054636B" w:rsidP="00C15998">
      <w:pPr>
        <w:pStyle w:val="FootnoteText"/>
      </w:pPr>
      <w:r w:rsidRPr="00E3272B">
        <w:rPr>
          <w:rStyle w:val="FootnoteReference"/>
        </w:rPr>
        <w:footnoteRef/>
      </w:r>
      <w:r w:rsidRPr="00E3272B">
        <w:t xml:space="preserve"> </w:t>
      </w:r>
      <w:r w:rsidR="00C15998">
        <w:t xml:space="preserve"> </w:t>
      </w:r>
      <w:r w:rsidR="009A4AF7" w:rsidRPr="00E3272B">
        <w:t xml:space="preserve">EDF </w:t>
      </w:r>
      <w:r w:rsidR="009A4AF7" w:rsidRPr="00E3272B">
        <w:rPr>
          <w:szCs w:val="22"/>
        </w:rPr>
        <w:t>Opening Comments on Staff Proposal at 10.</w:t>
      </w:r>
    </w:p>
  </w:footnote>
  <w:footnote w:id="214">
    <w:p w14:paraId="53392E1F" w14:textId="77777777" w:rsidR="006A0741" w:rsidRPr="001C0CAB" w:rsidRDefault="006A0741" w:rsidP="00C15998">
      <w:pPr>
        <w:pStyle w:val="FootnoteText"/>
        <w:rPr>
          <w:highlight w:val="yellow"/>
        </w:rPr>
      </w:pPr>
      <w:r w:rsidRPr="00E3272B">
        <w:rPr>
          <w:rStyle w:val="FootnoteReference"/>
        </w:rPr>
        <w:footnoteRef/>
      </w:r>
      <w:r w:rsidRPr="00E3272B">
        <w:t xml:space="preserve"> </w:t>
      </w:r>
      <w:r w:rsidR="00C15998">
        <w:t xml:space="preserve"> </w:t>
      </w:r>
      <w:r w:rsidR="009040EB" w:rsidRPr="00E3272B">
        <w:t xml:space="preserve">SDG&amp;E </w:t>
      </w:r>
      <w:r w:rsidR="009040EB" w:rsidRPr="00E3272B">
        <w:rPr>
          <w:szCs w:val="22"/>
        </w:rPr>
        <w:t>Opening Comments on Staff Proposal at 43.</w:t>
      </w:r>
    </w:p>
  </w:footnote>
  <w:footnote w:id="215">
    <w:p w14:paraId="53AB3DB7" w14:textId="77777777" w:rsidR="005727EA" w:rsidRPr="009759C5" w:rsidRDefault="005727EA" w:rsidP="00C15998">
      <w:pPr>
        <w:pStyle w:val="FootnoteText"/>
      </w:pPr>
      <w:r w:rsidRPr="009759C5">
        <w:rPr>
          <w:rStyle w:val="FootnoteReference"/>
        </w:rPr>
        <w:footnoteRef/>
      </w:r>
      <w:r w:rsidRPr="009759C5">
        <w:t xml:space="preserve"> </w:t>
      </w:r>
      <w:r w:rsidR="00C15998">
        <w:t xml:space="preserve"> </w:t>
      </w:r>
      <w:r w:rsidR="00044A98">
        <w:t>Transmission Owners</w:t>
      </w:r>
      <w:r w:rsidR="00B40BAF" w:rsidRPr="0083747A">
        <w:t xml:space="preserve"> </w:t>
      </w:r>
      <w:r w:rsidR="00B855F0">
        <w:t xml:space="preserve">Opening Comments </w:t>
      </w:r>
      <w:r w:rsidR="00B31879" w:rsidRPr="009759C5">
        <w:rPr>
          <w:szCs w:val="22"/>
        </w:rPr>
        <w:t>on Staff Proposal at 6.</w:t>
      </w:r>
    </w:p>
  </w:footnote>
  <w:footnote w:id="216">
    <w:p w14:paraId="6B6B893E" w14:textId="77777777" w:rsidR="00553A1B" w:rsidRPr="009759C5" w:rsidRDefault="00553A1B" w:rsidP="00C15998">
      <w:pPr>
        <w:pStyle w:val="FootnoteText"/>
      </w:pPr>
      <w:r w:rsidRPr="009759C5">
        <w:rPr>
          <w:rStyle w:val="FootnoteReference"/>
        </w:rPr>
        <w:footnoteRef/>
      </w:r>
      <w:r w:rsidRPr="009759C5">
        <w:t xml:space="preserve"> </w:t>
      </w:r>
      <w:r w:rsidR="00C15998">
        <w:t xml:space="preserve"> </w:t>
      </w:r>
      <w:r w:rsidR="005F4E41" w:rsidRPr="009759C5">
        <w:t xml:space="preserve">CBD </w:t>
      </w:r>
      <w:r w:rsidR="005F4E41" w:rsidRPr="009759C5">
        <w:rPr>
          <w:szCs w:val="22"/>
        </w:rPr>
        <w:t xml:space="preserve">Opening Comments on Staff Proposal at </w:t>
      </w:r>
      <w:r w:rsidR="00EF2BCB" w:rsidRPr="009759C5">
        <w:rPr>
          <w:szCs w:val="22"/>
        </w:rPr>
        <w:t>10</w:t>
      </w:r>
      <w:r w:rsidR="005F4E41" w:rsidRPr="009759C5">
        <w:rPr>
          <w:szCs w:val="22"/>
        </w:rPr>
        <w:t>.</w:t>
      </w:r>
    </w:p>
  </w:footnote>
  <w:footnote w:id="217">
    <w:p w14:paraId="177D01B8" w14:textId="77777777" w:rsidR="00AF22C0" w:rsidRPr="009759C5" w:rsidRDefault="00AF22C0" w:rsidP="00C15998">
      <w:pPr>
        <w:pStyle w:val="FootnoteText"/>
      </w:pPr>
      <w:r w:rsidRPr="009759C5">
        <w:rPr>
          <w:rStyle w:val="FootnoteReference"/>
        </w:rPr>
        <w:footnoteRef/>
      </w:r>
      <w:r w:rsidRPr="009759C5">
        <w:t xml:space="preserve"> </w:t>
      </w:r>
      <w:r w:rsidR="00C15998">
        <w:t xml:space="preserve"> </w:t>
      </w:r>
      <w:r w:rsidR="009759C5" w:rsidRPr="001C0CAB">
        <w:t>Cal Advocates</w:t>
      </w:r>
      <w:r w:rsidR="009759C5" w:rsidRPr="009759C5">
        <w:rPr>
          <w:i/>
          <w:iCs/>
        </w:rPr>
        <w:t xml:space="preserve"> </w:t>
      </w:r>
      <w:r w:rsidR="009759C5" w:rsidRPr="009759C5">
        <w:rPr>
          <w:szCs w:val="22"/>
        </w:rPr>
        <w:t>Opening Comments on Staff Proposal at 9.</w:t>
      </w:r>
    </w:p>
  </w:footnote>
  <w:footnote w:id="218">
    <w:p w14:paraId="31B79C6D" w14:textId="77777777" w:rsidR="00553A1B" w:rsidRPr="009759C5" w:rsidRDefault="00553A1B" w:rsidP="00C15998">
      <w:pPr>
        <w:pStyle w:val="FootnoteText"/>
      </w:pPr>
      <w:r w:rsidRPr="009759C5">
        <w:rPr>
          <w:rStyle w:val="FootnoteReference"/>
        </w:rPr>
        <w:footnoteRef/>
      </w:r>
      <w:r w:rsidRPr="009759C5">
        <w:t xml:space="preserve"> </w:t>
      </w:r>
      <w:r w:rsidR="00C15998">
        <w:t xml:space="preserve"> </w:t>
      </w:r>
      <w:r w:rsidR="00044A98">
        <w:t>Transmission Owners</w:t>
      </w:r>
      <w:r w:rsidR="00B40BAF">
        <w:t xml:space="preserve"> </w:t>
      </w:r>
      <w:r w:rsidR="00425580">
        <w:t xml:space="preserve">Opening Comments </w:t>
      </w:r>
      <w:r w:rsidR="005643ED" w:rsidRPr="009759C5">
        <w:rPr>
          <w:szCs w:val="22"/>
        </w:rPr>
        <w:t xml:space="preserve">on Staff Proposal at </w:t>
      </w:r>
      <w:r w:rsidR="005643ED">
        <w:rPr>
          <w:szCs w:val="22"/>
        </w:rPr>
        <w:t>7</w:t>
      </w:r>
      <w:r w:rsidR="005643ED" w:rsidRPr="009759C5">
        <w:rPr>
          <w:szCs w:val="22"/>
        </w:rPr>
        <w:t>.</w:t>
      </w:r>
    </w:p>
  </w:footnote>
  <w:footnote w:id="219">
    <w:p w14:paraId="6BF8DE5B" w14:textId="77777777" w:rsidR="00C13075" w:rsidRDefault="00C13075" w:rsidP="00C15998">
      <w:pPr>
        <w:pStyle w:val="FootnoteText"/>
      </w:pPr>
      <w:r w:rsidRPr="009759C5">
        <w:rPr>
          <w:rStyle w:val="FootnoteReference"/>
        </w:rPr>
        <w:footnoteRef/>
      </w:r>
      <w:r w:rsidRPr="009759C5">
        <w:t xml:space="preserve"> </w:t>
      </w:r>
      <w:r w:rsidR="00C15998">
        <w:t xml:space="preserve"> </w:t>
      </w:r>
      <w:r w:rsidR="0060489F" w:rsidRPr="001C0CAB">
        <w:rPr>
          <w:i/>
          <w:iCs/>
        </w:rPr>
        <w:t>Ibid.</w:t>
      </w:r>
    </w:p>
  </w:footnote>
  <w:footnote w:id="220">
    <w:p w14:paraId="45774451" w14:textId="77777777" w:rsidR="006D7A9C" w:rsidRDefault="006D7A9C" w:rsidP="00C15998">
      <w:pPr>
        <w:pStyle w:val="FootnoteText"/>
      </w:pPr>
      <w:r>
        <w:rPr>
          <w:rStyle w:val="FootnoteReference"/>
        </w:rPr>
        <w:footnoteRef/>
      </w:r>
      <w:r>
        <w:t xml:space="preserve"> </w:t>
      </w:r>
      <w:r w:rsidR="00C15998">
        <w:t xml:space="preserve"> </w:t>
      </w:r>
      <w:r>
        <w:t>SCE</w:t>
      </w:r>
      <w:r w:rsidRPr="009759C5">
        <w:t xml:space="preserve"> </w:t>
      </w:r>
      <w:r w:rsidRPr="009759C5">
        <w:rPr>
          <w:szCs w:val="22"/>
        </w:rPr>
        <w:t xml:space="preserve">Opening Comments on Staff Proposal at </w:t>
      </w:r>
      <w:r>
        <w:rPr>
          <w:szCs w:val="22"/>
        </w:rPr>
        <w:t>31</w:t>
      </w:r>
      <w:r w:rsidRPr="009759C5">
        <w:rPr>
          <w:szCs w:val="22"/>
        </w:rPr>
        <w:t>.</w:t>
      </w:r>
    </w:p>
  </w:footnote>
  <w:footnote w:id="221">
    <w:p w14:paraId="0B84A9A0" w14:textId="77777777" w:rsidR="006D7A9C" w:rsidRDefault="006D7A9C" w:rsidP="00C15998">
      <w:pPr>
        <w:pStyle w:val="FootnoteText"/>
      </w:pPr>
      <w:r w:rsidRPr="00314C60">
        <w:rPr>
          <w:rStyle w:val="FootnoteReference"/>
        </w:rPr>
        <w:footnoteRef/>
      </w:r>
      <w:r w:rsidRPr="00314C60">
        <w:t xml:space="preserve"> </w:t>
      </w:r>
      <w:r w:rsidR="00C15998">
        <w:t xml:space="preserve"> </w:t>
      </w:r>
      <w:r w:rsidRPr="001C0CAB">
        <w:rPr>
          <w:i/>
          <w:iCs/>
        </w:rPr>
        <w:t>Ibid.</w:t>
      </w:r>
    </w:p>
  </w:footnote>
  <w:footnote w:id="222">
    <w:p w14:paraId="7B6C1C90" w14:textId="77777777" w:rsidR="00FC5CBB" w:rsidRDefault="00FC5CBB" w:rsidP="00C15998">
      <w:pPr>
        <w:pStyle w:val="FootnoteText"/>
      </w:pPr>
      <w:r>
        <w:rPr>
          <w:rStyle w:val="FootnoteReference"/>
        </w:rPr>
        <w:footnoteRef/>
      </w:r>
      <w:r>
        <w:t xml:space="preserve"> </w:t>
      </w:r>
      <w:r w:rsidR="00C15998">
        <w:t xml:space="preserve"> </w:t>
      </w:r>
      <w:r>
        <w:t xml:space="preserve">Staff Proposal at 53. </w:t>
      </w:r>
    </w:p>
  </w:footnote>
  <w:footnote w:id="223">
    <w:p w14:paraId="7D90BE6A" w14:textId="77777777" w:rsidR="00FC5CBB" w:rsidRDefault="00FC5CBB" w:rsidP="00C15998">
      <w:pPr>
        <w:pStyle w:val="FootnoteText"/>
      </w:pPr>
      <w:r>
        <w:rPr>
          <w:rStyle w:val="FootnoteReference"/>
        </w:rPr>
        <w:footnoteRef/>
      </w:r>
      <w:r>
        <w:t xml:space="preserve"> </w:t>
      </w:r>
      <w:r w:rsidR="00C15998">
        <w:t xml:space="preserve"> </w:t>
      </w:r>
      <w:r>
        <w:t xml:space="preserve">Staff Proposal at 53. </w:t>
      </w:r>
    </w:p>
  </w:footnote>
  <w:footnote w:id="224">
    <w:p w14:paraId="34E5DD52" w14:textId="77777777" w:rsidR="007C394B" w:rsidRPr="001C0CAB" w:rsidRDefault="007C394B" w:rsidP="00C15998">
      <w:pPr>
        <w:pStyle w:val="FootnoteText"/>
        <w:rPr>
          <w:highlight w:val="yellow"/>
        </w:rPr>
      </w:pPr>
      <w:r w:rsidRPr="001A074F">
        <w:rPr>
          <w:rStyle w:val="FootnoteReference"/>
        </w:rPr>
        <w:footnoteRef/>
      </w:r>
      <w:r w:rsidR="003E154A" w:rsidRPr="001A074F">
        <w:t xml:space="preserve"> </w:t>
      </w:r>
      <w:r w:rsidR="00C15998">
        <w:t xml:space="preserve"> </w:t>
      </w:r>
      <w:r w:rsidR="003E154A" w:rsidRPr="001A074F">
        <w:t xml:space="preserve">Cal Advocates Opening Comments on Staff Proposal at </w:t>
      </w:r>
      <w:r w:rsidR="00042705" w:rsidRPr="001A074F">
        <w:t>11.</w:t>
      </w:r>
    </w:p>
  </w:footnote>
  <w:footnote w:id="225">
    <w:p w14:paraId="71687385" w14:textId="77777777" w:rsidR="007C394B" w:rsidRDefault="007C394B" w:rsidP="00C15998">
      <w:pPr>
        <w:pStyle w:val="FootnoteText"/>
      </w:pPr>
      <w:r w:rsidRPr="001C0CAB">
        <w:rPr>
          <w:rStyle w:val="FootnoteReference"/>
        </w:rPr>
        <w:footnoteRef/>
      </w:r>
      <w:r w:rsidR="009A0F66" w:rsidRPr="001A074F">
        <w:t xml:space="preserve"> </w:t>
      </w:r>
      <w:r w:rsidR="00C15998">
        <w:t xml:space="preserve"> </w:t>
      </w:r>
      <w:r w:rsidR="009A0F66">
        <w:t>CEERT</w:t>
      </w:r>
      <w:r w:rsidR="009A0F66" w:rsidRPr="001A074F">
        <w:t xml:space="preserve"> Opening Comments on Staff Proposal at </w:t>
      </w:r>
      <w:r w:rsidR="009A0F66">
        <w:t>25.</w:t>
      </w:r>
    </w:p>
  </w:footnote>
  <w:footnote w:id="226">
    <w:p w14:paraId="4F24A243" w14:textId="77777777" w:rsidR="0040311A" w:rsidRDefault="0040311A" w:rsidP="00C15998">
      <w:pPr>
        <w:pStyle w:val="FootnoteText"/>
      </w:pPr>
      <w:r>
        <w:rPr>
          <w:rStyle w:val="FootnoteReference"/>
        </w:rPr>
        <w:footnoteRef/>
      </w:r>
      <w:r>
        <w:t xml:space="preserve"> </w:t>
      </w:r>
      <w:r w:rsidR="00C15998">
        <w:t xml:space="preserve"> </w:t>
      </w:r>
      <w:r>
        <w:t>PG&amp;E</w:t>
      </w:r>
      <w:r w:rsidR="000F5B17">
        <w:t xml:space="preserve"> Opening Comments on </w:t>
      </w:r>
      <w:r w:rsidR="00620CDE">
        <w:t>Staff Proposal</w:t>
      </w:r>
      <w:r w:rsidR="008B1372">
        <w:t xml:space="preserve"> at 15.</w:t>
      </w:r>
    </w:p>
  </w:footnote>
  <w:footnote w:id="227">
    <w:p w14:paraId="4B71C260" w14:textId="77777777" w:rsidR="00AF4325" w:rsidRDefault="00AF4325" w:rsidP="00C15998">
      <w:pPr>
        <w:pStyle w:val="FootnoteText"/>
      </w:pPr>
      <w:r>
        <w:rPr>
          <w:rStyle w:val="FootnoteReference"/>
        </w:rPr>
        <w:footnoteRef/>
      </w:r>
      <w:r>
        <w:t xml:space="preserve"> </w:t>
      </w:r>
      <w:r w:rsidR="00C15998">
        <w:t xml:space="preserve"> </w:t>
      </w:r>
      <w:r>
        <w:t xml:space="preserve">REV Renewables Opening Comments on </w:t>
      </w:r>
      <w:r w:rsidR="00620CDE">
        <w:t>Staff Proposal</w:t>
      </w:r>
      <w:r>
        <w:t xml:space="preserve"> at 3.</w:t>
      </w:r>
    </w:p>
  </w:footnote>
  <w:footnote w:id="228">
    <w:p w14:paraId="663AB523" w14:textId="77777777" w:rsidR="00255CEB" w:rsidRDefault="00255CEB" w:rsidP="00C15998">
      <w:pPr>
        <w:pStyle w:val="FootnoteText"/>
      </w:pPr>
      <w:r>
        <w:rPr>
          <w:rStyle w:val="FootnoteReference"/>
        </w:rPr>
        <w:footnoteRef/>
      </w:r>
      <w:r>
        <w:t xml:space="preserve"> </w:t>
      </w:r>
      <w:r w:rsidR="00C15998">
        <w:t xml:space="preserve"> </w:t>
      </w:r>
      <w:r w:rsidR="008C6811">
        <w:t xml:space="preserve">SDG&amp;E Opening Comments on </w:t>
      </w:r>
      <w:r w:rsidR="00620CDE">
        <w:t>Staff Proposal</w:t>
      </w:r>
      <w:r w:rsidR="008C6811">
        <w:t xml:space="preserve"> at 50.</w:t>
      </w:r>
    </w:p>
  </w:footnote>
  <w:footnote w:id="229">
    <w:p w14:paraId="7543FEDD" w14:textId="77777777" w:rsidR="007A2070" w:rsidRDefault="007A2070" w:rsidP="00C15998">
      <w:pPr>
        <w:pStyle w:val="FootnoteText"/>
      </w:pPr>
      <w:r>
        <w:rPr>
          <w:rStyle w:val="FootnoteReference"/>
        </w:rPr>
        <w:footnoteRef/>
      </w:r>
      <w:r w:rsidR="00FA7451">
        <w:t xml:space="preserve"> </w:t>
      </w:r>
      <w:r w:rsidR="00C15998">
        <w:t xml:space="preserve"> </w:t>
      </w:r>
      <w:r w:rsidR="00E719B5">
        <w:t xml:space="preserve">ACP Opening Comments on </w:t>
      </w:r>
      <w:r w:rsidR="00620CDE">
        <w:t>Staff Proposal</w:t>
      </w:r>
      <w:r w:rsidR="00E719B5">
        <w:t xml:space="preserve"> at 8.</w:t>
      </w:r>
    </w:p>
  </w:footnote>
  <w:footnote w:id="230">
    <w:p w14:paraId="4C956DDA" w14:textId="77777777" w:rsidR="006A3E22" w:rsidRDefault="006A3E22" w:rsidP="00C15998">
      <w:pPr>
        <w:pStyle w:val="FootnoteText"/>
      </w:pPr>
      <w:r>
        <w:rPr>
          <w:rStyle w:val="FootnoteReference"/>
        </w:rPr>
        <w:footnoteRef/>
      </w:r>
      <w:r>
        <w:t xml:space="preserve"> </w:t>
      </w:r>
      <w:r w:rsidR="00C15998">
        <w:t xml:space="preserve"> </w:t>
      </w:r>
      <w:r w:rsidR="00EE57D0" w:rsidRPr="001C0CAB">
        <w:rPr>
          <w:i/>
          <w:iCs/>
        </w:rPr>
        <w:t>Ibid.</w:t>
      </w:r>
    </w:p>
  </w:footnote>
  <w:footnote w:id="231">
    <w:p w14:paraId="1BA430EB" w14:textId="77777777" w:rsidR="000C2666" w:rsidRDefault="000C2666" w:rsidP="00C15998">
      <w:pPr>
        <w:pStyle w:val="FootnoteText"/>
      </w:pPr>
      <w:r>
        <w:rPr>
          <w:rStyle w:val="FootnoteReference"/>
        </w:rPr>
        <w:footnoteRef/>
      </w:r>
      <w:r w:rsidR="00FA7451">
        <w:t xml:space="preserve"> </w:t>
      </w:r>
      <w:r w:rsidR="00C15998">
        <w:t xml:space="preserve"> </w:t>
      </w:r>
      <w:r>
        <w:t xml:space="preserve">ATC </w:t>
      </w:r>
      <w:r w:rsidR="00A72499">
        <w:t>Opening</w:t>
      </w:r>
      <w:r>
        <w:t xml:space="preserve"> Comments on </w:t>
      </w:r>
      <w:r w:rsidR="00620CDE">
        <w:t>Staff Proposal</w:t>
      </w:r>
      <w:r>
        <w:t xml:space="preserve"> at </w:t>
      </w:r>
      <w:r w:rsidR="00DD794D">
        <w:t>1</w:t>
      </w:r>
      <w:r>
        <w:t>.</w:t>
      </w:r>
    </w:p>
  </w:footnote>
  <w:footnote w:id="232">
    <w:p w14:paraId="04F5705B" w14:textId="77777777" w:rsidR="000C6037" w:rsidRDefault="000C6037" w:rsidP="00C15998">
      <w:pPr>
        <w:pStyle w:val="FootnoteText"/>
      </w:pPr>
      <w:r>
        <w:rPr>
          <w:rStyle w:val="FootnoteReference"/>
        </w:rPr>
        <w:footnoteRef/>
      </w:r>
      <w:r w:rsidR="00FA7451">
        <w:t xml:space="preserve"> </w:t>
      </w:r>
      <w:r w:rsidR="00C15998">
        <w:t xml:space="preserve"> </w:t>
      </w:r>
      <w:r w:rsidR="00C87578">
        <w:t xml:space="preserve">IEP </w:t>
      </w:r>
      <w:r w:rsidR="00A72499">
        <w:t xml:space="preserve">Opening </w:t>
      </w:r>
      <w:r w:rsidR="00C87578">
        <w:t xml:space="preserve">Comments on </w:t>
      </w:r>
      <w:r w:rsidR="00620CDE">
        <w:t>Staff Proposal</w:t>
      </w:r>
      <w:r w:rsidR="00C87578">
        <w:t xml:space="preserve"> at </w:t>
      </w:r>
      <w:r w:rsidR="00EA1E6D">
        <w:t>8.</w:t>
      </w:r>
    </w:p>
  </w:footnote>
  <w:footnote w:id="233">
    <w:p w14:paraId="56E40363" w14:textId="77777777" w:rsidR="00D64550" w:rsidRDefault="00D64550" w:rsidP="00C15998">
      <w:pPr>
        <w:pStyle w:val="FootnoteText"/>
      </w:pPr>
      <w:r>
        <w:rPr>
          <w:rStyle w:val="FootnoteReference"/>
        </w:rPr>
        <w:footnoteRef/>
      </w:r>
      <w:r>
        <w:t xml:space="preserve"> </w:t>
      </w:r>
      <w:r w:rsidR="00C15998">
        <w:t xml:space="preserve"> </w:t>
      </w:r>
      <w:r w:rsidR="004A73A8" w:rsidRPr="001C0CAB">
        <w:rPr>
          <w:i/>
          <w:iCs/>
        </w:rPr>
        <w:t>I</w:t>
      </w:r>
      <w:r w:rsidR="00FA7451" w:rsidRPr="001C0CAB">
        <w:rPr>
          <w:i/>
          <w:iCs/>
        </w:rPr>
        <w:t>d.</w:t>
      </w:r>
      <w:r w:rsidR="00FA7451">
        <w:t xml:space="preserve"> </w:t>
      </w:r>
      <w:r w:rsidR="004A73A8">
        <w:t xml:space="preserve">at </w:t>
      </w:r>
      <w:r w:rsidR="00FA7451">
        <w:t>7</w:t>
      </w:r>
      <w:r w:rsidR="004A73A8">
        <w:t>.</w:t>
      </w:r>
    </w:p>
  </w:footnote>
  <w:footnote w:id="234">
    <w:p w14:paraId="0462CCE1" w14:textId="77777777" w:rsidR="009A69FD" w:rsidRDefault="009A69FD" w:rsidP="00C15998">
      <w:pPr>
        <w:pStyle w:val="FootnoteText"/>
      </w:pPr>
      <w:r w:rsidRPr="0076248D">
        <w:rPr>
          <w:rStyle w:val="FootnoteReference"/>
        </w:rPr>
        <w:footnoteRef/>
      </w:r>
      <w:r w:rsidRPr="0076248D">
        <w:t xml:space="preserve"> </w:t>
      </w:r>
      <w:r w:rsidR="00C15998">
        <w:t xml:space="preserve"> </w:t>
      </w:r>
      <w:r w:rsidR="004B0D92" w:rsidRPr="0021280C">
        <w:rPr>
          <w:i/>
          <w:iCs/>
        </w:rPr>
        <w:t>Id.</w:t>
      </w:r>
      <w:r w:rsidR="004B0D92" w:rsidRPr="0021280C">
        <w:t xml:space="preserve"> at 8</w:t>
      </w:r>
      <w:r w:rsidR="004B0D92">
        <w:t>.</w:t>
      </w:r>
    </w:p>
  </w:footnote>
  <w:footnote w:id="235">
    <w:p w14:paraId="5D5A7408" w14:textId="77777777" w:rsidR="009A69FD" w:rsidRDefault="009A69FD" w:rsidP="00C15998">
      <w:pPr>
        <w:pStyle w:val="FootnoteText"/>
      </w:pPr>
      <w:r>
        <w:rPr>
          <w:rStyle w:val="FootnoteReference"/>
        </w:rPr>
        <w:footnoteRef/>
      </w:r>
      <w:r>
        <w:t xml:space="preserve"> </w:t>
      </w:r>
      <w:r w:rsidR="00C15998">
        <w:t xml:space="preserve"> </w:t>
      </w:r>
      <w:r>
        <w:t xml:space="preserve">LSA </w:t>
      </w:r>
      <w:r w:rsidR="00D430CE">
        <w:t xml:space="preserve">Opening Comments on </w:t>
      </w:r>
      <w:r w:rsidR="00620CDE">
        <w:t>Staff Proposal</w:t>
      </w:r>
      <w:r w:rsidR="00D430CE">
        <w:t xml:space="preserve"> at </w:t>
      </w:r>
      <w:r w:rsidR="00C07AAE">
        <w:t>8.</w:t>
      </w:r>
      <w:r>
        <w:t xml:space="preserve"> </w:t>
      </w:r>
    </w:p>
  </w:footnote>
  <w:footnote w:id="236">
    <w:p w14:paraId="72223BC2" w14:textId="77777777" w:rsidR="00C07AAE" w:rsidRDefault="00C07AAE" w:rsidP="00C15998">
      <w:pPr>
        <w:pStyle w:val="FootnoteText"/>
      </w:pPr>
      <w:r>
        <w:rPr>
          <w:rStyle w:val="FootnoteReference"/>
        </w:rPr>
        <w:footnoteRef/>
      </w:r>
      <w:r>
        <w:t xml:space="preserve"> </w:t>
      </w:r>
      <w:r w:rsidR="00C15998">
        <w:t xml:space="preserve"> </w:t>
      </w:r>
      <w:r w:rsidR="00D71E4D">
        <w:t>REV Renewables</w:t>
      </w:r>
      <w:r w:rsidR="00967779">
        <w:t>, LLC</w:t>
      </w:r>
      <w:r w:rsidR="00D71E4D">
        <w:t xml:space="preserve"> Opening Comments on </w:t>
      </w:r>
      <w:r w:rsidR="00620CDE">
        <w:t>Staff Proposal</w:t>
      </w:r>
      <w:r w:rsidR="00D71E4D">
        <w:t xml:space="preserve"> at </w:t>
      </w:r>
      <w:r w:rsidR="00983F71">
        <w:t>4</w:t>
      </w:r>
      <w:r w:rsidR="00D71E4D">
        <w:t>.</w:t>
      </w:r>
    </w:p>
  </w:footnote>
  <w:footnote w:id="237">
    <w:p w14:paraId="265B6E0D" w14:textId="77777777" w:rsidR="00890445" w:rsidRPr="00890445" w:rsidRDefault="00890445" w:rsidP="00C15998">
      <w:pPr>
        <w:pStyle w:val="Standard"/>
        <w:spacing w:after="120" w:line="240" w:lineRule="auto"/>
        <w:ind w:firstLine="0"/>
        <w:rPr>
          <w:sz w:val="22"/>
        </w:rPr>
      </w:pPr>
      <w:r w:rsidRPr="00890445">
        <w:rPr>
          <w:rStyle w:val="FootnoteReference"/>
          <w:sz w:val="22"/>
        </w:rPr>
        <w:footnoteRef/>
      </w:r>
      <w:r w:rsidR="00C15998">
        <w:rPr>
          <w:sz w:val="22"/>
        </w:rPr>
        <w:t xml:space="preserve"> </w:t>
      </w:r>
      <w:r w:rsidRPr="00890445">
        <w:rPr>
          <w:sz w:val="22"/>
        </w:rPr>
        <w:t xml:space="preserve"> </w:t>
      </w:r>
      <w:r w:rsidR="000041BE">
        <w:rPr>
          <w:sz w:val="22"/>
        </w:rPr>
        <w:t>Cal Advocates</w:t>
      </w:r>
      <w:r w:rsidRPr="009F4906">
        <w:rPr>
          <w:sz w:val="22"/>
        </w:rPr>
        <w:t xml:space="preserve"> Opening Comments on the</w:t>
      </w:r>
      <w:r>
        <w:rPr>
          <w:sz w:val="22"/>
        </w:rPr>
        <w:t xml:space="preserve"> </w:t>
      </w:r>
      <w:r w:rsidRPr="009F4906">
        <w:rPr>
          <w:sz w:val="22"/>
        </w:rPr>
        <w:t xml:space="preserve">Administrative Law Judges’ Ruing Inviting Comment on Phase 2 </w:t>
      </w:r>
      <w:r w:rsidR="004A30A7" w:rsidRPr="009F4906">
        <w:rPr>
          <w:sz w:val="22"/>
        </w:rPr>
        <w:t>Issues at</w:t>
      </w:r>
      <w:r w:rsidRPr="009F4906">
        <w:rPr>
          <w:sz w:val="22"/>
        </w:rPr>
        <w:t xml:space="preserve"> 16.</w:t>
      </w:r>
    </w:p>
  </w:footnote>
  <w:footnote w:id="238">
    <w:p w14:paraId="1C99A3D8" w14:textId="77777777" w:rsidR="00121F47" w:rsidRDefault="00121F47" w:rsidP="00C15998">
      <w:pPr>
        <w:pStyle w:val="Standard"/>
        <w:spacing w:after="120" w:line="240" w:lineRule="auto"/>
        <w:ind w:firstLine="0"/>
      </w:pPr>
      <w:r w:rsidRPr="00B54452">
        <w:rPr>
          <w:rStyle w:val="FootnoteReference"/>
          <w:sz w:val="22"/>
        </w:rPr>
        <w:footnoteRef/>
      </w:r>
      <w:r w:rsidRPr="00B54452">
        <w:rPr>
          <w:sz w:val="22"/>
        </w:rPr>
        <w:t xml:space="preserve"> </w:t>
      </w:r>
      <w:r w:rsidR="00C15998">
        <w:rPr>
          <w:sz w:val="22"/>
        </w:rPr>
        <w:t xml:space="preserve"> </w:t>
      </w:r>
      <w:r w:rsidR="00DC14AC">
        <w:rPr>
          <w:sz w:val="22"/>
        </w:rPr>
        <w:t>SB </w:t>
      </w:r>
      <w:r w:rsidR="00B54452" w:rsidRPr="009F4906">
        <w:rPr>
          <w:sz w:val="22"/>
        </w:rPr>
        <w:t>2431 (Garamendi, 1988) enacted state transmission siting policies, known as the Garamendi Principles, which (1) encourage</w:t>
      </w:r>
      <w:r w:rsidR="00B54452" w:rsidRPr="00B54452">
        <w:rPr>
          <w:sz w:val="22"/>
        </w:rPr>
        <w:t xml:space="preserve"> </w:t>
      </w:r>
      <w:r w:rsidR="00B54452" w:rsidRPr="009F4906">
        <w:rPr>
          <w:sz w:val="22"/>
        </w:rPr>
        <w:t>the use of existing rights-of-way by upgrading existing transmission facilities where technically and economically justifiable; (2)</w:t>
      </w:r>
      <w:r w:rsidR="00B54452" w:rsidRPr="00B54452">
        <w:rPr>
          <w:sz w:val="22"/>
        </w:rPr>
        <w:t xml:space="preserve"> </w:t>
      </w:r>
      <w:r w:rsidR="00B54452" w:rsidRPr="009F4906">
        <w:rPr>
          <w:sz w:val="22"/>
        </w:rPr>
        <w:t>when construction of new transmission lines is required, encourage expansion of existing rights-of-way, when technically and</w:t>
      </w:r>
      <w:r w:rsidR="00B54452" w:rsidRPr="00B54452">
        <w:rPr>
          <w:sz w:val="22"/>
        </w:rPr>
        <w:t xml:space="preserve"> </w:t>
      </w:r>
      <w:r w:rsidR="00B54452" w:rsidRPr="009F4906">
        <w:rPr>
          <w:sz w:val="22"/>
        </w:rPr>
        <w:t>economically feasible; (3) provide for the creation of new rights-of-way when justified by environmental, technical, or economic</w:t>
      </w:r>
      <w:r w:rsidR="00B54452" w:rsidRPr="00B54452">
        <w:rPr>
          <w:sz w:val="22"/>
        </w:rPr>
        <w:t xml:space="preserve"> </w:t>
      </w:r>
      <w:r w:rsidR="00B54452" w:rsidRPr="009F4906">
        <w:rPr>
          <w:sz w:val="22"/>
        </w:rPr>
        <w:t>reasons as determined by the appropriate licensing agency; and (4) where there is a need to construct additional transmission</w:t>
      </w:r>
      <w:r w:rsidR="00B54452" w:rsidRPr="00B54452">
        <w:rPr>
          <w:sz w:val="22"/>
        </w:rPr>
        <w:t xml:space="preserve"> </w:t>
      </w:r>
      <w:r w:rsidR="00B54452" w:rsidRPr="009F4906">
        <w:rPr>
          <w:sz w:val="22"/>
        </w:rPr>
        <w:t>capacity, seek agreement among all interested utilities on the efficient use of that capacity.</w:t>
      </w:r>
      <w:r w:rsidR="00B54452" w:rsidRPr="00B54452">
        <w:rPr>
          <w:sz w:val="22"/>
        </w:rPr>
        <w:t xml:space="preserve"> </w:t>
      </w:r>
    </w:p>
  </w:footnote>
  <w:footnote w:id="239">
    <w:p w14:paraId="4D2F5502" w14:textId="77777777" w:rsidR="00AC7321" w:rsidRDefault="00AC7321" w:rsidP="00C15998">
      <w:pPr>
        <w:pStyle w:val="FootnoteText"/>
      </w:pPr>
      <w:r>
        <w:rPr>
          <w:rStyle w:val="FootnoteReference"/>
        </w:rPr>
        <w:footnoteRef/>
      </w:r>
      <w:r>
        <w:t xml:space="preserve"> </w:t>
      </w:r>
      <w:r w:rsidR="00C15998">
        <w:t xml:space="preserve"> </w:t>
      </w:r>
      <w:r>
        <w:t xml:space="preserve">Pub. Util. Code </w:t>
      </w:r>
      <w:r w:rsidR="00DC14AC">
        <w:t>Section </w:t>
      </w:r>
      <w:r>
        <w:t>767</w:t>
      </w:r>
    </w:p>
  </w:footnote>
  <w:footnote w:id="240">
    <w:p w14:paraId="2BDD08C4" w14:textId="77777777" w:rsidR="00121F47" w:rsidRDefault="00121F47" w:rsidP="00C15998">
      <w:pPr>
        <w:pStyle w:val="FootnoteText"/>
      </w:pPr>
      <w:r>
        <w:rPr>
          <w:rStyle w:val="FootnoteReference"/>
        </w:rPr>
        <w:footnoteRef/>
      </w:r>
      <w:r>
        <w:t xml:space="preserve"> </w:t>
      </w:r>
      <w:r w:rsidRPr="005F5682">
        <w:rPr>
          <w:i/>
          <w:iCs/>
        </w:rPr>
        <w:t xml:space="preserve"> </w:t>
      </w:r>
      <w:r w:rsidR="00594CAF">
        <w:t>Cal Advocates</w:t>
      </w:r>
      <w:r w:rsidR="00930822">
        <w:t xml:space="preserve"> </w:t>
      </w:r>
      <w:r w:rsidRPr="009F4906">
        <w:t>Opening</w:t>
      </w:r>
      <w:r w:rsidRPr="00121F47">
        <w:t xml:space="preserve"> </w:t>
      </w:r>
      <w:r w:rsidRPr="009F4906">
        <w:t>Comments on the A</w:t>
      </w:r>
      <w:r w:rsidR="00930822">
        <w:t>LJ</w:t>
      </w:r>
      <w:r w:rsidRPr="009F4906">
        <w:t>’</w:t>
      </w:r>
      <w:r w:rsidR="005654F8">
        <w:t>s</w:t>
      </w:r>
      <w:r w:rsidRPr="009F4906">
        <w:t xml:space="preserve"> Ruing Inviting Comment on Phase 2 </w:t>
      </w:r>
      <w:r w:rsidR="005654F8" w:rsidRPr="009F4906">
        <w:t>Issues at</w:t>
      </w:r>
      <w:r w:rsidRPr="00121F47">
        <w:t xml:space="preserve"> </w:t>
      </w:r>
      <w:r w:rsidRPr="009F4906">
        <w:t>19-20</w:t>
      </w:r>
      <w:r>
        <w:t>.</w:t>
      </w:r>
    </w:p>
  </w:footnote>
  <w:footnote w:id="241">
    <w:p w14:paraId="59A61547" w14:textId="77777777" w:rsidR="005F5682" w:rsidRDefault="005F5682" w:rsidP="00C15998">
      <w:pPr>
        <w:pStyle w:val="FootnoteText"/>
      </w:pPr>
      <w:r>
        <w:rPr>
          <w:rStyle w:val="FootnoteReference"/>
        </w:rPr>
        <w:footnoteRef/>
      </w:r>
      <w:r>
        <w:t xml:space="preserve"> </w:t>
      </w:r>
      <w:r w:rsidR="00C15998">
        <w:t xml:space="preserve"> </w:t>
      </w:r>
      <w:r>
        <w:t xml:space="preserve">Staff Proposal at 67-68 </w:t>
      </w:r>
      <w:r w:rsidR="00856C2A">
        <w:t xml:space="preserve">provides a </w:t>
      </w:r>
      <w:r>
        <w:t>full description.</w:t>
      </w:r>
    </w:p>
  </w:footnote>
  <w:footnote w:id="242">
    <w:p w14:paraId="538B28F9" w14:textId="77777777" w:rsidR="002327F0" w:rsidRDefault="002327F0" w:rsidP="00C15998">
      <w:pPr>
        <w:pStyle w:val="FootnoteText"/>
      </w:pPr>
      <w:r>
        <w:rPr>
          <w:rStyle w:val="FootnoteReference"/>
        </w:rPr>
        <w:footnoteRef/>
      </w:r>
      <w:r>
        <w:t xml:space="preserve"> </w:t>
      </w:r>
      <w:r w:rsidR="00C15998">
        <w:t xml:space="preserve"> </w:t>
      </w:r>
      <w:r w:rsidR="00B40BAF" w:rsidRPr="0083747A">
        <w:t xml:space="preserve">Horizon West Transmission, LLC, </w:t>
      </w:r>
      <w:r w:rsidR="00B40BAF">
        <w:t xml:space="preserve">Trans Bay Cable LLC, </w:t>
      </w:r>
      <w:r w:rsidR="00B40BAF" w:rsidRPr="0083747A">
        <w:t xml:space="preserve">and </w:t>
      </w:r>
      <w:r w:rsidR="00B40BAF" w:rsidRPr="0083747A">
        <w:t>GridLiance West LLC</w:t>
      </w:r>
      <w:r w:rsidR="00B40BAF">
        <w:t xml:space="preserve"> </w:t>
      </w:r>
      <w:r w:rsidR="00425580">
        <w:t xml:space="preserve">Opening Comments </w:t>
      </w:r>
      <w:r w:rsidR="004B7D74">
        <w:t xml:space="preserve">on Staff Proposal at </w:t>
      </w:r>
      <w:r w:rsidR="00314AE5">
        <w:t>20.</w:t>
      </w:r>
    </w:p>
  </w:footnote>
  <w:footnote w:id="243">
    <w:p w14:paraId="1CAFACAE" w14:textId="77777777" w:rsidR="00835012" w:rsidRDefault="00835012" w:rsidP="00C15998">
      <w:pPr>
        <w:pStyle w:val="FootnoteText"/>
      </w:pPr>
      <w:r>
        <w:rPr>
          <w:rStyle w:val="FootnoteReference"/>
        </w:rPr>
        <w:footnoteRef/>
      </w:r>
      <w:r>
        <w:t xml:space="preserve"> </w:t>
      </w:r>
      <w:r w:rsidR="00C15998">
        <w:t xml:space="preserve"> </w:t>
      </w:r>
      <w:r>
        <w:t>CBD</w:t>
      </w:r>
      <w:r w:rsidR="004B7D74">
        <w:t xml:space="preserve"> Opening Comments on Staff Proposal at 29.</w:t>
      </w:r>
    </w:p>
  </w:footnote>
  <w:footnote w:id="244">
    <w:p w14:paraId="1A8048FC" w14:textId="77777777" w:rsidR="00DE4046" w:rsidRDefault="00DE4046" w:rsidP="00C15998">
      <w:pPr>
        <w:pStyle w:val="FootnoteText"/>
      </w:pPr>
      <w:r>
        <w:rPr>
          <w:rStyle w:val="FootnoteReference"/>
        </w:rPr>
        <w:footnoteRef/>
      </w:r>
      <w:r>
        <w:t xml:space="preserve"> </w:t>
      </w:r>
      <w:r w:rsidR="00C15998">
        <w:t xml:space="preserve"> </w:t>
      </w:r>
      <w:r w:rsidR="008046FE">
        <w:t>ACP Opening Comments on Staff Proposal at 11.</w:t>
      </w:r>
    </w:p>
  </w:footnote>
  <w:footnote w:id="245">
    <w:p w14:paraId="467CA0BF" w14:textId="77777777" w:rsidR="003E5EE3" w:rsidRDefault="003E5EE3" w:rsidP="00C15998">
      <w:pPr>
        <w:pStyle w:val="FootnoteText"/>
      </w:pPr>
      <w:r>
        <w:rPr>
          <w:rStyle w:val="FootnoteReference"/>
        </w:rPr>
        <w:footnoteRef/>
      </w:r>
      <w:r>
        <w:t xml:space="preserve"> </w:t>
      </w:r>
      <w:r w:rsidR="00C15998">
        <w:t xml:space="preserve"> </w:t>
      </w:r>
      <w:r>
        <w:t xml:space="preserve">RCRC </w:t>
      </w:r>
      <w:bookmarkStart w:id="178" w:name="_Hlk176356793"/>
      <w:r>
        <w:t>Opening Comments on S</w:t>
      </w:r>
      <w:r w:rsidR="005F69A3">
        <w:t xml:space="preserve">taff Proposal at </w:t>
      </w:r>
      <w:r w:rsidR="00367748">
        <w:t>12.</w:t>
      </w:r>
      <w:bookmarkEnd w:id="178"/>
    </w:p>
  </w:footnote>
  <w:footnote w:id="246">
    <w:p w14:paraId="362F97E1" w14:textId="77777777" w:rsidR="00561FB6" w:rsidRPr="00561FB6" w:rsidRDefault="00561FB6" w:rsidP="00C15998">
      <w:pPr>
        <w:pStyle w:val="FootnoteText"/>
        <w:rPr>
          <w:b/>
          <w:bCs/>
        </w:rPr>
      </w:pPr>
      <w:r>
        <w:rPr>
          <w:rStyle w:val="FootnoteReference"/>
        </w:rPr>
        <w:footnoteRef/>
      </w:r>
      <w:r w:rsidRPr="005E0A46">
        <w:rPr>
          <w:i/>
          <w:iCs/>
        </w:rPr>
        <w:t xml:space="preserve"> </w:t>
      </w:r>
      <w:r w:rsidR="00C15998">
        <w:rPr>
          <w:i/>
          <w:iCs/>
        </w:rPr>
        <w:t xml:space="preserve"> </w:t>
      </w:r>
      <w:r>
        <w:t xml:space="preserve">CFBF </w:t>
      </w:r>
      <w:r w:rsidR="005E0A46">
        <w:t>Opening Comments on Staff Proposal at 12.</w:t>
      </w:r>
    </w:p>
  </w:footnote>
  <w:footnote w:id="247">
    <w:p w14:paraId="5AE25A12" w14:textId="77777777" w:rsidR="005E0A46" w:rsidRPr="005E0A46" w:rsidRDefault="005E0A46" w:rsidP="00C15998">
      <w:pPr>
        <w:pStyle w:val="FootnoteText"/>
      </w:pPr>
      <w:r>
        <w:rPr>
          <w:rStyle w:val="FootnoteReference"/>
        </w:rPr>
        <w:footnoteRef/>
      </w:r>
      <w:r>
        <w:t xml:space="preserve"> </w:t>
      </w:r>
      <w:r w:rsidR="00C15998">
        <w:t xml:space="preserve"> </w:t>
      </w:r>
      <w:r>
        <w:t>PG&amp;E Opening Comments on Staff Proposal at 18-19.</w:t>
      </w:r>
    </w:p>
  </w:footnote>
  <w:footnote w:id="248">
    <w:p w14:paraId="38A63B62" w14:textId="77777777" w:rsidR="000D20EE" w:rsidRDefault="000D20EE" w:rsidP="00C15998">
      <w:pPr>
        <w:pStyle w:val="FootnoteText"/>
      </w:pPr>
      <w:r>
        <w:rPr>
          <w:rStyle w:val="FootnoteReference"/>
        </w:rPr>
        <w:footnoteRef/>
      </w:r>
      <w:r>
        <w:t xml:space="preserve"> </w:t>
      </w:r>
      <w:r w:rsidR="00C15998">
        <w:t xml:space="preserve"> </w:t>
      </w:r>
      <w:r>
        <w:t>SCE Opening Comments on Staff Proposal at 39.</w:t>
      </w:r>
    </w:p>
  </w:footnote>
  <w:footnote w:id="249">
    <w:p w14:paraId="5C40E615" w14:textId="77777777" w:rsidR="002E0D38" w:rsidRDefault="002E0D38" w:rsidP="00C15998">
      <w:pPr>
        <w:pStyle w:val="FootnoteText"/>
      </w:pPr>
      <w:r>
        <w:rPr>
          <w:rStyle w:val="FootnoteReference"/>
        </w:rPr>
        <w:footnoteRef/>
      </w:r>
      <w:r>
        <w:t xml:space="preserve"> </w:t>
      </w:r>
      <w:r w:rsidR="00C15998">
        <w:t xml:space="preserve"> </w:t>
      </w:r>
      <w:r>
        <w:t xml:space="preserve">SDG&amp;E Opening Comments on Staff Proposal at </w:t>
      </w:r>
      <w:r w:rsidR="001D4A99">
        <w:t>54-57</w:t>
      </w:r>
      <w:r>
        <w:t>.</w:t>
      </w:r>
    </w:p>
  </w:footnote>
  <w:footnote w:id="250">
    <w:p w14:paraId="40C79868" w14:textId="77777777" w:rsidR="008046FE" w:rsidRDefault="008046FE" w:rsidP="00C15998">
      <w:pPr>
        <w:pStyle w:val="FootnoteText"/>
      </w:pPr>
      <w:r>
        <w:rPr>
          <w:rStyle w:val="FootnoteReference"/>
        </w:rPr>
        <w:footnoteRef/>
      </w:r>
      <w:r>
        <w:t xml:space="preserve"> </w:t>
      </w:r>
      <w:r w:rsidR="00C15998">
        <w:t xml:space="preserve"> </w:t>
      </w:r>
      <w:r>
        <w:t>CUE Opening Comments on Staff Proposal at 4.</w:t>
      </w:r>
    </w:p>
  </w:footnote>
  <w:footnote w:id="251">
    <w:p w14:paraId="442EB362" w14:textId="77777777" w:rsidR="00C92010" w:rsidRPr="0063189F" w:rsidRDefault="00C92010" w:rsidP="00C92010">
      <w:pPr>
        <w:pStyle w:val="FootnoteText"/>
        <w:rPr>
          <w:szCs w:val="22"/>
        </w:rPr>
      </w:pPr>
      <w:r w:rsidRPr="0063189F">
        <w:rPr>
          <w:rStyle w:val="FootnoteReference"/>
          <w:szCs w:val="22"/>
        </w:rPr>
        <w:footnoteRef/>
      </w:r>
      <w:r w:rsidRPr="0063189F">
        <w:rPr>
          <w:szCs w:val="22"/>
        </w:rPr>
        <w:t xml:space="preserve"> LSGPC</w:t>
      </w:r>
      <w:r>
        <w:rPr>
          <w:szCs w:val="22"/>
        </w:rPr>
        <w:t xml:space="preserve"> </w:t>
      </w:r>
      <w:r w:rsidR="00A5784A">
        <w:rPr>
          <w:szCs w:val="22"/>
        </w:rPr>
        <w:t xml:space="preserve">Opening </w:t>
      </w:r>
      <w:r>
        <w:rPr>
          <w:szCs w:val="22"/>
        </w:rPr>
        <w:t xml:space="preserve">Comments </w:t>
      </w:r>
      <w:r w:rsidR="00A5784A">
        <w:rPr>
          <w:szCs w:val="22"/>
        </w:rPr>
        <w:t>on Proposed Decision</w:t>
      </w:r>
      <w:r>
        <w:rPr>
          <w:szCs w:val="22"/>
        </w:rPr>
        <w:t xml:space="preserve"> at 4.</w:t>
      </w:r>
    </w:p>
  </w:footnote>
  <w:footnote w:id="252">
    <w:p w14:paraId="4EA49C21" w14:textId="77777777" w:rsidR="00C92010" w:rsidRPr="00892D52" w:rsidRDefault="00C92010" w:rsidP="00C92010">
      <w:pPr>
        <w:pStyle w:val="FootnoteText"/>
        <w:rPr>
          <w:szCs w:val="22"/>
        </w:rPr>
      </w:pPr>
      <w:r w:rsidRPr="00410AE7">
        <w:rPr>
          <w:rStyle w:val="FootnoteReference"/>
          <w:szCs w:val="22"/>
        </w:rPr>
        <w:footnoteRef/>
      </w:r>
      <w:r w:rsidRPr="00410AE7">
        <w:rPr>
          <w:szCs w:val="22"/>
        </w:rPr>
        <w:t xml:space="preserve"> </w:t>
      </w:r>
      <w:r w:rsidRPr="00892D52">
        <w:rPr>
          <w:szCs w:val="22"/>
        </w:rPr>
        <w:t xml:space="preserve">CEERT Opening Comments </w:t>
      </w:r>
      <w:r w:rsidR="00A5784A">
        <w:rPr>
          <w:szCs w:val="22"/>
        </w:rPr>
        <w:t xml:space="preserve">on Proposed Decision </w:t>
      </w:r>
      <w:r w:rsidRPr="00892D52">
        <w:rPr>
          <w:szCs w:val="22"/>
        </w:rPr>
        <w:t>at 4</w:t>
      </w:r>
      <w:r>
        <w:rPr>
          <w:szCs w:val="22"/>
        </w:rPr>
        <w:t>.</w:t>
      </w:r>
    </w:p>
  </w:footnote>
  <w:footnote w:id="253">
    <w:p w14:paraId="1C067C8D" w14:textId="77777777" w:rsidR="00C92010" w:rsidRDefault="00C92010" w:rsidP="00C92010">
      <w:pPr>
        <w:pStyle w:val="FootnoteText"/>
      </w:pPr>
      <w:r w:rsidRPr="00892D52">
        <w:rPr>
          <w:rStyle w:val="FootnoteReference"/>
          <w:szCs w:val="22"/>
        </w:rPr>
        <w:footnoteRef/>
      </w:r>
      <w:r w:rsidRPr="00892D52">
        <w:rPr>
          <w:szCs w:val="22"/>
        </w:rPr>
        <w:t xml:space="preserve"> </w:t>
      </w:r>
      <w:r w:rsidRPr="00181BA3">
        <w:rPr>
          <w:szCs w:val="22"/>
        </w:rPr>
        <w:t xml:space="preserve">EDF Opening Comments </w:t>
      </w:r>
      <w:r w:rsidR="00A5784A">
        <w:rPr>
          <w:szCs w:val="22"/>
        </w:rPr>
        <w:t xml:space="preserve">on Proposed Decision </w:t>
      </w:r>
      <w:r w:rsidRPr="00181BA3">
        <w:rPr>
          <w:szCs w:val="22"/>
        </w:rPr>
        <w:t xml:space="preserve">at 4; IEP Opening Comments </w:t>
      </w:r>
      <w:r w:rsidR="00A5784A">
        <w:rPr>
          <w:szCs w:val="22"/>
        </w:rPr>
        <w:t xml:space="preserve">on Proposed Decision </w:t>
      </w:r>
      <w:r w:rsidRPr="00181BA3">
        <w:rPr>
          <w:szCs w:val="22"/>
        </w:rPr>
        <w:t xml:space="preserve">at 2; LSPGC Opening Comments </w:t>
      </w:r>
      <w:r w:rsidR="00A5784A">
        <w:rPr>
          <w:szCs w:val="22"/>
        </w:rPr>
        <w:t xml:space="preserve">on Proposed Decision </w:t>
      </w:r>
      <w:r w:rsidRPr="00181BA3">
        <w:rPr>
          <w:szCs w:val="22"/>
        </w:rPr>
        <w:t xml:space="preserve">at 4; PG&amp;E Opening Comments </w:t>
      </w:r>
      <w:r w:rsidR="00A5784A">
        <w:rPr>
          <w:szCs w:val="22"/>
        </w:rPr>
        <w:t xml:space="preserve">on Proposed Decision </w:t>
      </w:r>
      <w:r w:rsidRPr="00181BA3">
        <w:rPr>
          <w:szCs w:val="22"/>
        </w:rPr>
        <w:t xml:space="preserve">at 1; SCE Opening Comments </w:t>
      </w:r>
      <w:r w:rsidR="00A5784A">
        <w:rPr>
          <w:szCs w:val="22"/>
        </w:rPr>
        <w:t xml:space="preserve">on Proposed Decision </w:t>
      </w:r>
      <w:r w:rsidRPr="00181BA3">
        <w:rPr>
          <w:szCs w:val="22"/>
        </w:rPr>
        <w:t xml:space="preserve">at 23; and SDG&amp;E Opening Comments </w:t>
      </w:r>
      <w:r w:rsidR="00A5784A">
        <w:rPr>
          <w:szCs w:val="22"/>
        </w:rPr>
        <w:t xml:space="preserve">on Proposed Decision </w:t>
      </w:r>
      <w:r w:rsidRPr="00181BA3">
        <w:rPr>
          <w:szCs w:val="22"/>
        </w:rPr>
        <w:t>at 3</w:t>
      </w:r>
      <w:r>
        <w:rPr>
          <w:szCs w:val="22"/>
        </w:rPr>
        <w:t>.</w:t>
      </w:r>
    </w:p>
  </w:footnote>
  <w:footnote w:id="254">
    <w:p w14:paraId="3FE4E98A" w14:textId="77777777" w:rsidR="00C92010" w:rsidRDefault="00C92010" w:rsidP="00C92010">
      <w:pPr>
        <w:pStyle w:val="FootnoteText"/>
      </w:pPr>
      <w:r>
        <w:rPr>
          <w:rStyle w:val="FootnoteReference"/>
        </w:rPr>
        <w:footnoteRef/>
      </w:r>
      <w:r>
        <w:t xml:space="preserve"> </w:t>
      </w:r>
      <w:r w:rsidRPr="00892D52">
        <w:rPr>
          <w:szCs w:val="22"/>
        </w:rPr>
        <w:t xml:space="preserve">CEERT Opening Comments </w:t>
      </w:r>
      <w:r w:rsidR="00A5784A">
        <w:rPr>
          <w:szCs w:val="22"/>
        </w:rPr>
        <w:t xml:space="preserve">on Proposed Decision </w:t>
      </w:r>
      <w:r w:rsidRPr="00892D52">
        <w:rPr>
          <w:szCs w:val="22"/>
        </w:rPr>
        <w:t xml:space="preserve">at </w:t>
      </w:r>
      <w:r>
        <w:rPr>
          <w:szCs w:val="22"/>
        </w:rPr>
        <w:t>6</w:t>
      </w:r>
      <w:r w:rsidRPr="00892D52">
        <w:rPr>
          <w:szCs w:val="22"/>
        </w:rPr>
        <w:t>.</w:t>
      </w:r>
    </w:p>
  </w:footnote>
  <w:footnote w:id="255">
    <w:p w14:paraId="4BE03570" w14:textId="77777777" w:rsidR="00CD25DC" w:rsidRDefault="00CD25DC">
      <w:pPr>
        <w:pStyle w:val="FootnoteText"/>
      </w:pPr>
      <w:r>
        <w:rPr>
          <w:rStyle w:val="FootnoteReference"/>
        </w:rPr>
        <w:footnoteRef/>
      </w:r>
      <w:r>
        <w:t xml:space="preserve"> </w:t>
      </w:r>
      <w:r w:rsidRPr="00CD25DC">
        <w:t>CAISO Opening Comments on Proposed Decision at 3-4</w:t>
      </w:r>
      <w:r>
        <w:t>.</w:t>
      </w:r>
    </w:p>
  </w:footnote>
  <w:footnote w:id="256">
    <w:p w14:paraId="736EEF83" w14:textId="77777777" w:rsidR="00C92010" w:rsidRDefault="00C92010" w:rsidP="00C92010">
      <w:pPr>
        <w:pStyle w:val="FootnoteText"/>
      </w:pPr>
      <w:r>
        <w:rPr>
          <w:rStyle w:val="FootnoteReference"/>
        </w:rPr>
        <w:footnoteRef/>
      </w:r>
      <w:r>
        <w:t xml:space="preserve"> </w:t>
      </w:r>
      <w:r w:rsidRPr="00961D84">
        <w:rPr>
          <w:szCs w:val="22"/>
        </w:rPr>
        <w:t xml:space="preserve">EDF Opening Comments </w:t>
      </w:r>
      <w:r w:rsidR="00A5784A">
        <w:rPr>
          <w:szCs w:val="22"/>
        </w:rPr>
        <w:t xml:space="preserve">on Proposed Decision </w:t>
      </w:r>
      <w:r w:rsidRPr="00961D84">
        <w:rPr>
          <w:szCs w:val="22"/>
        </w:rPr>
        <w:t>at 6</w:t>
      </w:r>
      <w:r w:rsidRPr="00892D52">
        <w:rPr>
          <w:szCs w:val="22"/>
        </w:rPr>
        <w:t>.</w:t>
      </w:r>
    </w:p>
  </w:footnote>
  <w:footnote w:id="257">
    <w:p w14:paraId="01E76F07" w14:textId="77777777" w:rsidR="00C92010" w:rsidRPr="002624A1" w:rsidRDefault="00C92010" w:rsidP="00C92010">
      <w:pPr>
        <w:pStyle w:val="FootnoteText"/>
        <w:rPr>
          <w:szCs w:val="22"/>
        </w:rPr>
      </w:pPr>
      <w:r w:rsidRPr="002624A1">
        <w:rPr>
          <w:rStyle w:val="FootnoteReference"/>
          <w:szCs w:val="22"/>
        </w:rPr>
        <w:footnoteRef/>
      </w:r>
      <w:r w:rsidRPr="002624A1">
        <w:rPr>
          <w:szCs w:val="22"/>
        </w:rPr>
        <w:t xml:space="preserve"> Acton Town Council Opening Comments </w:t>
      </w:r>
      <w:r w:rsidR="00A5784A">
        <w:rPr>
          <w:szCs w:val="22"/>
        </w:rPr>
        <w:t xml:space="preserve">on Proposed Decision </w:t>
      </w:r>
      <w:r w:rsidRPr="002624A1">
        <w:rPr>
          <w:szCs w:val="22"/>
        </w:rPr>
        <w:t>at 8.</w:t>
      </w:r>
    </w:p>
  </w:footnote>
  <w:footnote w:id="258">
    <w:p w14:paraId="269B0B87" w14:textId="77777777" w:rsidR="00C92010" w:rsidRPr="00D34147" w:rsidRDefault="00C92010" w:rsidP="00C92010">
      <w:pPr>
        <w:pStyle w:val="FootnoteText"/>
        <w:rPr>
          <w:szCs w:val="22"/>
        </w:rPr>
      </w:pPr>
      <w:r w:rsidRPr="00D34147">
        <w:rPr>
          <w:rStyle w:val="FootnoteReference"/>
          <w:szCs w:val="22"/>
        </w:rPr>
        <w:footnoteRef/>
      </w:r>
      <w:r w:rsidRPr="00D34147">
        <w:rPr>
          <w:szCs w:val="22"/>
        </w:rPr>
        <w:t xml:space="preserve"> CFBF Opening Comments </w:t>
      </w:r>
      <w:r w:rsidR="00A5784A">
        <w:rPr>
          <w:szCs w:val="22"/>
        </w:rPr>
        <w:t xml:space="preserve">on Proposed Decision </w:t>
      </w:r>
      <w:r w:rsidRPr="00D34147">
        <w:rPr>
          <w:szCs w:val="22"/>
        </w:rPr>
        <w:t>at 5</w:t>
      </w:r>
      <w:r>
        <w:rPr>
          <w:szCs w:val="22"/>
        </w:rPr>
        <w:t xml:space="preserve">; and </w:t>
      </w:r>
      <w:r w:rsidRPr="003F2C6D">
        <w:rPr>
          <w:szCs w:val="22"/>
        </w:rPr>
        <w:t xml:space="preserve">EDF Opening Comments </w:t>
      </w:r>
      <w:r w:rsidR="00A5784A">
        <w:rPr>
          <w:szCs w:val="22"/>
        </w:rPr>
        <w:t xml:space="preserve">on Proposed Decision </w:t>
      </w:r>
      <w:r w:rsidRPr="003F2C6D">
        <w:rPr>
          <w:szCs w:val="22"/>
        </w:rPr>
        <w:t>at 3.</w:t>
      </w:r>
    </w:p>
  </w:footnote>
  <w:footnote w:id="259">
    <w:p w14:paraId="2516056D" w14:textId="77777777" w:rsidR="00C92010" w:rsidRPr="00FE4F01" w:rsidRDefault="00C92010" w:rsidP="00C92010">
      <w:pPr>
        <w:pStyle w:val="FootnoteText"/>
        <w:rPr>
          <w:szCs w:val="22"/>
        </w:rPr>
      </w:pPr>
      <w:r w:rsidRPr="00D34147">
        <w:rPr>
          <w:rStyle w:val="FootnoteReference"/>
          <w:szCs w:val="22"/>
        </w:rPr>
        <w:footnoteRef/>
      </w:r>
      <w:r w:rsidRPr="00D34147">
        <w:rPr>
          <w:szCs w:val="22"/>
        </w:rPr>
        <w:t xml:space="preserve"> SCE Opening Comments </w:t>
      </w:r>
      <w:r w:rsidR="00A5784A">
        <w:rPr>
          <w:szCs w:val="22"/>
        </w:rPr>
        <w:t xml:space="preserve">on Proposed Decision </w:t>
      </w:r>
      <w:r w:rsidRPr="00D34147">
        <w:rPr>
          <w:szCs w:val="22"/>
        </w:rPr>
        <w:t>at</w:t>
      </w:r>
      <w:r w:rsidRPr="00FE4F01">
        <w:rPr>
          <w:szCs w:val="22"/>
        </w:rPr>
        <w:t xml:space="preserve"> B-3</w:t>
      </w:r>
      <w:r>
        <w:rPr>
          <w:szCs w:val="22"/>
        </w:rPr>
        <w:t xml:space="preserve">; and </w:t>
      </w:r>
      <w:r w:rsidRPr="00A1302C">
        <w:rPr>
          <w:szCs w:val="22"/>
        </w:rPr>
        <w:t>PG&amp;E Opening Comments</w:t>
      </w:r>
      <w:r w:rsidR="00A5784A">
        <w:rPr>
          <w:szCs w:val="22"/>
        </w:rPr>
        <w:t xml:space="preserve"> on Proposed Decision</w:t>
      </w:r>
      <w:r w:rsidRPr="00A1302C">
        <w:rPr>
          <w:szCs w:val="22"/>
        </w:rPr>
        <w:t>, Attachment B at 2</w:t>
      </w:r>
      <w:r>
        <w:rPr>
          <w:szCs w:val="22"/>
        </w:rPr>
        <w:t>.</w:t>
      </w:r>
    </w:p>
  </w:footnote>
  <w:footnote w:id="260">
    <w:p w14:paraId="58DAE6BC" w14:textId="77777777" w:rsidR="00C92010" w:rsidRDefault="00C92010" w:rsidP="00C92010">
      <w:pPr>
        <w:pStyle w:val="FootnoteText"/>
      </w:pPr>
      <w:r>
        <w:rPr>
          <w:rStyle w:val="FootnoteReference"/>
        </w:rPr>
        <w:footnoteRef/>
      </w:r>
      <w:r>
        <w:t xml:space="preserve"> </w:t>
      </w:r>
      <w:r w:rsidRPr="00DA74B0">
        <w:rPr>
          <w:szCs w:val="22"/>
        </w:rPr>
        <w:t>PG&amp;E Opening Comments</w:t>
      </w:r>
      <w:r>
        <w:rPr>
          <w:szCs w:val="22"/>
        </w:rPr>
        <w:t xml:space="preserve"> </w:t>
      </w:r>
      <w:r w:rsidR="00614DEB">
        <w:rPr>
          <w:szCs w:val="22"/>
        </w:rPr>
        <w:t xml:space="preserve">on Proposed Decision </w:t>
      </w:r>
      <w:r>
        <w:rPr>
          <w:szCs w:val="22"/>
        </w:rPr>
        <w:t>at 1</w:t>
      </w:r>
      <w:r w:rsidRPr="00DA74B0">
        <w:rPr>
          <w:szCs w:val="22"/>
        </w:rPr>
        <w:t>2</w:t>
      </w:r>
      <w:r>
        <w:rPr>
          <w:szCs w:val="22"/>
        </w:rPr>
        <w:t xml:space="preserve">; and </w:t>
      </w:r>
      <w:r w:rsidRPr="00FD78E5">
        <w:rPr>
          <w:szCs w:val="22"/>
        </w:rPr>
        <w:t xml:space="preserve">SCE Opening Comments </w:t>
      </w:r>
      <w:r w:rsidR="00614DEB">
        <w:rPr>
          <w:szCs w:val="22"/>
        </w:rPr>
        <w:t xml:space="preserve">on Proposed Decision </w:t>
      </w:r>
      <w:r w:rsidRPr="00FD78E5">
        <w:rPr>
          <w:szCs w:val="22"/>
        </w:rPr>
        <w:t>at 6</w:t>
      </w:r>
      <w:r>
        <w:rPr>
          <w:szCs w:val="22"/>
        </w:rPr>
        <w:t>.</w:t>
      </w:r>
    </w:p>
  </w:footnote>
  <w:footnote w:id="261">
    <w:p w14:paraId="60D2A6B7" w14:textId="77777777" w:rsidR="00C92010" w:rsidRDefault="00C92010" w:rsidP="00C92010">
      <w:pPr>
        <w:pStyle w:val="FootnoteText"/>
      </w:pPr>
      <w:r>
        <w:rPr>
          <w:rStyle w:val="FootnoteReference"/>
        </w:rPr>
        <w:footnoteRef/>
      </w:r>
      <w:r>
        <w:t xml:space="preserve"> </w:t>
      </w:r>
      <w:r w:rsidRPr="0095120F">
        <w:rPr>
          <w:szCs w:val="22"/>
        </w:rPr>
        <w:t xml:space="preserve">SCE Opening Comments </w:t>
      </w:r>
      <w:r w:rsidR="00614DEB">
        <w:rPr>
          <w:szCs w:val="22"/>
        </w:rPr>
        <w:t xml:space="preserve">on Proposed Decision </w:t>
      </w:r>
      <w:r w:rsidRPr="0095120F">
        <w:rPr>
          <w:szCs w:val="22"/>
        </w:rPr>
        <w:t>at 9.</w:t>
      </w:r>
    </w:p>
  </w:footnote>
  <w:footnote w:id="262">
    <w:p w14:paraId="0C52B451" w14:textId="77777777" w:rsidR="00C92010" w:rsidRPr="003B6020" w:rsidRDefault="00C92010" w:rsidP="00C92010">
      <w:pPr>
        <w:pStyle w:val="FootnoteText"/>
        <w:rPr>
          <w:szCs w:val="22"/>
        </w:rPr>
      </w:pPr>
      <w:r w:rsidRPr="003B6020">
        <w:rPr>
          <w:rStyle w:val="FootnoteReference"/>
          <w:szCs w:val="22"/>
        </w:rPr>
        <w:footnoteRef/>
      </w:r>
      <w:r w:rsidRPr="003B6020">
        <w:rPr>
          <w:szCs w:val="22"/>
        </w:rPr>
        <w:t xml:space="preserve"> PG&amp;E Opening Comments </w:t>
      </w:r>
      <w:r w:rsidR="00614DEB">
        <w:rPr>
          <w:szCs w:val="22"/>
        </w:rPr>
        <w:t>on Proposed Decision</w:t>
      </w:r>
      <w:r w:rsidRPr="003B6020">
        <w:rPr>
          <w:szCs w:val="22"/>
        </w:rPr>
        <w:t xml:space="preserve"> at 11</w:t>
      </w:r>
      <w:r>
        <w:rPr>
          <w:szCs w:val="22"/>
        </w:rPr>
        <w:t xml:space="preserve">; and </w:t>
      </w:r>
      <w:r w:rsidRPr="00276829">
        <w:rPr>
          <w:szCs w:val="22"/>
        </w:rPr>
        <w:t xml:space="preserve">SCE Opening Comments </w:t>
      </w:r>
      <w:r w:rsidR="00614DEB">
        <w:rPr>
          <w:szCs w:val="22"/>
        </w:rPr>
        <w:t xml:space="preserve">on Proposed Decision </w:t>
      </w:r>
      <w:r w:rsidRPr="00276829">
        <w:rPr>
          <w:szCs w:val="22"/>
        </w:rPr>
        <w:t>at 10</w:t>
      </w:r>
      <w:r w:rsidRPr="003B6020">
        <w:rPr>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2B3B4" w14:textId="1080CB40" w:rsidR="004F5101" w:rsidRPr="004F5101" w:rsidRDefault="004F5101" w:rsidP="004F5101">
    <w:pPr>
      <w:pStyle w:val="Header"/>
      <w:tabs>
        <w:tab w:val="clear" w:pos="4680"/>
      </w:tabs>
      <w:ind w:firstLine="0"/>
      <w:rPr>
        <w:b/>
        <w:bCs/>
        <w:iCs/>
      </w:rPr>
    </w:pPr>
    <w:r>
      <w:rPr>
        <w:iCs/>
      </w:rPr>
      <w:t>R.23-05-018  COM/KDL/jnf</w:t>
    </w:r>
  </w:p>
  <w:p w14:paraId="3B24D6C9" w14:textId="77777777" w:rsidR="00E1052D" w:rsidRPr="004F5101" w:rsidRDefault="00E1052D" w:rsidP="004F5101">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C0E7" w14:textId="370DBF95" w:rsidR="004B2E17" w:rsidRPr="004B2E17" w:rsidRDefault="004F5101" w:rsidP="004B2E17">
    <w:pPr>
      <w:pStyle w:val="Header"/>
      <w:tabs>
        <w:tab w:val="clear" w:pos="4680"/>
      </w:tabs>
      <w:ind w:firstLine="0"/>
      <w:rPr>
        <w:b/>
        <w:bCs/>
        <w:iCs/>
      </w:rPr>
    </w:pPr>
    <w:r>
      <w:rPr>
        <w:iCs/>
      </w:rPr>
      <w:t>R.23-05-018  COM/KDL/jnf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11FF5" w14:textId="77777777" w:rsidR="009B5DE3" w:rsidRDefault="009B5D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833F" w14:textId="77777777" w:rsidR="009B5DE3" w:rsidRDefault="009B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56A02"/>
    <w:multiLevelType w:val="hybridMultilevel"/>
    <w:tmpl w:val="28F6E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73422"/>
    <w:multiLevelType w:val="hybridMultilevel"/>
    <w:tmpl w:val="BD9C9F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6C550E7"/>
    <w:multiLevelType w:val="hybridMultilevel"/>
    <w:tmpl w:val="BD9C9F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A5B7DEA"/>
    <w:multiLevelType w:val="hybridMultilevel"/>
    <w:tmpl w:val="A52C1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733C0D"/>
    <w:multiLevelType w:val="hybridMultilevel"/>
    <w:tmpl w:val="83643278"/>
    <w:lvl w:ilvl="0" w:tplc="F0FCA760">
      <w:start w:val="7"/>
      <w:numFmt w:val="upperLetter"/>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6" w15:restartNumberingAfterBreak="0">
    <w:nsid w:val="15F056CB"/>
    <w:multiLevelType w:val="multilevel"/>
    <w:tmpl w:val="FFFFFFFF"/>
    <w:numStyleLink w:val="FoFCoLOP"/>
  </w:abstractNum>
  <w:abstractNum w:abstractNumId="7" w15:restartNumberingAfterBreak="0">
    <w:nsid w:val="1AEF66FF"/>
    <w:multiLevelType w:val="hybridMultilevel"/>
    <w:tmpl w:val="11D2E222"/>
    <w:lvl w:ilvl="0" w:tplc="FFFFFFFF">
      <w:start w:val="1"/>
      <w:numFmt w:val="lowerLetter"/>
      <w:lvlText w:val="(%1)"/>
      <w:lvlJc w:val="left"/>
      <w:pPr>
        <w:ind w:left="730" w:hanging="3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45696"/>
    <w:multiLevelType w:val="hybridMultilevel"/>
    <w:tmpl w:val="BD9C9F48"/>
    <w:lvl w:ilvl="0" w:tplc="88AA6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4F1BCB"/>
    <w:multiLevelType w:val="hybridMultilevel"/>
    <w:tmpl w:val="75DC04B6"/>
    <w:lvl w:ilvl="0" w:tplc="57EA3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4E15D0E"/>
    <w:multiLevelType w:val="multilevel"/>
    <w:tmpl w:val="5BFE93DA"/>
    <w:lvl w:ilvl="0">
      <w:start w:val="5"/>
      <w:numFmt w:val="decimal"/>
      <w:lvlText w:val="%1"/>
      <w:lvlJc w:val="left"/>
      <w:pPr>
        <w:ind w:left="560" w:hanging="5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E883ADF"/>
    <w:multiLevelType w:val="hybridMultilevel"/>
    <w:tmpl w:val="9B0C8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C72B2C"/>
    <w:multiLevelType w:val="hybridMultilevel"/>
    <w:tmpl w:val="BD9C9F4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DC75FD"/>
    <w:multiLevelType w:val="hybridMultilevel"/>
    <w:tmpl w:val="18B8A858"/>
    <w:lvl w:ilvl="0" w:tplc="9F82C63A">
      <w:start w:val="1"/>
      <w:numFmt w:val="upperLetter"/>
      <w:lvlText w:val="%1."/>
      <w:lvlJc w:val="left"/>
      <w:pPr>
        <w:ind w:left="1540" w:hanging="719"/>
      </w:pPr>
      <w:rPr>
        <w:rFonts w:hint="default"/>
        <w:color w:val="auto"/>
      </w:rPr>
    </w:lvl>
    <w:lvl w:ilvl="1" w:tplc="3E70DBA2">
      <w:start w:val="1"/>
      <w:numFmt w:val="decimal"/>
      <w:lvlText w:val="%2."/>
      <w:lvlJc w:val="left"/>
      <w:pPr>
        <w:ind w:left="2260" w:hanging="719"/>
      </w:pPr>
      <w:rPr>
        <w:rFonts w:hint="default"/>
      </w:rPr>
    </w:lvl>
    <w:lvl w:ilvl="2" w:tplc="E87A3538">
      <w:start w:val="1"/>
      <w:numFmt w:val="lowerLetter"/>
      <w:lvlText w:val="%3."/>
      <w:lvlJc w:val="left"/>
      <w:pPr>
        <w:ind w:left="2981" w:hanging="720"/>
      </w:pPr>
      <w:rPr>
        <w:rFonts w:hint="default"/>
      </w:r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5" w15:restartNumberingAfterBreak="0">
    <w:nsid w:val="59D042D7"/>
    <w:multiLevelType w:val="multilevel"/>
    <w:tmpl w:val="FFFFFFFF"/>
    <w:numStyleLink w:val="FoFCoLOP"/>
  </w:abstractNum>
  <w:abstractNum w:abstractNumId="16" w15:restartNumberingAfterBreak="0">
    <w:nsid w:val="5A9E2171"/>
    <w:multiLevelType w:val="multilevel"/>
    <w:tmpl w:val="3C526EDE"/>
    <w:numStyleLink w:val="Headings"/>
  </w:abstractNum>
  <w:abstractNum w:abstractNumId="17" w15:restartNumberingAfterBreak="0">
    <w:nsid w:val="606D75B0"/>
    <w:multiLevelType w:val="hybridMultilevel"/>
    <w:tmpl w:val="83E6B41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61524F86"/>
    <w:multiLevelType w:val="hybridMultilevel"/>
    <w:tmpl w:val="3412FB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A25780"/>
    <w:multiLevelType w:val="multilevel"/>
    <w:tmpl w:val="3C526EDE"/>
    <w:numStyleLink w:val="Headings"/>
  </w:abstractNum>
  <w:abstractNum w:abstractNumId="20" w15:restartNumberingAfterBreak="0">
    <w:nsid w:val="77AA7C84"/>
    <w:multiLevelType w:val="hybridMultilevel"/>
    <w:tmpl w:val="32AEB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9A0AFE"/>
    <w:multiLevelType w:val="multilevel"/>
    <w:tmpl w:val="FFFFFFFF"/>
    <w:numStyleLink w:val="FoFCoLOP"/>
  </w:abstractNum>
  <w:abstractNum w:abstractNumId="22" w15:restartNumberingAfterBreak="0">
    <w:nsid w:val="798636DA"/>
    <w:multiLevelType w:val="multilevel"/>
    <w:tmpl w:val="FFFFFFFF"/>
    <w:styleLink w:val="FoFCoLOP"/>
    <w:lvl w:ilvl="0">
      <w:start w:val="1"/>
      <w:numFmt w:val="decimal"/>
      <w:pStyle w:val="OP"/>
      <w:lvlText w:val="%1."/>
      <w:lvlJc w:val="left"/>
      <w:pPr>
        <w:ind w:left="720" w:hanging="72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C65BEC"/>
    <w:multiLevelType w:val="hybridMultilevel"/>
    <w:tmpl w:val="66AAF916"/>
    <w:lvl w:ilvl="0" w:tplc="87AC64CA">
      <w:start w:val="1"/>
      <w:numFmt w:val="upperLetter"/>
      <w:lvlText w:val="%1."/>
      <w:lvlJc w:val="left"/>
      <w:pPr>
        <w:ind w:left="1661" w:hanging="720"/>
      </w:pPr>
      <w:rPr>
        <w:rFonts w:ascii="Book Antiqua" w:eastAsia="Book Antiqua" w:hAnsi="Book Antiqua" w:cs="Book Antiqua" w:hint="default"/>
        <w:b w:val="0"/>
        <w:bCs w:val="0"/>
        <w:i w:val="0"/>
        <w:iCs w:val="0"/>
        <w:spacing w:val="0"/>
        <w:w w:val="100"/>
        <w:sz w:val="24"/>
        <w:szCs w:val="24"/>
        <w:lang w:val="en-US" w:eastAsia="en-US" w:bidi="ar-SA"/>
      </w:rPr>
    </w:lvl>
    <w:lvl w:ilvl="1" w:tplc="1BFACA02">
      <w:start w:val="1"/>
      <w:numFmt w:val="decimal"/>
      <w:lvlText w:val="%2."/>
      <w:lvlJc w:val="left"/>
      <w:pPr>
        <w:ind w:left="2381" w:hanging="721"/>
      </w:pPr>
      <w:rPr>
        <w:rFonts w:ascii="Book Antiqua" w:eastAsia="Book Antiqua" w:hAnsi="Book Antiqua" w:cs="Book Antiqua" w:hint="default"/>
        <w:b w:val="0"/>
        <w:bCs w:val="0"/>
        <w:i w:val="0"/>
        <w:iCs w:val="0"/>
        <w:spacing w:val="0"/>
        <w:w w:val="100"/>
        <w:sz w:val="24"/>
        <w:szCs w:val="24"/>
        <w:lang w:val="en-US" w:eastAsia="en-US" w:bidi="ar-SA"/>
      </w:rPr>
    </w:lvl>
    <w:lvl w:ilvl="2" w:tplc="58C0282A">
      <w:start w:val="1"/>
      <w:numFmt w:val="lowerLetter"/>
      <w:lvlText w:val="%3."/>
      <w:lvlJc w:val="left"/>
      <w:pPr>
        <w:ind w:left="3102" w:hanging="721"/>
      </w:pPr>
      <w:rPr>
        <w:rFonts w:ascii="Book Antiqua" w:eastAsia="Book Antiqua" w:hAnsi="Book Antiqua" w:cs="Book Antiqua" w:hint="default"/>
        <w:b w:val="0"/>
        <w:bCs w:val="0"/>
        <w:i w:val="0"/>
        <w:iCs w:val="0"/>
        <w:spacing w:val="0"/>
        <w:w w:val="100"/>
        <w:sz w:val="24"/>
        <w:szCs w:val="24"/>
        <w:lang w:val="en-US" w:eastAsia="en-US" w:bidi="ar-SA"/>
      </w:rPr>
    </w:lvl>
    <w:lvl w:ilvl="3" w:tplc="4252B88C">
      <w:numFmt w:val="bullet"/>
      <w:lvlText w:val="•"/>
      <w:lvlJc w:val="left"/>
      <w:pPr>
        <w:ind w:left="3952" w:hanging="721"/>
      </w:pPr>
      <w:rPr>
        <w:rFonts w:hint="default"/>
        <w:lang w:val="en-US" w:eastAsia="en-US" w:bidi="ar-SA"/>
      </w:rPr>
    </w:lvl>
    <w:lvl w:ilvl="4" w:tplc="7040E19A">
      <w:numFmt w:val="bullet"/>
      <w:lvlText w:val="•"/>
      <w:lvlJc w:val="left"/>
      <w:pPr>
        <w:ind w:left="4805" w:hanging="721"/>
      </w:pPr>
      <w:rPr>
        <w:rFonts w:hint="default"/>
        <w:lang w:val="en-US" w:eastAsia="en-US" w:bidi="ar-SA"/>
      </w:rPr>
    </w:lvl>
    <w:lvl w:ilvl="5" w:tplc="5B52DB3A">
      <w:numFmt w:val="bullet"/>
      <w:lvlText w:val="•"/>
      <w:lvlJc w:val="left"/>
      <w:pPr>
        <w:ind w:left="5657" w:hanging="721"/>
      </w:pPr>
      <w:rPr>
        <w:rFonts w:hint="default"/>
        <w:lang w:val="en-US" w:eastAsia="en-US" w:bidi="ar-SA"/>
      </w:rPr>
    </w:lvl>
    <w:lvl w:ilvl="6" w:tplc="E61A148A">
      <w:numFmt w:val="bullet"/>
      <w:lvlText w:val="•"/>
      <w:lvlJc w:val="left"/>
      <w:pPr>
        <w:ind w:left="6510" w:hanging="721"/>
      </w:pPr>
      <w:rPr>
        <w:rFonts w:hint="default"/>
        <w:lang w:val="en-US" w:eastAsia="en-US" w:bidi="ar-SA"/>
      </w:rPr>
    </w:lvl>
    <w:lvl w:ilvl="7" w:tplc="4E56A8E2">
      <w:numFmt w:val="bullet"/>
      <w:lvlText w:val="•"/>
      <w:lvlJc w:val="left"/>
      <w:pPr>
        <w:ind w:left="7362" w:hanging="721"/>
      </w:pPr>
      <w:rPr>
        <w:rFonts w:hint="default"/>
        <w:lang w:val="en-US" w:eastAsia="en-US" w:bidi="ar-SA"/>
      </w:rPr>
    </w:lvl>
    <w:lvl w:ilvl="8" w:tplc="99F4CB3E">
      <w:numFmt w:val="bullet"/>
      <w:lvlText w:val="•"/>
      <w:lvlJc w:val="left"/>
      <w:pPr>
        <w:ind w:left="8215" w:hanging="721"/>
      </w:pPr>
      <w:rPr>
        <w:rFonts w:hint="default"/>
        <w:lang w:val="en-US" w:eastAsia="en-US" w:bidi="ar-SA"/>
      </w:rPr>
    </w:lvl>
  </w:abstractNum>
  <w:num w:numId="1" w16cid:durableId="2122601122">
    <w:abstractNumId w:val="22"/>
  </w:num>
  <w:num w:numId="2" w16cid:durableId="1354526949">
    <w:abstractNumId w:val="16"/>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Override>
    <w:lvlOverride w:ilvl="7">
      <w:lvl w:ilvl="7">
        <w:start w:val="1"/>
        <w:numFmt w:val="lowerLetter"/>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3" w16cid:durableId="973756952">
    <w:abstractNumId w:val="10"/>
  </w:num>
  <w:num w:numId="4" w16cid:durableId="816924040">
    <w:abstractNumId w:val="0"/>
  </w:num>
  <w:num w:numId="5" w16cid:durableId="1247305323">
    <w:abstractNumId w:val="4"/>
  </w:num>
  <w:num w:numId="6" w16cid:durableId="990595505">
    <w:abstractNumId w:val="17"/>
  </w:num>
  <w:num w:numId="7" w16cid:durableId="1533300458">
    <w:abstractNumId w:val="9"/>
  </w:num>
  <w:num w:numId="8" w16cid:durableId="196047288">
    <w:abstractNumId w:val="18"/>
  </w:num>
  <w:num w:numId="9" w16cid:durableId="989484353">
    <w:abstractNumId w:val="20"/>
  </w:num>
  <w:num w:numId="10" w16cid:durableId="1276862068">
    <w:abstractNumId w:val="8"/>
  </w:num>
  <w:num w:numId="11" w16cid:durableId="1601141851">
    <w:abstractNumId w:val="1"/>
  </w:num>
  <w:num w:numId="12" w16cid:durableId="958679579">
    <w:abstractNumId w:val="2"/>
  </w:num>
  <w:num w:numId="13" w16cid:durableId="253781093">
    <w:abstractNumId w:val="7"/>
  </w:num>
  <w:num w:numId="14" w16cid:durableId="1881434850">
    <w:abstractNumId w:val="19"/>
  </w:num>
  <w:num w:numId="15" w16cid:durableId="1653410369">
    <w:abstractNumId w:val="13"/>
  </w:num>
  <w:num w:numId="16" w16cid:durableId="1860582244">
    <w:abstractNumId w:val="3"/>
  </w:num>
  <w:num w:numId="17" w16cid:durableId="471338592">
    <w:abstractNumId w:val="12"/>
  </w:num>
  <w:num w:numId="18" w16cid:durableId="1464233495">
    <w:abstractNumId w:val="11"/>
  </w:num>
  <w:num w:numId="19" w16cid:durableId="426921714">
    <w:abstractNumId w:val="14"/>
  </w:num>
  <w:num w:numId="20" w16cid:durableId="1525902952">
    <w:abstractNumId w:val="23"/>
  </w:num>
  <w:num w:numId="21" w16cid:durableId="366370191">
    <w:abstractNumId w:val="5"/>
  </w:num>
  <w:num w:numId="22" w16cid:durableId="193155552">
    <w:abstractNumId w:val="16"/>
    <w:lvlOverride w:ilvl="0">
      <w:startOverride w:val="1"/>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Override>
    <w:lvlOverride w:ilvl="7">
      <w:startOverride w:val="1"/>
      <w:lvl w:ilvl="7">
        <w:start w:val="1"/>
        <w:numFmt w:val="lowerLetter"/>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23" w16cid:durableId="1539316491">
    <w:abstractNumId w:val="6"/>
  </w:num>
  <w:num w:numId="24" w16cid:durableId="650601040">
    <w:abstractNumId w:val="15"/>
    <w:lvlOverride w:ilvl="0">
      <w:lvl w:ilvl="0">
        <w:start w:val="1"/>
        <w:numFmt w:val="decimal"/>
        <w:pStyle w:val="FoF"/>
        <w:lvlText w:val="%1."/>
        <w:lvlJc w:val="left"/>
        <w:pPr>
          <w:ind w:left="720" w:hanging="720"/>
        </w:pPr>
        <w:rPr>
          <w:rFonts w:ascii="Book Antiqua" w:hAnsi="Book Antiqua" w:hint="default"/>
        </w:rPr>
      </w:lvl>
    </w:lvlOverride>
  </w:num>
  <w:num w:numId="25" w16cid:durableId="1005478461">
    <w:abstractNumId w:val="21"/>
    <w:lvlOverride w:ilvl="0">
      <w:lvl w:ilvl="0">
        <w:start w:val="1"/>
        <w:numFmt w:val="decimal"/>
        <w:pStyle w:val="OP"/>
        <w:lvlText w:val="%1."/>
        <w:lvlJc w:val="left"/>
        <w:pPr>
          <w:ind w:left="720" w:hanging="720"/>
        </w:p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3C"/>
    <w:rsid w:val="0000020B"/>
    <w:rsid w:val="000002F3"/>
    <w:rsid w:val="000003F1"/>
    <w:rsid w:val="000007E2"/>
    <w:rsid w:val="00000C1D"/>
    <w:rsid w:val="00000F6A"/>
    <w:rsid w:val="00001195"/>
    <w:rsid w:val="0000135D"/>
    <w:rsid w:val="0000172E"/>
    <w:rsid w:val="0000198A"/>
    <w:rsid w:val="00001A01"/>
    <w:rsid w:val="00001AA1"/>
    <w:rsid w:val="00001BE1"/>
    <w:rsid w:val="00001DCC"/>
    <w:rsid w:val="00001E56"/>
    <w:rsid w:val="00001E58"/>
    <w:rsid w:val="00001F2E"/>
    <w:rsid w:val="00001FE8"/>
    <w:rsid w:val="000021F0"/>
    <w:rsid w:val="00002344"/>
    <w:rsid w:val="00002B42"/>
    <w:rsid w:val="00002BAE"/>
    <w:rsid w:val="00002BBE"/>
    <w:rsid w:val="00002C2A"/>
    <w:rsid w:val="00002CFE"/>
    <w:rsid w:val="000033D9"/>
    <w:rsid w:val="000034B4"/>
    <w:rsid w:val="000036A6"/>
    <w:rsid w:val="000036C9"/>
    <w:rsid w:val="000036D5"/>
    <w:rsid w:val="00003A7E"/>
    <w:rsid w:val="00003ACB"/>
    <w:rsid w:val="00003AF9"/>
    <w:rsid w:val="00003B90"/>
    <w:rsid w:val="00003F1C"/>
    <w:rsid w:val="00004060"/>
    <w:rsid w:val="0000409D"/>
    <w:rsid w:val="000040CC"/>
    <w:rsid w:val="000040DA"/>
    <w:rsid w:val="00004153"/>
    <w:rsid w:val="000041BE"/>
    <w:rsid w:val="000041E8"/>
    <w:rsid w:val="00004541"/>
    <w:rsid w:val="00004845"/>
    <w:rsid w:val="00004A53"/>
    <w:rsid w:val="00004ACE"/>
    <w:rsid w:val="00004DB5"/>
    <w:rsid w:val="0000533D"/>
    <w:rsid w:val="000053E7"/>
    <w:rsid w:val="00005A51"/>
    <w:rsid w:val="00005AF0"/>
    <w:rsid w:val="00005C67"/>
    <w:rsid w:val="00005E08"/>
    <w:rsid w:val="00006071"/>
    <w:rsid w:val="00006500"/>
    <w:rsid w:val="000067A8"/>
    <w:rsid w:val="000067BD"/>
    <w:rsid w:val="00006854"/>
    <w:rsid w:val="00006BB7"/>
    <w:rsid w:val="00006C23"/>
    <w:rsid w:val="00006FED"/>
    <w:rsid w:val="00007155"/>
    <w:rsid w:val="00007171"/>
    <w:rsid w:val="0000725A"/>
    <w:rsid w:val="00007317"/>
    <w:rsid w:val="00007448"/>
    <w:rsid w:val="000074EF"/>
    <w:rsid w:val="0000753B"/>
    <w:rsid w:val="00007A79"/>
    <w:rsid w:val="00007C93"/>
    <w:rsid w:val="00007E40"/>
    <w:rsid w:val="0001038B"/>
    <w:rsid w:val="000105CC"/>
    <w:rsid w:val="00010862"/>
    <w:rsid w:val="000108C8"/>
    <w:rsid w:val="00010D70"/>
    <w:rsid w:val="00010EA8"/>
    <w:rsid w:val="00010EF4"/>
    <w:rsid w:val="000110C0"/>
    <w:rsid w:val="000111D1"/>
    <w:rsid w:val="0001141C"/>
    <w:rsid w:val="000114F9"/>
    <w:rsid w:val="0001159B"/>
    <w:rsid w:val="00011A76"/>
    <w:rsid w:val="000122F3"/>
    <w:rsid w:val="000124FD"/>
    <w:rsid w:val="00012566"/>
    <w:rsid w:val="000128C9"/>
    <w:rsid w:val="00012936"/>
    <w:rsid w:val="00012A40"/>
    <w:rsid w:val="00013077"/>
    <w:rsid w:val="00013250"/>
    <w:rsid w:val="0001329F"/>
    <w:rsid w:val="00013475"/>
    <w:rsid w:val="000134DD"/>
    <w:rsid w:val="000136CA"/>
    <w:rsid w:val="00013D6E"/>
    <w:rsid w:val="0001417A"/>
    <w:rsid w:val="00014241"/>
    <w:rsid w:val="00014ADA"/>
    <w:rsid w:val="00014B43"/>
    <w:rsid w:val="00014BFF"/>
    <w:rsid w:val="00014CD1"/>
    <w:rsid w:val="00014D67"/>
    <w:rsid w:val="00014E15"/>
    <w:rsid w:val="00015136"/>
    <w:rsid w:val="00015146"/>
    <w:rsid w:val="00015352"/>
    <w:rsid w:val="00015673"/>
    <w:rsid w:val="000159B0"/>
    <w:rsid w:val="00015C80"/>
    <w:rsid w:val="00015D98"/>
    <w:rsid w:val="00015DBD"/>
    <w:rsid w:val="00015E47"/>
    <w:rsid w:val="00015FDD"/>
    <w:rsid w:val="00016054"/>
    <w:rsid w:val="000160F0"/>
    <w:rsid w:val="000161CC"/>
    <w:rsid w:val="00016320"/>
    <w:rsid w:val="000163E7"/>
    <w:rsid w:val="0001696F"/>
    <w:rsid w:val="00016990"/>
    <w:rsid w:val="00016B13"/>
    <w:rsid w:val="00016D67"/>
    <w:rsid w:val="00017094"/>
    <w:rsid w:val="000170F5"/>
    <w:rsid w:val="00017309"/>
    <w:rsid w:val="00017800"/>
    <w:rsid w:val="000178F0"/>
    <w:rsid w:val="00017A82"/>
    <w:rsid w:val="00017D05"/>
    <w:rsid w:val="00017DA0"/>
    <w:rsid w:val="00020070"/>
    <w:rsid w:val="000202FA"/>
    <w:rsid w:val="00020589"/>
    <w:rsid w:val="000206C2"/>
    <w:rsid w:val="000206EF"/>
    <w:rsid w:val="000207B9"/>
    <w:rsid w:val="0002093B"/>
    <w:rsid w:val="00020A69"/>
    <w:rsid w:val="00020C27"/>
    <w:rsid w:val="00020D25"/>
    <w:rsid w:val="00020FB9"/>
    <w:rsid w:val="000211B0"/>
    <w:rsid w:val="000211D5"/>
    <w:rsid w:val="00021230"/>
    <w:rsid w:val="00021363"/>
    <w:rsid w:val="00021532"/>
    <w:rsid w:val="00021B7B"/>
    <w:rsid w:val="00021C40"/>
    <w:rsid w:val="00021F5D"/>
    <w:rsid w:val="00022171"/>
    <w:rsid w:val="0002250F"/>
    <w:rsid w:val="00022773"/>
    <w:rsid w:val="000228DF"/>
    <w:rsid w:val="00022B90"/>
    <w:rsid w:val="00022C1D"/>
    <w:rsid w:val="00022DC2"/>
    <w:rsid w:val="00022E1E"/>
    <w:rsid w:val="00022E3D"/>
    <w:rsid w:val="00022EA1"/>
    <w:rsid w:val="00023D5A"/>
    <w:rsid w:val="00024063"/>
    <w:rsid w:val="00024239"/>
    <w:rsid w:val="00024464"/>
    <w:rsid w:val="00024779"/>
    <w:rsid w:val="00024AA7"/>
    <w:rsid w:val="00024BAA"/>
    <w:rsid w:val="00024C2D"/>
    <w:rsid w:val="00024C6A"/>
    <w:rsid w:val="00024C85"/>
    <w:rsid w:val="00024CE1"/>
    <w:rsid w:val="000251E5"/>
    <w:rsid w:val="00025373"/>
    <w:rsid w:val="000253BC"/>
    <w:rsid w:val="000253E7"/>
    <w:rsid w:val="000257FC"/>
    <w:rsid w:val="00025ACE"/>
    <w:rsid w:val="00025D12"/>
    <w:rsid w:val="00025D43"/>
    <w:rsid w:val="00025D5D"/>
    <w:rsid w:val="00025F76"/>
    <w:rsid w:val="00025F8A"/>
    <w:rsid w:val="00026060"/>
    <w:rsid w:val="000261C8"/>
    <w:rsid w:val="00026245"/>
    <w:rsid w:val="00026468"/>
    <w:rsid w:val="0002668B"/>
    <w:rsid w:val="00026783"/>
    <w:rsid w:val="0002695D"/>
    <w:rsid w:val="0002696F"/>
    <w:rsid w:val="000269E7"/>
    <w:rsid w:val="00026AC1"/>
    <w:rsid w:val="00026DA0"/>
    <w:rsid w:val="00026E10"/>
    <w:rsid w:val="000273EC"/>
    <w:rsid w:val="00027664"/>
    <w:rsid w:val="00027B2D"/>
    <w:rsid w:val="00027BCE"/>
    <w:rsid w:val="00027EE5"/>
    <w:rsid w:val="00030366"/>
    <w:rsid w:val="000303DF"/>
    <w:rsid w:val="00030402"/>
    <w:rsid w:val="0003060F"/>
    <w:rsid w:val="00030E72"/>
    <w:rsid w:val="00030E7B"/>
    <w:rsid w:val="00030EF7"/>
    <w:rsid w:val="00031091"/>
    <w:rsid w:val="00031133"/>
    <w:rsid w:val="00031287"/>
    <w:rsid w:val="000312FF"/>
    <w:rsid w:val="000313ED"/>
    <w:rsid w:val="00031490"/>
    <w:rsid w:val="000314C3"/>
    <w:rsid w:val="00031B8D"/>
    <w:rsid w:val="00031CCF"/>
    <w:rsid w:val="00031CEB"/>
    <w:rsid w:val="00032469"/>
    <w:rsid w:val="0003246B"/>
    <w:rsid w:val="00032A92"/>
    <w:rsid w:val="00032B5A"/>
    <w:rsid w:val="00032CF6"/>
    <w:rsid w:val="00032D1E"/>
    <w:rsid w:val="00032D73"/>
    <w:rsid w:val="00032E43"/>
    <w:rsid w:val="00032FD9"/>
    <w:rsid w:val="0003306E"/>
    <w:rsid w:val="00033111"/>
    <w:rsid w:val="00033195"/>
    <w:rsid w:val="00033248"/>
    <w:rsid w:val="0003327C"/>
    <w:rsid w:val="000332F4"/>
    <w:rsid w:val="00033305"/>
    <w:rsid w:val="00033648"/>
    <w:rsid w:val="000336A5"/>
    <w:rsid w:val="000338B7"/>
    <w:rsid w:val="00033B49"/>
    <w:rsid w:val="00033BB8"/>
    <w:rsid w:val="00033C17"/>
    <w:rsid w:val="00033C82"/>
    <w:rsid w:val="000342B0"/>
    <w:rsid w:val="000342B7"/>
    <w:rsid w:val="00034482"/>
    <w:rsid w:val="00034627"/>
    <w:rsid w:val="00034B47"/>
    <w:rsid w:val="00034C16"/>
    <w:rsid w:val="00034CA3"/>
    <w:rsid w:val="00034E3D"/>
    <w:rsid w:val="000350AA"/>
    <w:rsid w:val="00035565"/>
    <w:rsid w:val="00035595"/>
    <w:rsid w:val="0003560A"/>
    <w:rsid w:val="000356DE"/>
    <w:rsid w:val="00035798"/>
    <w:rsid w:val="00035C6C"/>
    <w:rsid w:val="00035C8A"/>
    <w:rsid w:val="00035D9F"/>
    <w:rsid w:val="00035F32"/>
    <w:rsid w:val="00036227"/>
    <w:rsid w:val="000362BA"/>
    <w:rsid w:val="0003656D"/>
    <w:rsid w:val="000365E8"/>
    <w:rsid w:val="000366FD"/>
    <w:rsid w:val="0003680A"/>
    <w:rsid w:val="0003695F"/>
    <w:rsid w:val="0003698E"/>
    <w:rsid w:val="00036CE0"/>
    <w:rsid w:val="00036D45"/>
    <w:rsid w:val="00036E80"/>
    <w:rsid w:val="00036F99"/>
    <w:rsid w:val="00037232"/>
    <w:rsid w:val="00037404"/>
    <w:rsid w:val="00037776"/>
    <w:rsid w:val="00037874"/>
    <w:rsid w:val="000379A7"/>
    <w:rsid w:val="00037B59"/>
    <w:rsid w:val="00037E8F"/>
    <w:rsid w:val="0004006B"/>
    <w:rsid w:val="000405B1"/>
    <w:rsid w:val="000409B1"/>
    <w:rsid w:val="00040A15"/>
    <w:rsid w:val="00040C34"/>
    <w:rsid w:val="00040FE7"/>
    <w:rsid w:val="000410E9"/>
    <w:rsid w:val="00041164"/>
    <w:rsid w:val="00041193"/>
    <w:rsid w:val="00041689"/>
    <w:rsid w:val="0004172B"/>
    <w:rsid w:val="00041744"/>
    <w:rsid w:val="00041A4A"/>
    <w:rsid w:val="00041B1C"/>
    <w:rsid w:val="00041BCE"/>
    <w:rsid w:val="00041C97"/>
    <w:rsid w:val="00041C9A"/>
    <w:rsid w:val="00041FA5"/>
    <w:rsid w:val="00041FC4"/>
    <w:rsid w:val="00042345"/>
    <w:rsid w:val="00042705"/>
    <w:rsid w:val="000427C9"/>
    <w:rsid w:val="00042EB3"/>
    <w:rsid w:val="00042ED2"/>
    <w:rsid w:val="00042EF9"/>
    <w:rsid w:val="0004304C"/>
    <w:rsid w:val="00043292"/>
    <w:rsid w:val="000434F2"/>
    <w:rsid w:val="00043737"/>
    <w:rsid w:val="00043A74"/>
    <w:rsid w:val="00043BA7"/>
    <w:rsid w:val="00043C26"/>
    <w:rsid w:val="00043E6C"/>
    <w:rsid w:val="0004411A"/>
    <w:rsid w:val="0004459A"/>
    <w:rsid w:val="00044629"/>
    <w:rsid w:val="00044663"/>
    <w:rsid w:val="000446E5"/>
    <w:rsid w:val="0004483D"/>
    <w:rsid w:val="000448AE"/>
    <w:rsid w:val="00044A98"/>
    <w:rsid w:val="00044AEE"/>
    <w:rsid w:val="00044C72"/>
    <w:rsid w:val="00044EDD"/>
    <w:rsid w:val="00045098"/>
    <w:rsid w:val="000451C8"/>
    <w:rsid w:val="000454E1"/>
    <w:rsid w:val="00045524"/>
    <w:rsid w:val="0004557F"/>
    <w:rsid w:val="0004564F"/>
    <w:rsid w:val="000456CC"/>
    <w:rsid w:val="00045926"/>
    <w:rsid w:val="00045972"/>
    <w:rsid w:val="00045CA7"/>
    <w:rsid w:val="000460D9"/>
    <w:rsid w:val="0004618E"/>
    <w:rsid w:val="000462BA"/>
    <w:rsid w:val="0004664A"/>
    <w:rsid w:val="00046A01"/>
    <w:rsid w:val="00046C84"/>
    <w:rsid w:val="00046D6C"/>
    <w:rsid w:val="000470FC"/>
    <w:rsid w:val="00047504"/>
    <w:rsid w:val="00047596"/>
    <w:rsid w:val="0004769F"/>
    <w:rsid w:val="000478F2"/>
    <w:rsid w:val="000478FF"/>
    <w:rsid w:val="0004793A"/>
    <w:rsid w:val="00047958"/>
    <w:rsid w:val="00047BC0"/>
    <w:rsid w:val="00047D79"/>
    <w:rsid w:val="00047D98"/>
    <w:rsid w:val="00047DEC"/>
    <w:rsid w:val="00047E89"/>
    <w:rsid w:val="00047F6B"/>
    <w:rsid w:val="0004B712"/>
    <w:rsid w:val="00050093"/>
    <w:rsid w:val="000501F9"/>
    <w:rsid w:val="00050286"/>
    <w:rsid w:val="0005031F"/>
    <w:rsid w:val="00050333"/>
    <w:rsid w:val="00050598"/>
    <w:rsid w:val="0005064B"/>
    <w:rsid w:val="000508E0"/>
    <w:rsid w:val="00050A32"/>
    <w:rsid w:val="00050A5B"/>
    <w:rsid w:val="00050B62"/>
    <w:rsid w:val="00050CD9"/>
    <w:rsid w:val="00050DBC"/>
    <w:rsid w:val="00050DDB"/>
    <w:rsid w:val="00050EB0"/>
    <w:rsid w:val="000511AD"/>
    <w:rsid w:val="0005151D"/>
    <w:rsid w:val="00051913"/>
    <w:rsid w:val="00051A09"/>
    <w:rsid w:val="00051A82"/>
    <w:rsid w:val="00051CC0"/>
    <w:rsid w:val="00052128"/>
    <w:rsid w:val="000521F5"/>
    <w:rsid w:val="0005248B"/>
    <w:rsid w:val="000526A5"/>
    <w:rsid w:val="00052A64"/>
    <w:rsid w:val="00052CC6"/>
    <w:rsid w:val="00052E08"/>
    <w:rsid w:val="00053108"/>
    <w:rsid w:val="0005366B"/>
    <w:rsid w:val="0005370B"/>
    <w:rsid w:val="00053A3C"/>
    <w:rsid w:val="00053AA9"/>
    <w:rsid w:val="00053C2E"/>
    <w:rsid w:val="0005402F"/>
    <w:rsid w:val="000541B7"/>
    <w:rsid w:val="00054742"/>
    <w:rsid w:val="00054754"/>
    <w:rsid w:val="00054793"/>
    <w:rsid w:val="000549C6"/>
    <w:rsid w:val="00054ED6"/>
    <w:rsid w:val="00054FEA"/>
    <w:rsid w:val="00055280"/>
    <w:rsid w:val="00055656"/>
    <w:rsid w:val="0005580A"/>
    <w:rsid w:val="00055A74"/>
    <w:rsid w:val="00055ADA"/>
    <w:rsid w:val="00055E2F"/>
    <w:rsid w:val="00055E35"/>
    <w:rsid w:val="000562C6"/>
    <w:rsid w:val="000566F3"/>
    <w:rsid w:val="00056BEF"/>
    <w:rsid w:val="00056C70"/>
    <w:rsid w:val="00056CD0"/>
    <w:rsid w:val="00056D01"/>
    <w:rsid w:val="00056E8F"/>
    <w:rsid w:val="00057039"/>
    <w:rsid w:val="000573AD"/>
    <w:rsid w:val="000574C8"/>
    <w:rsid w:val="00057841"/>
    <w:rsid w:val="0005793D"/>
    <w:rsid w:val="0005793F"/>
    <w:rsid w:val="00057951"/>
    <w:rsid w:val="000579D9"/>
    <w:rsid w:val="000579F1"/>
    <w:rsid w:val="00057CA1"/>
    <w:rsid w:val="00057FB1"/>
    <w:rsid w:val="00060027"/>
    <w:rsid w:val="00060109"/>
    <w:rsid w:val="00060147"/>
    <w:rsid w:val="0006019E"/>
    <w:rsid w:val="000602AB"/>
    <w:rsid w:val="00060535"/>
    <w:rsid w:val="000605B7"/>
    <w:rsid w:val="0006061A"/>
    <w:rsid w:val="0006068F"/>
    <w:rsid w:val="000606A6"/>
    <w:rsid w:val="00060B29"/>
    <w:rsid w:val="00060DAF"/>
    <w:rsid w:val="00060FA4"/>
    <w:rsid w:val="000610A1"/>
    <w:rsid w:val="000610B7"/>
    <w:rsid w:val="00061445"/>
    <w:rsid w:val="0006161E"/>
    <w:rsid w:val="000616B3"/>
    <w:rsid w:val="00061893"/>
    <w:rsid w:val="00061A5C"/>
    <w:rsid w:val="00061BE6"/>
    <w:rsid w:val="00061D7D"/>
    <w:rsid w:val="00061E26"/>
    <w:rsid w:val="00061F55"/>
    <w:rsid w:val="00062197"/>
    <w:rsid w:val="00062228"/>
    <w:rsid w:val="00062AC3"/>
    <w:rsid w:val="00062B7B"/>
    <w:rsid w:val="00063000"/>
    <w:rsid w:val="00063089"/>
    <w:rsid w:val="0006323A"/>
    <w:rsid w:val="0006331E"/>
    <w:rsid w:val="00063447"/>
    <w:rsid w:val="000636E7"/>
    <w:rsid w:val="000637A3"/>
    <w:rsid w:val="00063836"/>
    <w:rsid w:val="00063849"/>
    <w:rsid w:val="00063920"/>
    <w:rsid w:val="0006397F"/>
    <w:rsid w:val="000639FD"/>
    <w:rsid w:val="00063A1C"/>
    <w:rsid w:val="00063A50"/>
    <w:rsid w:val="00063D05"/>
    <w:rsid w:val="00063E54"/>
    <w:rsid w:val="0006406E"/>
    <w:rsid w:val="0006418E"/>
    <w:rsid w:val="0006466B"/>
    <w:rsid w:val="0006498A"/>
    <w:rsid w:val="00064EF2"/>
    <w:rsid w:val="00064FB0"/>
    <w:rsid w:val="000650DB"/>
    <w:rsid w:val="0006519A"/>
    <w:rsid w:val="000651DF"/>
    <w:rsid w:val="0006542C"/>
    <w:rsid w:val="000654A4"/>
    <w:rsid w:val="000654EF"/>
    <w:rsid w:val="000658EC"/>
    <w:rsid w:val="0006599E"/>
    <w:rsid w:val="00065A40"/>
    <w:rsid w:val="00065ADF"/>
    <w:rsid w:val="00065AE5"/>
    <w:rsid w:val="00065C91"/>
    <w:rsid w:val="00065D60"/>
    <w:rsid w:val="000661A5"/>
    <w:rsid w:val="000661B6"/>
    <w:rsid w:val="00066394"/>
    <w:rsid w:val="00066459"/>
    <w:rsid w:val="000668CF"/>
    <w:rsid w:val="00066D02"/>
    <w:rsid w:val="000673DA"/>
    <w:rsid w:val="000673FD"/>
    <w:rsid w:val="000674E4"/>
    <w:rsid w:val="00067564"/>
    <w:rsid w:val="000675C5"/>
    <w:rsid w:val="00067729"/>
    <w:rsid w:val="00067854"/>
    <w:rsid w:val="00067B41"/>
    <w:rsid w:val="00067C8A"/>
    <w:rsid w:val="00067FF7"/>
    <w:rsid w:val="00070073"/>
    <w:rsid w:val="0007034D"/>
    <w:rsid w:val="00070359"/>
    <w:rsid w:val="000704A6"/>
    <w:rsid w:val="0007059F"/>
    <w:rsid w:val="000705D7"/>
    <w:rsid w:val="00070B31"/>
    <w:rsid w:val="00070BE2"/>
    <w:rsid w:val="00070EA4"/>
    <w:rsid w:val="00070ED9"/>
    <w:rsid w:val="00070F0E"/>
    <w:rsid w:val="0007115A"/>
    <w:rsid w:val="000715DF"/>
    <w:rsid w:val="0007168F"/>
    <w:rsid w:val="000717D6"/>
    <w:rsid w:val="0007188D"/>
    <w:rsid w:val="00071B5B"/>
    <w:rsid w:val="00071D94"/>
    <w:rsid w:val="00071E6A"/>
    <w:rsid w:val="00071EB4"/>
    <w:rsid w:val="00071F2B"/>
    <w:rsid w:val="000724E9"/>
    <w:rsid w:val="000725D5"/>
    <w:rsid w:val="00072DAF"/>
    <w:rsid w:val="00072EB5"/>
    <w:rsid w:val="00072F63"/>
    <w:rsid w:val="000737E6"/>
    <w:rsid w:val="00073857"/>
    <w:rsid w:val="00073872"/>
    <w:rsid w:val="000739A1"/>
    <w:rsid w:val="00074099"/>
    <w:rsid w:val="0007412C"/>
    <w:rsid w:val="000742C7"/>
    <w:rsid w:val="00074376"/>
    <w:rsid w:val="0007451A"/>
    <w:rsid w:val="00074570"/>
    <w:rsid w:val="0007469C"/>
    <w:rsid w:val="000747C4"/>
    <w:rsid w:val="0007492E"/>
    <w:rsid w:val="00074953"/>
    <w:rsid w:val="00074996"/>
    <w:rsid w:val="000749C6"/>
    <w:rsid w:val="00075541"/>
    <w:rsid w:val="000755AB"/>
    <w:rsid w:val="000759AA"/>
    <w:rsid w:val="000759D1"/>
    <w:rsid w:val="00075AA4"/>
    <w:rsid w:val="00075F9F"/>
    <w:rsid w:val="000761D6"/>
    <w:rsid w:val="00076278"/>
    <w:rsid w:val="000764CE"/>
    <w:rsid w:val="00076815"/>
    <w:rsid w:val="00076882"/>
    <w:rsid w:val="00076B3E"/>
    <w:rsid w:val="00076F77"/>
    <w:rsid w:val="00076FE5"/>
    <w:rsid w:val="00077312"/>
    <w:rsid w:val="000777E0"/>
    <w:rsid w:val="00077CBE"/>
    <w:rsid w:val="00077CEF"/>
    <w:rsid w:val="00077D5D"/>
    <w:rsid w:val="00077EA3"/>
    <w:rsid w:val="00077F1D"/>
    <w:rsid w:val="00077FA7"/>
    <w:rsid w:val="000801DB"/>
    <w:rsid w:val="00080297"/>
    <w:rsid w:val="00080570"/>
    <w:rsid w:val="0008057D"/>
    <w:rsid w:val="000806E0"/>
    <w:rsid w:val="00080AE9"/>
    <w:rsid w:val="00080EA8"/>
    <w:rsid w:val="00080F88"/>
    <w:rsid w:val="0008103E"/>
    <w:rsid w:val="00081201"/>
    <w:rsid w:val="00081364"/>
    <w:rsid w:val="000817FD"/>
    <w:rsid w:val="00081A8B"/>
    <w:rsid w:val="00081D73"/>
    <w:rsid w:val="00082205"/>
    <w:rsid w:val="00082A9C"/>
    <w:rsid w:val="00082D33"/>
    <w:rsid w:val="00083021"/>
    <w:rsid w:val="00083147"/>
    <w:rsid w:val="0008334E"/>
    <w:rsid w:val="000833E8"/>
    <w:rsid w:val="00083499"/>
    <w:rsid w:val="0008357A"/>
    <w:rsid w:val="0008376F"/>
    <w:rsid w:val="00083771"/>
    <w:rsid w:val="00083F93"/>
    <w:rsid w:val="000840D0"/>
    <w:rsid w:val="000840DB"/>
    <w:rsid w:val="00084271"/>
    <w:rsid w:val="000845CF"/>
    <w:rsid w:val="00084678"/>
    <w:rsid w:val="000846AD"/>
    <w:rsid w:val="00084997"/>
    <w:rsid w:val="000849D7"/>
    <w:rsid w:val="00084AF3"/>
    <w:rsid w:val="00084F16"/>
    <w:rsid w:val="00085561"/>
    <w:rsid w:val="000858CA"/>
    <w:rsid w:val="00085A74"/>
    <w:rsid w:val="00085EC8"/>
    <w:rsid w:val="00085F5F"/>
    <w:rsid w:val="00086398"/>
    <w:rsid w:val="0008676F"/>
    <w:rsid w:val="00086CEE"/>
    <w:rsid w:val="00086D4B"/>
    <w:rsid w:val="00086E1E"/>
    <w:rsid w:val="00086EDE"/>
    <w:rsid w:val="000871B9"/>
    <w:rsid w:val="0008745E"/>
    <w:rsid w:val="00087758"/>
    <w:rsid w:val="00087D22"/>
    <w:rsid w:val="000900AC"/>
    <w:rsid w:val="00090313"/>
    <w:rsid w:val="0009046B"/>
    <w:rsid w:val="00090498"/>
    <w:rsid w:val="000905CB"/>
    <w:rsid w:val="00090707"/>
    <w:rsid w:val="00090C98"/>
    <w:rsid w:val="00090E68"/>
    <w:rsid w:val="00090F3E"/>
    <w:rsid w:val="0009106A"/>
    <w:rsid w:val="00091198"/>
    <w:rsid w:val="00091289"/>
    <w:rsid w:val="000912E7"/>
    <w:rsid w:val="00091414"/>
    <w:rsid w:val="00091423"/>
    <w:rsid w:val="000914CA"/>
    <w:rsid w:val="0009165B"/>
    <w:rsid w:val="0009190D"/>
    <w:rsid w:val="00091946"/>
    <w:rsid w:val="00091AC4"/>
    <w:rsid w:val="00091B36"/>
    <w:rsid w:val="00091C09"/>
    <w:rsid w:val="00091D64"/>
    <w:rsid w:val="00091D75"/>
    <w:rsid w:val="0009263C"/>
    <w:rsid w:val="000927D7"/>
    <w:rsid w:val="000928C9"/>
    <w:rsid w:val="00092F0A"/>
    <w:rsid w:val="000934D6"/>
    <w:rsid w:val="00093A27"/>
    <w:rsid w:val="00093BEE"/>
    <w:rsid w:val="00093CC9"/>
    <w:rsid w:val="00093E10"/>
    <w:rsid w:val="000943AE"/>
    <w:rsid w:val="00094620"/>
    <w:rsid w:val="000948E2"/>
    <w:rsid w:val="00094906"/>
    <w:rsid w:val="00094984"/>
    <w:rsid w:val="000949D0"/>
    <w:rsid w:val="00094B49"/>
    <w:rsid w:val="00094EA7"/>
    <w:rsid w:val="00094FE0"/>
    <w:rsid w:val="000950EF"/>
    <w:rsid w:val="00095172"/>
    <w:rsid w:val="00095597"/>
    <w:rsid w:val="00095865"/>
    <w:rsid w:val="000959F8"/>
    <w:rsid w:val="00095AB3"/>
    <w:rsid w:val="00095EA8"/>
    <w:rsid w:val="00096424"/>
    <w:rsid w:val="00096482"/>
    <w:rsid w:val="000964F4"/>
    <w:rsid w:val="00096562"/>
    <w:rsid w:val="0009666E"/>
    <w:rsid w:val="000967A2"/>
    <w:rsid w:val="000968B6"/>
    <w:rsid w:val="00096B0C"/>
    <w:rsid w:val="00096E01"/>
    <w:rsid w:val="000971D2"/>
    <w:rsid w:val="000973C8"/>
    <w:rsid w:val="000974B3"/>
    <w:rsid w:val="00097A2A"/>
    <w:rsid w:val="00097A95"/>
    <w:rsid w:val="00097CD6"/>
    <w:rsid w:val="000A00DD"/>
    <w:rsid w:val="000A0289"/>
    <w:rsid w:val="000A0484"/>
    <w:rsid w:val="000A0723"/>
    <w:rsid w:val="000A07D4"/>
    <w:rsid w:val="000A08B1"/>
    <w:rsid w:val="000A0AD2"/>
    <w:rsid w:val="000A0E35"/>
    <w:rsid w:val="000A1058"/>
    <w:rsid w:val="000A1406"/>
    <w:rsid w:val="000A1831"/>
    <w:rsid w:val="000A1964"/>
    <w:rsid w:val="000A19D9"/>
    <w:rsid w:val="000A1DB4"/>
    <w:rsid w:val="000A1EA9"/>
    <w:rsid w:val="000A24B8"/>
    <w:rsid w:val="000A294C"/>
    <w:rsid w:val="000A2A6D"/>
    <w:rsid w:val="000A2AA9"/>
    <w:rsid w:val="000A2DCF"/>
    <w:rsid w:val="000A3211"/>
    <w:rsid w:val="000A33EA"/>
    <w:rsid w:val="000A350C"/>
    <w:rsid w:val="000A3535"/>
    <w:rsid w:val="000A353E"/>
    <w:rsid w:val="000A38B1"/>
    <w:rsid w:val="000A3B3F"/>
    <w:rsid w:val="000A3CA5"/>
    <w:rsid w:val="000A4135"/>
    <w:rsid w:val="000A4269"/>
    <w:rsid w:val="000A444C"/>
    <w:rsid w:val="000A4611"/>
    <w:rsid w:val="000A4751"/>
    <w:rsid w:val="000A495A"/>
    <w:rsid w:val="000A4A93"/>
    <w:rsid w:val="000A4F1C"/>
    <w:rsid w:val="000A5308"/>
    <w:rsid w:val="000A5502"/>
    <w:rsid w:val="000A55FC"/>
    <w:rsid w:val="000A56F2"/>
    <w:rsid w:val="000A5939"/>
    <w:rsid w:val="000A598E"/>
    <w:rsid w:val="000A5AE8"/>
    <w:rsid w:val="000A5E9D"/>
    <w:rsid w:val="000A5F03"/>
    <w:rsid w:val="000A606B"/>
    <w:rsid w:val="000A60C1"/>
    <w:rsid w:val="000A6841"/>
    <w:rsid w:val="000A6972"/>
    <w:rsid w:val="000A6A6B"/>
    <w:rsid w:val="000A6E05"/>
    <w:rsid w:val="000A733F"/>
    <w:rsid w:val="000A7774"/>
    <w:rsid w:val="000A78E4"/>
    <w:rsid w:val="000A79F2"/>
    <w:rsid w:val="000A7ED9"/>
    <w:rsid w:val="000A7F2E"/>
    <w:rsid w:val="000A7F7D"/>
    <w:rsid w:val="000B02DD"/>
    <w:rsid w:val="000B03D6"/>
    <w:rsid w:val="000B05E7"/>
    <w:rsid w:val="000B0B0B"/>
    <w:rsid w:val="000B1100"/>
    <w:rsid w:val="000B1118"/>
    <w:rsid w:val="000B11AC"/>
    <w:rsid w:val="000B12FA"/>
    <w:rsid w:val="000B15E2"/>
    <w:rsid w:val="000B19AA"/>
    <w:rsid w:val="000B1A1A"/>
    <w:rsid w:val="000B1A7E"/>
    <w:rsid w:val="000B1C60"/>
    <w:rsid w:val="000B1F6C"/>
    <w:rsid w:val="000B215B"/>
    <w:rsid w:val="000B21B2"/>
    <w:rsid w:val="000B2272"/>
    <w:rsid w:val="000B22CC"/>
    <w:rsid w:val="000B22FB"/>
    <w:rsid w:val="000B2ECC"/>
    <w:rsid w:val="000B313F"/>
    <w:rsid w:val="000B341E"/>
    <w:rsid w:val="000B344F"/>
    <w:rsid w:val="000B37F5"/>
    <w:rsid w:val="000B388D"/>
    <w:rsid w:val="000B3A69"/>
    <w:rsid w:val="000B40FA"/>
    <w:rsid w:val="000B4182"/>
    <w:rsid w:val="000B428A"/>
    <w:rsid w:val="000B4486"/>
    <w:rsid w:val="000B46DD"/>
    <w:rsid w:val="000B48EE"/>
    <w:rsid w:val="000B4D32"/>
    <w:rsid w:val="000B4F9A"/>
    <w:rsid w:val="000B50C4"/>
    <w:rsid w:val="000B54CB"/>
    <w:rsid w:val="000B5857"/>
    <w:rsid w:val="000B5914"/>
    <w:rsid w:val="000B5915"/>
    <w:rsid w:val="000B5D08"/>
    <w:rsid w:val="000B6133"/>
    <w:rsid w:val="000B618D"/>
    <w:rsid w:val="000B61BD"/>
    <w:rsid w:val="000B6363"/>
    <w:rsid w:val="000B637D"/>
    <w:rsid w:val="000B6479"/>
    <w:rsid w:val="000B660F"/>
    <w:rsid w:val="000B6661"/>
    <w:rsid w:val="000B68DB"/>
    <w:rsid w:val="000B6997"/>
    <w:rsid w:val="000B6E25"/>
    <w:rsid w:val="000B7072"/>
    <w:rsid w:val="000B72DB"/>
    <w:rsid w:val="000B757E"/>
    <w:rsid w:val="000B780F"/>
    <w:rsid w:val="000B795D"/>
    <w:rsid w:val="000B79FC"/>
    <w:rsid w:val="000B7DA2"/>
    <w:rsid w:val="000B7F12"/>
    <w:rsid w:val="000C01BD"/>
    <w:rsid w:val="000C0279"/>
    <w:rsid w:val="000C02BA"/>
    <w:rsid w:val="000C0528"/>
    <w:rsid w:val="000C0690"/>
    <w:rsid w:val="000C06FE"/>
    <w:rsid w:val="000C0729"/>
    <w:rsid w:val="000C074F"/>
    <w:rsid w:val="000C07DF"/>
    <w:rsid w:val="000C0894"/>
    <w:rsid w:val="000C08BF"/>
    <w:rsid w:val="000C0F29"/>
    <w:rsid w:val="000C11C2"/>
    <w:rsid w:val="000C14DB"/>
    <w:rsid w:val="000C16A6"/>
    <w:rsid w:val="000C17F2"/>
    <w:rsid w:val="000C18A4"/>
    <w:rsid w:val="000C2090"/>
    <w:rsid w:val="000C237B"/>
    <w:rsid w:val="000C2501"/>
    <w:rsid w:val="000C2666"/>
    <w:rsid w:val="000C27EF"/>
    <w:rsid w:val="000C2A1E"/>
    <w:rsid w:val="000C2AD3"/>
    <w:rsid w:val="000C2D9A"/>
    <w:rsid w:val="000C2E0F"/>
    <w:rsid w:val="000C30AF"/>
    <w:rsid w:val="000C3271"/>
    <w:rsid w:val="000C35D7"/>
    <w:rsid w:val="000C361E"/>
    <w:rsid w:val="000C3A7F"/>
    <w:rsid w:val="000C3B9A"/>
    <w:rsid w:val="000C3C4A"/>
    <w:rsid w:val="000C3D72"/>
    <w:rsid w:val="000C45AA"/>
    <w:rsid w:val="000C4758"/>
    <w:rsid w:val="000C4794"/>
    <w:rsid w:val="000C47A2"/>
    <w:rsid w:val="000C4A9E"/>
    <w:rsid w:val="000C4B6F"/>
    <w:rsid w:val="000C5714"/>
    <w:rsid w:val="000C5752"/>
    <w:rsid w:val="000C59EA"/>
    <w:rsid w:val="000C59F2"/>
    <w:rsid w:val="000C5A21"/>
    <w:rsid w:val="000C5ACB"/>
    <w:rsid w:val="000C6037"/>
    <w:rsid w:val="000C6038"/>
    <w:rsid w:val="000C613E"/>
    <w:rsid w:val="000C61F2"/>
    <w:rsid w:val="000C6273"/>
    <w:rsid w:val="000C642A"/>
    <w:rsid w:val="000C64A8"/>
    <w:rsid w:val="000C6653"/>
    <w:rsid w:val="000C6780"/>
    <w:rsid w:val="000C6849"/>
    <w:rsid w:val="000C6983"/>
    <w:rsid w:val="000C6AF2"/>
    <w:rsid w:val="000C6C05"/>
    <w:rsid w:val="000C6C32"/>
    <w:rsid w:val="000C6F39"/>
    <w:rsid w:val="000C70FC"/>
    <w:rsid w:val="000C729E"/>
    <w:rsid w:val="000C7393"/>
    <w:rsid w:val="000C7467"/>
    <w:rsid w:val="000C759E"/>
    <w:rsid w:val="000C7674"/>
    <w:rsid w:val="000C76B9"/>
    <w:rsid w:val="000C7739"/>
    <w:rsid w:val="000C7745"/>
    <w:rsid w:val="000C7CF0"/>
    <w:rsid w:val="000C7F2E"/>
    <w:rsid w:val="000C7FA1"/>
    <w:rsid w:val="000D0217"/>
    <w:rsid w:val="000D02C6"/>
    <w:rsid w:val="000D04A9"/>
    <w:rsid w:val="000D0559"/>
    <w:rsid w:val="000D0695"/>
    <w:rsid w:val="000D094F"/>
    <w:rsid w:val="000D0D02"/>
    <w:rsid w:val="000D0DDE"/>
    <w:rsid w:val="000D0DF8"/>
    <w:rsid w:val="000D13CF"/>
    <w:rsid w:val="000D1412"/>
    <w:rsid w:val="000D1457"/>
    <w:rsid w:val="000D15ED"/>
    <w:rsid w:val="000D189D"/>
    <w:rsid w:val="000D19BB"/>
    <w:rsid w:val="000D1AA3"/>
    <w:rsid w:val="000D1B94"/>
    <w:rsid w:val="000D20EE"/>
    <w:rsid w:val="000D20FF"/>
    <w:rsid w:val="000D215E"/>
    <w:rsid w:val="000D2222"/>
    <w:rsid w:val="000D2498"/>
    <w:rsid w:val="000D255A"/>
    <w:rsid w:val="000D25A8"/>
    <w:rsid w:val="000D25FF"/>
    <w:rsid w:val="000D2611"/>
    <w:rsid w:val="000D2722"/>
    <w:rsid w:val="000D2A10"/>
    <w:rsid w:val="000D2C64"/>
    <w:rsid w:val="000D3426"/>
    <w:rsid w:val="000D3571"/>
    <w:rsid w:val="000D386B"/>
    <w:rsid w:val="000D3ADD"/>
    <w:rsid w:val="000D3DD1"/>
    <w:rsid w:val="000D409F"/>
    <w:rsid w:val="000D4316"/>
    <w:rsid w:val="000D43C5"/>
    <w:rsid w:val="000D454C"/>
    <w:rsid w:val="000D462D"/>
    <w:rsid w:val="000D49D4"/>
    <w:rsid w:val="000D4AE9"/>
    <w:rsid w:val="000D4C1E"/>
    <w:rsid w:val="000D4D01"/>
    <w:rsid w:val="000D4D5D"/>
    <w:rsid w:val="000D5A12"/>
    <w:rsid w:val="000D5A1A"/>
    <w:rsid w:val="000D5CC1"/>
    <w:rsid w:val="000D5FE0"/>
    <w:rsid w:val="000D5FFF"/>
    <w:rsid w:val="000D60E0"/>
    <w:rsid w:val="000D6213"/>
    <w:rsid w:val="000D637D"/>
    <w:rsid w:val="000D64E1"/>
    <w:rsid w:val="000D664C"/>
    <w:rsid w:val="000D66FB"/>
    <w:rsid w:val="000D6721"/>
    <w:rsid w:val="000D6958"/>
    <w:rsid w:val="000D6B96"/>
    <w:rsid w:val="000D6D5E"/>
    <w:rsid w:val="000D6EFA"/>
    <w:rsid w:val="000D6FF6"/>
    <w:rsid w:val="000D71DD"/>
    <w:rsid w:val="000D73B0"/>
    <w:rsid w:val="000D7554"/>
    <w:rsid w:val="000D7A0E"/>
    <w:rsid w:val="000D7FCD"/>
    <w:rsid w:val="000E005A"/>
    <w:rsid w:val="000E0331"/>
    <w:rsid w:val="000E06E7"/>
    <w:rsid w:val="000E0869"/>
    <w:rsid w:val="000E08BF"/>
    <w:rsid w:val="000E0BC3"/>
    <w:rsid w:val="000E0D0A"/>
    <w:rsid w:val="000E0DBD"/>
    <w:rsid w:val="000E0E5F"/>
    <w:rsid w:val="000E0F53"/>
    <w:rsid w:val="000E145D"/>
    <w:rsid w:val="000E147E"/>
    <w:rsid w:val="000E1577"/>
    <w:rsid w:val="000E15CF"/>
    <w:rsid w:val="000E16D3"/>
    <w:rsid w:val="000E177F"/>
    <w:rsid w:val="000E1B80"/>
    <w:rsid w:val="000E1BDB"/>
    <w:rsid w:val="000E1E1A"/>
    <w:rsid w:val="000E1FE4"/>
    <w:rsid w:val="000E203F"/>
    <w:rsid w:val="000E2094"/>
    <w:rsid w:val="000E270A"/>
    <w:rsid w:val="000E2894"/>
    <w:rsid w:val="000E2DD2"/>
    <w:rsid w:val="000E33F7"/>
    <w:rsid w:val="000E358B"/>
    <w:rsid w:val="000E36B0"/>
    <w:rsid w:val="000E38C7"/>
    <w:rsid w:val="000E399F"/>
    <w:rsid w:val="000E3A71"/>
    <w:rsid w:val="000E3A8C"/>
    <w:rsid w:val="000E3CC4"/>
    <w:rsid w:val="000E3D35"/>
    <w:rsid w:val="000E3D63"/>
    <w:rsid w:val="000E3FC3"/>
    <w:rsid w:val="000E40A1"/>
    <w:rsid w:val="000E4259"/>
    <w:rsid w:val="000E44E2"/>
    <w:rsid w:val="000E48FE"/>
    <w:rsid w:val="000E4946"/>
    <w:rsid w:val="000E49F3"/>
    <w:rsid w:val="000E4A5E"/>
    <w:rsid w:val="000E4B0B"/>
    <w:rsid w:val="000E4C53"/>
    <w:rsid w:val="000E4DA3"/>
    <w:rsid w:val="000E4F75"/>
    <w:rsid w:val="000E508A"/>
    <w:rsid w:val="000E584A"/>
    <w:rsid w:val="000E5BAB"/>
    <w:rsid w:val="000E5D0C"/>
    <w:rsid w:val="000E5EBA"/>
    <w:rsid w:val="000E6007"/>
    <w:rsid w:val="000E6010"/>
    <w:rsid w:val="000E610F"/>
    <w:rsid w:val="000E6BF2"/>
    <w:rsid w:val="000E719D"/>
    <w:rsid w:val="000E7236"/>
    <w:rsid w:val="000E78E3"/>
    <w:rsid w:val="000E7C0A"/>
    <w:rsid w:val="000E7FA6"/>
    <w:rsid w:val="000F022A"/>
    <w:rsid w:val="000F029C"/>
    <w:rsid w:val="000F02CC"/>
    <w:rsid w:val="000F04AD"/>
    <w:rsid w:val="000F05B6"/>
    <w:rsid w:val="000F093A"/>
    <w:rsid w:val="000F0AED"/>
    <w:rsid w:val="000F0C4D"/>
    <w:rsid w:val="000F0D51"/>
    <w:rsid w:val="000F0E6F"/>
    <w:rsid w:val="000F0ECD"/>
    <w:rsid w:val="000F1287"/>
    <w:rsid w:val="000F1411"/>
    <w:rsid w:val="000F149D"/>
    <w:rsid w:val="000F1736"/>
    <w:rsid w:val="000F1737"/>
    <w:rsid w:val="000F1741"/>
    <w:rsid w:val="000F1752"/>
    <w:rsid w:val="000F1AEA"/>
    <w:rsid w:val="000F1CA8"/>
    <w:rsid w:val="000F1DEC"/>
    <w:rsid w:val="000F2012"/>
    <w:rsid w:val="000F2209"/>
    <w:rsid w:val="000F2992"/>
    <w:rsid w:val="000F2A86"/>
    <w:rsid w:val="000F2A8B"/>
    <w:rsid w:val="000F2ACF"/>
    <w:rsid w:val="000F2FA6"/>
    <w:rsid w:val="000F32D2"/>
    <w:rsid w:val="000F34F8"/>
    <w:rsid w:val="000F351E"/>
    <w:rsid w:val="000F371C"/>
    <w:rsid w:val="000F3975"/>
    <w:rsid w:val="000F3E7B"/>
    <w:rsid w:val="000F4601"/>
    <w:rsid w:val="000F48C6"/>
    <w:rsid w:val="000F48D0"/>
    <w:rsid w:val="000F4A9B"/>
    <w:rsid w:val="000F566F"/>
    <w:rsid w:val="000F56CF"/>
    <w:rsid w:val="000F573E"/>
    <w:rsid w:val="000F57A9"/>
    <w:rsid w:val="000F58BF"/>
    <w:rsid w:val="000F59C9"/>
    <w:rsid w:val="000F5A4F"/>
    <w:rsid w:val="000F5B17"/>
    <w:rsid w:val="000F5C25"/>
    <w:rsid w:val="000F61E4"/>
    <w:rsid w:val="000F631A"/>
    <w:rsid w:val="000F65E9"/>
    <w:rsid w:val="000F6740"/>
    <w:rsid w:val="000F687E"/>
    <w:rsid w:val="000F6A87"/>
    <w:rsid w:val="000F6BC1"/>
    <w:rsid w:val="000F6DA9"/>
    <w:rsid w:val="000F6DE7"/>
    <w:rsid w:val="000F716B"/>
    <w:rsid w:val="000F71B3"/>
    <w:rsid w:val="000F731D"/>
    <w:rsid w:val="000F7A37"/>
    <w:rsid w:val="000F7AF7"/>
    <w:rsid w:val="000F7BB5"/>
    <w:rsid w:val="000F7BB8"/>
    <w:rsid w:val="0010022C"/>
    <w:rsid w:val="0010032C"/>
    <w:rsid w:val="0010074C"/>
    <w:rsid w:val="00100759"/>
    <w:rsid w:val="001007BD"/>
    <w:rsid w:val="00100B58"/>
    <w:rsid w:val="00100C04"/>
    <w:rsid w:val="00101051"/>
    <w:rsid w:val="00101106"/>
    <w:rsid w:val="00101185"/>
    <w:rsid w:val="00101294"/>
    <w:rsid w:val="0010137C"/>
    <w:rsid w:val="00101A72"/>
    <w:rsid w:val="00101D2A"/>
    <w:rsid w:val="00101D53"/>
    <w:rsid w:val="00101D9F"/>
    <w:rsid w:val="00101ED7"/>
    <w:rsid w:val="00101F6C"/>
    <w:rsid w:val="001020B2"/>
    <w:rsid w:val="00102408"/>
    <w:rsid w:val="0010269D"/>
    <w:rsid w:val="00102988"/>
    <w:rsid w:val="00102E52"/>
    <w:rsid w:val="001031C1"/>
    <w:rsid w:val="0010320A"/>
    <w:rsid w:val="00103295"/>
    <w:rsid w:val="0010335B"/>
    <w:rsid w:val="001038A3"/>
    <w:rsid w:val="001038CE"/>
    <w:rsid w:val="001038CF"/>
    <w:rsid w:val="00103A66"/>
    <w:rsid w:val="00103BAF"/>
    <w:rsid w:val="00103BE2"/>
    <w:rsid w:val="00103EB6"/>
    <w:rsid w:val="00103F7E"/>
    <w:rsid w:val="0010400E"/>
    <w:rsid w:val="00104444"/>
    <w:rsid w:val="00104566"/>
    <w:rsid w:val="00104E3B"/>
    <w:rsid w:val="0010506C"/>
    <w:rsid w:val="001051AE"/>
    <w:rsid w:val="00105453"/>
    <w:rsid w:val="00105484"/>
    <w:rsid w:val="00105487"/>
    <w:rsid w:val="00105528"/>
    <w:rsid w:val="0010559C"/>
    <w:rsid w:val="0010560F"/>
    <w:rsid w:val="001056B6"/>
    <w:rsid w:val="001058E8"/>
    <w:rsid w:val="00105962"/>
    <w:rsid w:val="00105BEB"/>
    <w:rsid w:val="00105E2E"/>
    <w:rsid w:val="00105E81"/>
    <w:rsid w:val="00105EB0"/>
    <w:rsid w:val="00105FFA"/>
    <w:rsid w:val="00106269"/>
    <w:rsid w:val="0010644F"/>
    <w:rsid w:val="0010661C"/>
    <w:rsid w:val="001066F4"/>
    <w:rsid w:val="00106911"/>
    <w:rsid w:val="00106C9E"/>
    <w:rsid w:val="00106D06"/>
    <w:rsid w:val="00106D57"/>
    <w:rsid w:val="00106FFA"/>
    <w:rsid w:val="00107147"/>
    <w:rsid w:val="00107366"/>
    <w:rsid w:val="00107A82"/>
    <w:rsid w:val="00107ABB"/>
    <w:rsid w:val="00107C31"/>
    <w:rsid w:val="00107EB4"/>
    <w:rsid w:val="00107F9C"/>
    <w:rsid w:val="00110069"/>
    <w:rsid w:val="001100B5"/>
    <w:rsid w:val="00110288"/>
    <w:rsid w:val="00110905"/>
    <w:rsid w:val="00110E5B"/>
    <w:rsid w:val="00110EE5"/>
    <w:rsid w:val="00110F09"/>
    <w:rsid w:val="00111160"/>
    <w:rsid w:val="00111355"/>
    <w:rsid w:val="001113AC"/>
    <w:rsid w:val="001113D5"/>
    <w:rsid w:val="00111413"/>
    <w:rsid w:val="00111502"/>
    <w:rsid w:val="0011193B"/>
    <w:rsid w:val="00111E0A"/>
    <w:rsid w:val="00111E44"/>
    <w:rsid w:val="00111EBA"/>
    <w:rsid w:val="00111F1D"/>
    <w:rsid w:val="001121B3"/>
    <w:rsid w:val="001122C0"/>
    <w:rsid w:val="001122DA"/>
    <w:rsid w:val="001123A3"/>
    <w:rsid w:val="00112407"/>
    <w:rsid w:val="00112513"/>
    <w:rsid w:val="0011299A"/>
    <w:rsid w:val="00112D0F"/>
    <w:rsid w:val="00113058"/>
    <w:rsid w:val="0011307B"/>
    <w:rsid w:val="001130AD"/>
    <w:rsid w:val="001134A9"/>
    <w:rsid w:val="0011352D"/>
    <w:rsid w:val="00113630"/>
    <w:rsid w:val="00113763"/>
    <w:rsid w:val="0011380A"/>
    <w:rsid w:val="001138A9"/>
    <w:rsid w:val="00113D4F"/>
    <w:rsid w:val="00113DC0"/>
    <w:rsid w:val="001141C0"/>
    <w:rsid w:val="00114586"/>
    <w:rsid w:val="001146CB"/>
    <w:rsid w:val="001146E7"/>
    <w:rsid w:val="00114973"/>
    <w:rsid w:val="0011498F"/>
    <w:rsid w:val="00114B7D"/>
    <w:rsid w:val="00114C7D"/>
    <w:rsid w:val="0011523D"/>
    <w:rsid w:val="00115354"/>
    <w:rsid w:val="00115691"/>
    <w:rsid w:val="00115698"/>
    <w:rsid w:val="00115754"/>
    <w:rsid w:val="001157DF"/>
    <w:rsid w:val="00115BD7"/>
    <w:rsid w:val="00115D1B"/>
    <w:rsid w:val="00115F01"/>
    <w:rsid w:val="00115F2E"/>
    <w:rsid w:val="00115F80"/>
    <w:rsid w:val="00116282"/>
    <w:rsid w:val="0011657B"/>
    <w:rsid w:val="0011657D"/>
    <w:rsid w:val="0011676A"/>
    <w:rsid w:val="0011681F"/>
    <w:rsid w:val="0011688A"/>
    <w:rsid w:val="00116EAD"/>
    <w:rsid w:val="00116F25"/>
    <w:rsid w:val="00116FE7"/>
    <w:rsid w:val="00117231"/>
    <w:rsid w:val="00117516"/>
    <w:rsid w:val="00117541"/>
    <w:rsid w:val="001175A1"/>
    <w:rsid w:val="001177F3"/>
    <w:rsid w:val="001178CF"/>
    <w:rsid w:val="00117A39"/>
    <w:rsid w:val="00117A44"/>
    <w:rsid w:val="00117C59"/>
    <w:rsid w:val="00117D66"/>
    <w:rsid w:val="00117E56"/>
    <w:rsid w:val="00117FA2"/>
    <w:rsid w:val="0012014C"/>
    <w:rsid w:val="0012025C"/>
    <w:rsid w:val="00120271"/>
    <w:rsid w:val="00120277"/>
    <w:rsid w:val="00120374"/>
    <w:rsid w:val="001204A8"/>
    <w:rsid w:val="001205F3"/>
    <w:rsid w:val="0012076B"/>
    <w:rsid w:val="00120991"/>
    <w:rsid w:val="001209F9"/>
    <w:rsid w:val="00121089"/>
    <w:rsid w:val="00121251"/>
    <w:rsid w:val="001219E2"/>
    <w:rsid w:val="001219EE"/>
    <w:rsid w:val="00121ADD"/>
    <w:rsid w:val="00121AF9"/>
    <w:rsid w:val="00121BE2"/>
    <w:rsid w:val="00121D14"/>
    <w:rsid w:val="00121EB0"/>
    <w:rsid w:val="00121F47"/>
    <w:rsid w:val="001221A3"/>
    <w:rsid w:val="001223B0"/>
    <w:rsid w:val="0012270D"/>
    <w:rsid w:val="00122ACA"/>
    <w:rsid w:val="00122B79"/>
    <w:rsid w:val="00122BAB"/>
    <w:rsid w:val="00122C6D"/>
    <w:rsid w:val="00122C7E"/>
    <w:rsid w:val="00122F33"/>
    <w:rsid w:val="00122FE2"/>
    <w:rsid w:val="0012352B"/>
    <w:rsid w:val="00123651"/>
    <w:rsid w:val="001238AC"/>
    <w:rsid w:val="00123C91"/>
    <w:rsid w:val="00123E28"/>
    <w:rsid w:val="00123EEB"/>
    <w:rsid w:val="00123F0A"/>
    <w:rsid w:val="00124084"/>
    <w:rsid w:val="001240F9"/>
    <w:rsid w:val="0012430E"/>
    <w:rsid w:val="001244D0"/>
    <w:rsid w:val="001244E4"/>
    <w:rsid w:val="0012451C"/>
    <w:rsid w:val="001245E6"/>
    <w:rsid w:val="00124668"/>
    <w:rsid w:val="00124800"/>
    <w:rsid w:val="001248C8"/>
    <w:rsid w:val="00124975"/>
    <w:rsid w:val="00124D52"/>
    <w:rsid w:val="00124E10"/>
    <w:rsid w:val="00124EB5"/>
    <w:rsid w:val="00125435"/>
    <w:rsid w:val="001254E9"/>
    <w:rsid w:val="001255D9"/>
    <w:rsid w:val="00125641"/>
    <w:rsid w:val="00125954"/>
    <w:rsid w:val="00125975"/>
    <w:rsid w:val="00125A3B"/>
    <w:rsid w:val="00125A71"/>
    <w:rsid w:val="00125B5F"/>
    <w:rsid w:val="00125EF7"/>
    <w:rsid w:val="00125F8C"/>
    <w:rsid w:val="00125FFC"/>
    <w:rsid w:val="001264B9"/>
    <w:rsid w:val="0012655A"/>
    <w:rsid w:val="001266B0"/>
    <w:rsid w:val="001269F2"/>
    <w:rsid w:val="00126A00"/>
    <w:rsid w:val="00126AC4"/>
    <w:rsid w:val="00126D5E"/>
    <w:rsid w:val="00126ED7"/>
    <w:rsid w:val="0012767B"/>
    <w:rsid w:val="00127915"/>
    <w:rsid w:val="00127A84"/>
    <w:rsid w:val="00127F88"/>
    <w:rsid w:val="001302E4"/>
    <w:rsid w:val="00130481"/>
    <w:rsid w:val="00130689"/>
    <w:rsid w:val="00130AE5"/>
    <w:rsid w:val="00130C17"/>
    <w:rsid w:val="00130DB5"/>
    <w:rsid w:val="00130F2E"/>
    <w:rsid w:val="00130F91"/>
    <w:rsid w:val="00131459"/>
    <w:rsid w:val="0013148E"/>
    <w:rsid w:val="001316D9"/>
    <w:rsid w:val="00131A02"/>
    <w:rsid w:val="00131A4D"/>
    <w:rsid w:val="00131B95"/>
    <w:rsid w:val="00131D87"/>
    <w:rsid w:val="00131F16"/>
    <w:rsid w:val="00131F32"/>
    <w:rsid w:val="00132075"/>
    <w:rsid w:val="00132167"/>
    <w:rsid w:val="0013258B"/>
    <w:rsid w:val="00132965"/>
    <w:rsid w:val="00132CB6"/>
    <w:rsid w:val="00132D42"/>
    <w:rsid w:val="00132D45"/>
    <w:rsid w:val="00132FB7"/>
    <w:rsid w:val="0013308A"/>
    <w:rsid w:val="0013320C"/>
    <w:rsid w:val="00133250"/>
    <w:rsid w:val="0013352F"/>
    <w:rsid w:val="001335CF"/>
    <w:rsid w:val="001338E0"/>
    <w:rsid w:val="00133A17"/>
    <w:rsid w:val="00133BE0"/>
    <w:rsid w:val="00133C4D"/>
    <w:rsid w:val="00133DB5"/>
    <w:rsid w:val="00133E16"/>
    <w:rsid w:val="00133E40"/>
    <w:rsid w:val="00133F03"/>
    <w:rsid w:val="001340C1"/>
    <w:rsid w:val="00134130"/>
    <w:rsid w:val="001341DF"/>
    <w:rsid w:val="0013421A"/>
    <w:rsid w:val="00134298"/>
    <w:rsid w:val="001346BF"/>
    <w:rsid w:val="00134821"/>
    <w:rsid w:val="0013487E"/>
    <w:rsid w:val="0013495C"/>
    <w:rsid w:val="00134ABB"/>
    <w:rsid w:val="00134CA0"/>
    <w:rsid w:val="00134F49"/>
    <w:rsid w:val="00134F9B"/>
    <w:rsid w:val="00134FEF"/>
    <w:rsid w:val="001352BF"/>
    <w:rsid w:val="00135581"/>
    <w:rsid w:val="001356C3"/>
    <w:rsid w:val="001357F6"/>
    <w:rsid w:val="00135A86"/>
    <w:rsid w:val="00135B50"/>
    <w:rsid w:val="00135B88"/>
    <w:rsid w:val="00135BE4"/>
    <w:rsid w:val="00135CB2"/>
    <w:rsid w:val="00135DE5"/>
    <w:rsid w:val="00135ECC"/>
    <w:rsid w:val="001367C1"/>
    <w:rsid w:val="00136813"/>
    <w:rsid w:val="00136981"/>
    <w:rsid w:val="00136997"/>
    <w:rsid w:val="00136D00"/>
    <w:rsid w:val="0013712B"/>
    <w:rsid w:val="0013726F"/>
    <w:rsid w:val="0013749D"/>
    <w:rsid w:val="00137555"/>
    <w:rsid w:val="001375CA"/>
    <w:rsid w:val="00137748"/>
    <w:rsid w:val="001379D9"/>
    <w:rsid w:val="00137A59"/>
    <w:rsid w:val="00137E2E"/>
    <w:rsid w:val="0014016B"/>
    <w:rsid w:val="001405DA"/>
    <w:rsid w:val="00140609"/>
    <w:rsid w:val="00140627"/>
    <w:rsid w:val="00140923"/>
    <w:rsid w:val="001409DC"/>
    <w:rsid w:val="00140A69"/>
    <w:rsid w:val="00140EAE"/>
    <w:rsid w:val="00140EE1"/>
    <w:rsid w:val="00141145"/>
    <w:rsid w:val="00141235"/>
    <w:rsid w:val="001413F6"/>
    <w:rsid w:val="00141461"/>
    <w:rsid w:val="00141847"/>
    <w:rsid w:val="00141B25"/>
    <w:rsid w:val="00141EC4"/>
    <w:rsid w:val="00142000"/>
    <w:rsid w:val="00142276"/>
    <w:rsid w:val="0014247A"/>
    <w:rsid w:val="001426BE"/>
    <w:rsid w:val="0014272B"/>
    <w:rsid w:val="001427C0"/>
    <w:rsid w:val="00142B12"/>
    <w:rsid w:val="00142BA0"/>
    <w:rsid w:val="00142D36"/>
    <w:rsid w:val="00142DCB"/>
    <w:rsid w:val="00142F59"/>
    <w:rsid w:val="0014308A"/>
    <w:rsid w:val="00143294"/>
    <w:rsid w:val="001432E4"/>
    <w:rsid w:val="0014394D"/>
    <w:rsid w:val="00143C91"/>
    <w:rsid w:val="00143FB5"/>
    <w:rsid w:val="001440F7"/>
    <w:rsid w:val="00144197"/>
    <w:rsid w:val="001446F6"/>
    <w:rsid w:val="001447D8"/>
    <w:rsid w:val="001451B6"/>
    <w:rsid w:val="0014520A"/>
    <w:rsid w:val="00145234"/>
    <w:rsid w:val="00145240"/>
    <w:rsid w:val="001455D0"/>
    <w:rsid w:val="001459C9"/>
    <w:rsid w:val="00145C67"/>
    <w:rsid w:val="00145DD6"/>
    <w:rsid w:val="001462BB"/>
    <w:rsid w:val="00146318"/>
    <w:rsid w:val="001463D4"/>
    <w:rsid w:val="00146450"/>
    <w:rsid w:val="001464DB"/>
    <w:rsid w:val="00146537"/>
    <w:rsid w:val="00146692"/>
    <w:rsid w:val="001466FE"/>
    <w:rsid w:val="001467AC"/>
    <w:rsid w:val="001467EF"/>
    <w:rsid w:val="00146808"/>
    <w:rsid w:val="00146CB6"/>
    <w:rsid w:val="00146D46"/>
    <w:rsid w:val="001471BF"/>
    <w:rsid w:val="00147365"/>
    <w:rsid w:val="00147383"/>
    <w:rsid w:val="001473DA"/>
    <w:rsid w:val="001475CD"/>
    <w:rsid w:val="00147878"/>
    <w:rsid w:val="00147D0F"/>
    <w:rsid w:val="00147ED2"/>
    <w:rsid w:val="00150024"/>
    <w:rsid w:val="00150487"/>
    <w:rsid w:val="001504B5"/>
    <w:rsid w:val="001504B6"/>
    <w:rsid w:val="0015060E"/>
    <w:rsid w:val="0015087B"/>
    <w:rsid w:val="0015092F"/>
    <w:rsid w:val="00151026"/>
    <w:rsid w:val="00151303"/>
    <w:rsid w:val="00151459"/>
    <w:rsid w:val="00151687"/>
    <w:rsid w:val="00151B3E"/>
    <w:rsid w:val="00151BBF"/>
    <w:rsid w:val="00151CD2"/>
    <w:rsid w:val="00151D8C"/>
    <w:rsid w:val="00151DD3"/>
    <w:rsid w:val="00151E36"/>
    <w:rsid w:val="00151F58"/>
    <w:rsid w:val="00151F6E"/>
    <w:rsid w:val="00152160"/>
    <w:rsid w:val="001521DE"/>
    <w:rsid w:val="00152271"/>
    <w:rsid w:val="001524A1"/>
    <w:rsid w:val="00152660"/>
    <w:rsid w:val="001526E6"/>
    <w:rsid w:val="0015294C"/>
    <w:rsid w:val="00152A29"/>
    <w:rsid w:val="00152B8D"/>
    <w:rsid w:val="00152E5F"/>
    <w:rsid w:val="00152EA8"/>
    <w:rsid w:val="00153696"/>
    <w:rsid w:val="001537F1"/>
    <w:rsid w:val="0015385C"/>
    <w:rsid w:val="00153C49"/>
    <w:rsid w:val="00153D2D"/>
    <w:rsid w:val="00153DDD"/>
    <w:rsid w:val="00154307"/>
    <w:rsid w:val="001543C9"/>
    <w:rsid w:val="00154481"/>
    <w:rsid w:val="00154803"/>
    <w:rsid w:val="00154964"/>
    <w:rsid w:val="00154FD7"/>
    <w:rsid w:val="00154FE6"/>
    <w:rsid w:val="001550C4"/>
    <w:rsid w:val="001555D2"/>
    <w:rsid w:val="0015579A"/>
    <w:rsid w:val="0015581B"/>
    <w:rsid w:val="0015581C"/>
    <w:rsid w:val="001559D5"/>
    <w:rsid w:val="00155B80"/>
    <w:rsid w:val="00155D4B"/>
    <w:rsid w:val="00156298"/>
    <w:rsid w:val="001562C4"/>
    <w:rsid w:val="001564CF"/>
    <w:rsid w:val="00156811"/>
    <w:rsid w:val="001569EE"/>
    <w:rsid w:val="00156B9F"/>
    <w:rsid w:val="00156BF8"/>
    <w:rsid w:val="00156F7E"/>
    <w:rsid w:val="0015708E"/>
    <w:rsid w:val="00157769"/>
    <w:rsid w:val="00157978"/>
    <w:rsid w:val="00157AA6"/>
    <w:rsid w:val="00157C5D"/>
    <w:rsid w:val="001603AD"/>
    <w:rsid w:val="00160574"/>
    <w:rsid w:val="001607E3"/>
    <w:rsid w:val="00160D18"/>
    <w:rsid w:val="00161590"/>
    <w:rsid w:val="001615B2"/>
    <w:rsid w:val="001615D6"/>
    <w:rsid w:val="00161776"/>
    <w:rsid w:val="00161B2C"/>
    <w:rsid w:val="00161CED"/>
    <w:rsid w:val="00161F0B"/>
    <w:rsid w:val="00161F35"/>
    <w:rsid w:val="00161F56"/>
    <w:rsid w:val="00162369"/>
    <w:rsid w:val="00162427"/>
    <w:rsid w:val="001625E5"/>
    <w:rsid w:val="0016273B"/>
    <w:rsid w:val="00162AA6"/>
    <w:rsid w:val="00162D91"/>
    <w:rsid w:val="00162DC0"/>
    <w:rsid w:val="001630F7"/>
    <w:rsid w:val="001631AC"/>
    <w:rsid w:val="001632DA"/>
    <w:rsid w:val="00163435"/>
    <w:rsid w:val="0016388F"/>
    <w:rsid w:val="00163B9E"/>
    <w:rsid w:val="00163E1C"/>
    <w:rsid w:val="00164408"/>
    <w:rsid w:val="00164554"/>
    <w:rsid w:val="001646D3"/>
    <w:rsid w:val="00164995"/>
    <w:rsid w:val="00164CA3"/>
    <w:rsid w:val="00164F74"/>
    <w:rsid w:val="001654DA"/>
    <w:rsid w:val="001656B9"/>
    <w:rsid w:val="0016585D"/>
    <w:rsid w:val="001658B2"/>
    <w:rsid w:val="001659AD"/>
    <w:rsid w:val="00165CBA"/>
    <w:rsid w:val="00165D51"/>
    <w:rsid w:val="00165DF8"/>
    <w:rsid w:val="00165F02"/>
    <w:rsid w:val="0016636E"/>
    <w:rsid w:val="001663E0"/>
    <w:rsid w:val="001664D4"/>
    <w:rsid w:val="00166552"/>
    <w:rsid w:val="0016656D"/>
    <w:rsid w:val="00166BA0"/>
    <w:rsid w:val="00166C83"/>
    <w:rsid w:val="00166C98"/>
    <w:rsid w:val="00167317"/>
    <w:rsid w:val="001676E2"/>
    <w:rsid w:val="001677B0"/>
    <w:rsid w:val="0016789C"/>
    <w:rsid w:val="00167A6A"/>
    <w:rsid w:val="00170246"/>
    <w:rsid w:val="00170254"/>
    <w:rsid w:val="001702B3"/>
    <w:rsid w:val="0017032E"/>
    <w:rsid w:val="0017053E"/>
    <w:rsid w:val="00170582"/>
    <w:rsid w:val="00170628"/>
    <w:rsid w:val="00170741"/>
    <w:rsid w:val="0017075C"/>
    <w:rsid w:val="001707C5"/>
    <w:rsid w:val="00170841"/>
    <w:rsid w:val="001708C3"/>
    <w:rsid w:val="00170D7C"/>
    <w:rsid w:val="001711CF"/>
    <w:rsid w:val="0017159A"/>
    <w:rsid w:val="001719F2"/>
    <w:rsid w:val="00171F77"/>
    <w:rsid w:val="00171FDB"/>
    <w:rsid w:val="00172002"/>
    <w:rsid w:val="001720CD"/>
    <w:rsid w:val="001720D8"/>
    <w:rsid w:val="0017218E"/>
    <w:rsid w:val="001723EC"/>
    <w:rsid w:val="0017280A"/>
    <w:rsid w:val="001728C0"/>
    <w:rsid w:val="00172B18"/>
    <w:rsid w:val="00172B56"/>
    <w:rsid w:val="00172E07"/>
    <w:rsid w:val="00172E74"/>
    <w:rsid w:val="00172F30"/>
    <w:rsid w:val="00172F74"/>
    <w:rsid w:val="00172FDB"/>
    <w:rsid w:val="00173168"/>
    <w:rsid w:val="001736AC"/>
    <w:rsid w:val="00173770"/>
    <w:rsid w:val="001737F9"/>
    <w:rsid w:val="00173991"/>
    <w:rsid w:val="00173A5A"/>
    <w:rsid w:val="00173B14"/>
    <w:rsid w:val="00173C3C"/>
    <w:rsid w:val="00173C50"/>
    <w:rsid w:val="00173C51"/>
    <w:rsid w:val="00173EC4"/>
    <w:rsid w:val="001740A1"/>
    <w:rsid w:val="001741E7"/>
    <w:rsid w:val="001743E8"/>
    <w:rsid w:val="00174438"/>
    <w:rsid w:val="0017452B"/>
    <w:rsid w:val="00174A51"/>
    <w:rsid w:val="00174D8D"/>
    <w:rsid w:val="00174E85"/>
    <w:rsid w:val="0017508C"/>
    <w:rsid w:val="001754CA"/>
    <w:rsid w:val="001755E3"/>
    <w:rsid w:val="001756E5"/>
    <w:rsid w:val="00175956"/>
    <w:rsid w:val="00175A15"/>
    <w:rsid w:val="00175EDF"/>
    <w:rsid w:val="001762A0"/>
    <w:rsid w:val="001763FF"/>
    <w:rsid w:val="001765DD"/>
    <w:rsid w:val="001768E2"/>
    <w:rsid w:val="00176AF6"/>
    <w:rsid w:val="00176F7B"/>
    <w:rsid w:val="001772FB"/>
    <w:rsid w:val="00177713"/>
    <w:rsid w:val="00177A80"/>
    <w:rsid w:val="00177ACB"/>
    <w:rsid w:val="00177D35"/>
    <w:rsid w:val="00177DB6"/>
    <w:rsid w:val="00177ECD"/>
    <w:rsid w:val="00177F72"/>
    <w:rsid w:val="001801A7"/>
    <w:rsid w:val="001805DF"/>
    <w:rsid w:val="00180854"/>
    <w:rsid w:val="00180DC4"/>
    <w:rsid w:val="00180DFE"/>
    <w:rsid w:val="00181093"/>
    <w:rsid w:val="001810E8"/>
    <w:rsid w:val="00181282"/>
    <w:rsid w:val="001812CE"/>
    <w:rsid w:val="001814A8"/>
    <w:rsid w:val="00181646"/>
    <w:rsid w:val="001816BC"/>
    <w:rsid w:val="001816C0"/>
    <w:rsid w:val="001817B4"/>
    <w:rsid w:val="00181A92"/>
    <w:rsid w:val="00181BC4"/>
    <w:rsid w:val="00181EF3"/>
    <w:rsid w:val="00181FB9"/>
    <w:rsid w:val="001821F4"/>
    <w:rsid w:val="00182363"/>
    <w:rsid w:val="001823A0"/>
    <w:rsid w:val="00182901"/>
    <w:rsid w:val="00182DF3"/>
    <w:rsid w:val="00182E12"/>
    <w:rsid w:val="00182FF8"/>
    <w:rsid w:val="0018302E"/>
    <w:rsid w:val="00183196"/>
    <w:rsid w:val="001832F6"/>
    <w:rsid w:val="001836A8"/>
    <w:rsid w:val="001837A3"/>
    <w:rsid w:val="00183DC8"/>
    <w:rsid w:val="00183DE8"/>
    <w:rsid w:val="00183F7F"/>
    <w:rsid w:val="00183FA1"/>
    <w:rsid w:val="001847E8"/>
    <w:rsid w:val="001848D8"/>
    <w:rsid w:val="00184947"/>
    <w:rsid w:val="00184A50"/>
    <w:rsid w:val="00184A8F"/>
    <w:rsid w:val="00184AF1"/>
    <w:rsid w:val="00184DF5"/>
    <w:rsid w:val="00184EF2"/>
    <w:rsid w:val="00184F8B"/>
    <w:rsid w:val="00184FBE"/>
    <w:rsid w:val="00185250"/>
    <w:rsid w:val="0018559D"/>
    <w:rsid w:val="001856AE"/>
    <w:rsid w:val="00185B4E"/>
    <w:rsid w:val="00185B4F"/>
    <w:rsid w:val="00185C78"/>
    <w:rsid w:val="00185CD8"/>
    <w:rsid w:val="00185D0D"/>
    <w:rsid w:val="00185E22"/>
    <w:rsid w:val="00185FCC"/>
    <w:rsid w:val="001860D2"/>
    <w:rsid w:val="00186300"/>
    <w:rsid w:val="00186400"/>
    <w:rsid w:val="00186606"/>
    <w:rsid w:val="0018678A"/>
    <w:rsid w:val="00186890"/>
    <w:rsid w:val="0018690D"/>
    <w:rsid w:val="00186A3B"/>
    <w:rsid w:val="00186AA2"/>
    <w:rsid w:val="00186E28"/>
    <w:rsid w:val="00186E8C"/>
    <w:rsid w:val="00186EA9"/>
    <w:rsid w:val="00186FF4"/>
    <w:rsid w:val="00187000"/>
    <w:rsid w:val="00187130"/>
    <w:rsid w:val="0018738F"/>
    <w:rsid w:val="00187432"/>
    <w:rsid w:val="00187459"/>
    <w:rsid w:val="00187501"/>
    <w:rsid w:val="00187854"/>
    <w:rsid w:val="00187862"/>
    <w:rsid w:val="00187B0D"/>
    <w:rsid w:val="00187B43"/>
    <w:rsid w:val="00187DD5"/>
    <w:rsid w:val="0019005A"/>
    <w:rsid w:val="001901D9"/>
    <w:rsid w:val="00190307"/>
    <w:rsid w:val="001904D4"/>
    <w:rsid w:val="0019067A"/>
    <w:rsid w:val="001906E7"/>
    <w:rsid w:val="00190BA1"/>
    <w:rsid w:val="00190C46"/>
    <w:rsid w:val="00190D02"/>
    <w:rsid w:val="00190D12"/>
    <w:rsid w:val="00190D92"/>
    <w:rsid w:val="00190F7E"/>
    <w:rsid w:val="00191112"/>
    <w:rsid w:val="00191328"/>
    <w:rsid w:val="001913D0"/>
    <w:rsid w:val="0019153D"/>
    <w:rsid w:val="00191880"/>
    <w:rsid w:val="00191C49"/>
    <w:rsid w:val="00191E6F"/>
    <w:rsid w:val="00191FFD"/>
    <w:rsid w:val="00192661"/>
    <w:rsid w:val="001926CF"/>
    <w:rsid w:val="00192A5D"/>
    <w:rsid w:val="00192C2D"/>
    <w:rsid w:val="00192E53"/>
    <w:rsid w:val="0019324B"/>
    <w:rsid w:val="00193AF6"/>
    <w:rsid w:val="00193B3A"/>
    <w:rsid w:val="00193D45"/>
    <w:rsid w:val="00193F09"/>
    <w:rsid w:val="00194337"/>
    <w:rsid w:val="001946E1"/>
    <w:rsid w:val="001949CE"/>
    <w:rsid w:val="00194B7F"/>
    <w:rsid w:val="00194B86"/>
    <w:rsid w:val="00194C8C"/>
    <w:rsid w:val="00194E7E"/>
    <w:rsid w:val="00194EE3"/>
    <w:rsid w:val="0019500A"/>
    <w:rsid w:val="0019591B"/>
    <w:rsid w:val="00195973"/>
    <w:rsid w:val="00195AA0"/>
    <w:rsid w:val="00195BB6"/>
    <w:rsid w:val="00195D31"/>
    <w:rsid w:val="00195EA8"/>
    <w:rsid w:val="00196086"/>
    <w:rsid w:val="001960AD"/>
    <w:rsid w:val="001967DB"/>
    <w:rsid w:val="001968A5"/>
    <w:rsid w:val="00196ACF"/>
    <w:rsid w:val="00196CF5"/>
    <w:rsid w:val="00197190"/>
    <w:rsid w:val="001972ED"/>
    <w:rsid w:val="0019740B"/>
    <w:rsid w:val="001975D3"/>
    <w:rsid w:val="00197858"/>
    <w:rsid w:val="00197C6E"/>
    <w:rsid w:val="00197C73"/>
    <w:rsid w:val="00197D6D"/>
    <w:rsid w:val="00197DC2"/>
    <w:rsid w:val="00197F80"/>
    <w:rsid w:val="001A0042"/>
    <w:rsid w:val="001A05E5"/>
    <w:rsid w:val="001A06D5"/>
    <w:rsid w:val="001A074F"/>
    <w:rsid w:val="001A0858"/>
    <w:rsid w:val="001A0B9B"/>
    <w:rsid w:val="001A0C46"/>
    <w:rsid w:val="001A0CB4"/>
    <w:rsid w:val="001A0CEF"/>
    <w:rsid w:val="001A0F89"/>
    <w:rsid w:val="001A0FD3"/>
    <w:rsid w:val="001A10D8"/>
    <w:rsid w:val="001A1177"/>
    <w:rsid w:val="001A1274"/>
    <w:rsid w:val="001A150E"/>
    <w:rsid w:val="001A15A7"/>
    <w:rsid w:val="001A1804"/>
    <w:rsid w:val="001A18F7"/>
    <w:rsid w:val="001A1F8D"/>
    <w:rsid w:val="001A22D6"/>
    <w:rsid w:val="001A255A"/>
    <w:rsid w:val="001A2610"/>
    <w:rsid w:val="001A263D"/>
    <w:rsid w:val="001A291C"/>
    <w:rsid w:val="001A2B4C"/>
    <w:rsid w:val="001A2B57"/>
    <w:rsid w:val="001A2B61"/>
    <w:rsid w:val="001A2C52"/>
    <w:rsid w:val="001A32BE"/>
    <w:rsid w:val="001A3313"/>
    <w:rsid w:val="001A36EB"/>
    <w:rsid w:val="001A3B7D"/>
    <w:rsid w:val="001A3B7F"/>
    <w:rsid w:val="001A4138"/>
    <w:rsid w:val="001A4166"/>
    <w:rsid w:val="001A4276"/>
    <w:rsid w:val="001A47C6"/>
    <w:rsid w:val="001A4860"/>
    <w:rsid w:val="001A4A2D"/>
    <w:rsid w:val="001A4C03"/>
    <w:rsid w:val="001A4C83"/>
    <w:rsid w:val="001A4CC9"/>
    <w:rsid w:val="001A4DA6"/>
    <w:rsid w:val="001A4DC4"/>
    <w:rsid w:val="001A4EC6"/>
    <w:rsid w:val="001A4F39"/>
    <w:rsid w:val="001A4F72"/>
    <w:rsid w:val="001A4F7A"/>
    <w:rsid w:val="001A4FDC"/>
    <w:rsid w:val="001A509C"/>
    <w:rsid w:val="001A510F"/>
    <w:rsid w:val="001A537B"/>
    <w:rsid w:val="001A53B3"/>
    <w:rsid w:val="001A5451"/>
    <w:rsid w:val="001A57B0"/>
    <w:rsid w:val="001A5839"/>
    <w:rsid w:val="001A5850"/>
    <w:rsid w:val="001A5896"/>
    <w:rsid w:val="001A5903"/>
    <w:rsid w:val="001A5B44"/>
    <w:rsid w:val="001A5D0F"/>
    <w:rsid w:val="001A5D49"/>
    <w:rsid w:val="001A5F51"/>
    <w:rsid w:val="001A62BB"/>
    <w:rsid w:val="001A62CD"/>
    <w:rsid w:val="001A6470"/>
    <w:rsid w:val="001A6817"/>
    <w:rsid w:val="001A6BE5"/>
    <w:rsid w:val="001A7252"/>
    <w:rsid w:val="001A72CC"/>
    <w:rsid w:val="001A7545"/>
    <w:rsid w:val="001A7634"/>
    <w:rsid w:val="001A7727"/>
    <w:rsid w:val="001A77C2"/>
    <w:rsid w:val="001A77E6"/>
    <w:rsid w:val="001A7910"/>
    <w:rsid w:val="001A7BA3"/>
    <w:rsid w:val="001B00E5"/>
    <w:rsid w:val="001B0132"/>
    <w:rsid w:val="001B037E"/>
    <w:rsid w:val="001B0556"/>
    <w:rsid w:val="001B07BC"/>
    <w:rsid w:val="001B0C4C"/>
    <w:rsid w:val="001B0CAD"/>
    <w:rsid w:val="001B0FA4"/>
    <w:rsid w:val="001B104D"/>
    <w:rsid w:val="001B1075"/>
    <w:rsid w:val="001B1465"/>
    <w:rsid w:val="001B162A"/>
    <w:rsid w:val="001B165B"/>
    <w:rsid w:val="001B16A0"/>
    <w:rsid w:val="001B16D3"/>
    <w:rsid w:val="001B17CD"/>
    <w:rsid w:val="001B19D1"/>
    <w:rsid w:val="001B1D54"/>
    <w:rsid w:val="001B1DCB"/>
    <w:rsid w:val="001B1EDE"/>
    <w:rsid w:val="001B2193"/>
    <w:rsid w:val="001B2310"/>
    <w:rsid w:val="001B2A16"/>
    <w:rsid w:val="001B2E41"/>
    <w:rsid w:val="001B2E91"/>
    <w:rsid w:val="001B2F22"/>
    <w:rsid w:val="001B2F88"/>
    <w:rsid w:val="001B2FE5"/>
    <w:rsid w:val="001B3266"/>
    <w:rsid w:val="001B33BE"/>
    <w:rsid w:val="001B3577"/>
    <w:rsid w:val="001B37FC"/>
    <w:rsid w:val="001B3A00"/>
    <w:rsid w:val="001B3B29"/>
    <w:rsid w:val="001B3BF0"/>
    <w:rsid w:val="001B3BFC"/>
    <w:rsid w:val="001B40E0"/>
    <w:rsid w:val="001B4401"/>
    <w:rsid w:val="001B44BD"/>
    <w:rsid w:val="001B4949"/>
    <w:rsid w:val="001B4972"/>
    <w:rsid w:val="001B4B3E"/>
    <w:rsid w:val="001B4CFB"/>
    <w:rsid w:val="001B4EE6"/>
    <w:rsid w:val="001B53C4"/>
    <w:rsid w:val="001B5418"/>
    <w:rsid w:val="001B569C"/>
    <w:rsid w:val="001B56B7"/>
    <w:rsid w:val="001B5941"/>
    <w:rsid w:val="001B5947"/>
    <w:rsid w:val="001B5B1D"/>
    <w:rsid w:val="001B60BE"/>
    <w:rsid w:val="001B6883"/>
    <w:rsid w:val="001B6CE2"/>
    <w:rsid w:val="001B6FE7"/>
    <w:rsid w:val="001B736B"/>
    <w:rsid w:val="001B74B3"/>
    <w:rsid w:val="001B74CA"/>
    <w:rsid w:val="001B7669"/>
    <w:rsid w:val="001B76D6"/>
    <w:rsid w:val="001B795A"/>
    <w:rsid w:val="001B7960"/>
    <w:rsid w:val="001B7A51"/>
    <w:rsid w:val="001B7E5A"/>
    <w:rsid w:val="001B7EEE"/>
    <w:rsid w:val="001C0004"/>
    <w:rsid w:val="001C0040"/>
    <w:rsid w:val="001C0115"/>
    <w:rsid w:val="001C039E"/>
    <w:rsid w:val="001C0500"/>
    <w:rsid w:val="001C0889"/>
    <w:rsid w:val="001C089A"/>
    <w:rsid w:val="001C08EA"/>
    <w:rsid w:val="001C0A53"/>
    <w:rsid w:val="001C0B6C"/>
    <w:rsid w:val="001C0CAB"/>
    <w:rsid w:val="001C0E33"/>
    <w:rsid w:val="001C0F8E"/>
    <w:rsid w:val="001C0FB7"/>
    <w:rsid w:val="001C104A"/>
    <w:rsid w:val="001C114F"/>
    <w:rsid w:val="001C1225"/>
    <w:rsid w:val="001C1422"/>
    <w:rsid w:val="001C1561"/>
    <w:rsid w:val="001C165A"/>
    <w:rsid w:val="001C1A7F"/>
    <w:rsid w:val="001C1ABF"/>
    <w:rsid w:val="001C1BA1"/>
    <w:rsid w:val="001C1E0A"/>
    <w:rsid w:val="001C2080"/>
    <w:rsid w:val="001C23B4"/>
    <w:rsid w:val="001C2442"/>
    <w:rsid w:val="001C246C"/>
    <w:rsid w:val="001C25F4"/>
    <w:rsid w:val="001C2CB1"/>
    <w:rsid w:val="001C2DE2"/>
    <w:rsid w:val="001C2E1A"/>
    <w:rsid w:val="001C2EC7"/>
    <w:rsid w:val="001C2F8E"/>
    <w:rsid w:val="001C3322"/>
    <w:rsid w:val="001C363F"/>
    <w:rsid w:val="001C366F"/>
    <w:rsid w:val="001C3717"/>
    <w:rsid w:val="001C381B"/>
    <w:rsid w:val="001C3BD3"/>
    <w:rsid w:val="001C3E74"/>
    <w:rsid w:val="001C3F7A"/>
    <w:rsid w:val="001C4102"/>
    <w:rsid w:val="001C420D"/>
    <w:rsid w:val="001C4470"/>
    <w:rsid w:val="001C44A7"/>
    <w:rsid w:val="001C4848"/>
    <w:rsid w:val="001C4A33"/>
    <w:rsid w:val="001C4DF5"/>
    <w:rsid w:val="001C4FC1"/>
    <w:rsid w:val="001C5044"/>
    <w:rsid w:val="001C517A"/>
    <w:rsid w:val="001C558D"/>
    <w:rsid w:val="001C568A"/>
    <w:rsid w:val="001C58DC"/>
    <w:rsid w:val="001C5CCF"/>
    <w:rsid w:val="001C609A"/>
    <w:rsid w:val="001C6610"/>
    <w:rsid w:val="001C681E"/>
    <w:rsid w:val="001C6C44"/>
    <w:rsid w:val="001C6CA7"/>
    <w:rsid w:val="001C6D47"/>
    <w:rsid w:val="001C6DDC"/>
    <w:rsid w:val="001C706E"/>
    <w:rsid w:val="001C70B9"/>
    <w:rsid w:val="001C713C"/>
    <w:rsid w:val="001C71BC"/>
    <w:rsid w:val="001C73C4"/>
    <w:rsid w:val="001C745E"/>
    <w:rsid w:val="001C74B2"/>
    <w:rsid w:val="001C765D"/>
    <w:rsid w:val="001C76B9"/>
    <w:rsid w:val="001C7998"/>
    <w:rsid w:val="001C7A33"/>
    <w:rsid w:val="001C7A63"/>
    <w:rsid w:val="001C7AC4"/>
    <w:rsid w:val="001C7B67"/>
    <w:rsid w:val="001C7BD8"/>
    <w:rsid w:val="001C7FB3"/>
    <w:rsid w:val="001D062D"/>
    <w:rsid w:val="001D0966"/>
    <w:rsid w:val="001D0AE5"/>
    <w:rsid w:val="001D0CE6"/>
    <w:rsid w:val="001D0EAD"/>
    <w:rsid w:val="001D0FEE"/>
    <w:rsid w:val="001D1082"/>
    <w:rsid w:val="001D11C7"/>
    <w:rsid w:val="001D127B"/>
    <w:rsid w:val="001D156B"/>
    <w:rsid w:val="001D1A1A"/>
    <w:rsid w:val="001D1E3D"/>
    <w:rsid w:val="001D1F7E"/>
    <w:rsid w:val="001D24B7"/>
    <w:rsid w:val="001D2D24"/>
    <w:rsid w:val="001D302B"/>
    <w:rsid w:val="001D3042"/>
    <w:rsid w:val="001D308A"/>
    <w:rsid w:val="001D3364"/>
    <w:rsid w:val="001D3731"/>
    <w:rsid w:val="001D37CE"/>
    <w:rsid w:val="001D38E2"/>
    <w:rsid w:val="001D3A9D"/>
    <w:rsid w:val="001D3AD9"/>
    <w:rsid w:val="001D3DA8"/>
    <w:rsid w:val="001D3EB6"/>
    <w:rsid w:val="001D4093"/>
    <w:rsid w:val="001D4193"/>
    <w:rsid w:val="001D486A"/>
    <w:rsid w:val="001D48A9"/>
    <w:rsid w:val="001D4A99"/>
    <w:rsid w:val="001D4EBD"/>
    <w:rsid w:val="001D5171"/>
    <w:rsid w:val="001D52AA"/>
    <w:rsid w:val="001D534D"/>
    <w:rsid w:val="001D5395"/>
    <w:rsid w:val="001D546C"/>
    <w:rsid w:val="001D5CB7"/>
    <w:rsid w:val="001D5D70"/>
    <w:rsid w:val="001D6327"/>
    <w:rsid w:val="001D641F"/>
    <w:rsid w:val="001D64DD"/>
    <w:rsid w:val="001D674D"/>
    <w:rsid w:val="001D67A2"/>
    <w:rsid w:val="001D6818"/>
    <w:rsid w:val="001D68F3"/>
    <w:rsid w:val="001D6D60"/>
    <w:rsid w:val="001D6D9A"/>
    <w:rsid w:val="001D6E37"/>
    <w:rsid w:val="001D6ECF"/>
    <w:rsid w:val="001D6F02"/>
    <w:rsid w:val="001D6FDE"/>
    <w:rsid w:val="001D7286"/>
    <w:rsid w:val="001D729D"/>
    <w:rsid w:val="001D732A"/>
    <w:rsid w:val="001D732C"/>
    <w:rsid w:val="001D734A"/>
    <w:rsid w:val="001D7424"/>
    <w:rsid w:val="001D762B"/>
    <w:rsid w:val="001D7812"/>
    <w:rsid w:val="001D7B31"/>
    <w:rsid w:val="001D7D57"/>
    <w:rsid w:val="001D7D74"/>
    <w:rsid w:val="001D7DBB"/>
    <w:rsid w:val="001E05C0"/>
    <w:rsid w:val="001E0766"/>
    <w:rsid w:val="001E095B"/>
    <w:rsid w:val="001E0A50"/>
    <w:rsid w:val="001E0A73"/>
    <w:rsid w:val="001E0B19"/>
    <w:rsid w:val="001E0D54"/>
    <w:rsid w:val="001E0F49"/>
    <w:rsid w:val="001E0FDE"/>
    <w:rsid w:val="001E1071"/>
    <w:rsid w:val="001E15C1"/>
    <w:rsid w:val="001E19A6"/>
    <w:rsid w:val="001E1E33"/>
    <w:rsid w:val="001E1EFA"/>
    <w:rsid w:val="001E2090"/>
    <w:rsid w:val="001E2100"/>
    <w:rsid w:val="001E23E5"/>
    <w:rsid w:val="001E2444"/>
    <w:rsid w:val="001E247D"/>
    <w:rsid w:val="001E26B8"/>
    <w:rsid w:val="001E2752"/>
    <w:rsid w:val="001E2A62"/>
    <w:rsid w:val="001E2D1B"/>
    <w:rsid w:val="001E307D"/>
    <w:rsid w:val="001E32D8"/>
    <w:rsid w:val="001E335F"/>
    <w:rsid w:val="001E357F"/>
    <w:rsid w:val="001E36AA"/>
    <w:rsid w:val="001E37ED"/>
    <w:rsid w:val="001E3822"/>
    <w:rsid w:val="001E390B"/>
    <w:rsid w:val="001E3AB1"/>
    <w:rsid w:val="001E3ACF"/>
    <w:rsid w:val="001E3AD2"/>
    <w:rsid w:val="001E3C3F"/>
    <w:rsid w:val="001E3ECA"/>
    <w:rsid w:val="001E4108"/>
    <w:rsid w:val="001E466F"/>
    <w:rsid w:val="001E46F7"/>
    <w:rsid w:val="001E47E6"/>
    <w:rsid w:val="001E4A39"/>
    <w:rsid w:val="001E4D47"/>
    <w:rsid w:val="001E4E4D"/>
    <w:rsid w:val="001E52A2"/>
    <w:rsid w:val="001E5481"/>
    <w:rsid w:val="001E55C3"/>
    <w:rsid w:val="001E55D6"/>
    <w:rsid w:val="001E5734"/>
    <w:rsid w:val="001E579E"/>
    <w:rsid w:val="001E580A"/>
    <w:rsid w:val="001E5819"/>
    <w:rsid w:val="001E5A6C"/>
    <w:rsid w:val="001E5AAE"/>
    <w:rsid w:val="001E5B0B"/>
    <w:rsid w:val="001E5D44"/>
    <w:rsid w:val="001E60B7"/>
    <w:rsid w:val="001E626A"/>
    <w:rsid w:val="001E63B1"/>
    <w:rsid w:val="001E6554"/>
    <w:rsid w:val="001E6BBD"/>
    <w:rsid w:val="001E6D70"/>
    <w:rsid w:val="001E7136"/>
    <w:rsid w:val="001E72D6"/>
    <w:rsid w:val="001E742D"/>
    <w:rsid w:val="001E7449"/>
    <w:rsid w:val="001E7547"/>
    <w:rsid w:val="001E77F4"/>
    <w:rsid w:val="001E781E"/>
    <w:rsid w:val="001E786F"/>
    <w:rsid w:val="001E78F7"/>
    <w:rsid w:val="001E7A79"/>
    <w:rsid w:val="001E7C5A"/>
    <w:rsid w:val="001E7E6E"/>
    <w:rsid w:val="001E7E9C"/>
    <w:rsid w:val="001F0029"/>
    <w:rsid w:val="001F0153"/>
    <w:rsid w:val="001F0361"/>
    <w:rsid w:val="001F044D"/>
    <w:rsid w:val="001F0535"/>
    <w:rsid w:val="001F0687"/>
    <w:rsid w:val="001F0AF0"/>
    <w:rsid w:val="001F0BBA"/>
    <w:rsid w:val="001F0D6B"/>
    <w:rsid w:val="001F0DB1"/>
    <w:rsid w:val="001F1048"/>
    <w:rsid w:val="001F12A5"/>
    <w:rsid w:val="001F12F4"/>
    <w:rsid w:val="001F1574"/>
    <w:rsid w:val="001F1916"/>
    <w:rsid w:val="001F1B8C"/>
    <w:rsid w:val="001F1C7D"/>
    <w:rsid w:val="001F1DE0"/>
    <w:rsid w:val="001F1E7F"/>
    <w:rsid w:val="001F2081"/>
    <w:rsid w:val="001F2093"/>
    <w:rsid w:val="001F20E1"/>
    <w:rsid w:val="001F25D4"/>
    <w:rsid w:val="001F266C"/>
    <w:rsid w:val="001F2819"/>
    <w:rsid w:val="001F290A"/>
    <w:rsid w:val="001F293D"/>
    <w:rsid w:val="001F2A9A"/>
    <w:rsid w:val="001F2C8A"/>
    <w:rsid w:val="001F2D8C"/>
    <w:rsid w:val="001F2F41"/>
    <w:rsid w:val="001F301F"/>
    <w:rsid w:val="001F306B"/>
    <w:rsid w:val="001F3452"/>
    <w:rsid w:val="001F34FE"/>
    <w:rsid w:val="001F352B"/>
    <w:rsid w:val="001F3738"/>
    <w:rsid w:val="001F39F4"/>
    <w:rsid w:val="001F3BB0"/>
    <w:rsid w:val="001F3D4F"/>
    <w:rsid w:val="001F437C"/>
    <w:rsid w:val="001F453B"/>
    <w:rsid w:val="001F453D"/>
    <w:rsid w:val="001F45E1"/>
    <w:rsid w:val="001F4916"/>
    <w:rsid w:val="001F4A01"/>
    <w:rsid w:val="001F4E36"/>
    <w:rsid w:val="001F4F7D"/>
    <w:rsid w:val="001F50CC"/>
    <w:rsid w:val="001F5374"/>
    <w:rsid w:val="001F548B"/>
    <w:rsid w:val="001F56FF"/>
    <w:rsid w:val="001F5731"/>
    <w:rsid w:val="001F578D"/>
    <w:rsid w:val="001F5A45"/>
    <w:rsid w:val="001F5DC5"/>
    <w:rsid w:val="001F5E67"/>
    <w:rsid w:val="001F60E4"/>
    <w:rsid w:val="001F60E8"/>
    <w:rsid w:val="001F63C3"/>
    <w:rsid w:val="001F6697"/>
    <w:rsid w:val="001F68B7"/>
    <w:rsid w:val="001F6B85"/>
    <w:rsid w:val="001F6BBC"/>
    <w:rsid w:val="001F6CB8"/>
    <w:rsid w:val="001F6E97"/>
    <w:rsid w:val="001F709A"/>
    <w:rsid w:val="001F70A2"/>
    <w:rsid w:val="001F7176"/>
    <w:rsid w:val="001F71FE"/>
    <w:rsid w:val="001F723F"/>
    <w:rsid w:val="001F73FA"/>
    <w:rsid w:val="001F7688"/>
    <w:rsid w:val="001F775E"/>
    <w:rsid w:val="001F77CD"/>
    <w:rsid w:val="001F77F0"/>
    <w:rsid w:val="001F793A"/>
    <w:rsid w:val="001F7BA8"/>
    <w:rsid w:val="001F7BDA"/>
    <w:rsid w:val="001F7DD6"/>
    <w:rsid w:val="0020033E"/>
    <w:rsid w:val="0020064C"/>
    <w:rsid w:val="0020090B"/>
    <w:rsid w:val="00200B76"/>
    <w:rsid w:val="00200CA4"/>
    <w:rsid w:val="00200E05"/>
    <w:rsid w:val="0020116C"/>
    <w:rsid w:val="0020118B"/>
    <w:rsid w:val="002011B6"/>
    <w:rsid w:val="002013CC"/>
    <w:rsid w:val="0020148D"/>
    <w:rsid w:val="0020153F"/>
    <w:rsid w:val="00201825"/>
    <w:rsid w:val="00201930"/>
    <w:rsid w:val="00201BFD"/>
    <w:rsid w:val="00202155"/>
    <w:rsid w:val="002021B0"/>
    <w:rsid w:val="002021B6"/>
    <w:rsid w:val="002021CA"/>
    <w:rsid w:val="0020241E"/>
    <w:rsid w:val="00202612"/>
    <w:rsid w:val="0020278C"/>
    <w:rsid w:val="002027C1"/>
    <w:rsid w:val="002027E9"/>
    <w:rsid w:val="002029BF"/>
    <w:rsid w:val="00202C9C"/>
    <w:rsid w:val="0020321E"/>
    <w:rsid w:val="00203250"/>
    <w:rsid w:val="002032AF"/>
    <w:rsid w:val="002032C4"/>
    <w:rsid w:val="0020341A"/>
    <w:rsid w:val="00203722"/>
    <w:rsid w:val="00203B78"/>
    <w:rsid w:val="0020408D"/>
    <w:rsid w:val="00204128"/>
    <w:rsid w:val="00204247"/>
    <w:rsid w:val="002043EC"/>
    <w:rsid w:val="0020457D"/>
    <w:rsid w:val="00204778"/>
    <w:rsid w:val="0020481E"/>
    <w:rsid w:val="00204ACB"/>
    <w:rsid w:val="0020501B"/>
    <w:rsid w:val="00205076"/>
    <w:rsid w:val="0020521B"/>
    <w:rsid w:val="00205365"/>
    <w:rsid w:val="0020561F"/>
    <w:rsid w:val="00205668"/>
    <w:rsid w:val="002056C2"/>
    <w:rsid w:val="002056EC"/>
    <w:rsid w:val="00205907"/>
    <w:rsid w:val="00205A11"/>
    <w:rsid w:val="00205A83"/>
    <w:rsid w:val="00205C6D"/>
    <w:rsid w:val="00205CFC"/>
    <w:rsid w:val="00205D65"/>
    <w:rsid w:val="00206014"/>
    <w:rsid w:val="002063F3"/>
    <w:rsid w:val="002067AB"/>
    <w:rsid w:val="00206984"/>
    <w:rsid w:val="00206C18"/>
    <w:rsid w:val="00206E8F"/>
    <w:rsid w:val="002073A1"/>
    <w:rsid w:val="0020743D"/>
    <w:rsid w:val="002075C4"/>
    <w:rsid w:val="00207CA9"/>
    <w:rsid w:val="00207D47"/>
    <w:rsid w:val="0021008A"/>
    <w:rsid w:val="00210156"/>
    <w:rsid w:val="0021027F"/>
    <w:rsid w:val="00210283"/>
    <w:rsid w:val="002102A7"/>
    <w:rsid w:val="002102C0"/>
    <w:rsid w:val="0021043C"/>
    <w:rsid w:val="0021044F"/>
    <w:rsid w:val="002105B9"/>
    <w:rsid w:val="0021079C"/>
    <w:rsid w:val="002107EA"/>
    <w:rsid w:val="00210801"/>
    <w:rsid w:val="00210AFC"/>
    <w:rsid w:val="00210E80"/>
    <w:rsid w:val="00210FC7"/>
    <w:rsid w:val="002112C4"/>
    <w:rsid w:val="0021131F"/>
    <w:rsid w:val="0021138D"/>
    <w:rsid w:val="0021161C"/>
    <w:rsid w:val="0021180C"/>
    <w:rsid w:val="00211F9A"/>
    <w:rsid w:val="00212032"/>
    <w:rsid w:val="002121D2"/>
    <w:rsid w:val="0021241E"/>
    <w:rsid w:val="0021262F"/>
    <w:rsid w:val="0021280C"/>
    <w:rsid w:val="00212852"/>
    <w:rsid w:val="00212A28"/>
    <w:rsid w:val="00212ACA"/>
    <w:rsid w:val="00212D0F"/>
    <w:rsid w:val="00212FD7"/>
    <w:rsid w:val="002130FA"/>
    <w:rsid w:val="0021322B"/>
    <w:rsid w:val="002137C1"/>
    <w:rsid w:val="002138A1"/>
    <w:rsid w:val="00213A54"/>
    <w:rsid w:val="00213CB5"/>
    <w:rsid w:val="00213CD3"/>
    <w:rsid w:val="00213DAA"/>
    <w:rsid w:val="00213FE2"/>
    <w:rsid w:val="002142F1"/>
    <w:rsid w:val="0021470D"/>
    <w:rsid w:val="00214718"/>
    <w:rsid w:val="00214773"/>
    <w:rsid w:val="00214A13"/>
    <w:rsid w:val="00214A66"/>
    <w:rsid w:val="00214F48"/>
    <w:rsid w:val="0021522A"/>
    <w:rsid w:val="0021554A"/>
    <w:rsid w:val="00215561"/>
    <w:rsid w:val="002155CA"/>
    <w:rsid w:val="00215929"/>
    <w:rsid w:val="00215B62"/>
    <w:rsid w:val="00215D96"/>
    <w:rsid w:val="00215E70"/>
    <w:rsid w:val="00215EE3"/>
    <w:rsid w:val="00216149"/>
    <w:rsid w:val="0021619D"/>
    <w:rsid w:val="00216213"/>
    <w:rsid w:val="002166D9"/>
    <w:rsid w:val="002167FF"/>
    <w:rsid w:val="00216AAF"/>
    <w:rsid w:val="00216AED"/>
    <w:rsid w:val="00216ED7"/>
    <w:rsid w:val="00216F32"/>
    <w:rsid w:val="0021723F"/>
    <w:rsid w:val="00217414"/>
    <w:rsid w:val="002175B1"/>
    <w:rsid w:val="0021763B"/>
    <w:rsid w:val="00217823"/>
    <w:rsid w:val="00217940"/>
    <w:rsid w:val="00217F3B"/>
    <w:rsid w:val="0022015F"/>
    <w:rsid w:val="00220212"/>
    <w:rsid w:val="00220534"/>
    <w:rsid w:val="002205FF"/>
    <w:rsid w:val="00220649"/>
    <w:rsid w:val="002206EB"/>
    <w:rsid w:val="002209D5"/>
    <w:rsid w:val="00220CDE"/>
    <w:rsid w:val="00220EDB"/>
    <w:rsid w:val="00220F1C"/>
    <w:rsid w:val="00221062"/>
    <w:rsid w:val="0022111C"/>
    <w:rsid w:val="002213DB"/>
    <w:rsid w:val="0022189E"/>
    <w:rsid w:val="00221903"/>
    <w:rsid w:val="00221CD5"/>
    <w:rsid w:val="00221EFB"/>
    <w:rsid w:val="002222C7"/>
    <w:rsid w:val="00222404"/>
    <w:rsid w:val="00222423"/>
    <w:rsid w:val="0022242E"/>
    <w:rsid w:val="0022246D"/>
    <w:rsid w:val="002225D1"/>
    <w:rsid w:val="00222670"/>
    <w:rsid w:val="00222977"/>
    <w:rsid w:val="00222A4E"/>
    <w:rsid w:val="00222B5A"/>
    <w:rsid w:val="0022303A"/>
    <w:rsid w:val="00223062"/>
    <w:rsid w:val="002235D9"/>
    <w:rsid w:val="0022366A"/>
    <w:rsid w:val="0022383F"/>
    <w:rsid w:val="0022392B"/>
    <w:rsid w:val="00223D10"/>
    <w:rsid w:val="00223F7C"/>
    <w:rsid w:val="00224133"/>
    <w:rsid w:val="002241A0"/>
    <w:rsid w:val="0022442C"/>
    <w:rsid w:val="002247D9"/>
    <w:rsid w:val="002248FE"/>
    <w:rsid w:val="002249B9"/>
    <w:rsid w:val="00224BCE"/>
    <w:rsid w:val="00224C07"/>
    <w:rsid w:val="00224F46"/>
    <w:rsid w:val="0022519F"/>
    <w:rsid w:val="0022520B"/>
    <w:rsid w:val="00225588"/>
    <w:rsid w:val="00225662"/>
    <w:rsid w:val="0022584D"/>
    <w:rsid w:val="00225A56"/>
    <w:rsid w:val="00225D65"/>
    <w:rsid w:val="00225F06"/>
    <w:rsid w:val="00225F96"/>
    <w:rsid w:val="00225FBC"/>
    <w:rsid w:val="0022612B"/>
    <w:rsid w:val="002261F1"/>
    <w:rsid w:val="002264AC"/>
    <w:rsid w:val="002265AE"/>
    <w:rsid w:val="00226818"/>
    <w:rsid w:val="00226AED"/>
    <w:rsid w:val="00226B76"/>
    <w:rsid w:val="00226BBD"/>
    <w:rsid w:val="00226D97"/>
    <w:rsid w:val="00226DF6"/>
    <w:rsid w:val="00226E53"/>
    <w:rsid w:val="00227028"/>
    <w:rsid w:val="002275A7"/>
    <w:rsid w:val="0022786C"/>
    <w:rsid w:val="002278BE"/>
    <w:rsid w:val="00227B84"/>
    <w:rsid w:val="00227BEA"/>
    <w:rsid w:val="00227BEF"/>
    <w:rsid w:val="002308F7"/>
    <w:rsid w:val="00230AC0"/>
    <w:rsid w:val="00230C37"/>
    <w:rsid w:val="00230ED3"/>
    <w:rsid w:val="00230F2C"/>
    <w:rsid w:val="00230FC6"/>
    <w:rsid w:val="00231236"/>
    <w:rsid w:val="00231489"/>
    <w:rsid w:val="002314D9"/>
    <w:rsid w:val="0023190C"/>
    <w:rsid w:val="00231967"/>
    <w:rsid w:val="00231C08"/>
    <w:rsid w:val="00231EDB"/>
    <w:rsid w:val="00231FA9"/>
    <w:rsid w:val="00232046"/>
    <w:rsid w:val="00232055"/>
    <w:rsid w:val="002320CF"/>
    <w:rsid w:val="00232135"/>
    <w:rsid w:val="00232503"/>
    <w:rsid w:val="002327F0"/>
    <w:rsid w:val="00232A4E"/>
    <w:rsid w:val="00232B32"/>
    <w:rsid w:val="00232D08"/>
    <w:rsid w:val="00232DA8"/>
    <w:rsid w:val="00232DCF"/>
    <w:rsid w:val="002330F6"/>
    <w:rsid w:val="002334C8"/>
    <w:rsid w:val="002337A9"/>
    <w:rsid w:val="00233D26"/>
    <w:rsid w:val="00233D7A"/>
    <w:rsid w:val="002341CA"/>
    <w:rsid w:val="0023435C"/>
    <w:rsid w:val="0023470B"/>
    <w:rsid w:val="0023479F"/>
    <w:rsid w:val="00234971"/>
    <w:rsid w:val="00234C9D"/>
    <w:rsid w:val="00235325"/>
    <w:rsid w:val="0023532A"/>
    <w:rsid w:val="0023538B"/>
    <w:rsid w:val="0023539D"/>
    <w:rsid w:val="0023543D"/>
    <w:rsid w:val="0023549B"/>
    <w:rsid w:val="0023553F"/>
    <w:rsid w:val="0023558A"/>
    <w:rsid w:val="002356A6"/>
    <w:rsid w:val="002358BC"/>
    <w:rsid w:val="00235ADE"/>
    <w:rsid w:val="00235CF3"/>
    <w:rsid w:val="00236242"/>
    <w:rsid w:val="0023627F"/>
    <w:rsid w:val="002363BE"/>
    <w:rsid w:val="002363C7"/>
    <w:rsid w:val="0023658B"/>
    <w:rsid w:val="0023676F"/>
    <w:rsid w:val="002368EE"/>
    <w:rsid w:val="0023699C"/>
    <w:rsid w:val="00236C09"/>
    <w:rsid w:val="00236C6C"/>
    <w:rsid w:val="00236C96"/>
    <w:rsid w:val="00236FCA"/>
    <w:rsid w:val="00237408"/>
    <w:rsid w:val="00237428"/>
    <w:rsid w:val="0023781C"/>
    <w:rsid w:val="00237A09"/>
    <w:rsid w:val="00237A61"/>
    <w:rsid w:val="00237C34"/>
    <w:rsid w:val="00237FE8"/>
    <w:rsid w:val="002404A4"/>
    <w:rsid w:val="002406B0"/>
    <w:rsid w:val="00240A80"/>
    <w:rsid w:val="00240B61"/>
    <w:rsid w:val="00240FAC"/>
    <w:rsid w:val="00241069"/>
    <w:rsid w:val="00241221"/>
    <w:rsid w:val="00241583"/>
    <w:rsid w:val="002415D5"/>
    <w:rsid w:val="0024169C"/>
    <w:rsid w:val="00241700"/>
    <w:rsid w:val="00241B06"/>
    <w:rsid w:val="00241B1F"/>
    <w:rsid w:val="00241B5B"/>
    <w:rsid w:val="00241CB1"/>
    <w:rsid w:val="00241D87"/>
    <w:rsid w:val="00242155"/>
    <w:rsid w:val="00242381"/>
    <w:rsid w:val="002423F7"/>
    <w:rsid w:val="00242CC3"/>
    <w:rsid w:val="00242F73"/>
    <w:rsid w:val="0024307C"/>
    <w:rsid w:val="00243133"/>
    <w:rsid w:val="00243404"/>
    <w:rsid w:val="0024344C"/>
    <w:rsid w:val="002434FA"/>
    <w:rsid w:val="00243732"/>
    <w:rsid w:val="002439FF"/>
    <w:rsid w:val="00243B3E"/>
    <w:rsid w:val="00243B87"/>
    <w:rsid w:val="00243C7B"/>
    <w:rsid w:val="00243DC0"/>
    <w:rsid w:val="0024404C"/>
    <w:rsid w:val="002440A8"/>
    <w:rsid w:val="002443B2"/>
    <w:rsid w:val="00244902"/>
    <w:rsid w:val="00244E37"/>
    <w:rsid w:val="00245063"/>
    <w:rsid w:val="00245295"/>
    <w:rsid w:val="002452F8"/>
    <w:rsid w:val="0024538E"/>
    <w:rsid w:val="002455D8"/>
    <w:rsid w:val="00245619"/>
    <w:rsid w:val="00245839"/>
    <w:rsid w:val="00245905"/>
    <w:rsid w:val="00245C38"/>
    <w:rsid w:val="00245CD7"/>
    <w:rsid w:val="00245D59"/>
    <w:rsid w:val="00245D5B"/>
    <w:rsid w:val="00245D9C"/>
    <w:rsid w:val="00245DC6"/>
    <w:rsid w:val="00246291"/>
    <w:rsid w:val="0024647F"/>
    <w:rsid w:val="0024684F"/>
    <w:rsid w:val="00246BB5"/>
    <w:rsid w:val="00246DF8"/>
    <w:rsid w:val="002470FC"/>
    <w:rsid w:val="00247202"/>
    <w:rsid w:val="00247477"/>
    <w:rsid w:val="00247517"/>
    <w:rsid w:val="00247534"/>
    <w:rsid w:val="002478CA"/>
    <w:rsid w:val="002479B4"/>
    <w:rsid w:val="00247B2C"/>
    <w:rsid w:val="00247C9B"/>
    <w:rsid w:val="00247E42"/>
    <w:rsid w:val="00250020"/>
    <w:rsid w:val="0025004D"/>
    <w:rsid w:val="0025015C"/>
    <w:rsid w:val="00250289"/>
    <w:rsid w:val="002502A5"/>
    <w:rsid w:val="0025042D"/>
    <w:rsid w:val="002506FA"/>
    <w:rsid w:val="00250733"/>
    <w:rsid w:val="0025079D"/>
    <w:rsid w:val="00250A55"/>
    <w:rsid w:val="00250A85"/>
    <w:rsid w:val="00250B0A"/>
    <w:rsid w:val="00250B48"/>
    <w:rsid w:val="00250B85"/>
    <w:rsid w:val="00250EA5"/>
    <w:rsid w:val="0025104D"/>
    <w:rsid w:val="00251360"/>
    <w:rsid w:val="002514F2"/>
    <w:rsid w:val="0025173B"/>
    <w:rsid w:val="002518F8"/>
    <w:rsid w:val="00251943"/>
    <w:rsid w:val="002519D5"/>
    <w:rsid w:val="00251A72"/>
    <w:rsid w:val="00251BCE"/>
    <w:rsid w:val="00251E12"/>
    <w:rsid w:val="00252056"/>
    <w:rsid w:val="002522E5"/>
    <w:rsid w:val="00252335"/>
    <w:rsid w:val="002523DC"/>
    <w:rsid w:val="002524FE"/>
    <w:rsid w:val="002526AF"/>
    <w:rsid w:val="002526DF"/>
    <w:rsid w:val="002527A6"/>
    <w:rsid w:val="0025295C"/>
    <w:rsid w:val="00252A24"/>
    <w:rsid w:val="00252EBA"/>
    <w:rsid w:val="002530EE"/>
    <w:rsid w:val="00253187"/>
    <w:rsid w:val="00253274"/>
    <w:rsid w:val="0025360A"/>
    <w:rsid w:val="00253656"/>
    <w:rsid w:val="00253EDA"/>
    <w:rsid w:val="0025404D"/>
    <w:rsid w:val="0025406C"/>
    <w:rsid w:val="002540A8"/>
    <w:rsid w:val="002541FC"/>
    <w:rsid w:val="0025450D"/>
    <w:rsid w:val="00254603"/>
    <w:rsid w:val="00254AEA"/>
    <w:rsid w:val="00254B28"/>
    <w:rsid w:val="00254E51"/>
    <w:rsid w:val="00254F6E"/>
    <w:rsid w:val="0025545E"/>
    <w:rsid w:val="002554A5"/>
    <w:rsid w:val="002554A7"/>
    <w:rsid w:val="002555FD"/>
    <w:rsid w:val="002559B3"/>
    <w:rsid w:val="00255CEB"/>
    <w:rsid w:val="002560C2"/>
    <w:rsid w:val="002561DC"/>
    <w:rsid w:val="002564EA"/>
    <w:rsid w:val="00256C5B"/>
    <w:rsid w:val="00256D61"/>
    <w:rsid w:val="00256E65"/>
    <w:rsid w:val="00257034"/>
    <w:rsid w:val="00257118"/>
    <w:rsid w:val="002573EB"/>
    <w:rsid w:val="00257530"/>
    <w:rsid w:val="0025753F"/>
    <w:rsid w:val="002576C7"/>
    <w:rsid w:val="00257787"/>
    <w:rsid w:val="00257C96"/>
    <w:rsid w:val="00257F74"/>
    <w:rsid w:val="0026014A"/>
    <w:rsid w:val="002606AF"/>
    <w:rsid w:val="00260769"/>
    <w:rsid w:val="00260985"/>
    <w:rsid w:val="00260B69"/>
    <w:rsid w:val="00260E01"/>
    <w:rsid w:val="00260E3D"/>
    <w:rsid w:val="0026118F"/>
    <w:rsid w:val="00261669"/>
    <w:rsid w:val="00261960"/>
    <w:rsid w:val="00261A36"/>
    <w:rsid w:val="00261C4C"/>
    <w:rsid w:val="00261D36"/>
    <w:rsid w:val="00261EEC"/>
    <w:rsid w:val="00261F33"/>
    <w:rsid w:val="00261F81"/>
    <w:rsid w:val="002620E6"/>
    <w:rsid w:val="002624F8"/>
    <w:rsid w:val="00262653"/>
    <w:rsid w:val="002628C1"/>
    <w:rsid w:val="00262941"/>
    <w:rsid w:val="00262A4A"/>
    <w:rsid w:val="00262BD3"/>
    <w:rsid w:val="002630F5"/>
    <w:rsid w:val="0026325A"/>
    <w:rsid w:val="00263529"/>
    <w:rsid w:val="0026353A"/>
    <w:rsid w:val="0026382E"/>
    <w:rsid w:val="002638ED"/>
    <w:rsid w:val="00264485"/>
    <w:rsid w:val="0026485E"/>
    <w:rsid w:val="002649E9"/>
    <w:rsid w:val="00264A6D"/>
    <w:rsid w:val="00264A9B"/>
    <w:rsid w:val="00264F07"/>
    <w:rsid w:val="00264F6C"/>
    <w:rsid w:val="002650D0"/>
    <w:rsid w:val="0026545A"/>
    <w:rsid w:val="0026568A"/>
    <w:rsid w:val="002656A9"/>
    <w:rsid w:val="002658BC"/>
    <w:rsid w:val="00265AA4"/>
    <w:rsid w:val="00265B98"/>
    <w:rsid w:val="00265CB6"/>
    <w:rsid w:val="00265CC6"/>
    <w:rsid w:val="00265E4A"/>
    <w:rsid w:val="00265E88"/>
    <w:rsid w:val="00266000"/>
    <w:rsid w:val="002666C1"/>
    <w:rsid w:val="00266745"/>
    <w:rsid w:val="0026675D"/>
    <w:rsid w:val="0026676B"/>
    <w:rsid w:val="00266A88"/>
    <w:rsid w:val="00266A91"/>
    <w:rsid w:val="00266B4F"/>
    <w:rsid w:val="00266BC9"/>
    <w:rsid w:val="00266C46"/>
    <w:rsid w:val="00266E94"/>
    <w:rsid w:val="00266F17"/>
    <w:rsid w:val="00266F1D"/>
    <w:rsid w:val="0026749C"/>
    <w:rsid w:val="002675B3"/>
    <w:rsid w:val="0026777F"/>
    <w:rsid w:val="00267A1B"/>
    <w:rsid w:val="00267D58"/>
    <w:rsid w:val="00270068"/>
    <w:rsid w:val="002701B6"/>
    <w:rsid w:val="00270348"/>
    <w:rsid w:val="00270368"/>
    <w:rsid w:val="00270440"/>
    <w:rsid w:val="00270465"/>
    <w:rsid w:val="002704CC"/>
    <w:rsid w:val="00270785"/>
    <w:rsid w:val="00270A71"/>
    <w:rsid w:val="00270D2D"/>
    <w:rsid w:val="00270F5C"/>
    <w:rsid w:val="002712A4"/>
    <w:rsid w:val="00271337"/>
    <w:rsid w:val="002715C8"/>
    <w:rsid w:val="00271729"/>
    <w:rsid w:val="002719AE"/>
    <w:rsid w:val="00271ADE"/>
    <w:rsid w:val="00271B4F"/>
    <w:rsid w:val="0027213E"/>
    <w:rsid w:val="002722D2"/>
    <w:rsid w:val="00272313"/>
    <w:rsid w:val="0027233F"/>
    <w:rsid w:val="00272602"/>
    <w:rsid w:val="00272698"/>
    <w:rsid w:val="002727C4"/>
    <w:rsid w:val="002729CF"/>
    <w:rsid w:val="00272CC5"/>
    <w:rsid w:val="00272E5A"/>
    <w:rsid w:val="00272FCE"/>
    <w:rsid w:val="00273045"/>
    <w:rsid w:val="00273097"/>
    <w:rsid w:val="00273AEA"/>
    <w:rsid w:val="00274242"/>
    <w:rsid w:val="002742E1"/>
    <w:rsid w:val="002748B3"/>
    <w:rsid w:val="00274900"/>
    <w:rsid w:val="002749E3"/>
    <w:rsid w:val="00274C7C"/>
    <w:rsid w:val="00274E3C"/>
    <w:rsid w:val="00274F0F"/>
    <w:rsid w:val="00274FF9"/>
    <w:rsid w:val="00275048"/>
    <w:rsid w:val="00275371"/>
    <w:rsid w:val="00275546"/>
    <w:rsid w:val="00275847"/>
    <w:rsid w:val="002759FB"/>
    <w:rsid w:val="00275FB7"/>
    <w:rsid w:val="002762B8"/>
    <w:rsid w:val="002762E1"/>
    <w:rsid w:val="0027637E"/>
    <w:rsid w:val="0027639B"/>
    <w:rsid w:val="00276616"/>
    <w:rsid w:val="0027665F"/>
    <w:rsid w:val="002766E8"/>
    <w:rsid w:val="00276D13"/>
    <w:rsid w:val="00276F4E"/>
    <w:rsid w:val="00277372"/>
    <w:rsid w:val="00277410"/>
    <w:rsid w:val="0027747B"/>
    <w:rsid w:val="0027747D"/>
    <w:rsid w:val="0027787F"/>
    <w:rsid w:val="00277A8A"/>
    <w:rsid w:val="00277BFD"/>
    <w:rsid w:val="00277C26"/>
    <w:rsid w:val="00277D1D"/>
    <w:rsid w:val="0028004B"/>
    <w:rsid w:val="002802A9"/>
    <w:rsid w:val="00280441"/>
    <w:rsid w:val="00280869"/>
    <w:rsid w:val="0028086B"/>
    <w:rsid w:val="002808A2"/>
    <w:rsid w:val="00280B52"/>
    <w:rsid w:val="00280BF1"/>
    <w:rsid w:val="00280C0A"/>
    <w:rsid w:val="002810D9"/>
    <w:rsid w:val="0028138E"/>
    <w:rsid w:val="0028139D"/>
    <w:rsid w:val="00281786"/>
    <w:rsid w:val="00281948"/>
    <w:rsid w:val="00281D0C"/>
    <w:rsid w:val="00281D19"/>
    <w:rsid w:val="00281EAE"/>
    <w:rsid w:val="00281EBF"/>
    <w:rsid w:val="00282208"/>
    <w:rsid w:val="0028221D"/>
    <w:rsid w:val="0028221F"/>
    <w:rsid w:val="00282259"/>
    <w:rsid w:val="002822B6"/>
    <w:rsid w:val="00282383"/>
    <w:rsid w:val="00282434"/>
    <w:rsid w:val="002825C3"/>
    <w:rsid w:val="002825FD"/>
    <w:rsid w:val="002826AE"/>
    <w:rsid w:val="00282B8B"/>
    <w:rsid w:val="00282CC8"/>
    <w:rsid w:val="0028342A"/>
    <w:rsid w:val="00283590"/>
    <w:rsid w:val="002835DC"/>
    <w:rsid w:val="00283895"/>
    <w:rsid w:val="002839FD"/>
    <w:rsid w:val="00283D55"/>
    <w:rsid w:val="00283DB2"/>
    <w:rsid w:val="00283FAA"/>
    <w:rsid w:val="00284028"/>
    <w:rsid w:val="00284D8D"/>
    <w:rsid w:val="00284E64"/>
    <w:rsid w:val="00284F7B"/>
    <w:rsid w:val="0028552F"/>
    <w:rsid w:val="00285631"/>
    <w:rsid w:val="002857DD"/>
    <w:rsid w:val="00285AA5"/>
    <w:rsid w:val="00285AB8"/>
    <w:rsid w:val="002861F6"/>
    <w:rsid w:val="0028636F"/>
    <w:rsid w:val="002865CD"/>
    <w:rsid w:val="002866E3"/>
    <w:rsid w:val="00286868"/>
    <w:rsid w:val="002868BC"/>
    <w:rsid w:val="00286AA0"/>
    <w:rsid w:val="00286DC8"/>
    <w:rsid w:val="002870E2"/>
    <w:rsid w:val="002870F9"/>
    <w:rsid w:val="002871B6"/>
    <w:rsid w:val="00287BC5"/>
    <w:rsid w:val="00287BDE"/>
    <w:rsid w:val="00287FCF"/>
    <w:rsid w:val="002900A5"/>
    <w:rsid w:val="00290A4E"/>
    <w:rsid w:val="00290FBB"/>
    <w:rsid w:val="00291416"/>
    <w:rsid w:val="00291774"/>
    <w:rsid w:val="00291783"/>
    <w:rsid w:val="00291792"/>
    <w:rsid w:val="00291B7C"/>
    <w:rsid w:val="00291C21"/>
    <w:rsid w:val="00291EA7"/>
    <w:rsid w:val="00291EC2"/>
    <w:rsid w:val="00292028"/>
    <w:rsid w:val="00292264"/>
    <w:rsid w:val="00292813"/>
    <w:rsid w:val="00292853"/>
    <w:rsid w:val="0029286B"/>
    <w:rsid w:val="002928E2"/>
    <w:rsid w:val="00292B00"/>
    <w:rsid w:val="00292C7F"/>
    <w:rsid w:val="00292CD5"/>
    <w:rsid w:val="002930CE"/>
    <w:rsid w:val="002932E6"/>
    <w:rsid w:val="00293311"/>
    <w:rsid w:val="0029372A"/>
    <w:rsid w:val="0029381B"/>
    <w:rsid w:val="00293A21"/>
    <w:rsid w:val="00293CEA"/>
    <w:rsid w:val="00293DEE"/>
    <w:rsid w:val="00294A8C"/>
    <w:rsid w:val="00294B8F"/>
    <w:rsid w:val="00294BE6"/>
    <w:rsid w:val="00294CDD"/>
    <w:rsid w:val="00294DD3"/>
    <w:rsid w:val="00294E8E"/>
    <w:rsid w:val="00294ECD"/>
    <w:rsid w:val="00295112"/>
    <w:rsid w:val="002951E2"/>
    <w:rsid w:val="002952EE"/>
    <w:rsid w:val="0029578C"/>
    <w:rsid w:val="00296E9A"/>
    <w:rsid w:val="00296EE6"/>
    <w:rsid w:val="00297020"/>
    <w:rsid w:val="00297078"/>
    <w:rsid w:val="0029737F"/>
    <w:rsid w:val="00297398"/>
    <w:rsid w:val="00297551"/>
    <w:rsid w:val="002975D7"/>
    <w:rsid w:val="002976A0"/>
    <w:rsid w:val="002977DD"/>
    <w:rsid w:val="00297872"/>
    <w:rsid w:val="002978C9"/>
    <w:rsid w:val="00297A31"/>
    <w:rsid w:val="00297B97"/>
    <w:rsid w:val="002A0289"/>
    <w:rsid w:val="002A080C"/>
    <w:rsid w:val="002A0A62"/>
    <w:rsid w:val="002A0B5D"/>
    <w:rsid w:val="002A0C67"/>
    <w:rsid w:val="002A0F81"/>
    <w:rsid w:val="002A10B7"/>
    <w:rsid w:val="002A1385"/>
    <w:rsid w:val="002A16E2"/>
    <w:rsid w:val="002A1825"/>
    <w:rsid w:val="002A18E7"/>
    <w:rsid w:val="002A1B36"/>
    <w:rsid w:val="002A1C67"/>
    <w:rsid w:val="002A1E2C"/>
    <w:rsid w:val="002A1FAC"/>
    <w:rsid w:val="002A20B1"/>
    <w:rsid w:val="002A21A7"/>
    <w:rsid w:val="002A245D"/>
    <w:rsid w:val="002A24A2"/>
    <w:rsid w:val="002A2750"/>
    <w:rsid w:val="002A28A2"/>
    <w:rsid w:val="002A28D5"/>
    <w:rsid w:val="002A2A24"/>
    <w:rsid w:val="002A2DF3"/>
    <w:rsid w:val="002A3271"/>
    <w:rsid w:val="002A343E"/>
    <w:rsid w:val="002A34B1"/>
    <w:rsid w:val="002A3858"/>
    <w:rsid w:val="002A387B"/>
    <w:rsid w:val="002A390F"/>
    <w:rsid w:val="002A3A15"/>
    <w:rsid w:val="002A3A33"/>
    <w:rsid w:val="002A3BD5"/>
    <w:rsid w:val="002A3D72"/>
    <w:rsid w:val="002A407A"/>
    <w:rsid w:val="002A44AB"/>
    <w:rsid w:val="002A44C1"/>
    <w:rsid w:val="002A4508"/>
    <w:rsid w:val="002A4578"/>
    <w:rsid w:val="002A4613"/>
    <w:rsid w:val="002A4717"/>
    <w:rsid w:val="002A4727"/>
    <w:rsid w:val="002A4892"/>
    <w:rsid w:val="002A49AD"/>
    <w:rsid w:val="002A4BD8"/>
    <w:rsid w:val="002A4D9C"/>
    <w:rsid w:val="002A524E"/>
    <w:rsid w:val="002A535A"/>
    <w:rsid w:val="002A5407"/>
    <w:rsid w:val="002A54D8"/>
    <w:rsid w:val="002A5A3C"/>
    <w:rsid w:val="002A5DE7"/>
    <w:rsid w:val="002A5E7A"/>
    <w:rsid w:val="002A5EC2"/>
    <w:rsid w:val="002A5F29"/>
    <w:rsid w:val="002A6115"/>
    <w:rsid w:val="002A63F5"/>
    <w:rsid w:val="002A6AD5"/>
    <w:rsid w:val="002A7033"/>
    <w:rsid w:val="002A73F0"/>
    <w:rsid w:val="002A749D"/>
    <w:rsid w:val="002A78C4"/>
    <w:rsid w:val="002A7919"/>
    <w:rsid w:val="002A7D98"/>
    <w:rsid w:val="002A7FCA"/>
    <w:rsid w:val="002B013F"/>
    <w:rsid w:val="002B0539"/>
    <w:rsid w:val="002B09CB"/>
    <w:rsid w:val="002B0A0B"/>
    <w:rsid w:val="002B0BC7"/>
    <w:rsid w:val="002B0CFE"/>
    <w:rsid w:val="002B0D96"/>
    <w:rsid w:val="002B0F12"/>
    <w:rsid w:val="002B0FF8"/>
    <w:rsid w:val="002B102C"/>
    <w:rsid w:val="002B104B"/>
    <w:rsid w:val="002B1117"/>
    <w:rsid w:val="002B11FC"/>
    <w:rsid w:val="002B12C6"/>
    <w:rsid w:val="002B1466"/>
    <w:rsid w:val="002B14F4"/>
    <w:rsid w:val="002B18D5"/>
    <w:rsid w:val="002B1D0A"/>
    <w:rsid w:val="002B21B6"/>
    <w:rsid w:val="002B24BE"/>
    <w:rsid w:val="002B2586"/>
    <w:rsid w:val="002B270B"/>
    <w:rsid w:val="002B2780"/>
    <w:rsid w:val="002B27E9"/>
    <w:rsid w:val="002B3021"/>
    <w:rsid w:val="002B32D1"/>
    <w:rsid w:val="002B33A2"/>
    <w:rsid w:val="002B3450"/>
    <w:rsid w:val="002B346D"/>
    <w:rsid w:val="002B35D7"/>
    <w:rsid w:val="002B366A"/>
    <w:rsid w:val="002B3C8B"/>
    <w:rsid w:val="002B3D47"/>
    <w:rsid w:val="002B3EF8"/>
    <w:rsid w:val="002B403F"/>
    <w:rsid w:val="002B4058"/>
    <w:rsid w:val="002B40B3"/>
    <w:rsid w:val="002B42A9"/>
    <w:rsid w:val="002B4380"/>
    <w:rsid w:val="002B43A9"/>
    <w:rsid w:val="002B4747"/>
    <w:rsid w:val="002B4900"/>
    <w:rsid w:val="002B4991"/>
    <w:rsid w:val="002B49B1"/>
    <w:rsid w:val="002B53F8"/>
    <w:rsid w:val="002B5903"/>
    <w:rsid w:val="002B5A7B"/>
    <w:rsid w:val="002B5C2C"/>
    <w:rsid w:val="002B5DA7"/>
    <w:rsid w:val="002B5E47"/>
    <w:rsid w:val="002B6536"/>
    <w:rsid w:val="002B6666"/>
    <w:rsid w:val="002B689A"/>
    <w:rsid w:val="002B6BF3"/>
    <w:rsid w:val="002B6E49"/>
    <w:rsid w:val="002B6F6A"/>
    <w:rsid w:val="002B6FE2"/>
    <w:rsid w:val="002B703D"/>
    <w:rsid w:val="002B7247"/>
    <w:rsid w:val="002B742F"/>
    <w:rsid w:val="002B7532"/>
    <w:rsid w:val="002B7623"/>
    <w:rsid w:val="002B7671"/>
    <w:rsid w:val="002B7675"/>
    <w:rsid w:val="002B7732"/>
    <w:rsid w:val="002B7942"/>
    <w:rsid w:val="002B7ABB"/>
    <w:rsid w:val="002B7E0D"/>
    <w:rsid w:val="002C02DF"/>
    <w:rsid w:val="002C03AB"/>
    <w:rsid w:val="002C04F7"/>
    <w:rsid w:val="002C0560"/>
    <w:rsid w:val="002C0691"/>
    <w:rsid w:val="002C0840"/>
    <w:rsid w:val="002C0B10"/>
    <w:rsid w:val="002C0DAB"/>
    <w:rsid w:val="002C0F41"/>
    <w:rsid w:val="002C112C"/>
    <w:rsid w:val="002C155D"/>
    <w:rsid w:val="002C1663"/>
    <w:rsid w:val="002C2499"/>
    <w:rsid w:val="002C27CE"/>
    <w:rsid w:val="002C2BB0"/>
    <w:rsid w:val="002C31F0"/>
    <w:rsid w:val="002C3657"/>
    <w:rsid w:val="002C377C"/>
    <w:rsid w:val="002C3941"/>
    <w:rsid w:val="002C3D29"/>
    <w:rsid w:val="002C42A4"/>
    <w:rsid w:val="002C456E"/>
    <w:rsid w:val="002C47FD"/>
    <w:rsid w:val="002C4A70"/>
    <w:rsid w:val="002C4A7B"/>
    <w:rsid w:val="002C4B05"/>
    <w:rsid w:val="002C4C9E"/>
    <w:rsid w:val="002C50FC"/>
    <w:rsid w:val="002C5286"/>
    <w:rsid w:val="002C52EF"/>
    <w:rsid w:val="002C540D"/>
    <w:rsid w:val="002C54AE"/>
    <w:rsid w:val="002C6005"/>
    <w:rsid w:val="002C6075"/>
    <w:rsid w:val="002C61CD"/>
    <w:rsid w:val="002C6276"/>
    <w:rsid w:val="002C6892"/>
    <w:rsid w:val="002C6908"/>
    <w:rsid w:val="002C6AA9"/>
    <w:rsid w:val="002C6B10"/>
    <w:rsid w:val="002C6BBA"/>
    <w:rsid w:val="002C6EF7"/>
    <w:rsid w:val="002C6F3E"/>
    <w:rsid w:val="002C7053"/>
    <w:rsid w:val="002C71D8"/>
    <w:rsid w:val="002C7222"/>
    <w:rsid w:val="002C734F"/>
    <w:rsid w:val="002C7588"/>
    <w:rsid w:val="002C75B6"/>
    <w:rsid w:val="002C75C2"/>
    <w:rsid w:val="002C7682"/>
    <w:rsid w:val="002C7CC2"/>
    <w:rsid w:val="002C7E4C"/>
    <w:rsid w:val="002C7FE9"/>
    <w:rsid w:val="002D01FE"/>
    <w:rsid w:val="002D0450"/>
    <w:rsid w:val="002D063C"/>
    <w:rsid w:val="002D0945"/>
    <w:rsid w:val="002D09B6"/>
    <w:rsid w:val="002D0A65"/>
    <w:rsid w:val="002D0D75"/>
    <w:rsid w:val="002D0DAF"/>
    <w:rsid w:val="002D0DC5"/>
    <w:rsid w:val="002D13E1"/>
    <w:rsid w:val="002D14AE"/>
    <w:rsid w:val="002D155F"/>
    <w:rsid w:val="002D16CF"/>
    <w:rsid w:val="002D1860"/>
    <w:rsid w:val="002D1944"/>
    <w:rsid w:val="002D1AA9"/>
    <w:rsid w:val="002D1B12"/>
    <w:rsid w:val="002D1C46"/>
    <w:rsid w:val="002D1C79"/>
    <w:rsid w:val="002D1C81"/>
    <w:rsid w:val="002D1E7E"/>
    <w:rsid w:val="002D1F81"/>
    <w:rsid w:val="002D2511"/>
    <w:rsid w:val="002D2543"/>
    <w:rsid w:val="002D2550"/>
    <w:rsid w:val="002D2875"/>
    <w:rsid w:val="002D303D"/>
    <w:rsid w:val="002D3459"/>
    <w:rsid w:val="002D3632"/>
    <w:rsid w:val="002D36D6"/>
    <w:rsid w:val="002D377E"/>
    <w:rsid w:val="002D3A79"/>
    <w:rsid w:val="002D3F1B"/>
    <w:rsid w:val="002D4282"/>
    <w:rsid w:val="002D44AD"/>
    <w:rsid w:val="002D45E9"/>
    <w:rsid w:val="002D46C3"/>
    <w:rsid w:val="002D4889"/>
    <w:rsid w:val="002D4C95"/>
    <w:rsid w:val="002D4D1C"/>
    <w:rsid w:val="002D4EFD"/>
    <w:rsid w:val="002D51AA"/>
    <w:rsid w:val="002D5407"/>
    <w:rsid w:val="002D5BCE"/>
    <w:rsid w:val="002D5BFB"/>
    <w:rsid w:val="002D5DBD"/>
    <w:rsid w:val="002D5FCD"/>
    <w:rsid w:val="002D6174"/>
    <w:rsid w:val="002D61E1"/>
    <w:rsid w:val="002D61FB"/>
    <w:rsid w:val="002D62B2"/>
    <w:rsid w:val="002D62BB"/>
    <w:rsid w:val="002D660F"/>
    <w:rsid w:val="002D68E6"/>
    <w:rsid w:val="002D6941"/>
    <w:rsid w:val="002D6B31"/>
    <w:rsid w:val="002D6D93"/>
    <w:rsid w:val="002D6F39"/>
    <w:rsid w:val="002D6FFF"/>
    <w:rsid w:val="002D7388"/>
    <w:rsid w:val="002D73B5"/>
    <w:rsid w:val="002D758A"/>
    <w:rsid w:val="002D7708"/>
    <w:rsid w:val="002D77C2"/>
    <w:rsid w:val="002D7AF2"/>
    <w:rsid w:val="002D7C44"/>
    <w:rsid w:val="002D7F65"/>
    <w:rsid w:val="002D7FF5"/>
    <w:rsid w:val="002E0071"/>
    <w:rsid w:val="002E00FE"/>
    <w:rsid w:val="002E0151"/>
    <w:rsid w:val="002E0A26"/>
    <w:rsid w:val="002E0D38"/>
    <w:rsid w:val="002E0E1C"/>
    <w:rsid w:val="002E0E7A"/>
    <w:rsid w:val="002E1149"/>
    <w:rsid w:val="002E129F"/>
    <w:rsid w:val="002E158B"/>
    <w:rsid w:val="002E1754"/>
    <w:rsid w:val="002E1ABE"/>
    <w:rsid w:val="002E1F13"/>
    <w:rsid w:val="002E1F32"/>
    <w:rsid w:val="002E2050"/>
    <w:rsid w:val="002E2130"/>
    <w:rsid w:val="002E2191"/>
    <w:rsid w:val="002E22EA"/>
    <w:rsid w:val="002E234A"/>
    <w:rsid w:val="002E23A2"/>
    <w:rsid w:val="002E24B1"/>
    <w:rsid w:val="002E2B96"/>
    <w:rsid w:val="002E2C06"/>
    <w:rsid w:val="002E3231"/>
    <w:rsid w:val="002E32E2"/>
    <w:rsid w:val="002E399A"/>
    <w:rsid w:val="002E3FF5"/>
    <w:rsid w:val="002E4071"/>
    <w:rsid w:val="002E4AD9"/>
    <w:rsid w:val="002E4B37"/>
    <w:rsid w:val="002E4ED0"/>
    <w:rsid w:val="002E524E"/>
    <w:rsid w:val="002E5354"/>
    <w:rsid w:val="002E53D5"/>
    <w:rsid w:val="002E54D7"/>
    <w:rsid w:val="002E59B8"/>
    <w:rsid w:val="002E5B42"/>
    <w:rsid w:val="002E5D0E"/>
    <w:rsid w:val="002E611B"/>
    <w:rsid w:val="002E6191"/>
    <w:rsid w:val="002E62BA"/>
    <w:rsid w:val="002E636E"/>
    <w:rsid w:val="002E6610"/>
    <w:rsid w:val="002E66DD"/>
    <w:rsid w:val="002E679D"/>
    <w:rsid w:val="002E67D9"/>
    <w:rsid w:val="002E6B86"/>
    <w:rsid w:val="002E6C34"/>
    <w:rsid w:val="002E6E5B"/>
    <w:rsid w:val="002E7230"/>
    <w:rsid w:val="002E72ED"/>
    <w:rsid w:val="002E7376"/>
    <w:rsid w:val="002E76FF"/>
    <w:rsid w:val="002E7A6A"/>
    <w:rsid w:val="002F0180"/>
    <w:rsid w:val="002F0A55"/>
    <w:rsid w:val="002F0FB6"/>
    <w:rsid w:val="002F10B2"/>
    <w:rsid w:val="002F13C5"/>
    <w:rsid w:val="002F15A9"/>
    <w:rsid w:val="002F16DF"/>
    <w:rsid w:val="002F195D"/>
    <w:rsid w:val="002F1BF7"/>
    <w:rsid w:val="002F1CAC"/>
    <w:rsid w:val="002F1D53"/>
    <w:rsid w:val="002F1DE7"/>
    <w:rsid w:val="002F264C"/>
    <w:rsid w:val="002F2CC8"/>
    <w:rsid w:val="002F2CE2"/>
    <w:rsid w:val="002F33D3"/>
    <w:rsid w:val="002F34E6"/>
    <w:rsid w:val="002F3521"/>
    <w:rsid w:val="002F3677"/>
    <w:rsid w:val="002F3A27"/>
    <w:rsid w:val="002F3C38"/>
    <w:rsid w:val="002F3FDD"/>
    <w:rsid w:val="002F473A"/>
    <w:rsid w:val="002F49A2"/>
    <w:rsid w:val="002F4BC0"/>
    <w:rsid w:val="002F4D15"/>
    <w:rsid w:val="002F4DAD"/>
    <w:rsid w:val="002F4E51"/>
    <w:rsid w:val="002F4F00"/>
    <w:rsid w:val="002F5311"/>
    <w:rsid w:val="002F546F"/>
    <w:rsid w:val="002F55EF"/>
    <w:rsid w:val="002F58D1"/>
    <w:rsid w:val="002F5BBD"/>
    <w:rsid w:val="002F5CC7"/>
    <w:rsid w:val="002F5E98"/>
    <w:rsid w:val="002F5F38"/>
    <w:rsid w:val="002F6079"/>
    <w:rsid w:val="002F61F9"/>
    <w:rsid w:val="002F63CB"/>
    <w:rsid w:val="002F6746"/>
    <w:rsid w:val="002F680B"/>
    <w:rsid w:val="002F6977"/>
    <w:rsid w:val="002F6C50"/>
    <w:rsid w:val="002F6EDD"/>
    <w:rsid w:val="002F6FA4"/>
    <w:rsid w:val="002F7018"/>
    <w:rsid w:val="002F72DF"/>
    <w:rsid w:val="002F75C7"/>
    <w:rsid w:val="002F7878"/>
    <w:rsid w:val="002F7AA8"/>
    <w:rsid w:val="002F7E10"/>
    <w:rsid w:val="002F7E62"/>
    <w:rsid w:val="00300085"/>
    <w:rsid w:val="003000BB"/>
    <w:rsid w:val="0030017D"/>
    <w:rsid w:val="00300315"/>
    <w:rsid w:val="003004A2"/>
    <w:rsid w:val="00300710"/>
    <w:rsid w:val="00300871"/>
    <w:rsid w:val="00300990"/>
    <w:rsid w:val="00300A5E"/>
    <w:rsid w:val="00300AAF"/>
    <w:rsid w:val="00300BC8"/>
    <w:rsid w:val="00301230"/>
    <w:rsid w:val="00301242"/>
    <w:rsid w:val="00301286"/>
    <w:rsid w:val="0030187F"/>
    <w:rsid w:val="00302130"/>
    <w:rsid w:val="00302561"/>
    <w:rsid w:val="00302811"/>
    <w:rsid w:val="0030287A"/>
    <w:rsid w:val="003028AD"/>
    <w:rsid w:val="003029C8"/>
    <w:rsid w:val="00303369"/>
    <w:rsid w:val="00303462"/>
    <w:rsid w:val="00303B83"/>
    <w:rsid w:val="00303C9E"/>
    <w:rsid w:val="00303F66"/>
    <w:rsid w:val="00303F75"/>
    <w:rsid w:val="00303FB9"/>
    <w:rsid w:val="00304140"/>
    <w:rsid w:val="00304201"/>
    <w:rsid w:val="0030425A"/>
    <w:rsid w:val="00304386"/>
    <w:rsid w:val="00304654"/>
    <w:rsid w:val="00304686"/>
    <w:rsid w:val="00304696"/>
    <w:rsid w:val="003046BD"/>
    <w:rsid w:val="003049FC"/>
    <w:rsid w:val="00304ABA"/>
    <w:rsid w:val="00304ADC"/>
    <w:rsid w:val="00304B27"/>
    <w:rsid w:val="00304C8A"/>
    <w:rsid w:val="00304D71"/>
    <w:rsid w:val="00305245"/>
    <w:rsid w:val="00305614"/>
    <w:rsid w:val="00305706"/>
    <w:rsid w:val="00305840"/>
    <w:rsid w:val="00305995"/>
    <w:rsid w:val="00305C04"/>
    <w:rsid w:val="00305CF8"/>
    <w:rsid w:val="00305D26"/>
    <w:rsid w:val="00305E20"/>
    <w:rsid w:val="0030624B"/>
    <w:rsid w:val="00306323"/>
    <w:rsid w:val="00306439"/>
    <w:rsid w:val="00306767"/>
    <w:rsid w:val="00306BAA"/>
    <w:rsid w:val="00306CD5"/>
    <w:rsid w:val="00307077"/>
    <w:rsid w:val="0030752B"/>
    <w:rsid w:val="003076F7"/>
    <w:rsid w:val="00307C58"/>
    <w:rsid w:val="00307F0F"/>
    <w:rsid w:val="00307F1B"/>
    <w:rsid w:val="00307FE4"/>
    <w:rsid w:val="003102F5"/>
    <w:rsid w:val="00310333"/>
    <w:rsid w:val="00310439"/>
    <w:rsid w:val="0031058B"/>
    <w:rsid w:val="0031071F"/>
    <w:rsid w:val="00310789"/>
    <w:rsid w:val="00310B2F"/>
    <w:rsid w:val="00310CC6"/>
    <w:rsid w:val="00310D65"/>
    <w:rsid w:val="00310F6E"/>
    <w:rsid w:val="0031124B"/>
    <w:rsid w:val="00311561"/>
    <w:rsid w:val="003118B6"/>
    <w:rsid w:val="00311A79"/>
    <w:rsid w:val="00311B3F"/>
    <w:rsid w:val="00312039"/>
    <w:rsid w:val="003120C7"/>
    <w:rsid w:val="003122E9"/>
    <w:rsid w:val="00312381"/>
    <w:rsid w:val="003123A4"/>
    <w:rsid w:val="003123AF"/>
    <w:rsid w:val="003123C2"/>
    <w:rsid w:val="003125EC"/>
    <w:rsid w:val="0031272D"/>
    <w:rsid w:val="00312B96"/>
    <w:rsid w:val="00313048"/>
    <w:rsid w:val="0031333A"/>
    <w:rsid w:val="00313542"/>
    <w:rsid w:val="00313DE4"/>
    <w:rsid w:val="00313E9D"/>
    <w:rsid w:val="00313F34"/>
    <w:rsid w:val="00313FF3"/>
    <w:rsid w:val="00314094"/>
    <w:rsid w:val="0031409F"/>
    <w:rsid w:val="00314213"/>
    <w:rsid w:val="00314527"/>
    <w:rsid w:val="00314564"/>
    <w:rsid w:val="00314796"/>
    <w:rsid w:val="00314AE5"/>
    <w:rsid w:val="00314BA4"/>
    <w:rsid w:val="00314C37"/>
    <w:rsid w:val="00314C60"/>
    <w:rsid w:val="0031527A"/>
    <w:rsid w:val="00315987"/>
    <w:rsid w:val="00315A97"/>
    <w:rsid w:val="00315D7A"/>
    <w:rsid w:val="00315F7F"/>
    <w:rsid w:val="00315F99"/>
    <w:rsid w:val="00316071"/>
    <w:rsid w:val="003163C0"/>
    <w:rsid w:val="00316404"/>
    <w:rsid w:val="003166C0"/>
    <w:rsid w:val="0031677D"/>
    <w:rsid w:val="003169A2"/>
    <w:rsid w:val="00317029"/>
    <w:rsid w:val="003173A9"/>
    <w:rsid w:val="0031768D"/>
    <w:rsid w:val="00317898"/>
    <w:rsid w:val="00317B96"/>
    <w:rsid w:val="00317D6D"/>
    <w:rsid w:val="00317DA1"/>
    <w:rsid w:val="00317E40"/>
    <w:rsid w:val="00317E99"/>
    <w:rsid w:val="00317F63"/>
    <w:rsid w:val="0032022D"/>
    <w:rsid w:val="003206DA"/>
    <w:rsid w:val="00320823"/>
    <w:rsid w:val="00320BD1"/>
    <w:rsid w:val="00320BDA"/>
    <w:rsid w:val="00320EF4"/>
    <w:rsid w:val="00321324"/>
    <w:rsid w:val="003216A4"/>
    <w:rsid w:val="00321740"/>
    <w:rsid w:val="0032199B"/>
    <w:rsid w:val="00321A7C"/>
    <w:rsid w:val="00322178"/>
    <w:rsid w:val="00322224"/>
    <w:rsid w:val="00322271"/>
    <w:rsid w:val="003223F2"/>
    <w:rsid w:val="00322A72"/>
    <w:rsid w:val="00322AC7"/>
    <w:rsid w:val="003230A7"/>
    <w:rsid w:val="00323157"/>
    <w:rsid w:val="00323269"/>
    <w:rsid w:val="00323A9F"/>
    <w:rsid w:val="00323C5C"/>
    <w:rsid w:val="00323CB5"/>
    <w:rsid w:val="003241BB"/>
    <w:rsid w:val="0032420E"/>
    <w:rsid w:val="003243F2"/>
    <w:rsid w:val="00324531"/>
    <w:rsid w:val="00324644"/>
    <w:rsid w:val="00324788"/>
    <w:rsid w:val="00324EDD"/>
    <w:rsid w:val="0032533A"/>
    <w:rsid w:val="003258A7"/>
    <w:rsid w:val="00325CA5"/>
    <w:rsid w:val="00325EE4"/>
    <w:rsid w:val="003263FD"/>
    <w:rsid w:val="00326420"/>
    <w:rsid w:val="00326448"/>
    <w:rsid w:val="003268C1"/>
    <w:rsid w:val="003269BD"/>
    <w:rsid w:val="00326CEB"/>
    <w:rsid w:val="0032706D"/>
    <w:rsid w:val="003270CA"/>
    <w:rsid w:val="0032726E"/>
    <w:rsid w:val="003273D6"/>
    <w:rsid w:val="003274AB"/>
    <w:rsid w:val="00327583"/>
    <w:rsid w:val="00327732"/>
    <w:rsid w:val="003278D5"/>
    <w:rsid w:val="00327A3D"/>
    <w:rsid w:val="00327BA4"/>
    <w:rsid w:val="00327FD9"/>
    <w:rsid w:val="00327FF7"/>
    <w:rsid w:val="00330565"/>
    <w:rsid w:val="00330A14"/>
    <w:rsid w:val="00330BBC"/>
    <w:rsid w:val="00330C61"/>
    <w:rsid w:val="00330E51"/>
    <w:rsid w:val="00330F66"/>
    <w:rsid w:val="00330F6C"/>
    <w:rsid w:val="00330FD3"/>
    <w:rsid w:val="00330FE7"/>
    <w:rsid w:val="0033129D"/>
    <w:rsid w:val="0033142F"/>
    <w:rsid w:val="00331680"/>
    <w:rsid w:val="0033188B"/>
    <w:rsid w:val="00331AD4"/>
    <w:rsid w:val="00331CBA"/>
    <w:rsid w:val="00331EB5"/>
    <w:rsid w:val="00331FA6"/>
    <w:rsid w:val="00331FB0"/>
    <w:rsid w:val="003322BA"/>
    <w:rsid w:val="003322DD"/>
    <w:rsid w:val="0033230B"/>
    <w:rsid w:val="003323E7"/>
    <w:rsid w:val="00332477"/>
    <w:rsid w:val="003324C6"/>
    <w:rsid w:val="00332688"/>
    <w:rsid w:val="0033274B"/>
    <w:rsid w:val="0033276A"/>
    <w:rsid w:val="0033288C"/>
    <w:rsid w:val="003329AA"/>
    <w:rsid w:val="0033301F"/>
    <w:rsid w:val="003330F6"/>
    <w:rsid w:val="003331E3"/>
    <w:rsid w:val="003334C0"/>
    <w:rsid w:val="00333544"/>
    <w:rsid w:val="003335AF"/>
    <w:rsid w:val="00333BC6"/>
    <w:rsid w:val="00333C26"/>
    <w:rsid w:val="00333CCF"/>
    <w:rsid w:val="0033416E"/>
    <w:rsid w:val="003342CA"/>
    <w:rsid w:val="00334678"/>
    <w:rsid w:val="003348B5"/>
    <w:rsid w:val="00334D30"/>
    <w:rsid w:val="00334E64"/>
    <w:rsid w:val="00335379"/>
    <w:rsid w:val="003354BD"/>
    <w:rsid w:val="00335800"/>
    <w:rsid w:val="00335891"/>
    <w:rsid w:val="0033597B"/>
    <w:rsid w:val="00335B2B"/>
    <w:rsid w:val="00335F70"/>
    <w:rsid w:val="003361D9"/>
    <w:rsid w:val="003363FB"/>
    <w:rsid w:val="00336476"/>
    <w:rsid w:val="00336550"/>
    <w:rsid w:val="003365D2"/>
    <w:rsid w:val="00336718"/>
    <w:rsid w:val="00336C83"/>
    <w:rsid w:val="003371B6"/>
    <w:rsid w:val="00337310"/>
    <w:rsid w:val="003373F4"/>
    <w:rsid w:val="00337552"/>
    <w:rsid w:val="00337CDB"/>
    <w:rsid w:val="0034037B"/>
    <w:rsid w:val="003403B1"/>
    <w:rsid w:val="003404A5"/>
    <w:rsid w:val="00340546"/>
    <w:rsid w:val="00340579"/>
    <w:rsid w:val="003408C9"/>
    <w:rsid w:val="00340994"/>
    <w:rsid w:val="00340B56"/>
    <w:rsid w:val="00340D59"/>
    <w:rsid w:val="00340F08"/>
    <w:rsid w:val="0034116D"/>
    <w:rsid w:val="0034128A"/>
    <w:rsid w:val="00341430"/>
    <w:rsid w:val="003416A2"/>
    <w:rsid w:val="00341716"/>
    <w:rsid w:val="00341895"/>
    <w:rsid w:val="00341977"/>
    <w:rsid w:val="00341B9D"/>
    <w:rsid w:val="003426E5"/>
    <w:rsid w:val="003428A7"/>
    <w:rsid w:val="00342931"/>
    <w:rsid w:val="003429D5"/>
    <w:rsid w:val="00342AE8"/>
    <w:rsid w:val="00342BE6"/>
    <w:rsid w:val="00342C30"/>
    <w:rsid w:val="00342C82"/>
    <w:rsid w:val="00342CAA"/>
    <w:rsid w:val="003430F4"/>
    <w:rsid w:val="00343377"/>
    <w:rsid w:val="00343443"/>
    <w:rsid w:val="00343486"/>
    <w:rsid w:val="003436AA"/>
    <w:rsid w:val="00343991"/>
    <w:rsid w:val="00343B8C"/>
    <w:rsid w:val="00343C09"/>
    <w:rsid w:val="00343E5A"/>
    <w:rsid w:val="00343E5C"/>
    <w:rsid w:val="00343F6E"/>
    <w:rsid w:val="003444A2"/>
    <w:rsid w:val="003445C4"/>
    <w:rsid w:val="003448EB"/>
    <w:rsid w:val="00344B15"/>
    <w:rsid w:val="00344B2D"/>
    <w:rsid w:val="00344BA9"/>
    <w:rsid w:val="00344D00"/>
    <w:rsid w:val="00344EA3"/>
    <w:rsid w:val="00344FB8"/>
    <w:rsid w:val="00345063"/>
    <w:rsid w:val="0034513C"/>
    <w:rsid w:val="003457CC"/>
    <w:rsid w:val="003457F7"/>
    <w:rsid w:val="00345A0E"/>
    <w:rsid w:val="00345D72"/>
    <w:rsid w:val="00345D97"/>
    <w:rsid w:val="00345E36"/>
    <w:rsid w:val="00346255"/>
    <w:rsid w:val="003464BA"/>
    <w:rsid w:val="003467D4"/>
    <w:rsid w:val="003468A2"/>
    <w:rsid w:val="003468D9"/>
    <w:rsid w:val="00346912"/>
    <w:rsid w:val="00346B70"/>
    <w:rsid w:val="00346B98"/>
    <w:rsid w:val="00346FD3"/>
    <w:rsid w:val="00346FDC"/>
    <w:rsid w:val="00347024"/>
    <w:rsid w:val="00347963"/>
    <w:rsid w:val="00347DE5"/>
    <w:rsid w:val="00350190"/>
    <w:rsid w:val="003509BF"/>
    <w:rsid w:val="00350A66"/>
    <w:rsid w:val="00351145"/>
    <w:rsid w:val="003511C4"/>
    <w:rsid w:val="003514DB"/>
    <w:rsid w:val="00351579"/>
    <w:rsid w:val="003516F9"/>
    <w:rsid w:val="00351924"/>
    <w:rsid w:val="00351BCE"/>
    <w:rsid w:val="00351FDC"/>
    <w:rsid w:val="00351FF3"/>
    <w:rsid w:val="003520AF"/>
    <w:rsid w:val="00352140"/>
    <w:rsid w:val="003522F9"/>
    <w:rsid w:val="00352D4A"/>
    <w:rsid w:val="00352DE8"/>
    <w:rsid w:val="00352FBE"/>
    <w:rsid w:val="00352FEF"/>
    <w:rsid w:val="003531C3"/>
    <w:rsid w:val="0035336D"/>
    <w:rsid w:val="00353574"/>
    <w:rsid w:val="003536A9"/>
    <w:rsid w:val="00353B3C"/>
    <w:rsid w:val="00353CAB"/>
    <w:rsid w:val="00353D51"/>
    <w:rsid w:val="00353DDE"/>
    <w:rsid w:val="00354056"/>
    <w:rsid w:val="00354066"/>
    <w:rsid w:val="00354117"/>
    <w:rsid w:val="0035437F"/>
    <w:rsid w:val="003543D0"/>
    <w:rsid w:val="003544A5"/>
    <w:rsid w:val="003544BA"/>
    <w:rsid w:val="0035476E"/>
    <w:rsid w:val="0035483E"/>
    <w:rsid w:val="00354A48"/>
    <w:rsid w:val="00354B8C"/>
    <w:rsid w:val="00354BC2"/>
    <w:rsid w:val="00354C7F"/>
    <w:rsid w:val="00354CDF"/>
    <w:rsid w:val="00355614"/>
    <w:rsid w:val="00355680"/>
    <w:rsid w:val="003557A3"/>
    <w:rsid w:val="00355E3E"/>
    <w:rsid w:val="00355EF0"/>
    <w:rsid w:val="0035625C"/>
    <w:rsid w:val="0035628A"/>
    <w:rsid w:val="00356360"/>
    <w:rsid w:val="0035650C"/>
    <w:rsid w:val="003567D7"/>
    <w:rsid w:val="00356A3E"/>
    <w:rsid w:val="00356CD8"/>
    <w:rsid w:val="00356DA2"/>
    <w:rsid w:val="00356FB8"/>
    <w:rsid w:val="00356FF9"/>
    <w:rsid w:val="0035734E"/>
    <w:rsid w:val="0035751A"/>
    <w:rsid w:val="00357525"/>
    <w:rsid w:val="0035788C"/>
    <w:rsid w:val="003578CB"/>
    <w:rsid w:val="00357FE5"/>
    <w:rsid w:val="0036017B"/>
    <w:rsid w:val="003605AA"/>
    <w:rsid w:val="003605F4"/>
    <w:rsid w:val="003608E9"/>
    <w:rsid w:val="00360918"/>
    <w:rsid w:val="00360C86"/>
    <w:rsid w:val="00360CB3"/>
    <w:rsid w:val="00360DF9"/>
    <w:rsid w:val="00361482"/>
    <w:rsid w:val="00361607"/>
    <w:rsid w:val="003619D7"/>
    <w:rsid w:val="00362003"/>
    <w:rsid w:val="00362154"/>
    <w:rsid w:val="0036232A"/>
    <w:rsid w:val="003625AF"/>
    <w:rsid w:val="00362648"/>
    <w:rsid w:val="0036264A"/>
    <w:rsid w:val="00362755"/>
    <w:rsid w:val="00362858"/>
    <w:rsid w:val="003628C0"/>
    <w:rsid w:val="00362926"/>
    <w:rsid w:val="00362A4A"/>
    <w:rsid w:val="00362A74"/>
    <w:rsid w:val="00362A86"/>
    <w:rsid w:val="00362F97"/>
    <w:rsid w:val="00362FCD"/>
    <w:rsid w:val="003635AA"/>
    <w:rsid w:val="00363B6C"/>
    <w:rsid w:val="00363BAB"/>
    <w:rsid w:val="00363E18"/>
    <w:rsid w:val="00363E6E"/>
    <w:rsid w:val="00364152"/>
    <w:rsid w:val="0036435D"/>
    <w:rsid w:val="0036441B"/>
    <w:rsid w:val="0036464C"/>
    <w:rsid w:val="00364672"/>
    <w:rsid w:val="00364B14"/>
    <w:rsid w:val="00364D62"/>
    <w:rsid w:val="00364E6A"/>
    <w:rsid w:val="00364F69"/>
    <w:rsid w:val="00364FE8"/>
    <w:rsid w:val="0036524A"/>
    <w:rsid w:val="00365417"/>
    <w:rsid w:val="00365809"/>
    <w:rsid w:val="003659DB"/>
    <w:rsid w:val="00365AE4"/>
    <w:rsid w:val="00365B22"/>
    <w:rsid w:val="00365B6F"/>
    <w:rsid w:val="0036643A"/>
    <w:rsid w:val="00366621"/>
    <w:rsid w:val="00366A6B"/>
    <w:rsid w:val="00366A88"/>
    <w:rsid w:val="003675B1"/>
    <w:rsid w:val="00367665"/>
    <w:rsid w:val="00367748"/>
    <w:rsid w:val="00367A58"/>
    <w:rsid w:val="00367D28"/>
    <w:rsid w:val="0037011F"/>
    <w:rsid w:val="0037025F"/>
    <w:rsid w:val="003706EA"/>
    <w:rsid w:val="00370A55"/>
    <w:rsid w:val="00370F82"/>
    <w:rsid w:val="00370F95"/>
    <w:rsid w:val="00371316"/>
    <w:rsid w:val="003715AD"/>
    <w:rsid w:val="003715E2"/>
    <w:rsid w:val="00371A01"/>
    <w:rsid w:val="00371A9B"/>
    <w:rsid w:val="003720DD"/>
    <w:rsid w:val="003722C1"/>
    <w:rsid w:val="00372A69"/>
    <w:rsid w:val="00372A78"/>
    <w:rsid w:val="00372C5D"/>
    <w:rsid w:val="00372F70"/>
    <w:rsid w:val="0037327B"/>
    <w:rsid w:val="0037328A"/>
    <w:rsid w:val="003736DC"/>
    <w:rsid w:val="0037374C"/>
    <w:rsid w:val="0037386B"/>
    <w:rsid w:val="00373A52"/>
    <w:rsid w:val="00373B93"/>
    <w:rsid w:val="00373C3A"/>
    <w:rsid w:val="00373C95"/>
    <w:rsid w:val="00373CBA"/>
    <w:rsid w:val="00373D19"/>
    <w:rsid w:val="00373FCE"/>
    <w:rsid w:val="0037404C"/>
    <w:rsid w:val="00374302"/>
    <w:rsid w:val="00374411"/>
    <w:rsid w:val="003744F0"/>
    <w:rsid w:val="00374670"/>
    <w:rsid w:val="00374BF6"/>
    <w:rsid w:val="00374DD7"/>
    <w:rsid w:val="0037518B"/>
    <w:rsid w:val="003759F2"/>
    <w:rsid w:val="00376065"/>
    <w:rsid w:val="00376485"/>
    <w:rsid w:val="003766E1"/>
    <w:rsid w:val="003766FF"/>
    <w:rsid w:val="00376BDE"/>
    <w:rsid w:val="00376DE8"/>
    <w:rsid w:val="00376E7C"/>
    <w:rsid w:val="00376EBB"/>
    <w:rsid w:val="00377384"/>
    <w:rsid w:val="0037792C"/>
    <w:rsid w:val="00377959"/>
    <w:rsid w:val="00377AE1"/>
    <w:rsid w:val="00377BA8"/>
    <w:rsid w:val="00380018"/>
    <w:rsid w:val="0038013C"/>
    <w:rsid w:val="00380468"/>
    <w:rsid w:val="00380527"/>
    <w:rsid w:val="0038074D"/>
    <w:rsid w:val="0038091F"/>
    <w:rsid w:val="00380CD1"/>
    <w:rsid w:val="00380EB7"/>
    <w:rsid w:val="00380EBA"/>
    <w:rsid w:val="003811A4"/>
    <w:rsid w:val="0038133C"/>
    <w:rsid w:val="003813AB"/>
    <w:rsid w:val="0038154E"/>
    <w:rsid w:val="0038166B"/>
    <w:rsid w:val="00381685"/>
    <w:rsid w:val="003818A0"/>
    <w:rsid w:val="00381D72"/>
    <w:rsid w:val="00381F02"/>
    <w:rsid w:val="00381F10"/>
    <w:rsid w:val="00381F4E"/>
    <w:rsid w:val="00382028"/>
    <w:rsid w:val="00382265"/>
    <w:rsid w:val="003823B5"/>
    <w:rsid w:val="00382946"/>
    <w:rsid w:val="003829C4"/>
    <w:rsid w:val="00382B8B"/>
    <w:rsid w:val="00382EBA"/>
    <w:rsid w:val="00382F88"/>
    <w:rsid w:val="00383158"/>
    <w:rsid w:val="003834FF"/>
    <w:rsid w:val="00383617"/>
    <w:rsid w:val="003836B8"/>
    <w:rsid w:val="00383743"/>
    <w:rsid w:val="00383866"/>
    <w:rsid w:val="00383907"/>
    <w:rsid w:val="003839E9"/>
    <w:rsid w:val="00383D51"/>
    <w:rsid w:val="00383F16"/>
    <w:rsid w:val="00383FBF"/>
    <w:rsid w:val="00384360"/>
    <w:rsid w:val="00384451"/>
    <w:rsid w:val="003844FA"/>
    <w:rsid w:val="003845C7"/>
    <w:rsid w:val="003846DF"/>
    <w:rsid w:val="00384938"/>
    <w:rsid w:val="00384B98"/>
    <w:rsid w:val="00384C30"/>
    <w:rsid w:val="0038510A"/>
    <w:rsid w:val="00385256"/>
    <w:rsid w:val="0038528D"/>
    <w:rsid w:val="00385BA4"/>
    <w:rsid w:val="0038602B"/>
    <w:rsid w:val="003861AF"/>
    <w:rsid w:val="00386400"/>
    <w:rsid w:val="00386640"/>
    <w:rsid w:val="00386963"/>
    <w:rsid w:val="00386B81"/>
    <w:rsid w:val="00387129"/>
    <w:rsid w:val="003871F4"/>
    <w:rsid w:val="0038720E"/>
    <w:rsid w:val="00387768"/>
    <w:rsid w:val="003878D6"/>
    <w:rsid w:val="00387CD6"/>
    <w:rsid w:val="00387E39"/>
    <w:rsid w:val="00390420"/>
    <w:rsid w:val="00390483"/>
    <w:rsid w:val="00390534"/>
    <w:rsid w:val="0039055C"/>
    <w:rsid w:val="003905CC"/>
    <w:rsid w:val="003906A4"/>
    <w:rsid w:val="003907F9"/>
    <w:rsid w:val="00390B7B"/>
    <w:rsid w:val="00390BDA"/>
    <w:rsid w:val="00390CA7"/>
    <w:rsid w:val="00390CB2"/>
    <w:rsid w:val="00391413"/>
    <w:rsid w:val="003914C3"/>
    <w:rsid w:val="003914D4"/>
    <w:rsid w:val="003915F8"/>
    <w:rsid w:val="0039189C"/>
    <w:rsid w:val="00391BC7"/>
    <w:rsid w:val="00391E07"/>
    <w:rsid w:val="00391EA3"/>
    <w:rsid w:val="00391FBC"/>
    <w:rsid w:val="00392002"/>
    <w:rsid w:val="00392014"/>
    <w:rsid w:val="0039207E"/>
    <w:rsid w:val="0039225F"/>
    <w:rsid w:val="003922D5"/>
    <w:rsid w:val="00392385"/>
    <w:rsid w:val="003924B3"/>
    <w:rsid w:val="003929CD"/>
    <w:rsid w:val="00392A10"/>
    <w:rsid w:val="00392A48"/>
    <w:rsid w:val="00392AD6"/>
    <w:rsid w:val="00392D30"/>
    <w:rsid w:val="00392DBD"/>
    <w:rsid w:val="00393224"/>
    <w:rsid w:val="003939B4"/>
    <w:rsid w:val="00393E26"/>
    <w:rsid w:val="00393E8B"/>
    <w:rsid w:val="00393F0A"/>
    <w:rsid w:val="0039405E"/>
    <w:rsid w:val="0039421B"/>
    <w:rsid w:val="003943AD"/>
    <w:rsid w:val="00394599"/>
    <w:rsid w:val="003946F1"/>
    <w:rsid w:val="0039490F"/>
    <w:rsid w:val="00394DC2"/>
    <w:rsid w:val="00394FA6"/>
    <w:rsid w:val="0039507D"/>
    <w:rsid w:val="003955CF"/>
    <w:rsid w:val="00395BBF"/>
    <w:rsid w:val="00396127"/>
    <w:rsid w:val="003963A6"/>
    <w:rsid w:val="0039673B"/>
    <w:rsid w:val="00396926"/>
    <w:rsid w:val="00396934"/>
    <w:rsid w:val="003969ED"/>
    <w:rsid w:val="00396A7D"/>
    <w:rsid w:val="00396AA0"/>
    <w:rsid w:val="0039741A"/>
    <w:rsid w:val="003974B3"/>
    <w:rsid w:val="00397534"/>
    <w:rsid w:val="00397709"/>
    <w:rsid w:val="003978A7"/>
    <w:rsid w:val="00397D31"/>
    <w:rsid w:val="00397E3E"/>
    <w:rsid w:val="003A00F0"/>
    <w:rsid w:val="003A017A"/>
    <w:rsid w:val="003A01D9"/>
    <w:rsid w:val="003A01E1"/>
    <w:rsid w:val="003A0252"/>
    <w:rsid w:val="003A02CA"/>
    <w:rsid w:val="003A033F"/>
    <w:rsid w:val="003A0365"/>
    <w:rsid w:val="003A03A5"/>
    <w:rsid w:val="003A0496"/>
    <w:rsid w:val="003A0530"/>
    <w:rsid w:val="003A0624"/>
    <w:rsid w:val="003A06D6"/>
    <w:rsid w:val="003A08C9"/>
    <w:rsid w:val="003A0B3A"/>
    <w:rsid w:val="003A0F1E"/>
    <w:rsid w:val="003A0F95"/>
    <w:rsid w:val="003A16C9"/>
    <w:rsid w:val="003A16CA"/>
    <w:rsid w:val="003A1741"/>
    <w:rsid w:val="003A1BD9"/>
    <w:rsid w:val="003A1FD2"/>
    <w:rsid w:val="003A2340"/>
    <w:rsid w:val="003A23D5"/>
    <w:rsid w:val="003A2458"/>
    <w:rsid w:val="003A2487"/>
    <w:rsid w:val="003A2658"/>
    <w:rsid w:val="003A27E0"/>
    <w:rsid w:val="003A29AF"/>
    <w:rsid w:val="003A2E69"/>
    <w:rsid w:val="003A2E7C"/>
    <w:rsid w:val="003A2F44"/>
    <w:rsid w:val="003A30B9"/>
    <w:rsid w:val="003A367C"/>
    <w:rsid w:val="003A36D6"/>
    <w:rsid w:val="003A3738"/>
    <w:rsid w:val="003A3750"/>
    <w:rsid w:val="003A38F0"/>
    <w:rsid w:val="003A399B"/>
    <w:rsid w:val="003A3D2B"/>
    <w:rsid w:val="003A3F80"/>
    <w:rsid w:val="003A3FD3"/>
    <w:rsid w:val="003A40DA"/>
    <w:rsid w:val="003A40EC"/>
    <w:rsid w:val="003A42DC"/>
    <w:rsid w:val="003A44F5"/>
    <w:rsid w:val="003A4772"/>
    <w:rsid w:val="003A485E"/>
    <w:rsid w:val="003A4A73"/>
    <w:rsid w:val="003A4C51"/>
    <w:rsid w:val="003A4CFF"/>
    <w:rsid w:val="003A4EDE"/>
    <w:rsid w:val="003A4EF5"/>
    <w:rsid w:val="003A501B"/>
    <w:rsid w:val="003A507A"/>
    <w:rsid w:val="003A50EE"/>
    <w:rsid w:val="003A54BD"/>
    <w:rsid w:val="003A5530"/>
    <w:rsid w:val="003A5777"/>
    <w:rsid w:val="003A5825"/>
    <w:rsid w:val="003A58BA"/>
    <w:rsid w:val="003A5E3A"/>
    <w:rsid w:val="003A5EF2"/>
    <w:rsid w:val="003A629C"/>
    <w:rsid w:val="003A6305"/>
    <w:rsid w:val="003A6CC3"/>
    <w:rsid w:val="003A6E93"/>
    <w:rsid w:val="003A76AF"/>
    <w:rsid w:val="003A77C2"/>
    <w:rsid w:val="003A79E0"/>
    <w:rsid w:val="003A7C6C"/>
    <w:rsid w:val="003A7F49"/>
    <w:rsid w:val="003B02C3"/>
    <w:rsid w:val="003B02F0"/>
    <w:rsid w:val="003B0323"/>
    <w:rsid w:val="003B03F1"/>
    <w:rsid w:val="003B0DC5"/>
    <w:rsid w:val="003B0DDC"/>
    <w:rsid w:val="003B11A5"/>
    <w:rsid w:val="003B11C3"/>
    <w:rsid w:val="003B15CC"/>
    <w:rsid w:val="003B18C2"/>
    <w:rsid w:val="003B1CAE"/>
    <w:rsid w:val="003B2169"/>
    <w:rsid w:val="003B26CA"/>
    <w:rsid w:val="003B27BB"/>
    <w:rsid w:val="003B28D5"/>
    <w:rsid w:val="003B2B74"/>
    <w:rsid w:val="003B2C80"/>
    <w:rsid w:val="003B2CCD"/>
    <w:rsid w:val="003B2E06"/>
    <w:rsid w:val="003B2E2A"/>
    <w:rsid w:val="003B2F71"/>
    <w:rsid w:val="003B31AB"/>
    <w:rsid w:val="003B335D"/>
    <w:rsid w:val="003B34E0"/>
    <w:rsid w:val="003B35E3"/>
    <w:rsid w:val="003B3A76"/>
    <w:rsid w:val="003B3C99"/>
    <w:rsid w:val="003B3FDF"/>
    <w:rsid w:val="003B4044"/>
    <w:rsid w:val="003B40AD"/>
    <w:rsid w:val="003B4111"/>
    <w:rsid w:val="003B4553"/>
    <w:rsid w:val="003B45FC"/>
    <w:rsid w:val="003B49AE"/>
    <w:rsid w:val="003B4A42"/>
    <w:rsid w:val="003B4A45"/>
    <w:rsid w:val="003B4B45"/>
    <w:rsid w:val="003B4D12"/>
    <w:rsid w:val="003B4E55"/>
    <w:rsid w:val="003B5068"/>
    <w:rsid w:val="003B515E"/>
    <w:rsid w:val="003B51C5"/>
    <w:rsid w:val="003B59E2"/>
    <w:rsid w:val="003B5BA1"/>
    <w:rsid w:val="003B5D07"/>
    <w:rsid w:val="003B5DBA"/>
    <w:rsid w:val="003B5E5F"/>
    <w:rsid w:val="003B61EA"/>
    <w:rsid w:val="003B62BD"/>
    <w:rsid w:val="003B6332"/>
    <w:rsid w:val="003B63D0"/>
    <w:rsid w:val="003B696D"/>
    <w:rsid w:val="003B6A48"/>
    <w:rsid w:val="003B6C05"/>
    <w:rsid w:val="003B6C9C"/>
    <w:rsid w:val="003B6CF4"/>
    <w:rsid w:val="003B6F7B"/>
    <w:rsid w:val="003B7097"/>
    <w:rsid w:val="003B70F9"/>
    <w:rsid w:val="003B757F"/>
    <w:rsid w:val="003B7AB3"/>
    <w:rsid w:val="003B7C0A"/>
    <w:rsid w:val="003C0083"/>
    <w:rsid w:val="003C0179"/>
    <w:rsid w:val="003C06FF"/>
    <w:rsid w:val="003C0702"/>
    <w:rsid w:val="003C077E"/>
    <w:rsid w:val="003C0A7B"/>
    <w:rsid w:val="003C0B7C"/>
    <w:rsid w:val="003C0D8C"/>
    <w:rsid w:val="003C0F98"/>
    <w:rsid w:val="003C1180"/>
    <w:rsid w:val="003C12FC"/>
    <w:rsid w:val="003C131A"/>
    <w:rsid w:val="003C149B"/>
    <w:rsid w:val="003C1677"/>
    <w:rsid w:val="003C17A0"/>
    <w:rsid w:val="003C17AB"/>
    <w:rsid w:val="003C18BF"/>
    <w:rsid w:val="003C18C9"/>
    <w:rsid w:val="003C195E"/>
    <w:rsid w:val="003C1CEC"/>
    <w:rsid w:val="003C2066"/>
    <w:rsid w:val="003C2D59"/>
    <w:rsid w:val="003C2DD5"/>
    <w:rsid w:val="003C2F3D"/>
    <w:rsid w:val="003C3014"/>
    <w:rsid w:val="003C3142"/>
    <w:rsid w:val="003C32E6"/>
    <w:rsid w:val="003C3367"/>
    <w:rsid w:val="003C3504"/>
    <w:rsid w:val="003C3581"/>
    <w:rsid w:val="003C36AC"/>
    <w:rsid w:val="003C3AA3"/>
    <w:rsid w:val="003C3BEE"/>
    <w:rsid w:val="003C3C69"/>
    <w:rsid w:val="003C3C95"/>
    <w:rsid w:val="003C3DE8"/>
    <w:rsid w:val="003C4420"/>
    <w:rsid w:val="003C44FA"/>
    <w:rsid w:val="003C47A6"/>
    <w:rsid w:val="003C49C7"/>
    <w:rsid w:val="003C4C96"/>
    <w:rsid w:val="003C4D4A"/>
    <w:rsid w:val="003C4DDC"/>
    <w:rsid w:val="003C4DE7"/>
    <w:rsid w:val="003C4E77"/>
    <w:rsid w:val="003C4E87"/>
    <w:rsid w:val="003C4EE0"/>
    <w:rsid w:val="003C4F2C"/>
    <w:rsid w:val="003C50B0"/>
    <w:rsid w:val="003C50BD"/>
    <w:rsid w:val="003C530C"/>
    <w:rsid w:val="003C5676"/>
    <w:rsid w:val="003C587F"/>
    <w:rsid w:val="003C5899"/>
    <w:rsid w:val="003C59F1"/>
    <w:rsid w:val="003C5DF4"/>
    <w:rsid w:val="003C6132"/>
    <w:rsid w:val="003C6191"/>
    <w:rsid w:val="003C6235"/>
    <w:rsid w:val="003C63D3"/>
    <w:rsid w:val="003C64F8"/>
    <w:rsid w:val="003C65B1"/>
    <w:rsid w:val="003C65B3"/>
    <w:rsid w:val="003C6609"/>
    <w:rsid w:val="003C6F30"/>
    <w:rsid w:val="003C6F8B"/>
    <w:rsid w:val="003C7141"/>
    <w:rsid w:val="003C7170"/>
    <w:rsid w:val="003C752B"/>
    <w:rsid w:val="003C77B2"/>
    <w:rsid w:val="003C77FE"/>
    <w:rsid w:val="003C7A33"/>
    <w:rsid w:val="003C7B71"/>
    <w:rsid w:val="003C7EFE"/>
    <w:rsid w:val="003C7F50"/>
    <w:rsid w:val="003D00EF"/>
    <w:rsid w:val="003D0257"/>
    <w:rsid w:val="003D02CD"/>
    <w:rsid w:val="003D053F"/>
    <w:rsid w:val="003D063D"/>
    <w:rsid w:val="003D07C1"/>
    <w:rsid w:val="003D083E"/>
    <w:rsid w:val="003D09BA"/>
    <w:rsid w:val="003D0A2A"/>
    <w:rsid w:val="003D0CD9"/>
    <w:rsid w:val="003D0CE8"/>
    <w:rsid w:val="003D0FA9"/>
    <w:rsid w:val="003D0FDB"/>
    <w:rsid w:val="003D1128"/>
    <w:rsid w:val="003D1183"/>
    <w:rsid w:val="003D13ED"/>
    <w:rsid w:val="003D14CB"/>
    <w:rsid w:val="003D14D9"/>
    <w:rsid w:val="003D157C"/>
    <w:rsid w:val="003D170D"/>
    <w:rsid w:val="003D19FB"/>
    <w:rsid w:val="003D1A07"/>
    <w:rsid w:val="003D1A6A"/>
    <w:rsid w:val="003D1B9E"/>
    <w:rsid w:val="003D1CC9"/>
    <w:rsid w:val="003D2536"/>
    <w:rsid w:val="003D28B9"/>
    <w:rsid w:val="003D2EA7"/>
    <w:rsid w:val="003D2F34"/>
    <w:rsid w:val="003D2F7D"/>
    <w:rsid w:val="003D332F"/>
    <w:rsid w:val="003D34A2"/>
    <w:rsid w:val="003D3668"/>
    <w:rsid w:val="003D395B"/>
    <w:rsid w:val="003D39A9"/>
    <w:rsid w:val="003D39C5"/>
    <w:rsid w:val="003D3BE5"/>
    <w:rsid w:val="003D3C65"/>
    <w:rsid w:val="003D4235"/>
    <w:rsid w:val="003D438E"/>
    <w:rsid w:val="003D45BD"/>
    <w:rsid w:val="003D46D6"/>
    <w:rsid w:val="003D4BA3"/>
    <w:rsid w:val="003D4D87"/>
    <w:rsid w:val="003D4DD5"/>
    <w:rsid w:val="003D4EF6"/>
    <w:rsid w:val="003D507B"/>
    <w:rsid w:val="003D5114"/>
    <w:rsid w:val="003D5353"/>
    <w:rsid w:val="003D54A5"/>
    <w:rsid w:val="003D554A"/>
    <w:rsid w:val="003D5AF8"/>
    <w:rsid w:val="003D5D09"/>
    <w:rsid w:val="003D5D96"/>
    <w:rsid w:val="003D6146"/>
    <w:rsid w:val="003D66C3"/>
    <w:rsid w:val="003D692F"/>
    <w:rsid w:val="003D6A4A"/>
    <w:rsid w:val="003D6B55"/>
    <w:rsid w:val="003D6B6D"/>
    <w:rsid w:val="003D6E1A"/>
    <w:rsid w:val="003D6FEC"/>
    <w:rsid w:val="003D711F"/>
    <w:rsid w:val="003D71CB"/>
    <w:rsid w:val="003D74EF"/>
    <w:rsid w:val="003D74FB"/>
    <w:rsid w:val="003D75A1"/>
    <w:rsid w:val="003D763E"/>
    <w:rsid w:val="003D76B5"/>
    <w:rsid w:val="003D7B52"/>
    <w:rsid w:val="003D7D80"/>
    <w:rsid w:val="003D7DFF"/>
    <w:rsid w:val="003E00D2"/>
    <w:rsid w:val="003E010A"/>
    <w:rsid w:val="003E0123"/>
    <w:rsid w:val="003E0204"/>
    <w:rsid w:val="003E043A"/>
    <w:rsid w:val="003E04DA"/>
    <w:rsid w:val="003E0554"/>
    <w:rsid w:val="003E0693"/>
    <w:rsid w:val="003E0773"/>
    <w:rsid w:val="003E0A9B"/>
    <w:rsid w:val="003E0C19"/>
    <w:rsid w:val="003E0D99"/>
    <w:rsid w:val="003E0F9F"/>
    <w:rsid w:val="003E10E2"/>
    <w:rsid w:val="003E154A"/>
    <w:rsid w:val="003E16A0"/>
    <w:rsid w:val="003E1735"/>
    <w:rsid w:val="003E17BD"/>
    <w:rsid w:val="003E1803"/>
    <w:rsid w:val="003E1BFB"/>
    <w:rsid w:val="003E1D14"/>
    <w:rsid w:val="003E1D3D"/>
    <w:rsid w:val="003E1D7B"/>
    <w:rsid w:val="003E2179"/>
    <w:rsid w:val="003E2206"/>
    <w:rsid w:val="003E257A"/>
    <w:rsid w:val="003E25B8"/>
    <w:rsid w:val="003E2C21"/>
    <w:rsid w:val="003E2FA2"/>
    <w:rsid w:val="003E2FB6"/>
    <w:rsid w:val="003E313D"/>
    <w:rsid w:val="003E319E"/>
    <w:rsid w:val="003E3416"/>
    <w:rsid w:val="003E34CF"/>
    <w:rsid w:val="003E35B9"/>
    <w:rsid w:val="003E3602"/>
    <w:rsid w:val="003E36C6"/>
    <w:rsid w:val="003E38FD"/>
    <w:rsid w:val="003E3B0D"/>
    <w:rsid w:val="003E3CD5"/>
    <w:rsid w:val="003E3E76"/>
    <w:rsid w:val="003E400A"/>
    <w:rsid w:val="003E4358"/>
    <w:rsid w:val="003E4400"/>
    <w:rsid w:val="003E441B"/>
    <w:rsid w:val="003E4438"/>
    <w:rsid w:val="003E469F"/>
    <w:rsid w:val="003E498D"/>
    <w:rsid w:val="003E49F7"/>
    <w:rsid w:val="003E4AFE"/>
    <w:rsid w:val="003E4B48"/>
    <w:rsid w:val="003E4CC6"/>
    <w:rsid w:val="003E5457"/>
    <w:rsid w:val="003E554A"/>
    <w:rsid w:val="003E564C"/>
    <w:rsid w:val="003E5651"/>
    <w:rsid w:val="003E5B3B"/>
    <w:rsid w:val="003E5BB6"/>
    <w:rsid w:val="003E5D97"/>
    <w:rsid w:val="003E5DF0"/>
    <w:rsid w:val="003E5E72"/>
    <w:rsid w:val="003E5EE3"/>
    <w:rsid w:val="003E63D6"/>
    <w:rsid w:val="003E6562"/>
    <w:rsid w:val="003E660A"/>
    <w:rsid w:val="003E6642"/>
    <w:rsid w:val="003E67DE"/>
    <w:rsid w:val="003E6B23"/>
    <w:rsid w:val="003E6B62"/>
    <w:rsid w:val="003E6D11"/>
    <w:rsid w:val="003E70F2"/>
    <w:rsid w:val="003E75D5"/>
    <w:rsid w:val="003E763A"/>
    <w:rsid w:val="003E7712"/>
    <w:rsid w:val="003E777F"/>
    <w:rsid w:val="003E778E"/>
    <w:rsid w:val="003E79DD"/>
    <w:rsid w:val="003E7AB6"/>
    <w:rsid w:val="003E7B36"/>
    <w:rsid w:val="003E7B5C"/>
    <w:rsid w:val="003E7B79"/>
    <w:rsid w:val="003E7CC7"/>
    <w:rsid w:val="003E7E36"/>
    <w:rsid w:val="003E7F4B"/>
    <w:rsid w:val="003F02BA"/>
    <w:rsid w:val="003F05F5"/>
    <w:rsid w:val="003F069A"/>
    <w:rsid w:val="003F0711"/>
    <w:rsid w:val="003F0847"/>
    <w:rsid w:val="003F09F7"/>
    <w:rsid w:val="003F0B3B"/>
    <w:rsid w:val="003F0CA6"/>
    <w:rsid w:val="003F14DA"/>
    <w:rsid w:val="003F16A7"/>
    <w:rsid w:val="003F19B0"/>
    <w:rsid w:val="003F1AAB"/>
    <w:rsid w:val="003F1AD2"/>
    <w:rsid w:val="003F1C04"/>
    <w:rsid w:val="003F1C34"/>
    <w:rsid w:val="003F1C6E"/>
    <w:rsid w:val="003F20C6"/>
    <w:rsid w:val="003F20D1"/>
    <w:rsid w:val="003F20F7"/>
    <w:rsid w:val="003F2171"/>
    <w:rsid w:val="003F2389"/>
    <w:rsid w:val="003F2571"/>
    <w:rsid w:val="003F2962"/>
    <w:rsid w:val="003F2B0E"/>
    <w:rsid w:val="003F2C6F"/>
    <w:rsid w:val="003F3083"/>
    <w:rsid w:val="003F30CE"/>
    <w:rsid w:val="003F350B"/>
    <w:rsid w:val="003F3A52"/>
    <w:rsid w:val="003F3AC6"/>
    <w:rsid w:val="003F4329"/>
    <w:rsid w:val="003F4681"/>
    <w:rsid w:val="003F4839"/>
    <w:rsid w:val="003F4A45"/>
    <w:rsid w:val="003F4A88"/>
    <w:rsid w:val="003F4BC7"/>
    <w:rsid w:val="003F4D38"/>
    <w:rsid w:val="003F4F7F"/>
    <w:rsid w:val="003F5111"/>
    <w:rsid w:val="003F53CB"/>
    <w:rsid w:val="003F5469"/>
    <w:rsid w:val="003F54CF"/>
    <w:rsid w:val="003F556E"/>
    <w:rsid w:val="003F55C5"/>
    <w:rsid w:val="003F5637"/>
    <w:rsid w:val="003F5A62"/>
    <w:rsid w:val="003F5AF4"/>
    <w:rsid w:val="003F5FD9"/>
    <w:rsid w:val="003F624E"/>
    <w:rsid w:val="003F66ED"/>
    <w:rsid w:val="003F6705"/>
    <w:rsid w:val="003F6A59"/>
    <w:rsid w:val="003F6A69"/>
    <w:rsid w:val="003F6CAA"/>
    <w:rsid w:val="003F6E33"/>
    <w:rsid w:val="003F6EFB"/>
    <w:rsid w:val="003F6FD0"/>
    <w:rsid w:val="003F70EF"/>
    <w:rsid w:val="003F7365"/>
    <w:rsid w:val="003F73AA"/>
    <w:rsid w:val="003F73FF"/>
    <w:rsid w:val="003F745A"/>
    <w:rsid w:val="003F74BA"/>
    <w:rsid w:val="003F7583"/>
    <w:rsid w:val="003F7945"/>
    <w:rsid w:val="003F7A11"/>
    <w:rsid w:val="003F7D65"/>
    <w:rsid w:val="003F7E91"/>
    <w:rsid w:val="00400345"/>
    <w:rsid w:val="004004B6"/>
    <w:rsid w:val="0040063D"/>
    <w:rsid w:val="00400815"/>
    <w:rsid w:val="0040093A"/>
    <w:rsid w:val="004009E9"/>
    <w:rsid w:val="00400D9F"/>
    <w:rsid w:val="00400F16"/>
    <w:rsid w:val="00401226"/>
    <w:rsid w:val="00401313"/>
    <w:rsid w:val="004019C4"/>
    <w:rsid w:val="00401A7D"/>
    <w:rsid w:val="00401B38"/>
    <w:rsid w:val="00401B62"/>
    <w:rsid w:val="00401BB5"/>
    <w:rsid w:val="00401E8D"/>
    <w:rsid w:val="00401FF5"/>
    <w:rsid w:val="004020A9"/>
    <w:rsid w:val="0040216D"/>
    <w:rsid w:val="00402365"/>
    <w:rsid w:val="00402890"/>
    <w:rsid w:val="00402897"/>
    <w:rsid w:val="0040290F"/>
    <w:rsid w:val="00402CFF"/>
    <w:rsid w:val="0040311A"/>
    <w:rsid w:val="00403179"/>
    <w:rsid w:val="004037FC"/>
    <w:rsid w:val="004038BB"/>
    <w:rsid w:val="004039DE"/>
    <w:rsid w:val="00403EFE"/>
    <w:rsid w:val="00403F2C"/>
    <w:rsid w:val="00404717"/>
    <w:rsid w:val="004048B4"/>
    <w:rsid w:val="00404964"/>
    <w:rsid w:val="00404976"/>
    <w:rsid w:val="00404AB7"/>
    <w:rsid w:val="00404AE9"/>
    <w:rsid w:val="00404CD9"/>
    <w:rsid w:val="004052D4"/>
    <w:rsid w:val="0040576C"/>
    <w:rsid w:val="00405875"/>
    <w:rsid w:val="004058B4"/>
    <w:rsid w:val="00405A66"/>
    <w:rsid w:val="00405C6B"/>
    <w:rsid w:val="00405D85"/>
    <w:rsid w:val="00405FED"/>
    <w:rsid w:val="004060A8"/>
    <w:rsid w:val="00406283"/>
    <w:rsid w:val="00406324"/>
    <w:rsid w:val="0040647E"/>
    <w:rsid w:val="004064E3"/>
    <w:rsid w:val="00406553"/>
    <w:rsid w:val="00406562"/>
    <w:rsid w:val="004067CD"/>
    <w:rsid w:val="00406855"/>
    <w:rsid w:val="00406B09"/>
    <w:rsid w:val="00406B1F"/>
    <w:rsid w:val="00406C8A"/>
    <w:rsid w:val="00406D09"/>
    <w:rsid w:val="00406DDD"/>
    <w:rsid w:val="00406F53"/>
    <w:rsid w:val="0040703D"/>
    <w:rsid w:val="0040704A"/>
    <w:rsid w:val="00407154"/>
    <w:rsid w:val="0040731E"/>
    <w:rsid w:val="00407A3C"/>
    <w:rsid w:val="00407D8E"/>
    <w:rsid w:val="00407DBF"/>
    <w:rsid w:val="00407DFE"/>
    <w:rsid w:val="004102DF"/>
    <w:rsid w:val="004104ED"/>
    <w:rsid w:val="004104FB"/>
    <w:rsid w:val="004105CF"/>
    <w:rsid w:val="004105E4"/>
    <w:rsid w:val="00410685"/>
    <w:rsid w:val="004106DA"/>
    <w:rsid w:val="004107F4"/>
    <w:rsid w:val="00410815"/>
    <w:rsid w:val="00410A4E"/>
    <w:rsid w:val="00410AB1"/>
    <w:rsid w:val="00410BC9"/>
    <w:rsid w:val="00410C49"/>
    <w:rsid w:val="00410C9B"/>
    <w:rsid w:val="00410CAD"/>
    <w:rsid w:val="004110C5"/>
    <w:rsid w:val="0041121F"/>
    <w:rsid w:val="0041128A"/>
    <w:rsid w:val="0041129A"/>
    <w:rsid w:val="0041134E"/>
    <w:rsid w:val="00411644"/>
    <w:rsid w:val="00411B85"/>
    <w:rsid w:val="00411C56"/>
    <w:rsid w:val="00411F81"/>
    <w:rsid w:val="0041231B"/>
    <w:rsid w:val="0041250C"/>
    <w:rsid w:val="00412534"/>
    <w:rsid w:val="00412578"/>
    <w:rsid w:val="00412803"/>
    <w:rsid w:val="00412C0E"/>
    <w:rsid w:val="00412C83"/>
    <w:rsid w:val="00413224"/>
    <w:rsid w:val="0041330F"/>
    <w:rsid w:val="0041339C"/>
    <w:rsid w:val="004135AA"/>
    <w:rsid w:val="004137CF"/>
    <w:rsid w:val="00413829"/>
    <w:rsid w:val="00413B44"/>
    <w:rsid w:val="00413D24"/>
    <w:rsid w:val="00413D41"/>
    <w:rsid w:val="00413F39"/>
    <w:rsid w:val="00413F76"/>
    <w:rsid w:val="00413FCE"/>
    <w:rsid w:val="00414274"/>
    <w:rsid w:val="004143BC"/>
    <w:rsid w:val="004143FA"/>
    <w:rsid w:val="00414430"/>
    <w:rsid w:val="00414537"/>
    <w:rsid w:val="004147EA"/>
    <w:rsid w:val="00414808"/>
    <w:rsid w:val="00414890"/>
    <w:rsid w:val="00414F47"/>
    <w:rsid w:val="00415244"/>
    <w:rsid w:val="00415422"/>
    <w:rsid w:val="00415564"/>
    <w:rsid w:val="00415755"/>
    <w:rsid w:val="0041593C"/>
    <w:rsid w:val="00415B46"/>
    <w:rsid w:val="004164EA"/>
    <w:rsid w:val="004165D6"/>
    <w:rsid w:val="0041665E"/>
    <w:rsid w:val="00416874"/>
    <w:rsid w:val="00416C28"/>
    <w:rsid w:val="00416C9D"/>
    <w:rsid w:val="00417126"/>
    <w:rsid w:val="0041735E"/>
    <w:rsid w:val="0041743E"/>
    <w:rsid w:val="0041786E"/>
    <w:rsid w:val="00417B9C"/>
    <w:rsid w:val="00417BDA"/>
    <w:rsid w:val="00417CAB"/>
    <w:rsid w:val="00417D59"/>
    <w:rsid w:val="00417E9B"/>
    <w:rsid w:val="00417F8D"/>
    <w:rsid w:val="0042052E"/>
    <w:rsid w:val="004205A9"/>
    <w:rsid w:val="004207EF"/>
    <w:rsid w:val="004208E3"/>
    <w:rsid w:val="00420A7E"/>
    <w:rsid w:val="00420C6D"/>
    <w:rsid w:val="00420D1E"/>
    <w:rsid w:val="00420DA8"/>
    <w:rsid w:val="00420DF3"/>
    <w:rsid w:val="00420E96"/>
    <w:rsid w:val="00420F62"/>
    <w:rsid w:val="00421267"/>
    <w:rsid w:val="004212B3"/>
    <w:rsid w:val="00421385"/>
    <w:rsid w:val="004213CB"/>
    <w:rsid w:val="00421582"/>
    <w:rsid w:val="004217C7"/>
    <w:rsid w:val="004217D2"/>
    <w:rsid w:val="00421A6F"/>
    <w:rsid w:val="00421B5E"/>
    <w:rsid w:val="00421CB8"/>
    <w:rsid w:val="00421E33"/>
    <w:rsid w:val="00421E95"/>
    <w:rsid w:val="00421ED1"/>
    <w:rsid w:val="00421F4D"/>
    <w:rsid w:val="00421FB5"/>
    <w:rsid w:val="00422027"/>
    <w:rsid w:val="00422290"/>
    <w:rsid w:val="00422324"/>
    <w:rsid w:val="00422338"/>
    <w:rsid w:val="0042239A"/>
    <w:rsid w:val="0042244A"/>
    <w:rsid w:val="00422759"/>
    <w:rsid w:val="004228B4"/>
    <w:rsid w:val="00422CED"/>
    <w:rsid w:val="00422D6D"/>
    <w:rsid w:val="00422E6D"/>
    <w:rsid w:val="00423081"/>
    <w:rsid w:val="00423492"/>
    <w:rsid w:val="004236AD"/>
    <w:rsid w:val="00423833"/>
    <w:rsid w:val="00423971"/>
    <w:rsid w:val="00423E8A"/>
    <w:rsid w:val="0042423B"/>
    <w:rsid w:val="00424891"/>
    <w:rsid w:val="004248AD"/>
    <w:rsid w:val="00425254"/>
    <w:rsid w:val="0042537E"/>
    <w:rsid w:val="00425580"/>
    <w:rsid w:val="00425588"/>
    <w:rsid w:val="00425BD8"/>
    <w:rsid w:val="00425EF7"/>
    <w:rsid w:val="00426014"/>
    <w:rsid w:val="0042601D"/>
    <w:rsid w:val="00426124"/>
    <w:rsid w:val="0042627C"/>
    <w:rsid w:val="004264F7"/>
    <w:rsid w:val="00426694"/>
    <w:rsid w:val="00426907"/>
    <w:rsid w:val="00426BEC"/>
    <w:rsid w:val="00426C47"/>
    <w:rsid w:val="00426CF6"/>
    <w:rsid w:val="00426D47"/>
    <w:rsid w:val="00426F18"/>
    <w:rsid w:val="00426F67"/>
    <w:rsid w:val="00427476"/>
    <w:rsid w:val="004274BA"/>
    <w:rsid w:val="004274C0"/>
    <w:rsid w:val="004274E0"/>
    <w:rsid w:val="004275ED"/>
    <w:rsid w:val="00427629"/>
    <w:rsid w:val="00427631"/>
    <w:rsid w:val="00427668"/>
    <w:rsid w:val="0042773D"/>
    <w:rsid w:val="004277A5"/>
    <w:rsid w:val="00427842"/>
    <w:rsid w:val="00430694"/>
    <w:rsid w:val="00430772"/>
    <w:rsid w:val="004308BD"/>
    <w:rsid w:val="004309E2"/>
    <w:rsid w:val="00430ABF"/>
    <w:rsid w:val="00430BCC"/>
    <w:rsid w:val="00430E2F"/>
    <w:rsid w:val="00430F85"/>
    <w:rsid w:val="004310C6"/>
    <w:rsid w:val="00431505"/>
    <w:rsid w:val="004315FD"/>
    <w:rsid w:val="004316A8"/>
    <w:rsid w:val="00431B22"/>
    <w:rsid w:val="00431B72"/>
    <w:rsid w:val="00431B99"/>
    <w:rsid w:val="00431C2F"/>
    <w:rsid w:val="00431E15"/>
    <w:rsid w:val="00431E19"/>
    <w:rsid w:val="00432290"/>
    <w:rsid w:val="00432351"/>
    <w:rsid w:val="004323A4"/>
    <w:rsid w:val="0043250C"/>
    <w:rsid w:val="0043273D"/>
    <w:rsid w:val="00432C4D"/>
    <w:rsid w:val="00432C67"/>
    <w:rsid w:val="00432D79"/>
    <w:rsid w:val="00432D91"/>
    <w:rsid w:val="00432E42"/>
    <w:rsid w:val="00433313"/>
    <w:rsid w:val="004334AE"/>
    <w:rsid w:val="004336CD"/>
    <w:rsid w:val="00433EE2"/>
    <w:rsid w:val="00433F86"/>
    <w:rsid w:val="00433F9F"/>
    <w:rsid w:val="0043407F"/>
    <w:rsid w:val="00434464"/>
    <w:rsid w:val="004344EA"/>
    <w:rsid w:val="0043462D"/>
    <w:rsid w:val="00434794"/>
    <w:rsid w:val="0043499D"/>
    <w:rsid w:val="00434BA6"/>
    <w:rsid w:val="00434BF1"/>
    <w:rsid w:val="00434C01"/>
    <w:rsid w:val="00434C52"/>
    <w:rsid w:val="00434C5B"/>
    <w:rsid w:val="00434E2E"/>
    <w:rsid w:val="0043533F"/>
    <w:rsid w:val="00435625"/>
    <w:rsid w:val="0043574B"/>
    <w:rsid w:val="00435BE2"/>
    <w:rsid w:val="00436402"/>
    <w:rsid w:val="004364B0"/>
    <w:rsid w:val="00436667"/>
    <w:rsid w:val="004369BE"/>
    <w:rsid w:val="00436BD3"/>
    <w:rsid w:val="004378EA"/>
    <w:rsid w:val="00437907"/>
    <w:rsid w:val="00437B76"/>
    <w:rsid w:val="00437D9F"/>
    <w:rsid w:val="00437DAF"/>
    <w:rsid w:val="00437E05"/>
    <w:rsid w:val="00437E57"/>
    <w:rsid w:val="00437E5E"/>
    <w:rsid w:val="00437ED4"/>
    <w:rsid w:val="00437F9D"/>
    <w:rsid w:val="0043A086"/>
    <w:rsid w:val="00440077"/>
    <w:rsid w:val="00440226"/>
    <w:rsid w:val="00440413"/>
    <w:rsid w:val="0044053F"/>
    <w:rsid w:val="00440556"/>
    <w:rsid w:val="00440701"/>
    <w:rsid w:val="004407E8"/>
    <w:rsid w:val="0044087B"/>
    <w:rsid w:val="00441326"/>
    <w:rsid w:val="0044153D"/>
    <w:rsid w:val="00441707"/>
    <w:rsid w:val="00441786"/>
    <w:rsid w:val="00441913"/>
    <w:rsid w:val="00441988"/>
    <w:rsid w:val="004419B3"/>
    <w:rsid w:val="004419C6"/>
    <w:rsid w:val="00441B0F"/>
    <w:rsid w:val="00441C6A"/>
    <w:rsid w:val="00441E72"/>
    <w:rsid w:val="00441EDF"/>
    <w:rsid w:val="00441F7C"/>
    <w:rsid w:val="0044203B"/>
    <w:rsid w:val="004422A8"/>
    <w:rsid w:val="00442375"/>
    <w:rsid w:val="0044249D"/>
    <w:rsid w:val="00442624"/>
    <w:rsid w:val="004427DF"/>
    <w:rsid w:val="00442A9A"/>
    <w:rsid w:val="00442B04"/>
    <w:rsid w:val="00442C18"/>
    <w:rsid w:val="00443123"/>
    <w:rsid w:val="004433CF"/>
    <w:rsid w:val="004434B7"/>
    <w:rsid w:val="00443547"/>
    <w:rsid w:val="00443A12"/>
    <w:rsid w:val="00443AA9"/>
    <w:rsid w:val="00443AC0"/>
    <w:rsid w:val="00443D49"/>
    <w:rsid w:val="00443E3D"/>
    <w:rsid w:val="00444183"/>
    <w:rsid w:val="0044456F"/>
    <w:rsid w:val="00444620"/>
    <w:rsid w:val="004447CC"/>
    <w:rsid w:val="00444947"/>
    <w:rsid w:val="004449C9"/>
    <w:rsid w:val="00444A27"/>
    <w:rsid w:val="00444A48"/>
    <w:rsid w:val="00444B11"/>
    <w:rsid w:val="00444CC8"/>
    <w:rsid w:val="00444D41"/>
    <w:rsid w:val="00444DAE"/>
    <w:rsid w:val="00444FAD"/>
    <w:rsid w:val="00445086"/>
    <w:rsid w:val="0044533F"/>
    <w:rsid w:val="0044546F"/>
    <w:rsid w:val="00445615"/>
    <w:rsid w:val="0044573F"/>
    <w:rsid w:val="004457C0"/>
    <w:rsid w:val="00445E51"/>
    <w:rsid w:val="00445EB3"/>
    <w:rsid w:val="00445EDE"/>
    <w:rsid w:val="00445FA2"/>
    <w:rsid w:val="0044617E"/>
    <w:rsid w:val="00446252"/>
    <w:rsid w:val="00446387"/>
    <w:rsid w:val="00446450"/>
    <w:rsid w:val="004464FA"/>
    <w:rsid w:val="00446746"/>
    <w:rsid w:val="00446CA8"/>
    <w:rsid w:val="0044708B"/>
    <w:rsid w:val="004470B6"/>
    <w:rsid w:val="00447393"/>
    <w:rsid w:val="004477CF"/>
    <w:rsid w:val="00447F70"/>
    <w:rsid w:val="00447FD3"/>
    <w:rsid w:val="0044FEDD"/>
    <w:rsid w:val="0045000C"/>
    <w:rsid w:val="0045002D"/>
    <w:rsid w:val="0045042D"/>
    <w:rsid w:val="00450484"/>
    <w:rsid w:val="0045089E"/>
    <w:rsid w:val="00450930"/>
    <w:rsid w:val="00450B09"/>
    <w:rsid w:val="00450DCD"/>
    <w:rsid w:val="00450E1D"/>
    <w:rsid w:val="00450EAF"/>
    <w:rsid w:val="0045106F"/>
    <w:rsid w:val="004512E9"/>
    <w:rsid w:val="00451E4C"/>
    <w:rsid w:val="00451E70"/>
    <w:rsid w:val="0045206B"/>
    <w:rsid w:val="004520B4"/>
    <w:rsid w:val="004520F6"/>
    <w:rsid w:val="0045258F"/>
    <w:rsid w:val="00452759"/>
    <w:rsid w:val="00452A16"/>
    <w:rsid w:val="00452A66"/>
    <w:rsid w:val="00452C90"/>
    <w:rsid w:val="00452C96"/>
    <w:rsid w:val="00452CA9"/>
    <w:rsid w:val="00452E5C"/>
    <w:rsid w:val="00453383"/>
    <w:rsid w:val="00453674"/>
    <w:rsid w:val="004536B6"/>
    <w:rsid w:val="004536F6"/>
    <w:rsid w:val="004537DC"/>
    <w:rsid w:val="004537E4"/>
    <w:rsid w:val="004538DB"/>
    <w:rsid w:val="0045393F"/>
    <w:rsid w:val="00453A16"/>
    <w:rsid w:val="00453C97"/>
    <w:rsid w:val="00453DF5"/>
    <w:rsid w:val="00453E4B"/>
    <w:rsid w:val="00453FC1"/>
    <w:rsid w:val="00454076"/>
    <w:rsid w:val="0045431B"/>
    <w:rsid w:val="0045454D"/>
    <w:rsid w:val="004546AE"/>
    <w:rsid w:val="00454862"/>
    <w:rsid w:val="004548F8"/>
    <w:rsid w:val="00454C5E"/>
    <w:rsid w:val="00454E26"/>
    <w:rsid w:val="00454F12"/>
    <w:rsid w:val="00455191"/>
    <w:rsid w:val="004551AB"/>
    <w:rsid w:val="0045532A"/>
    <w:rsid w:val="00455A26"/>
    <w:rsid w:val="00455A28"/>
    <w:rsid w:val="00455DF5"/>
    <w:rsid w:val="00455E00"/>
    <w:rsid w:val="00455E07"/>
    <w:rsid w:val="004560A2"/>
    <w:rsid w:val="004565CA"/>
    <w:rsid w:val="004566F4"/>
    <w:rsid w:val="004568C3"/>
    <w:rsid w:val="00456A97"/>
    <w:rsid w:val="00456D15"/>
    <w:rsid w:val="0045733B"/>
    <w:rsid w:val="004575DA"/>
    <w:rsid w:val="00457677"/>
    <w:rsid w:val="004579C0"/>
    <w:rsid w:val="00457AA5"/>
    <w:rsid w:val="00457C58"/>
    <w:rsid w:val="004600A5"/>
    <w:rsid w:val="00460349"/>
    <w:rsid w:val="0046079B"/>
    <w:rsid w:val="004609CC"/>
    <w:rsid w:val="00460A02"/>
    <w:rsid w:val="00460B7D"/>
    <w:rsid w:val="00460C2E"/>
    <w:rsid w:val="00460E1D"/>
    <w:rsid w:val="00461629"/>
    <w:rsid w:val="00461837"/>
    <w:rsid w:val="004618BF"/>
    <w:rsid w:val="00461AF7"/>
    <w:rsid w:val="00461F7D"/>
    <w:rsid w:val="004622DD"/>
    <w:rsid w:val="0046231D"/>
    <w:rsid w:val="00462387"/>
    <w:rsid w:val="00462652"/>
    <w:rsid w:val="004629A7"/>
    <w:rsid w:val="00462B6E"/>
    <w:rsid w:val="0046304A"/>
    <w:rsid w:val="00463463"/>
    <w:rsid w:val="0046375A"/>
    <w:rsid w:val="00463819"/>
    <w:rsid w:val="0046395E"/>
    <w:rsid w:val="00463B23"/>
    <w:rsid w:val="00464371"/>
    <w:rsid w:val="00464574"/>
    <w:rsid w:val="00464B22"/>
    <w:rsid w:val="00464BED"/>
    <w:rsid w:val="00464C04"/>
    <w:rsid w:val="00464C57"/>
    <w:rsid w:val="00464F6C"/>
    <w:rsid w:val="0046530E"/>
    <w:rsid w:val="00465395"/>
    <w:rsid w:val="0046576B"/>
    <w:rsid w:val="00465A01"/>
    <w:rsid w:val="00465AD2"/>
    <w:rsid w:val="00465DC7"/>
    <w:rsid w:val="00465F86"/>
    <w:rsid w:val="004667EF"/>
    <w:rsid w:val="004668EE"/>
    <w:rsid w:val="00467338"/>
    <w:rsid w:val="004674BD"/>
    <w:rsid w:val="004675F5"/>
    <w:rsid w:val="004676BF"/>
    <w:rsid w:val="0046770E"/>
    <w:rsid w:val="00467812"/>
    <w:rsid w:val="00467BB0"/>
    <w:rsid w:val="00467D03"/>
    <w:rsid w:val="00467F10"/>
    <w:rsid w:val="00467FC3"/>
    <w:rsid w:val="00470335"/>
    <w:rsid w:val="004703C0"/>
    <w:rsid w:val="004706A7"/>
    <w:rsid w:val="00470747"/>
    <w:rsid w:val="00470760"/>
    <w:rsid w:val="00470824"/>
    <w:rsid w:val="00470838"/>
    <w:rsid w:val="004708A5"/>
    <w:rsid w:val="00470A24"/>
    <w:rsid w:val="00470AFF"/>
    <w:rsid w:val="00470EF4"/>
    <w:rsid w:val="00471113"/>
    <w:rsid w:val="0047118B"/>
    <w:rsid w:val="00471266"/>
    <w:rsid w:val="004712AC"/>
    <w:rsid w:val="00471427"/>
    <w:rsid w:val="004715A9"/>
    <w:rsid w:val="004718CF"/>
    <w:rsid w:val="00471945"/>
    <w:rsid w:val="00471C5B"/>
    <w:rsid w:val="00471D96"/>
    <w:rsid w:val="00472140"/>
    <w:rsid w:val="004724C4"/>
    <w:rsid w:val="0047261B"/>
    <w:rsid w:val="0047269B"/>
    <w:rsid w:val="004728BE"/>
    <w:rsid w:val="00472B81"/>
    <w:rsid w:val="0047337E"/>
    <w:rsid w:val="0047377A"/>
    <w:rsid w:val="00473878"/>
    <w:rsid w:val="004738C7"/>
    <w:rsid w:val="00473BFB"/>
    <w:rsid w:val="00473DE3"/>
    <w:rsid w:val="004740F0"/>
    <w:rsid w:val="0047418F"/>
    <w:rsid w:val="00474273"/>
    <w:rsid w:val="00474477"/>
    <w:rsid w:val="00474575"/>
    <w:rsid w:val="00474602"/>
    <w:rsid w:val="004746E6"/>
    <w:rsid w:val="00474887"/>
    <w:rsid w:val="004748BC"/>
    <w:rsid w:val="00474AE8"/>
    <w:rsid w:val="00474B25"/>
    <w:rsid w:val="00474BB2"/>
    <w:rsid w:val="00474FD7"/>
    <w:rsid w:val="00475214"/>
    <w:rsid w:val="0047554C"/>
    <w:rsid w:val="00475683"/>
    <w:rsid w:val="004756D9"/>
    <w:rsid w:val="0047575E"/>
    <w:rsid w:val="004758AE"/>
    <w:rsid w:val="00475B40"/>
    <w:rsid w:val="00476146"/>
    <w:rsid w:val="00476192"/>
    <w:rsid w:val="004762AD"/>
    <w:rsid w:val="004762C8"/>
    <w:rsid w:val="00476421"/>
    <w:rsid w:val="00476616"/>
    <w:rsid w:val="00476626"/>
    <w:rsid w:val="004766FD"/>
    <w:rsid w:val="004768FB"/>
    <w:rsid w:val="00476998"/>
    <w:rsid w:val="0047699A"/>
    <w:rsid w:val="00476B5E"/>
    <w:rsid w:val="00476E5A"/>
    <w:rsid w:val="0047703C"/>
    <w:rsid w:val="0047709A"/>
    <w:rsid w:val="00477804"/>
    <w:rsid w:val="00477B84"/>
    <w:rsid w:val="00477B86"/>
    <w:rsid w:val="00480619"/>
    <w:rsid w:val="00480695"/>
    <w:rsid w:val="004807DF"/>
    <w:rsid w:val="00480CB0"/>
    <w:rsid w:val="00480F8D"/>
    <w:rsid w:val="00481209"/>
    <w:rsid w:val="004814F1"/>
    <w:rsid w:val="00481561"/>
    <w:rsid w:val="0048158B"/>
    <w:rsid w:val="004817DF"/>
    <w:rsid w:val="00481823"/>
    <w:rsid w:val="00481888"/>
    <w:rsid w:val="00481C7C"/>
    <w:rsid w:val="004820D4"/>
    <w:rsid w:val="004824B7"/>
    <w:rsid w:val="004826F6"/>
    <w:rsid w:val="00482857"/>
    <w:rsid w:val="004829F7"/>
    <w:rsid w:val="00482B65"/>
    <w:rsid w:val="00483039"/>
    <w:rsid w:val="00483129"/>
    <w:rsid w:val="00483159"/>
    <w:rsid w:val="0048315E"/>
    <w:rsid w:val="004831CF"/>
    <w:rsid w:val="00483377"/>
    <w:rsid w:val="0048342D"/>
    <w:rsid w:val="00483603"/>
    <w:rsid w:val="004839CA"/>
    <w:rsid w:val="00483B35"/>
    <w:rsid w:val="00483BB8"/>
    <w:rsid w:val="00483EA2"/>
    <w:rsid w:val="00483F38"/>
    <w:rsid w:val="00484268"/>
    <w:rsid w:val="004842DE"/>
    <w:rsid w:val="0048451B"/>
    <w:rsid w:val="004845D7"/>
    <w:rsid w:val="0048460C"/>
    <w:rsid w:val="00484D0C"/>
    <w:rsid w:val="00484E3D"/>
    <w:rsid w:val="00484EAC"/>
    <w:rsid w:val="00485112"/>
    <w:rsid w:val="004853E4"/>
    <w:rsid w:val="004854A3"/>
    <w:rsid w:val="00485595"/>
    <w:rsid w:val="0048569E"/>
    <w:rsid w:val="00485854"/>
    <w:rsid w:val="004858C9"/>
    <w:rsid w:val="00485985"/>
    <w:rsid w:val="00485AD4"/>
    <w:rsid w:val="00485E6A"/>
    <w:rsid w:val="00486099"/>
    <w:rsid w:val="004860C2"/>
    <w:rsid w:val="00486248"/>
    <w:rsid w:val="0048635B"/>
    <w:rsid w:val="004864E7"/>
    <w:rsid w:val="004864EC"/>
    <w:rsid w:val="0048656E"/>
    <w:rsid w:val="004865D3"/>
    <w:rsid w:val="00486AD1"/>
    <w:rsid w:val="00486B79"/>
    <w:rsid w:val="00486C08"/>
    <w:rsid w:val="00486F86"/>
    <w:rsid w:val="00486FB1"/>
    <w:rsid w:val="004871FE"/>
    <w:rsid w:val="0048720E"/>
    <w:rsid w:val="004872D8"/>
    <w:rsid w:val="00487469"/>
    <w:rsid w:val="0048778E"/>
    <w:rsid w:val="00487956"/>
    <w:rsid w:val="00487AA2"/>
    <w:rsid w:val="00487AF6"/>
    <w:rsid w:val="00487C5F"/>
    <w:rsid w:val="00487C87"/>
    <w:rsid w:val="004903BD"/>
    <w:rsid w:val="004903DA"/>
    <w:rsid w:val="0049040B"/>
    <w:rsid w:val="004904A4"/>
    <w:rsid w:val="0049069C"/>
    <w:rsid w:val="0049080E"/>
    <w:rsid w:val="0049095E"/>
    <w:rsid w:val="00490B58"/>
    <w:rsid w:val="00490BCD"/>
    <w:rsid w:val="00490DC9"/>
    <w:rsid w:val="00490E25"/>
    <w:rsid w:val="00490E8A"/>
    <w:rsid w:val="00490F4B"/>
    <w:rsid w:val="00491083"/>
    <w:rsid w:val="00491119"/>
    <w:rsid w:val="004912F2"/>
    <w:rsid w:val="004913A9"/>
    <w:rsid w:val="004913D4"/>
    <w:rsid w:val="00491598"/>
    <w:rsid w:val="00491611"/>
    <w:rsid w:val="00491817"/>
    <w:rsid w:val="00491E6C"/>
    <w:rsid w:val="00491F28"/>
    <w:rsid w:val="00491F61"/>
    <w:rsid w:val="00492042"/>
    <w:rsid w:val="00492497"/>
    <w:rsid w:val="00492639"/>
    <w:rsid w:val="00492D48"/>
    <w:rsid w:val="004931A3"/>
    <w:rsid w:val="004933F4"/>
    <w:rsid w:val="00493816"/>
    <w:rsid w:val="004938DE"/>
    <w:rsid w:val="00493CE6"/>
    <w:rsid w:val="00493DFC"/>
    <w:rsid w:val="00493E54"/>
    <w:rsid w:val="004940CB"/>
    <w:rsid w:val="004941E8"/>
    <w:rsid w:val="0049446F"/>
    <w:rsid w:val="004946AB"/>
    <w:rsid w:val="0049484A"/>
    <w:rsid w:val="00494890"/>
    <w:rsid w:val="00494E09"/>
    <w:rsid w:val="00494FEB"/>
    <w:rsid w:val="00495260"/>
    <w:rsid w:val="00495594"/>
    <w:rsid w:val="004956D5"/>
    <w:rsid w:val="00495712"/>
    <w:rsid w:val="00495B93"/>
    <w:rsid w:val="004960D4"/>
    <w:rsid w:val="004961F9"/>
    <w:rsid w:val="0049625C"/>
    <w:rsid w:val="00496719"/>
    <w:rsid w:val="00496C45"/>
    <w:rsid w:val="00496E72"/>
    <w:rsid w:val="0049761E"/>
    <w:rsid w:val="004976E8"/>
    <w:rsid w:val="00497780"/>
    <w:rsid w:val="004977B1"/>
    <w:rsid w:val="004977BD"/>
    <w:rsid w:val="0049780C"/>
    <w:rsid w:val="00497B7D"/>
    <w:rsid w:val="00497CD0"/>
    <w:rsid w:val="00497D51"/>
    <w:rsid w:val="00497D85"/>
    <w:rsid w:val="004A060B"/>
    <w:rsid w:val="004A0895"/>
    <w:rsid w:val="004A095C"/>
    <w:rsid w:val="004A0D20"/>
    <w:rsid w:val="004A0F22"/>
    <w:rsid w:val="004A1127"/>
    <w:rsid w:val="004A1462"/>
    <w:rsid w:val="004A1753"/>
    <w:rsid w:val="004A187D"/>
    <w:rsid w:val="004A1980"/>
    <w:rsid w:val="004A1E2A"/>
    <w:rsid w:val="004A201B"/>
    <w:rsid w:val="004A2261"/>
    <w:rsid w:val="004A24CB"/>
    <w:rsid w:val="004A2985"/>
    <w:rsid w:val="004A298B"/>
    <w:rsid w:val="004A2A07"/>
    <w:rsid w:val="004A2F29"/>
    <w:rsid w:val="004A2F88"/>
    <w:rsid w:val="004A30A7"/>
    <w:rsid w:val="004A3228"/>
    <w:rsid w:val="004A3232"/>
    <w:rsid w:val="004A32AF"/>
    <w:rsid w:val="004A393B"/>
    <w:rsid w:val="004A3AB7"/>
    <w:rsid w:val="004A3BDA"/>
    <w:rsid w:val="004A3DE4"/>
    <w:rsid w:val="004A40C7"/>
    <w:rsid w:val="004A4104"/>
    <w:rsid w:val="004A44D8"/>
    <w:rsid w:val="004A46CE"/>
    <w:rsid w:val="004A47BE"/>
    <w:rsid w:val="004A49DC"/>
    <w:rsid w:val="004A4A38"/>
    <w:rsid w:val="004A52C1"/>
    <w:rsid w:val="004A536D"/>
    <w:rsid w:val="004A557B"/>
    <w:rsid w:val="004A5A61"/>
    <w:rsid w:val="004A5C6D"/>
    <w:rsid w:val="004A6125"/>
    <w:rsid w:val="004A6387"/>
    <w:rsid w:val="004A6456"/>
    <w:rsid w:val="004A6508"/>
    <w:rsid w:val="004A655A"/>
    <w:rsid w:val="004A6569"/>
    <w:rsid w:val="004A65F5"/>
    <w:rsid w:val="004A6697"/>
    <w:rsid w:val="004A6981"/>
    <w:rsid w:val="004A6A1E"/>
    <w:rsid w:val="004A6A5E"/>
    <w:rsid w:val="004A6A97"/>
    <w:rsid w:val="004A6B78"/>
    <w:rsid w:val="004A6C79"/>
    <w:rsid w:val="004A6CF4"/>
    <w:rsid w:val="004A6E10"/>
    <w:rsid w:val="004A72E1"/>
    <w:rsid w:val="004A73A8"/>
    <w:rsid w:val="004A7B05"/>
    <w:rsid w:val="004A7D06"/>
    <w:rsid w:val="004B027E"/>
    <w:rsid w:val="004B04F3"/>
    <w:rsid w:val="004B05B0"/>
    <w:rsid w:val="004B0D92"/>
    <w:rsid w:val="004B0E10"/>
    <w:rsid w:val="004B0F57"/>
    <w:rsid w:val="004B14CD"/>
    <w:rsid w:val="004B156C"/>
    <w:rsid w:val="004B19A0"/>
    <w:rsid w:val="004B1BCE"/>
    <w:rsid w:val="004B1C72"/>
    <w:rsid w:val="004B1D43"/>
    <w:rsid w:val="004B1D7F"/>
    <w:rsid w:val="004B1ED2"/>
    <w:rsid w:val="004B234D"/>
    <w:rsid w:val="004B23F4"/>
    <w:rsid w:val="004B249E"/>
    <w:rsid w:val="004B25A8"/>
    <w:rsid w:val="004B25D3"/>
    <w:rsid w:val="004B2673"/>
    <w:rsid w:val="004B292F"/>
    <w:rsid w:val="004B29B7"/>
    <w:rsid w:val="004B2A7B"/>
    <w:rsid w:val="004B2E17"/>
    <w:rsid w:val="004B2FA2"/>
    <w:rsid w:val="004B31FB"/>
    <w:rsid w:val="004B33CE"/>
    <w:rsid w:val="004B34EA"/>
    <w:rsid w:val="004B3901"/>
    <w:rsid w:val="004B391B"/>
    <w:rsid w:val="004B398A"/>
    <w:rsid w:val="004B3BE2"/>
    <w:rsid w:val="004B3C30"/>
    <w:rsid w:val="004B3E58"/>
    <w:rsid w:val="004B3E7C"/>
    <w:rsid w:val="004B3FFE"/>
    <w:rsid w:val="004B405A"/>
    <w:rsid w:val="004B4268"/>
    <w:rsid w:val="004B42BF"/>
    <w:rsid w:val="004B43E9"/>
    <w:rsid w:val="004B4840"/>
    <w:rsid w:val="004B4A60"/>
    <w:rsid w:val="004B4B2E"/>
    <w:rsid w:val="004B4BBF"/>
    <w:rsid w:val="004B4CB2"/>
    <w:rsid w:val="004B50CC"/>
    <w:rsid w:val="004B50DF"/>
    <w:rsid w:val="004B5292"/>
    <w:rsid w:val="004B5294"/>
    <w:rsid w:val="004B5318"/>
    <w:rsid w:val="004B5494"/>
    <w:rsid w:val="004B585C"/>
    <w:rsid w:val="004B5895"/>
    <w:rsid w:val="004B5A58"/>
    <w:rsid w:val="004B6309"/>
    <w:rsid w:val="004B63C6"/>
    <w:rsid w:val="004B66AA"/>
    <w:rsid w:val="004B6830"/>
    <w:rsid w:val="004B6883"/>
    <w:rsid w:val="004B69A7"/>
    <w:rsid w:val="004B6E52"/>
    <w:rsid w:val="004B6E58"/>
    <w:rsid w:val="004B6F34"/>
    <w:rsid w:val="004B735B"/>
    <w:rsid w:val="004B7D21"/>
    <w:rsid w:val="004B7D35"/>
    <w:rsid w:val="004B7D74"/>
    <w:rsid w:val="004C0034"/>
    <w:rsid w:val="004C0046"/>
    <w:rsid w:val="004C00B5"/>
    <w:rsid w:val="004C02E7"/>
    <w:rsid w:val="004C03D9"/>
    <w:rsid w:val="004C049C"/>
    <w:rsid w:val="004C0703"/>
    <w:rsid w:val="004C072B"/>
    <w:rsid w:val="004C0DCF"/>
    <w:rsid w:val="004C0EF8"/>
    <w:rsid w:val="004C0F28"/>
    <w:rsid w:val="004C0F92"/>
    <w:rsid w:val="004C1055"/>
    <w:rsid w:val="004C10F8"/>
    <w:rsid w:val="004C1168"/>
    <w:rsid w:val="004C12C1"/>
    <w:rsid w:val="004C132F"/>
    <w:rsid w:val="004C1A8C"/>
    <w:rsid w:val="004C1ADE"/>
    <w:rsid w:val="004C1D22"/>
    <w:rsid w:val="004C1DB5"/>
    <w:rsid w:val="004C1F4D"/>
    <w:rsid w:val="004C1F6F"/>
    <w:rsid w:val="004C23B7"/>
    <w:rsid w:val="004C2404"/>
    <w:rsid w:val="004C2468"/>
    <w:rsid w:val="004C248B"/>
    <w:rsid w:val="004C2630"/>
    <w:rsid w:val="004C29D7"/>
    <w:rsid w:val="004C3019"/>
    <w:rsid w:val="004C310D"/>
    <w:rsid w:val="004C3503"/>
    <w:rsid w:val="004C35B6"/>
    <w:rsid w:val="004C3641"/>
    <w:rsid w:val="004C3AB9"/>
    <w:rsid w:val="004C3BA3"/>
    <w:rsid w:val="004C403C"/>
    <w:rsid w:val="004C442E"/>
    <w:rsid w:val="004C4433"/>
    <w:rsid w:val="004C45A6"/>
    <w:rsid w:val="004C47AD"/>
    <w:rsid w:val="004C4ED4"/>
    <w:rsid w:val="004C505D"/>
    <w:rsid w:val="004C5311"/>
    <w:rsid w:val="004C544C"/>
    <w:rsid w:val="004C568E"/>
    <w:rsid w:val="004C56E5"/>
    <w:rsid w:val="004C57A9"/>
    <w:rsid w:val="004C5AB0"/>
    <w:rsid w:val="004C5D8E"/>
    <w:rsid w:val="004C5E26"/>
    <w:rsid w:val="004C61C3"/>
    <w:rsid w:val="004C62C4"/>
    <w:rsid w:val="004C6316"/>
    <w:rsid w:val="004C63BD"/>
    <w:rsid w:val="004C66F8"/>
    <w:rsid w:val="004C67D7"/>
    <w:rsid w:val="004C6A13"/>
    <w:rsid w:val="004C6EF1"/>
    <w:rsid w:val="004C730F"/>
    <w:rsid w:val="004C74D9"/>
    <w:rsid w:val="004C76E6"/>
    <w:rsid w:val="004C7A2B"/>
    <w:rsid w:val="004C7C37"/>
    <w:rsid w:val="004C7C6B"/>
    <w:rsid w:val="004C7D3A"/>
    <w:rsid w:val="004C7EA5"/>
    <w:rsid w:val="004C7F88"/>
    <w:rsid w:val="004D03FA"/>
    <w:rsid w:val="004D0495"/>
    <w:rsid w:val="004D054F"/>
    <w:rsid w:val="004D0830"/>
    <w:rsid w:val="004D08F6"/>
    <w:rsid w:val="004D0D53"/>
    <w:rsid w:val="004D108C"/>
    <w:rsid w:val="004D1380"/>
    <w:rsid w:val="004D15A7"/>
    <w:rsid w:val="004D15CF"/>
    <w:rsid w:val="004D1670"/>
    <w:rsid w:val="004D1909"/>
    <w:rsid w:val="004D19C1"/>
    <w:rsid w:val="004D1B3E"/>
    <w:rsid w:val="004D1E40"/>
    <w:rsid w:val="004D2031"/>
    <w:rsid w:val="004D21D9"/>
    <w:rsid w:val="004D22E0"/>
    <w:rsid w:val="004D252B"/>
    <w:rsid w:val="004D266F"/>
    <w:rsid w:val="004D2852"/>
    <w:rsid w:val="004D2A09"/>
    <w:rsid w:val="004D2FDD"/>
    <w:rsid w:val="004D2FE7"/>
    <w:rsid w:val="004D310E"/>
    <w:rsid w:val="004D34E1"/>
    <w:rsid w:val="004D367B"/>
    <w:rsid w:val="004D3829"/>
    <w:rsid w:val="004D3AEE"/>
    <w:rsid w:val="004D3AF1"/>
    <w:rsid w:val="004D3B5F"/>
    <w:rsid w:val="004D3C53"/>
    <w:rsid w:val="004D3E25"/>
    <w:rsid w:val="004D3F56"/>
    <w:rsid w:val="004D4448"/>
    <w:rsid w:val="004D4623"/>
    <w:rsid w:val="004D4DF0"/>
    <w:rsid w:val="004D4E5C"/>
    <w:rsid w:val="004D53EC"/>
    <w:rsid w:val="004D54CC"/>
    <w:rsid w:val="004D5769"/>
    <w:rsid w:val="004D5806"/>
    <w:rsid w:val="004D5863"/>
    <w:rsid w:val="004D591D"/>
    <w:rsid w:val="004D5983"/>
    <w:rsid w:val="004D5B05"/>
    <w:rsid w:val="004D5B06"/>
    <w:rsid w:val="004D5C5D"/>
    <w:rsid w:val="004D5F20"/>
    <w:rsid w:val="004D6091"/>
    <w:rsid w:val="004D6174"/>
    <w:rsid w:val="004D62A0"/>
    <w:rsid w:val="004D64AD"/>
    <w:rsid w:val="004D6578"/>
    <w:rsid w:val="004D69A4"/>
    <w:rsid w:val="004D6ACD"/>
    <w:rsid w:val="004D6C06"/>
    <w:rsid w:val="004D6D7D"/>
    <w:rsid w:val="004D6DAB"/>
    <w:rsid w:val="004D6DBF"/>
    <w:rsid w:val="004D71A2"/>
    <w:rsid w:val="004D74FA"/>
    <w:rsid w:val="004D7580"/>
    <w:rsid w:val="004D7584"/>
    <w:rsid w:val="004D77D6"/>
    <w:rsid w:val="004D78AD"/>
    <w:rsid w:val="004D79EB"/>
    <w:rsid w:val="004D7A74"/>
    <w:rsid w:val="004D7AF8"/>
    <w:rsid w:val="004E05D6"/>
    <w:rsid w:val="004E094B"/>
    <w:rsid w:val="004E09D2"/>
    <w:rsid w:val="004E0AAB"/>
    <w:rsid w:val="004E0DEE"/>
    <w:rsid w:val="004E0F15"/>
    <w:rsid w:val="004E1602"/>
    <w:rsid w:val="004E17AE"/>
    <w:rsid w:val="004E1C6B"/>
    <w:rsid w:val="004E1CAA"/>
    <w:rsid w:val="004E1CE1"/>
    <w:rsid w:val="004E1D1B"/>
    <w:rsid w:val="004E2064"/>
    <w:rsid w:val="004E2511"/>
    <w:rsid w:val="004E25E2"/>
    <w:rsid w:val="004E2889"/>
    <w:rsid w:val="004E299E"/>
    <w:rsid w:val="004E2E5F"/>
    <w:rsid w:val="004E2F39"/>
    <w:rsid w:val="004E3082"/>
    <w:rsid w:val="004E328F"/>
    <w:rsid w:val="004E32AF"/>
    <w:rsid w:val="004E36B8"/>
    <w:rsid w:val="004E3830"/>
    <w:rsid w:val="004E3859"/>
    <w:rsid w:val="004E3A72"/>
    <w:rsid w:val="004E3A83"/>
    <w:rsid w:val="004E3AA0"/>
    <w:rsid w:val="004E3BE6"/>
    <w:rsid w:val="004E3ED8"/>
    <w:rsid w:val="004E3F21"/>
    <w:rsid w:val="004E4000"/>
    <w:rsid w:val="004E40BA"/>
    <w:rsid w:val="004E40FB"/>
    <w:rsid w:val="004E4353"/>
    <w:rsid w:val="004E47CB"/>
    <w:rsid w:val="004E47D0"/>
    <w:rsid w:val="004E4C6B"/>
    <w:rsid w:val="004E4C8E"/>
    <w:rsid w:val="004E4F85"/>
    <w:rsid w:val="004E5062"/>
    <w:rsid w:val="004E5068"/>
    <w:rsid w:val="004E521E"/>
    <w:rsid w:val="004E588D"/>
    <w:rsid w:val="004E5ABF"/>
    <w:rsid w:val="004E5F28"/>
    <w:rsid w:val="004E5FDA"/>
    <w:rsid w:val="004E6036"/>
    <w:rsid w:val="004E605D"/>
    <w:rsid w:val="004E61D3"/>
    <w:rsid w:val="004E6345"/>
    <w:rsid w:val="004E6605"/>
    <w:rsid w:val="004E6A57"/>
    <w:rsid w:val="004E6A83"/>
    <w:rsid w:val="004E6B9B"/>
    <w:rsid w:val="004E6BC5"/>
    <w:rsid w:val="004E6DE8"/>
    <w:rsid w:val="004E735C"/>
    <w:rsid w:val="004E73C5"/>
    <w:rsid w:val="004E7666"/>
    <w:rsid w:val="004E782C"/>
    <w:rsid w:val="004E7A90"/>
    <w:rsid w:val="004E7D80"/>
    <w:rsid w:val="004E7DE4"/>
    <w:rsid w:val="004E7FCF"/>
    <w:rsid w:val="004F0012"/>
    <w:rsid w:val="004F07B8"/>
    <w:rsid w:val="004F0814"/>
    <w:rsid w:val="004F081C"/>
    <w:rsid w:val="004F0C30"/>
    <w:rsid w:val="004F107C"/>
    <w:rsid w:val="004F10D1"/>
    <w:rsid w:val="004F1370"/>
    <w:rsid w:val="004F13C6"/>
    <w:rsid w:val="004F145A"/>
    <w:rsid w:val="004F1563"/>
    <w:rsid w:val="004F156E"/>
    <w:rsid w:val="004F15DB"/>
    <w:rsid w:val="004F17D0"/>
    <w:rsid w:val="004F19FE"/>
    <w:rsid w:val="004F1C14"/>
    <w:rsid w:val="004F1CD6"/>
    <w:rsid w:val="004F1D4D"/>
    <w:rsid w:val="004F1DBC"/>
    <w:rsid w:val="004F1FA9"/>
    <w:rsid w:val="004F2064"/>
    <w:rsid w:val="004F213C"/>
    <w:rsid w:val="004F2242"/>
    <w:rsid w:val="004F285B"/>
    <w:rsid w:val="004F2A29"/>
    <w:rsid w:val="004F2BB9"/>
    <w:rsid w:val="004F2C54"/>
    <w:rsid w:val="004F2E99"/>
    <w:rsid w:val="004F2F65"/>
    <w:rsid w:val="004F2F68"/>
    <w:rsid w:val="004F3513"/>
    <w:rsid w:val="004F3954"/>
    <w:rsid w:val="004F3A38"/>
    <w:rsid w:val="004F3A76"/>
    <w:rsid w:val="004F3E47"/>
    <w:rsid w:val="004F4064"/>
    <w:rsid w:val="004F4391"/>
    <w:rsid w:val="004F4527"/>
    <w:rsid w:val="004F4545"/>
    <w:rsid w:val="004F46AF"/>
    <w:rsid w:val="004F4710"/>
    <w:rsid w:val="004F4870"/>
    <w:rsid w:val="004F49FF"/>
    <w:rsid w:val="004F4AFE"/>
    <w:rsid w:val="004F4BBC"/>
    <w:rsid w:val="004F4D44"/>
    <w:rsid w:val="004F5101"/>
    <w:rsid w:val="004F513D"/>
    <w:rsid w:val="004F5908"/>
    <w:rsid w:val="004F5B3B"/>
    <w:rsid w:val="004F5B86"/>
    <w:rsid w:val="004F5C72"/>
    <w:rsid w:val="004F5DBF"/>
    <w:rsid w:val="004F5E6B"/>
    <w:rsid w:val="004F5EAE"/>
    <w:rsid w:val="004F5F78"/>
    <w:rsid w:val="004F61BB"/>
    <w:rsid w:val="004F6216"/>
    <w:rsid w:val="004F631D"/>
    <w:rsid w:val="004F63F0"/>
    <w:rsid w:val="004F64CF"/>
    <w:rsid w:val="004F6BB8"/>
    <w:rsid w:val="004F6D4E"/>
    <w:rsid w:val="004F6FA6"/>
    <w:rsid w:val="004F6FEC"/>
    <w:rsid w:val="004F71C3"/>
    <w:rsid w:val="004F74B7"/>
    <w:rsid w:val="004F7729"/>
    <w:rsid w:val="004F787B"/>
    <w:rsid w:val="004F7A4C"/>
    <w:rsid w:val="004F7BC0"/>
    <w:rsid w:val="004F7C20"/>
    <w:rsid w:val="004F7CE2"/>
    <w:rsid w:val="004F7D81"/>
    <w:rsid w:val="004F7E68"/>
    <w:rsid w:val="004F7E82"/>
    <w:rsid w:val="004F7FFA"/>
    <w:rsid w:val="005001BF"/>
    <w:rsid w:val="00500B19"/>
    <w:rsid w:val="00500D5F"/>
    <w:rsid w:val="00500DD4"/>
    <w:rsid w:val="00500E87"/>
    <w:rsid w:val="00500EBB"/>
    <w:rsid w:val="00501096"/>
    <w:rsid w:val="005012C1"/>
    <w:rsid w:val="00501558"/>
    <w:rsid w:val="005018A8"/>
    <w:rsid w:val="005019E2"/>
    <w:rsid w:val="00501C22"/>
    <w:rsid w:val="00501C2D"/>
    <w:rsid w:val="00501FA5"/>
    <w:rsid w:val="00502193"/>
    <w:rsid w:val="005022DA"/>
    <w:rsid w:val="00502577"/>
    <w:rsid w:val="00502880"/>
    <w:rsid w:val="0050294C"/>
    <w:rsid w:val="00502BBB"/>
    <w:rsid w:val="00502E06"/>
    <w:rsid w:val="00502F32"/>
    <w:rsid w:val="00503124"/>
    <w:rsid w:val="005031FD"/>
    <w:rsid w:val="005035CD"/>
    <w:rsid w:val="0050370F"/>
    <w:rsid w:val="00503716"/>
    <w:rsid w:val="00503811"/>
    <w:rsid w:val="00503841"/>
    <w:rsid w:val="00503935"/>
    <w:rsid w:val="00504036"/>
    <w:rsid w:val="005044F2"/>
    <w:rsid w:val="00504640"/>
    <w:rsid w:val="00504BA0"/>
    <w:rsid w:val="00504F1C"/>
    <w:rsid w:val="005050FD"/>
    <w:rsid w:val="00505674"/>
    <w:rsid w:val="005057B3"/>
    <w:rsid w:val="005058D7"/>
    <w:rsid w:val="00505A39"/>
    <w:rsid w:val="00505B59"/>
    <w:rsid w:val="00505D55"/>
    <w:rsid w:val="00505DF3"/>
    <w:rsid w:val="005062DF"/>
    <w:rsid w:val="00506372"/>
    <w:rsid w:val="005064D0"/>
    <w:rsid w:val="005064E2"/>
    <w:rsid w:val="005066ED"/>
    <w:rsid w:val="005067EC"/>
    <w:rsid w:val="00506943"/>
    <w:rsid w:val="005069BD"/>
    <w:rsid w:val="005069FB"/>
    <w:rsid w:val="00506A93"/>
    <w:rsid w:val="00506D18"/>
    <w:rsid w:val="00506DFA"/>
    <w:rsid w:val="00506FA8"/>
    <w:rsid w:val="005072EC"/>
    <w:rsid w:val="00507373"/>
    <w:rsid w:val="005078DA"/>
    <w:rsid w:val="00507CC5"/>
    <w:rsid w:val="00507F77"/>
    <w:rsid w:val="00510002"/>
    <w:rsid w:val="0051033B"/>
    <w:rsid w:val="0051045E"/>
    <w:rsid w:val="00510477"/>
    <w:rsid w:val="005104CC"/>
    <w:rsid w:val="00510558"/>
    <w:rsid w:val="00510696"/>
    <w:rsid w:val="005106F1"/>
    <w:rsid w:val="00510721"/>
    <w:rsid w:val="005107D0"/>
    <w:rsid w:val="00510999"/>
    <w:rsid w:val="0051104C"/>
    <w:rsid w:val="0051118A"/>
    <w:rsid w:val="00511381"/>
    <w:rsid w:val="005113A3"/>
    <w:rsid w:val="00511CF5"/>
    <w:rsid w:val="00511DB8"/>
    <w:rsid w:val="00511E74"/>
    <w:rsid w:val="0051209B"/>
    <w:rsid w:val="005121A4"/>
    <w:rsid w:val="005122EF"/>
    <w:rsid w:val="005124F5"/>
    <w:rsid w:val="005127AB"/>
    <w:rsid w:val="0051290B"/>
    <w:rsid w:val="00512AD0"/>
    <w:rsid w:val="00512DC7"/>
    <w:rsid w:val="00513A09"/>
    <w:rsid w:val="00513AAB"/>
    <w:rsid w:val="00513B72"/>
    <w:rsid w:val="00513D26"/>
    <w:rsid w:val="00513D4D"/>
    <w:rsid w:val="00513EC8"/>
    <w:rsid w:val="00514031"/>
    <w:rsid w:val="00514170"/>
    <w:rsid w:val="005145B0"/>
    <w:rsid w:val="00514724"/>
    <w:rsid w:val="005148A7"/>
    <w:rsid w:val="00514A07"/>
    <w:rsid w:val="00514BC2"/>
    <w:rsid w:val="00514CD3"/>
    <w:rsid w:val="00514CEE"/>
    <w:rsid w:val="00514CFF"/>
    <w:rsid w:val="00514F8D"/>
    <w:rsid w:val="005150FB"/>
    <w:rsid w:val="0051551C"/>
    <w:rsid w:val="00515537"/>
    <w:rsid w:val="00515A5D"/>
    <w:rsid w:val="00515D7E"/>
    <w:rsid w:val="00515DF2"/>
    <w:rsid w:val="00516013"/>
    <w:rsid w:val="0051652C"/>
    <w:rsid w:val="0051655B"/>
    <w:rsid w:val="005165A5"/>
    <w:rsid w:val="00516F0D"/>
    <w:rsid w:val="00516F38"/>
    <w:rsid w:val="00517006"/>
    <w:rsid w:val="00517090"/>
    <w:rsid w:val="005171FC"/>
    <w:rsid w:val="005172FA"/>
    <w:rsid w:val="00517737"/>
    <w:rsid w:val="00517A3E"/>
    <w:rsid w:val="00517B37"/>
    <w:rsid w:val="00517C7E"/>
    <w:rsid w:val="00517D1D"/>
    <w:rsid w:val="00517DA9"/>
    <w:rsid w:val="00517F53"/>
    <w:rsid w:val="00520059"/>
    <w:rsid w:val="00520070"/>
    <w:rsid w:val="005202C4"/>
    <w:rsid w:val="005202D5"/>
    <w:rsid w:val="00521021"/>
    <w:rsid w:val="005210BC"/>
    <w:rsid w:val="00521330"/>
    <w:rsid w:val="005215BF"/>
    <w:rsid w:val="00521A11"/>
    <w:rsid w:val="00521A5A"/>
    <w:rsid w:val="00521AD7"/>
    <w:rsid w:val="00521B96"/>
    <w:rsid w:val="00521D82"/>
    <w:rsid w:val="00521E97"/>
    <w:rsid w:val="005223B2"/>
    <w:rsid w:val="00522646"/>
    <w:rsid w:val="0052279E"/>
    <w:rsid w:val="005228CF"/>
    <w:rsid w:val="00522ACE"/>
    <w:rsid w:val="00522BFA"/>
    <w:rsid w:val="00522DE6"/>
    <w:rsid w:val="0052302D"/>
    <w:rsid w:val="0052315C"/>
    <w:rsid w:val="005231BA"/>
    <w:rsid w:val="0052328B"/>
    <w:rsid w:val="00523367"/>
    <w:rsid w:val="00523580"/>
    <w:rsid w:val="00523631"/>
    <w:rsid w:val="005238C3"/>
    <w:rsid w:val="005238FA"/>
    <w:rsid w:val="005240BF"/>
    <w:rsid w:val="00524183"/>
    <w:rsid w:val="00524197"/>
    <w:rsid w:val="00524230"/>
    <w:rsid w:val="00524394"/>
    <w:rsid w:val="0052471D"/>
    <w:rsid w:val="00524734"/>
    <w:rsid w:val="00524E0A"/>
    <w:rsid w:val="00524F9B"/>
    <w:rsid w:val="00524FE4"/>
    <w:rsid w:val="00525C0D"/>
    <w:rsid w:val="00525FC2"/>
    <w:rsid w:val="005260EB"/>
    <w:rsid w:val="005261C7"/>
    <w:rsid w:val="0052698F"/>
    <w:rsid w:val="00526D69"/>
    <w:rsid w:val="00526F2B"/>
    <w:rsid w:val="00527584"/>
    <w:rsid w:val="005278EC"/>
    <w:rsid w:val="00527B67"/>
    <w:rsid w:val="00527BC4"/>
    <w:rsid w:val="005302F1"/>
    <w:rsid w:val="00530412"/>
    <w:rsid w:val="00530473"/>
    <w:rsid w:val="005304BE"/>
    <w:rsid w:val="0053056E"/>
    <w:rsid w:val="00530692"/>
    <w:rsid w:val="00530717"/>
    <w:rsid w:val="0053085A"/>
    <w:rsid w:val="00530861"/>
    <w:rsid w:val="00530B80"/>
    <w:rsid w:val="00530F4A"/>
    <w:rsid w:val="00530FC4"/>
    <w:rsid w:val="00530FE9"/>
    <w:rsid w:val="00530FF7"/>
    <w:rsid w:val="0053153F"/>
    <w:rsid w:val="00531CDF"/>
    <w:rsid w:val="00531CF5"/>
    <w:rsid w:val="00531E5C"/>
    <w:rsid w:val="005322FB"/>
    <w:rsid w:val="00532656"/>
    <w:rsid w:val="00532723"/>
    <w:rsid w:val="00532998"/>
    <w:rsid w:val="00532ACF"/>
    <w:rsid w:val="00532BBB"/>
    <w:rsid w:val="00532C0C"/>
    <w:rsid w:val="00532EAD"/>
    <w:rsid w:val="00532F06"/>
    <w:rsid w:val="00532F1E"/>
    <w:rsid w:val="005331EC"/>
    <w:rsid w:val="00533319"/>
    <w:rsid w:val="00533637"/>
    <w:rsid w:val="00533E2F"/>
    <w:rsid w:val="00533FE3"/>
    <w:rsid w:val="00534849"/>
    <w:rsid w:val="00534B78"/>
    <w:rsid w:val="00534DAD"/>
    <w:rsid w:val="0053513F"/>
    <w:rsid w:val="00535178"/>
    <w:rsid w:val="00535399"/>
    <w:rsid w:val="0053548D"/>
    <w:rsid w:val="005358C9"/>
    <w:rsid w:val="005358D9"/>
    <w:rsid w:val="00535E40"/>
    <w:rsid w:val="00535E44"/>
    <w:rsid w:val="0053666A"/>
    <w:rsid w:val="00536682"/>
    <w:rsid w:val="00536910"/>
    <w:rsid w:val="0053693E"/>
    <w:rsid w:val="00536B6C"/>
    <w:rsid w:val="00536BFF"/>
    <w:rsid w:val="00536CC4"/>
    <w:rsid w:val="00536D88"/>
    <w:rsid w:val="00536F8F"/>
    <w:rsid w:val="0053707B"/>
    <w:rsid w:val="0053744B"/>
    <w:rsid w:val="0053754F"/>
    <w:rsid w:val="005375E4"/>
    <w:rsid w:val="00537A5D"/>
    <w:rsid w:val="00537B9C"/>
    <w:rsid w:val="00537DD2"/>
    <w:rsid w:val="00537DDB"/>
    <w:rsid w:val="00537E57"/>
    <w:rsid w:val="00540265"/>
    <w:rsid w:val="005402D5"/>
    <w:rsid w:val="005402DE"/>
    <w:rsid w:val="005405F1"/>
    <w:rsid w:val="00540764"/>
    <w:rsid w:val="005408C4"/>
    <w:rsid w:val="00540A37"/>
    <w:rsid w:val="00540BF0"/>
    <w:rsid w:val="00540C16"/>
    <w:rsid w:val="00540C86"/>
    <w:rsid w:val="0054103A"/>
    <w:rsid w:val="00541554"/>
    <w:rsid w:val="00541954"/>
    <w:rsid w:val="00541996"/>
    <w:rsid w:val="00541A1A"/>
    <w:rsid w:val="00541C3C"/>
    <w:rsid w:val="0054226A"/>
    <w:rsid w:val="005423F8"/>
    <w:rsid w:val="0054242F"/>
    <w:rsid w:val="005424AB"/>
    <w:rsid w:val="0054267C"/>
    <w:rsid w:val="00542B8F"/>
    <w:rsid w:val="00542C88"/>
    <w:rsid w:val="00542FD6"/>
    <w:rsid w:val="005430E6"/>
    <w:rsid w:val="00543211"/>
    <w:rsid w:val="00543301"/>
    <w:rsid w:val="005438D5"/>
    <w:rsid w:val="00543A40"/>
    <w:rsid w:val="00543C60"/>
    <w:rsid w:val="005441E1"/>
    <w:rsid w:val="00544356"/>
    <w:rsid w:val="00544680"/>
    <w:rsid w:val="00544906"/>
    <w:rsid w:val="00544DE9"/>
    <w:rsid w:val="00544FA5"/>
    <w:rsid w:val="005451B7"/>
    <w:rsid w:val="00545579"/>
    <w:rsid w:val="00545A83"/>
    <w:rsid w:val="00545EAA"/>
    <w:rsid w:val="0054636B"/>
    <w:rsid w:val="00546502"/>
    <w:rsid w:val="005466AA"/>
    <w:rsid w:val="005467A3"/>
    <w:rsid w:val="00546902"/>
    <w:rsid w:val="00546AE4"/>
    <w:rsid w:val="00546FE5"/>
    <w:rsid w:val="005472AC"/>
    <w:rsid w:val="00547325"/>
    <w:rsid w:val="0054797C"/>
    <w:rsid w:val="00547CD4"/>
    <w:rsid w:val="00547F25"/>
    <w:rsid w:val="005503D8"/>
    <w:rsid w:val="00550604"/>
    <w:rsid w:val="00550C63"/>
    <w:rsid w:val="00550ED1"/>
    <w:rsid w:val="0055127B"/>
    <w:rsid w:val="005512DF"/>
    <w:rsid w:val="00551303"/>
    <w:rsid w:val="00551664"/>
    <w:rsid w:val="005516BD"/>
    <w:rsid w:val="00551CF7"/>
    <w:rsid w:val="00551D56"/>
    <w:rsid w:val="00551D74"/>
    <w:rsid w:val="00552022"/>
    <w:rsid w:val="0055216E"/>
    <w:rsid w:val="005523BE"/>
    <w:rsid w:val="00552469"/>
    <w:rsid w:val="0055263D"/>
    <w:rsid w:val="005527A4"/>
    <w:rsid w:val="00553091"/>
    <w:rsid w:val="00553267"/>
    <w:rsid w:val="00553685"/>
    <w:rsid w:val="005538E3"/>
    <w:rsid w:val="005538E4"/>
    <w:rsid w:val="00553A1B"/>
    <w:rsid w:val="00553AFC"/>
    <w:rsid w:val="00553B3A"/>
    <w:rsid w:val="00553C45"/>
    <w:rsid w:val="00553C4D"/>
    <w:rsid w:val="00553CBD"/>
    <w:rsid w:val="00553E59"/>
    <w:rsid w:val="00554040"/>
    <w:rsid w:val="00554264"/>
    <w:rsid w:val="005542A1"/>
    <w:rsid w:val="00554367"/>
    <w:rsid w:val="0055438F"/>
    <w:rsid w:val="00554536"/>
    <w:rsid w:val="005545C0"/>
    <w:rsid w:val="00554A40"/>
    <w:rsid w:val="00554F07"/>
    <w:rsid w:val="005550AC"/>
    <w:rsid w:val="00555359"/>
    <w:rsid w:val="00555380"/>
    <w:rsid w:val="005553F9"/>
    <w:rsid w:val="005557C0"/>
    <w:rsid w:val="00555A06"/>
    <w:rsid w:val="005561EC"/>
    <w:rsid w:val="005563B1"/>
    <w:rsid w:val="005565B8"/>
    <w:rsid w:val="00556875"/>
    <w:rsid w:val="00556AE5"/>
    <w:rsid w:val="00556B01"/>
    <w:rsid w:val="00556C98"/>
    <w:rsid w:val="00556CFB"/>
    <w:rsid w:val="00556FF0"/>
    <w:rsid w:val="005570D3"/>
    <w:rsid w:val="0055722A"/>
    <w:rsid w:val="00557293"/>
    <w:rsid w:val="005572BC"/>
    <w:rsid w:val="0055739B"/>
    <w:rsid w:val="005573B0"/>
    <w:rsid w:val="0055751D"/>
    <w:rsid w:val="00557700"/>
    <w:rsid w:val="005578D7"/>
    <w:rsid w:val="00557B6A"/>
    <w:rsid w:val="00557CFE"/>
    <w:rsid w:val="00557E1F"/>
    <w:rsid w:val="0056010D"/>
    <w:rsid w:val="005602FD"/>
    <w:rsid w:val="00560376"/>
    <w:rsid w:val="005603EC"/>
    <w:rsid w:val="00560782"/>
    <w:rsid w:val="005608B5"/>
    <w:rsid w:val="00560ACC"/>
    <w:rsid w:val="00560E7A"/>
    <w:rsid w:val="00560EE3"/>
    <w:rsid w:val="00561039"/>
    <w:rsid w:val="00561168"/>
    <w:rsid w:val="0056139F"/>
    <w:rsid w:val="0056153B"/>
    <w:rsid w:val="005615BA"/>
    <w:rsid w:val="0056162B"/>
    <w:rsid w:val="00561739"/>
    <w:rsid w:val="0056195C"/>
    <w:rsid w:val="005619E5"/>
    <w:rsid w:val="00561B65"/>
    <w:rsid w:val="00561C16"/>
    <w:rsid w:val="00561CCD"/>
    <w:rsid w:val="00561DBF"/>
    <w:rsid w:val="00561FB6"/>
    <w:rsid w:val="0056207D"/>
    <w:rsid w:val="0056237B"/>
    <w:rsid w:val="005623FE"/>
    <w:rsid w:val="005625A4"/>
    <w:rsid w:val="00562D59"/>
    <w:rsid w:val="00562DFE"/>
    <w:rsid w:val="00562E32"/>
    <w:rsid w:val="005630EF"/>
    <w:rsid w:val="00563741"/>
    <w:rsid w:val="00563803"/>
    <w:rsid w:val="00563B98"/>
    <w:rsid w:val="00563DB4"/>
    <w:rsid w:val="00563F8B"/>
    <w:rsid w:val="0056410A"/>
    <w:rsid w:val="0056410D"/>
    <w:rsid w:val="0056420F"/>
    <w:rsid w:val="005643ED"/>
    <w:rsid w:val="00564471"/>
    <w:rsid w:val="005645F4"/>
    <w:rsid w:val="00564813"/>
    <w:rsid w:val="005648E6"/>
    <w:rsid w:val="0056498E"/>
    <w:rsid w:val="00564B35"/>
    <w:rsid w:val="00564C4B"/>
    <w:rsid w:val="00564DA3"/>
    <w:rsid w:val="00564FC7"/>
    <w:rsid w:val="00565103"/>
    <w:rsid w:val="00565124"/>
    <w:rsid w:val="005654F8"/>
    <w:rsid w:val="0056592E"/>
    <w:rsid w:val="00565A1D"/>
    <w:rsid w:val="005661CA"/>
    <w:rsid w:val="005664AA"/>
    <w:rsid w:val="0056666F"/>
    <w:rsid w:val="00566859"/>
    <w:rsid w:val="00566C24"/>
    <w:rsid w:val="00566E8C"/>
    <w:rsid w:val="00566FC0"/>
    <w:rsid w:val="0056701D"/>
    <w:rsid w:val="00567299"/>
    <w:rsid w:val="0056745B"/>
    <w:rsid w:val="00567C4D"/>
    <w:rsid w:val="00567EB4"/>
    <w:rsid w:val="00567EE6"/>
    <w:rsid w:val="00567F48"/>
    <w:rsid w:val="0057001F"/>
    <w:rsid w:val="0057065F"/>
    <w:rsid w:val="005706CC"/>
    <w:rsid w:val="005707F3"/>
    <w:rsid w:val="00570A1D"/>
    <w:rsid w:val="00570A7E"/>
    <w:rsid w:val="00570A99"/>
    <w:rsid w:val="00570ACB"/>
    <w:rsid w:val="00570C4F"/>
    <w:rsid w:val="00570D4D"/>
    <w:rsid w:val="00571024"/>
    <w:rsid w:val="0057102B"/>
    <w:rsid w:val="0057131B"/>
    <w:rsid w:val="005714CC"/>
    <w:rsid w:val="00571605"/>
    <w:rsid w:val="00571658"/>
    <w:rsid w:val="005717A0"/>
    <w:rsid w:val="00571B69"/>
    <w:rsid w:val="00571C23"/>
    <w:rsid w:val="00571D64"/>
    <w:rsid w:val="00571DC1"/>
    <w:rsid w:val="00571DC9"/>
    <w:rsid w:val="00571FB8"/>
    <w:rsid w:val="00571FDF"/>
    <w:rsid w:val="0057265C"/>
    <w:rsid w:val="005727EA"/>
    <w:rsid w:val="00572809"/>
    <w:rsid w:val="00572869"/>
    <w:rsid w:val="005729B1"/>
    <w:rsid w:val="00572A13"/>
    <w:rsid w:val="00572A3C"/>
    <w:rsid w:val="00572B23"/>
    <w:rsid w:val="00572BD5"/>
    <w:rsid w:val="005730EB"/>
    <w:rsid w:val="005736F6"/>
    <w:rsid w:val="00573AEA"/>
    <w:rsid w:val="00573EA8"/>
    <w:rsid w:val="00574010"/>
    <w:rsid w:val="00574435"/>
    <w:rsid w:val="0057458D"/>
    <w:rsid w:val="0057460E"/>
    <w:rsid w:val="00574734"/>
    <w:rsid w:val="00574865"/>
    <w:rsid w:val="00574C0C"/>
    <w:rsid w:val="00574ECB"/>
    <w:rsid w:val="005757A8"/>
    <w:rsid w:val="005757EB"/>
    <w:rsid w:val="00575CD7"/>
    <w:rsid w:val="00575D0D"/>
    <w:rsid w:val="00575F52"/>
    <w:rsid w:val="00575F8B"/>
    <w:rsid w:val="00575FCB"/>
    <w:rsid w:val="0057609C"/>
    <w:rsid w:val="005760C1"/>
    <w:rsid w:val="00576117"/>
    <w:rsid w:val="005761CA"/>
    <w:rsid w:val="005761E6"/>
    <w:rsid w:val="005765D0"/>
    <w:rsid w:val="00576688"/>
    <w:rsid w:val="005766B4"/>
    <w:rsid w:val="00576BCD"/>
    <w:rsid w:val="00576EE9"/>
    <w:rsid w:val="00576FAB"/>
    <w:rsid w:val="00577296"/>
    <w:rsid w:val="00577307"/>
    <w:rsid w:val="005773AC"/>
    <w:rsid w:val="0057742F"/>
    <w:rsid w:val="0057749D"/>
    <w:rsid w:val="00577614"/>
    <w:rsid w:val="00577741"/>
    <w:rsid w:val="0057776F"/>
    <w:rsid w:val="00577BEA"/>
    <w:rsid w:val="00577CEF"/>
    <w:rsid w:val="00577E8E"/>
    <w:rsid w:val="00577EAC"/>
    <w:rsid w:val="00580479"/>
    <w:rsid w:val="0058056F"/>
    <w:rsid w:val="005807D6"/>
    <w:rsid w:val="00580983"/>
    <w:rsid w:val="00580B2D"/>
    <w:rsid w:val="00580EF7"/>
    <w:rsid w:val="0058128B"/>
    <w:rsid w:val="005815F8"/>
    <w:rsid w:val="00581A9B"/>
    <w:rsid w:val="00581CAE"/>
    <w:rsid w:val="00581D2E"/>
    <w:rsid w:val="00581E65"/>
    <w:rsid w:val="00581F98"/>
    <w:rsid w:val="0058228C"/>
    <w:rsid w:val="005822BD"/>
    <w:rsid w:val="005822FA"/>
    <w:rsid w:val="0058234B"/>
    <w:rsid w:val="005824EE"/>
    <w:rsid w:val="0058298C"/>
    <w:rsid w:val="005829E5"/>
    <w:rsid w:val="00582C39"/>
    <w:rsid w:val="0058319F"/>
    <w:rsid w:val="0058323F"/>
    <w:rsid w:val="005834EB"/>
    <w:rsid w:val="0058360B"/>
    <w:rsid w:val="005836E3"/>
    <w:rsid w:val="005837CA"/>
    <w:rsid w:val="00583807"/>
    <w:rsid w:val="0058396C"/>
    <w:rsid w:val="00583989"/>
    <w:rsid w:val="00583A3F"/>
    <w:rsid w:val="00583B08"/>
    <w:rsid w:val="005840B9"/>
    <w:rsid w:val="00584228"/>
    <w:rsid w:val="00584A91"/>
    <w:rsid w:val="00584ABB"/>
    <w:rsid w:val="00584DBC"/>
    <w:rsid w:val="00584F8E"/>
    <w:rsid w:val="00585046"/>
    <w:rsid w:val="005850BF"/>
    <w:rsid w:val="00585216"/>
    <w:rsid w:val="00585390"/>
    <w:rsid w:val="0058540D"/>
    <w:rsid w:val="00585424"/>
    <w:rsid w:val="00585773"/>
    <w:rsid w:val="00585EAB"/>
    <w:rsid w:val="00585FA5"/>
    <w:rsid w:val="005860BF"/>
    <w:rsid w:val="005865B1"/>
    <w:rsid w:val="005865DA"/>
    <w:rsid w:val="0058685C"/>
    <w:rsid w:val="00586892"/>
    <w:rsid w:val="00586A16"/>
    <w:rsid w:val="00586BD8"/>
    <w:rsid w:val="00586D0C"/>
    <w:rsid w:val="00586E00"/>
    <w:rsid w:val="0058701D"/>
    <w:rsid w:val="005870D1"/>
    <w:rsid w:val="0058736C"/>
    <w:rsid w:val="005877AB"/>
    <w:rsid w:val="005878EA"/>
    <w:rsid w:val="00587914"/>
    <w:rsid w:val="005879A1"/>
    <w:rsid w:val="00587A81"/>
    <w:rsid w:val="00587CF2"/>
    <w:rsid w:val="00590064"/>
    <w:rsid w:val="005900BA"/>
    <w:rsid w:val="00590216"/>
    <w:rsid w:val="00590262"/>
    <w:rsid w:val="00590531"/>
    <w:rsid w:val="005905EC"/>
    <w:rsid w:val="00590640"/>
    <w:rsid w:val="00590A0A"/>
    <w:rsid w:val="00590FF8"/>
    <w:rsid w:val="005911DE"/>
    <w:rsid w:val="0059159D"/>
    <w:rsid w:val="0059196C"/>
    <w:rsid w:val="0059198F"/>
    <w:rsid w:val="00591A55"/>
    <w:rsid w:val="00591BB3"/>
    <w:rsid w:val="00591F23"/>
    <w:rsid w:val="00592000"/>
    <w:rsid w:val="00592061"/>
    <w:rsid w:val="00592223"/>
    <w:rsid w:val="0059222B"/>
    <w:rsid w:val="00592347"/>
    <w:rsid w:val="00592483"/>
    <w:rsid w:val="00592752"/>
    <w:rsid w:val="005927A7"/>
    <w:rsid w:val="00592906"/>
    <w:rsid w:val="00592A6A"/>
    <w:rsid w:val="00592A76"/>
    <w:rsid w:val="00592F45"/>
    <w:rsid w:val="00592FB1"/>
    <w:rsid w:val="0059328B"/>
    <w:rsid w:val="005932EB"/>
    <w:rsid w:val="00593420"/>
    <w:rsid w:val="0059357A"/>
    <w:rsid w:val="005939A5"/>
    <w:rsid w:val="00593A50"/>
    <w:rsid w:val="00593C61"/>
    <w:rsid w:val="0059407F"/>
    <w:rsid w:val="00594160"/>
    <w:rsid w:val="005941C8"/>
    <w:rsid w:val="00594237"/>
    <w:rsid w:val="005944BB"/>
    <w:rsid w:val="005945F9"/>
    <w:rsid w:val="0059487A"/>
    <w:rsid w:val="005948D5"/>
    <w:rsid w:val="00594CAF"/>
    <w:rsid w:val="005952EF"/>
    <w:rsid w:val="005955FD"/>
    <w:rsid w:val="00595984"/>
    <w:rsid w:val="00595B40"/>
    <w:rsid w:val="00595B6A"/>
    <w:rsid w:val="0059629F"/>
    <w:rsid w:val="005963EC"/>
    <w:rsid w:val="005964A5"/>
    <w:rsid w:val="005966B6"/>
    <w:rsid w:val="00596753"/>
    <w:rsid w:val="0059689C"/>
    <w:rsid w:val="0059690E"/>
    <w:rsid w:val="00596DC5"/>
    <w:rsid w:val="00596EA0"/>
    <w:rsid w:val="0059710D"/>
    <w:rsid w:val="0059722B"/>
    <w:rsid w:val="005973F3"/>
    <w:rsid w:val="00597480"/>
    <w:rsid w:val="005976BD"/>
    <w:rsid w:val="00597773"/>
    <w:rsid w:val="005977BD"/>
    <w:rsid w:val="00597A30"/>
    <w:rsid w:val="00597ACC"/>
    <w:rsid w:val="00597B56"/>
    <w:rsid w:val="00597C83"/>
    <w:rsid w:val="00597DC1"/>
    <w:rsid w:val="00597E53"/>
    <w:rsid w:val="005A06AA"/>
    <w:rsid w:val="005A08E5"/>
    <w:rsid w:val="005A0A0A"/>
    <w:rsid w:val="005A0AFE"/>
    <w:rsid w:val="005A0BA7"/>
    <w:rsid w:val="005A0CE9"/>
    <w:rsid w:val="005A0D19"/>
    <w:rsid w:val="005A0E64"/>
    <w:rsid w:val="005A0EB6"/>
    <w:rsid w:val="005A1008"/>
    <w:rsid w:val="005A100F"/>
    <w:rsid w:val="005A1226"/>
    <w:rsid w:val="005A1412"/>
    <w:rsid w:val="005A148C"/>
    <w:rsid w:val="005A1800"/>
    <w:rsid w:val="005A1812"/>
    <w:rsid w:val="005A194E"/>
    <w:rsid w:val="005A1A14"/>
    <w:rsid w:val="005A1B99"/>
    <w:rsid w:val="005A21F5"/>
    <w:rsid w:val="005A2315"/>
    <w:rsid w:val="005A25B5"/>
    <w:rsid w:val="005A2A03"/>
    <w:rsid w:val="005A2D57"/>
    <w:rsid w:val="005A2ED3"/>
    <w:rsid w:val="005A3636"/>
    <w:rsid w:val="005A36AF"/>
    <w:rsid w:val="005A3967"/>
    <w:rsid w:val="005A39FF"/>
    <w:rsid w:val="005A3D37"/>
    <w:rsid w:val="005A3DF6"/>
    <w:rsid w:val="005A4072"/>
    <w:rsid w:val="005A432B"/>
    <w:rsid w:val="005A4374"/>
    <w:rsid w:val="005A4468"/>
    <w:rsid w:val="005A4539"/>
    <w:rsid w:val="005A4720"/>
    <w:rsid w:val="005A4A24"/>
    <w:rsid w:val="005A4A40"/>
    <w:rsid w:val="005A4CD0"/>
    <w:rsid w:val="005A4EB8"/>
    <w:rsid w:val="005A4F04"/>
    <w:rsid w:val="005A4F09"/>
    <w:rsid w:val="005A4F44"/>
    <w:rsid w:val="005A50D8"/>
    <w:rsid w:val="005A55E0"/>
    <w:rsid w:val="005A57A5"/>
    <w:rsid w:val="005A5841"/>
    <w:rsid w:val="005A58BA"/>
    <w:rsid w:val="005A5AD0"/>
    <w:rsid w:val="005A5EE8"/>
    <w:rsid w:val="005A62FD"/>
    <w:rsid w:val="005A639F"/>
    <w:rsid w:val="005A67E0"/>
    <w:rsid w:val="005A69C4"/>
    <w:rsid w:val="005A6B63"/>
    <w:rsid w:val="005A6E4E"/>
    <w:rsid w:val="005A6FC1"/>
    <w:rsid w:val="005A7133"/>
    <w:rsid w:val="005A74CA"/>
    <w:rsid w:val="005A78FE"/>
    <w:rsid w:val="005A79E7"/>
    <w:rsid w:val="005A7A3E"/>
    <w:rsid w:val="005A7C1E"/>
    <w:rsid w:val="005A7C4C"/>
    <w:rsid w:val="005B00A9"/>
    <w:rsid w:val="005B0242"/>
    <w:rsid w:val="005B0488"/>
    <w:rsid w:val="005B063B"/>
    <w:rsid w:val="005B0818"/>
    <w:rsid w:val="005B081B"/>
    <w:rsid w:val="005B0821"/>
    <w:rsid w:val="005B086F"/>
    <w:rsid w:val="005B08BB"/>
    <w:rsid w:val="005B0A9C"/>
    <w:rsid w:val="005B0B95"/>
    <w:rsid w:val="005B0BCB"/>
    <w:rsid w:val="005B0CFF"/>
    <w:rsid w:val="005B114A"/>
    <w:rsid w:val="005B13F0"/>
    <w:rsid w:val="005B1546"/>
    <w:rsid w:val="005B15F5"/>
    <w:rsid w:val="005B1793"/>
    <w:rsid w:val="005B17E7"/>
    <w:rsid w:val="005B18A4"/>
    <w:rsid w:val="005B1DBF"/>
    <w:rsid w:val="005B1F8B"/>
    <w:rsid w:val="005B27CD"/>
    <w:rsid w:val="005B2E0A"/>
    <w:rsid w:val="005B308F"/>
    <w:rsid w:val="005B30A2"/>
    <w:rsid w:val="005B31F4"/>
    <w:rsid w:val="005B355B"/>
    <w:rsid w:val="005B36BB"/>
    <w:rsid w:val="005B37CA"/>
    <w:rsid w:val="005B39CE"/>
    <w:rsid w:val="005B3C2A"/>
    <w:rsid w:val="005B3F62"/>
    <w:rsid w:val="005B404C"/>
    <w:rsid w:val="005B4089"/>
    <w:rsid w:val="005B4200"/>
    <w:rsid w:val="005B4527"/>
    <w:rsid w:val="005B4613"/>
    <w:rsid w:val="005B461F"/>
    <w:rsid w:val="005B47C5"/>
    <w:rsid w:val="005B4886"/>
    <w:rsid w:val="005B49D4"/>
    <w:rsid w:val="005B4DA7"/>
    <w:rsid w:val="005B4F81"/>
    <w:rsid w:val="005B520C"/>
    <w:rsid w:val="005B54F0"/>
    <w:rsid w:val="005B556B"/>
    <w:rsid w:val="005B5614"/>
    <w:rsid w:val="005B5854"/>
    <w:rsid w:val="005B5AD8"/>
    <w:rsid w:val="005B5FE1"/>
    <w:rsid w:val="005B5FE6"/>
    <w:rsid w:val="005B6007"/>
    <w:rsid w:val="005B6153"/>
    <w:rsid w:val="005B6236"/>
    <w:rsid w:val="005B64F4"/>
    <w:rsid w:val="005B6523"/>
    <w:rsid w:val="005B6859"/>
    <w:rsid w:val="005B6D3F"/>
    <w:rsid w:val="005B6E7B"/>
    <w:rsid w:val="005B7474"/>
    <w:rsid w:val="005B79BF"/>
    <w:rsid w:val="005B7BB2"/>
    <w:rsid w:val="005B7CB5"/>
    <w:rsid w:val="005B7D18"/>
    <w:rsid w:val="005B7FB0"/>
    <w:rsid w:val="005C02AD"/>
    <w:rsid w:val="005C0862"/>
    <w:rsid w:val="005C091A"/>
    <w:rsid w:val="005C0BB2"/>
    <w:rsid w:val="005C0CDC"/>
    <w:rsid w:val="005C0D00"/>
    <w:rsid w:val="005C1464"/>
    <w:rsid w:val="005C18FD"/>
    <w:rsid w:val="005C19C0"/>
    <w:rsid w:val="005C19CE"/>
    <w:rsid w:val="005C19EE"/>
    <w:rsid w:val="005C1D93"/>
    <w:rsid w:val="005C1F92"/>
    <w:rsid w:val="005C237B"/>
    <w:rsid w:val="005C23C0"/>
    <w:rsid w:val="005C253A"/>
    <w:rsid w:val="005C27E3"/>
    <w:rsid w:val="005C2BEA"/>
    <w:rsid w:val="005C2F09"/>
    <w:rsid w:val="005C2F56"/>
    <w:rsid w:val="005C3422"/>
    <w:rsid w:val="005C371A"/>
    <w:rsid w:val="005C382B"/>
    <w:rsid w:val="005C3B67"/>
    <w:rsid w:val="005C3CD4"/>
    <w:rsid w:val="005C3D06"/>
    <w:rsid w:val="005C40C5"/>
    <w:rsid w:val="005C4201"/>
    <w:rsid w:val="005C4544"/>
    <w:rsid w:val="005C45CC"/>
    <w:rsid w:val="005C4711"/>
    <w:rsid w:val="005C4796"/>
    <w:rsid w:val="005C47B7"/>
    <w:rsid w:val="005C4872"/>
    <w:rsid w:val="005C4900"/>
    <w:rsid w:val="005C4CC3"/>
    <w:rsid w:val="005C4D2B"/>
    <w:rsid w:val="005C4F72"/>
    <w:rsid w:val="005C51FD"/>
    <w:rsid w:val="005C53A8"/>
    <w:rsid w:val="005C560B"/>
    <w:rsid w:val="005C58FA"/>
    <w:rsid w:val="005C59E9"/>
    <w:rsid w:val="005C5A8E"/>
    <w:rsid w:val="005C5AF6"/>
    <w:rsid w:val="005C5DF3"/>
    <w:rsid w:val="005C5F29"/>
    <w:rsid w:val="005C6098"/>
    <w:rsid w:val="005C6107"/>
    <w:rsid w:val="005C6310"/>
    <w:rsid w:val="005C6485"/>
    <w:rsid w:val="005C64AE"/>
    <w:rsid w:val="005C685A"/>
    <w:rsid w:val="005C6861"/>
    <w:rsid w:val="005C6ACE"/>
    <w:rsid w:val="005C6EAB"/>
    <w:rsid w:val="005C6F0A"/>
    <w:rsid w:val="005C7009"/>
    <w:rsid w:val="005C71A0"/>
    <w:rsid w:val="005C736B"/>
    <w:rsid w:val="005C73A2"/>
    <w:rsid w:val="005C7789"/>
    <w:rsid w:val="005C77CB"/>
    <w:rsid w:val="005C78B8"/>
    <w:rsid w:val="005C7946"/>
    <w:rsid w:val="005C7A20"/>
    <w:rsid w:val="005C7A3D"/>
    <w:rsid w:val="005C7C89"/>
    <w:rsid w:val="005C7CD6"/>
    <w:rsid w:val="005C7D11"/>
    <w:rsid w:val="005C7E23"/>
    <w:rsid w:val="005C7EC7"/>
    <w:rsid w:val="005D0078"/>
    <w:rsid w:val="005D0896"/>
    <w:rsid w:val="005D0C11"/>
    <w:rsid w:val="005D0F8D"/>
    <w:rsid w:val="005D103B"/>
    <w:rsid w:val="005D11DC"/>
    <w:rsid w:val="005D1474"/>
    <w:rsid w:val="005D151A"/>
    <w:rsid w:val="005D1602"/>
    <w:rsid w:val="005D17F4"/>
    <w:rsid w:val="005D1915"/>
    <w:rsid w:val="005D1B40"/>
    <w:rsid w:val="005D1C6F"/>
    <w:rsid w:val="005D20B2"/>
    <w:rsid w:val="005D2275"/>
    <w:rsid w:val="005D231B"/>
    <w:rsid w:val="005D27FF"/>
    <w:rsid w:val="005D2AAE"/>
    <w:rsid w:val="005D2E90"/>
    <w:rsid w:val="005D2EAC"/>
    <w:rsid w:val="005D2EE9"/>
    <w:rsid w:val="005D35C7"/>
    <w:rsid w:val="005D3AB1"/>
    <w:rsid w:val="005D3AB9"/>
    <w:rsid w:val="005D3B31"/>
    <w:rsid w:val="005D3BF8"/>
    <w:rsid w:val="005D3BFB"/>
    <w:rsid w:val="005D3D40"/>
    <w:rsid w:val="005D42EF"/>
    <w:rsid w:val="005D47EA"/>
    <w:rsid w:val="005D48CB"/>
    <w:rsid w:val="005D4F9C"/>
    <w:rsid w:val="005D5333"/>
    <w:rsid w:val="005D535E"/>
    <w:rsid w:val="005D5365"/>
    <w:rsid w:val="005D5730"/>
    <w:rsid w:val="005D5C3C"/>
    <w:rsid w:val="005D5D2D"/>
    <w:rsid w:val="005D62BF"/>
    <w:rsid w:val="005D64A4"/>
    <w:rsid w:val="005D67BB"/>
    <w:rsid w:val="005D684A"/>
    <w:rsid w:val="005D68CE"/>
    <w:rsid w:val="005D6AD9"/>
    <w:rsid w:val="005D6BC7"/>
    <w:rsid w:val="005D6EEF"/>
    <w:rsid w:val="005D6FF3"/>
    <w:rsid w:val="005D71EC"/>
    <w:rsid w:val="005D72AE"/>
    <w:rsid w:val="005D7634"/>
    <w:rsid w:val="005D794B"/>
    <w:rsid w:val="005D7964"/>
    <w:rsid w:val="005D7AA0"/>
    <w:rsid w:val="005D7C38"/>
    <w:rsid w:val="005D7D70"/>
    <w:rsid w:val="005D7DD7"/>
    <w:rsid w:val="005D7E2F"/>
    <w:rsid w:val="005E03D1"/>
    <w:rsid w:val="005E064A"/>
    <w:rsid w:val="005E07CD"/>
    <w:rsid w:val="005E0999"/>
    <w:rsid w:val="005E0A46"/>
    <w:rsid w:val="005E0FA5"/>
    <w:rsid w:val="005E1276"/>
    <w:rsid w:val="005E1463"/>
    <w:rsid w:val="005E1561"/>
    <w:rsid w:val="005E1682"/>
    <w:rsid w:val="005E16D6"/>
    <w:rsid w:val="005E1915"/>
    <w:rsid w:val="005E1CE1"/>
    <w:rsid w:val="005E1E44"/>
    <w:rsid w:val="005E1EBB"/>
    <w:rsid w:val="005E1F57"/>
    <w:rsid w:val="005E2134"/>
    <w:rsid w:val="005E21C9"/>
    <w:rsid w:val="005E22C6"/>
    <w:rsid w:val="005E2837"/>
    <w:rsid w:val="005E29DB"/>
    <w:rsid w:val="005E2A1D"/>
    <w:rsid w:val="005E2D20"/>
    <w:rsid w:val="005E2DF1"/>
    <w:rsid w:val="005E2EE2"/>
    <w:rsid w:val="005E3063"/>
    <w:rsid w:val="005E3281"/>
    <w:rsid w:val="005E386F"/>
    <w:rsid w:val="005E396B"/>
    <w:rsid w:val="005E39B3"/>
    <w:rsid w:val="005E3E63"/>
    <w:rsid w:val="005E3E8F"/>
    <w:rsid w:val="005E3FEA"/>
    <w:rsid w:val="005E4070"/>
    <w:rsid w:val="005E40BD"/>
    <w:rsid w:val="005E4256"/>
    <w:rsid w:val="005E46B7"/>
    <w:rsid w:val="005E485A"/>
    <w:rsid w:val="005E4966"/>
    <w:rsid w:val="005E4CC2"/>
    <w:rsid w:val="005E4D99"/>
    <w:rsid w:val="005E5218"/>
    <w:rsid w:val="005E52CB"/>
    <w:rsid w:val="005E53E2"/>
    <w:rsid w:val="005E575C"/>
    <w:rsid w:val="005E58CC"/>
    <w:rsid w:val="005E596A"/>
    <w:rsid w:val="005E5A48"/>
    <w:rsid w:val="005E5A94"/>
    <w:rsid w:val="005E5BA2"/>
    <w:rsid w:val="005E5BFD"/>
    <w:rsid w:val="005E5CD2"/>
    <w:rsid w:val="005E6160"/>
    <w:rsid w:val="005E62A9"/>
    <w:rsid w:val="005E6359"/>
    <w:rsid w:val="005E653C"/>
    <w:rsid w:val="005E65C1"/>
    <w:rsid w:val="005E65D3"/>
    <w:rsid w:val="005E6706"/>
    <w:rsid w:val="005E6878"/>
    <w:rsid w:val="005E6AC4"/>
    <w:rsid w:val="005E6BD2"/>
    <w:rsid w:val="005E6D1E"/>
    <w:rsid w:val="005E6EC3"/>
    <w:rsid w:val="005E700C"/>
    <w:rsid w:val="005E702E"/>
    <w:rsid w:val="005E727D"/>
    <w:rsid w:val="005E72EC"/>
    <w:rsid w:val="005E75FC"/>
    <w:rsid w:val="005E7B20"/>
    <w:rsid w:val="005E7C80"/>
    <w:rsid w:val="005F053F"/>
    <w:rsid w:val="005F081D"/>
    <w:rsid w:val="005F0831"/>
    <w:rsid w:val="005F0899"/>
    <w:rsid w:val="005F0E96"/>
    <w:rsid w:val="005F12AD"/>
    <w:rsid w:val="005F1516"/>
    <w:rsid w:val="005F1664"/>
    <w:rsid w:val="005F18CA"/>
    <w:rsid w:val="005F2117"/>
    <w:rsid w:val="005F2334"/>
    <w:rsid w:val="005F283F"/>
    <w:rsid w:val="005F28D1"/>
    <w:rsid w:val="005F292C"/>
    <w:rsid w:val="005F2A3E"/>
    <w:rsid w:val="005F2A63"/>
    <w:rsid w:val="005F2C34"/>
    <w:rsid w:val="005F2D43"/>
    <w:rsid w:val="005F2DAF"/>
    <w:rsid w:val="005F2F53"/>
    <w:rsid w:val="005F3047"/>
    <w:rsid w:val="005F321A"/>
    <w:rsid w:val="005F386B"/>
    <w:rsid w:val="005F3944"/>
    <w:rsid w:val="005F3EB4"/>
    <w:rsid w:val="005F3EBA"/>
    <w:rsid w:val="005F42FC"/>
    <w:rsid w:val="005F434C"/>
    <w:rsid w:val="005F4593"/>
    <w:rsid w:val="005F47A0"/>
    <w:rsid w:val="005F48F7"/>
    <w:rsid w:val="005F4D07"/>
    <w:rsid w:val="005F4DF9"/>
    <w:rsid w:val="005F4E41"/>
    <w:rsid w:val="005F53CF"/>
    <w:rsid w:val="005F55D9"/>
    <w:rsid w:val="005F5682"/>
    <w:rsid w:val="005F5723"/>
    <w:rsid w:val="005F57C3"/>
    <w:rsid w:val="005F5AE4"/>
    <w:rsid w:val="005F5AEC"/>
    <w:rsid w:val="005F5BD6"/>
    <w:rsid w:val="005F5C73"/>
    <w:rsid w:val="005F5DEA"/>
    <w:rsid w:val="005F6412"/>
    <w:rsid w:val="005F6430"/>
    <w:rsid w:val="005F65A4"/>
    <w:rsid w:val="005F685A"/>
    <w:rsid w:val="005F696E"/>
    <w:rsid w:val="005F69A3"/>
    <w:rsid w:val="005F6DAC"/>
    <w:rsid w:val="005F6EBB"/>
    <w:rsid w:val="005F72EE"/>
    <w:rsid w:val="005F7411"/>
    <w:rsid w:val="005F7425"/>
    <w:rsid w:val="005F748D"/>
    <w:rsid w:val="005F76A7"/>
    <w:rsid w:val="005F792C"/>
    <w:rsid w:val="005F7C2E"/>
    <w:rsid w:val="005F7DAA"/>
    <w:rsid w:val="005F7DD9"/>
    <w:rsid w:val="005F7EFF"/>
    <w:rsid w:val="005FCEB9"/>
    <w:rsid w:val="006001C7"/>
    <w:rsid w:val="006001DA"/>
    <w:rsid w:val="006002D2"/>
    <w:rsid w:val="00600440"/>
    <w:rsid w:val="0060059D"/>
    <w:rsid w:val="00600615"/>
    <w:rsid w:val="00600832"/>
    <w:rsid w:val="00600B7A"/>
    <w:rsid w:val="00600BF7"/>
    <w:rsid w:val="00600C7D"/>
    <w:rsid w:val="00601010"/>
    <w:rsid w:val="00601080"/>
    <w:rsid w:val="0060120A"/>
    <w:rsid w:val="00601699"/>
    <w:rsid w:val="006016CC"/>
    <w:rsid w:val="00601883"/>
    <w:rsid w:val="006019A7"/>
    <w:rsid w:val="00601D90"/>
    <w:rsid w:val="0060203D"/>
    <w:rsid w:val="00602083"/>
    <w:rsid w:val="006025F7"/>
    <w:rsid w:val="00602678"/>
    <w:rsid w:val="00602AF2"/>
    <w:rsid w:val="00602B83"/>
    <w:rsid w:val="00602CF8"/>
    <w:rsid w:val="006030D8"/>
    <w:rsid w:val="00603238"/>
    <w:rsid w:val="006032CC"/>
    <w:rsid w:val="00603390"/>
    <w:rsid w:val="00603563"/>
    <w:rsid w:val="00603692"/>
    <w:rsid w:val="00603802"/>
    <w:rsid w:val="00603848"/>
    <w:rsid w:val="006038BC"/>
    <w:rsid w:val="00603AD8"/>
    <w:rsid w:val="00604258"/>
    <w:rsid w:val="006042ED"/>
    <w:rsid w:val="00604432"/>
    <w:rsid w:val="00604824"/>
    <w:rsid w:val="0060489F"/>
    <w:rsid w:val="006048CD"/>
    <w:rsid w:val="006049AA"/>
    <w:rsid w:val="00604BAD"/>
    <w:rsid w:val="00604C02"/>
    <w:rsid w:val="00604FA9"/>
    <w:rsid w:val="00605063"/>
    <w:rsid w:val="00605224"/>
    <w:rsid w:val="006057F2"/>
    <w:rsid w:val="00605824"/>
    <w:rsid w:val="006059FD"/>
    <w:rsid w:val="00605B15"/>
    <w:rsid w:val="00605D58"/>
    <w:rsid w:val="0060667C"/>
    <w:rsid w:val="00606927"/>
    <w:rsid w:val="00606960"/>
    <w:rsid w:val="006069F3"/>
    <w:rsid w:val="00606D98"/>
    <w:rsid w:val="00607001"/>
    <w:rsid w:val="00607087"/>
    <w:rsid w:val="00607646"/>
    <w:rsid w:val="006077C4"/>
    <w:rsid w:val="006079E9"/>
    <w:rsid w:val="00607FA3"/>
    <w:rsid w:val="006103EC"/>
    <w:rsid w:val="00610550"/>
    <w:rsid w:val="006105B1"/>
    <w:rsid w:val="00610842"/>
    <w:rsid w:val="00610894"/>
    <w:rsid w:val="006108DA"/>
    <w:rsid w:val="006109A3"/>
    <w:rsid w:val="00610D76"/>
    <w:rsid w:val="006110E4"/>
    <w:rsid w:val="006114E7"/>
    <w:rsid w:val="006119D9"/>
    <w:rsid w:val="00611C3D"/>
    <w:rsid w:val="00611F87"/>
    <w:rsid w:val="00612219"/>
    <w:rsid w:val="0061229D"/>
    <w:rsid w:val="006124D9"/>
    <w:rsid w:val="00612510"/>
    <w:rsid w:val="006126F3"/>
    <w:rsid w:val="006126F4"/>
    <w:rsid w:val="006128AF"/>
    <w:rsid w:val="00612A2C"/>
    <w:rsid w:val="00612B1D"/>
    <w:rsid w:val="00612EC2"/>
    <w:rsid w:val="00612EC8"/>
    <w:rsid w:val="00612FD0"/>
    <w:rsid w:val="006130D4"/>
    <w:rsid w:val="0061329F"/>
    <w:rsid w:val="00613362"/>
    <w:rsid w:val="006134D9"/>
    <w:rsid w:val="00613889"/>
    <w:rsid w:val="00613B60"/>
    <w:rsid w:val="00613DFD"/>
    <w:rsid w:val="00613E87"/>
    <w:rsid w:val="006140FC"/>
    <w:rsid w:val="00614111"/>
    <w:rsid w:val="00614406"/>
    <w:rsid w:val="0061467D"/>
    <w:rsid w:val="00614725"/>
    <w:rsid w:val="00614838"/>
    <w:rsid w:val="00614B4B"/>
    <w:rsid w:val="00614DEB"/>
    <w:rsid w:val="00615387"/>
    <w:rsid w:val="006155D1"/>
    <w:rsid w:val="00615864"/>
    <w:rsid w:val="00615955"/>
    <w:rsid w:val="00615993"/>
    <w:rsid w:val="006159C9"/>
    <w:rsid w:val="00615A8D"/>
    <w:rsid w:val="00615DFF"/>
    <w:rsid w:val="00615FEF"/>
    <w:rsid w:val="0061617F"/>
    <w:rsid w:val="00616243"/>
    <w:rsid w:val="00616273"/>
    <w:rsid w:val="00616815"/>
    <w:rsid w:val="00616AD5"/>
    <w:rsid w:val="00616B70"/>
    <w:rsid w:val="00616D5C"/>
    <w:rsid w:val="00617259"/>
    <w:rsid w:val="006172BF"/>
    <w:rsid w:val="006172CC"/>
    <w:rsid w:val="00617396"/>
    <w:rsid w:val="006179A6"/>
    <w:rsid w:val="00617ABD"/>
    <w:rsid w:val="00617AF9"/>
    <w:rsid w:val="00617BCB"/>
    <w:rsid w:val="00617C60"/>
    <w:rsid w:val="00617FE9"/>
    <w:rsid w:val="00620020"/>
    <w:rsid w:val="0062013E"/>
    <w:rsid w:val="006201C8"/>
    <w:rsid w:val="00620383"/>
    <w:rsid w:val="0062084C"/>
    <w:rsid w:val="006208C9"/>
    <w:rsid w:val="00620905"/>
    <w:rsid w:val="00620AF3"/>
    <w:rsid w:val="00620B30"/>
    <w:rsid w:val="00620CDE"/>
    <w:rsid w:val="00620F27"/>
    <w:rsid w:val="00620F53"/>
    <w:rsid w:val="00621B51"/>
    <w:rsid w:val="00621D40"/>
    <w:rsid w:val="00621E71"/>
    <w:rsid w:val="00621FCD"/>
    <w:rsid w:val="006224F6"/>
    <w:rsid w:val="0062298F"/>
    <w:rsid w:val="00622A5A"/>
    <w:rsid w:val="00622ADE"/>
    <w:rsid w:val="00622AFF"/>
    <w:rsid w:val="00622D09"/>
    <w:rsid w:val="00622D87"/>
    <w:rsid w:val="00622E0B"/>
    <w:rsid w:val="00622E58"/>
    <w:rsid w:val="00623066"/>
    <w:rsid w:val="0062330E"/>
    <w:rsid w:val="00623374"/>
    <w:rsid w:val="006233D5"/>
    <w:rsid w:val="00623515"/>
    <w:rsid w:val="006237CF"/>
    <w:rsid w:val="00623811"/>
    <w:rsid w:val="00623854"/>
    <w:rsid w:val="006239FD"/>
    <w:rsid w:val="00623C85"/>
    <w:rsid w:val="00623CE9"/>
    <w:rsid w:val="00623E3D"/>
    <w:rsid w:val="00623F10"/>
    <w:rsid w:val="00623FAA"/>
    <w:rsid w:val="00624090"/>
    <w:rsid w:val="0062420E"/>
    <w:rsid w:val="00624276"/>
    <w:rsid w:val="00624288"/>
    <w:rsid w:val="006242C3"/>
    <w:rsid w:val="006243DF"/>
    <w:rsid w:val="006244C8"/>
    <w:rsid w:val="006248C4"/>
    <w:rsid w:val="00624A01"/>
    <w:rsid w:val="00624A48"/>
    <w:rsid w:val="00624DF9"/>
    <w:rsid w:val="0062508C"/>
    <w:rsid w:val="00625093"/>
    <w:rsid w:val="0062510D"/>
    <w:rsid w:val="006253D2"/>
    <w:rsid w:val="00625641"/>
    <w:rsid w:val="0062565A"/>
    <w:rsid w:val="0062580A"/>
    <w:rsid w:val="006259E8"/>
    <w:rsid w:val="00625A43"/>
    <w:rsid w:val="00625BA3"/>
    <w:rsid w:val="0062642D"/>
    <w:rsid w:val="006266D1"/>
    <w:rsid w:val="00626845"/>
    <w:rsid w:val="00626BDA"/>
    <w:rsid w:val="00626C3B"/>
    <w:rsid w:val="00626D4B"/>
    <w:rsid w:val="00627235"/>
    <w:rsid w:val="006272CE"/>
    <w:rsid w:val="00627372"/>
    <w:rsid w:val="00627473"/>
    <w:rsid w:val="0062752F"/>
    <w:rsid w:val="006276DA"/>
    <w:rsid w:val="00627B84"/>
    <w:rsid w:val="00630471"/>
    <w:rsid w:val="00630482"/>
    <w:rsid w:val="0063055E"/>
    <w:rsid w:val="00630687"/>
    <w:rsid w:val="00630A86"/>
    <w:rsid w:val="00630AA8"/>
    <w:rsid w:val="00630DCA"/>
    <w:rsid w:val="006310DA"/>
    <w:rsid w:val="0063143B"/>
    <w:rsid w:val="00631496"/>
    <w:rsid w:val="00631583"/>
    <w:rsid w:val="006315C3"/>
    <w:rsid w:val="00631856"/>
    <w:rsid w:val="0063188B"/>
    <w:rsid w:val="00632207"/>
    <w:rsid w:val="0063235C"/>
    <w:rsid w:val="006325F2"/>
    <w:rsid w:val="00632616"/>
    <w:rsid w:val="006326A4"/>
    <w:rsid w:val="00632715"/>
    <w:rsid w:val="00632726"/>
    <w:rsid w:val="006329DF"/>
    <w:rsid w:val="00632A0C"/>
    <w:rsid w:val="00632AF3"/>
    <w:rsid w:val="00632B8F"/>
    <w:rsid w:val="0063305B"/>
    <w:rsid w:val="00633633"/>
    <w:rsid w:val="00633790"/>
    <w:rsid w:val="006338B0"/>
    <w:rsid w:val="006339CD"/>
    <w:rsid w:val="00633E47"/>
    <w:rsid w:val="00634421"/>
    <w:rsid w:val="00634814"/>
    <w:rsid w:val="0063491C"/>
    <w:rsid w:val="006349A1"/>
    <w:rsid w:val="00634A72"/>
    <w:rsid w:val="0063516F"/>
    <w:rsid w:val="0063517F"/>
    <w:rsid w:val="006351D9"/>
    <w:rsid w:val="00635408"/>
    <w:rsid w:val="0063543A"/>
    <w:rsid w:val="0063595A"/>
    <w:rsid w:val="006359AA"/>
    <w:rsid w:val="00635D30"/>
    <w:rsid w:val="00635D4E"/>
    <w:rsid w:val="00635FD9"/>
    <w:rsid w:val="00636107"/>
    <w:rsid w:val="0063672D"/>
    <w:rsid w:val="0063680F"/>
    <w:rsid w:val="0063693C"/>
    <w:rsid w:val="00636C2D"/>
    <w:rsid w:val="00636DA8"/>
    <w:rsid w:val="00636E8C"/>
    <w:rsid w:val="00636EFF"/>
    <w:rsid w:val="006379E2"/>
    <w:rsid w:val="00637AE6"/>
    <w:rsid w:val="00637B4C"/>
    <w:rsid w:val="00637DC0"/>
    <w:rsid w:val="00637F7F"/>
    <w:rsid w:val="006400CF"/>
    <w:rsid w:val="006402C8"/>
    <w:rsid w:val="006405AC"/>
    <w:rsid w:val="00640653"/>
    <w:rsid w:val="00640943"/>
    <w:rsid w:val="006409FC"/>
    <w:rsid w:val="00640A09"/>
    <w:rsid w:val="00640C69"/>
    <w:rsid w:val="00640DD9"/>
    <w:rsid w:val="00640FE1"/>
    <w:rsid w:val="006410DA"/>
    <w:rsid w:val="0064114C"/>
    <w:rsid w:val="0064134C"/>
    <w:rsid w:val="006414D2"/>
    <w:rsid w:val="0064152D"/>
    <w:rsid w:val="0064156A"/>
    <w:rsid w:val="0064165C"/>
    <w:rsid w:val="0064170B"/>
    <w:rsid w:val="00641A4A"/>
    <w:rsid w:val="00641A5C"/>
    <w:rsid w:val="00641AAD"/>
    <w:rsid w:val="00641D2D"/>
    <w:rsid w:val="00641D46"/>
    <w:rsid w:val="00641F04"/>
    <w:rsid w:val="00642380"/>
    <w:rsid w:val="0064256D"/>
    <w:rsid w:val="00642705"/>
    <w:rsid w:val="00642A21"/>
    <w:rsid w:val="00642FD0"/>
    <w:rsid w:val="006430F3"/>
    <w:rsid w:val="00643288"/>
    <w:rsid w:val="006434D1"/>
    <w:rsid w:val="006435AC"/>
    <w:rsid w:val="00643622"/>
    <w:rsid w:val="006436BA"/>
    <w:rsid w:val="0064384C"/>
    <w:rsid w:val="00643A39"/>
    <w:rsid w:val="006440CC"/>
    <w:rsid w:val="00644301"/>
    <w:rsid w:val="0064476A"/>
    <w:rsid w:val="00644CE4"/>
    <w:rsid w:val="00644D3F"/>
    <w:rsid w:val="00644F93"/>
    <w:rsid w:val="006454C7"/>
    <w:rsid w:val="00645782"/>
    <w:rsid w:val="00645A63"/>
    <w:rsid w:val="00645AA2"/>
    <w:rsid w:val="00645BE5"/>
    <w:rsid w:val="00645EE7"/>
    <w:rsid w:val="00645F96"/>
    <w:rsid w:val="006464CF"/>
    <w:rsid w:val="00646527"/>
    <w:rsid w:val="0064670D"/>
    <w:rsid w:val="0064671F"/>
    <w:rsid w:val="0064693C"/>
    <w:rsid w:val="00646CFD"/>
    <w:rsid w:val="00646F99"/>
    <w:rsid w:val="00646FDA"/>
    <w:rsid w:val="00647016"/>
    <w:rsid w:val="0064731C"/>
    <w:rsid w:val="0064753E"/>
    <w:rsid w:val="00647963"/>
    <w:rsid w:val="00647A8F"/>
    <w:rsid w:val="00647D69"/>
    <w:rsid w:val="00648CB9"/>
    <w:rsid w:val="006500F1"/>
    <w:rsid w:val="00650282"/>
    <w:rsid w:val="00650385"/>
    <w:rsid w:val="00650411"/>
    <w:rsid w:val="00650567"/>
    <w:rsid w:val="006506F2"/>
    <w:rsid w:val="00650C34"/>
    <w:rsid w:val="006512C0"/>
    <w:rsid w:val="00651301"/>
    <w:rsid w:val="006513E7"/>
    <w:rsid w:val="00651573"/>
    <w:rsid w:val="00651574"/>
    <w:rsid w:val="006515BF"/>
    <w:rsid w:val="006516F9"/>
    <w:rsid w:val="0065182B"/>
    <w:rsid w:val="00651963"/>
    <w:rsid w:val="00651967"/>
    <w:rsid w:val="00651B18"/>
    <w:rsid w:val="00651CC2"/>
    <w:rsid w:val="00651EF1"/>
    <w:rsid w:val="00651F7B"/>
    <w:rsid w:val="0065230E"/>
    <w:rsid w:val="00652548"/>
    <w:rsid w:val="006526CC"/>
    <w:rsid w:val="0065278D"/>
    <w:rsid w:val="006527DA"/>
    <w:rsid w:val="00653013"/>
    <w:rsid w:val="00653476"/>
    <w:rsid w:val="006534B5"/>
    <w:rsid w:val="00653688"/>
    <w:rsid w:val="00653779"/>
    <w:rsid w:val="006539E0"/>
    <w:rsid w:val="00653C88"/>
    <w:rsid w:val="006545AF"/>
    <w:rsid w:val="006545BA"/>
    <w:rsid w:val="006549CD"/>
    <w:rsid w:val="00654AA8"/>
    <w:rsid w:val="0065504B"/>
    <w:rsid w:val="00655089"/>
    <w:rsid w:val="00655895"/>
    <w:rsid w:val="006558E0"/>
    <w:rsid w:val="00655F1C"/>
    <w:rsid w:val="00655F9B"/>
    <w:rsid w:val="0065608D"/>
    <w:rsid w:val="006560F9"/>
    <w:rsid w:val="006562F8"/>
    <w:rsid w:val="00656395"/>
    <w:rsid w:val="006565DD"/>
    <w:rsid w:val="006566B7"/>
    <w:rsid w:val="00656780"/>
    <w:rsid w:val="00656B26"/>
    <w:rsid w:val="00656B57"/>
    <w:rsid w:val="00656CC2"/>
    <w:rsid w:val="00657097"/>
    <w:rsid w:val="006571E0"/>
    <w:rsid w:val="00657A49"/>
    <w:rsid w:val="00657C86"/>
    <w:rsid w:val="00657DF6"/>
    <w:rsid w:val="00657F09"/>
    <w:rsid w:val="006601F8"/>
    <w:rsid w:val="006602C1"/>
    <w:rsid w:val="006602F0"/>
    <w:rsid w:val="006603AB"/>
    <w:rsid w:val="006606B7"/>
    <w:rsid w:val="0066096C"/>
    <w:rsid w:val="00660C05"/>
    <w:rsid w:val="00661205"/>
    <w:rsid w:val="00661278"/>
    <w:rsid w:val="00661560"/>
    <w:rsid w:val="006615F8"/>
    <w:rsid w:val="00661995"/>
    <w:rsid w:val="00661A69"/>
    <w:rsid w:val="00661AFE"/>
    <w:rsid w:val="00661B08"/>
    <w:rsid w:val="00661B1B"/>
    <w:rsid w:val="00661BC4"/>
    <w:rsid w:val="00661C96"/>
    <w:rsid w:val="00661D86"/>
    <w:rsid w:val="00661F79"/>
    <w:rsid w:val="00662075"/>
    <w:rsid w:val="006621E7"/>
    <w:rsid w:val="0066240F"/>
    <w:rsid w:val="0066259D"/>
    <w:rsid w:val="006629F7"/>
    <w:rsid w:val="00662D0D"/>
    <w:rsid w:val="00662D30"/>
    <w:rsid w:val="00662E7C"/>
    <w:rsid w:val="006631A7"/>
    <w:rsid w:val="00663737"/>
    <w:rsid w:val="006638C6"/>
    <w:rsid w:val="0066392C"/>
    <w:rsid w:val="00663A25"/>
    <w:rsid w:val="00663A36"/>
    <w:rsid w:val="00663AD4"/>
    <w:rsid w:val="00664115"/>
    <w:rsid w:val="0066418F"/>
    <w:rsid w:val="006643FE"/>
    <w:rsid w:val="00664541"/>
    <w:rsid w:val="00665077"/>
    <w:rsid w:val="00665093"/>
    <w:rsid w:val="006650B0"/>
    <w:rsid w:val="006650FC"/>
    <w:rsid w:val="006651B5"/>
    <w:rsid w:val="006652DE"/>
    <w:rsid w:val="00665626"/>
    <w:rsid w:val="0066594D"/>
    <w:rsid w:val="00665A06"/>
    <w:rsid w:val="00665BA0"/>
    <w:rsid w:val="00665C4F"/>
    <w:rsid w:val="00665CAE"/>
    <w:rsid w:val="00665DDC"/>
    <w:rsid w:val="00665E4D"/>
    <w:rsid w:val="00665FBD"/>
    <w:rsid w:val="00666129"/>
    <w:rsid w:val="006664D9"/>
    <w:rsid w:val="00666B40"/>
    <w:rsid w:val="00666CF7"/>
    <w:rsid w:val="0066709E"/>
    <w:rsid w:val="00667214"/>
    <w:rsid w:val="0066748F"/>
    <w:rsid w:val="006677D8"/>
    <w:rsid w:val="00667B64"/>
    <w:rsid w:val="00667D64"/>
    <w:rsid w:val="00670126"/>
    <w:rsid w:val="0067017F"/>
    <w:rsid w:val="00670312"/>
    <w:rsid w:val="00670B66"/>
    <w:rsid w:val="00670BA9"/>
    <w:rsid w:val="00670BBA"/>
    <w:rsid w:val="00670C62"/>
    <w:rsid w:val="00670CA1"/>
    <w:rsid w:val="00670ECC"/>
    <w:rsid w:val="00670F89"/>
    <w:rsid w:val="006711C5"/>
    <w:rsid w:val="006714A3"/>
    <w:rsid w:val="00671722"/>
    <w:rsid w:val="00671742"/>
    <w:rsid w:val="00671757"/>
    <w:rsid w:val="0067183B"/>
    <w:rsid w:val="00671989"/>
    <w:rsid w:val="00671C1A"/>
    <w:rsid w:val="00671ED6"/>
    <w:rsid w:val="006720CF"/>
    <w:rsid w:val="006720F8"/>
    <w:rsid w:val="00672B13"/>
    <w:rsid w:val="00672CBD"/>
    <w:rsid w:val="00672DBE"/>
    <w:rsid w:val="00672F29"/>
    <w:rsid w:val="00672FA3"/>
    <w:rsid w:val="00672FC8"/>
    <w:rsid w:val="0067300A"/>
    <w:rsid w:val="006732BD"/>
    <w:rsid w:val="00673669"/>
    <w:rsid w:val="00673805"/>
    <w:rsid w:val="00673C88"/>
    <w:rsid w:val="00674014"/>
    <w:rsid w:val="0067409A"/>
    <w:rsid w:val="00674877"/>
    <w:rsid w:val="006748C2"/>
    <w:rsid w:val="006748EE"/>
    <w:rsid w:val="00674BD6"/>
    <w:rsid w:val="00674C15"/>
    <w:rsid w:val="00674D48"/>
    <w:rsid w:val="0067544B"/>
    <w:rsid w:val="006754EE"/>
    <w:rsid w:val="00675573"/>
    <w:rsid w:val="00675747"/>
    <w:rsid w:val="006757E5"/>
    <w:rsid w:val="00675ADC"/>
    <w:rsid w:val="00675E15"/>
    <w:rsid w:val="00675F03"/>
    <w:rsid w:val="00676292"/>
    <w:rsid w:val="0067654E"/>
    <w:rsid w:val="006769DD"/>
    <w:rsid w:val="00676C7D"/>
    <w:rsid w:val="00676CA1"/>
    <w:rsid w:val="00676EF8"/>
    <w:rsid w:val="0067712A"/>
    <w:rsid w:val="006772B5"/>
    <w:rsid w:val="0067731D"/>
    <w:rsid w:val="00677426"/>
    <w:rsid w:val="006776E9"/>
    <w:rsid w:val="00677954"/>
    <w:rsid w:val="00677AF6"/>
    <w:rsid w:val="00677B68"/>
    <w:rsid w:val="00677B95"/>
    <w:rsid w:val="00677BDC"/>
    <w:rsid w:val="00677C47"/>
    <w:rsid w:val="00677D05"/>
    <w:rsid w:val="00677E8C"/>
    <w:rsid w:val="006800E6"/>
    <w:rsid w:val="0068026D"/>
    <w:rsid w:val="00680276"/>
    <w:rsid w:val="00680365"/>
    <w:rsid w:val="0068055D"/>
    <w:rsid w:val="0068085E"/>
    <w:rsid w:val="0068096A"/>
    <w:rsid w:val="00680B3D"/>
    <w:rsid w:val="00680C51"/>
    <w:rsid w:val="00680E90"/>
    <w:rsid w:val="00680F19"/>
    <w:rsid w:val="00681031"/>
    <w:rsid w:val="0068128B"/>
    <w:rsid w:val="0068175D"/>
    <w:rsid w:val="00681EF2"/>
    <w:rsid w:val="00681F2D"/>
    <w:rsid w:val="00681F88"/>
    <w:rsid w:val="006823D2"/>
    <w:rsid w:val="006823EA"/>
    <w:rsid w:val="006829A3"/>
    <w:rsid w:val="00682A15"/>
    <w:rsid w:val="00682DB5"/>
    <w:rsid w:val="00682E7B"/>
    <w:rsid w:val="00682E84"/>
    <w:rsid w:val="00682E9D"/>
    <w:rsid w:val="00682FED"/>
    <w:rsid w:val="00683040"/>
    <w:rsid w:val="00683089"/>
    <w:rsid w:val="00683626"/>
    <w:rsid w:val="006837EC"/>
    <w:rsid w:val="00683A7A"/>
    <w:rsid w:val="00683AAD"/>
    <w:rsid w:val="00683B2C"/>
    <w:rsid w:val="00683CAB"/>
    <w:rsid w:val="00683D46"/>
    <w:rsid w:val="006841AC"/>
    <w:rsid w:val="0068447E"/>
    <w:rsid w:val="00684599"/>
    <w:rsid w:val="00684745"/>
    <w:rsid w:val="00684821"/>
    <w:rsid w:val="00684830"/>
    <w:rsid w:val="006848F8"/>
    <w:rsid w:val="0068497E"/>
    <w:rsid w:val="00684C61"/>
    <w:rsid w:val="00684CEA"/>
    <w:rsid w:val="00684D1B"/>
    <w:rsid w:val="006852F9"/>
    <w:rsid w:val="00685351"/>
    <w:rsid w:val="0068536A"/>
    <w:rsid w:val="00685591"/>
    <w:rsid w:val="00685620"/>
    <w:rsid w:val="00685983"/>
    <w:rsid w:val="00685E75"/>
    <w:rsid w:val="00685EC0"/>
    <w:rsid w:val="00685F4C"/>
    <w:rsid w:val="00686181"/>
    <w:rsid w:val="006861E9"/>
    <w:rsid w:val="00686326"/>
    <w:rsid w:val="00686357"/>
    <w:rsid w:val="00686373"/>
    <w:rsid w:val="006863F5"/>
    <w:rsid w:val="006868A6"/>
    <w:rsid w:val="00686969"/>
    <w:rsid w:val="00686A3E"/>
    <w:rsid w:val="00686C8A"/>
    <w:rsid w:val="00686F8A"/>
    <w:rsid w:val="00686FF9"/>
    <w:rsid w:val="00686FFC"/>
    <w:rsid w:val="006874AA"/>
    <w:rsid w:val="00687774"/>
    <w:rsid w:val="0068777B"/>
    <w:rsid w:val="00687921"/>
    <w:rsid w:val="006901DA"/>
    <w:rsid w:val="00690439"/>
    <w:rsid w:val="00690480"/>
    <w:rsid w:val="00690702"/>
    <w:rsid w:val="00690726"/>
    <w:rsid w:val="00690782"/>
    <w:rsid w:val="006909E2"/>
    <w:rsid w:val="00690CAA"/>
    <w:rsid w:val="00690DD0"/>
    <w:rsid w:val="00690DEF"/>
    <w:rsid w:val="00690EFA"/>
    <w:rsid w:val="00691596"/>
    <w:rsid w:val="00691794"/>
    <w:rsid w:val="00691947"/>
    <w:rsid w:val="00691A9A"/>
    <w:rsid w:val="00691BD6"/>
    <w:rsid w:val="00691C4B"/>
    <w:rsid w:val="00691F1D"/>
    <w:rsid w:val="00691F31"/>
    <w:rsid w:val="00691FC4"/>
    <w:rsid w:val="00692271"/>
    <w:rsid w:val="006922A4"/>
    <w:rsid w:val="006922E6"/>
    <w:rsid w:val="00692459"/>
    <w:rsid w:val="006928CB"/>
    <w:rsid w:val="00692AF3"/>
    <w:rsid w:val="00692B04"/>
    <w:rsid w:val="00692CE8"/>
    <w:rsid w:val="00692D76"/>
    <w:rsid w:val="00692F1C"/>
    <w:rsid w:val="0069303D"/>
    <w:rsid w:val="006930EB"/>
    <w:rsid w:val="00693311"/>
    <w:rsid w:val="00693461"/>
    <w:rsid w:val="006939B5"/>
    <w:rsid w:val="00693B76"/>
    <w:rsid w:val="00693DC6"/>
    <w:rsid w:val="00693FAC"/>
    <w:rsid w:val="0069423D"/>
    <w:rsid w:val="0069460C"/>
    <w:rsid w:val="006947F1"/>
    <w:rsid w:val="00694D72"/>
    <w:rsid w:val="00694FA6"/>
    <w:rsid w:val="00695537"/>
    <w:rsid w:val="00695752"/>
    <w:rsid w:val="006957B9"/>
    <w:rsid w:val="00695B6E"/>
    <w:rsid w:val="00695D2D"/>
    <w:rsid w:val="006960C3"/>
    <w:rsid w:val="00696235"/>
    <w:rsid w:val="006963F8"/>
    <w:rsid w:val="00696459"/>
    <w:rsid w:val="0069650E"/>
    <w:rsid w:val="00696603"/>
    <w:rsid w:val="00696770"/>
    <w:rsid w:val="00696821"/>
    <w:rsid w:val="00696919"/>
    <w:rsid w:val="00696D95"/>
    <w:rsid w:val="0069705D"/>
    <w:rsid w:val="006970C9"/>
    <w:rsid w:val="006976A4"/>
    <w:rsid w:val="00697DEB"/>
    <w:rsid w:val="00697E61"/>
    <w:rsid w:val="00697EE2"/>
    <w:rsid w:val="006A000C"/>
    <w:rsid w:val="006A0266"/>
    <w:rsid w:val="006A0277"/>
    <w:rsid w:val="006A027F"/>
    <w:rsid w:val="006A0458"/>
    <w:rsid w:val="006A06B8"/>
    <w:rsid w:val="006A0741"/>
    <w:rsid w:val="006A0C2E"/>
    <w:rsid w:val="006A0C6A"/>
    <w:rsid w:val="006A0F6F"/>
    <w:rsid w:val="006A0FC6"/>
    <w:rsid w:val="006A1087"/>
    <w:rsid w:val="006A1A4F"/>
    <w:rsid w:val="006A1D09"/>
    <w:rsid w:val="006A1EEC"/>
    <w:rsid w:val="006A23A2"/>
    <w:rsid w:val="006A245F"/>
    <w:rsid w:val="006A2628"/>
    <w:rsid w:val="006A28F2"/>
    <w:rsid w:val="006A2910"/>
    <w:rsid w:val="006A2B69"/>
    <w:rsid w:val="006A2B76"/>
    <w:rsid w:val="006A31A1"/>
    <w:rsid w:val="006A32F9"/>
    <w:rsid w:val="006A3466"/>
    <w:rsid w:val="006A37DD"/>
    <w:rsid w:val="006A38E4"/>
    <w:rsid w:val="006A3A61"/>
    <w:rsid w:val="006A3AC1"/>
    <w:rsid w:val="006A3AC2"/>
    <w:rsid w:val="006A3E22"/>
    <w:rsid w:val="006A410D"/>
    <w:rsid w:val="006A4754"/>
    <w:rsid w:val="006A4AED"/>
    <w:rsid w:val="006A4CDF"/>
    <w:rsid w:val="006A521D"/>
    <w:rsid w:val="006A5340"/>
    <w:rsid w:val="006A5C0C"/>
    <w:rsid w:val="006A5C9A"/>
    <w:rsid w:val="006A5EFC"/>
    <w:rsid w:val="006A6285"/>
    <w:rsid w:val="006A6294"/>
    <w:rsid w:val="006A631D"/>
    <w:rsid w:val="006A635C"/>
    <w:rsid w:val="006A649C"/>
    <w:rsid w:val="006A663C"/>
    <w:rsid w:val="006A6892"/>
    <w:rsid w:val="006A6E07"/>
    <w:rsid w:val="006A6E66"/>
    <w:rsid w:val="006A6E7B"/>
    <w:rsid w:val="006A6F34"/>
    <w:rsid w:val="006A760F"/>
    <w:rsid w:val="006A764F"/>
    <w:rsid w:val="006A7683"/>
    <w:rsid w:val="006A7A2D"/>
    <w:rsid w:val="006A7BF7"/>
    <w:rsid w:val="006B00FC"/>
    <w:rsid w:val="006B011D"/>
    <w:rsid w:val="006B0264"/>
    <w:rsid w:val="006B02AD"/>
    <w:rsid w:val="006B02EC"/>
    <w:rsid w:val="006B03AB"/>
    <w:rsid w:val="006B0BA3"/>
    <w:rsid w:val="006B0DDE"/>
    <w:rsid w:val="006B1136"/>
    <w:rsid w:val="006B1186"/>
    <w:rsid w:val="006B11DF"/>
    <w:rsid w:val="006B124B"/>
    <w:rsid w:val="006B1A0E"/>
    <w:rsid w:val="006B1B00"/>
    <w:rsid w:val="006B1B3C"/>
    <w:rsid w:val="006B1EC5"/>
    <w:rsid w:val="006B1FD5"/>
    <w:rsid w:val="006B20B9"/>
    <w:rsid w:val="006B211A"/>
    <w:rsid w:val="006B2171"/>
    <w:rsid w:val="006B23D9"/>
    <w:rsid w:val="006B258F"/>
    <w:rsid w:val="006B2696"/>
    <w:rsid w:val="006B28AF"/>
    <w:rsid w:val="006B2BE3"/>
    <w:rsid w:val="006B2DB9"/>
    <w:rsid w:val="006B2FDE"/>
    <w:rsid w:val="006B3BDE"/>
    <w:rsid w:val="006B3FCB"/>
    <w:rsid w:val="006B4063"/>
    <w:rsid w:val="006B4253"/>
    <w:rsid w:val="006B48A8"/>
    <w:rsid w:val="006B4ADE"/>
    <w:rsid w:val="006B5108"/>
    <w:rsid w:val="006B52A2"/>
    <w:rsid w:val="006B5607"/>
    <w:rsid w:val="006B56E4"/>
    <w:rsid w:val="006B5925"/>
    <w:rsid w:val="006B5BC7"/>
    <w:rsid w:val="006B5D58"/>
    <w:rsid w:val="006B6DCE"/>
    <w:rsid w:val="006B72CA"/>
    <w:rsid w:val="006B735D"/>
    <w:rsid w:val="006B7909"/>
    <w:rsid w:val="006B7B04"/>
    <w:rsid w:val="006B7B9E"/>
    <w:rsid w:val="006B7B9F"/>
    <w:rsid w:val="006B7D70"/>
    <w:rsid w:val="006BE938"/>
    <w:rsid w:val="006C0054"/>
    <w:rsid w:val="006C00FE"/>
    <w:rsid w:val="006C01F0"/>
    <w:rsid w:val="006C067F"/>
    <w:rsid w:val="006C0D07"/>
    <w:rsid w:val="006C0D97"/>
    <w:rsid w:val="006C122E"/>
    <w:rsid w:val="006C1454"/>
    <w:rsid w:val="006C1545"/>
    <w:rsid w:val="006C1755"/>
    <w:rsid w:val="006C1897"/>
    <w:rsid w:val="006C1C13"/>
    <w:rsid w:val="006C1F10"/>
    <w:rsid w:val="006C1F36"/>
    <w:rsid w:val="006C2020"/>
    <w:rsid w:val="006C26D8"/>
    <w:rsid w:val="006C26E5"/>
    <w:rsid w:val="006C286F"/>
    <w:rsid w:val="006C2A45"/>
    <w:rsid w:val="006C2BB8"/>
    <w:rsid w:val="006C2D4B"/>
    <w:rsid w:val="006C301E"/>
    <w:rsid w:val="006C30C6"/>
    <w:rsid w:val="006C3213"/>
    <w:rsid w:val="006C3472"/>
    <w:rsid w:val="006C3A5B"/>
    <w:rsid w:val="006C3DED"/>
    <w:rsid w:val="006C410C"/>
    <w:rsid w:val="006C4392"/>
    <w:rsid w:val="006C44CE"/>
    <w:rsid w:val="006C4742"/>
    <w:rsid w:val="006C4B18"/>
    <w:rsid w:val="006C4C85"/>
    <w:rsid w:val="006C4D7A"/>
    <w:rsid w:val="006C4DEC"/>
    <w:rsid w:val="006C502F"/>
    <w:rsid w:val="006C5570"/>
    <w:rsid w:val="006C565C"/>
    <w:rsid w:val="006C5A0A"/>
    <w:rsid w:val="006C5A3D"/>
    <w:rsid w:val="006C5CB0"/>
    <w:rsid w:val="006C5DC9"/>
    <w:rsid w:val="006C5F5B"/>
    <w:rsid w:val="006C6188"/>
    <w:rsid w:val="006C6238"/>
    <w:rsid w:val="006C6310"/>
    <w:rsid w:val="006C6383"/>
    <w:rsid w:val="006C68BD"/>
    <w:rsid w:val="006C6C65"/>
    <w:rsid w:val="006C708C"/>
    <w:rsid w:val="006C71E1"/>
    <w:rsid w:val="006C736D"/>
    <w:rsid w:val="006C78CD"/>
    <w:rsid w:val="006C7A5C"/>
    <w:rsid w:val="006C7CAE"/>
    <w:rsid w:val="006C7FD5"/>
    <w:rsid w:val="006D04C7"/>
    <w:rsid w:val="006D0522"/>
    <w:rsid w:val="006D0638"/>
    <w:rsid w:val="006D0784"/>
    <w:rsid w:val="006D09A0"/>
    <w:rsid w:val="006D0BFC"/>
    <w:rsid w:val="006D0C40"/>
    <w:rsid w:val="006D0CC8"/>
    <w:rsid w:val="006D0E48"/>
    <w:rsid w:val="006D0EA1"/>
    <w:rsid w:val="006D1282"/>
    <w:rsid w:val="006D1492"/>
    <w:rsid w:val="006D1621"/>
    <w:rsid w:val="006D180D"/>
    <w:rsid w:val="006D1BDF"/>
    <w:rsid w:val="006D1EF6"/>
    <w:rsid w:val="006D21C0"/>
    <w:rsid w:val="006D22B5"/>
    <w:rsid w:val="006D2488"/>
    <w:rsid w:val="006D270E"/>
    <w:rsid w:val="006D2789"/>
    <w:rsid w:val="006D2A4C"/>
    <w:rsid w:val="006D2F88"/>
    <w:rsid w:val="006D2FE3"/>
    <w:rsid w:val="006D30F0"/>
    <w:rsid w:val="006D31A2"/>
    <w:rsid w:val="006D321A"/>
    <w:rsid w:val="006D329D"/>
    <w:rsid w:val="006D33F5"/>
    <w:rsid w:val="006D3532"/>
    <w:rsid w:val="006D367F"/>
    <w:rsid w:val="006D37D6"/>
    <w:rsid w:val="006D3815"/>
    <w:rsid w:val="006D38BB"/>
    <w:rsid w:val="006D3CC6"/>
    <w:rsid w:val="006D443C"/>
    <w:rsid w:val="006D45CA"/>
    <w:rsid w:val="006D4721"/>
    <w:rsid w:val="006D4797"/>
    <w:rsid w:val="006D4B53"/>
    <w:rsid w:val="006D4B5C"/>
    <w:rsid w:val="006D4B89"/>
    <w:rsid w:val="006D4CDA"/>
    <w:rsid w:val="006D4D6F"/>
    <w:rsid w:val="006D4DE0"/>
    <w:rsid w:val="006D4F52"/>
    <w:rsid w:val="006D505D"/>
    <w:rsid w:val="006D5087"/>
    <w:rsid w:val="006D5137"/>
    <w:rsid w:val="006D5457"/>
    <w:rsid w:val="006D584C"/>
    <w:rsid w:val="006D596F"/>
    <w:rsid w:val="006D5DBA"/>
    <w:rsid w:val="006D5DCC"/>
    <w:rsid w:val="006D5F28"/>
    <w:rsid w:val="006D62E0"/>
    <w:rsid w:val="006D6727"/>
    <w:rsid w:val="006D6B03"/>
    <w:rsid w:val="006D6BAB"/>
    <w:rsid w:val="006D7109"/>
    <w:rsid w:val="006D74B2"/>
    <w:rsid w:val="006D769B"/>
    <w:rsid w:val="006D7951"/>
    <w:rsid w:val="006D7968"/>
    <w:rsid w:val="006D79C7"/>
    <w:rsid w:val="006D7A9C"/>
    <w:rsid w:val="006D7C82"/>
    <w:rsid w:val="006D7D18"/>
    <w:rsid w:val="006D7FEC"/>
    <w:rsid w:val="006E00A0"/>
    <w:rsid w:val="006E0261"/>
    <w:rsid w:val="006E0334"/>
    <w:rsid w:val="006E035D"/>
    <w:rsid w:val="006E03D0"/>
    <w:rsid w:val="006E0512"/>
    <w:rsid w:val="006E05A0"/>
    <w:rsid w:val="006E064C"/>
    <w:rsid w:val="006E0827"/>
    <w:rsid w:val="006E09A6"/>
    <w:rsid w:val="006E09C0"/>
    <w:rsid w:val="006E0C33"/>
    <w:rsid w:val="006E0DDE"/>
    <w:rsid w:val="006E130C"/>
    <w:rsid w:val="006E1791"/>
    <w:rsid w:val="006E17C5"/>
    <w:rsid w:val="006E18AC"/>
    <w:rsid w:val="006E18F7"/>
    <w:rsid w:val="006E1EDE"/>
    <w:rsid w:val="006E1F76"/>
    <w:rsid w:val="006E208F"/>
    <w:rsid w:val="006E2276"/>
    <w:rsid w:val="006E22A0"/>
    <w:rsid w:val="006E2318"/>
    <w:rsid w:val="006E274E"/>
    <w:rsid w:val="006E284E"/>
    <w:rsid w:val="006E288D"/>
    <w:rsid w:val="006E2A57"/>
    <w:rsid w:val="006E2BDF"/>
    <w:rsid w:val="006E2CE1"/>
    <w:rsid w:val="006E2F6C"/>
    <w:rsid w:val="006E3207"/>
    <w:rsid w:val="006E32BA"/>
    <w:rsid w:val="006E34F9"/>
    <w:rsid w:val="006E3525"/>
    <w:rsid w:val="006E3565"/>
    <w:rsid w:val="006E35DA"/>
    <w:rsid w:val="006E3624"/>
    <w:rsid w:val="006E362C"/>
    <w:rsid w:val="006E393C"/>
    <w:rsid w:val="006E3ADE"/>
    <w:rsid w:val="006E3D5D"/>
    <w:rsid w:val="006E3EB2"/>
    <w:rsid w:val="006E4506"/>
    <w:rsid w:val="006E450E"/>
    <w:rsid w:val="006E4648"/>
    <w:rsid w:val="006E467B"/>
    <w:rsid w:val="006E4724"/>
    <w:rsid w:val="006E4ABA"/>
    <w:rsid w:val="006E4D13"/>
    <w:rsid w:val="006E4EB2"/>
    <w:rsid w:val="006E4F8A"/>
    <w:rsid w:val="006E512E"/>
    <w:rsid w:val="006E5162"/>
    <w:rsid w:val="006E521B"/>
    <w:rsid w:val="006E54AD"/>
    <w:rsid w:val="006E554D"/>
    <w:rsid w:val="006E5A30"/>
    <w:rsid w:val="006E5B6C"/>
    <w:rsid w:val="006E5BD6"/>
    <w:rsid w:val="006E5C3F"/>
    <w:rsid w:val="006E5E28"/>
    <w:rsid w:val="006E6161"/>
    <w:rsid w:val="006E62E8"/>
    <w:rsid w:val="006E647E"/>
    <w:rsid w:val="006E6574"/>
    <w:rsid w:val="006E66BA"/>
    <w:rsid w:val="006E67C8"/>
    <w:rsid w:val="006E6B86"/>
    <w:rsid w:val="006E6C07"/>
    <w:rsid w:val="006E7422"/>
    <w:rsid w:val="006E7477"/>
    <w:rsid w:val="006E78E3"/>
    <w:rsid w:val="006E7A34"/>
    <w:rsid w:val="006E7F41"/>
    <w:rsid w:val="006F02D7"/>
    <w:rsid w:val="006F068A"/>
    <w:rsid w:val="006F095C"/>
    <w:rsid w:val="006F0CDB"/>
    <w:rsid w:val="006F0D95"/>
    <w:rsid w:val="006F0ED0"/>
    <w:rsid w:val="006F100A"/>
    <w:rsid w:val="006F123A"/>
    <w:rsid w:val="006F1489"/>
    <w:rsid w:val="006F1511"/>
    <w:rsid w:val="006F19C6"/>
    <w:rsid w:val="006F1A65"/>
    <w:rsid w:val="006F2145"/>
    <w:rsid w:val="006F224B"/>
    <w:rsid w:val="006F28A8"/>
    <w:rsid w:val="006F2A29"/>
    <w:rsid w:val="006F2D4B"/>
    <w:rsid w:val="006F2E67"/>
    <w:rsid w:val="006F2F7F"/>
    <w:rsid w:val="006F3089"/>
    <w:rsid w:val="006F3195"/>
    <w:rsid w:val="006F33E8"/>
    <w:rsid w:val="006F36D0"/>
    <w:rsid w:val="006F3777"/>
    <w:rsid w:val="006F3780"/>
    <w:rsid w:val="006F3794"/>
    <w:rsid w:val="006F385E"/>
    <w:rsid w:val="006F3906"/>
    <w:rsid w:val="006F3968"/>
    <w:rsid w:val="006F39F3"/>
    <w:rsid w:val="006F3B9C"/>
    <w:rsid w:val="006F3BEB"/>
    <w:rsid w:val="006F3DF3"/>
    <w:rsid w:val="006F3FB5"/>
    <w:rsid w:val="006F4096"/>
    <w:rsid w:val="006F4136"/>
    <w:rsid w:val="006F4885"/>
    <w:rsid w:val="006F495B"/>
    <w:rsid w:val="006F49C6"/>
    <w:rsid w:val="006F4B1C"/>
    <w:rsid w:val="006F503C"/>
    <w:rsid w:val="006F529B"/>
    <w:rsid w:val="006F5322"/>
    <w:rsid w:val="006F5589"/>
    <w:rsid w:val="006F56C1"/>
    <w:rsid w:val="006F5B49"/>
    <w:rsid w:val="006F5EA1"/>
    <w:rsid w:val="006F6859"/>
    <w:rsid w:val="006F68B8"/>
    <w:rsid w:val="006F68F4"/>
    <w:rsid w:val="006F692F"/>
    <w:rsid w:val="006F6BC4"/>
    <w:rsid w:val="006F6C45"/>
    <w:rsid w:val="006F6D15"/>
    <w:rsid w:val="006F6D44"/>
    <w:rsid w:val="006F774E"/>
    <w:rsid w:val="006F77D8"/>
    <w:rsid w:val="006F7911"/>
    <w:rsid w:val="006F79AA"/>
    <w:rsid w:val="006F7A2F"/>
    <w:rsid w:val="006F7C54"/>
    <w:rsid w:val="006F7FD2"/>
    <w:rsid w:val="0070044A"/>
    <w:rsid w:val="007005BC"/>
    <w:rsid w:val="007006E5"/>
    <w:rsid w:val="0070096D"/>
    <w:rsid w:val="00700A9C"/>
    <w:rsid w:val="00700C62"/>
    <w:rsid w:val="00700CBE"/>
    <w:rsid w:val="00701267"/>
    <w:rsid w:val="00701591"/>
    <w:rsid w:val="00701675"/>
    <w:rsid w:val="007016B7"/>
    <w:rsid w:val="007017DF"/>
    <w:rsid w:val="00701931"/>
    <w:rsid w:val="00701B47"/>
    <w:rsid w:val="00701E3A"/>
    <w:rsid w:val="00701FC5"/>
    <w:rsid w:val="0070231D"/>
    <w:rsid w:val="007024BA"/>
    <w:rsid w:val="007027CC"/>
    <w:rsid w:val="007028D5"/>
    <w:rsid w:val="00702B18"/>
    <w:rsid w:val="00702BE5"/>
    <w:rsid w:val="00702D88"/>
    <w:rsid w:val="00702DD6"/>
    <w:rsid w:val="00702FEA"/>
    <w:rsid w:val="007030F1"/>
    <w:rsid w:val="00703244"/>
    <w:rsid w:val="007033AC"/>
    <w:rsid w:val="007034EA"/>
    <w:rsid w:val="00703D81"/>
    <w:rsid w:val="00703F7C"/>
    <w:rsid w:val="007040C4"/>
    <w:rsid w:val="0070414E"/>
    <w:rsid w:val="0070416C"/>
    <w:rsid w:val="007044B4"/>
    <w:rsid w:val="007044FE"/>
    <w:rsid w:val="007047D5"/>
    <w:rsid w:val="00704C98"/>
    <w:rsid w:val="00704D0C"/>
    <w:rsid w:val="00704E6F"/>
    <w:rsid w:val="00705002"/>
    <w:rsid w:val="0070519C"/>
    <w:rsid w:val="00705562"/>
    <w:rsid w:val="00705749"/>
    <w:rsid w:val="007058EC"/>
    <w:rsid w:val="00705925"/>
    <w:rsid w:val="00705A9D"/>
    <w:rsid w:val="00705B40"/>
    <w:rsid w:val="00705C3F"/>
    <w:rsid w:val="00705F69"/>
    <w:rsid w:val="0070604A"/>
    <w:rsid w:val="0070620E"/>
    <w:rsid w:val="0070627D"/>
    <w:rsid w:val="007062A9"/>
    <w:rsid w:val="007064D2"/>
    <w:rsid w:val="00706528"/>
    <w:rsid w:val="007066FA"/>
    <w:rsid w:val="00706702"/>
    <w:rsid w:val="00706732"/>
    <w:rsid w:val="00706835"/>
    <w:rsid w:val="00706AE8"/>
    <w:rsid w:val="00706C0D"/>
    <w:rsid w:val="007070B0"/>
    <w:rsid w:val="00707346"/>
    <w:rsid w:val="00707383"/>
    <w:rsid w:val="007074F0"/>
    <w:rsid w:val="0070780C"/>
    <w:rsid w:val="007078B9"/>
    <w:rsid w:val="007078CB"/>
    <w:rsid w:val="00707A20"/>
    <w:rsid w:val="00707D39"/>
    <w:rsid w:val="00707EBF"/>
    <w:rsid w:val="00707EFE"/>
    <w:rsid w:val="00707F6E"/>
    <w:rsid w:val="007106F3"/>
    <w:rsid w:val="00710895"/>
    <w:rsid w:val="00710AE0"/>
    <w:rsid w:val="00710CE8"/>
    <w:rsid w:val="00710FD0"/>
    <w:rsid w:val="007110CD"/>
    <w:rsid w:val="007112E7"/>
    <w:rsid w:val="007115F9"/>
    <w:rsid w:val="007116B4"/>
    <w:rsid w:val="007118D6"/>
    <w:rsid w:val="00711985"/>
    <w:rsid w:val="00711C02"/>
    <w:rsid w:val="00712129"/>
    <w:rsid w:val="00712713"/>
    <w:rsid w:val="007128D5"/>
    <w:rsid w:val="00712B53"/>
    <w:rsid w:val="00712B66"/>
    <w:rsid w:val="00712B6F"/>
    <w:rsid w:val="007130F8"/>
    <w:rsid w:val="00713204"/>
    <w:rsid w:val="00713915"/>
    <w:rsid w:val="00713C61"/>
    <w:rsid w:val="00713C63"/>
    <w:rsid w:val="00713D25"/>
    <w:rsid w:val="00713E4C"/>
    <w:rsid w:val="00713FAB"/>
    <w:rsid w:val="00714119"/>
    <w:rsid w:val="00714415"/>
    <w:rsid w:val="0071452A"/>
    <w:rsid w:val="0071486A"/>
    <w:rsid w:val="00714CF2"/>
    <w:rsid w:val="007154F4"/>
    <w:rsid w:val="007156B9"/>
    <w:rsid w:val="00715860"/>
    <w:rsid w:val="00715940"/>
    <w:rsid w:val="007159CA"/>
    <w:rsid w:val="00715A43"/>
    <w:rsid w:val="00715D8C"/>
    <w:rsid w:val="00715EE1"/>
    <w:rsid w:val="007162DA"/>
    <w:rsid w:val="00716360"/>
    <w:rsid w:val="0071642B"/>
    <w:rsid w:val="007164CF"/>
    <w:rsid w:val="00716555"/>
    <w:rsid w:val="00716DF0"/>
    <w:rsid w:val="00716E92"/>
    <w:rsid w:val="00716ECC"/>
    <w:rsid w:val="00716F6B"/>
    <w:rsid w:val="007170E2"/>
    <w:rsid w:val="007170FB"/>
    <w:rsid w:val="007171A6"/>
    <w:rsid w:val="00717264"/>
    <w:rsid w:val="007174D7"/>
    <w:rsid w:val="0071772B"/>
    <w:rsid w:val="007178E5"/>
    <w:rsid w:val="0071792B"/>
    <w:rsid w:val="007179A7"/>
    <w:rsid w:val="00717DB9"/>
    <w:rsid w:val="00717DE9"/>
    <w:rsid w:val="00717E5D"/>
    <w:rsid w:val="00720159"/>
    <w:rsid w:val="00720187"/>
    <w:rsid w:val="00720256"/>
    <w:rsid w:val="007204FF"/>
    <w:rsid w:val="00720566"/>
    <w:rsid w:val="00720673"/>
    <w:rsid w:val="00720703"/>
    <w:rsid w:val="0072075F"/>
    <w:rsid w:val="00720817"/>
    <w:rsid w:val="0072089E"/>
    <w:rsid w:val="00720971"/>
    <w:rsid w:val="007209DB"/>
    <w:rsid w:val="00720A91"/>
    <w:rsid w:val="007210BE"/>
    <w:rsid w:val="007213FB"/>
    <w:rsid w:val="007218AB"/>
    <w:rsid w:val="00721B23"/>
    <w:rsid w:val="00721C3E"/>
    <w:rsid w:val="00722380"/>
    <w:rsid w:val="007223F5"/>
    <w:rsid w:val="00722773"/>
    <w:rsid w:val="00722850"/>
    <w:rsid w:val="00722AE1"/>
    <w:rsid w:val="00722F09"/>
    <w:rsid w:val="007231A5"/>
    <w:rsid w:val="0072330D"/>
    <w:rsid w:val="007234C7"/>
    <w:rsid w:val="00723972"/>
    <w:rsid w:val="00723C0A"/>
    <w:rsid w:val="00723F91"/>
    <w:rsid w:val="00723FF8"/>
    <w:rsid w:val="00724067"/>
    <w:rsid w:val="007241F8"/>
    <w:rsid w:val="00724236"/>
    <w:rsid w:val="007242A9"/>
    <w:rsid w:val="00724645"/>
    <w:rsid w:val="0072491B"/>
    <w:rsid w:val="00724948"/>
    <w:rsid w:val="00724B3E"/>
    <w:rsid w:val="00724D8F"/>
    <w:rsid w:val="00724DB6"/>
    <w:rsid w:val="007250FE"/>
    <w:rsid w:val="007252B4"/>
    <w:rsid w:val="007252C8"/>
    <w:rsid w:val="00725492"/>
    <w:rsid w:val="00725672"/>
    <w:rsid w:val="00725762"/>
    <w:rsid w:val="0072589C"/>
    <w:rsid w:val="00725AA0"/>
    <w:rsid w:val="00725DA3"/>
    <w:rsid w:val="00725DA7"/>
    <w:rsid w:val="0072601D"/>
    <w:rsid w:val="007262B3"/>
    <w:rsid w:val="007263BF"/>
    <w:rsid w:val="00726456"/>
    <w:rsid w:val="00726525"/>
    <w:rsid w:val="00726599"/>
    <w:rsid w:val="00726BB6"/>
    <w:rsid w:val="00726C26"/>
    <w:rsid w:val="0072735E"/>
    <w:rsid w:val="00727561"/>
    <w:rsid w:val="00727DDF"/>
    <w:rsid w:val="00730149"/>
    <w:rsid w:val="00730154"/>
    <w:rsid w:val="007301B3"/>
    <w:rsid w:val="00730301"/>
    <w:rsid w:val="00730568"/>
    <w:rsid w:val="00730774"/>
    <w:rsid w:val="00730AB5"/>
    <w:rsid w:val="00730DF3"/>
    <w:rsid w:val="00730F97"/>
    <w:rsid w:val="00731083"/>
    <w:rsid w:val="007313F2"/>
    <w:rsid w:val="007316E4"/>
    <w:rsid w:val="00731794"/>
    <w:rsid w:val="007318BC"/>
    <w:rsid w:val="00731983"/>
    <w:rsid w:val="00731BCB"/>
    <w:rsid w:val="00731C5F"/>
    <w:rsid w:val="00732062"/>
    <w:rsid w:val="007320BD"/>
    <w:rsid w:val="007322C3"/>
    <w:rsid w:val="00732323"/>
    <w:rsid w:val="007323EE"/>
    <w:rsid w:val="00732515"/>
    <w:rsid w:val="00732530"/>
    <w:rsid w:val="00732786"/>
    <w:rsid w:val="007327F7"/>
    <w:rsid w:val="00732A30"/>
    <w:rsid w:val="00732CFD"/>
    <w:rsid w:val="0073313B"/>
    <w:rsid w:val="0073353F"/>
    <w:rsid w:val="00733604"/>
    <w:rsid w:val="007336B1"/>
    <w:rsid w:val="0073379F"/>
    <w:rsid w:val="00733C27"/>
    <w:rsid w:val="00733F67"/>
    <w:rsid w:val="007343D9"/>
    <w:rsid w:val="007344D7"/>
    <w:rsid w:val="00734521"/>
    <w:rsid w:val="00734AAD"/>
    <w:rsid w:val="00734B58"/>
    <w:rsid w:val="00734CFF"/>
    <w:rsid w:val="00734D92"/>
    <w:rsid w:val="00734E61"/>
    <w:rsid w:val="007354B9"/>
    <w:rsid w:val="0073588A"/>
    <w:rsid w:val="00735A91"/>
    <w:rsid w:val="00735B28"/>
    <w:rsid w:val="00736100"/>
    <w:rsid w:val="0073611D"/>
    <w:rsid w:val="00736141"/>
    <w:rsid w:val="007361C0"/>
    <w:rsid w:val="00736916"/>
    <w:rsid w:val="007369F8"/>
    <w:rsid w:val="00736BDA"/>
    <w:rsid w:val="00736BE1"/>
    <w:rsid w:val="00736E7E"/>
    <w:rsid w:val="00736EAB"/>
    <w:rsid w:val="00737057"/>
    <w:rsid w:val="007370D5"/>
    <w:rsid w:val="0073735D"/>
    <w:rsid w:val="0073744D"/>
    <w:rsid w:val="007374E9"/>
    <w:rsid w:val="007377B4"/>
    <w:rsid w:val="00737961"/>
    <w:rsid w:val="007379B9"/>
    <w:rsid w:val="00737B1D"/>
    <w:rsid w:val="00737B85"/>
    <w:rsid w:val="00737C39"/>
    <w:rsid w:val="0074010B"/>
    <w:rsid w:val="007402E1"/>
    <w:rsid w:val="0074031E"/>
    <w:rsid w:val="00740386"/>
    <w:rsid w:val="00740413"/>
    <w:rsid w:val="007407A2"/>
    <w:rsid w:val="00740805"/>
    <w:rsid w:val="007408BA"/>
    <w:rsid w:val="00740A31"/>
    <w:rsid w:val="00740A86"/>
    <w:rsid w:val="00740B52"/>
    <w:rsid w:val="00740BED"/>
    <w:rsid w:val="00741114"/>
    <w:rsid w:val="00741117"/>
    <w:rsid w:val="00741245"/>
    <w:rsid w:val="007414C7"/>
    <w:rsid w:val="00741501"/>
    <w:rsid w:val="00741683"/>
    <w:rsid w:val="00741781"/>
    <w:rsid w:val="00741989"/>
    <w:rsid w:val="00741A93"/>
    <w:rsid w:val="00741D04"/>
    <w:rsid w:val="00741E78"/>
    <w:rsid w:val="007420E9"/>
    <w:rsid w:val="00742127"/>
    <w:rsid w:val="007428F1"/>
    <w:rsid w:val="00742997"/>
    <w:rsid w:val="007429EA"/>
    <w:rsid w:val="00742B2D"/>
    <w:rsid w:val="00742BDF"/>
    <w:rsid w:val="00742C8B"/>
    <w:rsid w:val="00742E45"/>
    <w:rsid w:val="00742EE7"/>
    <w:rsid w:val="00742F70"/>
    <w:rsid w:val="00743544"/>
    <w:rsid w:val="007436A5"/>
    <w:rsid w:val="00743773"/>
    <w:rsid w:val="0074382F"/>
    <w:rsid w:val="00743865"/>
    <w:rsid w:val="00743982"/>
    <w:rsid w:val="007440E7"/>
    <w:rsid w:val="0074419C"/>
    <w:rsid w:val="00744267"/>
    <w:rsid w:val="007446A7"/>
    <w:rsid w:val="007447AF"/>
    <w:rsid w:val="007447D4"/>
    <w:rsid w:val="00744A99"/>
    <w:rsid w:val="00744AD5"/>
    <w:rsid w:val="00744BA0"/>
    <w:rsid w:val="00744C19"/>
    <w:rsid w:val="00744C39"/>
    <w:rsid w:val="00744CA8"/>
    <w:rsid w:val="00744EC4"/>
    <w:rsid w:val="00744EC6"/>
    <w:rsid w:val="00744F92"/>
    <w:rsid w:val="007453A4"/>
    <w:rsid w:val="00745718"/>
    <w:rsid w:val="007457CE"/>
    <w:rsid w:val="00745940"/>
    <w:rsid w:val="00745BCE"/>
    <w:rsid w:val="00745C6B"/>
    <w:rsid w:val="00745CE6"/>
    <w:rsid w:val="00746154"/>
    <w:rsid w:val="007462B7"/>
    <w:rsid w:val="007462C4"/>
    <w:rsid w:val="007464B5"/>
    <w:rsid w:val="00746683"/>
    <w:rsid w:val="00746D12"/>
    <w:rsid w:val="00746D62"/>
    <w:rsid w:val="00746DE3"/>
    <w:rsid w:val="00746EE5"/>
    <w:rsid w:val="00746F32"/>
    <w:rsid w:val="00747194"/>
    <w:rsid w:val="007473E3"/>
    <w:rsid w:val="00747529"/>
    <w:rsid w:val="00747845"/>
    <w:rsid w:val="00747A9A"/>
    <w:rsid w:val="00747E8D"/>
    <w:rsid w:val="00747FBD"/>
    <w:rsid w:val="00750090"/>
    <w:rsid w:val="007501E7"/>
    <w:rsid w:val="007502C2"/>
    <w:rsid w:val="0075034F"/>
    <w:rsid w:val="00750375"/>
    <w:rsid w:val="007503F9"/>
    <w:rsid w:val="0075040E"/>
    <w:rsid w:val="00750412"/>
    <w:rsid w:val="0075054C"/>
    <w:rsid w:val="00750816"/>
    <w:rsid w:val="0075096E"/>
    <w:rsid w:val="00750979"/>
    <w:rsid w:val="00750A8F"/>
    <w:rsid w:val="00750C3F"/>
    <w:rsid w:val="00750D6B"/>
    <w:rsid w:val="00750E6C"/>
    <w:rsid w:val="0075107D"/>
    <w:rsid w:val="00751357"/>
    <w:rsid w:val="0075167C"/>
    <w:rsid w:val="00751717"/>
    <w:rsid w:val="00751729"/>
    <w:rsid w:val="00751828"/>
    <w:rsid w:val="00751CB6"/>
    <w:rsid w:val="00751DC3"/>
    <w:rsid w:val="00751F60"/>
    <w:rsid w:val="00752012"/>
    <w:rsid w:val="007523BC"/>
    <w:rsid w:val="007523D9"/>
    <w:rsid w:val="0075267F"/>
    <w:rsid w:val="00752940"/>
    <w:rsid w:val="00752A3B"/>
    <w:rsid w:val="00752B45"/>
    <w:rsid w:val="00752CA4"/>
    <w:rsid w:val="00752CB9"/>
    <w:rsid w:val="007530A7"/>
    <w:rsid w:val="007531F2"/>
    <w:rsid w:val="00753274"/>
    <w:rsid w:val="0075329F"/>
    <w:rsid w:val="0075354C"/>
    <w:rsid w:val="007535C3"/>
    <w:rsid w:val="0075365B"/>
    <w:rsid w:val="00753720"/>
    <w:rsid w:val="00753A04"/>
    <w:rsid w:val="00753A9C"/>
    <w:rsid w:val="00753AC6"/>
    <w:rsid w:val="00753AC7"/>
    <w:rsid w:val="00753C0E"/>
    <w:rsid w:val="00753E8C"/>
    <w:rsid w:val="00753EE5"/>
    <w:rsid w:val="00753FD6"/>
    <w:rsid w:val="007545DF"/>
    <w:rsid w:val="0075462E"/>
    <w:rsid w:val="00754AB0"/>
    <w:rsid w:val="00754AB5"/>
    <w:rsid w:val="00754B5F"/>
    <w:rsid w:val="00754C23"/>
    <w:rsid w:val="00754C70"/>
    <w:rsid w:val="00754CE1"/>
    <w:rsid w:val="00755030"/>
    <w:rsid w:val="00755342"/>
    <w:rsid w:val="007553E1"/>
    <w:rsid w:val="00755442"/>
    <w:rsid w:val="007558FB"/>
    <w:rsid w:val="00755902"/>
    <w:rsid w:val="00755A5A"/>
    <w:rsid w:val="00755BEC"/>
    <w:rsid w:val="00755E86"/>
    <w:rsid w:val="00755EAF"/>
    <w:rsid w:val="00756100"/>
    <w:rsid w:val="007561D7"/>
    <w:rsid w:val="007562FF"/>
    <w:rsid w:val="00756495"/>
    <w:rsid w:val="007564CF"/>
    <w:rsid w:val="007565BB"/>
    <w:rsid w:val="0075665C"/>
    <w:rsid w:val="00756689"/>
    <w:rsid w:val="00756725"/>
    <w:rsid w:val="0075672B"/>
    <w:rsid w:val="00756A2D"/>
    <w:rsid w:val="00756ACF"/>
    <w:rsid w:val="007574FC"/>
    <w:rsid w:val="0075780E"/>
    <w:rsid w:val="0075791F"/>
    <w:rsid w:val="007579AD"/>
    <w:rsid w:val="00757A99"/>
    <w:rsid w:val="00757DC0"/>
    <w:rsid w:val="0076002C"/>
    <w:rsid w:val="0076011C"/>
    <w:rsid w:val="0076016D"/>
    <w:rsid w:val="007603C7"/>
    <w:rsid w:val="007604D6"/>
    <w:rsid w:val="00760564"/>
    <w:rsid w:val="0076085E"/>
    <w:rsid w:val="007608E0"/>
    <w:rsid w:val="00760C64"/>
    <w:rsid w:val="00760C6F"/>
    <w:rsid w:val="00761396"/>
    <w:rsid w:val="0076191E"/>
    <w:rsid w:val="007619C9"/>
    <w:rsid w:val="00761AB2"/>
    <w:rsid w:val="00761CC7"/>
    <w:rsid w:val="00762077"/>
    <w:rsid w:val="00762488"/>
    <w:rsid w:val="0076248D"/>
    <w:rsid w:val="007626D7"/>
    <w:rsid w:val="0076278C"/>
    <w:rsid w:val="00762B92"/>
    <w:rsid w:val="00762C5E"/>
    <w:rsid w:val="00762DAC"/>
    <w:rsid w:val="00762FD8"/>
    <w:rsid w:val="00762FFA"/>
    <w:rsid w:val="007631D9"/>
    <w:rsid w:val="007632AE"/>
    <w:rsid w:val="0076374E"/>
    <w:rsid w:val="00763F3D"/>
    <w:rsid w:val="0076412D"/>
    <w:rsid w:val="007643E2"/>
    <w:rsid w:val="00764670"/>
    <w:rsid w:val="00764A3B"/>
    <w:rsid w:val="00764B06"/>
    <w:rsid w:val="00764B35"/>
    <w:rsid w:val="00764C33"/>
    <w:rsid w:val="00765084"/>
    <w:rsid w:val="007654EC"/>
    <w:rsid w:val="007657C1"/>
    <w:rsid w:val="00765C08"/>
    <w:rsid w:val="00765C8C"/>
    <w:rsid w:val="00765CA0"/>
    <w:rsid w:val="00765FA4"/>
    <w:rsid w:val="0076626A"/>
    <w:rsid w:val="00766309"/>
    <w:rsid w:val="00766342"/>
    <w:rsid w:val="007664AB"/>
    <w:rsid w:val="007666B1"/>
    <w:rsid w:val="00766702"/>
    <w:rsid w:val="00766890"/>
    <w:rsid w:val="007668A2"/>
    <w:rsid w:val="00766B65"/>
    <w:rsid w:val="00766C77"/>
    <w:rsid w:val="00766E07"/>
    <w:rsid w:val="00766F0B"/>
    <w:rsid w:val="00766FF8"/>
    <w:rsid w:val="00767000"/>
    <w:rsid w:val="0076713F"/>
    <w:rsid w:val="007672CA"/>
    <w:rsid w:val="00767C55"/>
    <w:rsid w:val="00770766"/>
    <w:rsid w:val="0077076A"/>
    <w:rsid w:val="007707E9"/>
    <w:rsid w:val="007709B7"/>
    <w:rsid w:val="00770B7B"/>
    <w:rsid w:val="00770BDC"/>
    <w:rsid w:val="00771138"/>
    <w:rsid w:val="007711FD"/>
    <w:rsid w:val="00771249"/>
    <w:rsid w:val="00771538"/>
    <w:rsid w:val="007716A7"/>
    <w:rsid w:val="00771958"/>
    <w:rsid w:val="00771A21"/>
    <w:rsid w:val="00771A93"/>
    <w:rsid w:val="00771CE1"/>
    <w:rsid w:val="00771D83"/>
    <w:rsid w:val="00771F10"/>
    <w:rsid w:val="00772153"/>
    <w:rsid w:val="007722BB"/>
    <w:rsid w:val="0077245C"/>
    <w:rsid w:val="0077255E"/>
    <w:rsid w:val="0077258C"/>
    <w:rsid w:val="0077272C"/>
    <w:rsid w:val="00772B56"/>
    <w:rsid w:val="00772CAE"/>
    <w:rsid w:val="00772F9A"/>
    <w:rsid w:val="007730AE"/>
    <w:rsid w:val="007735C4"/>
    <w:rsid w:val="00773816"/>
    <w:rsid w:val="007739B2"/>
    <w:rsid w:val="00773BDE"/>
    <w:rsid w:val="00773EC0"/>
    <w:rsid w:val="00773F03"/>
    <w:rsid w:val="007740DC"/>
    <w:rsid w:val="0077420C"/>
    <w:rsid w:val="007743CF"/>
    <w:rsid w:val="00774577"/>
    <w:rsid w:val="0077476D"/>
    <w:rsid w:val="00774B8E"/>
    <w:rsid w:val="00774BB2"/>
    <w:rsid w:val="00774D88"/>
    <w:rsid w:val="00774DDF"/>
    <w:rsid w:val="007754D1"/>
    <w:rsid w:val="00775799"/>
    <w:rsid w:val="007759BF"/>
    <w:rsid w:val="00775ABC"/>
    <w:rsid w:val="00775AEC"/>
    <w:rsid w:val="007760AE"/>
    <w:rsid w:val="0077636C"/>
    <w:rsid w:val="0077639A"/>
    <w:rsid w:val="007763B1"/>
    <w:rsid w:val="00776563"/>
    <w:rsid w:val="0077687F"/>
    <w:rsid w:val="007768D5"/>
    <w:rsid w:val="00776A91"/>
    <w:rsid w:val="00776D9C"/>
    <w:rsid w:val="00776DF0"/>
    <w:rsid w:val="00776F52"/>
    <w:rsid w:val="007772A0"/>
    <w:rsid w:val="007773C6"/>
    <w:rsid w:val="0077755F"/>
    <w:rsid w:val="007775D3"/>
    <w:rsid w:val="0077775C"/>
    <w:rsid w:val="00777804"/>
    <w:rsid w:val="00777A07"/>
    <w:rsid w:val="00777C2F"/>
    <w:rsid w:val="00777E71"/>
    <w:rsid w:val="00777E86"/>
    <w:rsid w:val="0078002D"/>
    <w:rsid w:val="00780107"/>
    <w:rsid w:val="0078015F"/>
    <w:rsid w:val="00780205"/>
    <w:rsid w:val="0078028C"/>
    <w:rsid w:val="007803E3"/>
    <w:rsid w:val="0078068B"/>
    <w:rsid w:val="0078068F"/>
    <w:rsid w:val="007806BD"/>
    <w:rsid w:val="007807DF"/>
    <w:rsid w:val="007808C7"/>
    <w:rsid w:val="007808DA"/>
    <w:rsid w:val="00780D34"/>
    <w:rsid w:val="00781125"/>
    <w:rsid w:val="00781AA8"/>
    <w:rsid w:val="00781C7C"/>
    <w:rsid w:val="00781DD8"/>
    <w:rsid w:val="00781E11"/>
    <w:rsid w:val="00781F91"/>
    <w:rsid w:val="00782053"/>
    <w:rsid w:val="007820CA"/>
    <w:rsid w:val="00782134"/>
    <w:rsid w:val="007823AF"/>
    <w:rsid w:val="00782454"/>
    <w:rsid w:val="0078255A"/>
    <w:rsid w:val="00782839"/>
    <w:rsid w:val="007829E0"/>
    <w:rsid w:val="00782B93"/>
    <w:rsid w:val="00782C4F"/>
    <w:rsid w:val="00782D10"/>
    <w:rsid w:val="00782E87"/>
    <w:rsid w:val="007830D7"/>
    <w:rsid w:val="00783638"/>
    <w:rsid w:val="00783667"/>
    <w:rsid w:val="00783B69"/>
    <w:rsid w:val="00783D0D"/>
    <w:rsid w:val="00783FE9"/>
    <w:rsid w:val="0078406C"/>
    <w:rsid w:val="00784312"/>
    <w:rsid w:val="0078462E"/>
    <w:rsid w:val="007849C7"/>
    <w:rsid w:val="00784A46"/>
    <w:rsid w:val="00784CFD"/>
    <w:rsid w:val="00784D52"/>
    <w:rsid w:val="007851B0"/>
    <w:rsid w:val="00785496"/>
    <w:rsid w:val="007854C5"/>
    <w:rsid w:val="007855D2"/>
    <w:rsid w:val="0078577B"/>
    <w:rsid w:val="007858A8"/>
    <w:rsid w:val="0078596C"/>
    <w:rsid w:val="00785984"/>
    <w:rsid w:val="00785AD3"/>
    <w:rsid w:val="00785B5C"/>
    <w:rsid w:val="00785D38"/>
    <w:rsid w:val="00785D67"/>
    <w:rsid w:val="007867E2"/>
    <w:rsid w:val="00786869"/>
    <w:rsid w:val="00786CEA"/>
    <w:rsid w:val="00786EC4"/>
    <w:rsid w:val="007871D1"/>
    <w:rsid w:val="00787336"/>
    <w:rsid w:val="00787422"/>
    <w:rsid w:val="007875E7"/>
    <w:rsid w:val="0078765B"/>
    <w:rsid w:val="00787A3F"/>
    <w:rsid w:val="00787CB5"/>
    <w:rsid w:val="00790106"/>
    <w:rsid w:val="0079024A"/>
    <w:rsid w:val="00790558"/>
    <w:rsid w:val="00790849"/>
    <w:rsid w:val="007910DD"/>
    <w:rsid w:val="00791358"/>
    <w:rsid w:val="00791BBE"/>
    <w:rsid w:val="00791BCD"/>
    <w:rsid w:val="00791F65"/>
    <w:rsid w:val="00791FB9"/>
    <w:rsid w:val="007924C0"/>
    <w:rsid w:val="00792ADC"/>
    <w:rsid w:val="00792BC7"/>
    <w:rsid w:val="00792DC2"/>
    <w:rsid w:val="00793070"/>
    <w:rsid w:val="007930E1"/>
    <w:rsid w:val="007933C4"/>
    <w:rsid w:val="00793423"/>
    <w:rsid w:val="007934E1"/>
    <w:rsid w:val="00793911"/>
    <w:rsid w:val="007939A9"/>
    <w:rsid w:val="007939DD"/>
    <w:rsid w:val="00793A83"/>
    <w:rsid w:val="00793C04"/>
    <w:rsid w:val="00793D75"/>
    <w:rsid w:val="00793FC4"/>
    <w:rsid w:val="00794015"/>
    <w:rsid w:val="00794062"/>
    <w:rsid w:val="0079406F"/>
    <w:rsid w:val="00794280"/>
    <w:rsid w:val="00794614"/>
    <w:rsid w:val="00794836"/>
    <w:rsid w:val="0079484D"/>
    <w:rsid w:val="007948D3"/>
    <w:rsid w:val="00794932"/>
    <w:rsid w:val="007949DD"/>
    <w:rsid w:val="00794A32"/>
    <w:rsid w:val="00794AB6"/>
    <w:rsid w:val="00794AE0"/>
    <w:rsid w:val="00794DBB"/>
    <w:rsid w:val="00794F54"/>
    <w:rsid w:val="0079519C"/>
    <w:rsid w:val="0079520C"/>
    <w:rsid w:val="00795307"/>
    <w:rsid w:val="00795572"/>
    <w:rsid w:val="00795591"/>
    <w:rsid w:val="007955ED"/>
    <w:rsid w:val="0079567D"/>
    <w:rsid w:val="00795933"/>
    <w:rsid w:val="00795A8F"/>
    <w:rsid w:val="00795AA3"/>
    <w:rsid w:val="00796081"/>
    <w:rsid w:val="0079610E"/>
    <w:rsid w:val="00796584"/>
    <w:rsid w:val="00796A10"/>
    <w:rsid w:val="00796A8B"/>
    <w:rsid w:val="00796B85"/>
    <w:rsid w:val="00796C1B"/>
    <w:rsid w:val="00796E73"/>
    <w:rsid w:val="007972C1"/>
    <w:rsid w:val="00797326"/>
    <w:rsid w:val="00797B30"/>
    <w:rsid w:val="00797B5E"/>
    <w:rsid w:val="00797CCA"/>
    <w:rsid w:val="00797DA2"/>
    <w:rsid w:val="00797F48"/>
    <w:rsid w:val="007A01E1"/>
    <w:rsid w:val="007A0383"/>
    <w:rsid w:val="007A049A"/>
    <w:rsid w:val="007A0512"/>
    <w:rsid w:val="007A0550"/>
    <w:rsid w:val="007A0951"/>
    <w:rsid w:val="007A09C9"/>
    <w:rsid w:val="007A105A"/>
    <w:rsid w:val="007A116A"/>
    <w:rsid w:val="007A11E0"/>
    <w:rsid w:val="007A1261"/>
    <w:rsid w:val="007A126B"/>
    <w:rsid w:val="007A13D8"/>
    <w:rsid w:val="007A1708"/>
    <w:rsid w:val="007A17A8"/>
    <w:rsid w:val="007A1906"/>
    <w:rsid w:val="007A1A44"/>
    <w:rsid w:val="007A1B41"/>
    <w:rsid w:val="007A1E36"/>
    <w:rsid w:val="007A2070"/>
    <w:rsid w:val="007A2137"/>
    <w:rsid w:val="007A21AF"/>
    <w:rsid w:val="007A2449"/>
    <w:rsid w:val="007A25A4"/>
    <w:rsid w:val="007A281C"/>
    <w:rsid w:val="007A2844"/>
    <w:rsid w:val="007A2898"/>
    <w:rsid w:val="007A2C92"/>
    <w:rsid w:val="007A2DC1"/>
    <w:rsid w:val="007A2FE8"/>
    <w:rsid w:val="007A3193"/>
    <w:rsid w:val="007A346C"/>
    <w:rsid w:val="007A3496"/>
    <w:rsid w:val="007A382C"/>
    <w:rsid w:val="007A38A5"/>
    <w:rsid w:val="007A390E"/>
    <w:rsid w:val="007A3DE3"/>
    <w:rsid w:val="007A3E22"/>
    <w:rsid w:val="007A406D"/>
    <w:rsid w:val="007A42A0"/>
    <w:rsid w:val="007A4323"/>
    <w:rsid w:val="007A4544"/>
    <w:rsid w:val="007A45E4"/>
    <w:rsid w:val="007A462F"/>
    <w:rsid w:val="007A4B39"/>
    <w:rsid w:val="007A4C45"/>
    <w:rsid w:val="007A4CA8"/>
    <w:rsid w:val="007A4CC3"/>
    <w:rsid w:val="007A4DB6"/>
    <w:rsid w:val="007A5169"/>
    <w:rsid w:val="007A5227"/>
    <w:rsid w:val="007A551A"/>
    <w:rsid w:val="007A56D8"/>
    <w:rsid w:val="007A5C1A"/>
    <w:rsid w:val="007A5DAD"/>
    <w:rsid w:val="007A608F"/>
    <w:rsid w:val="007A62B0"/>
    <w:rsid w:val="007A65AA"/>
    <w:rsid w:val="007A680D"/>
    <w:rsid w:val="007A69AA"/>
    <w:rsid w:val="007A6AAA"/>
    <w:rsid w:val="007A6C08"/>
    <w:rsid w:val="007A6D96"/>
    <w:rsid w:val="007A6FBD"/>
    <w:rsid w:val="007A6FC1"/>
    <w:rsid w:val="007A6FC4"/>
    <w:rsid w:val="007A723E"/>
    <w:rsid w:val="007A7471"/>
    <w:rsid w:val="007A7739"/>
    <w:rsid w:val="007A7790"/>
    <w:rsid w:val="007A783F"/>
    <w:rsid w:val="007A7882"/>
    <w:rsid w:val="007A79DB"/>
    <w:rsid w:val="007A7BCB"/>
    <w:rsid w:val="007A7C44"/>
    <w:rsid w:val="007B01F5"/>
    <w:rsid w:val="007B0550"/>
    <w:rsid w:val="007B0554"/>
    <w:rsid w:val="007B0578"/>
    <w:rsid w:val="007B05E5"/>
    <w:rsid w:val="007B0900"/>
    <w:rsid w:val="007B09B7"/>
    <w:rsid w:val="007B0A22"/>
    <w:rsid w:val="007B0A44"/>
    <w:rsid w:val="007B0ABF"/>
    <w:rsid w:val="007B0E80"/>
    <w:rsid w:val="007B0F48"/>
    <w:rsid w:val="007B0F80"/>
    <w:rsid w:val="007B0FAF"/>
    <w:rsid w:val="007B15C2"/>
    <w:rsid w:val="007B15E9"/>
    <w:rsid w:val="007B16F4"/>
    <w:rsid w:val="007B172D"/>
    <w:rsid w:val="007B1E29"/>
    <w:rsid w:val="007B2503"/>
    <w:rsid w:val="007B2596"/>
    <w:rsid w:val="007B26E7"/>
    <w:rsid w:val="007B29AD"/>
    <w:rsid w:val="007B2D4A"/>
    <w:rsid w:val="007B2F8E"/>
    <w:rsid w:val="007B2FCF"/>
    <w:rsid w:val="007B36F9"/>
    <w:rsid w:val="007B388A"/>
    <w:rsid w:val="007B3A0F"/>
    <w:rsid w:val="007B3A21"/>
    <w:rsid w:val="007B3AAB"/>
    <w:rsid w:val="007B3B01"/>
    <w:rsid w:val="007B3EB5"/>
    <w:rsid w:val="007B40CE"/>
    <w:rsid w:val="007B467D"/>
    <w:rsid w:val="007B49B7"/>
    <w:rsid w:val="007B4A9C"/>
    <w:rsid w:val="007B4AE4"/>
    <w:rsid w:val="007B4C06"/>
    <w:rsid w:val="007B4D8C"/>
    <w:rsid w:val="007B4F10"/>
    <w:rsid w:val="007B5142"/>
    <w:rsid w:val="007B5145"/>
    <w:rsid w:val="007B5239"/>
    <w:rsid w:val="007B5939"/>
    <w:rsid w:val="007B5956"/>
    <w:rsid w:val="007B5A2A"/>
    <w:rsid w:val="007B5A52"/>
    <w:rsid w:val="007B5BFE"/>
    <w:rsid w:val="007B5CD1"/>
    <w:rsid w:val="007B613A"/>
    <w:rsid w:val="007B63F2"/>
    <w:rsid w:val="007B6470"/>
    <w:rsid w:val="007B6752"/>
    <w:rsid w:val="007B69AB"/>
    <w:rsid w:val="007B6C01"/>
    <w:rsid w:val="007B6C6F"/>
    <w:rsid w:val="007B6D20"/>
    <w:rsid w:val="007B709F"/>
    <w:rsid w:val="007B7266"/>
    <w:rsid w:val="007B72FF"/>
    <w:rsid w:val="007B73FE"/>
    <w:rsid w:val="007B7661"/>
    <w:rsid w:val="007B776E"/>
    <w:rsid w:val="007B7978"/>
    <w:rsid w:val="007B7D65"/>
    <w:rsid w:val="007B7E58"/>
    <w:rsid w:val="007B7F43"/>
    <w:rsid w:val="007C01B1"/>
    <w:rsid w:val="007C08B3"/>
    <w:rsid w:val="007C0A7B"/>
    <w:rsid w:val="007C0AE4"/>
    <w:rsid w:val="007C0C82"/>
    <w:rsid w:val="007C0EFC"/>
    <w:rsid w:val="007C0F13"/>
    <w:rsid w:val="007C1186"/>
    <w:rsid w:val="007C1389"/>
    <w:rsid w:val="007C15BC"/>
    <w:rsid w:val="007C1952"/>
    <w:rsid w:val="007C1B27"/>
    <w:rsid w:val="007C1B5A"/>
    <w:rsid w:val="007C1B5C"/>
    <w:rsid w:val="007C1BED"/>
    <w:rsid w:val="007C1D24"/>
    <w:rsid w:val="007C1DA2"/>
    <w:rsid w:val="007C1F76"/>
    <w:rsid w:val="007C1F9C"/>
    <w:rsid w:val="007C1FFA"/>
    <w:rsid w:val="007C20A8"/>
    <w:rsid w:val="007C20DC"/>
    <w:rsid w:val="007C264D"/>
    <w:rsid w:val="007C26EA"/>
    <w:rsid w:val="007C2769"/>
    <w:rsid w:val="007C2A16"/>
    <w:rsid w:val="007C2BB3"/>
    <w:rsid w:val="007C2BED"/>
    <w:rsid w:val="007C2D2F"/>
    <w:rsid w:val="007C2D87"/>
    <w:rsid w:val="007C2E7A"/>
    <w:rsid w:val="007C2F5D"/>
    <w:rsid w:val="007C3081"/>
    <w:rsid w:val="007C31DC"/>
    <w:rsid w:val="007C3338"/>
    <w:rsid w:val="007C34A9"/>
    <w:rsid w:val="007C36E1"/>
    <w:rsid w:val="007C3733"/>
    <w:rsid w:val="007C394B"/>
    <w:rsid w:val="007C3C4E"/>
    <w:rsid w:val="007C3EC0"/>
    <w:rsid w:val="007C3F99"/>
    <w:rsid w:val="007C44FF"/>
    <w:rsid w:val="007C4633"/>
    <w:rsid w:val="007C46EF"/>
    <w:rsid w:val="007C47F8"/>
    <w:rsid w:val="007C4BBC"/>
    <w:rsid w:val="007C4C11"/>
    <w:rsid w:val="007C4C5B"/>
    <w:rsid w:val="007C4CF8"/>
    <w:rsid w:val="007C4EE2"/>
    <w:rsid w:val="007C5008"/>
    <w:rsid w:val="007C5093"/>
    <w:rsid w:val="007C514D"/>
    <w:rsid w:val="007C590C"/>
    <w:rsid w:val="007C5A0C"/>
    <w:rsid w:val="007C5A85"/>
    <w:rsid w:val="007C5B1F"/>
    <w:rsid w:val="007C5C80"/>
    <w:rsid w:val="007C5CE8"/>
    <w:rsid w:val="007C5E46"/>
    <w:rsid w:val="007C5F6B"/>
    <w:rsid w:val="007C5FAC"/>
    <w:rsid w:val="007C5FE9"/>
    <w:rsid w:val="007C62F9"/>
    <w:rsid w:val="007C6331"/>
    <w:rsid w:val="007C64E3"/>
    <w:rsid w:val="007C65F3"/>
    <w:rsid w:val="007C6A49"/>
    <w:rsid w:val="007C6ADD"/>
    <w:rsid w:val="007C6B3D"/>
    <w:rsid w:val="007C6B59"/>
    <w:rsid w:val="007C7006"/>
    <w:rsid w:val="007C705F"/>
    <w:rsid w:val="007C7715"/>
    <w:rsid w:val="007C7801"/>
    <w:rsid w:val="007C7D04"/>
    <w:rsid w:val="007C7D82"/>
    <w:rsid w:val="007C7EF7"/>
    <w:rsid w:val="007D00FB"/>
    <w:rsid w:val="007D0105"/>
    <w:rsid w:val="007D0146"/>
    <w:rsid w:val="007D0169"/>
    <w:rsid w:val="007D02B9"/>
    <w:rsid w:val="007D02C6"/>
    <w:rsid w:val="007D05BA"/>
    <w:rsid w:val="007D0D1E"/>
    <w:rsid w:val="007D0E0A"/>
    <w:rsid w:val="007D1128"/>
    <w:rsid w:val="007D121C"/>
    <w:rsid w:val="007D1342"/>
    <w:rsid w:val="007D140A"/>
    <w:rsid w:val="007D146E"/>
    <w:rsid w:val="007D15F2"/>
    <w:rsid w:val="007D16A7"/>
    <w:rsid w:val="007D173C"/>
    <w:rsid w:val="007D1A00"/>
    <w:rsid w:val="007D1E8E"/>
    <w:rsid w:val="007D1F40"/>
    <w:rsid w:val="007D1F7D"/>
    <w:rsid w:val="007D2027"/>
    <w:rsid w:val="007D218E"/>
    <w:rsid w:val="007D24B2"/>
    <w:rsid w:val="007D24E0"/>
    <w:rsid w:val="007D262F"/>
    <w:rsid w:val="007D275A"/>
    <w:rsid w:val="007D2888"/>
    <w:rsid w:val="007D2A70"/>
    <w:rsid w:val="007D2D42"/>
    <w:rsid w:val="007D2DEB"/>
    <w:rsid w:val="007D2EBD"/>
    <w:rsid w:val="007D2F50"/>
    <w:rsid w:val="007D30AC"/>
    <w:rsid w:val="007D31EE"/>
    <w:rsid w:val="007D34CC"/>
    <w:rsid w:val="007D3878"/>
    <w:rsid w:val="007D3E30"/>
    <w:rsid w:val="007D3E56"/>
    <w:rsid w:val="007D421B"/>
    <w:rsid w:val="007D4453"/>
    <w:rsid w:val="007D450C"/>
    <w:rsid w:val="007D4539"/>
    <w:rsid w:val="007D45BD"/>
    <w:rsid w:val="007D4935"/>
    <w:rsid w:val="007D4975"/>
    <w:rsid w:val="007D49F2"/>
    <w:rsid w:val="007D4C32"/>
    <w:rsid w:val="007D4C9E"/>
    <w:rsid w:val="007D51FA"/>
    <w:rsid w:val="007D520A"/>
    <w:rsid w:val="007D53D7"/>
    <w:rsid w:val="007D55CE"/>
    <w:rsid w:val="007D56F1"/>
    <w:rsid w:val="007D5C5C"/>
    <w:rsid w:val="007D5D6B"/>
    <w:rsid w:val="007D5DFD"/>
    <w:rsid w:val="007D5EF9"/>
    <w:rsid w:val="007D6018"/>
    <w:rsid w:val="007D6117"/>
    <w:rsid w:val="007D6239"/>
    <w:rsid w:val="007D67E7"/>
    <w:rsid w:val="007D6A1F"/>
    <w:rsid w:val="007D6D74"/>
    <w:rsid w:val="007D6F0E"/>
    <w:rsid w:val="007D6F3A"/>
    <w:rsid w:val="007D7159"/>
    <w:rsid w:val="007D7251"/>
    <w:rsid w:val="007D7391"/>
    <w:rsid w:val="007D75F3"/>
    <w:rsid w:val="007D7731"/>
    <w:rsid w:val="007D7760"/>
    <w:rsid w:val="007D78DF"/>
    <w:rsid w:val="007D7AFB"/>
    <w:rsid w:val="007D7BEE"/>
    <w:rsid w:val="007D7C53"/>
    <w:rsid w:val="007D7EA0"/>
    <w:rsid w:val="007E0030"/>
    <w:rsid w:val="007E0241"/>
    <w:rsid w:val="007E041A"/>
    <w:rsid w:val="007E0918"/>
    <w:rsid w:val="007E0ABB"/>
    <w:rsid w:val="007E0FEE"/>
    <w:rsid w:val="007E1136"/>
    <w:rsid w:val="007E133C"/>
    <w:rsid w:val="007E133E"/>
    <w:rsid w:val="007E19D0"/>
    <w:rsid w:val="007E1D5A"/>
    <w:rsid w:val="007E1D96"/>
    <w:rsid w:val="007E2454"/>
    <w:rsid w:val="007E25F5"/>
    <w:rsid w:val="007E283C"/>
    <w:rsid w:val="007E2A9F"/>
    <w:rsid w:val="007E2BF2"/>
    <w:rsid w:val="007E2C58"/>
    <w:rsid w:val="007E2D1E"/>
    <w:rsid w:val="007E2D84"/>
    <w:rsid w:val="007E30EF"/>
    <w:rsid w:val="007E314F"/>
    <w:rsid w:val="007E3176"/>
    <w:rsid w:val="007E3218"/>
    <w:rsid w:val="007E3488"/>
    <w:rsid w:val="007E34AA"/>
    <w:rsid w:val="007E35E5"/>
    <w:rsid w:val="007E3AC4"/>
    <w:rsid w:val="007E3B6C"/>
    <w:rsid w:val="007E3F83"/>
    <w:rsid w:val="007E407B"/>
    <w:rsid w:val="007E4456"/>
    <w:rsid w:val="007E4495"/>
    <w:rsid w:val="007E4AC4"/>
    <w:rsid w:val="007E4C80"/>
    <w:rsid w:val="007E4EC2"/>
    <w:rsid w:val="007E52A6"/>
    <w:rsid w:val="007E53B8"/>
    <w:rsid w:val="007E59D1"/>
    <w:rsid w:val="007E5B0E"/>
    <w:rsid w:val="007E5B33"/>
    <w:rsid w:val="007E5BBA"/>
    <w:rsid w:val="007E5D7E"/>
    <w:rsid w:val="007E5FA8"/>
    <w:rsid w:val="007E610F"/>
    <w:rsid w:val="007E6172"/>
    <w:rsid w:val="007E636C"/>
    <w:rsid w:val="007E6765"/>
    <w:rsid w:val="007E68E1"/>
    <w:rsid w:val="007E6958"/>
    <w:rsid w:val="007E6980"/>
    <w:rsid w:val="007E69E0"/>
    <w:rsid w:val="007E6B91"/>
    <w:rsid w:val="007E6E11"/>
    <w:rsid w:val="007E6EA7"/>
    <w:rsid w:val="007E7036"/>
    <w:rsid w:val="007E7069"/>
    <w:rsid w:val="007E70CA"/>
    <w:rsid w:val="007E71A9"/>
    <w:rsid w:val="007E72A7"/>
    <w:rsid w:val="007E74D6"/>
    <w:rsid w:val="007E7CCA"/>
    <w:rsid w:val="007E7CF8"/>
    <w:rsid w:val="007F0148"/>
    <w:rsid w:val="007F04ED"/>
    <w:rsid w:val="007F0556"/>
    <w:rsid w:val="007F0782"/>
    <w:rsid w:val="007F0A00"/>
    <w:rsid w:val="007F0DB7"/>
    <w:rsid w:val="007F0E3A"/>
    <w:rsid w:val="007F0E7C"/>
    <w:rsid w:val="007F0F29"/>
    <w:rsid w:val="007F10FD"/>
    <w:rsid w:val="007F1234"/>
    <w:rsid w:val="007F1385"/>
    <w:rsid w:val="007F13BB"/>
    <w:rsid w:val="007F1705"/>
    <w:rsid w:val="007F17C4"/>
    <w:rsid w:val="007F2017"/>
    <w:rsid w:val="007F2080"/>
    <w:rsid w:val="007F2088"/>
    <w:rsid w:val="007F21C7"/>
    <w:rsid w:val="007F2505"/>
    <w:rsid w:val="007F271C"/>
    <w:rsid w:val="007F27D5"/>
    <w:rsid w:val="007F2C80"/>
    <w:rsid w:val="007F2E10"/>
    <w:rsid w:val="007F2E58"/>
    <w:rsid w:val="007F2F77"/>
    <w:rsid w:val="007F2FF6"/>
    <w:rsid w:val="007F325F"/>
    <w:rsid w:val="007F35F9"/>
    <w:rsid w:val="007F385D"/>
    <w:rsid w:val="007F3A29"/>
    <w:rsid w:val="007F3A4E"/>
    <w:rsid w:val="007F3C9F"/>
    <w:rsid w:val="007F414B"/>
    <w:rsid w:val="007F4228"/>
    <w:rsid w:val="007F431A"/>
    <w:rsid w:val="007F439A"/>
    <w:rsid w:val="007F468A"/>
    <w:rsid w:val="007F482E"/>
    <w:rsid w:val="007F4F37"/>
    <w:rsid w:val="007F50FA"/>
    <w:rsid w:val="007F5407"/>
    <w:rsid w:val="007F54A1"/>
    <w:rsid w:val="007F55AD"/>
    <w:rsid w:val="007F55FA"/>
    <w:rsid w:val="007F590B"/>
    <w:rsid w:val="007F5934"/>
    <w:rsid w:val="007F5C98"/>
    <w:rsid w:val="007F6149"/>
    <w:rsid w:val="007F614A"/>
    <w:rsid w:val="007F63A4"/>
    <w:rsid w:val="007F65D9"/>
    <w:rsid w:val="007F6B12"/>
    <w:rsid w:val="007F6B75"/>
    <w:rsid w:val="007F6CC4"/>
    <w:rsid w:val="007F6CD4"/>
    <w:rsid w:val="007F6D2A"/>
    <w:rsid w:val="007F6F3E"/>
    <w:rsid w:val="007F7535"/>
    <w:rsid w:val="007F7543"/>
    <w:rsid w:val="007F77C5"/>
    <w:rsid w:val="007F78A6"/>
    <w:rsid w:val="007F7E87"/>
    <w:rsid w:val="007F7FBC"/>
    <w:rsid w:val="007F7FFC"/>
    <w:rsid w:val="0080011A"/>
    <w:rsid w:val="00800198"/>
    <w:rsid w:val="0080046D"/>
    <w:rsid w:val="00800730"/>
    <w:rsid w:val="00800D64"/>
    <w:rsid w:val="00800E1E"/>
    <w:rsid w:val="00800E2B"/>
    <w:rsid w:val="00800E7F"/>
    <w:rsid w:val="00800E9E"/>
    <w:rsid w:val="00800FAA"/>
    <w:rsid w:val="008010F2"/>
    <w:rsid w:val="008014B6"/>
    <w:rsid w:val="00801AD2"/>
    <w:rsid w:val="00802ADC"/>
    <w:rsid w:val="00802BFB"/>
    <w:rsid w:val="00803022"/>
    <w:rsid w:val="00803058"/>
    <w:rsid w:val="0080306F"/>
    <w:rsid w:val="0080329A"/>
    <w:rsid w:val="0080354C"/>
    <w:rsid w:val="00803707"/>
    <w:rsid w:val="00803880"/>
    <w:rsid w:val="0080388E"/>
    <w:rsid w:val="0080390E"/>
    <w:rsid w:val="008039FA"/>
    <w:rsid w:val="00803ABB"/>
    <w:rsid w:val="00803F4D"/>
    <w:rsid w:val="008046FE"/>
    <w:rsid w:val="00804706"/>
    <w:rsid w:val="00804F6F"/>
    <w:rsid w:val="00805969"/>
    <w:rsid w:val="00805D17"/>
    <w:rsid w:val="00806027"/>
    <w:rsid w:val="0080646D"/>
    <w:rsid w:val="00806849"/>
    <w:rsid w:val="008068BC"/>
    <w:rsid w:val="008068C3"/>
    <w:rsid w:val="00806C6D"/>
    <w:rsid w:val="00806F5B"/>
    <w:rsid w:val="00807001"/>
    <w:rsid w:val="00807214"/>
    <w:rsid w:val="00807606"/>
    <w:rsid w:val="008078E6"/>
    <w:rsid w:val="008079CC"/>
    <w:rsid w:val="00807B61"/>
    <w:rsid w:val="00807C2B"/>
    <w:rsid w:val="00810285"/>
    <w:rsid w:val="00810435"/>
    <w:rsid w:val="008106CF"/>
    <w:rsid w:val="00810904"/>
    <w:rsid w:val="00810B04"/>
    <w:rsid w:val="008110D9"/>
    <w:rsid w:val="008114B3"/>
    <w:rsid w:val="00811522"/>
    <w:rsid w:val="0081185C"/>
    <w:rsid w:val="00811B09"/>
    <w:rsid w:val="00811CA9"/>
    <w:rsid w:val="00811D7D"/>
    <w:rsid w:val="00812247"/>
    <w:rsid w:val="008124EC"/>
    <w:rsid w:val="00812546"/>
    <w:rsid w:val="008126C2"/>
    <w:rsid w:val="008127FF"/>
    <w:rsid w:val="0081294F"/>
    <w:rsid w:val="00812964"/>
    <w:rsid w:val="00812B6A"/>
    <w:rsid w:val="00812D51"/>
    <w:rsid w:val="00812E61"/>
    <w:rsid w:val="00813467"/>
    <w:rsid w:val="00813646"/>
    <w:rsid w:val="00813821"/>
    <w:rsid w:val="008138B2"/>
    <w:rsid w:val="00813EA3"/>
    <w:rsid w:val="0081432C"/>
    <w:rsid w:val="00814454"/>
    <w:rsid w:val="008148CF"/>
    <w:rsid w:val="00814D71"/>
    <w:rsid w:val="00814ECD"/>
    <w:rsid w:val="00815055"/>
    <w:rsid w:val="00815150"/>
    <w:rsid w:val="0081535B"/>
    <w:rsid w:val="008153EC"/>
    <w:rsid w:val="008159CF"/>
    <w:rsid w:val="00815C26"/>
    <w:rsid w:val="00815CFC"/>
    <w:rsid w:val="00815DB5"/>
    <w:rsid w:val="008160C6"/>
    <w:rsid w:val="00816115"/>
    <w:rsid w:val="008161FA"/>
    <w:rsid w:val="00816230"/>
    <w:rsid w:val="0081638E"/>
    <w:rsid w:val="00816461"/>
    <w:rsid w:val="00816654"/>
    <w:rsid w:val="00816E05"/>
    <w:rsid w:val="00816E40"/>
    <w:rsid w:val="00816F23"/>
    <w:rsid w:val="00816F49"/>
    <w:rsid w:val="00816F7F"/>
    <w:rsid w:val="00817049"/>
    <w:rsid w:val="00817350"/>
    <w:rsid w:val="0081739D"/>
    <w:rsid w:val="00817462"/>
    <w:rsid w:val="00817789"/>
    <w:rsid w:val="00817A39"/>
    <w:rsid w:val="00817A9F"/>
    <w:rsid w:val="00817ABA"/>
    <w:rsid w:val="00817B57"/>
    <w:rsid w:val="00817FC7"/>
    <w:rsid w:val="008203A0"/>
    <w:rsid w:val="008204BC"/>
    <w:rsid w:val="00820928"/>
    <w:rsid w:val="00820D7F"/>
    <w:rsid w:val="00820DAE"/>
    <w:rsid w:val="00820E0C"/>
    <w:rsid w:val="008213EA"/>
    <w:rsid w:val="008215B5"/>
    <w:rsid w:val="008215CB"/>
    <w:rsid w:val="00821908"/>
    <w:rsid w:val="00821AAE"/>
    <w:rsid w:val="00821D2B"/>
    <w:rsid w:val="00821FB0"/>
    <w:rsid w:val="0082213C"/>
    <w:rsid w:val="008221BB"/>
    <w:rsid w:val="00822216"/>
    <w:rsid w:val="00822243"/>
    <w:rsid w:val="00822330"/>
    <w:rsid w:val="008223B5"/>
    <w:rsid w:val="008224D0"/>
    <w:rsid w:val="008225F4"/>
    <w:rsid w:val="0082273C"/>
    <w:rsid w:val="00822858"/>
    <w:rsid w:val="00822AB8"/>
    <w:rsid w:val="00822BF9"/>
    <w:rsid w:val="00822DA4"/>
    <w:rsid w:val="00822F8F"/>
    <w:rsid w:val="00822FC2"/>
    <w:rsid w:val="0082305D"/>
    <w:rsid w:val="00823675"/>
    <w:rsid w:val="008237D0"/>
    <w:rsid w:val="008237F5"/>
    <w:rsid w:val="00823958"/>
    <w:rsid w:val="00823A87"/>
    <w:rsid w:val="00823BDE"/>
    <w:rsid w:val="00823C26"/>
    <w:rsid w:val="00823CBC"/>
    <w:rsid w:val="00823D1B"/>
    <w:rsid w:val="00823D4C"/>
    <w:rsid w:val="00823E0B"/>
    <w:rsid w:val="00823F9F"/>
    <w:rsid w:val="0082407D"/>
    <w:rsid w:val="0082443C"/>
    <w:rsid w:val="00824B28"/>
    <w:rsid w:val="00824D9E"/>
    <w:rsid w:val="00825112"/>
    <w:rsid w:val="008258CB"/>
    <w:rsid w:val="00825987"/>
    <w:rsid w:val="00825A51"/>
    <w:rsid w:val="00825B39"/>
    <w:rsid w:val="00825C7E"/>
    <w:rsid w:val="00825C9E"/>
    <w:rsid w:val="00825E1A"/>
    <w:rsid w:val="00825F0A"/>
    <w:rsid w:val="00825F13"/>
    <w:rsid w:val="00826267"/>
    <w:rsid w:val="008262EC"/>
    <w:rsid w:val="00826378"/>
    <w:rsid w:val="00826539"/>
    <w:rsid w:val="00826732"/>
    <w:rsid w:val="00826A52"/>
    <w:rsid w:val="00826D08"/>
    <w:rsid w:val="00826D1A"/>
    <w:rsid w:val="00826F16"/>
    <w:rsid w:val="008270A9"/>
    <w:rsid w:val="008277DF"/>
    <w:rsid w:val="00827AD5"/>
    <w:rsid w:val="00827BBB"/>
    <w:rsid w:val="00827BC5"/>
    <w:rsid w:val="00827C34"/>
    <w:rsid w:val="00827E04"/>
    <w:rsid w:val="0083008D"/>
    <w:rsid w:val="00830203"/>
    <w:rsid w:val="00830A98"/>
    <w:rsid w:val="00830AE1"/>
    <w:rsid w:val="00830BAE"/>
    <w:rsid w:val="00830C08"/>
    <w:rsid w:val="00830FCE"/>
    <w:rsid w:val="00831002"/>
    <w:rsid w:val="008310FF"/>
    <w:rsid w:val="00831201"/>
    <w:rsid w:val="00831231"/>
    <w:rsid w:val="008312E4"/>
    <w:rsid w:val="0083130D"/>
    <w:rsid w:val="00831397"/>
    <w:rsid w:val="00831413"/>
    <w:rsid w:val="008314CC"/>
    <w:rsid w:val="00831613"/>
    <w:rsid w:val="008316AF"/>
    <w:rsid w:val="00831828"/>
    <w:rsid w:val="0083182F"/>
    <w:rsid w:val="008319BC"/>
    <w:rsid w:val="00831AB7"/>
    <w:rsid w:val="00831ACC"/>
    <w:rsid w:val="00831BD7"/>
    <w:rsid w:val="00831C54"/>
    <w:rsid w:val="00831FB4"/>
    <w:rsid w:val="00832017"/>
    <w:rsid w:val="00832429"/>
    <w:rsid w:val="00832962"/>
    <w:rsid w:val="00832F97"/>
    <w:rsid w:val="00833195"/>
    <w:rsid w:val="008334C7"/>
    <w:rsid w:val="008338B6"/>
    <w:rsid w:val="008338F1"/>
    <w:rsid w:val="008339BB"/>
    <w:rsid w:val="00833AA6"/>
    <w:rsid w:val="00833BE4"/>
    <w:rsid w:val="00833C73"/>
    <w:rsid w:val="00833D09"/>
    <w:rsid w:val="00833D36"/>
    <w:rsid w:val="00833DDB"/>
    <w:rsid w:val="00833E12"/>
    <w:rsid w:val="008340D6"/>
    <w:rsid w:val="00834280"/>
    <w:rsid w:val="00834550"/>
    <w:rsid w:val="00834652"/>
    <w:rsid w:val="008349BA"/>
    <w:rsid w:val="00834A15"/>
    <w:rsid w:val="00834A6D"/>
    <w:rsid w:val="00834B99"/>
    <w:rsid w:val="00834CDE"/>
    <w:rsid w:val="00834E87"/>
    <w:rsid w:val="00834FB8"/>
    <w:rsid w:val="00835012"/>
    <w:rsid w:val="008356CD"/>
    <w:rsid w:val="0083573D"/>
    <w:rsid w:val="00835AB6"/>
    <w:rsid w:val="00835B9D"/>
    <w:rsid w:val="00835E61"/>
    <w:rsid w:val="00835E6B"/>
    <w:rsid w:val="00835F47"/>
    <w:rsid w:val="00835FED"/>
    <w:rsid w:val="00836047"/>
    <w:rsid w:val="00836118"/>
    <w:rsid w:val="00836459"/>
    <w:rsid w:val="0083653C"/>
    <w:rsid w:val="008365C7"/>
    <w:rsid w:val="0083687D"/>
    <w:rsid w:val="00836889"/>
    <w:rsid w:val="00836914"/>
    <w:rsid w:val="00837076"/>
    <w:rsid w:val="00837233"/>
    <w:rsid w:val="0083747A"/>
    <w:rsid w:val="0083765C"/>
    <w:rsid w:val="0083781A"/>
    <w:rsid w:val="0083785C"/>
    <w:rsid w:val="00837914"/>
    <w:rsid w:val="00837C63"/>
    <w:rsid w:val="00837D58"/>
    <w:rsid w:val="008400BD"/>
    <w:rsid w:val="00840492"/>
    <w:rsid w:val="008404E6"/>
    <w:rsid w:val="00840637"/>
    <w:rsid w:val="008409FC"/>
    <w:rsid w:val="00840B5C"/>
    <w:rsid w:val="00840BF2"/>
    <w:rsid w:val="00841168"/>
    <w:rsid w:val="008411EE"/>
    <w:rsid w:val="00841289"/>
    <w:rsid w:val="0084139B"/>
    <w:rsid w:val="00841420"/>
    <w:rsid w:val="00841A7F"/>
    <w:rsid w:val="00841B7C"/>
    <w:rsid w:val="00841D62"/>
    <w:rsid w:val="00842364"/>
    <w:rsid w:val="00842A15"/>
    <w:rsid w:val="00842A6E"/>
    <w:rsid w:val="00842A93"/>
    <w:rsid w:val="00842D05"/>
    <w:rsid w:val="00842ED2"/>
    <w:rsid w:val="00842F8B"/>
    <w:rsid w:val="00842FE9"/>
    <w:rsid w:val="0084387D"/>
    <w:rsid w:val="008439D1"/>
    <w:rsid w:val="00843A06"/>
    <w:rsid w:val="00843A76"/>
    <w:rsid w:val="00843B4C"/>
    <w:rsid w:val="00843B4E"/>
    <w:rsid w:val="00844078"/>
    <w:rsid w:val="008440BA"/>
    <w:rsid w:val="0084414B"/>
    <w:rsid w:val="008443E4"/>
    <w:rsid w:val="008444AE"/>
    <w:rsid w:val="008444C6"/>
    <w:rsid w:val="008446D5"/>
    <w:rsid w:val="008448CA"/>
    <w:rsid w:val="00844953"/>
    <w:rsid w:val="00844D2C"/>
    <w:rsid w:val="00845949"/>
    <w:rsid w:val="00845B26"/>
    <w:rsid w:val="00846148"/>
    <w:rsid w:val="008462C2"/>
    <w:rsid w:val="00846471"/>
    <w:rsid w:val="00846781"/>
    <w:rsid w:val="008467F8"/>
    <w:rsid w:val="00846B15"/>
    <w:rsid w:val="00846BFC"/>
    <w:rsid w:val="00846F04"/>
    <w:rsid w:val="00846FA0"/>
    <w:rsid w:val="008471CD"/>
    <w:rsid w:val="00847367"/>
    <w:rsid w:val="0084767C"/>
    <w:rsid w:val="00850081"/>
    <w:rsid w:val="0085025E"/>
    <w:rsid w:val="0085047F"/>
    <w:rsid w:val="008506F4"/>
    <w:rsid w:val="00850877"/>
    <w:rsid w:val="00850D17"/>
    <w:rsid w:val="008516D0"/>
    <w:rsid w:val="008516E0"/>
    <w:rsid w:val="008518CB"/>
    <w:rsid w:val="00851901"/>
    <w:rsid w:val="00851958"/>
    <w:rsid w:val="00851A88"/>
    <w:rsid w:val="00851F54"/>
    <w:rsid w:val="00852087"/>
    <w:rsid w:val="0085226E"/>
    <w:rsid w:val="008524C2"/>
    <w:rsid w:val="0085257C"/>
    <w:rsid w:val="00852673"/>
    <w:rsid w:val="00852790"/>
    <w:rsid w:val="008527F3"/>
    <w:rsid w:val="0085289D"/>
    <w:rsid w:val="0085298B"/>
    <w:rsid w:val="008529A8"/>
    <w:rsid w:val="008529FC"/>
    <w:rsid w:val="00852A35"/>
    <w:rsid w:val="00852CD8"/>
    <w:rsid w:val="008535F9"/>
    <w:rsid w:val="00853A27"/>
    <w:rsid w:val="00853A37"/>
    <w:rsid w:val="00853A7E"/>
    <w:rsid w:val="00853EA5"/>
    <w:rsid w:val="00853F69"/>
    <w:rsid w:val="0085400C"/>
    <w:rsid w:val="00854020"/>
    <w:rsid w:val="00854033"/>
    <w:rsid w:val="00854092"/>
    <w:rsid w:val="0085422B"/>
    <w:rsid w:val="0085437A"/>
    <w:rsid w:val="008543D2"/>
    <w:rsid w:val="00854552"/>
    <w:rsid w:val="00854CD4"/>
    <w:rsid w:val="00854DCE"/>
    <w:rsid w:val="0085586A"/>
    <w:rsid w:val="00855972"/>
    <w:rsid w:val="00855CAB"/>
    <w:rsid w:val="0085616F"/>
    <w:rsid w:val="008561B3"/>
    <w:rsid w:val="0085621A"/>
    <w:rsid w:val="00856376"/>
    <w:rsid w:val="008569EB"/>
    <w:rsid w:val="00856C2A"/>
    <w:rsid w:val="00856FA4"/>
    <w:rsid w:val="00857142"/>
    <w:rsid w:val="00857257"/>
    <w:rsid w:val="008572C5"/>
    <w:rsid w:val="00857841"/>
    <w:rsid w:val="008579C2"/>
    <w:rsid w:val="00857A87"/>
    <w:rsid w:val="00857B0D"/>
    <w:rsid w:val="00857B16"/>
    <w:rsid w:val="00857B44"/>
    <w:rsid w:val="00857BEA"/>
    <w:rsid w:val="00857C0B"/>
    <w:rsid w:val="00857C24"/>
    <w:rsid w:val="00857FDF"/>
    <w:rsid w:val="008605D5"/>
    <w:rsid w:val="008608B5"/>
    <w:rsid w:val="00860ABF"/>
    <w:rsid w:val="008611A4"/>
    <w:rsid w:val="008612E2"/>
    <w:rsid w:val="008613BA"/>
    <w:rsid w:val="00861570"/>
    <w:rsid w:val="00861ADE"/>
    <w:rsid w:val="00861BC6"/>
    <w:rsid w:val="00861EEE"/>
    <w:rsid w:val="00862336"/>
    <w:rsid w:val="00862387"/>
    <w:rsid w:val="008623EF"/>
    <w:rsid w:val="008626DF"/>
    <w:rsid w:val="0086274F"/>
    <w:rsid w:val="008628D9"/>
    <w:rsid w:val="00862A80"/>
    <w:rsid w:val="00862AF0"/>
    <w:rsid w:val="00862F6E"/>
    <w:rsid w:val="00862FCF"/>
    <w:rsid w:val="0086308E"/>
    <w:rsid w:val="0086318A"/>
    <w:rsid w:val="008634D2"/>
    <w:rsid w:val="00863522"/>
    <w:rsid w:val="00863624"/>
    <w:rsid w:val="00863644"/>
    <w:rsid w:val="008639CC"/>
    <w:rsid w:val="00863E2D"/>
    <w:rsid w:val="00864016"/>
    <w:rsid w:val="0086419A"/>
    <w:rsid w:val="00864390"/>
    <w:rsid w:val="008644DE"/>
    <w:rsid w:val="00864556"/>
    <w:rsid w:val="00864602"/>
    <w:rsid w:val="008646F8"/>
    <w:rsid w:val="0086490B"/>
    <w:rsid w:val="00864BCB"/>
    <w:rsid w:val="00864D1C"/>
    <w:rsid w:val="008651DE"/>
    <w:rsid w:val="00865462"/>
    <w:rsid w:val="0086555F"/>
    <w:rsid w:val="0086558F"/>
    <w:rsid w:val="0086578C"/>
    <w:rsid w:val="0086598F"/>
    <w:rsid w:val="00865A9C"/>
    <w:rsid w:val="00865AD3"/>
    <w:rsid w:val="00865D06"/>
    <w:rsid w:val="00865E28"/>
    <w:rsid w:val="00865F99"/>
    <w:rsid w:val="00865FE4"/>
    <w:rsid w:val="00866016"/>
    <w:rsid w:val="00866018"/>
    <w:rsid w:val="00866225"/>
    <w:rsid w:val="0086635B"/>
    <w:rsid w:val="00866484"/>
    <w:rsid w:val="00866520"/>
    <w:rsid w:val="008666F8"/>
    <w:rsid w:val="00866882"/>
    <w:rsid w:val="00866BB6"/>
    <w:rsid w:val="00866EA8"/>
    <w:rsid w:val="00867018"/>
    <w:rsid w:val="008670D6"/>
    <w:rsid w:val="00867247"/>
    <w:rsid w:val="008675AA"/>
    <w:rsid w:val="008675C6"/>
    <w:rsid w:val="008677BC"/>
    <w:rsid w:val="00867A6E"/>
    <w:rsid w:val="00867AC4"/>
    <w:rsid w:val="00867E8A"/>
    <w:rsid w:val="00867FDA"/>
    <w:rsid w:val="008700FB"/>
    <w:rsid w:val="0087023B"/>
    <w:rsid w:val="0087027C"/>
    <w:rsid w:val="00870617"/>
    <w:rsid w:val="0087067B"/>
    <w:rsid w:val="008709DC"/>
    <w:rsid w:val="00870AD5"/>
    <w:rsid w:val="00870EBB"/>
    <w:rsid w:val="0087166B"/>
    <w:rsid w:val="008717AB"/>
    <w:rsid w:val="008718B8"/>
    <w:rsid w:val="00871D79"/>
    <w:rsid w:val="00871F3A"/>
    <w:rsid w:val="008722B8"/>
    <w:rsid w:val="0087292A"/>
    <w:rsid w:val="00872B0B"/>
    <w:rsid w:val="00872E3B"/>
    <w:rsid w:val="00873030"/>
    <w:rsid w:val="00873097"/>
    <w:rsid w:val="008730AC"/>
    <w:rsid w:val="00873822"/>
    <w:rsid w:val="00873B03"/>
    <w:rsid w:val="00873CC9"/>
    <w:rsid w:val="00873F9D"/>
    <w:rsid w:val="00874086"/>
    <w:rsid w:val="008742A4"/>
    <w:rsid w:val="008743AA"/>
    <w:rsid w:val="008743EE"/>
    <w:rsid w:val="00874881"/>
    <w:rsid w:val="00874D83"/>
    <w:rsid w:val="00874F17"/>
    <w:rsid w:val="00874FDE"/>
    <w:rsid w:val="0087538D"/>
    <w:rsid w:val="008759D4"/>
    <w:rsid w:val="00875CC9"/>
    <w:rsid w:val="00875DC2"/>
    <w:rsid w:val="00875F73"/>
    <w:rsid w:val="00876063"/>
    <w:rsid w:val="008760F7"/>
    <w:rsid w:val="00876361"/>
    <w:rsid w:val="008765CB"/>
    <w:rsid w:val="008769FD"/>
    <w:rsid w:val="00876ADB"/>
    <w:rsid w:val="00876AE1"/>
    <w:rsid w:val="00876D04"/>
    <w:rsid w:val="00877536"/>
    <w:rsid w:val="0087775F"/>
    <w:rsid w:val="008777C5"/>
    <w:rsid w:val="0087788F"/>
    <w:rsid w:val="00877A2B"/>
    <w:rsid w:val="00877DA6"/>
    <w:rsid w:val="008802CF"/>
    <w:rsid w:val="008804A4"/>
    <w:rsid w:val="008804B3"/>
    <w:rsid w:val="00880606"/>
    <w:rsid w:val="0088065A"/>
    <w:rsid w:val="008808D0"/>
    <w:rsid w:val="00880CA6"/>
    <w:rsid w:val="00880D82"/>
    <w:rsid w:val="00880E06"/>
    <w:rsid w:val="00881040"/>
    <w:rsid w:val="00881100"/>
    <w:rsid w:val="00881867"/>
    <w:rsid w:val="00881CE1"/>
    <w:rsid w:val="00881D06"/>
    <w:rsid w:val="008822F8"/>
    <w:rsid w:val="008825F8"/>
    <w:rsid w:val="00882786"/>
    <w:rsid w:val="00882D90"/>
    <w:rsid w:val="00882FD9"/>
    <w:rsid w:val="00883090"/>
    <w:rsid w:val="008830DD"/>
    <w:rsid w:val="00883147"/>
    <w:rsid w:val="0088318E"/>
    <w:rsid w:val="008831A7"/>
    <w:rsid w:val="008832DF"/>
    <w:rsid w:val="00883D30"/>
    <w:rsid w:val="00884195"/>
    <w:rsid w:val="00884381"/>
    <w:rsid w:val="008843B0"/>
    <w:rsid w:val="0088465F"/>
    <w:rsid w:val="008848C7"/>
    <w:rsid w:val="008849DB"/>
    <w:rsid w:val="00884CCB"/>
    <w:rsid w:val="00884D5C"/>
    <w:rsid w:val="00884D76"/>
    <w:rsid w:val="00884E9B"/>
    <w:rsid w:val="00885044"/>
    <w:rsid w:val="0088504C"/>
    <w:rsid w:val="0088546B"/>
    <w:rsid w:val="008856D5"/>
    <w:rsid w:val="008856E5"/>
    <w:rsid w:val="0088571C"/>
    <w:rsid w:val="008858D4"/>
    <w:rsid w:val="00885915"/>
    <w:rsid w:val="00885974"/>
    <w:rsid w:val="00885B1A"/>
    <w:rsid w:val="00885B2B"/>
    <w:rsid w:val="00885D79"/>
    <w:rsid w:val="00886402"/>
    <w:rsid w:val="008865A6"/>
    <w:rsid w:val="0088662B"/>
    <w:rsid w:val="0088667A"/>
    <w:rsid w:val="008866E6"/>
    <w:rsid w:val="008867E0"/>
    <w:rsid w:val="00886D90"/>
    <w:rsid w:val="0088716F"/>
    <w:rsid w:val="00887605"/>
    <w:rsid w:val="00887771"/>
    <w:rsid w:val="0088797C"/>
    <w:rsid w:val="00887E41"/>
    <w:rsid w:val="00890085"/>
    <w:rsid w:val="00890445"/>
    <w:rsid w:val="00890A6E"/>
    <w:rsid w:val="0089136C"/>
    <w:rsid w:val="008913B0"/>
    <w:rsid w:val="0089154D"/>
    <w:rsid w:val="00891970"/>
    <w:rsid w:val="00891AFE"/>
    <w:rsid w:val="008921C4"/>
    <w:rsid w:val="008924EF"/>
    <w:rsid w:val="00892CD7"/>
    <w:rsid w:val="00892DBC"/>
    <w:rsid w:val="00892F87"/>
    <w:rsid w:val="008937CE"/>
    <w:rsid w:val="00893872"/>
    <w:rsid w:val="0089391E"/>
    <w:rsid w:val="00893F43"/>
    <w:rsid w:val="00893F8C"/>
    <w:rsid w:val="00894996"/>
    <w:rsid w:val="00894AE4"/>
    <w:rsid w:val="00894B27"/>
    <w:rsid w:val="00894B4E"/>
    <w:rsid w:val="00894B86"/>
    <w:rsid w:val="00894C78"/>
    <w:rsid w:val="00894E9A"/>
    <w:rsid w:val="00894F92"/>
    <w:rsid w:val="0089500F"/>
    <w:rsid w:val="0089536B"/>
    <w:rsid w:val="0089550F"/>
    <w:rsid w:val="00895A2C"/>
    <w:rsid w:val="00895EC6"/>
    <w:rsid w:val="00896467"/>
    <w:rsid w:val="0089674C"/>
    <w:rsid w:val="008967E8"/>
    <w:rsid w:val="008968DA"/>
    <w:rsid w:val="0089691D"/>
    <w:rsid w:val="00896A7F"/>
    <w:rsid w:val="00896A9F"/>
    <w:rsid w:val="00896C0F"/>
    <w:rsid w:val="00896C7C"/>
    <w:rsid w:val="00896CAE"/>
    <w:rsid w:val="00896EBC"/>
    <w:rsid w:val="008973EF"/>
    <w:rsid w:val="008979FE"/>
    <w:rsid w:val="00897B37"/>
    <w:rsid w:val="00897E08"/>
    <w:rsid w:val="00897EE4"/>
    <w:rsid w:val="00897F67"/>
    <w:rsid w:val="00899E26"/>
    <w:rsid w:val="008A01DE"/>
    <w:rsid w:val="008A03E2"/>
    <w:rsid w:val="008A0555"/>
    <w:rsid w:val="008A05DF"/>
    <w:rsid w:val="008A060A"/>
    <w:rsid w:val="008A0640"/>
    <w:rsid w:val="008A08BF"/>
    <w:rsid w:val="008A0DD4"/>
    <w:rsid w:val="008A0FF6"/>
    <w:rsid w:val="008A107F"/>
    <w:rsid w:val="008A179F"/>
    <w:rsid w:val="008A17A1"/>
    <w:rsid w:val="008A195C"/>
    <w:rsid w:val="008A19ED"/>
    <w:rsid w:val="008A1C9F"/>
    <w:rsid w:val="008A1E20"/>
    <w:rsid w:val="008A1E78"/>
    <w:rsid w:val="008A1F51"/>
    <w:rsid w:val="008A2449"/>
    <w:rsid w:val="008A24CE"/>
    <w:rsid w:val="008A258C"/>
    <w:rsid w:val="008A25FB"/>
    <w:rsid w:val="008A26CD"/>
    <w:rsid w:val="008A2A77"/>
    <w:rsid w:val="008A2A90"/>
    <w:rsid w:val="008A2C28"/>
    <w:rsid w:val="008A2CCF"/>
    <w:rsid w:val="008A2CFC"/>
    <w:rsid w:val="008A2F34"/>
    <w:rsid w:val="008A2FC2"/>
    <w:rsid w:val="008A311A"/>
    <w:rsid w:val="008A3297"/>
    <w:rsid w:val="008A3440"/>
    <w:rsid w:val="008A35E0"/>
    <w:rsid w:val="008A39F7"/>
    <w:rsid w:val="008A3A0B"/>
    <w:rsid w:val="008A3B48"/>
    <w:rsid w:val="008A401D"/>
    <w:rsid w:val="008A40CC"/>
    <w:rsid w:val="008A463F"/>
    <w:rsid w:val="008A48B7"/>
    <w:rsid w:val="008A4A75"/>
    <w:rsid w:val="008A4B7D"/>
    <w:rsid w:val="008A5137"/>
    <w:rsid w:val="008A5218"/>
    <w:rsid w:val="008A531E"/>
    <w:rsid w:val="008A5BCA"/>
    <w:rsid w:val="008A5E00"/>
    <w:rsid w:val="008A5E35"/>
    <w:rsid w:val="008A640D"/>
    <w:rsid w:val="008A674B"/>
    <w:rsid w:val="008A694E"/>
    <w:rsid w:val="008A69C1"/>
    <w:rsid w:val="008A6ACE"/>
    <w:rsid w:val="008A6CC6"/>
    <w:rsid w:val="008A6EFA"/>
    <w:rsid w:val="008A7446"/>
    <w:rsid w:val="008A7680"/>
    <w:rsid w:val="008A77DB"/>
    <w:rsid w:val="008A7837"/>
    <w:rsid w:val="008A7981"/>
    <w:rsid w:val="008A7B78"/>
    <w:rsid w:val="008A7BDA"/>
    <w:rsid w:val="008A7D3D"/>
    <w:rsid w:val="008B01A7"/>
    <w:rsid w:val="008B037A"/>
    <w:rsid w:val="008B0591"/>
    <w:rsid w:val="008B07A2"/>
    <w:rsid w:val="008B07D2"/>
    <w:rsid w:val="008B07E4"/>
    <w:rsid w:val="008B0864"/>
    <w:rsid w:val="008B09BA"/>
    <w:rsid w:val="008B0A10"/>
    <w:rsid w:val="008B0AAD"/>
    <w:rsid w:val="008B0BA7"/>
    <w:rsid w:val="008B0D9E"/>
    <w:rsid w:val="008B0F5E"/>
    <w:rsid w:val="008B10F3"/>
    <w:rsid w:val="008B1128"/>
    <w:rsid w:val="008B118F"/>
    <w:rsid w:val="008B12B4"/>
    <w:rsid w:val="008B1344"/>
    <w:rsid w:val="008B1372"/>
    <w:rsid w:val="008B13BB"/>
    <w:rsid w:val="008B1ECF"/>
    <w:rsid w:val="008B1FD2"/>
    <w:rsid w:val="008B20BC"/>
    <w:rsid w:val="008B219E"/>
    <w:rsid w:val="008B22D8"/>
    <w:rsid w:val="008B2A1E"/>
    <w:rsid w:val="008B2A7F"/>
    <w:rsid w:val="008B2AFC"/>
    <w:rsid w:val="008B2D70"/>
    <w:rsid w:val="008B2F2B"/>
    <w:rsid w:val="008B3000"/>
    <w:rsid w:val="008B306B"/>
    <w:rsid w:val="008B30FF"/>
    <w:rsid w:val="008B3387"/>
    <w:rsid w:val="008B3424"/>
    <w:rsid w:val="008B3569"/>
    <w:rsid w:val="008B3699"/>
    <w:rsid w:val="008B3774"/>
    <w:rsid w:val="008B3985"/>
    <w:rsid w:val="008B3B09"/>
    <w:rsid w:val="008B3DCB"/>
    <w:rsid w:val="008B3E06"/>
    <w:rsid w:val="008B4638"/>
    <w:rsid w:val="008B464A"/>
    <w:rsid w:val="008B479A"/>
    <w:rsid w:val="008B48A5"/>
    <w:rsid w:val="008B4B20"/>
    <w:rsid w:val="008B4CC5"/>
    <w:rsid w:val="008B4F3A"/>
    <w:rsid w:val="008B500F"/>
    <w:rsid w:val="008B50E1"/>
    <w:rsid w:val="008B51B1"/>
    <w:rsid w:val="008B52DF"/>
    <w:rsid w:val="008B5526"/>
    <w:rsid w:val="008B557D"/>
    <w:rsid w:val="008B56FA"/>
    <w:rsid w:val="008B5DE4"/>
    <w:rsid w:val="008B5EB1"/>
    <w:rsid w:val="008B5F2A"/>
    <w:rsid w:val="008B5F34"/>
    <w:rsid w:val="008B606E"/>
    <w:rsid w:val="008B6347"/>
    <w:rsid w:val="008B63BA"/>
    <w:rsid w:val="008B6736"/>
    <w:rsid w:val="008B6764"/>
    <w:rsid w:val="008B67C5"/>
    <w:rsid w:val="008B6806"/>
    <w:rsid w:val="008B680D"/>
    <w:rsid w:val="008B6DDA"/>
    <w:rsid w:val="008B6EAA"/>
    <w:rsid w:val="008B7012"/>
    <w:rsid w:val="008B7216"/>
    <w:rsid w:val="008B7218"/>
    <w:rsid w:val="008B727E"/>
    <w:rsid w:val="008B72BE"/>
    <w:rsid w:val="008B73C4"/>
    <w:rsid w:val="008B7512"/>
    <w:rsid w:val="008B75AF"/>
    <w:rsid w:val="008B7AF7"/>
    <w:rsid w:val="008C0018"/>
    <w:rsid w:val="008C02D7"/>
    <w:rsid w:val="008C03B4"/>
    <w:rsid w:val="008C047A"/>
    <w:rsid w:val="008C08B8"/>
    <w:rsid w:val="008C0B0A"/>
    <w:rsid w:val="008C0B5D"/>
    <w:rsid w:val="008C0CA7"/>
    <w:rsid w:val="008C0CA8"/>
    <w:rsid w:val="008C0E5B"/>
    <w:rsid w:val="008C0E6A"/>
    <w:rsid w:val="008C0F09"/>
    <w:rsid w:val="008C0F16"/>
    <w:rsid w:val="008C10A2"/>
    <w:rsid w:val="008C10E4"/>
    <w:rsid w:val="008C111D"/>
    <w:rsid w:val="008C116F"/>
    <w:rsid w:val="008C14EF"/>
    <w:rsid w:val="008C15DA"/>
    <w:rsid w:val="008C1DDF"/>
    <w:rsid w:val="008C1FBC"/>
    <w:rsid w:val="008C20E3"/>
    <w:rsid w:val="008C217D"/>
    <w:rsid w:val="008C21DB"/>
    <w:rsid w:val="008C2432"/>
    <w:rsid w:val="008C2465"/>
    <w:rsid w:val="008C278D"/>
    <w:rsid w:val="008C2817"/>
    <w:rsid w:val="008C297B"/>
    <w:rsid w:val="008C2AC7"/>
    <w:rsid w:val="008C3199"/>
    <w:rsid w:val="008C31DE"/>
    <w:rsid w:val="008C3557"/>
    <w:rsid w:val="008C3661"/>
    <w:rsid w:val="008C395E"/>
    <w:rsid w:val="008C3A27"/>
    <w:rsid w:val="008C3ABC"/>
    <w:rsid w:val="008C3B32"/>
    <w:rsid w:val="008C3CB7"/>
    <w:rsid w:val="008C3D08"/>
    <w:rsid w:val="008C3FD0"/>
    <w:rsid w:val="008C400A"/>
    <w:rsid w:val="008C4179"/>
    <w:rsid w:val="008C42AE"/>
    <w:rsid w:val="008C42B5"/>
    <w:rsid w:val="008C446F"/>
    <w:rsid w:val="008C45D1"/>
    <w:rsid w:val="008C4C36"/>
    <w:rsid w:val="008C4E16"/>
    <w:rsid w:val="008C55BE"/>
    <w:rsid w:val="008C56D1"/>
    <w:rsid w:val="008C59A2"/>
    <w:rsid w:val="008C614B"/>
    <w:rsid w:val="008C6466"/>
    <w:rsid w:val="008C64A4"/>
    <w:rsid w:val="008C6504"/>
    <w:rsid w:val="008C66EC"/>
    <w:rsid w:val="008C67D6"/>
    <w:rsid w:val="008C6811"/>
    <w:rsid w:val="008C6CD2"/>
    <w:rsid w:val="008C6F19"/>
    <w:rsid w:val="008C6F41"/>
    <w:rsid w:val="008C7149"/>
    <w:rsid w:val="008C7317"/>
    <w:rsid w:val="008C7413"/>
    <w:rsid w:val="008C765A"/>
    <w:rsid w:val="008C7719"/>
    <w:rsid w:val="008C7737"/>
    <w:rsid w:val="008C7823"/>
    <w:rsid w:val="008C7AA2"/>
    <w:rsid w:val="008C7C80"/>
    <w:rsid w:val="008D0080"/>
    <w:rsid w:val="008D03C4"/>
    <w:rsid w:val="008D0A63"/>
    <w:rsid w:val="008D144A"/>
    <w:rsid w:val="008D1598"/>
    <w:rsid w:val="008D16B7"/>
    <w:rsid w:val="008D218B"/>
    <w:rsid w:val="008D222A"/>
    <w:rsid w:val="008D24CD"/>
    <w:rsid w:val="008D2B55"/>
    <w:rsid w:val="008D2C4F"/>
    <w:rsid w:val="008D2D54"/>
    <w:rsid w:val="008D3010"/>
    <w:rsid w:val="008D30F4"/>
    <w:rsid w:val="008D3130"/>
    <w:rsid w:val="008D347F"/>
    <w:rsid w:val="008D3608"/>
    <w:rsid w:val="008D3863"/>
    <w:rsid w:val="008D39C8"/>
    <w:rsid w:val="008D3AE9"/>
    <w:rsid w:val="008D3C8A"/>
    <w:rsid w:val="008D3C8C"/>
    <w:rsid w:val="008D3DCA"/>
    <w:rsid w:val="008D424C"/>
    <w:rsid w:val="008D4262"/>
    <w:rsid w:val="008D45B5"/>
    <w:rsid w:val="008D4663"/>
    <w:rsid w:val="008D4864"/>
    <w:rsid w:val="008D4865"/>
    <w:rsid w:val="008D4DBD"/>
    <w:rsid w:val="008D4DF7"/>
    <w:rsid w:val="008D4F9E"/>
    <w:rsid w:val="008D4FF9"/>
    <w:rsid w:val="008D516F"/>
    <w:rsid w:val="008D5212"/>
    <w:rsid w:val="008D523F"/>
    <w:rsid w:val="008D542D"/>
    <w:rsid w:val="008D55B8"/>
    <w:rsid w:val="008D5833"/>
    <w:rsid w:val="008D5E2B"/>
    <w:rsid w:val="008D6853"/>
    <w:rsid w:val="008D6A93"/>
    <w:rsid w:val="008D6EE0"/>
    <w:rsid w:val="008D7173"/>
    <w:rsid w:val="008D7192"/>
    <w:rsid w:val="008D7AF4"/>
    <w:rsid w:val="008D7B50"/>
    <w:rsid w:val="008D7B55"/>
    <w:rsid w:val="008D7B62"/>
    <w:rsid w:val="008D7E17"/>
    <w:rsid w:val="008D7FB2"/>
    <w:rsid w:val="008E0203"/>
    <w:rsid w:val="008E0261"/>
    <w:rsid w:val="008E0463"/>
    <w:rsid w:val="008E0546"/>
    <w:rsid w:val="008E0576"/>
    <w:rsid w:val="008E09C5"/>
    <w:rsid w:val="008E09E0"/>
    <w:rsid w:val="008E0A6C"/>
    <w:rsid w:val="008E0A8A"/>
    <w:rsid w:val="008E1065"/>
    <w:rsid w:val="008E1628"/>
    <w:rsid w:val="008E163D"/>
    <w:rsid w:val="008E1843"/>
    <w:rsid w:val="008E1881"/>
    <w:rsid w:val="008E1DA4"/>
    <w:rsid w:val="008E1DC4"/>
    <w:rsid w:val="008E1E42"/>
    <w:rsid w:val="008E1ECA"/>
    <w:rsid w:val="008E2175"/>
    <w:rsid w:val="008E2409"/>
    <w:rsid w:val="008E2476"/>
    <w:rsid w:val="008E2954"/>
    <w:rsid w:val="008E2B3B"/>
    <w:rsid w:val="008E30D4"/>
    <w:rsid w:val="008E33A6"/>
    <w:rsid w:val="008E3545"/>
    <w:rsid w:val="008E371C"/>
    <w:rsid w:val="008E387D"/>
    <w:rsid w:val="008E38B1"/>
    <w:rsid w:val="008E3D92"/>
    <w:rsid w:val="008E3E07"/>
    <w:rsid w:val="008E4546"/>
    <w:rsid w:val="008E4A1A"/>
    <w:rsid w:val="008E4A6D"/>
    <w:rsid w:val="008E4C41"/>
    <w:rsid w:val="008E4E39"/>
    <w:rsid w:val="008E4FD5"/>
    <w:rsid w:val="008E5546"/>
    <w:rsid w:val="008E563F"/>
    <w:rsid w:val="008E565B"/>
    <w:rsid w:val="008E5692"/>
    <w:rsid w:val="008E5949"/>
    <w:rsid w:val="008E5D27"/>
    <w:rsid w:val="008E5E7F"/>
    <w:rsid w:val="008E5F59"/>
    <w:rsid w:val="008E5F6C"/>
    <w:rsid w:val="008E6674"/>
    <w:rsid w:val="008E699C"/>
    <w:rsid w:val="008E69F4"/>
    <w:rsid w:val="008E6AE6"/>
    <w:rsid w:val="008E6B91"/>
    <w:rsid w:val="008E6E77"/>
    <w:rsid w:val="008E6EC4"/>
    <w:rsid w:val="008E6FFD"/>
    <w:rsid w:val="008F0001"/>
    <w:rsid w:val="008F0116"/>
    <w:rsid w:val="008F04F1"/>
    <w:rsid w:val="008F0600"/>
    <w:rsid w:val="008F084D"/>
    <w:rsid w:val="008F0ABD"/>
    <w:rsid w:val="008F0BEB"/>
    <w:rsid w:val="008F0E21"/>
    <w:rsid w:val="008F13E6"/>
    <w:rsid w:val="008F143D"/>
    <w:rsid w:val="008F17CF"/>
    <w:rsid w:val="008F19A4"/>
    <w:rsid w:val="008F1A3D"/>
    <w:rsid w:val="008F1BCA"/>
    <w:rsid w:val="008F1BFA"/>
    <w:rsid w:val="008F1BFF"/>
    <w:rsid w:val="008F1F3A"/>
    <w:rsid w:val="008F263A"/>
    <w:rsid w:val="008F26F8"/>
    <w:rsid w:val="008F271E"/>
    <w:rsid w:val="008F283C"/>
    <w:rsid w:val="008F2AAE"/>
    <w:rsid w:val="008F2ACC"/>
    <w:rsid w:val="008F2B6F"/>
    <w:rsid w:val="008F2C03"/>
    <w:rsid w:val="008F2CB0"/>
    <w:rsid w:val="008F33DD"/>
    <w:rsid w:val="008F3572"/>
    <w:rsid w:val="008F3575"/>
    <w:rsid w:val="008F377A"/>
    <w:rsid w:val="008F3933"/>
    <w:rsid w:val="008F3AC8"/>
    <w:rsid w:val="008F3F3D"/>
    <w:rsid w:val="008F4093"/>
    <w:rsid w:val="008F461C"/>
    <w:rsid w:val="008F46AB"/>
    <w:rsid w:val="008F48C4"/>
    <w:rsid w:val="008F4FCA"/>
    <w:rsid w:val="008F5117"/>
    <w:rsid w:val="008F51D4"/>
    <w:rsid w:val="008F5819"/>
    <w:rsid w:val="008F5996"/>
    <w:rsid w:val="008F5ABD"/>
    <w:rsid w:val="008F6182"/>
    <w:rsid w:val="008F62F9"/>
    <w:rsid w:val="008F63ED"/>
    <w:rsid w:val="008F6689"/>
    <w:rsid w:val="008F68DD"/>
    <w:rsid w:val="008F6B7E"/>
    <w:rsid w:val="008F6C5D"/>
    <w:rsid w:val="008F7203"/>
    <w:rsid w:val="008F7849"/>
    <w:rsid w:val="008F78E0"/>
    <w:rsid w:val="008F7AE8"/>
    <w:rsid w:val="008F7B76"/>
    <w:rsid w:val="008F7D87"/>
    <w:rsid w:val="008F7EDB"/>
    <w:rsid w:val="009003CB"/>
    <w:rsid w:val="00900525"/>
    <w:rsid w:val="00900526"/>
    <w:rsid w:val="0090087A"/>
    <w:rsid w:val="00900939"/>
    <w:rsid w:val="00900A7D"/>
    <w:rsid w:val="00900C33"/>
    <w:rsid w:val="00900F4A"/>
    <w:rsid w:val="009010A7"/>
    <w:rsid w:val="0090120A"/>
    <w:rsid w:val="009012BA"/>
    <w:rsid w:val="009014D6"/>
    <w:rsid w:val="009016C6"/>
    <w:rsid w:val="00901880"/>
    <w:rsid w:val="00901914"/>
    <w:rsid w:val="009019CF"/>
    <w:rsid w:val="00901ADE"/>
    <w:rsid w:val="00901B0D"/>
    <w:rsid w:val="00901E1B"/>
    <w:rsid w:val="009023BA"/>
    <w:rsid w:val="0090246E"/>
    <w:rsid w:val="00902537"/>
    <w:rsid w:val="00902796"/>
    <w:rsid w:val="00902BFD"/>
    <w:rsid w:val="00902DA5"/>
    <w:rsid w:val="00902FCC"/>
    <w:rsid w:val="009031FE"/>
    <w:rsid w:val="00903240"/>
    <w:rsid w:val="009039AD"/>
    <w:rsid w:val="009039B5"/>
    <w:rsid w:val="00903C42"/>
    <w:rsid w:val="00903C79"/>
    <w:rsid w:val="00903D18"/>
    <w:rsid w:val="00903F1B"/>
    <w:rsid w:val="009040EB"/>
    <w:rsid w:val="00904550"/>
    <w:rsid w:val="009046EF"/>
    <w:rsid w:val="00904829"/>
    <w:rsid w:val="0090490F"/>
    <w:rsid w:val="00904A3C"/>
    <w:rsid w:val="00904B21"/>
    <w:rsid w:val="00904B5B"/>
    <w:rsid w:val="00904C2F"/>
    <w:rsid w:val="00904E3A"/>
    <w:rsid w:val="00905230"/>
    <w:rsid w:val="0090533C"/>
    <w:rsid w:val="00905342"/>
    <w:rsid w:val="0090538F"/>
    <w:rsid w:val="00905672"/>
    <w:rsid w:val="009056B9"/>
    <w:rsid w:val="009058E7"/>
    <w:rsid w:val="0090594F"/>
    <w:rsid w:val="00905BB9"/>
    <w:rsid w:val="00905EE0"/>
    <w:rsid w:val="00905FE1"/>
    <w:rsid w:val="009061FA"/>
    <w:rsid w:val="00906640"/>
    <w:rsid w:val="0090679C"/>
    <w:rsid w:val="009068A8"/>
    <w:rsid w:val="00906BCA"/>
    <w:rsid w:val="00906D93"/>
    <w:rsid w:val="00906EA8"/>
    <w:rsid w:val="009072D3"/>
    <w:rsid w:val="009074D0"/>
    <w:rsid w:val="009074E9"/>
    <w:rsid w:val="0090750C"/>
    <w:rsid w:val="00907869"/>
    <w:rsid w:val="00907ABF"/>
    <w:rsid w:val="00907BCF"/>
    <w:rsid w:val="00907DA9"/>
    <w:rsid w:val="00907FA9"/>
    <w:rsid w:val="00907FAA"/>
    <w:rsid w:val="00907FEF"/>
    <w:rsid w:val="0091010A"/>
    <w:rsid w:val="00910334"/>
    <w:rsid w:val="009103D7"/>
    <w:rsid w:val="009106CC"/>
    <w:rsid w:val="009108AC"/>
    <w:rsid w:val="00910EE5"/>
    <w:rsid w:val="00910F91"/>
    <w:rsid w:val="00910FF0"/>
    <w:rsid w:val="00911198"/>
    <w:rsid w:val="00911292"/>
    <w:rsid w:val="00911876"/>
    <w:rsid w:val="00911924"/>
    <w:rsid w:val="00911D49"/>
    <w:rsid w:val="00912073"/>
    <w:rsid w:val="009120BD"/>
    <w:rsid w:val="0091246F"/>
    <w:rsid w:val="0091289C"/>
    <w:rsid w:val="00912DBC"/>
    <w:rsid w:val="00913322"/>
    <w:rsid w:val="009136C8"/>
    <w:rsid w:val="00913807"/>
    <w:rsid w:val="00913A7F"/>
    <w:rsid w:val="00913A93"/>
    <w:rsid w:val="00913AB5"/>
    <w:rsid w:val="00913B6D"/>
    <w:rsid w:val="00913DD3"/>
    <w:rsid w:val="00914210"/>
    <w:rsid w:val="0091432A"/>
    <w:rsid w:val="0091432C"/>
    <w:rsid w:val="009143AE"/>
    <w:rsid w:val="00914540"/>
    <w:rsid w:val="009147BA"/>
    <w:rsid w:val="00914858"/>
    <w:rsid w:val="009148B9"/>
    <w:rsid w:val="009149BF"/>
    <w:rsid w:val="00915029"/>
    <w:rsid w:val="009151B3"/>
    <w:rsid w:val="009153CF"/>
    <w:rsid w:val="009154AE"/>
    <w:rsid w:val="009154CC"/>
    <w:rsid w:val="00915940"/>
    <w:rsid w:val="00915B26"/>
    <w:rsid w:val="00915FC2"/>
    <w:rsid w:val="0091600D"/>
    <w:rsid w:val="0091644C"/>
    <w:rsid w:val="009164F7"/>
    <w:rsid w:val="0091655F"/>
    <w:rsid w:val="009166EA"/>
    <w:rsid w:val="009167E4"/>
    <w:rsid w:val="009169A2"/>
    <w:rsid w:val="00916B92"/>
    <w:rsid w:val="00916D38"/>
    <w:rsid w:val="00916D94"/>
    <w:rsid w:val="00916E2D"/>
    <w:rsid w:val="009175C9"/>
    <w:rsid w:val="009177B1"/>
    <w:rsid w:val="00917886"/>
    <w:rsid w:val="009179FF"/>
    <w:rsid w:val="00917B57"/>
    <w:rsid w:val="0092022C"/>
    <w:rsid w:val="009205B5"/>
    <w:rsid w:val="009206A3"/>
    <w:rsid w:val="009209AC"/>
    <w:rsid w:val="00920A8F"/>
    <w:rsid w:val="00920E05"/>
    <w:rsid w:val="00920E44"/>
    <w:rsid w:val="00921503"/>
    <w:rsid w:val="00921566"/>
    <w:rsid w:val="0092167B"/>
    <w:rsid w:val="009216D1"/>
    <w:rsid w:val="0092178E"/>
    <w:rsid w:val="00921882"/>
    <w:rsid w:val="0092188D"/>
    <w:rsid w:val="00921958"/>
    <w:rsid w:val="00921B50"/>
    <w:rsid w:val="00921CD3"/>
    <w:rsid w:val="00921E1E"/>
    <w:rsid w:val="00921EBC"/>
    <w:rsid w:val="00921FAD"/>
    <w:rsid w:val="00922025"/>
    <w:rsid w:val="0092224B"/>
    <w:rsid w:val="00922429"/>
    <w:rsid w:val="0092248B"/>
    <w:rsid w:val="009227D6"/>
    <w:rsid w:val="00922A1D"/>
    <w:rsid w:val="00922B9F"/>
    <w:rsid w:val="00922BEC"/>
    <w:rsid w:val="00922C32"/>
    <w:rsid w:val="0092341F"/>
    <w:rsid w:val="009234D7"/>
    <w:rsid w:val="00923530"/>
    <w:rsid w:val="009236A8"/>
    <w:rsid w:val="0092396B"/>
    <w:rsid w:val="00923992"/>
    <w:rsid w:val="00923C5A"/>
    <w:rsid w:val="00923F60"/>
    <w:rsid w:val="009240AC"/>
    <w:rsid w:val="009243C4"/>
    <w:rsid w:val="009243FE"/>
    <w:rsid w:val="00924559"/>
    <w:rsid w:val="009247E7"/>
    <w:rsid w:val="0092551D"/>
    <w:rsid w:val="009257D3"/>
    <w:rsid w:val="009258EF"/>
    <w:rsid w:val="00925EE6"/>
    <w:rsid w:val="00925F1A"/>
    <w:rsid w:val="00925F47"/>
    <w:rsid w:val="009260F5"/>
    <w:rsid w:val="00926115"/>
    <w:rsid w:val="009261F8"/>
    <w:rsid w:val="0092645D"/>
    <w:rsid w:val="00926559"/>
    <w:rsid w:val="00926B8F"/>
    <w:rsid w:val="00926BA5"/>
    <w:rsid w:val="00926C38"/>
    <w:rsid w:val="00926C8F"/>
    <w:rsid w:val="00926E5C"/>
    <w:rsid w:val="00926EFE"/>
    <w:rsid w:val="00927306"/>
    <w:rsid w:val="00927329"/>
    <w:rsid w:val="00927575"/>
    <w:rsid w:val="009278E2"/>
    <w:rsid w:val="00927909"/>
    <w:rsid w:val="00927F79"/>
    <w:rsid w:val="009306C6"/>
    <w:rsid w:val="009307B5"/>
    <w:rsid w:val="00930822"/>
    <w:rsid w:val="0093099D"/>
    <w:rsid w:val="00931297"/>
    <w:rsid w:val="00931528"/>
    <w:rsid w:val="00931532"/>
    <w:rsid w:val="0093155C"/>
    <w:rsid w:val="009316B1"/>
    <w:rsid w:val="0093170F"/>
    <w:rsid w:val="00931795"/>
    <w:rsid w:val="0093180F"/>
    <w:rsid w:val="00931B3C"/>
    <w:rsid w:val="00931E7A"/>
    <w:rsid w:val="00931ED7"/>
    <w:rsid w:val="00932226"/>
    <w:rsid w:val="009322B6"/>
    <w:rsid w:val="009323BA"/>
    <w:rsid w:val="00932502"/>
    <w:rsid w:val="009326AE"/>
    <w:rsid w:val="00932865"/>
    <w:rsid w:val="0093289E"/>
    <w:rsid w:val="0093296F"/>
    <w:rsid w:val="009329E3"/>
    <w:rsid w:val="00932C9F"/>
    <w:rsid w:val="00932F1B"/>
    <w:rsid w:val="00933366"/>
    <w:rsid w:val="00933488"/>
    <w:rsid w:val="009335BC"/>
    <w:rsid w:val="00933647"/>
    <w:rsid w:val="009336D6"/>
    <w:rsid w:val="00933B03"/>
    <w:rsid w:val="00934015"/>
    <w:rsid w:val="009340F6"/>
    <w:rsid w:val="009342BE"/>
    <w:rsid w:val="009344C2"/>
    <w:rsid w:val="00934681"/>
    <w:rsid w:val="00934E6B"/>
    <w:rsid w:val="00935513"/>
    <w:rsid w:val="0093555A"/>
    <w:rsid w:val="00935D5D"/>
    <w:rsid w:val="00935D97"/>
    <w:rsid w:val="009360D8"/>
    <w:rsid w:val="009360F0"/>
    <w:rsid w:val="009364AF"/>
    <w:rsid w:val="009364D4"/>
    <w:rsid w:val="0093650E"/>
    <w:rsid w:val="00936557"/>
    <w:rsid w:val="009366ED"/>
    <w:rsid w:val="0093683D"/>
    <w:rsid w:val="009368B6"/>
    <w:rsid w:val="009369EB"/>
    <w:rsid w:val="00936A02"/>
    <w:rsid w:val="00936A5E"/>
    <w:rsid w:val="00936FB7"/>
    <w:rsid w:val="009371B2"/>
    <w:rsid w:val="009372BB"/>
    <w:rsid w:val="00937369"/>
    <w:rsid w:val="009374B8"/>
    <w:rsid w:val="009374D8"/>
    <w:rsid w:val="00937509"/>
    <w:rsid w:val="009378D7"/>
    <w:rsid w:val="009379B0"/>
    <w:rsid w:val="00937E90"/>
    <w:rsid w:val="009400FE"/>
    <w:rsid w:val="0094018A"/>
    <w:rsid w:val="00940231"/>
    <w:rsid w:val="0094044B"/>
    <w:rsid w:val="009405F3"/>
    <w:rsid w:val="00940882"/>
    <w:rsid w:val="009408EF"/>
    <w:rsid w:val="00940C25"/>
    <w:rsid w:val="00940FE5"/>
    <w:rsid w:val="009410BF"/>
    <w:rsid w:val="009410F9"/>
    <w:rsid w:val="009413A5"/>
    <w:rsid w:val="00941497"/>
    <w:rsid w:val="009414E0"/>
    <w:rsid w:val="009414E2"/>
    <w:rsid w:val="009417F9"/>
    <w:rsid w:val="00941818"/>
    <w:rsid w:val="00942116"/>
    <w:rsid w:val="00942236"/>
    <w:rsid w:val="009422CA"/>
    <w:rsid w:val="009423F3"/>
    <w:rsid w:val="00942449"/>
    <w:rsid w:val="00942484"/>
    <w:rsid w:val="00942776"/>
    <w:rsid w:val="00942935"/>
    <w:rsid w:val="00942B48"/>
    <w:rsid w:val="00942BB8"/>
    <w:rsid w:val="00942BF5"/>
    <w:rsid w:val="00943134"/>
    <w:rsid w:val="009434B3"/>
    <w:rsid w:val="00943894"/>
    <w:rsid w:val="0094393F"/>
    <w:rsid w:val="00943B62"/>
    <w:rsid w:val="00943DAF"/>
    <w:rsid w:val="00943F51"/>
    <w:rsid w:val="00944022"/>
    <w:rsid w:val="00944245"/>
    <w:rsid w:val="009442C5"/>
    <w:rsid w:val="0094449E"/>
    <w:rsid w:val="009445FA"/>
    <w:rsid w:val="00944BD6"/>
    <w:rsid w:val="00944C0C"/>
    <w:rsid w:val="00944F82"/>
    <w:rsid w:val="00944FB5"/>
    <w:rsid w:val="00945044"/>
    <w:rsid w:val="00945184"/>
    <w:rsid w:val="009451CC"/>
    <w:rsid w:val="009453C9"/>
    <w:rsid w:val="009455B5"/>
    <w:rsid w:val="0094584B"/>
    <w:rsid w:val="00945C0E"/>
    <w:rsid w:val="00945CB9"/>
    <w:rsid w:val="00945D49"/>
    <w:rsid w:val="00945D58"/>
    <w:rsid w:val="00946068"/>
    <w:rsid w:val="009460D4"/>
    <w:rsid w:val="00946127"/>
    <w:rsid w:val="009463C8"/>
    <w:rsid w:val="009463D2"/>
    <w:rsid w:val="009466A1"/>
    <w:rsid w:val="00946849"/>
    <w:rsid w:val="00946A47"/>
    <w:rsid w:val="00946E9B"/>
    <w:rsid w:val="009474A2"/>
    <w:rsid w:val="009474C5"/>
    <w:rsid w:val="009474F2"/>
    <w:rsid w:val="00947726"/>
    <w:rsid w:val="00947952"/>
    <w:rsid w:val="00947AE9"/>
    <w:rsid w:val="00947D39"/>
    <w:rsid w:val="00947E2B"/>
    <w:rsid w:val="0095017B"/>
    <w:rsid w:val="009501B4"/>
    <w:rsid w:val="00950259"/>
    <w:rsid w:val="009502D0"/>
    <w:rsid w:val="00950501"/>
    <w:rsid w:val="00950838"/>
    <w:rsid w:val="0095092E"/>
    <w:rsid w:val="00950C05"/>
    <w:rsid w:val="00950D71"/>
    <w:rsid w:val="00950F1D"/>
    <w:rsid w:val="009512D5"/>
    <w:rsid w:val="00951339"/>
    <w:rsid w:val="00951527"/>
    <w:rsid w:val="009515C9"/>
    <w:rsid w:val="0095176A"/>
    <w:rsid w:val="00951976"/>
    <w:rsid w:val="00951CA3"/>
    <w:rsid w:val="00951E74"/>
    <w:rsid w:val="009522C5"/>
    <w:rsid w:val="0095233C"/>
    <w:rsid w:val="009525B5"/>
    <w:rsid w:val="00952668"/>
    <w:rsid w:val="0095276B"/>
    <w:rsid w:val="00952878"/>
    <w:rsid w:val="00953103"/>
    <w:rsid w:val="0095310D"/>
    <w:rsid w:val="00953189"/>
    <w:rsid w:val="00953DFA"/>
    <w:rsid w:val="00953E67"/>
    <w:rsid w:val="009540E1"/>
    <w:rsid w:val="00954948"/>
    <w:rsid w:val="00954D80"/>
    <w:rsid w:val="00954E9A"/>
    <w:rsid w:val="00955096"/>
    <w:rsid w:val="00955098"/>
    <w:rsid w:val="009550FF"/>
    <w:rsid w:val="0095510C"/>
    <w:rsid w:val="009551ED"/>
    <w:rsid w:val="0095520E"/>
    <w:rsid w:val="00955334"/>
    <w:rsid w:val="0095533C"/>
    <w:rsid w:val="00955354"/>
    <w:rsid w:val="0095548E"/>
    <w:rsid w:val="009556EA"/>
    <w:rsid w:val="0095574F"/>
    <w:rsid w:val="00955766"/>
    <w:rsid w:val="00955A24"/>
    <w:rsid w:val="00955C16"/>
    <w:rsid w:val="00955C2F"/>
    <w:rsid w:val="00955C4B"/>
    <w:rsid w:val="00955D6D"/>
    <w:rsid w:val="00955E8E"/>
    <w:rsid w:val="00955E9B"/>
    <w:rsid w:val="00956002"/>
    <w:rsid w:val="00956439"/>
    <w:rsid w:val="0095647A"/>
    <w:rsid w:val="009568E4"/>
    <w:rsid w:val="009568FD"/>
    <w:rsid w:val="0095696D"/>
    <w:rsid w:val="009569E0"/>
    <w:rsid w:val="00956A0E"/>
    <w:rsid w:val="00956DC5"/>
    <w:rsid w:val="00956DF9"/>
    <w:rsid w:val="00956EAD"/>
    <w:rsid w:val="00956EDC"/>
    <w:rsid w:val="0095732A"/>
    <w:rsid w:val="009573B1"/>
    <w:rsid w:val="00957802"/>
    <w:rsid w:val="00957C69"/>
    <w:rsid w:val="00957E15"/>
    <w:rsid w:val="00957EF8"/>
    <w:rsid w:val="009601B0"/>
    <w:rsid w:val="0096036C"/>
    <w:rsid w:val="009604FA"/>
    <w:rsid w:val="0096073A"/>
    <w:rsid w:val="00960AD1"/>
    <w:rsid w:val="00960B35"/>
    <w:rsid w:val="00960FA7"/>
    <w:rsid w:val="00961086"/>
    <w:rsid w:val="00961110"/>
    <w:rsid w:val="0096131A"/>
    <w:rsid w:val="0096139B"/>
    <w:rsid w:val="009617FE"/>
    <w:rsid w:val="00961935"/>
    <w:rsid w:val="00961A3C"/>
    <w:rsid w:val="00961B5F"/>
    <w:rsid w:val="00961C40"/>
    <w:rsid w:val="009620E1"/>
    <w:rsid w:val="00962397"/>
    <w:rsid w:val="00962426"/>
    <w:rsid w:val="009626DB"/>
    <w:rsid w:val="00962993"/>
    <w:rsid w:val="009635B4"/>
    <w:rsid w:val="00963766"/>
    <w:rsid w:val="0096381F"/>
    <w:rsid w:val="00963913"/>
    <w:rsid w:val="00963B6C"/>
    <w:rsid w:val="00963CB6"/>
    <w:rsid w:val="00964151"/>
    <w:rsid w:val="009642AD"/>
    <w:rsid w:val="009646DC"/>
    <w:rsid w:val="0096481B"/>
    <w:rsid w:val="00964853"/>
    <w:rsid w:val="00964DDB"/>
    <w:rsid w:val="00964E8C"/>
    <w:rsid w:val="00964FD8"/>
    <w:rsid w:val="00965205"/>
    <w:rsid w:val="00965414"/>
    <w:rsid w:val="009654A4"/>
    <w:rsid w:val="00965670"/>
    <w:rsid w:val="009656CC"/>
    <w:rsid w:val="00965A77"/>
    <w:rsid w:val="00965D3F"/>
    <w:rsid w:val="00965E81"/>
    <w:rsid w:val="00965F58"/>
    <w:rsid w:val="009662BD"/>
    <w:rsid w:val="00966610"/>
    <w:rsid w:val="00966C8D"/>
    <w:rsid w:val="00966CE0"/>
    <w:rsid w:val="00966E1A"/>
    <w:rsid w:val="0096742A"/>
    <w:rsid w:val="009674E2"/>
    <w:rsid w:val="00967779"/>
    <w:rsid w:val="00967830"/>
    <w:rsid w:val="009700A9"/>
    <w:rsid w:val="0097033F"/>
    <w:rsid w:val="00970B41"/>
    <w:rsid w:val="00970BA1"/>
    <w:rsid w:val="00971100"/>
    <w:rsid w:val="009711AF"/>
    <w:rsid w:val="00971213"/>
    <w:rsid w:val="0097141D"/>
    <w:rsid w:val="0097185F"/>
    <w:rsid w:val="00971897"/>
    <w:rsid w:val="009718E2"/>
    <w:rsid w:val="0097196B"/>
    <w:rsid w:val="00971B44"/>
    <w:rsid w:val="00971D52"/>
    <w:rsid w:val="00971E1B"/>
    <w:rsid w:val="00972010"/>
    <w:rsid w:val="00972163"/>
    <w:rsid w:val="009721D8"/>
    <w:rsid w:val="009726D6"/>
    <w:rsid w:val="00972741"/>
    <w:rsid w:val="00972B87"/>
    <w:rsid w:val="00973366"/>
    <w:rsid w:val="009733CB"/>
    <w:rsid w:val="0097342F"/>
    <w:rsid w:val="009734B9"/>
    <w:rsid w:val="00973693"/>
    <w:rsid w:val="00973ED7"/>
    <w:rsid w:val="009740A0"/>
    <w:rsid w:val="009740F8"/>
    <w:rsid w:val="00974365"/>
    <w:rsid w:val="009745D5"/>
    <w:rsid w:val="009747C6"/>
    <w:rsid w:val="00974A54"/>
    <w:rsid w:val="00974B8E"/>
    <w:rsid w:val="00974BD1"/>
    <w:rsid w:val="00974CF2"/>
    <w:rsid w:val="00975099"/>
    <w:rsid w:val="0097529F"/>
    <w:rsid w:val="00975593"/>
    <w:rsid w:val="0097564C"/>
    <w:rsid w:val="009759C5"/>
    <w:rsid w:val="00975B29"/>
    <w:rsid w:val="00975C00"/>
    <w:rsid w:val="00975CB1"/>
    <w:rsid w:val="00975E80"/>
    <w:rsid w:val="00976B6B"/>
    <w:rsid w:val="00976DB7"/>
    <w:rsid w:val="00976F8E"/>
    <w:rsid w:val="0097707F"/>
    <w:rsid w:val="00977754"/>
    <w:rsid w:val="009779A1"/>
    <w:rsid w:val="00977A85"/>
    <w:rsid w:val="00977D2C"/>
    <w:rsid w:val="00977D61"/>
    <w:rsid w:val="00977E64"/>
    <w:rsid w:val="00977E88"/>
    <w:rsid w:val="00977FCE"/>
    <w:rsid w:val="00977FEA"/>
    <w:rsid w:val="0097CF06"/>
    <w:rsid w:val="0098036E"/>
    <w:rsid w:val="00980393"/>
    <w:rsid w:val="0098060F"/>
    <w:rsid w:val="0098065C"/>
    <w:rsid w:val="00980B85"/>
    <w:rsid w:val="00980C40"/>
    <w:rsid w:val="00980E13"/>
    <w:rsid w:val="0098112D"/>
    <w:rsid w:val="0098119C"/>
    <w:rsid w:val="00981207"/>
    <w:rsid w:val="0098138E"/>
    <w:rsid w:val="00981686"/>
    <w:rsid w:val="009816DA"/>
    <w:rsid w:val="009819CB"/>
    <w:rsid w:val="00981BB8"/>
    <w:rsid w:val="00981D0A"/>
    <w:rsid w:val="00981F3C"/>
    <w:rsid w:val="00981F55"/>
    <w:rsid w:val="00982004"/>
    <w:rsid w:val="009820A2"/>
    <w:rsid w:val="0098216B"/>
    <w:rsid w:val="00982197"/>
    <w:rsid w:val="0098261D"/>
    <w:rsid w:val="009826BE"/>
    <w:rsid w:val="00982819"/>
    <w:rsid w:val="009828FD"/>
    <w:rsid w:val="00982B80"/>
    <w:rsid w:val="00982DCD"/>
    <w:rsid w:val="00982F0E"/>
    <w:rsid w:val="00982FF5"/>
    <w:rsid w:val="009832FD"/>
    <w:rsid w:val="00983409"/>
    <w:rsid w:val="009834AF"/>
    <w:rsid w:val="00983877"/>
    <w:rsid w:val="00983B2B"/>
    <w:rsid w:val="00983F71"/>
    <w:rsid w:val="00983FF5"/>
    <w:rsid w:val="009840EF"/>
    <w:rsid w:val="009843D1"/>
    <w:rsid w:val="0098442E"/>
    <w:rsid w:val="00984907"/>
    <w:rsid w:val="00984BC1"/>
    <w:rsid w:val="00984D8E"/>
    <w:rsid w:val="009851E3"/>
    <w:rsid w:val="009857FB"/>
    <w:rsid w:val="00985836"/>
    <w:rsid w:val="00985967"/>
    <w:rsid w:val="00985F11"/>
    <w:rsid w:val="00986357"/>
    <w:rsid w:val="0098655A"/>
    <w:rsid w:val="00986831"/>
    <w:rsid w:val="009868AD"/>
    <w:rsid w:val="0098690C"/>
    <w:rsid w:val="00986CFD"/>
    <w:rsid w:val="00987064"/>
    <w:rsid w:val="00987091"/>
    <w:rsid w:val="009873B7"/>
    <w:rsid w:val="00987980"/>
    <w:rsid w:val="00987994"/>
    <w:rsid w:val="00987E50"/>
    <w:rsid w:val="00987EC5"/>
    <w:rsid w:val="00990050"/>
    <w:rsid w:val="009901ED"/>
    <w:rsid w:val="0099041D"/>
    <w:rsid w:val="009904CD"/>
    <w:rsid w:val="009905F1"/>
    <w:rsid w:val="00990740"/>
    <w:rsid w:val="0099075D"/>
    <w:rsid w:val="00990801"/>
    <w:rsid w:val="00990955"/>
    <w:rsid w:val="00990AD6"/>
    <w:rsid w:val="00990CA9"/>
    <w:rsid w:val="00991403"/>
    <w:rsid w:val="009916A3"/>
    <w:rsid w:val="009916C0"/>
    <w:rsid w:val="009916E4"/>
    <w:rsid w:val="00991C5D"/>
    <w:rsid w:val="00991C60"/>
    <w:rsid w:val="00991CD9"/>
    <w:rsid w:val="00991DB9"/>
    <w:rsid w:val="0099203D"/>
    <w:rsid w:val="009921B1"/>
    <w:rsid w:val="009922DF"/>
    <w:rsid w:val="0099243C"/>
    <w:rsid w:val="0099254C"/>
    <w:rsid w:val="0099257D"/>
    <w:rsid w:val="00992704"/>
    <w:rsid w:val="009928B5"/>
    <w:rsid w:val="00992B88"/>
    <w:rsid w:val="00992C64"/>
    <w:rsid w:val="00992DD0"/>
    <w:rsid w:val="00992E0A"/>
    <w:rsid w:val="0099310C"/>
    <w:rsid w:val="0099321A"/>
    <w:rsid w:val="009932E8"/>
    <w:rsid w:val="00993421"/>
    <w:rsid w:val="00993561"/>
    <w:rsid w:val="00993BCF"/>
    <w:rsid w:val="00993D28"/>
    <w:rsid w:val="00993FF3"/>
    <w:rsid w:val="00994201"/>
    <w:rsid w:val="009942A9"/>
    <w:rsid w:val="009948A2"/>
    <w:rsid w:val="009949BB"/>
    <w:rsid w:val="00994B5A"/>
    <w:rsid w:val="00994E0B"/>
    <w:rsid w:val="00994F65"/>
    <w:rsid w:val="00994FFB"/>
    <w:rsid w:val="00995138"/>
    <w:rsid w:val="009951E7"/>
    <w:rsid w:val="00995251"/>
    <w:rsid w:val="00995346"/>
    <w:rsid w:val="00995377"/>
    <w:rsid w:val="009954B9"/>
    <w:rsid w:val="009955B3"/>
    <w:rsid w:val="009957B4"/>
    <w:rsid w:val="009958B9"/>
    <w:rsid w:val="00995B1D"/>
    <w:rsid w:val="00995B9F"/>
    <w:rsid w:val="00995BB9"/>
    <w:rsid w:val="00995D68"/>
    <w:rsid w:val="00995D7C"/>
    <w:rsid w:val="00996155"/>
    <w:rsid w:val="009962BB"/>
    <w:rsid w:val="0099645B"/>
    <w:rsid w:val="00996512"/>
    <w:rsid w:val="00996590"/>
    <w:rsid w:val="009966C5"/>
    <w:rsid w:val="009966FD"/>
    <w:rsid w:val="00996966"/>
    <w:rsid w:val="00996B07"/>
    <w:rsid w:val="00996D2A"/>
    <w:rsid w:val="0099706B"/>
    <w:rsid w:val="009971B8"/>
    <w:rsid w:val="00997282"/>
    <w:rsid w:val="0099766C"/>
    <w:rsid w:val="009978F3"/>
    <w:rsid w:val="009979DB"/>
    <w:rsid w:val="00997A46"/>
    <w:rsid w:val="00997BB5"/>
    <w:rsid w:val="00997BF3"/>
    <w:rsid w:val="00997C3D"/>
    <w:rsid w:val="00997CC4"/>
    <w:rsid w:val="00997E54"/>
    <w:rsid w:val="00997E5F"/>
    <w:rsid w:val="00997F37"/>
    <w:rsid w:val="009A0076"/>
    <w:rsid w:val="009A0194"/>
    <w:rsid w:val="009A021B"/>
    <w:rsid w:val="009A0390"/>
    <w:rsid w:val="009A046A"/>
    <w:rsid w:val="009A068D"/>
    <w:rsid w:val="009A0A12"/>
    <w:rsid w:val="009A0A3E"/>
    <w:rsid w:val="009A0AE5"/>
    <w:rsid w:val="009A0C83"/>
    <w:rsid w:val="009A0C88"/>
    <w:rsid w:val="009A0D3D"/>
    <w:rsid w:val="009A0D87"/>
    <w:rsid w:val="009A0E2A"/>
    <w:rsid w:val="009A0F0C"/>
    <w:rsid w:val="009A0F66"/>
    <w:rsid w:val="009A0F72"/>
    <w:rsid w:val="009A11B9"/>
    <w:rsid w:val="009A11DC"/>
    <w:rsid w:val="009A12A1"/>
    <w:rsid w:val="009A13DE"/>
    <w:rsid w:val="009A1408"/>
    <w:rsid w:val="009A15FF"/>
    <w:rsid w:val="009A172C"/>
    <w:rsid w:val="009A176C"/>
    <w:rsid w:val="009A1808"/>
    <w:rsid w:val="009A1838"/>
    <w:rsid w:val="009A1B79"/>
    <w:rsid w:val="009A1C2D"/>
    <w:rsid w:val="009A1C65"/>
    <w:rsid w:val="009A1CB5"/>
    <w:rsid w:val="009A1F04"/>
    <w:rsid w:val="009A1FAD"/>
    <w:rsid w:val="009A2396"/>
    <w:rsid w:val="009A23C3"/>
    <w:rsid w:val="009A257E"/>
    <w:rsid w:val="009A27E7"/>
    <w:rsid w:val="009A2827"/>
    <w:rsid w:val="009A28E6"/>
    <w:rsid w:val="009A2CBE"/>
    <w:rsid w:val="009A2D06"/>
    <w:rsid w:val="009A2DB3"/>
    <w:rsid w:val="009A2E32"/>
    <w:rsid w:val="009A31D8"/>
    <w:rsid w:val="009A34A9"/>
    <w:rsid w:val="009A36B2"/>
    <w:rsid w:val="009A36BD"/>
    <w:rsid w:val="009A38E9"/>
    <w:rsid w:val="009A3976"/>
    <w:rsid w:val="009A3AE0"/>
    <w:rsid w:val="009A3EA4"/>
    <w:rsid w:val="009A4ACD"/>
    <w:rsid w:val="009A4AF7"/>
    <w:rsid w:val="009A4ED8"/>
    <w:rsid w:val="009A4F0F"/>
    <w:rsid w:val="009A4FA2"/>
    <w:rsid w:val="009A504E"/>
    <w:rsid w:val="009A520D"/>
    <w:rsid w:val="009A5315"/>
    <w:rsid w:val="009A5412"/>
    <w:rsid w:val="009A552A"/>
    <w:rsid w:val="009A5578"/>
    <w:rsid w:val="009A558F"/>
    <w:rsid w:val="009A597F"/>
    <w:rsid w:val="009A5A25"/>
    <w:rsid w:val="009A5ECC"/>
    <w:rsid w:val="009A616B"/>
    <w:rsid w:val="009A6819"/>
    <w:rsid w:val="009A68A7"/>
    <w:rsid w:val="009A68DC"/>
    <w:rsid w:val="009A68FB"/>
    <w:rsid w:val="009A69FD"/>
    <w:rsid w:val="009A6A5F"/>
    <w:rsid w:val="009A6BFF"/>
    <w:rsid w:val="009A6CB9"/>
    <w:rsid w:val="009A6E36"/>
    <w:rsid w:val="009A71CD"/>
    <w:rsid w:val="009A7681"/>
    <w:rsid w:val="009A779F"/>
    <w:rsid w:val="009A7886"/>
    <w:rsid w:val="009A795E"/>
    <w:rsid w:val="009A797D"/>
    <w:rsid w:val="009A7CA4"/>
    <w:rsid w:val="009A7D13"/>
    <w:rsid w:val="009A7DCC"/>
    <w:rsid w:val="009B01CB"/>
    <w:rsid w:val="009B0659"/>
    <w:rsid w:val="009B06D8"/>
    <w:rsid w:val="009B076C"/>
    <w:rsid w:val="009B0A2C"/>
    <w:rsid w:val="009B0AFE"/>
    <w:rsid w:val="009B11CF"/>
    <w:rsid w:val="009B12BC"/>
    <w:rsid w:val="009B18CE"/>
    <w:rsid w:val="009B1A56"/>
    <w:rsid w:val="009B1C68"/>
    <w:rsid w:val="009B23D1"/>
    <w:rsid w:val="009B25D6"/>
    <w:rsid w:val="009B2765"/>
    <w:rsid w:val="009B2788"/>
    <w:rsid w:val="009B27B7"/>
    <w:rsid w:val="009B2834"/>
    <w:rsid w:val="009B29B9"/>
    <w:rsid w:val="009B2A11"/>
    <w:rsid w:val="009B2B0B"/>
    <w:rsid w:val="009B2C38"/>
    <w:rsid w:val="009B2D22"/>
    <w:rsid w:val="009B2EB1"/>
    <w:rsid w:val="009B2F83"/>
    <w:rsid w:val="009B3160"/>
    <w:rsid w:val="009B32FD"/>
    <w:rsid w:val="009B36A2"/>
    <w:rsid w:val="009B3A23"/>
    <w:rsid w:val="009B3EAC"/>
    <w:rsid w:val="009B3FBD"/>
    <w:rsid w:val="009B4028"/>
    <w:rsid w:val="009B4092"/>
    <w:rsid w:val="009B42F4"/>
    <w:rsid w:val="009B4498"/>
    <w:rsid w:val="009B45BB"/>
    <w:rsid w:val="009B4783"/>
    <w:rsid w:val="009B4CE2"/>
    <w:rsid w:val="009B4DAC"/>
    <w:rsid w:val="009B4E46"/>
    <w:rsid w:val="009B4E7D"/>
    <w:rsid w:val="009B502E"/>
    <w:rsid w:val="009B508D"/>
    <w:rsid w:val="009B527D"/>
    <w:rsid w:val="009B5356"/>
    <w:rsid w:val="009B5468"/>
    <w:rsid w:val="009B5D01"/>
    <w:rsid w:val="009B5DE3"/>
    <w:rsid w:val="009B5FD1"/>
    <w:rsid w:val="009B5FF1"/>
    <w:rsid w:val="009B60D8"/>
    <w:rsid w:val="009B631A"/>
    <w:rsid w:val="009B66E6"/>
    <w:rsid w:val="009B6AD7"/>
    <w:rsid w:val="009B6E7D"/>
    <w:rsid w:val="009B6EDA"/>
    <w:rsid w:val="009B6F55"/>
    <w:rsid w:val="009B75BB"/>
    <w:rsid w:val="009B775E"/>
    <w:rsid w:val="009B776F"/>
    <w:rsid w:val="009B7929"/>
    <w:rsid w:val="009B7999"/>
    <w:rsid w:val="009B79C5"/>
    <w:rsid w:val="009B7B20"/>
    <w:rsid w:val="009B7B53"/>
    <w:rsid w:val="009B7D47"/>
    <w:rsid w:val="009C01B8"/>
    <w:rsid w:val="009C0788"/>
    <w:rsid w:val="009C09EB"/>
    <w:rsid w:val="009C0CAF"/>
    <w:rsid w:val="009C0DD1"/>
    <w:rsid w:val="009C0E72"/>
    <w:rsid w:val="009C0EBE"/>
    <w:rsid w:val="009C1473"/>
    <w:rsid w:val="009C164C"/>
    <w:rsid w:val="009C1940"/>
    <w:rsid w:val="009C1B28"/>
    <w:rsid w:val="009C1CA3"/>
    <w:rsid w:val="009C1CFB"/>
    <w:rsid w:val="009C1EF9"/>
    <w:rsid w:val="009C1FB6"/>
    <w:rsid w:val="009C20D9"/>
    <w:rsid w:val="009C2204"/>
    <w:rsid w:val="009C2384"/>
    <w:rsid w:val="009C2B81"/>
    <w:rsid w:val="009C2BDA"/>
    <w:rsid w:val="009C2C2A"/>
    <w:rsid w:val="009C30DE"/>
    <w:rsid w:val="009C30ED"/>
    <w:rsid w:val="009C3812"/>
    <w:rsid w:val="009C3826"/>
    <w:rsid w:val="009C3BDE"/>
    <w:rsid w:val="009C3C7D"/>
    <w:rsid w:val="009C3E12"/>
    <w:rsid w:val="009C3F87"/>
    <w:rsid w:val="009C402D"/>
    <w:rsid w:val="009C4065"/>
    <w:rsid w:val="009C429D"/>
    <w:rsid w:val="009C4403"/>
    <w:rsid w:val="009C44A6"/>
    <w:rsid w:val="009C45DB"/>
    <w:rsid w:val="009C47C2"/>
    <w:rsid w:val="009C4886"/>
    <w:rsid w:val="009C48BE"/>
    <w:rsid w:val="009C4B14"/>
    <w:rsid w:val="009C4BD0"/>
    <w:rsid w:val="009C4CF1"/>
    <w:rsid w:val="009C4EBF"/>
    <w:rsid w:val="009C555D"/>
    <w:rsid w:val="009C55A5"/>
    <w:rsid w:val="009C56B4"/>
    <w:rsid w:val="009C5785"/>
    <w:rsid w:val="009C5BC4"/>
    <w:rsid w:val="009C5CAB"/>
    <w:rsid w:val="009C5E0D"/>
    <w:rsid w:val="009C639F"/>
    <w:rsid w:val="009C6641"/>
    <w:rsid w:val="009C6671"/>
    <w:rsid w:val="009C66A6"/>
    <w:rsid w:val="009C66A8"/>
    <w:rsid w:val="009C6C29"/>
    <w:rsid w:val="009C7148"/>
    <w:rsid w:val="009C7213"/>
    <w:rsid w:val="009C731C"/>
    <w:rsid w:val="009D005E"/>
    <w:rsid w:val="009D06BC"/>
    <w:rsid w:val="009D06C2"/>
    <w:rsid w:val="009D0988"/>
    <w:rsid w:val="009D09D1"/>
    <w:rsid w:val="009D0C83"/>
    <w:rsid w:val="009D0D2A"/>
    <w:rsid w:val="009D1175"/>
    <w:rsid w:val="009D1327"/>
    <w:rsid w:val="009D13BE"/>
    <w:rsid w:val="009D141A"/>
    <w:rsid w:val="009D1501"/>
    <w:rsid w:val="009D1695"/>
    <w:rsid w:val="009D1A3C"/>
    <w:rsid w:val="009D1B9D"/>
    <w:rsid w:val="009D1D09"/>
    <w:rsid w:val="009D1E9A"/>
    <w:rsid w:val="009D21A3"/>
    <w:rsid w:val="009D2268"/>
    <w:rsid w:val="009D24D1"/>
    <w:rsid w:val="009D25B3"/>
    <w:rsid w:val="009D2CA5"/>
    <w:rsid w:val="009D2D6D"/>
    <w:rsid w:val="009D2ED6"/>
    <w:rsid w:val="009D30CC"/>
    <w:rsid w:val="009D31C6"/>
    <w:rsid w:val="009D31F8"/>
    <w:rsid w:val="009D3224"/>
    <w:rsid w:val="009D3227"/>
    <w:rsid w:val="009D332E"/>
    <w:rsid w:val="009D34C4"/>
    <w:rsid w:val="009D3740"/>
    <w:rsid w:val="009D3747"/>
    <w:rsid w:val="009D38B7"/>
    <w:rsid w:val="009D38C4"/>
    <w:rsid w:val="009D392B"/>
    <w:rsid w:val="009D3952"/>
    <w:rsid w:val="009D39B9"/>
    <w:rsid w:val="009D39EA"/>
    <w:rsid w:val="009D4228"/>
    <w:rsid w:val="009D438D"/>
    <w:rsid w:val="009D4532"/>
    <w:rsid w:val="009D47C9"/>
    <w:rsid w:val="009D4953"/>
    <w:rsid w:val="009D4A36"/>
    <w:rsid w:val="009D4CBA"/>
    <w:rsid w:val="009D4F09"/>
    <w:rsid w:val="009D5173"/>
    <w:rsid w:val="009D52BD"/>
    <w:rsid w:val="009D535B"/>
    <w:rsid w:val="009D53C7"/>
    <w:rsid w:val="009D592E"/>
    <w:rsid w:val="009D5B30"/>
    <w:rsid w:val="009D5B67"/>
    <w:rsid w:val="009D5BB4"/>
    <w:rsid w:val="009D5EED"/>
    <w:rsid w:val="009D5F08"/>
    <w:rsid w:val="009D6058"/>
    <w:rsid w:val="009D634C"/>
    <w:rsid w:val="009D6DF0"/>
    <w:rsid w:val="009D6EB9"/>
    <w:rsid w:val="009D6F13"/>
    <w:rsid w:val="009D6F7F"/>
    <w:rsid w:val="009D7320"/>
    <w:rsid w:val="009D7380"/>
    <w:rsid w:val="009D74BC"/>
    <w:rsid w:val="009D75A7"/>
    <w:rsid w:val="009D75AF"/>
    <w:rsid w:val="009D7761"/>
    <w:rsid w:val="009D783E"/>
    <w:rsid w:val="009D7C29"/>
    <w:rsid w:val="009D7C5A"/>
    <w:rsid w:val="009D7E2E"/>
    <w:rsid w:val="009D7F97"/>
    <w:rsid w:val="009E002B"/>
    <w:rsid w:val="009E04CB"/>
    <w:rsid w:val="009E055F"/>
    <w:rsid w:val="009E071C"/>
    <w:rsid w:val="009E08AB"/>
    <w:rsid w:val="009E09BC"/>
    <w:rsid w:val="009E0BB4"/>
    <w:rsid w:val="009E0BB9"/>
    <w:rsid w:val="009E0BD6"/>
    <w:rsid w:val="009E0D0A"/>
    <w:rsid w:val="009E0E88"/>
    <w:rsid w:val="009E1157"/>
    <w:rsid w:val="009E1510"/>
    <w:rsid w:val="009E1535"/>
    <w:rsid w:val="009E1846"/>
    <w:rsid w:val="009E19E6"/>
    <w:rsid w:val="009E1CD4"/>
    <w:rsid w:val="009E1DB1"/>
    <w:rsid w:val="009E2C6A"/>
    <w:rsid w:val="009E3085"/>
    <w:rsid w:val="009E308B"/>
    <w:rsid w:val="009E3285"/>
    <w:rsid w:val="009E3759"/>
    <w:rsid w:val="009E3765"/>
    <w:rsid w:val="009E3903"/>
    <w:rsid w:val="009E39DE"/>
    <w:rsid w:val="009E3B50"/>
    <w:rsid w:val="009E3BF1"/>
    <w:rsid w:val="009E3CC7"/>
    <w:rsid w:val="009E3D82"/>
    <w:rsid w:val="009E3ECE"/>
    <w:rsid w:val="009E41BE"/>
    <w:rsid w:val="009E42C6"/>
    <w:rsid w:val="009E4415"/>
    <w:rsid w:val="009E4494"/>
    <w:rsid w:val="009E45A0"/>
    <w:rsid w:val="009E465C"/>
    <w:rsid w:val="009E4BE0"/>
    <w:rsid w:val="009E4C05"/>
    <w:rsid w:val="009E4DF3"/>
    <w:rsid w:val="009E500D"/>
    <w:rsid w:val="009E50CF"/>
    <w:rsid w:val="009E52D9"/>
    <w:rsid w:val="009E53F1"/>
    <w:rsid w:val="009E5497"/>
    <w:rsid w:val="009E54BD"/>
    <w:rsid w:val="009E55EB"/>
    <w:rsid w:val="009E58CB"/>
    <w:rsid w:val="009E59B7"/>
    <w:rsid w:val="009E5EE8"/>
    <w:rsid w:val="009E602C"/>
    <w:rsid w:val="009E603D"/>
    <w:rsid w:val="009E6051"/>
    <w:rsid w:val="009E6052"/>
    <w:rsid w:val="009E60D6"/>
    <w:rsid w:val="009E6A52"/>
    <w:rsid w:val="009E6AA6"/>
    <w:rsid w:val="009E6CCE"/>
    <w:rsid w:val="009E6DE2"/>
    <w:rsid w:val="009E6E7E"/>
    <w:rsid w:val="009E7077"/>
    <w:rsid w:val="009E75F5"/>
    <w:rsid w:val="009E7688"/>
    <w:rsid w:val="009E7722"/>
    <w:rsid w:val="009E77B9"/>
    <w:rsid w:val="009E77EE"/>
    <w:rsid w:val="009E78BE"/>
    <w:rsid w:val="009E79D7"/>
    <w:rsid w:val="009E7C7F"/>
    <w:rsid w:val="009E7C8A"/>
    <w:rsid w:val="009F0111"/>
    <w:rsid w:val="009F0152"/>
    <w:rsid w:val="009F0183"/>
    <w:rsid w:val="009F01A6"/>
    <w:rsid w:val="009F0320"/>
    <w:rsid w:val="009F06B3"/>
    <w:rsid w:val="009F08B1"/>
    <w:rsid w:val="009F097A"/>
    <w:rsid w:val="009F0B27"/>
    <w:rsid w:val="009F0C27"/>
    <w:rsid w:val="009F10B0"/>
    <w:rsid w:val="009F137B"/>
    <w:rsid w:val="009F1734"/>
    <w:rsid w:val="009F1845"/>
    <w:rsid w:val="009F1C5E"/>
    <w:rsid w:val="009F227F"/>
    <w:rsid w:val="009F265E"/>
    <w:rsid w:val="009F2744"/>
    <w:rsid w:val="009F2814"/>
    <w:rsid w:val="009F2899"/>
    <w:rsid w:val="009F2F59"/>
    <w:rsid w:val="009F3215"/>
    <w:rsid w:val="009F3353"/>
    <w:rsid w:val="009F36BF"/>
    <w:rsid w:val="009F37DB"/>
    <w:rsid w:val="009F3C77"/>
    <w:rsid w:val="009F3E22"/>
    <w:rsid w:val="009F3E64"/>
    <w:rsid w:val="009F3FA2"/>
    <w:rsid w:val="009F4080"/>
    <w:rsid w:val="009F41B0"/>
    <w:rsid w:val="009F43CB"/>
    <w:rsid w:val="009F4906"/>
    <w:rsid w:val="009F491E"/>
    <w:rsid w:val="009F4B5A"/>
    <w:rsid w:val="009F4CEC"/>
    <w:rsid w:val="009F50A1"/>
    <w:rsid w:val="009F50E3"/>
    <w:rsid w:val="009F5129"/>
    <w:rsid w:val="009F5292"/>
    <w:rsid w:val="009F532E"/>
    <w:rsid w:val="009F5332"/>
    <w:rsid w:val="009F534E"/>
    <w:rsid w:val="009F5479"/>
    <w:rsid w:val="009F55DE"/>
    <w:rsid w:val="009F59B7"/>
    <w:rsid w:val="009F5B72"/>
    <w:rsid w:val="009F5FDF"/>
    <w:rsid w:val="009F603A"/>
    <w:rsid w:val="009F62AD"/>
    <w:rsid w:val="009F636D"/>
    <w:rsid w:val="009F6382"/>
    <w:rsid w:val="009F63E1"/>
    <w:rsid w:val="009F6671"/>
    <w:rsid w:val="009F6875"/>
    <w:rsid w:val="009F732D"/>
    <w:rsid w:val="009F7396"/>
    <w:rsid w:val="009F7926"/>
    <w:rsid w:val="009F794F"/>
    <w:rsid w:val="009F7A24"/>
    <w:rsid w:val="009F7A72"/>
    <w:rsid w:val="00A007AF"/>
    <w:rsid w:val="00A009BC"/>
    <w:rsid w:val="00A00AE9"/>
    <w:rsid w:val="00A00B30"/>
    <w:rsid w:val="00A00D24"/>
    <w:rsid w:val="00A011F3"/>
    <w:rsid w:val="00A0131B"/>
    <w:rsid w:val="00A013D9"/>
    <w:rsid w:val="00A01C0A"/>
    <w:rsid w:val="00A01DF0"/>
    <w:rsid w:val="00A0217E"/>
    <w:rsid w:val="00A02413"/>
    <w:rsid w:val="00A026E5"/>
    <w:rsid w:val="00A0278A"/>
    <w:rsid w:val="00A0281D"/>
    <w:rsid w:val="00A02A77"/>
    <w:rsid w:val="00A02AB7"/>
    <w:rsid w:val="00A02B97"/>
    <w:rsid w:val="00A02F06"/>
    <w:rsid w:val="00A02F28"/>
    <w:rsid w:val="00A02FDF"/>
    <w:rsid w:val="00A030FA"/>
    <w:rsid w:val="00A0338C"/>
    <w:rsid w:val="00A03494"/>
    <w:rsid w:val="00A0363A"/>
    <w:rsid w:val="00A0383F"/>
    <w:rsid w:val="00A03B66"/>
    <w:rsid w:val="00A03EBC"/>
    <w:rsid w:val="00A03EFD"/>
    <w:rsid w:val="00A04297"/>
    <w:rsid w:val="00A042A4"/>
    <w:rsid w:val="00A04D45"/>
    <w:rsid w:val="00A05465"/>
    <w:rsid w:val="00A05946"/>
    <w:rsid w:val="00A05EB0"/>
    <w:rsid w:val="00A060F7"/>
    <w:rsid w:val="00A064F1"/>
    <w:rsid w:val="00A06963"/>
    <w:rsid w:val="00A06A3A"/>
    <w:rsid w:val="00A06D80"/>
    <w:rsid w:val="00A06DA2"/>
    <w:rsid w:val="00A06DAF"/>
    <w:rsid w:val="00A06E08"/>
    <w:rsid w:val="00A06EE0"/>
    <w:rsid w:val="00A07456"/>
    <w:rsid w:val="00A075D7"/>
    <w:rsid w:val="00A07A41"/>
    <w:rsid w:val="00A07D4C"/>
    <w:rsid w:val="00A10817"/>
    <w:rsid w:val="00A1082E"/>
    <w:rsid w:val="00A10A68"/>
    <w:rsid w:val="00A10ABA"/>
    <w:rsid w:val="00A10AC4"/>
    <w:rsid w:val="00A10B64"/>
    <w:rsid w:val="00A10B8A"/>
    <w:rsid w:val="00A10D10"/>
    <w:rsid w:val="00A10EDB"/>
    <w:rsid w:val="00A10F55"/>
    <w:rsid w:val="00A1108C"/>
    <w:rsid w:val="00A11739"/>
    <w:rsid w:val="00A11BB7"/>
    <w:rsid w:val="00A11D04"/>
    <w:rsid w:val="00A11D31"/>
    <w:rsid w:val="00A11E08"/>
    <w:rsid w:val="00A11F89"/>
    <w:rsid w:val="00A11FBA"/>
    <w:rsid w:val="00A121B8"/>
    <w:rsid w:val="00A12272"/>
    <w:rsid w:val="00A125DB"/>
    <w:rsid w:val="00A126B6"/>
    <w:rsid w:val="00A12ACC"/>
    <w:rsid w:val="00A12AD2"/>
    <w:rsid w:val="00A12E47"/>
    <w:rsid w:val="00A12FDF"/>
    <w:rsid w:val="00A131CB"/>
    <w:rsid w:val="00A1321E"/>
    <w:rsid w:val="00A134EA"/>
    <w:rsid w:val="00A1351B"/>
    <w:rsid w:val="00A13816"/>
    <w:rsid w:val="00A138E5"/>
    <w:rsid w:val="00A13900"/>
    <w:rsid w:val="00A13950"/>
    <w:rsid w:val="00A13AAC"/>
    <w:rsid w:val="00A14343"/>
    <w:rsid w:val="00A1468A"/>
    <w:rsid w:val="00A14785"/>
    <w:rsid w:val="00A14A00"/>
    <w:rsid w:val="00A15333"/>
    <w:rsid w:val="00A15507"/>
    <w:rsid w:val="00A15562"/>
    <w:rsid w:val="00A156FC"/>
    <w:rsid w:val="00A15B46"/>
    <w:rsid w:val="00A16053"/>
    <w:rsid w:val="00A1614B"/>
    <w:rsid w:val="00A161A4"/>
    <w:rsid w:val="00A16561"/>
    <w:rsid w:val="00A16720"/>
    <w:rsid w:val="00A16978"/>
    <w:rsid w:val="00A16CE6"/>
    <w:rsid w:val="00A172FD"/>
    <w:rsid w:val="00A17374"/>
    <w:rsid w:val="00A17589"/>
    <w:rsid w:val="00A17A6A"/>
    <w:rsid w:val="00A17AA8"/>
    <w:rsid w:val="00A17C3B"/>
    <w:rsid w:val="00A17CE0"/>
    <w:rsid w:val="00A17D96"/>
    <w:rsid w:val="00A17EDB"/>
    <w:rsid w:val="00A17F31"/>
    <w:rsid w:val="00A20010"/>
    <w:rsid w:val="00A20073"/>
    <w:rsid w:val="00A20296"/>
    <w:rsid w:val="00A202C2"/>
    <w:rsid w:val="00A203B8"/>
    <w:rsid w:val="00A20438"/>
    <w:rsid w:val="00A205F2"/>
    <w:rsid w:val="00A208A3"/>
    <w:rsid w:val="00A20A7F"/>
    <w:rsid w:val="00A20D98"/>
    <w:rsid w:val="00A211FF"/>
    <w:rsid w:val="00A213E2"/>
    <w:rsid w:val="00A21487"/>
    <w:rsid w:val="00A2161D"/>
    <w:rsid w:val="00A21946"/>
    <w:rsid w:val="00A21EEF"/>
    <w:rsid w:val="00A21F51"/>
    <w:rsid w:val="00A2229C"/>
    <w:rsid w:val="00A224BB"/>
    <w:rsid w:val="00A224DA"/>
    <w:rsid w:val="00A22816"/>
    <w:rsid w:val="00A22A61"/>
    <w:rsid w:val="00A23279"/>
    <w:rsid w:val="00A232CA"/>
    <w:rsid w:val="00A2332B"/>
    <w:rsid w:val="00A233EA"/>
    <w:rsid w:val="00A2346A"/>
    <w:rsid w:val="00A23505"/>
    <w:rsid w:val="00A23686"/>
    <w:rsid w:val="00A236EB"/>
    <w:rsid w:val="00A2383E"/>
    <w:rsid w:val="00A238CE"/>
    <w:rsid w:val="00A23922"/>
    <w:rsid w:val="00A23B77"/>
    <w:rsid w:val="00A23C92"/>
    <w:rsid w:val="00A23D17"/>
    <w:rsid w:val="00A23D48"/>
    <w:rsid w:val="00A23DAF"/>
    <w:rsid w:val="00A23FF7"/>
    <w:rsid w:val="00A2414B"/>
    <w:rsid w:val="00A24654"/>
    <w:rsid w:val="00A2484A"/>
    <w:rsid w:val="00A24881"/>
    <w:rsid w:val="00A24B6B"/>
    <w:rsid w:val="00A24C27"/>
    <w:rsid w:val="00A24D47"/>
    <w:rsid w:val="00A25211"/>
    <w:rsid w:val="00A254A4"/>
    <w:rsid w:val="00A254A9"/>
    <w:rsid w:val="00A256A7"/>
    <w:rsid w:val="00A2579E"/>
    <w:rsid w:val="00A258E8"/>
    <w:rsid w:val="00A25932"/>
    <w:rsid w:val="00A259B9"/>
    <w:rsid w:val="00A26005"/>
    <w:rsid w:val="00A2697F"/>
    <w:rsid w:val="00A26984"/>
    <w:rsid w:val="00A26AD7"/>
    <w:rsid w:val="00A26AE2"/>
    <w:rsid w:val="00A27489"/>
    <w:rsid w:val="00A277CD"/>
    <w:rsid w:val="00A27F2F"/>
    <w:rsid w:val="00A27F9B"/>
    <w:rsid w:val="00A30298"/>
    <w:rsid w:val="00A3029E"/>
    <w:rsid w:val="00A30672"/>
    <w:rsid w:val="00A30813"/>
    <w:rsid w:val="00A30AFC"/>
    <w:rsid w:val="00A30B71"/>
    <w:rsid w:val="00A30E37"/>
    <w:rsid w:val="00A30EB1"/>
    <w:rsid w:val="00A30EC1"/>
    <w:rsid w:val="00A318D6"/>
    <w:rsid w:val="00A318D9"/>
    <w:rsid w:val="00A3192B"/>
    <w:rsid w:val="00A31AA8"/>
    <w:rsid w:val="00A31B79"/>
    <w:rsid w:val="00A31DA5"/>
    <w:rsid w:val="00A321E2"/>
    <w:rsid w:val="00A32321"/>
    <w:rsid w:val="00A32725"/>
    <w:rsid w:val="00A32843"/>
    <w:rsid w:val="00A3298C"/>
    <w:rsid w:val="00A32A4C"/>
    <w:rsid w:val="00A32A50"/>
    <w:rsid w:val="00A32ECE"/>
    <w:rsid w:val="00A32EF6"/>
    <w:rsid w:val="00A33089"/>
    <w:rsid w:val="00A332BE"/>
    <w:rsid w:val="00A33783"/>
    <w:rsid w:val="00A33A27"/>
    <w:rsid w:val="00A33A3B"/>
    <w:rsid w:val="00A33B21"/>
    <w:rsid w:val="00A33D2A"/>
    <w:rsid w:val="00A33E56"/>
    <w:rsid w:val="00A33E60"/>
    <w:rsid w:val="00A33EDF"/>
    <w:rsid w:val="00A3402E"/>
    <w:rsid w:val="00A3439D"/>
    <w:rsid w:val="00A34418"/>
    <w:rsid w:val="00A348E7"/>
    <w:rsid w:val="00A349C2"/>
    <w:rsid w:val="00A34BF2"/>
    <w:rsid w:val="00A34C41"/>
    <w:rsid w:val="00A3508F"/>
    <w:rsid w:val="00A3509A"/>
    <w:rsid w:val="00A351B2"/>
    <w:rsid w:val="00A351F3"/>
    <w:rsid w:val="00A3522E"/>
    <w:rsid w:val="00A3533A"/>
    <w:rsid w:val="00A35572"/>
    <w:rsid w:val="00A35C82"/>
    <w:rsid w:val="00A35DEA"/>
    <w:rsid w:val="00A35E94"/>
    <w:rsid w:val="00A3624C"/>
    <w:rsid w:val="00A3692E"/>
    <w:rsid w:val="00A36FAA"/>
    <w:rsid w:val="00A378BF"/>
    <w:rsid w:val="00A378D6"/>
    <w:rsid w:val="00A378E6"/>
    <w:rsid w:val="00A37A81"/>
    <w:rsid w:val="00A37F30"/>
    <w:rsid w:val="00A4010E"/>
    <w:rsid w:val="00A40241"/>
    <w:rsid w:val="00A40644"/>
    <w:rsid w:val="00A407D9"/>
    <w:rsid w:val="00A40A6F"/>
    <w:rsid w:val="00A40B62"/>
    <w:rsid w:val="00A40C15"/>
    <w:rsid w:val="00A40DF1"/>
    <w:rsid w:val="00A413EA"/>
    <w:rsid w:val="00A414EA"/>
    <w:rsid w:val="00A41B66"/>
    <w:rsid w:val="00A41BC1"/>
    <w:rsid w:val="00A41C24"/>
    <w:rsid w:val="00A41CEF"/>
    <w:rsid w:val="00A41EAE"/>
    <w:rsid w:val="00A41ECC"/>
    <w:rsid w:val="00A42126"/>
    <w:rsid w:val="00A421E2"/>
    <w:rsid w:val="00A42306"/>
    <w:rsid w:val="00A4274A"/>
    <w:rsid w:val="00A4276F"/>
    <w:rsid w:val="00A42792"/>
    <w:rsid w:val="00A42914"/>
    <w:rsid w:val="00A42B18"/>
    <w:rsid w:val="00A42D9D"/>
    <w:rsid w:val="00A42DA0"/>
    <w:rsid w:val="00A42EFD"/>
    <w:rsid w:val="00A43072"/>
    <w:rsid w:val="00A43265"/>
    <w:rsid w:val="00A432A7"/>
    <w:rsid w:val="00A43B63"/>
    <w:rsid w:val="00A43CA6"/>
    <w:rsid w:val="00A43E31"/>
    <w:rsid w:val="00A443B7"/>
    <w:rsid w:val="00A446A3"/>
    <w:rsid w:val="00A4475C"/>
    <w:rsid w:val="00A4476E"/>
    <w:rsid w:val="00A44E43"/>
    <w:rsid w:val="00A44E88"/>
    <w:rsid w:val="00A44E8D"/>
    <w:rsid w:val="00A45229"/>
    <w:rsid w:val="00A4555C"/>
    <w:rsid w:val="00A45664"/>
    <w:rsid w:val="00A45831"/>
    <w:rsid w:val="00A459EA"/>
    <w:rsid w:val="00A46157"/>
    <w:rsid w:val="00A469B8"/>
    <w:rsid w:val="00A46AEA"/>
    <w:rsid w:val="00A46B36"/>
    <w:rsid w:val="00A46BFB"/>
    <w:rsid w:val="00A46CBD"/>
    <w:rsid w:val="00A46D90"/>
    <w:rsid w:val="00A46EA8"/>
    <w:rsid w:val="00A471B2"/>
    <w:rsid w:val="00A4752E"/>
    <w:rsid w:val="00A47720"/>
    <w:rsid w:val="00A478C4"/>
    <w:rsid w:val="00A47AB6"/>
    <w:rsid w:val="00A47B19"/>
    <w:rsid w:val="00A47CEE"/>
    <w:rsid w:val="00A47D08"/>
    <w:rsid w:val="00A47FB1"/>
    <w:rsid w:val="00A50120"/>
    <w:rsid w:val="00A5024C"/>
    <w:rsid w:val="00A502F2"/>
    <w:rsid w:val="00A504D1"/>
    <w:rsid w:val="00A504EC"/>
    <w:rsid w:val="00A50572"/>
    <w:rsid w:val="00A50616"/>
    <w:rsid w:val="00A5086F"/>
    <w:rsid w:val="00A509C5"/>
    <w:rsid w:val="00A50AA0"/>
    <w:rsid w:val="00A50AC7"/>
    <w:rsid w:val="00A50B8C"/>
    <w:rsid w:val="00A50D15"/>
    <w:rsid w:val="00A50DCA"/>
    <w:rsid w:val="00A516D7"/>
    <w:rsid w:val="00A51980"/>
    <w:rsid w:val="00A51A28"/>
    <w:rsid w:val="00A51A60"/>
    <w:rsid w:val="00A51BA4"/>
    <w:rsid w:val="00A51CF3"/>
    <w:rsid w:val="00A51DB7"/>
    <w:rsid w:val="00A51E18"/>
    <w:rsid w:val="00A51ED2"/>
    <w:rsid w:val="00A521AE"/>
    <w:rsid w:val="00A525C7"/>
    <w:rsid w:val="00A52637"/>
    <w:rsid w:val="00A5271D"/>
    <w:rsid w:val="00A527BF"/>
    <w:rsid w:val="00A527D9"/>
    <w:rsid w:val="00A52999"/>
    <w:rsid w:val="00A52C2C"/>
    <w:rsid w:val="00A52C6C"/>
    <w:rsid w:val="00A52D42"/>
    <w:rsid w:val="00A52E82"/>
    <w:rsid w:val="00A53042"/>
    <w:rsid w:val="00A5315C"/>
    <w:rsid w:val="00A5316A"/>
    <w:rsid w:val="00A5328C"/>
    <w:rsid w:val="00A53668"/>
    <w:rsid w:val="00A5391A"/>
    <w:rsid w:val="00A539DB"/>
    <w:rsid w:val="00A53A2A"/>
    <w:rsid w:val="00A53B58"/>
    <w:rsid w:val="00A53F18"/>
    <w:rsid w:val="00A542B1"/>
    <w:rsid w:val="00A5437B"/>
    <w:rsid w:val="00A544F0"/>
    <w:rsid w:val="00A5491A"/>
    <w:rsid w:val="00A54B31"/>
    <w:rsid w:val="00A54C4F"/>
    <w:rsid w:val="00A54EE5"/>
    <w:rsid w:val="00A5513E"/>
    <w:rsid w:val="00A55144"/>
    <w:rsid w:val="00A55254"/>
    <w:rsid w:val="00A556F4"/>
    <w:rsid w:val="00A55ACD"/>
    <w:rsid w:val="00A55BB3"/>
    <w:rsid w:val="00A55BBE"/>
    <w:rsid w:val="00A55CD1"/>
    <w:rsid w:val="00A55D15"/>
    <w:rsid w:val="00A56005"/>
    <w:rsid w:val="00A56251"/>
    <w:rsid w:val="00A56294"/>
    <w:rsid w:val="00A56382"/>
    <w:rsid w:val="00A5687D"/>
    <w:rsid w:val="00A56A69"/>
    <w:rsid w:val="00A56D62"/>
    <w:rsid w:val="00A56ED9"/>
    <w:rsid w:val="00A577BF"/>
    <w:rsid w:val="00A5784A"/>
    <w:rsid w:val="00A5791B"/>
    <w:rsid w:val="00A579B1"/>
    <w:rsid w:val="00A57B23"/>
    <w:rsid w:val="00A57D48"/>
    <w:rsid w:val="00A6003F"/>
    <w:rsid w:val="00A6007A"/>
    <w:rsid w:val="00A6008B"/>
    <w:rsid w:val="00A605D2"/>
    <w:rsid w:val="00A60A5C"/>
    <w:rsid w:val="00A60CDE"/>
    <w:rsid w:val="00A611E3"/>
    <w:rsid w:val="00A612F7"/>
    <w:rsid w:val="00A615DB"/>
    <w:rsid w:val="00A616B9"/>
    <w:rsid w:val="00A6173B"/>
    <w:rsid w:val="00A61767"/>
    <w:rsid w:val="00A61A2B"/>
    <w:rsid w:val="00A61C5D"/>
    <w:rsid w:val="00A61C90"/>
    <w:rsid w:val="00A62224"/>
    <w:rsid w:val="00A6247E"/>
    <w:rsid w:val="00A625CB"/>
    <w:rsid w:val="00A62672"/>
    <w:rsid w:val="00A627EA"/>
    <w:rsid w:val="00A629A7"/>
    <w:rsid w:val="00A62BF7"/>
    <w:rsid w:val="00A62D3F"/>
    <w:rsid w:val="00A62DE2"/>
    <w:rsid w:val="00A62F83"/>
    <w:rsid w:val="00A63089"/>
    <w:rsid w:val="00A6325E"/>
    <w:rsid w:val="00A63279"/>
    <w:rsid w:val="00A632E9"/>
    <w:rsid w:val="00A63478"/>
    <w:rsid w:val="00A63CF5"/>
    <w:rsid w:val="00A63D70"/>
    <w:rsid w:val="00A63EA3"/>
    <w:rsid w:val="00A64588"/>
    <w:rsid w:val="00A6485A"/>
    <w:rsid w:val="00A648E3"/>
    <w:rsid w:val="00A64BFA"/>
    <w:rsid w:val="00A64C19"/>
    <w:rsid w:val="00A64DDF"/>
    <w:rsid w:val="00A64F21"/>
    <w:rsid w:val="00A6506D"/>
    <w:rsid w:val="00A651C1"/>
    <w:rsid w:val="00A65394"/>
    <w:rsid w:val="00A656E0"/>
    <w:rsid w:val="00A6585D"/>
    <w:rsid w:val="00A65CF1"/>
    <w:rsid w:val="00A65CFE"/>
    <w:rsid w:val="00A66114"/>
    <w:rsid w:val="00A66710"/>
    <w:rsid w:val="00A669EA"/>
    <w:rsid w:val="00A66AA2"/>
    <w:rsid w:val="00A66BF6"/>
    <w:rsid w:val="00A66C20"/>
    <w:rsid w:val="00A66CC2"/>
    <w:rsid w:val="00A66E8C"/>
    <w:rsid w:val="00A66FD0"/>
    <w:rsid w:val="00A66FFB"/>
    <w:rsid w:val="00A6706A"/>
    <w:rsid w:val="00A674C6"/>
    <w:rsid w:val="00A67951"/>
    <w:rsid w:val="00A70072"/>
    <w:rsid w:val="00A701FE"/>
    <w:rsid w:val="00A70441"/>
    <w:rsid w:val="00A704DD"/>
    <w:rsid w:val="00A705C8"/>
    <w:rsid w:val="00A70AA0"/>
    <w:rsid w:val="00A70BE5"/>
    <w:rsid w:val="00A70C22"/>
    <w:rsid w:val="00A70F09"/>
    <w:rsid w:val="00A70F97"/>
    <w:rsid w:val="00A70FC1"/>
    <w:rsid w:val="00A71235"/>
    <w:rsid w:val="00A71311"/>
    <w:rsid w:val="00A7134D"/>
    <w:rsid w:val="00A7146A"/>
    <w:rsid w:val="00A714A1"/>
    <w:rsid w:val="00A718A1"/>
    <w:rsid w:val="00A72020"/>
    <w:rsid w:val="00A72024"/>
    <w:rsid w:val="00A7229D"/>
    <w:rsid w:val="00A72499"/>
    <w:rsid w:val="00A72787"/>
    <w:rsid w:val="00A72870"/>
    <w:rsid w:val="00A72C48"/>
    <w:rsid w:val="00A72EBB"/>
    <w:rsid w:val="00A73233"/>
    <w:rsid w:val="00A7345C"/>
    <w:rsid w:val="00A73467"/>
    <w:rsid w:val="00A737E3"/>
    <w:rsid w:val="00A7394C"/>
    <w:rsid w:val="00A73A74"/>
    <w:rsid w:val="00A73B9D"/>
    <w:rsid w:val="00A73D65"/>
    <w:rsid w:val="00A740F0"/>
    <w:rsid w:val="00A743A1"/>
    <w:rsid w:val="00A7478E"/>
    <w:rsid w:val="00A74B25"/>
    <w:rsid w:val="00A74B71"/>
    <w:rsid w:val="00A74C07"/>
    <w:rsid w:val="00A74C57"/>
    <w:rsid w:val="00A74EAC"/>
    <w:rsid w:val="00A74F0C"/>
    <w:rsid w:val="00A7511B"/>
    <w:rsid w:val="00A75206"/>
    <w:rsid w:val="00A75274"/>
    <w:rsid w:val="00A75291"/>
    <w:rsid w:val="00A752FF"/>
    <w:rsid w:val="00A75356"/>
    <w:rsid w:val="00A75388"/>
    <w:rsid w:val="00A753DF"/>
    <w:rsid w:val="00A758FE"/>
    <w:rsid w:val="00A75983"/>
    <w:rsid w:val="00A75B5B"/>
    <w:rsid w:val="00A75FE2"/>
    <w:rsid w:val="00A76023"/>
    <w:rsid w:val="00A763D0"/>
    <w:rsid w:val="00A765BD"/>
    <w:rsid w:val="00A765D2"/>
    <w:rsid w:val="00A765F0"/>
    <w:rsid w:val="00A7667C"/>
    <w:rsid w:val="00A766BF"/>
    <w:rsid w:val="00A76748"/>
    <w:rsid w:val="00A76781"/>
    <w:rsid w:val="00A767E4"/>
    <w:rsid w:val="00A768D0"/>
    <w:rsid w:val="00A76D68"/>
    <w:rsid w:val="00A76E9E"/>
    <w:rsid w:val="00A76EFB"/>
    <w:rsid w:val="00A77019"/>
    <w:rsid w:val="00A77335"/>
    <w:rsid w:val="00A77545"/>
    <w:rsid w:val="00A77678"/>
    <w:rsid w:val="00A77748"/>
    <w:rsid w:val="00A7782D"/>
    <w:rsid w:val="00A77AE3"/>
    <w:rsid w:val="00A77EA0"/>
    <w:rsid w:val="00A77FE4"/>
    <w:rsid w:val="00A801DB"/>
    <w:rsid w:val="00A8033E"/>
    <w:rsid w:val="00A8062F"/>
    <w:rsid w:val="00A80781"/>
    <w:rsid w:val="00A80EF3"/>
    <w:rsid w:val="00A80FE7"/>
    <w:rsid w:val="00A81269"/>
    <w:rsid w:val="00A81280"/>
    <w:rsid w:val="00A81650"/>
    <w:rsid w:val="00A81A1B"/>
    <w:rsid w:val="00A81AE5"/>
    <w:rsid w:val="00A81BD7"/>
    <w:rsid w:val="00A82137"/>
    <w:rsid w:val="00A821A7"/>
    <w:rsid w:val="00A821BF"/>
    <w:rsid w:val="00A8232C"/>
    <w:rsid w:val="00A82622"/>
    <w:rsid w:val="00A827F6"/>
    <w:rsid w:val="00A8298D"/>
    <w:rsid w:val="00A82BD1"/>
    <w:rsid w:val="00A82D13"/>
    <w:rsid w:val="00A82EC2"/>
    <w:rsid w:val="00A83002"/>
    <w:rsid w:val="00A83323"/>
    <w:rsid w:val="00A833A9"/>
    <w:rsid w:val="00A8390B"/>
    <w:rsid w:val="00A83AA4"/>
    <w:rsid w:val="00A83C25"/>
    <w:rsid w:val="00A83D1D"/>
    <w:rsid w:val="00A83FEC"/>
    <w:rsid w:val="00A84096"/>
    <w:rsid w:val="00A841C2"/>
    <w:rsid w:val="00A84328"/>
    <w:rsid w:val="00A84395"/>
    <w:rsid w:val="00A843CF"/>
    <w:rsid w:val="00A8453A"/>
    <w:rsid w:val="00A8478F"/>
    <w:rsid w:val="00A84846"/>
    <w:rsid w:val="00A84B5C"/>
    <w:rsid w:val="00A84BCD"/>
    <w:rsid w:val="00A84C08"/>
    <w:rsid w:val="00A84DA3"/>
    <w:rsid w:val="00A84FF4"/>
    <w:rsid w:val="00A85299"/>
    <w:rsid w:val="00A852EC"/>
    <w:rsid w:val="00A854C1"/>
    <w:rsid w:val="00A857A5"/>
    <w:rsid w:val="00A8596B"/>
    <w:rsid w:val="00A85B87"/>
    <w:rsid w:val="00A85C93"/>
    <w:rsid w:val="00A85D27"/>
    <w:rsid w:val="00A85DFC"/>
    <w:rsid w:val="00A861E4"/>
    <w:rsid w:val="00A8643E"/>
    <w:rsid w:val="00A86A98"/>
    <w:rsid w:val="00A871BA"/>
    <w:rsid w:val="00A8727C"/>
    <w:rsid w:val="00A8749C"/>
    <w:rsid w:val="00A8769A"/>
    <w:rsid w:val="00A87814"/>
    <w:rsid w:val="00A87BD0"/>
    <w:rsid w:val="00A87CE4"/>
    <w:rsid w:val="00A87D5E"/>
    <w:rsid w:val="00A87EF9"/>
    <w:rsid w:val="00A90059"/>
    <w:rsid w:val="00A900F3"/>
    <w:rsid w:val="00A901D7"/>
    <w:rsid w:val="00A90269"/>
    <w:rsid w:val="00A90660"/>
    <w:rsid w:val="00A90BE2"/>
    <w:rsid w:val="00A90D3B"/>
    <w:rsid w:val="00A90F4B"/>
    <w:rsid w:val="00A9115E"/>
    <w:rsid w:val="00A913AB"/>
    <w:rsid w:val="00A9169F"/>
    <w:rsid w:val="00A91CC9"/>
    <w:rsid w:val="00A91D5D"/>
    <w:rsid w:val="00A91ED1"/>
    <w:rsid w:val="00A922A5"/>
    <w:rsid w:val="00A9230E"/>
    <w:rsid w:val="00A9242D"/>
    <w:rsid w:val="00A92528"/>
    <w:rsid w:val="00A927B7"/>
    <w:rsid w:val="00A92D2F"/>
    <w:rsid w:val="00A931CE"/>
    <w:rsid w:val="00A93BEC"/>
    <w:rsid w:val="00A93D8A"/>
    <w:rsid w:val="00A93E70"/>
    <w:rsid w:val="00A94039"/>
    <w:rsid w:val="00A940C0"/>
    <w:rsid w:val="00A94341"/>
    <w:rsid w:val="00A94473"/>
    <w:rsid w:val="00A94656"/>
    <w:rsid w:val="00A947FE"/>
    <w:rsid w:val="00A948BD"/>
    <w:rsid w:val="00A94B9D"/>
    <w:rsid w:val="00A9514A"/>
    <w:rsid w:val="00A9596E"/>
    <w:rsid w:val="00A95C3F"/>
    <w:rsid w:val="00A95CF0"/>
    <w:rsid w:val="00A95D00"/>
    <w:rsid w:val="00A96004"/>
    <w:rsid w:val="00A9605F"/>
    <w:rsid w:val="00A961B3"/>
    <w:rsid w:val="00A963FA"/>
    <w:rsid w:val="00A96588"/>
    <w:rsid w:val="00A96B28"/>
    <w:rsid w:val="00A96B6F"/>
    <w:rsid w:val="00A96BA8"/>
    <w:rsid w:val="00A96D85"/>
    <w:rsid w:val="00A97141"/>
    <w:rsid w:val="00A973A6"/>
    <w:rsid w:val="00A9758E"/>
    <w:rsid w:val="00A97ECF"/>
    <w:rsid w:val="00AA0237"/>
    <w:rsid w:val="00AA02E4"/>
    <w:rsid w:val="00AA03A4"/>
    <w:rsid w:val="00AA050D"/>
    <w:rsid w:val="00AA0586"/>
    <w:rsid w:val="00AA062F"/>
    <w:rsid w:val="00AA0970"/>
    <w:rsid w:val="00AA0D27"/>
    <w:rsid w:val="00AA0D3D"/>
    <w:rsid w:val="00AA0DDB"/>
    <w:rsid w:val="00AA0F14"/>
    <w:rsid w:val="00AA105F"/>
    <w:rsid w:val="00AA10AD"/>
    <w:rsid w:val="00AA14E7"/>
    <w:rsid w:val="00AA15A2"/>
    <w:rsid w:val="00AA16D5"/>
    <w:rsid w:val="00AA1A4A"/>
    <w:rsid w:val="00AA1A77"/>
    <w:rsid w:val="00AA26D4"/>
    <w:rsid w:val="00AA2AE7"/>
    <w:rsid w:val="00AA2B25"/>
    <w:rsid w:val="00AA2BCD"/>
    <w:rsid w:val="00AA2C8E"/>
    <w:rsid w:val="00AA3025"/>
    <w:rsid w:val="00AA3295"/>
    <w:rsid w:val="00AA343B"/>
    <w:rsid w:val="00AA3558"/>
    <w:rsid w:val="00AA35C7"/>
    <w:rsid w:val="00AA377A"/>
    <w:rsid w:val="00AA3918"/>
    <w:rsid w:val="00AA3BC2"/>
    <w:rsid w:val="00AA3D86"/>
    <w:rsid w:val="00AA3F07"/>
    <w:rsid w:val="00AA3FD1"/>
    <w:rsid w:val="00AA4070"/>
    <w:rsid w:val="00AA451E"/>
    <w:rsid w:val="00AA463C"/>
    <w:rsid w:val="00AA495D"/>
    <w:rsid w:val="00AA4AFA"/>
    <w:rsid w:val="00AA4C27"/>
    <w:rsid w:val="00AA4D70"/>
    <w:rsid w:val="00AA4EDE"/>
    <w:rsid w:val="00AA5042"/>
    <w:rsid w:val="00AA5822"/>
    <w:rsid w:val="00AA5A51"/>
    <w:rsid w:val="00AA5D06"/>
    <w:rsid w:val="00AA5E30"/>
    <w:rsid w:val="00AA5E7C"/>
    <w:rsid w:val="00AA5E9D"/>
    <w:rsid w:val="00AA5EDC"/>
    <w:rsid w:val="00AA5F46"/>
    <w:rsid w:val="00AA6092"/>
    <w:rsid w:val="00AA61D1"/>
    <w:rsid w:val="00AA61E9"/>
    <w:rsid w:val="00AA61EE"/>
    <w:rsid w:val="00AA68D0"/>
    <w:rsid w:val="00AA6CE7"/>
    <w:rsid w:val="00AA6DA9"/>
    <w:rsid w:val="00AA6E3D"/>
    <w:rsid w:val="00AA6FC4"/>
    <w:rsid w:val="00AA704F"/>
    <w:rsid w:val="00AA7178"/>
    <w:rsid w:val="00AA71C8"/>
    <w:rsid w:val="00AA74B3"/>
    <w:rsid w:val="00AA74BD"/>
    <w:rsid w:val="00AA75D5"/>
    <w:rsid w:val="00AA7771"/>
    <w:rsid w:val="00AA7773"/>
    <w:rsid w:val="00AA785C"/>
    <w:rsid w:val="00AA7888"/>
    <w:rsid w:val="00AA7A88"/>
    <w:rsid w:val="00AA7C0D"/>
    <w:rsid w:val="00AA7D1D"/>
    <w:rsid w:val="00AA7FEA"/>
    <w:rsid w:val="00AB039D"/>
    <w:rsid w:val="00AB0BE9"/>
    <w:rsid w:val="00AB0CB4"/>
    <w:rsid w:val="00AB0EC4"/>
    <w:rsid w:val="00AB19A7"/>
    <w:rsid w:val="00AB1D9C"/>
    <w:rsid w:val="00AB1E6D"/>
    <w:rsid w:val="00AB1F4A"/>
    <w:rsid w:val="00AB243C"/>
    <w:rsid w:val="00AB2584"/>
    <w:rsid w:val="00AB27BC"/>
    <w:rsid w:val="00AB29EF"/>
    <w:rsid w:val="00AB2A77"/>
    <w:rsid w:val="00AB2BD8"/>
    <w:rsid w:val="00AB2C4B"/>
    <w:rsid w:val="00AB2C86"/>
    <w:rsid w:val="00AB2C95"/>
    <w:rsid w:val="00AB2F59"/>
    <w:rsid w:val="00AB31EA"/>
    <w:rsid w:val="00AB3676"/>
    <w:rsid w:val="00AB36DD"/>
    <w:rsid w:val="00AB3B23"/>
    <w:rsid w:val="00AB3DD7"/>
    <w:rsid w:val="00AB3FC5"/>
    <w:rsid w:val="00AB4162"/>
    <w:rsid w:val="00AB4242"/>
    <w:rsid w:val="00AB427C"/>
    <w:rsid w:val="00AB44B6"/>
    <w:rsid w:val="00AB45E9"/>
    <w:rsid w:val="00AB47DD"/>
    <w:rsid w:val="00AB49CA"/>
    <w:rsid w:val="00AB4AFA"/>
    <w:rsid w:val="00AB4B9F"/>
    <w:rsid w:val="00AB4D01"/>
    <w:rsid w:val="00AB4D3C"/>
    <w:rsid w:val="00AB4D9C"/>
    <w:rsid w:val="00AB51F2"/>
    <w:rsid w:val="00AB52CB"/>
    <w:rsid w:val="00AB5327"/>
    <w:rsid w:val="00AB5496"/>
    <w:rsid w:val="00AB562A"/>
    <w:rsid w:val="00AB5AEF"/>
    <w:rsid w:val="00AB5B6E"/>
    <w:rsid w:val="00AB5C4D"/>
    <w:rsid w:val="00AB5CA3"/>
    <w:rsid w:val="00AB5D18"/>
    <w:rsid w:val="00AB6191"/>
    <w:rsid w:val="00AB61CD"/>
    <w:rsid w:val="00AB6226"/>
    <w:rsid w:val="00AB6291"/>
    <w:rsid w:val="00AB634A"/>
    <w:rsid w:val="00AB64FC"/>
    <w:rsid w:val="00AB6519"/>
    <w:rsid w:val="00AB6945"/>
    <w:rsid w:val="00AB69D3"/>
    <w:rsid w:val="00AB6AE3"/>
    <w:rsid w:val="00AB6D3A"/>
    <w:rsid w:val="00AB6D75"/>
    <w:rsid w:val="00AB6D8B"/>
    <w:rsid w:val="00AB70A9"/>
    <w:rsid w:val="00AB74BF"/>
    <w:rsid w:val="00AB77AC"/>
    <w:rsid w:val="00AB7875"/>
    <w:rsid w:val="00AB7A8C"/>
    <w:rsid w:val="00AB7C1F"/>
    <w:rsid w:val="00AB7EC1"/>
    <w:rsid w:val="00AC006E"/>
    <w:rsid w:val="00AC013F"/>
    <w:rsid w:val="00AC027B"/>
    <w:rsid w:val="00AC0572"/>
    <w:rsid w:val="00AC06A4"/>
    <w:rsid w:val="00AC06FC"/>
    <w:rsid w:val="00AC08DD"/>
    <w:rsid w:val="00AC0C1C"/>
    <w:rsid w:val="00AC0E17"/>
    <w:rsid w:val="00AC1104"/>
    <w:rsid w:val="00AC129A"/>
    <w:rsid w:val="00AC1341"/>
    <w:rsid w:val="00AC13A7"/>
    <w:rsid w:val="00AC197B"/>
    <w:rsid w:val="00AC19BC"/>
    <w:rsid w:val="00AC19D0"/>
    <w:rsid w:val="00AC1C69"/>
    <w:rsid w:val="00AC1C74"/>
    <w:rsid w:val="00AC1EF4"/>
    <w:rsid w:val="00AC2423"/>
    <w:rsid w:val="00AC2893"/>
    <w:rsid w:val="00AC28A3"/>
    <w:rsid w:val="00AC2CA4"/>
    <w:rsid w:val="00AC321A"/>
    <w:rsid w:val="00AC34D1"/>
    <w:rsid w:val="00AC3933"/>
    <w:rsid w:val="00AC3D19"/>
    <w:rsid w:val="00AC3DAB"/>
    <w:rsid w:val="00AC3EB2"/>
    <w:rsid w:val="00AC4237"/>
    <w:rsid w:val="00AC42E0"/>
    <w:rsid w:val="00AC4803"/>
    <w:rsid w:val="00AC4CF2"/>
    <w:rsid w:val="00AC4FEF"/>
    <w:rsid w:val="00AC5144"/>
    <w:rsid w:val="00AC56B0"/>
    <w:rsid w:val="00AC57A7"/>
    <w:rsid w:val="00AC5854"/>
    <w:rsid w:val="00AC5996"/>
    <w:rsid w:val="00AC5AF7"/>
    <w:rsid w:val="00AC5E13"/>
    <w:rsid w:val="00AC6073"/>
    <w:rsid w:val="00AC634D"/>
    <w:rsid w:val="00AC66D8"/>
    <w:rsid w:val="00AC670F"/>
    <w:rsid w:val="00AC68EE"/>
    <w:rsid w:val="00AC6C17"/>
    <w:rsid w:val="00AC6DB0"/>
    <w:rsid w:val="00AC6E7E"/>
    <w:rsid w:val="00AC6F3A"/>
    <w:rsid w:val="00AC7055"/>
    <w:rsid w:val="00AC70C3"/>
    <w:rsid w:val="00AC70F6"/>
    <w:rsid w:val="00AC71F7"/>
    <w:rsid w:val="00AC7321"/>
    <w:rsid w:val="00AC74C3"/>
    <w:rsid w:val="00AC7562"/>
    <w:rsid w:val="00AC7565"/>
    <w:rsid w:val="00AC7661"/>
    <w:rsid w:val="00AC79F5"/>
    <w:rsid w:val="00AC7E83"/>
    <w:rsid w:val="00AD01A8"/>
    <w:rsid w:val="00AD048E"/>
    <w:rsid w:val="00AD055A"/>
    <w:rsid w:val="00AD05C4"/>
    <w:rsid w:val="00AD0904"/>
    <w:rsid w:val="00AD09A3"/>
    <w:rsid w:val="00AD0A93"/>
    <w:rsid w:val="00AD0C36"/>
    <w:rsid w:val="00AD11A0"/>
    <w:rsid w:val="00AD1231"/>
    <w:rsid w:val="00AD127A"/>
    <w:rsid w:val="00AD14B1"/>
    <w:rsid w:val="00AD16E0"/>
    <w:rsid w:val="00AD1841"/>
    <w:rsid w:val="00AD1859"/>
    <w:rsid w:val="00AD19D9"/>
    <w:rsid w:val="00AD1CC9"/>
    <w:rsid w:val="00AD1D60"/>
    <w:rsid w:val="00AD2054"/>
    <w:rsid w:val="00AD211E"/>
    <w:rsid w:val="00AD22D1"/>
    <w:rsid w:val="00AD2306"/>
    <w:rsid w:val="00AD23DE"/>
    <w:rsid w:val="00AD270D"/>
    <w:rsid w:val="00AD2726"/>
    <w:rsid w:val="00AD277B"/>
    <w:rsid w:val="00AD2B80"/>
    <w:rsid w:val="00AD2BBB"/>
    <w:rsid w:val="00AD2C7D"/>
    <w:rsid w:val="00AD2EB9"/>
    <w:rsid w:val="00AD2FDB"/>
    <w:rsid w:val="00AD30E3"/>
    <w:rsid w:val="00AD3114"/>
    <w:rsid w:val="00AD3547"/>
    <w:rsid w:val="00AD3852"/>
    <w:rsid w:val="00AD3BAE"/>
    <w:rsid w:val="00AD3C12"/>
    <w:rsid w:val="00AD3D7F"/>
    <w:rsid w:val="00AD3DEF"/>
    <w:rsid w:val="00AD42D1"/>
    <w:rsid w:val="00AD47BE"/>
    <w:rsid w:val="00AD48A7"/>
    <w:rsid w:val="00AD4C0C"/>
    <w:rsid w:val="00AD4D9A"/>
    <w:rsid w:val="00AD5396"/>
    <w:rsid w:val="00AD5502"/>
    <w:rsid w:val="00AD55AF"/>
    <w:rsid w:val="00AD57E3"/>
    <w:rsid w:val="00AD5836"/>
    <w:rsid w:val="00AD5B05"/>
    <w:rsid w:val="00AD5B75"/>
    <w:rsid w:val="00AD5B93"/>
    <w:rsid w:val="00AD5BC1"/>
    <w:rsid w:val="00AD5C5D"/>
    <w:rsid w:val="00AD5E29"/>
    <w:rsid w:val="00AD62E0"/>
    <w:rsid w:val="00AD6465"/>
    <w:rsid w:val="00AD6758"/>
    <w:rsid w:val="00AD6DC0"/>
    <w:rsid w:val="00AD6DCA"/>
    <w:rsid w:val="00AD71C0"/>
    <w:rsid w:val="00AD7217"/>
    <w:rsid w:val="00AD7763"/>
    <w:rsid w:val="00AD7B4D"/>
    <w:rsid w:val="00AD7C27"/>
    <w:rsid w:val="00ADAEF9"/>
    <w:rsid w:val="00AE019E"/>
    <w:rsid w:val="00AE0295"/>
    <w:rsid w:val="00AE03BD"/>
    <w:rsid w:val="00AE06E8"/>
    <w:rsid w:val="00AE08CC"/>
    <w:rsid w:val="00AE08E3"/>
    <w:rsid w:val="00AE0A73"/>
    <w:rsid w:val="00AE0DA5"/>
    <w:rsid w:val="00AE119A"/>
    <w:rsid w:val="00AE11A6"/>
    <w:rsid w:val="00AE13F2"/>
    <w:rsid w:val="00AE1422"/>
    <w:rsid w:val="00AE16BA"/>
    <w:rsid w:val="00AE16DE"/>
    <w:rsid w:val="00AE1821"/>
    <w:rsid w:val="00AE18A3"/>
    <w:rsid w:val="00AE19BB"/>
    <w:rsid w:val="00AE1CB6"/>
    <w:rsid w:val="00AE2128"/>
    <w:rsid w:val="00AE223F"/>
    <w:rsid w:val="00AE224E"/>
    <w:rsid w:val="00AE2289"/>
    <w:rsid w:val="00AE258E"/>
    <w:rsid w:val="00AE25A2"/>
    <w:rsid w:val="00AE2689"/>
    <w:rsid w:val="00AE2750"/>
    <w:rsid w:val="00AE27A8"/>
    <w:rsid w:val="00AE27CE"/>
    <w:rsid w:val="00AE2977"/>
    <w:rsid w:val="00AE2B5B"/>
    <w:rsid w:val="00AE2D7F"/>
    <w:rsid w:val="00AE2F4C"/>
    <w:rsid w:val="00AE2FC3"/>
    <w:rsid w:val="00AE32D3"/>
    <w:rsid w:val="00AE332B"/>
    <w:rsid w:val="00AE3471"/>
    <w:rsid w:val="00AE370E"/>
    <w:rsid w:val="00AE37CD"/>
    <w:rsid w:val="00AE3921"/>
    <w:rsid w:val="00AE3AE7"/>
    <w:rsid w:val="00AE3CF3"/>
    <w:rsid w:val="00AE4084"/>
    <w:rsid w:val="00AE43D3"/>
    <w:rsid w:val="00AE4439"/>
    <w:rsid w:val="00AE45DB"/>
    <w:rsid w:val="00AE4732"/>
    <w:rsid w:val="00AE473B"/>
    <w:rsid w:val="00AE47F1"/>
    <w:rsid w:val="00AE48A3"/>
    <w:rsid w:val="00AE4F06"/>
    <w:rsid w:val="00AE4F17"/>
    <w:rsid w:val="00AE53FF"/>
    <w:rsid w:val="00AE55AC"/>
    <w:rsid w:val="00AE560E"/>
    <w:rsid w:val="00AE5952"/>
    <w:rsid w:val="00AE5AFC"/>
    <w:rsid w:val="00AE5B3C"/>
    <w:rsid w:val="00AE5D74"/>
    <w:rsid w:val="00AE603B"/>
    <w:rsid w:val="00AE66AE"/>
    <w:rsid w:val="00AE6B90"/>
    <w:rsid w:val="00AE6C38"/>
    <w:rsid w:val="00AE70C6"/>
    <w:rsid w:val="00AE7231"/>
    <w:rsid w:val="00AE7255"/>
    <w:rsid w:val="00AE7382"/>
    <w:rsid w:val="00AE73EC"/>
    <w:rsid w:val="00AE77D2"/>
    <w:rsid w:val="00AE7817"/>
    <w:rsid w:val="00AE78A5"/>
    <w:rsid w:val="00AE79EA"/>
    <w:rsid w:val="00AE7CBD"/>
    <w:rsid w:val="00AE7CCA"/>
    <w:rsid w:val="00AE7E62"/>
    <w:rsid w:val="00AE7E8D"/>
    <w:rsid w:val="00AF0274"/>
    <w:rsid w:val="00AF0708"/>
    <w:rsid w:val="00AF07AE"/>
    <w:rsid w:val="00AF07FB"/>
    <w:rsid w:val="00AF1018"/>
    <w:rsid w:val="00AF104F"/>
    <w:rsid w:val="00AF14B5"/>
    <w:rsid w:val="00AF1DF5"/>
    <w:rsid w:val="00AF22C0"/>
    <w:rsid w:val="00AF23A4"/>
    <w:rsid w:val="00AF2941"/>
    <w:rsid w:val="00AF2D60"/>
    <w:rsid w:val="00AF3284"/>
    <w:rsid w:val="00AF395F"/>
    <w:rsid w:val="00AF3E39"/>
    <w:rsid w:val="00AF3F2C"/>
    <w:rsid w:val="00AF4325"/>
    <w:rsid w:val="00AF4334"/>
    <w:rsid w:val="00AF46F3"/>
    <w:rsid w:val="00AF49C7"/>
    <w:rsid w:val="00AF4A08"/>
    <w:rsid w:val="00AF4A4B"/>
    <w:rsid w:val="00AF4F21"/>
    <w:rsid w:val="00AF5168"/>
    <w:rsid w:val="00AF5275"/>
    <w:rsid w:val="00AF52B3"/>
    <w:rsid w:val="00AF56DE"/>
    <w:rsid w:val="00AF590A"/>
    <w:rsid w:val="00AF5933"/>
    <w:rsid w:val="00AF5A46"/>
    <w:rsid w:val="00AF5B28"/>
    <w:rsid w:val="00AF5D51"/>
    <w:rsid w:val="00AF5D56"/>
    <w:rsid w:val="00AF5E7C"/>
    <w:rsid w:val="00AF60C6"/>
    <w:rsid w:val="00AF62B3"/>
    <w:rsid w:val="00AF6477"/>
    <w:rsid w:val="00AF6583"/>
    <w:rsid w:val="00AF696F"/>
    <w:rsid w:val="00AF6982"/>
    <w:rsid w:val="00AF6B64"/>
    <w:rsid w:val="00AF6BC6"/>
    <w:rsid w:val="00AF6CFD"/>
    <w:rsid w:val="00AF6F20"/>
    <w:rsid w:val="00AF6F70"/>
    <w:rsid w:val="00AF7185"/>
    <w:rsid w:val="00AF73B4"/>
    <w:rsid w:val="00AF751D"/>
    <w:rsid w:val="00AF7641"/>
    <w:rsid w:val="00AF7803"/>
    <w:rsid w:val="00AF78CC"/>
    <w:rsid w:val="00AF7A5D"/>
    <w:rsid w:val="00AF7B2B"/>
    <w:rsid w:val="00B000A3"/>
    <w:rsid w:val="00B00638"/>
    <w:rsid w:val="00B0088E"/>
    <w:rsid w:val="00B0089D"/>
    <w:rsid w:val="00B00976"/>
    <w:rsid w:val="00B009C3"/>
    <w:rsid w:val="00B00BF8"/>
    <w:rsid w:val="00B00C0B"/>
    <w:rsid w:val="00B00D02"/>
    <w:rsid w:val="00B00DC7"/>
    <w:rsid w:val="00B00FC4"/>
    <w:rsid w:val="00B0103B"/>
    <w:rsid w:val="00B0110E"/>
    <w:rsid w:val="00B0114A"/>
    <w:rsid w:val="00B013FF"/>
    <w:rsid w:val="00B01412"/>
    <w:rsid w:val="00B01578"/>
    <w:rsid w:val="00B0178F"/>
    <w:rsid w:val="00B017D2"/>
    <w:rsid w:val="00B01B01"/>
    <w:rsid w:val="00B01C40"/>
    <w:rsid w:val="00B01EC3"/>
    <w:rsid w:val="00B01F7E"/>
    <w:rsid w:val="00B0250E"/>
    <w:rsid w:val="00B02530"/>
    <w:rsid w:val="00B025FD"/>
    <w:rsid w:val="00B02700"/>
    <w:rsid w:val="00B0272F"/>
    <w:rsid w:val="00B027F6"/>
    <w:rsid w:val="00B03171"/>
    <w:rsid w:val="00B03179"/>
    <w:rsid w:val="00B03351"/>
    <w:rsid w:val="00B03493"/>
    <w:rsid w:val="00B03500"/>
    <w:rsid w:val="00B0356F"/>
    <w:rsid w:val="00B03B8F"/>
    <w:rsid w:val="00B03F60"/>
    <w:rsid w:val="00B03F69"/>
    <w:rsid w:val="00B041F8"/>
    <w:rsid w:val="00B042C6"/>
    <w:rsid w:val="00B0443A"/>
    <w:rsid w:val="00B04913"/>
    <w:rsid w:val="00B04927"/>
    <w:rsid w:val="00B04A32"/>
    <w:rsid w:val="00B04BF9"/>
    <w:rsid w:val="00B0529F"/>
    <w:rsid w:val="00B0588E"/>
    <w:rsid w:val="00B05BD4"/>
    <w:rsid w:val="00B05EA1"/>
    <w:rsid w:val="00B06499"/>
    <w:rsid w:val="00B0669D"/>
    <w:rsid w:val="00B0679D"/>
    <w:rsid w:val="00B06C9E"/>
    <w:rsid w:val="00B071B6"/>
    <w:rsid w:val="00B077E1"/>
    <w:rsid w:val="00B07AF6"/>
    <w:rsid w:val="00B10713"/>
    <w:rsid w:val="00B1075F"/>
    <w:rsid w:val="00B10A8F"/>
    <w:rsid w:val="00B10AF6"/>
    <w:rsid w:val="00B10C7F"/>
    <w:rsid w:val="00B10E3E"/>
    <w:rsid w:val="00B10ED0"/>
    <w:rsid w:val="00B1102F"/>
    <w:rsid w:val="00B1107C"/>
    <w:rsid w:val="00B11373"/>
    <w:rsid w:val="00B11813"/>
    <w:rsid w:val="00B11C20"/>
    <w:rsid w:val="00B12712"/>
    <w:rsid w:val="00B12770"/>
    <w:rsid w:val="00B1284C"/>
    <w:rsid w:val="00B12E95"/>
    <w:rsid w:val="00B13038"/>
    <w:rsid w:val="00B132D4"/>
    <w:rsid w:val="00B132ED"/>
    <w:rsid w:val="00B134AB"/>
    <w:rsid w:val="00B137BE"/>
    <w:rsid w:val="00B13CC4"/>
    <w:rsid w:val="00B13DA0"/>
    <w:rsid w:val="00B13DF8"/>
    <w:rsid w:val="00B14031"/>
    <w:rsid w:val="00B141B2"/>
    <w:rsid w:val="00B14472"/>
    <w:rsid w:val="00B144E9"/>
    <w:rsid w:val="00B144EC"/>
    <w:rsid w:val="00B14789"/>
    <w:rsid w:val="00B14CED"/>
    <w:rsid w:val="00B14E8C"/>
    <w:rsid w:val="00B15081"/>
    <w:rsid w:val="00B15093"/>
    <w:rsid w:val="00B152B7"/>
    <w:rsid w:val="00B1547A"/>
    <w:rsid w:val="00B15639"/>
    <w:rsid w:val="00B15813"/>
    <w:rsid w:val="00B15CD6"/>
    <w:rsid w:val="00B15DBA"/>
    <w:rsid w:val="00B15E19"/>
    <w:rsid w:val="00B15E22"/>
    <w:rsid w:val="00B15F99"/>
    <w:rsid w:val="00B16002"/>
    <w:rsid w:val="00B16322"/>
    <w:rsid w:val="00B16471"/>
    <w:rsid w:val="00B1682D"/>
    <w:rsid w:val="00B16831"/>
    <w:rsid w:val="00B16A1D"/>
    <w:rsid w:val="00B16C2A"/>
    <w:rsid w:val="00B16C55"/>
    <w:rsid w:val="00B16D26"/>
    <w:rsid w:val="00B16F8A"/>
    <w:rsid w:val="00B17034"/>
    <w:rsid w:val="00B17261"/>
    <w:rsid w:val="00B1781E"/>
    <w:rsid w:val="00B17833"/>
    <w:rsid w:val="00B17B66"/>
    <w:rsid w:val="00B20174"/>
    <w:rsid w:val="00B203CF"/>
    <w:rsid w:val="00B20602"/>
    <w:rsid w:val="00B20618"/>
    <w:rsid w:val="00B20A75"/>
    <w:rsid w:val="00B20ACE"/>
    <w:rsid w:val="00B20D76"/>
    <w:rsid w:val="00B20E8F"/>
    <w:rsid w:val="00B20F8A"/>
    <w:rsid w:val="00B213B7"/>
    <w:rsid w:val="00B2181E"/>
    <w:rsid w:val="00B21898"/>
    <w:rsid w:val="00B21931"/>
    <w:rsid w:val="00B21943"/>
    <w:rsid w:val="00B21E66"/>
    <w:rsid w:val="00B2231B"/>
    <w:rsid w:val="00B22373"/>
    <w:rsid w:val="00B22801"/>
    <w:rsid w:val="00B228BB"/>
    <w:rsid w:val="00B228CA"/>
    <w:rsid w:val="00B22955"/>
    <w:rsid w:val="00B22E03"/>
    <w:rsid w:val="00B2305E"/>
    <w:rsid w:val="00B234D8"/>
    <w:rsid w:val="00B2353E"/>
    <w:rsid w:val="00B238C6"/>
    <w:rsid w:val="00B23959"/>
    <w:rsid w:val="00B2395D"/>
    <w:rsid w:val="00B23C08"/>
    <w:rsid w:val="00B24164"/>
    <w:rsid w:val="00B2476D"/>
    <w:rsid w:val="00B24B35"/>
    <w:rsid w:val="00B24C59"/>
    <w:rsid w:val="00B24EF5"/>
    <w:rsid w:val="00B250BD"/>
    <w:rsid w:val="00B25BD1"/>
    <w:rsid w:val="00B25C0C"/>
    <w:rsid w:val="00B25D39"/>
    <w:rsid w:val="00B25EB7"/>
    <w:rsid w:val="00B25EF1"/>
    <w:rsid w:val="00B25F7A"/>
    <w:rsid w:val="00B26020"/>
    <w:rsid w:val="00B26113"/>
    <w:rsid w:val="00B26233"/>
    <w:rsid w:val="00B26373"/>
    <w:rsid w:val="00B263CC"/>
    <w:rsid w:val="00B263F2"/>
    <w:rsid w:val="00B2653E"/>
    <w:rsid w:val="00B26BBA"/>
    <w:rsid w:val="00B26C7E"/>
    <w:rsid w:val="00B26D1D"/>
    <w:rsid w:val="00B26F7E"/>
    <w:rsid w:val="00B270FC"/>
    <w:rsid w:val="00B271B5"/>
    <w:rsid w:val="00B272B0"/>
    <w:rsid w:val="00B273C0"/>
    <w:rsid w:val="00B2740D"/>
    <w:rsid w:val="00B27F39"/>
    <w:rsid w:val="00B3027E"/>
    <w:rsid w:val="00B30687"/>
    <w:rsid w:val="00B3072E"/>
    <w:rsid w:val="00B3087D"/>
    <w:rsid w:val="00B30A73"/>
    <w:rsid w:val="00B30D7F"/>
    <w:rsid w:val="00B30E40"/>
    <w:rsid w:val="00B30F91"/>
    <w:rsid w:val="00B312D1"/>
    <w:rsid w:val="00B313D5"/>
    <w:rsid w:val="00B31451"/>
    <w:rsid w:val="00B3151F"/>
    <w:rsid w:val="00B315AD"/>
    <w:rsid w:val="00B31879"/>
    <w:rsid w:val="00B3196C"/>
    <w:rsid w:val="00B31A0A"/>
    <w:rsid w:val="00B31C22"/>
    <w:rsid w:val="00B3226A"/>
    <w:rsid w:val="00B3241A"/>
    <w:rsid w:val="00B32534"/>
    <w:rsid w:val="00B325DE"/>
    <w:rsid w:val="00B32A60"/>
    <w:rsid w:val="00B32B7B"/>
    <w:rsid w:val="00B32BEA"/>
    <w:rsid w:val="00B32C8B"/>
    <w:rsid w:val="00B32D8D"/>
    <w:rsid w:val="00B32DB5"/>
    <w:rsid w:val="00B3352C"/>
    <w:rsid w:val="00B3357E"/>
    <w:rsid w:val="00B3372D"/>
    <w:rsid w:val="00B33E03"/>
    <w:rsid w:val="00B34138"/>
    <w:rsid w:val="00B3415D"/>
    <w:rsid w:val="00B3421A"/>
    <w:rsid w:val="00B34794"/>
    <w:rsid w:val="00B348B5"/>
    <w:rsid w:val="00B34BCE"/>
    <w:rsid w:val="00B34C98"/>
    <w:rsid w:val="00B34E16"/>
    <w:rsid w:val="00B34E94"/>
    <w:rsid w:val="00B357D4"/>
    <w:rsid w:val="00B35A23"/>
    <w:rsid w:val="00B35A3F"/>
    <w:rsid w:val="00B35C60"/>
    <w:rsid w:val="00B35C97"/>
    <w:rsid w:val="00B35EAA"/>
    <w:rsid w:val="00B361BA"/>
    <w:rsid w:val="00B365BE"/>
    <w:rsid w:val="00B365F7"/>
    <w:rsid w:val="00B36859"/>
    <w:rsid w:val="00B369CD"/>
    <w:rsid w:val="00B36AB3"/>
    <w:rsid w:val="00B36D16"/>
    <w:rsid w:val="00B36DBC"/>
    <w:rsid w:val="00B36EC6"/>
    <w:rsid w:val="00B36F1D"/>
    <w:rsid w:val="00B374D5"/>
    <w:rsid w:val="00B3767F"/>
    <w:rsid w:val="00B37817"/>
    <w:rsid w:val="00B378FE"/>
    <w:rsid w:val="00B37995"/>
    <w:rsid w:val="00B379C2"/>
    <w:rsid w:val="00B37D9D"/>
    <w:rsid w:val="00B37DB4"/>
    <w:rsid w:val="00B40222"/>
    <w:rsid w:val="00B405DA"/>
    <w:rsid w:val="00B4093D"/>
    <w:rsid w:val="00B40AEF"/>
    <w:rsid w:val="00B40BAF"/>
    <w:rsid w:val="00B40DB9"/>
    <w:rsid w:val="00B40EC6"/>
    <w:rsid w:val="00B40ED3"/>
    <w:rsid w:val="00B410A6"/>
    <w:rsid w:val="00B41285"/>
    <w:rsid w:val="00B412AD"/>
    <w:rsid w:val="00B412F5"/>
    <w:rsid w:val="00B4131B"/>
    <w:rsid w:val="00B4143C"/>
    <w:rsid w:val="00B4149F"/>
    <w:rsid w:val="00B414A2"/>
    <w:rsid w:val="00B41722"/>
    <w:rsid w:val="00B41B22"/>
    <w:rsid w:val="00B41C59"/>
    <w:rsid w:val="00B41ECD"/>
    <w:rsid w:val="00B420AF"/>
    <w:rsid w:val="00B422DE"/>
    <w:rsid w:val="00B42491"/>
    <w:rsid w:val="00B42BC6"/>
    <w:rsid w:val="00B42CB7"/>
    <w:rsid w:val="00B43084"/>
    <w:rsid w:val="00B437E8"/>
    <w:rsid w:val="00B43F6B"/>
    <w:rsid w:val="00B4418B"/>
    <w:rsid w:val="00B441EA"/>
    <w:rsid w:val="00B44252"/>
    <w:rsid w:val="00B444DB"/>
    <w:rsid w:val="00B44A77"/>
    <w:rsid w:val="00B44D6D"/>
    <w:rsid w:val="00B44D7D"/>
    <w:rsid w:val="00B44E8F"/>
    <w:rsid w:val="00B44EAE"/>
    <w:rsid w:val="00B44EB3"/>
    <w:rsid w:val="00B44ECC"/>
    <w:rsid w:val="00B45134"/>
    <w:rsid w:val="00B45155"/>
    <w:rsid w:val="00B4549C"/>
    <w:rsid w:val="00B4553E"/>
    <w:rsid w:val="00B45620"/>
    <w:rsid w:val="00B4595C"/>
    <w:rsid w:val="00B45C05"/>
    <w:rsid w:val="00B45C78"/>
    <w:rsid w:val="00B45C81"/>
    <w:rsid w:val="00B45FAD"/>
    <w:rsid w:val="00B46002"/>
    <w:rsid w:val="00B461C8"/>
    <w:rsid w:val="00B463AD"/>
    <w:rsid w:val="00B46665"/>
    <w:rsid w:val="00B466E9"/>
    <w:rsid w:val="00B468FB"/>
    <w:rsid w:val="00B4755A"/>
    <w:rsid w:val="00B47AEF"/>
    <w:rsid w:val="00B47BF3"/>
    <w:rsid w:val="00B47CA0"/>
    <w:rsid w:val="00B47D47"/>
    <w:rsid w:val="00B5026C"/>
    <w:rsid w:val="00B503B0"/>
    <w:rsid w:val="00B503C2"/>
    <w:rsid w:val="00B50561"/>
    <w:rsid w:val="00B506F2"/>
    <w:rsid w:val="00B5080D"/>
    <w:rsid w:val="00B50CC6"/>
    <w:rsid w:val="00B50CD3"/>
    <w:rsid w:val="00B50F02"/>
    <w:rsid w:val="00B50FFE"/>
    <w:rsid w:val="00B51003"/>
    <w:rsid w:val="00B51734"/>
    <w:rsid w:val="00B517F2"/>
    <w:rsid w:val="00B51DC0"/>
    <w:rsid w:val="00B52733"/>
    <w:rsid w:val="00B52AFE"/>
    <w:rsid w:val="00B52E5D"/>
    <w:rsid w:val="00B52F10"/>
    <w:rsid w:val="00B530BF"/>
    <w:rsid w:val="00B536F2"/>
    <w:rsid w:val="00B5370B"/>
    <w:rsid w:val="00B538A3"/>
    <w:rsid w:val="00B53A3A"/>
    <w:rsid w:val="00B53B15"/>
    <w:rsid w:val="00B53CA4"/>
    <w:rsid w:val="00B53D60"/>
    <w:rsid w:val="00B53EAA"/>
    <w:rsid w:val="00B54452"/>
    <w:rsid w:val="00B544E2"/>
    <w:rsid w:val="00B54A47"/>
    <w:rsid w:val="00B54B0E"/>
    <w:rsid w:val="00B54B5B"/>
    <w:rsid w:val="00B54B7C"/>
    <w:rsid w:val="00B54BD2"/>
    <w:rsid w:val="00B54C64"/>
    <w:rsid w:val="00B54F38"/>
    <w:rsid w:val="00B55048"/>
    <w:rsid w:val="00B55487"/>
    <w:rsid w:val="00B556FE"/>
    <w:rsid w:val="00B55891"/>
    <w:rsid w:val="00B5595C"/>
    <w:rsid w:val="00B55A11"/>
    <w:rsid w:val="00B55C4E"/>
    <w:rsid w:val="00B55E5E"/>
    <w:rsid w:val="00B55FFB"/>
    <w:rsid w:val="00B56396"/>
    <w:rsid w:val="00B569A6"/>
    <w:rsid w:val="00B5703D"/>
    <w:rsid w:val="00B57228"/>
    <w:rsid w:val="00B57729"/>
    <w:rsid w:val="00B57816"/>
    <w:rsid w:val="00B5798E"/>
    <w:rsid w:val="00B57A90"/>
    <w:rsid w:val="00B57BCE"/>
    <w:rsid w:val="00B57D0B"/>
    <w:rsid w:val="00B6018D"/>
    <w:rsid w:val="00B602E4"/>
    <w:rsid w:val="00B60421"/>
    <w:rsid w:val="00B605D6"/>
    <w:rsid w:val="00B60AB8"/>
    <w:rsid w:val="00B60D14"/>
    <w:rsid w:val="00B60E87"/>
    <w:rsid w:val="00B60FBC"/>
    <w:rsid w:val="00B6183D"/>
    <w:rsid w:val="00B61905"/>
    <w:rsid w:val="00B61C20"/>
    <w:rsid w:val="00B61D1F"/>
    <w:rsid w:val="00B62256"/>
    <w:rsid w:val="00B622E4"/>
    <w:rsid w:val="00B62722"/>
    <w:rsid w:val="00B6272E"/>
    <w:rsid w:val="00B62745"/>
    <w:rsid w:val="00B62A0B"/>
    <w:rsid w:val="00B62A58"/>
    <w:rsid w:val="00B630DC"/>
    <w:rsid w:val="00B6392D"/>
    <w:rsid w:val="00B63BCB"/>
    <w:rsid w:val="00B63CE0"/>
    <w:rsid w:val="00B63DC5"/>
    <w:rsid w:val="00B63E53"/>
    <w:rsid w:val="00B64174"/>
    <w:rsid w:val="00B6421E"/>
    <w:rsid w:val="00B643DA"/>
    <w:rsid w:val="00B64491"/>
    <w:rsid w:val="00B6464C"/>
    <w:rsid w:val="00B6466E"/>
    <w:rsid w:val="00B64817"/>
    <w:rsid w:val="00B64A0E"/>
    <w:rsid w:val="00B64A32"/>
    <w:rsid w:val="00B64BD3"/>
    <w:rsid w:val="00B64D40"/>
    <w:rsid w:val="00B64E1D"/>
    <w:rsid w:val="00B64F12"/>
    <w:rsid w:val="00B64FD3"/>
    <w:rsid w:val="00B650AA"/>
    <w:rsid w:val="00B6516A"/>
    <w:rsid w:val="00B65579"/>
    <w:rsid w:val="00B657EF"/>
    <w:rsid w:val="00B6587F"/>
    <w:rsid w:val="00B65BED"/>
    <w:rsid w:val="00B66031"/>
    <w:rsid w:val="00B66229"/>
    <w:rsid w:val="00B66260"/>
    <w:rsid w:val="00B66442"/>
    <w:rsid w:val="00B664A8"/>
    <w:rsid w:val="00B66846"/>
    <w:rsid w:val="00B6691C"/>
    <w:rsid w:val="00B66DCC"/>
    <w:rsid w:val="00B66E80"/>
    <w:rsid w:val="00B67111"/>
    <w:rsid w:val="00B672E2"/>
    <w:rsid w:val="00B67336"/>
    <w:rsid w:val="00B67406"/>
    <w:rsid w:val="00B679E9"/>
    <w:rsid w:val="00B67A35"/>
    <w:rsid w:val="00B67AF5"/>
    <w:rsid w:val="00B67B62"/>
    <w:rsid w:val="00B70047"/>
    <w:rsid w:val="00B703C6"/>
    <w:rsid w:val="00B70743"/>
    <w:rsid w:val="00B70765"/>
    <w:rsid w:val="00B70880"/>
    <w:rsid w:val="00B70A9F"/>
    <w:rsid w:val="00B70AA0"/>
    <w:rsid w:val="00B70C55"/>
    <w:rsid w:val="00B70D4D"/>
    <w:rsid w:val="00B70E1B"/>
    <w:rsid w:val="00B70EB7"/>
    <w:rsid w:val="00B70FC0"/>
    <w:rsid w:val="00B712C3"/>
    <w:rsid w:val="00B71430"/>
    <w:rsid w:val="00B71C09"/>
    <w:rsid w:val="00B71C18"/>
    <w:rsid w:val="00B71E3B"/>
    <w:rsid w:val="00B71FE8"/>
    <w:rsid w:val="00B72052"/>
    <w:rsid w:val="00B722DA"/>
    <w:rsid w:val="00B72B86"/>
    <w:rsid w:val="00B72C80"/>
    <w:rsid w:val="00B72CB3"/>
    <w:rsid w:val="00B72D42"/>
    <w:rsid w:val="00B72EB8"/>
    <w:rsid w:val="00B7331F"/>
    <w:rsid w:val="00B73488"/>
    <w:rsid w:val="00B73650"/>
    <w:rsid w:val="00B73886"/>
    <w:rsid w:val="00B739FC"/>
    <w:rsid w:val="00B73C69"/>
    <w:rsid w:val="00B73CBE"/>
    <w:rsid w:val="00B73D0A"/>
    <w:rsid w:val="00B73E4D"/>
    <w:rsid w:val="00B73E97"/>
    <w:rsid w:val="00B73EAD"/>
    <w:rsid w:val="00B73F8F"/>
    <w:rsid w:val="00B74130"/>
    <w:rsid w:val="00B741C6"/>
    <w:rsid w:val="00B741ED"/>
    <w:rsid w:val="00B743D0"/>
    <w:rsid w:val="00B74649"/>
    <w:rsid w:val="00B74AB5"/>
    <w:rsid w:val="00B74BBE"/>
    <w:rsid w:val="00B74FFA"/>
    <w:rsid w:val="00B75353"/>
    <w:rsid w:val="00B754EA"/>
    <w:rsid w:val="00B7550E"/>
    <w:rsid w:val="00B75536"/>
    <w:rsid w:val="00B75693"/>
    <w:rsid w:val="00B759AA"/>
    <w:rsid w:val="00B75B00"/>
    <w:rsid w:val="00B75D82"/>
    <w:rsid w:val="00B76015"/>
    <w:rsid w:val="00B76181"/>
    <w:rsid w:val="00B761A1"/>
    <w:rsid w:val="00B7648F"/>
    <w:rsid w:val="00B765CE"/>
    <w:rsid w:val="00B7667C"/>
    <w:rsid w:val="00B767D9"/>
    <w:rsid w:val="00B76881"/>
    <w:rsid w:val="00B76953"/>
    <w:rsid w:val="00B76B2A"/>
    <w:rsid w:val="00B76E74"/>
    <w:rsid w:val="00B76F94"/>
    <w:rsid w:val="00B77044"/>
    <w:rsid w:val="00B7707E"/>
    <w:rsid w:val="00B772AE"/>
    <w:rsid w:val="00B77362"/>
    <w:rsid w:val="00B77477"/>
    <w:rsid w:val="00B775A7"/>
    <w:rsid w:val="00B77701"/>
    <w:rsid w:val="00B778FB"/>
    <w:rsid w:val="00B77972"/>
    <w:rsid w:val="00B77985"/>
    <w:rsid w:val="00B77DFD"/>
    <w:rsid w:val="00B77FC6"/>
    <w:rsid w:val="00B8021A"/>
    <w:rsid w:val="00B80828"/>
    <w:rsid w:val="00B80B12"/>
    <w:rsid w:val="00B80C68"/>
    <w:rsid w:val="00B80C78"/>
    <w:rsid w:val="00B80E4B"/>
    <w:rsid w:val="00B810FE"/>
    <w:rsid w:val="00B81125"/>
    <w:rsid w:val="00B8114D"/>
    <w:rsid w:val="00B814A1"/>
    <w:rsid w:val="00B81983"/>
    <w:rsid w:val="00B8199B"/>
    <w:rsid w:val="00B81B77"/>
    <w:rsid w:val="00B81DB5"/>
    <w:rsid w:val="00B81E38"/>
    <w:rsid w:val="00B81EB6"/>
    <w:rsid w:val="00B81FF9"/>
    <w:rsid w:val="00B82034"/>
    <w:rsid w:val="00B8262D"/>
    <w:rsid w:val="00B827F0"/>
    <w:rsid w:val="00B82878"/>
    <w:rsid w:val="00B82AA4"/>
    <w:rsid w:val="00B82CB6"/>
    <w:rsid w:val="00B82DAC"/>
    <w:rsid w:val="00B82F6E"/>
    <w:rsid w:val="00B83018"/>
    <w:rsid w:val="00B8307D"/>
    <w:rsid w:val="00B8314E"/>
    <w:rsid w:val="00B831B8"/>
    <w:rsid w:val="00B8324E"/>
    <w:rsid w:val="00B832F4"/>
    <w:rsid w:val="00B83334"/>
    <w:rsid w:val="00B83887"/>
    <w:rsid w:val="00B83910"/>
    <w:rsid w:val="00B83E3E"/>
    <w:rsid w:val="00B84056"/>
    <w:rsid w:val="00B841EA"/>
    <w:rsid w:val="00B84240"/>
    <w:rsid w:val="00B84573"/>
    <w:rsid w:val="00B8465D"/>
    <w:rsid w:val="00B847E5"/>
    <w:rsid w:val="00B84D43"/>
    <w:rsid w:val="00B84F7E"/>
    <w:rsid w:val="00B84FB6"/>
    <w:rsid w:val="00B84FB8"/>
    <w:rsid w:val="00B84FE3"/>
    <w:rsid w:val="00B85200"/>
    <w:rsid w:val="00B854B4"/>
    <w:rsid w:val="00B85510"/>
    <w:rsid w:val="00B855F0"/>
    <w:rsid w:val="00B85917"/>
    <w:rsid w:val="00B85AC4"/>
    <w:rsid w:val="00B85B9A"/>
    <w:rsid w:val="00B8660C"/>
    <w:rsid w:val="00B86667"/>
    <w:rsid w:val="00B8680C"/>
    <w:rsid w:val="00B86A91"/>
    <w:rsid w:val="00B87009"/>
    <w:rsid w:val="00B87020"/>
    <w:rsid w:val="00B87052"/>
    <w:rsid w:val="00B8722C"/>
    <w:rsid w:val="00B8729E"/>
    <w:rsid w:val="00B87418"/>
    <w:rsid w:val="00B8786E"/>
    <w:rsid w:val="00B87B74"/>
    <w:rsid w:val="00B87BA3"/>
    <w:rsid w:val="00B87BCF"/>
    <w:rsid w:val="00B87C25"/>
    <w:rsid w:val="00B87D36"/>
    <w:rsid w:val="00B87EE0"/>
    <w:rsid w:val="00B87EFA"/>
    <w:rsid w:val="00B87F91"/>
    <w:rsid w:val="00B90073"/>
    <w:rsid w:val="00B9041F"/>
    <w:rsid w:val="00B90692"/>
    <w:rsid w:val="00B9078A"/>
    <w:rsid w:val="00B90863"/>
    <w:rsid w:val="00B90980"/>
    <w:rsid w:val="00B90B1A"/>
    <w:rsid w:val="00B90B6C"/>
    <w:rsid w:val="00B90BF9"/>
    <w:rsid w:val="00B90D40"/>
    <w:rsid w:val="00B90D9D"/>
    <w:rsid w:val="00B90EA7"/>
    <w:rsid w:val="00B90EB6"/>
    <w:rsid w:val="00B90F00"/>
    <w:rsid w:val="00B90FA4"/>
    <w:rsid w:val="00B9115F"/>
    <w:rsid w:val="00B9121C"/>
    <w:rsid w:val="00B9147A"/>
    <w:rsid w:val="00B91699"/>
    <w:rsid w:val="00B9175D"/>
    <w:rsid w:val="00B91766"/>
    <w:rsid w:val="00B918A0"/>
    <w:rsid w:val="00B9196E"/>
    <w:rsid w:val="00B91AC5"/>
    <w:rsid w:val="00B91CEB"/>
    <w:rsid w:val="00B91FA8"/>
    <w:rsid w:val="00B9209C"/>
    <w:rsid w:val="00B92169"/>
    <w:rsid w:val="00B92187"/>
    <w:rsid w:val="00B92C5A"/>
    <w:rsid w:val="00B92C96"/>
    <w:rsid w:val="00B92CD6"/>
    <w:rsid w:val="00B92EE1"/>
    <w:rsid w:val="00B92F0C"/>
    <w:rsid w:val="00B934AF"/>
    <w:rsid w:val="00B937C2"/>
    <w:rsid w:val="00B942EC"/>
    <w:rsid w:val="00B9465B"/>
    <w:rsid w:val="00B94667"/>
    <w:rsid w:val="00B946C2"/>
    <w:rsid w:val="00B947C8"/>
    <w:rsid w:val="00B94801"/>
    <w:rsid w:val="00B9481C"/>
    <w:rsid w:val="00B9492F"/>
    <w:rsid w:val="00B94C86"/>
    <w:rsid w:val="00B94C97"/>
    <w:rsid w:val="00B94F75"/>
    <w:rsid w:val="00B94FEA"/>
    <w:rsid w:val="00B95B22"/>
    <w:rsid w:val="00B95C06"/>
    <w:rsid w:val="00B95C32"/>
    <w:rsid w:val="00B95CBA"/>
    <w:rsid w:val="00B95CD5"/>
    <w:rsid w:val="00B96043"/>
    <w:rsid w:val="00B9649E"/>
    <w:rsid w:val="00B964D1"/>
    <w:rsid w:val="00B966C3"/>
    <w:rsid w:val="00B966F0"/>
    <w:rsid w:val="00B9675D"/>
    <w:rsid w:val="00B967BD"/>
    <w:rsid w:val="00B96AAB"/>
    <w:rsid w:val="00B96B4D"/>
    <w:rsid w:val="00B96CA0"/>
    <w:rsid w:val="00B96DB1"/>
    <w:rsid w:val="00B96FC6"/>
    <w:rsid w:val="00B970D6"/>
    <w:rsid w:val="00B9711E"/>
    <w:rsid w:val="00B9726C"/>
    <w:rsid w:val="00B9747B"/>
    <w:rsid w:val="00B97616"/>
    <w:rsid w:val="00B97893"/>
    <w:rsid w:val="00B978B1"/>
    <w:rsid w:val="00B97C38"/>
    <w:rsid w:val="00B97EC6"/>
    <w:rsid w:val="00BA017D"/>
    <w:rsid w:val="00BA0393"/>
    <w:rsid w:val="00BA04C2"/>
    <w:rsid w:val="00BA096E"/>
    <w:rsid w:val="00BA0A1A"/>
    <w:rsid w:val="00BA0B02"/>
    <w:rsid w:val="00BA0C5D"/>
    <w:rsid w:val="00BA0CF1"/>
    <w:rsid w:val="00BA0DC5"/>
    <w:rsid w:val="00BA0DEF"/>
    <w:rsid w:val="00BA106E"/>
    <w:rsid w:val="00BA11AC"/>
    <w:rsid w:val="00BA12BD"/>
    <w:rsid w:val="00BA166C"/>
    <w:rsid w:val="00BA171F"/>
    <w:rsid w:val="00BA192B"/>
    <w:rsid w:val="00BA1930"/>
    <w:rsid w:val="00BA195C"/>
    <w:rsid w:val="00BA1C9D"/>
    <w:rsid w:val="00BA21B3"/>
    <w:rsid w:val="00BA228F"/>
    <w:rsid w:val="00BA232B"/>
    <w:rsid w:val="00BA2745"/>
    <w:rsid w:val="00BA2765"/>
    <w:rsid w:val="00BA2B0C"/>
    <w:rsid w:val="00BA2BA0"/>
    <w:rsid w:val="00BA2EE8"/>
    <w:rsid w:val="00BA3095"/>
    <w:rsid w:val="00BA3194"/>
    <w:rsid w:val="00BA32BD"/>
    <w:rsid w:val="00BA348A"/>
    <w:rsid w:val="00BA37F1"/>
    <w:rsid w:val="00BA3825"/>
    <w:rsid w:val="00BA3A9A"/>
    <w:rsid w:val="00BA3CC1"/>
    <w:rsid w:val="00BA3DAA"/>
    <w:rsid w:val="00BA3E66"/>
    <w:rsid w:val="00BA3EBF"/>
    <w:rsid w:val="00BA3F36"/>
    <w:rsid w:val="00BA402F"/>
    <w:rsid w:val="00BA4337"/>
    <w:rsid w:val="00BA4969"/>
    <w:rsid w:val="00BA4AD7"/>
    <w:rsid w:val="00BA4AF7"/>
    <w:rsid w:val="00BA4D1A"/>
    <w:rsid w:val="00BA4DCE"/>
    <w:rsid w:val="00BA51B0"/>
    <w:rsid w:val="00BA5449"/>
    <w:rsid w:val="00BA5643"/>
    <w:rsid w:val="00BA56A9"/>
    <w:rsid w:val="00BA573E"/>
    <w:rsid w:val="00BA5B93"/>
    <w:rsid w:val="00BA5F1D"/>
    <w:rsid w:val="00BA60A2"/>
    <w:rsid w:val="00BA61A5"/>
    <w:rsid w:val="00BA623A"/>
    <w:rsid w:val="00BA62CD"/>
    <w:rsid w:val="00BA68A0"/>
    <w:rsid w:val="00BA6991"/>
    <w:rsid w:val="00BA6A77"/>
    <w:rsid w:val="00BA6AFD"/>
    <w:rsid w:val="00BA6C2E"/>
    <w:rsid w:val="00BA6DC2"/>
    <w:rsid w:val="00BA7131"/>
    <w:rsid w:val="00BA7603"/>
    <w:rsid w:val="00BA783F"/>
    <w:rsid w:val="00BA7858"/>
    <w:rsid w:val="00BA7872"/>
    <w:rsid w:val="00BA7A0B"/>
    <w:rsid w:val="00BA7C00"/>
    <w:rsid w:val="00BA7D83"/>
    <w:rsid w:val="00BB0037"/>
    <w:rsid w:val="00BB0243"/>
    <w:rsid w:val="00BB02C0"/>
    <w:rsid w:val="00BB03F5"/>
    <w:rsid w:val="00BB06C1"/>
    <w:rsid w:val="00BB0795"/>
    <w:rsid w:val="00BB083C"/>
    <w:rsid w:val="00BB0E05"/>
    <w:rsid w:val="00BB1096"/>
    <w:rsid w:val="00BB13F9"/>
    <w:rsid w:val="00BB14C3"/>
    <w:rsid w:val="00BB1625"/>
    <w:rsid w:val="00BB18AC"/>
    <w:rsid w:val="00BB1958"/>
    <w:rsid w:val="00BB1B13"/>
    <w:rsid w:val="00BB1C73"/>
    <w:rsid w:val="00BB1CDB"/>
    <w:rsid w:val="00BB1EE0"/>
    <w:rsid w:val="00BB2034"/>
    <w:rsid w:val="00BB2106"/>
    <w:rsid w:val="00BB234C"/>
    <w:rsid w:val="00BB23C1"/>
    <w:rsid w:val="00BB24B0"/>
    <w:rsid w:val="00BB27F1"/>
    <w:rsid w:val="00BB289C"/>
    <w:rsid w:val="00BB2B42"/>
    <w:rsid w:val="00BB2CCC"/>
    <w:rsid w:val="00BB2DBC"/>
    <w:rsid w:val="00BB2FE0"/>
    <w:rsid w:val="00BB30CD"/>
    <w:rsid w:val="00BB3203"/>
    <w:rsid w:val="00BB33D3"/>
    <w:rsid w:val="00BB387B"/>
    <w:rsid w:val="00BB38BA"/>
    <w:rsid w:val="00BB3AB1"/>
    <w:rsid w:val="00BB3AC7"/>
    <w:rsid w:val="00BB3DEB"/>
    <w:rsid w:val="00BB3F0D"/>
    <w:rsid w:val="00BB4136"/>
    <w:rsid w:val="00BB4208"/>
    <w:rsid w:val="00BB431D"/>
    <w:rsid w:val="00BB44AB"/>
    <w:rsid w:val="00BB45CC"/>
    <w:rsid w:val="00BB4620"/>
    <w:rsid w:val="00BB480B"/>
    <w:rsid w:val="00BB4970"/>
    <w:rsid w:val="00BB49E6"/>
    <w:rsid w:val="00BB4A0B"/>
    <w:rsid w:val="00BB4A97"/>
    <w:rsid w:val="00BB4ADA"/>
    <w:rsid w:val="00BB4DB2"/>
    <w:rsid w:val="00BB54FA"/>
    <w:rsid w:val="00BB5989"/>
    <w:rsid w:val="00BB5EF7"/>
    <w:rsid w:val="00BB5FC2"/>
    <w:rsid w:val="00BB60C6"/>
    <w:rsid w:val="00BB637A"/>
    <w:rsid w:val="00BB665F"/>
    <w:rsid w:val="00BB6729"/>
    <w:rsid w:val="00BB68DE"/>
    <w:rsid w:val="00BB6985"/>
    <w:rsid w:val="00BB6A47"/>
    <w:rsid w:val="00BB6CA5"/>
    <w:rsid w:val="00BB6F42"/>
    <w:rsid w:val="00BB72B7"/>
    <w:rsid w:val="00BB72BE"/>
    <w:rsid w:val="00BB7370"/>
    <w:rsid w:val="00BB7759"/>
    <w:rsid w:val="00BB798A"/>
    <w:rsid w:val="00BB7B1F"/>
    <w:rsid w:val="00BB7BFC"/>
    <w:rsid w:val="00BB7C29"/>
    <w:rsid w:val="00BB7C55"/>
    <w:rsid w:val="00BB7E0E"/>
    <w:rsid w:val="00BC083C"/>
    <w:rsid w:val="00BC0F62"/>
    <w:rsid w:val="00BC0F6A"/>
    <w:rsid w:val="00BC0FC4"/>
    <w:rsid w:val="00BC108D"/>
    <w:rsid w:val="00BC11D0"/>
    <w:rsid w:val="00BC125A"/>
    <w:rsid w:val="00BC168F"/>
    <w:rsid w:val="00BC1828"/>
    <w:rsid w:val="00BC194C"/>
    <w:rsid w:val="00BC19DF"/>
    <w:rsid w:val="00BC1ACA"/>
    <w:rsid w:val="00BC1AD3"/>
    <w:rsid w:val="00BC1B12"/>
    <w:rsid w:val="00BC1C01"/>
    <w:rsid w:val="00BC1E53"/>
    <w:rsid w:val="00BC1E77"/>
    <w:rsid w:val="00BC2086"/>
    <w:rsid w:val="00BC2258"/>
    <w:rsid w:val="00BC22B2"/>
    <w:rsid w:val="00BC2609"/>
    <w:rsid w:val="00BC28AE"/>
    <w:rsid w:val="00BC2958"/>
    <w:rsid w:val="00BC2A33"/>
    <w:rsid w:val="00BC2D57"/>
    <w:rsid w:val="00BC3271"/>
    <w:rsid w:val="00BC3438"/>
    <w:rsid w:val="00BC37A2"/>
    <w:rsid w:val="00BC39A6"/>
    <w:rsid w:val="00BC3D42"/>
    <w:rsid w:val="00BC4169"/>
    <w:rsid w:val="00BC4400"/>
    <w:rsid w:val="00BC4A49"/>
    <w:rsid w:val="00BC4A7C"/>
    <w:rsid w:val="00BC4AD9"/>
    <w:rsid w:val="00BC4B2F"/>
    <w:rsid w:val="00BC4D88"/>
    <w:rsid w:val="00BC4F14"/>
    <w:rsid w:val="00BC5458"/>
    <w:rsid w:val="00BC54A6"/>
    <w:rsid w:val="00BC5547"/>
    <w:rsid w:val="00BC56AA"/>
    <w:rsid w:val="00BC577A"/>
    <w:rsid w:val="00BC583E"/>
    <w:rsid w:val="00BC5A02"/>
    <w:rsid w:val="00BC5B04"/>
    <w:rsid w:val="00BC5B7B"/>
    <w:rsid w:val="00BC632C"/>
    <w:rsid w:val="00BC6703"/>
    <w:rsid w:val="00BC6954"/>
    <w:rsid w:val="00BC71D2"/>
    <w:rsid w:val="00BC740E"/>
    <w:rsid w:val="00BC74E9"/>
    <w:rsid w:val="00BC77D2"/>
    <w:rsid w:val="00BC79B1"/>
    <w:rsid w:val="00BC79D6"/>
    <w:rsid w:val="00BC7A98"/>
    <w:rsid w:val="00BC7AD6"/>
    <w:rsid w:val="00BC7B1F"/>
    <w:rsid w:val="00BC7CCD"/>
    <w:rsid w:val="00BC7E79"/>
    <w:rsid w:val="00BC7F3F"/>
    <w:rsid w:val="00BC7F66"/>
    <w:rsid w:val="00BD00C9"/>
    <w:rsid w:val="00BD04A9"/>
    <w:rsid w:val="00BD0708"/>
    <w:rsid w:val="00BD076D"/>
    <w:rsid w:val="00BD0D0B"/>
    <w:rsid w:val="00BD1036"/>
    <w:rsid w:val="00BD1398"/>
    <w:rsid w:val="00BD13B2"/>
    <w:rsid w:val="00BD17C1"/>
    <w:rsid w:val="00BD1883"/>
    <w:rsid w:val="00BD1CBA"/>
    <w:rsid w:val="00BD1CCA"/>
    <w:rsid w:val="00BD20B1"/>
    <w:rsid w:val="00BD2319"/>
    <w:rsid w:val="00BD2362"/>
    <w:rsid w:val="00BD23B1"/>
    <w:rsid w:val="00BD25ED"/>
    <w:rsid w:val="00BD2645"/>
    <w:rsid w:val="00BD2724"/>
    <w:rsid w:val="00BD2B2B"/>
    <w:rsid w:val="00BD2B8A"/>
    <w:rsid w:val="00BD2BAD"/>
    <w:rsid w:val="00BD2D4C"/>
    <w:rsid w:val="00BD2F26"/>
    <w:rsid w:val="00BD3083"/>
    <w:rsid w:val="00BD354E"/>
    <w:rsid w:val="00BD36DC"/>
    <w:rsid w:val="00BD3740"/>
    <w:rsid w:val="00BD3778"/>
    <w:rsid w:val="00BD3B76"/>
    <w:rsid w:val="00BD3D13"/>
    <w:rsid w:val="00BD3F73"/>
    <w:rsid w:val="00BD3FA7"/>
    <w:rsid w:val="00BD40D0"/>
    <w:rsid w:val="00BD4168"/>
    <w:rsid w:val="00BD4421"/>
    <w:rsid w:val="00BD44A8"/>
    <w:rsid w:val="00BD48BD"/>
    <w:rsid w:val="00BD495A"/>
    <w:rsid w:val="00BD4A1E"/>
    <w:rsid w:val="00BD4D10"/>
    <w:rsid w:val="00BD4FAC"/>
    <w:rsid w:val="00BD4FD0"/>
    <w:rsid w:val="00BD540C"/>
    <w:rsid w:val="00BD54CE"/>
    <w:rsid w:val="00BD550A"/>
    <w:rsid w:val="00BD583A"/>
    <w:rsid w:val="00BD5898"/>
    <w:rsid w:val="00BD5BDE"/>
    <w:rsid w:val="00BD5C24"/>
    <w:rsid w:val="00BD5D42"/>
    <w:rsid w:val="00BD5D8E"/>
    <w:rsid w:val="00BD5E81"/>
    <w:rsid w:val="00BD6211"/>
    <w:rsid w:val="00BD6230"/>
    <w:rsid w:val="00BD6290"/>
    <w:rsid w:val="00BD6305"/>
    <w:rsid w:val="00BD65FF"/>
    <w:rsid w:val="00BD67BE"/>
    <w:rsid w:val="00BD67E0"/>
    <w:rsid w:val="00BD688D"/>
    <w:rsid w:val="00BD68A7"/>
    <w:rsid w:val="00BD68F8"/>
    <w:rsid w:val="00BD6B8B"/>
    <w:rsid w:val="00BD727B"/>
    <w:rsid w:val="00BD7289"/>
    <w:rsid w:val="00BD7647"/>
    <w:rsid w:val="00BD7660"/>
    <w:rsid w:val="00BD7964"/>
    <w:rsid w:val="00BD7D80"/>
    <w:rsid w:val="00BE03A7"/>
    <w:rsid w:val="00BE0667"/>
    <w:rsid w:val="00BE070C"/>
    <w:rsid w:val="00BE0827"/>
    <w:rsid w:val="00BE08D2"/>
    <w:rsid w:val="00BE09C9"/>
    <w:rsid w:val="00BE0B95"/>
    <w:rsid w:val="00BE0D69"/>
    <w:rsid w:val="00BE0F1E"/>
    <w:rsid w:val="00BE1280"/>
    <w:rsid w:val="00BE12AD"/>
    <w:rsid w:val="00BE13B8"/>
    <w:rsid w:val="00BE14F6"/>
    <w:rsid w:val="00BE1542"/>
    <w:rsid w:val="00BE1784"/>
    <w:rsid w:val="00BE1886"/>
    <w:rsid w:val="00BE1C05"/>
    <w:rsid w:val="00BE1C76"/>
    <w:rsid w:val="00BE1E76"/>
    <w:rsid w:val="00BE1EE5"/>
    <w:rsid w:val="00BE2051"/>
    <w:rsid w:val="00BE2462"/>
    <w:rsid w:val="00BE2608"/>
    <w:rsid w:val="00BE28B1"/>
    <w:rsid w:val="00BE2B76"/>
    <w:rsid w:val="00BE2CCD"/>
    <w:rsid w:val="00BE2D5F"/>
    <w:rsid w:val="00BE2D8D"/>
    <w:rsid w:val="00BE2DFD"/>
    <w:rsid w:val="00BE307D"/>
    <w:rsid w:val="00BE32AF"/>
    <w:rsid w:val="00BE3742"/>
    <w:rsid w:val="00BE374A"/>
    <w:rsid w:val="00BE3768"/>
    <w:rsid w:val="00BE3769"/>
    <w:rsid w:val="00BE386C"/>
    <w:rsid w:val="00BE3A0C"/>
    <w:rsid w:val="00BE3BD7"/>
    <w:rsid w:val="00BE413A"/>
    <w:rsid w:val="00BE422D"/>
    <w:rsid w:val="00BE44A3"/>
    <w:rsid w:val="00BE4622"/>
    <w:rsid w:val="00BE46CA"/>
    <w:rsid w:val="00BE50E5"/>
    <w:rsid w:val="00BE5257"/>
    <w:rsid w:val="00BE54EB"/>
    <w:rsid w:val="00BE567B"/>
    <w:rsid w:val="00BE56C5"/>
    <w:rsid w:val="00BE570A"/>
    <w:rsid w:val="00BE591D"/>
    <w:rsid w:val="00BE59F4"/>
    <w:rsid w:val="00BE5A64"/>
    <w:rsid w:val="00BE5A70"/>
    <w:rsid w:val="00BE5C50"/>
    <w:rsid w:val="00BE5DCC"/>
    <w:rsid w:val="00BE5E7D"/>
    <w:rsid w:val="00BE5EDF"/>
    <w:rsid w:val="00BE6285"/>
    <w:rsid w:val="00BE629B"/>
    <w:rsid w:val="00BE64F8"/>
    <w:rsid w:val="00BE6680"/>
    <w:rsid w:val="00BE6D4D"/>
    <w:rsid w:val="00BE6D80"/>
    <w:rsid w:val="00BE7114"/>
    <w:rsid w:val="00BE73C6"/>
    <w:rsid w:val="00BE79D5"/>
    <w:rsid w:val="00BE7AF2"/>
    <w:rsid w:val="00BE7E78"/>
    <w:rsid w:val="00BE7FC1"/>
    <w:rsid w:val="00BF0196"/>
    <w:rsid w:val="00BF05DE"/>
    <w:rsid w:val="00BF06B3"/>
    <w:rsid w:val="00BF0834"/>
    <w:rsid w:val="00BF0B80"/>
    <w:rsid w:val="00BF0C44"/>
    <w:rsid w:val="00BF0DB7"/>
    <w:rsid w:val="00BF0FF0"/>
    <w:rsid w:val="00BF0FF5"/>
    <w:rsid w:val="00BF1037"/>
    <w:rsid w:val="00BF1542"/>
    <w:rsid w:val="00BF1747"/>
    <w:rsid w:val="00BF1787"/>
    <w:rsid w:val="00BF17AE"/>
    <w:rsid w:val="00BF1906"/>
    <w:rsid w:val="00BF199B"/>
    <w:rsid w:val="00BF2044"/>
    <w:rsid w:val="00BF2144"/>
    <w:rsid w:val="00BF218E"/>
    <w:rsid w:val="00BF259A"/>
    <w:rsid w:val="00BF26C4"/>
    <w:rsid w:val="00BF28E2"/>
    <w:rsid w:val="00BF294D"/>
    <w:rsid w:val="00BF295E"/>
    <w:rsid w:val="00BF2B8D"/>
    <w:rsid w:val="00BF2D36"/>
    <w:rsid w:val="00BF2E90"/>
    <w:rsid w:val="00BF317C"/>
    <w:rsid w:val="00BF33AD"/>
    <w:rsid w:val="00BF3753"/>
    <w:rsid w:val="00BF38B9"/>
    <w:rsid w:val="00BF3BAB"/>
    <w:rsid w:val="00BF4032"/>
    <w:rsid w:val="00BF440D"/>
    <w:rsid w:val="00BF46CC"/>
    <w:rsid w:val="00BF4739"/>
    <w:rsid w:val="00BF4977"/>
    <w:rsid w:val="00BF4B16"/>
    <w:rsid w:val="00BF4F5F"/>
    <w:rsid w:val="00BF4F86"/>
    <w:rsid w:val="00BF5224"/>
    <w:rsid w:val="00BF54D3"/>
    <w:rsid w:val="00BF5574"/>
    <w:rsid w:val="00BF5611"/>
    <w:rsid w:val="00BF565F"/>
    <w:rsid w:val="00BF5A4B"/>
    <w:rsid w:val="00BF5F4F"/>
    <w:rsid w:val="00BF5F9A"/>
    <w:rsid w:val="00BF6127"/>
    <w:rsid w:val="00BF6139"/>
    <w:rsid w:val="00BF66FF"/>
    <w:rsid w:val="00BF679E"/>
    <w:rsid w:val="00BF6862"/>
    <w:rsid w:val="00BF68DD"/>
    <w:rsid w:val="00BF698A"/>
    <w:rsid w:val="00BF6CF7"/>
    <w:rsid w:val="00BF6DFF"/>
    <w:rsid w:val="00BF7011"/>
    <w:rsid w:val="00BF71B8"/>
    <w:rsid w:val="00BF7359"/>
    <w:rsid w:val="00BF76EE"/>
    <w:rsid w:val="00BF7847"/>
    <w:rsid w:val="00BF7CB9"/>
    <w:rsid w:val="00BF7DF3"/>
    <w:rsid w:val="00BF7DFE"/>
    <w:rsid w:val="00BF7E0C"/>
    <w:rsid w:val="00BF7E5A"/>
    <w:rsid w:val="00BF7F03"/>
    <w:rsid w:val="00C000B3"/>
    <w:rsid w:val="00C0015B"/>
    <w:rsid w:val="00C001AF"/>
    <w:rsid w:val="00C00218"/>
    <w:rsid w:val="00C00263"/>
    <w:rsid w:val="00C00495"/>
    <w:rsid w:val="00C007CF"/>
    <w:rsid w:val="00C007EF"/>
    <w:rsid w:val="00C00CC4"/>
    <w:rsid w:val="00C011D2"/>
    <w:rsid w:val="00C01254"/>
    <w:rsid w:val="00C014F3"/>
    <w:rsid w:val="00C0181E"/>
    <w:rsid w:val="00C0183B"/>
    <w:rsid w:val="00C019A2"/>
    <w:rsid w:val="00C01F09"/>
    <w:rsid w:val="00C020AA"/>
    <w:rsid w:val="00C02103"/>
    <w:rsid w:val="00C02534"/>
    <w:rsid w:val="00C02757"/>
    <w:rsid w:val="00C02790"/>
    <w:rsid w:val="00C02816"/>
    <w:rsid w:val="00C02859"/>
    <w:rsid w:val="00C028E6"/>
    <w:rsid w:val="00C02EAC"/>
    <w:rsid w:val="00C0308E"/>
    <w:rsid w:val="00C030FA"/>
    <w:rsid w:val="00C03172"/>
    <w:rsid w:val="00C0335A"/>
    <w:rsid w:val="00C0361A"/>
    <w:rsid w:val="00C036C5"/>
    <w:rsid w:val="00C03848"/>
    <w:rsid w:val="00C038BC"/>
    <w:rsid w:val="00C039A8"/>
    <w:rsid w:val="00C03D70"/>
    <w:rsid w:val="00C03E01"/>
    <w:rsid w:val="00C03F8E"/>
    <w:rsid w:val="00C04107"/>
    <w:rsid w:val="00C0475D"/>
    <w:rsid w:val="00C04AD8"/>
    <w:rsid w:val="00C04BB4"/>
    <w:rsid w:val="00C050B2"/>
    <w:rsid w:val="00C0518F"/>
    <w:rsid w:val="00C055A1"/>
    <w:rsid w:val="00C05A50"/>
    <w:rsid w:val="00C05D9A"/>
    <w:rsid w:val="00C05DAE"/>
    <w:rsid w:val="00C05E79"/>
    <w:rsid w:val="00C05FDD"/>
    <w:rsid w:val="00C06075"/>
    <w:rsid w:val="00C062C7"/>
    <w:rsid w:val="00C063B4"/>
    <w:rsid w:val="00C067F0"/>
    <w:rsid w:val="00C068B2"/>
    <w:rsid w:val="00C06A17"/>
    <w:rsid w:val="00C06AE3"/>
    <w:rsid w:val="00C06D55"/>
    <w:rsid w:val="00C072F5"/>
    <w:rsid w:val="00C074CC"/>
    <w:rsid w:val="00C0758E"/>
    <w:rsid w:val="00C07653"/>
    <w:rsid w:val="00C07753"/>
    <w:rsid w:val="00C07844"/>
    <w:rsid w:val="00C0796C"/>
    <w:rsid w:val="00C07980"/>
    <w:rsid w:val="00C07A5C"/>
    <w:rsid w:val="00C07AAE"/>
    <w:rsid w:val="00C07C5E"/>
    <w:rsid w:val="00C07EB6"/>
    <w:rsid w:val="00C106ED"/>
    <w:rsid w:val="00C10800"/>
    <w:rsid w:val="00C108BE"/>
    <w:rsid w:val="00C10A0D"/>
    <w:rsid w:val="00C10B5F"/>
    <w:rsid w:val="00C10CF9"/>
    <w:rsid w:val="00C10D09"/>
    <w:rsid w:val="00C113B7"/>
    <w:rsid w:val="00C11504"/>
    <w:rsid w:val="00C11A1D"/>
    <w:rsid w:val="00C11CC3"/>
    <w:rsid w:val="00C11CDF"/>
    <w:rsid w:val="00C1242D"/>
    <w:rsid w:val="00C125CE"/>
    <w:rsid w:val="00C12D52"/>
    <w:rsid w:val="00C12E49"/>
    <w:rsid w:val="00C13075"/>
    <w:rsid w:val="00C1325A"/>
    <w:rsid w:val="00C132E6"/>
    <w:rsid w:val="00C13443"/>
    <w:rsid w:val="00C134B5"/>
    <w:rsid w:val="00C136FD"/>
    <w:rsid w:val="00C13854"/>
    <w:rsid w:val="00C139A9"/>
    <w:rsid w:val="00C13AF6"/>
    <w:rsid w:val="00C13BA8"/>
    <w:rsid w:val="00C13C80"/>
    <w:rsid w:val="00C13F5B"/>
    <w:rsid w:val="00C140A7"/>
    <w:rsid w:val="00C140D6"/>
    <w:rsid w:val="00C141BB"/>
    <w:rsid w:val="00C14242"/>
    <w:rsid w:val="00C14770"/>
    <w:rsid w:val="00C14A5A"/>
    <w:rsid w:val="00C14D9A"/>
    <w:rsid w:val="00C14D9D"/>
    <w:rsid w:val="00C1503D"/>
    <w:rsid w:val="00C15068"/>
    <w:rsid w:val="00C150DE"/>
    <w:rsid w:val="00C151DD"/>
    <w:rsid w:val="00C1534D"/>
    <w:rsid w:val="00C153BA"/>
    <w:rsid w:val="00C15428"/>
    <w:rsid w:val="00C15755"/>
    <w:rsid w:val="00C15862"/>
    <w:rsid w:val="00C1586A"/>
    <w:rsid w:val="00C15998"/>
    <w:rsid w:val="00C15A4C"/>
    <w:rsid w:val="00C15E38"/>
    <w:rsid w:val="00C16066"/>
    <w:rsid w:val="00C166F7"/>
    <w:rsid w:val="00C16720"/>
    <w:rsid w:val="00C167D3"/>
    <w:rsid w:val="00C1695E"/>
    <w:rsid w:val="00C16A7F"/>
    <w:rsid w:val="00C16D56"/>
    <w:rsid w:val="00C16D5E"/>
    <w:rsid w:val="00C16D80"/>
    <w:rsid w:val="00C170A1"/>
    <w:rsid w:val="00C1712E"/>
    <w:rsid w:val="00C172A8"/>
    <w:rsid w:val="00C1735F"/>
    <w:rsid w:val="00C1738A"/>
    <w:rsid w:val="00C17703"/>
    <w:rsid w:val="00C177B7"/>
    <w:rsid w:val="00C20022"/>
    <w:rsid w:val="00C2002C"/>
    <w:rsid w:val="00C2015B"/>
    <w:rsid w:val="00C20333"/>
    <w:rsid w:val="00C206BC"/>
    <w:rsid w:val="00C207A2"/>
    <w:rsid w:val="00C2085D"/>
    <w:rsid w:val="00C2087A"/>
    <w:rsid w:val="00C20906"/>
    <w:rsid w:val="00C20D86"/>
    <w:rsid w:val="00C20DC1"/>
    <w:rsid w:val="00C20E21"/>
    <w:rsid w:val="00C21210"/>
    <w:rsid w:val="00C21212"/>
    <w:rsid w:val="00C21882"/>
    <w:rsid w:val="00C21C06"/>
    <w:rsid w:val="00C21C0D"/>
    <w:rsid w:val="00C21F30"/>
    <w:rsid w:val="00C2215E"/>
    <w:rsid w:val="00C22180"/>
    <w:rsid w:val="00C2251D"/>
    <w:rsid w:val="00C226AE"/>
    <w:rsid w:val="00C226C2"/>
    <w:rsid w:val="00C22B9E"/>
    <w:rsid w:val="00C22C3C"/>
    <w:rsid w:val="00C22DA9"/>
    <w:rsid w:val="00C22E50"/>
    <w:rsid w:val="00C22EBC"/>
    <w:rsid w:val="00C22EE4"/>
    <w:rsid w:val="00C22FDC"/>
    <w:rsid w:val="00C2304D"/>
    <w:rsid w:val="00C23107"/>
    <w:rsid w:val="00C2322E"/>
    <w:rsid w:val="00C233DC"/>
    <w:rsid w:val="00C233F4"/>
    <w:rsid w:val="00C240D8"/>
    <w:rsid w:val="00C2411B"/>
    <w:rsid w:val="00C2455E"/>
    <w:rsid w:val="00C2464B"/>
    <w:rsid w:val="00C249F8"/>
    <w:rsid w:val="00C24B5F"/>
    <w:rsid w:val="00C24FF2"/>
    <w:rsid w:val="00C25299"/>
    <w:rsid w:val="00C2536C"/>
    <w:rsid w:val="00C255E3"/>
    <w:rsid w:val="00C255EF"/>
    <w:rsid w:val="00C258DD"/>
    <w:rsid w:val="00C25B47"/>
    <w:rsid w:val="00C25DE0"/>
    <w:rsid w:val="00C25F34"/>
    <w:rsid w:val="00C26094"/>
    <w:rsid w:val="00C26137"/>
    <w:rsid w:val="00C26153"/>
    <w:rsid w:val="00C26560"/>
    <w:rsid w:val="00C2659E"/>
    <w:rsid w:val="00C266C6"/>
    <w:rsid w:val="00C2697E"/>
    <w:rsid w:val="00C26AAE"/>
    <w:rsid w:val="00C26B1B"/>
    <w:rsid w:val="00C26E3C"/>
    <w:rsid w:val="00C274AC"/>
    <w:rsid w:val="00C275C7"/>
    <w:rsid w:val="00C278E2"/>
    <w:rsid w:val="00C27D79"/>
    <w:rsid w:val="00C27EBD"/>
    <w:rsid w:val="00C30127"/>
    <w:rsid w:val="00C30231"/>
    <w:rsid w:val="00C304CB"/>
    <w:rsid w:val="00C305C7"/>
    <w:rsid w:val="00C306EA"/>
    <w:rsid w:val="00C30900"/>
    <w:rsid w:val="00C30914"/>
    <w:rsid w:val="00C30E66"/>
    <w:rsid w:val="00C30F05"/>
    <w:rsid w:val="00C3116A"/>
    <w:rsid w:val="00C312E6"/>
    <w:rsid w:val="00C313BC"/>
    <w:rsid w:val="00C3195C"/>
    <w:rsid w:val="00C319B4"/>
    <w:rsid w:val="00C31C82"/>
    <w:rsid w:val="00C320C6"/>
    <w:rsid w:val="00C321EE"/>
    <w:rsid w:val="00C322A0"/>
    <w:rsid w:val="00C32377"/>
    <w:rsid w:val="00C324BB"/>
    <w:rsid w:val="00C32577"/>
    <w:rsid w:val="00C327ED"/>
    <w:rsid w:val="00C329B0"/>
    <w:rsid w:val="00C32A3E"/>
    <w:rsid w:val="00C32AD8"/>
    <w:rsid w:val="00C32BAC"/>
    <w:rsid w:val="00C32BC9"/>
    <w:rsid w:val="00C32BFA"/>
    <w:rsid w:val="00C32E4F"/>
    <w:rsid w:val="00C332A7"/>
    <w:rsid w:val="00C3335B"/>
    <w:rsid w:val="00C336DB"/>
    <w:rsid w:val="00C33A84"/>
    <w:rsid w:val="00C33C1E"/>
    <w:rsid w:val="00C33C91"/>
    <w:rsid w:val="00C33DBB"/>
    <w:rsid w:val="00C33EE6"/>
    <w:rsid w:val="00C3415B"/>
    <w:rsid w:val="00C3423D"/>
    <w:rsid w:val="00C3427E"/>
    <w:rsid w:val="00C3446C"/>
    <w:rsid w:val="00C3466B"/>
    <w:rsid w:val="00C346A8"/>
    <w:rsid w:val="00C346EB"/>
    <w:rsid w:val="00C34833"/>
    <w:rsid w:val="00C34859"/>
    <w:rsid w:val="00C34933"/>
    <w:rsid w:val="00C34CAC"/>
    <w:rsid w:val="00C34D3F"/>
    <w:rsid w:val="00C353AF"/>
    <w:rsid w:val="00C3542A"/>
    <w:rsid w:val="00C354B2"/>
    <w:rsid w:val="00C357BE"/>
    <w:rsid w:val="00C35838"/>
    <w:rsid w:val="00C358B6"/>
    <w:rsid w:val="00C35A70"/>
    <w:rsid w:val="00C35E33"/>
    <w:rsid w:val="00C362AE"/>
    <w:rsid w:val="00C3637F"/>
    <w:rsid w:val="00C363BE"/>
    <w:rsid w:val="00C36998"/>
    <w:rsid w:val="00C36B58"/>
    <w:rsid w:val="00C36D21"/>
    <w:rsid w:val="00C37091"/>
    <w:rsid w:val="00C372E5"/>
    <w:rsid w:val="00C37695"/>
    <w:rsid w:val="00C37834"/>
    <w:rsid w:val="00C37B69"/>
    <w:rsid w:val="00C37CA7"/>
    <w:rsid w:val="00C37D09"/>
    <w:rsid w:val="00C37E49"/>
    <w:rsid w:val="00C38B71"/>
    <w:rsid w:val="00C40000"/>
    <w:rsid w:val="00C400CB"/>
    <w:rsid w:val="00C403AE"/>
    <w:rsid w:val="00C409DB"/>
    <w:rsid w:val="00C409EB"/>
    <w:rsid w:val="00C40B01"/>
    <w:rsid w:val="00C40F19"/>
    <w:rsid w:val="00C40F4F"/>
    <w:rsid w:val="00C41280"/>
    <w:rsid w:val="00C412C4"/>
    <w:rsid w:val="00C41419"/>
    <w:rsid w:val="00C41501"/>
    <w:rsid w:val="00C41570"/>
    <w:rsid w:val="00C41C5A"/>
    <w:rsid w:val="00C41E69"/>
    <w:rsid w:val="00C41E86"/>
    <w:rsid w:val="00C4232C"/>
    <w:rsid w:val="00C42389"/>
    <w:rsid w:val="00C42427"/>
    <w:rsid w:val="00C42710"/>
    <w:rsid w:val="00C42729"/>
    <w:rsid w:val="00C42C51"/>
    <w:rsid w:val="00C42CA6"/>
    <w:rsid w:val="00C43668"/>
    <w:rsid w:val="00C43879"/>
    <w:rsid w:val="00C4397A"/>
    <w:rsid w:val="00C439C6"/>
    <w:rsid w:val="00C439DE"/>
    <w:rsid w:val="00C43B0D"/>
    <w:rsid w:val="00C43B1B"/>
    <w:rsid w:val="00C43B21"/>
    <w:rsid w:val="00C43CE7"/>
    <w:rsid w:val="00C43D51"/>
    <w:rsid w:val="00C43D5D"/>
    <w:rsid w:val="00C43E94"/>
    <w:rsid w:val="00C44459"/>
    <w:rsid w:val="00C4454D"/>
    <w:rsid w:val="00C44BFE"/>
    <w:rsid w:val="00C44C55"/>
    <w:rsid w:val="00C44CAE"/>
    <w:rsid w:val="00C44F03"/>
    <w:rsid w:val="00C454B3"/>
    <w:rsid w:val="00C45557"/>
    <w:rsid w:val="00C45A43"/>
    <w:rsid w:val="00C45B39"/>
    <w:rsid w:val="00C45B6A"/>
    <w:rsid w:val="00C45D1D"/>
    <w:rsid w:val="00C45E6E"/>
    <w:rsid w:val="00C4607C"/>
    <w:rsid w:val="00C4611A"/>
    <w:rsid w:val="00C462FC"/>
    <w:rsid w:val="00C46302"/>
    <w:rsid w:val="00C465CF"/>
    <w:rsid w:val="00C4663D"/>
    <w:rsid w:val="00C4677B"/>
    <w:rsid w:val="00C46784"/>
    <w:rsid w:val="00C468F8"/>
    <w:rsid w:val="00C46E0F"/>
    <w:rsid w:val="00C46E11"/>
    <w:rsid w:val="00C471F5"/>
    <w:rsid w:val="00C4742C"/>
    <w:rsid w:val="00C476C0"/>
    <w:rsid w:val="00C4778B"/>
    <w:rsid w:val="00C47826"/>
    <w:rsid w:val="00C47A51"/>
    <w:rsid w:val="00C47CD2"/>
    <w:rsid w:val="00C47FE0"/>
    <w:rsid w:val="00C50164"/>
    <w:rsid w:val="00C50207"/>
    <w:rsid w:val="00C5079E"/>
    <w:rsid w:val="00C50A48"/>
    <w:rsid w:val="00C50C11"/>
    <w:rsid w:val="00C50F3C"/>
    <w:rsid w:val="00C511A2"/>
    <w:rsid w:val="00C51243"/>
    <w:rsid w:val="00C51303"/>
    <w:rsid w:val="00C51316"/>
    <w:rsid w:val="00C51489"/>
    <w:rsid w:val="00C51941"/>
    <w:rsid w:val="00C51B50"/>
    <w:rsid w:val="00C51F5B"/>
    <w:rsid w:val="00C51FDC"/>
    <w:rsid w:val="00C5206E"/>
    <w:rsid w:val="00C520BB"/>
    <w:rsid w:val="00C5235E"/>
    <w:rsid w:val="00C52754"/>
    <w:rsid w:val="00C528F9"/>
    <w:rsid w:val="00C52940"/>
    <w:rsid w:val="00C52B3A"/>
    <w:rsid w:val="00C52B3C"/>
    <w:rsid w:val="00C52C04"/>
    <w:rsid w:val="00C52E99"/>
    <w:rsid w:val="00C530DC"/>
    <w:rsid w:val="00C53126"/>
    <w:rsid w:val="00C531B3"/>
    <w:rsid w:val="00C53207"/>
    <w:rsid w:val="00C533E8"/>
    <w:rsid w:val="00C534D7"/>
    <w:rsid w:val="00C53655"/>
    <w:rsid w:val="00C53781"/>
    <w:rsid w:val="00C537B2"/>
    <w:rsid w:val="00C538BC"/>
    <w:rsid w:val="00C53D72"/>
    <w:rsid w:val="00C53EE0"/>
    <w:rsid w:val="00C53F2D"/>
    <w:rsid w:val="00C549DD"/>
    <w:rsid w:val="00C54BAF"/>
    <w:rsid w:val="00C54CE4"/>
    <w:rsid w:val="00C552BA"/>
    <w:rsid w:val="00C553F4"/>
    <w:rsid w:val="00C554D8"/>
    <w:rsid w:val="00C555EA"/>
    <w:rsid w:val="00C556A6"/>
    <w:rsid w:val="00C556B0"/>
    <w:rsid w:val="00C55734"/>
    <w:rsid w:val="00C5584A"/>
    <w:rsid w:val="00C55A68"/>
    <w:rsid w:val="00C55E03"/>
    <w:rsid w:val="00C55F6F"/>
    <w:rsid w:val="00C5636A"/>
    <w:rsid w:val="00C5643F"/>
    <w:rsid w:val="00C564DC"/>
    <w:rsid w:val="00C565B2"/>
    <w:rsid w:val="00C56632"/>
    <w:rsid w:val="00C56BEC"/>
    <w:rsid w:val="00C574AE"/>
    <w:rsid w:val="00C57555"/>
    <w:rsid w:val="00C57684"/>
    <w:rsid w:val="00C579AF"/>
    <w:rsid w:val="00C57B8D"/>
    <w:rsid w:val="00C57BB6"/>
    <w:rsid w:val="00C57C9E"/>
    <w:rsid w:val="00C57CA7"/>
    <w:rsid w:val="00C57EC4"/>
    <w:rsid w:val="00C57F04"/>
    <w:rsid w:val="00C60172"/>
    <w:rsid w:val="00C60375"/>
    <w:rsid w:val="00C60C04"/>
    <w:rsid w:val="00C60CAE"/>
    <w:rsid w:val="00C6106F"/>
    <w:rsid w:val="00C61145"/>
    <w:rsid w:val="00C611B1"/>
    <w:rsid w:val="00C613E5"/>
    <w:rsid w:val="00C61558"/>
    <w:rsid w:val="00C61664"/>
    <w:rsid w:val="00C62096"/>
    <w:rsid w:val="00C624F8"/>
    <w:rsid w:val="00C627B7"/>
    <w:rsid w:val="00C62954"/>
    <w:rsid w:val="00C629DB"/>
    <w:rsid w:val="00C62CD7"/>
    <w:rsid w:val="00C62E65"/>
    <w:rsid w:val="00C62E8E"/>
    <w:rsid w:val="00C632F4"/>
    <w:rsid w:val="00C637FD"/>
    <w:rsid w:val="00C6380C"/>
    <w:rsid w:val="00C63CD5"/>
    <w:rsid w:val="00C63D28"/>
    <w:rsid w:val="00C63D72"/>
    <w:rsid w:val="00C63E6D"/>
    <w:rsid w:val="00C63F05"/>
    <w:rsid w:val="00C64057"/>
    <w:rsid w:val="00C640A2"/>
    <w:rsid w:val="00C641BE"/>
    <w:rsid w:val="00C642AD"/>
    <w:rsid w:val="00C6436C"/>
    <w:rsid w:val="00C643D1"/>
    <w:rsid w:val="00C645C8"/>
    <w:rsid w:val="00C64600"/>
    <w:rsid w:val="00C64636"/>
    <w:rsid w:val="00C64AA6"/>
    <w:rsid w:val="00C651A8"/>
    <w:rsid w:val="00C657C9"/>
    <w:rsid w:val="00C65B06"/>
    <w:rsid w:val="00C65EDA"/>
    <w:rsid w:val="00C661A3"/>
    <w:rsid w:val="00C66200"/>
    <w:rsid w:val="00C66383"/>
    <w:rsid w:val="00C66684"/>
    <w:rsid w:val="00C66981"/>
    <w:rsid w:val="00C6741C"/>
    <w:rsid w:val="00C6753D"/>
    <w:rsid w:val="00C675FE"/>
    <w:rsid w:val="00C67698"/>
    <w:rsid w:val="00C676A7"/>
    <w:rsid w:val="00C6785E"/>
    <w:rsid w:val="00C67BFC"/>
    <w:rsid w:val="00C67F2F"/>
    <w:rsid w:val="00C7005E"/>
    <w:rsid w:val="00C700C2"/>
    <w:rsid w:val="00C703F8"/>
    <w:rsid w:val="00C70422"/>
    <w:rsid w:val="00C706AC"/>
    <w:rsid w:val="00C707C5"/>
    <w:rsid w:val="00C70806"/>
    <w:rsid w:val="00C7092A"/>
    <w:rsid w:val="00C70984"/>
    <w:rsid w:val="00C70CDD"/>
    <w:rsid w:val="00C70E8C"/>
    <w:rsid w:val="00C70F28"/>
    <w:rsid w:val="00C70FC9"/>
    <w:rsid w:val="00C71092"/>
    <w:rsid w:val="00C715C6"/>
    <w:rsid w:val="00C71AC6"/>
    <w:rsid w:val="00C71F01"/>
    <w:rsid w:val="00C71F8F"/>
    <w:rsid w:val="00C720C1"/>
    <w:rsid w:val="00C7212A"/>
    <w:rsid w:val="00C72967"/>
    <w:rsid w:val="00C72A3C"/>
    <w:rsid w:val="00C72B68"/>
    <w:rsid w:val="00C72C5A"/>
    <w:rsid w:val="00C72E8D"/>
    <w:rsid w:val="00C731CB"/>
    <w:rsid w:val="00C73365"/>
    <w:rsid w:val="00C73512"/>
    <w:rsid w:val="00C73563"/>
    <w:rsid w:val="00C73714"/>
    <w:rsid w:val="00C73912"/>
    <w:rsid w:val="00C73AF6"/>
    <w:rsid w:val="00C73B20"/>
    <w:rsid w:val="00C73CB2"/>
    <w:rsid w:val="00C73CCF"/>
    <w:rsid w:val="00C73D2A"/>
    <w:rsid w:val="00C73E77"/>
    <w:rsid w:val="00C73E81"/>
    <w:rsid w:val="00C744FC"/>
    <w:rsid w:val="00C74598"/>
    <w:rsid w:val="00C747AD"/>
    <w:rsid w:val="00C7484A"/>
    <w:rsid w:val="00C74BB5"/>
    <w:rsid w:val="00C751A8"/>
    <w:rsid w:val="00C751E8"/>
    <w:rsid w:val="00C753EA"/>
    <w:rsid w:val="00C758CB"/>
    <w:rsid w:val="00C75D33"/>
    <w:rsid w:val="00C75DE1"/>
    <w:rsid w:val="00C75FA7"/>
    <w:rsid w:val="00C7638A"/>
    <w:rsid w:val="00C76420"/>
    <w:rsid w:val="00C76743"/>
    <w:rsid w:val="00C769C2"/>
    <w:rsid w:val="00C769F5"/>
    <w:rsid w:val="00C76BF7"/>
    <w:rsid w:val="00C7712C"/>
    <w:rsid w:val="00C771A3"/>
    <w:rsid w:val="00C77246"/>
    <w:rsid w:val="00C7734A"/>
    <w:rsid w:val="00C77475"/>
    <w:rsid w:val="00C776A0"/>
    <w:rsid w:val="00C776BA"/>
    <w:rsid w:val="00C779AC"/>
    <w:rsid w:val="00C77B4C"/>
    <w:rsid w:val="00C77BAE"/>
    <w:rsid w:val="00C77BE0"/>
    <w:rsid w:val="00C77FF4"/>
    <w:rsid w:val="00C80057"/>
    <w:rsid w:val="00C800D0"/>
    <w:rsid w:val="00C8047F"/>
    <w:rsid w:val="00C805D3"/>
    <w:rsid w:val="00C8062C"/>
    <w:rsid w:val="00C807F6"/>
    <w:rsid w:val="00C8098B"/>
    <w:rsid w:val="00C80A67"/>
    <w:rsid w:val="00C80AF2"/>
    <w:rsid w:val="00C80CA0"/>
    <w:rsid w:val="00C80DE0"/>
    <w:rsid w:val="00C81024"/>
    <w:rsid w:val="00C810B3"/>
    <w:rsid w:val="00C8113C"/>
    <w:rsid w:val="00C81140"/>
    <w:rsid w:val="00C812EF"/>
    <w:rsid w:val="00C8151A"/>
    <w:rsid w:val="00C81594"/>
    <w:rsid w:val="00C81C4A"/>
    <w:rsid w:val="00C81D43"/>
    <w:rsid w:val="00C820EE"/>
    <w:rsid w:val="00C8232F"/>
    <w:rsid w:val="00C8237F"/>
    <w:rsid w:val="00C8246A"/>
    <w:rsid w:val="00C825B5"/>
    <w:rsid w:val="00C8263E"/>
    <w:rsid w:val="00C82675"/>
    <w:rsid w:val="00C829D6"/>
    <w:rsid w:val="00C82BC3"/>
    <w:rsid w:val="00C82F7D"/>
    <w:rsid w:val="00C832AC"/>
    <w:rsid w:val="00C83320"/>
    <w:rsid w:val="00C83E14"/>
    <w:rsid w:val="00C83E97"/>
    <w:rsid w:val="00C84380"/>
    <w:rsid w:val="00C843EE"/>
    <w:rsid w:val="00C845B9"/>
    <w:rsid w:val="00C845C1"/>
    <w:rsid w:val="00C8461B"/>
    <w:rsid w:val="00C84693"/>
    <w:rsid w:val="00C846C1"/>
    <w:rsid w:val="00C84A47"/>
    <w:rsid w:val="00C84C11"/>
    <w:rsid w:val="00C84FF6"/>
    <w:rsid w:val="00C851B2"/>
    <w:rsid w:val="00C854BB"/>
    <w:rsid w:val="00C856DA"/>
    <w:rsid w:val="00C85D18"/>
    <w:rsid w:val="00C85FFE"/>
    <w:rsid w:val="00C862A5"/>
    <w:rsid w:val="00C86328"/>
    <w:rsid w:val="00C86686"/>
    <w:rsid w:val="00C86695"/>
    <w:rsid w:val="00C86738"/>
    <w:rsid w:val="00C86882"/>
    <w:rsid w:val="00C868D9"/>
    <w:rsid w:val="00C86961"/>
    <w:rsid w:val="00C869E3"/>
    <w:rsid w:val="00C86BA0"/>
    <w:rsid w:val="00C86D29"/>
    <w:rsid w:val="00C86DA7"/>
    <w:rsid w:val="00C8729C"/>
    <w:rsid w:val="00C87578"/>
    <w:rsid w:val="00C8763D"/>
    <w:rsid w:val="00C87844"/>
    <w:rsid w:val="00C878D5"/>
    <w:rsid w:val="00C87B4E"/>
    <w:rsid w:val="00C87C18"/>
    <w:rsid w:val="00C87C44"/>
    <w:rsid w:val="00C87C77"/>
    <w:rsid w:val="00C87F69"/>
    <w:rsid w:val="00C87FB1"/>
    <w:rsid w:val="00C87FF5"/>
    <w:rsid w:val="00C8FE2A"/>
    <w:rsid w:val="00C9033B"/>
    <w:rsid w:val="00C9039D"/>
    <w:rsid w:val="00C904FD"/>
    <w:rsid w:val="00C906D5"/>
    <w:rsid w:val="00C90BBA"/>
    <w:rsid w:val="00C90C33"/>
    <w:rsid w:val="00C90C66"/>
    <w:rsid w:val="00C90ED5"/>
    <w:rsid w:val="00C91140"/>
    <w:rsid w:val="00C91387"/>
    <w:rsid w:val="00C913A1"/>
    <w:rsid w:val="00C914DC"/>
    <w:rsid w:val="00C916E9"/>
    <w:rsid w:val="00C91727"/>
    <w:rsid w:val="00C917D0"/>
    <w:rsid w:val="00C91CCD"/>
    <w:rsid w:val="00C91E33"/>
    <w:rsid w:val="00C92010"/>
    <w:rsid w:val="00C92307"/>
    <w:rsid w:val="00C9233E"/>
    <w:rsid w:val="00C92570"/>
    <w:rsid w:val="00C92762"/>
    <w:rsid w:val="00C92850"/>
    <w:rsid w:val="00C92AA7"/>
    <w:rsid w:val="00C93290"/>
    <w:rsid w:val="00C933DA"/>
    <w:rsid w:val="00C93CEE"/>
    <w:rsid w:val="00C93D85"/>
    <w:rsid w:val="00C93D90"/>
    <w:rsid w:val="00C94077"/>
    <w:rsid w:val="00C94337"/>
    <w:rsid w:val="00C9460C"/>
    <w:rsid w:val="00C94A4B"/>
    <w:rsid w:val="00C94BE1"/>
    <w:rsid w:val="00C950E7"/>
    <w:rsid w:val="00C953D0"/>
    <w:rsid w:val="00C955E7"/>
    <w:rsid w:val="00C95AED"/>
    <w:rsid w:val="00C95BEB"/>
    <w:rsid w:val="00C95C32"/>
    <w:rsid w:val="00C95E27"/>
    <w:rsid w:val="00C95FA5"/>
    <w:rsid w:val="00C961B4"/>
    <w:rsid w:val="00C963DA"/>
    <w:rsid w:val="00C967C9"/>
    <w:rsid w:val="00C9680F"/>
    <w:rsid w:val="00C96FC5"/>
    <w:rsid w:val="00C97194"/>
    <w:rsid w:val="00C97266"/>
    <w:rsid w:val="00C974D6"/>
    <w:rsid w:val="00C975CB"/>
    <w:rsid w:val="00C97626"/>
    <w:rsid w:val="00C978AA"/>
    <w:rsid w:val="00C97E0F"/>
    <w:rsid w:val="00CA0002"/>
    <w:rsid w:val="00CA0063"/>
    <w:rsid w:val="00CA04C3"/>
    <w:rsid w:val="00CA0527"/>
    <w:rsid w:val="00CA06CF"/>
    <w:rsid w:val="00CA0B03"/>
    <w:rsid w:val="00CA125D"/>
    <w:rsid w:val="00CA129A"/>
    <w:rsid w:val="00CA12FE"/>
    <w:rsid w:val="00CA14C0"/>
    <w:rsid w:val="00CA160B"/>
    <w:rsid w:val="00CA1797"/>
    <w:rsid w:val="00CA1F38"/>
    <w:rsid w:val="00CA2043"/>
    <w:rsid w:val="00CA225D"/>
    <w:rsid w:val="00CA2345"/>
    <w:rsid w:val="00CA23F8"/>
    <w:rsid w:val="00CA259A"/>
    <w:rsid w:val="00CA263C"/>
    <w:rsid w:val="00CA27E1"/>
    <w:rsid w:val="00CA2A24"/>
    <w:rsid w:val="00CA2C00"/>
    <w:rsid w:val="00CA2CB7"/>
    <w:rsid w:val="00CA2D3D"/>
    <w:rsid w:val="00CA30A2"/>
    <w:rsid w:val="00CA3101"/>
    <w:rsid w:val="00CA3774"/>
    <w:rsid w:val="00CA386E"/>
    <w:rsid w:val="00CA387E"/>
    <w:rsid w:val="00CA38EC"/>
    <w:rsid w:val="00CA38F5"/>
    <w:rsid w:val="00CA3D76"/>
    <w:rsid w:val="00CA3ED5"/>
    <w:rsid w:val="00CA40AE"/>
    <w:rsid w:val="00CA4A41"/>
    <w:rsid w:val="00CA4A92"/>
    <w:rsid w:val="00CA4AA1"/>
    <w:rsid w:val="00CA4B67"/>
    <w:rsid w:val="00CA4CBA"/>
    <w:rsid w:val="00CA4D15"/>
    <w:rsid w:val="00CA4E06"/>
    <w:rsid w:val="00CA53BC"/>
    <w:rsid w:val="00CA576A"/>
    <w:rsid w:val="00CA5843"/>
    <w:rsid w:val="00CA5B2A"/>
    <w:rsid w:val="00CA5BEF"/>
    <w:rsid w:val="00CA5DDC"/>
    <w:rsid w:val="00CA5F2B"/>
    <w:rsid w:val="00CA60E7"/>
    <w:rsid w:val="00CA6111"/>
    <w:rsid w:val="00CA61B1"/>
    <w:rsid w:val="00CA6469"/>
    <w:rsid w:val="00CA683D"/>
    <w:rsid w:val="00CA68C7"/>
    <w:rsid w:val="00CA6947"/>
    <w:rsid w:val="00CA69FD"/>
    <w:rsid w:val="00CA6AF7"/>
    <w:rsid w:val="00CA6B3B"/>
    <w:rsid w:val="00CA6D4A"/>
    <w:rsid w:val="00CA6F13"/>
    <w:rsid w:val="00CA6F8D"/>
    <w:rsid w:val="00CA7520"/>
    <w:rsid w:val="00CA76B7"/>
    <w:rsid w:val="00CA78E9"/>
    <w:rsid w:val="00CA7A84"/>
    <w:rsid w:val="00CA7B7E"/>
    <w:rsid w:val="00CB03FA"/>
    <w:rsid w:val="00CB0413"/>
    <w:rsid w:val="00CB0519"/>
    <w:rsid w:val="00CB0798"/>
    <w:rsid w:val="00CB0A60"/>
    <w:rsid w:val="00CB1057"/>
    <w:rsid w:val="00CB1196"/>
    <w:rsid w:val="00CB11A3"/>
    <w:rsid w:val="00CB13A5"/>
    <w:rsid w:val="00CB1610"/>
    <w:rsid w:val="00CB1977"/>
    <w:rsid w:val="00CB1CDE"/>
    <w:rsid w:val="00CB21CE"/>
    <w:rsid w:val="00CB236F"/>
    <w:rsid w:val="00CB2417"/>
    <w:rsid w:val="00CB2427"/>
    <w:rsid w:val="00CB2678"/>
    <w:rsid w:val="00CB28C0"/>
    <w:rsid w:val="00CB2AF7"/>
    <w:rsid w:val="00CB2CF8"/>
    <w:rsid w:val="00CB2E00"/>
    <w:rsid w:val="00CB2E8C"/>
    <w:rsid w:val="00CB2F66"/>
    <w:rsid w:val="00CB3005"/>
    <w:rsid w:val="00CB315A"/>
    <w:rsid w:val="00CB3A11"/>
    <w:rsid w:val="00CB3AFB"/>
    <w:rsid w:val="00CB3C3D"/>
    <w:rsid w:val="00CB3F23"/>
    <w:rsid w:val="00CB3F55"/>
    <w:rsid w:val="00CB4206"/>
    <w:rsid w:val="00CB42C3"/>
    <w:rsid w:val="00CB444E"/>
    <w:rsid w:val="00CB4511"/>
    <w:rsid w:val="00CB475C"/>
    <w:rsid w:val="00CB4C65"/>
    <w:rsid w:val="00CB4C68"/>
    <w:rsid w:val="00CB4CFE"/>
    <w:rsid w:val="00CB4D7E"/>
    <w:rsid w:val="00CB4E3A"/>
    <w:rsid w:val="00CB589C"/>
    <w:rsid w:val="00CB5C5F"/>
    <w:rsid w:val="00CB5D44"/>
    <w:rsid w:val="00CB5FE2"/>
    <w:rsid w:val="00CB61FE"/>
    <w:rsid w:val="00CB63B1"/>
    <w:rsid w:val="00CB67C5"/>
    <w:rsid w:val="00CB6819"/>
    <w:rsid w:val="00CB6B10"/>
    <w:rsid w:val="00CB6C4F"/>
    <w:rsid w:val="00CB6C71"/>
    <w:rsid w:val="00CB6E5E"/>
    <w:rsid w:val="00CB6F5C"/>
    <w:rsid w:val="00CB744D"/>
    <w:rsid w:val="00CB7643"/>
    <w:rsid w:val="00CB7D27"/>
    <w:rsid w:val="00CB7E71"/>
    <w:rsid w:val="00CC0656"/>
    <w:rsid w:val="00CC06E0"/>
    <w:rsid w:val="00CC07CF"/>
    <w:rsid w:val="00CC0C15"/>
    <w:rsid w:val="00CC0D43"/>
    <w:rsid w:val="00CC0E67"/>
    <w:rsid w:val="00CC0F60"/>
    <w:rsid w:val="00CC1017"/>
    <w:rsid w:val="00CC1100"/>
    <w:rsid w:val="00CC1172"/>
    <w:rsid w:val="00CC11A7"/>
    <w:rsid w:val="00CC13FF"/>
    <w:rsid w:val="00CC15FC"/>
    <w:rsid w:val="00CC1BA3"/>
    <w:rsid w:val="00CC1D83"/>
    <w:rsid w:val="00CC1ECB"/>
    <w:rsid w:val="00CC223F"/>
    <w:rsid w:val="00CC227B"/>
    <w:rsid w:val="00CC24C1"/>
    <w:rsid w:val="00CC25E6"/>
    <w:rsid w:val="00CC2727"/>
    <w:rsid w:val="00CC2AAB"/>
    <w:rsid w:val="00CC2AEC"/>
    <w:rsid w:val="00CC2B74"/>
    <w:rsid w:val="00CC2BBA"/>
    <w:rsid w:val="00CC2BD2"/>
    <w:rsid w:val="00CC2ECD"/>
    <w:rsid w:val="00CC2FE8"/>
    <w:rsid w:val="00CC2FFB"/>
    <w:rsid w:val="00CC3216"/>
    <w:rsid w:val="00CC3856"/>
    <w:rsid w:val="00CC39D5"/>
    <w:rsid w:val="00CC3B9C"/>
    <w:rsid w:val="00CC3BBE"/>
    <w:rsid w:val="00CC3BEF"/>
    <w:rsid w:val="00CC40E2"/>
    <w:rsid w:val="00CC41BA"/>
    <w:rsid w:val="00CC426D"/>
    <w:rsid w:val="00CC42FB"/>
    <w:rsid w:val="00CC43F4"/>
    <w:rsid w:val="00CC4A8E"/>
    <w:rsid w:val="00CC4C34"/>
    <w:rsid w:val="00CC4EA1"/>
    <w:rsid w:val="00CC4FFE"/>
    <w:rsid w:val="00CC5510"/>
    <w:rsid w:val="00CC557E"/>
    <w:rsid w:val="00CC55A7"/>
    <w:rsid w:val="00CC5620"/>
    <w:rsid w:val="00CC57F7"/>
    <w:rsid w:val="00CC5A5C"/>
    <w:rsid w:val="00CC5F74"/>
    <w:rsid w:val="00CC60FF"/>
    <w:rsid w:val="00CC6513"/>
    <w:rsid w:val="00CC6587"/>
    <w:rsid w:val="00CC6794"/>
    <w:rsid w:val="00CC6A99"/>
    <w:rsid w:val="00CC6B8C"/>
    <w:rsid w:val="00CC6CDE"/>
    <w:rsid w:val="00CC6EED"/>
    <w:rsid w:val="00CC6F8D"/>
    <w:rsid w:val="00CC73A7"/>
    <w:rsid w:val="00CC743C"/>
    <w:rsid w:val="00CC74F9"/>
    <w:rsid w:val="00CC7D63"/>
    <w:rsid w:val="00CC7D6A"/>
    <w:rsid w:val="00CD01C8"/>
    <w:rsid w:val="00CD03BC"/>
    <w:rsid w:val="00CD05DF"/>
    <w:rsid w:val="00CD0A4A"/>
    <w:rsid w:val="00CD1159"/>
    <w:rsid w:val="00CD160F"/>
    <w:rsid w:val="00CD1941"/>
    <w:rsid w:val="00CD1E52"/>
    <w:rsid w:val="00CD22B9"/>
    <w:rsid w:val="00CD23A7"/>
    <w:rsid w:val="00CD240A"/>
    <w:rsid w:val="00CD25DC"/>
    <w:rsid w:val="00CD2951"/>
    <w:rsid w:val="00CD2B25"/>
    <w:rsid w:val="00CD2B64"/>
    <w:rsid w:val="00CD2D20"/>
    <w:rsid w:val="00CD3022"/>
    <w:rsid w:val="00CD3099"/>
    <w:rsid w:val="00CD30EC"/>
    <w:rsid w:val="00CD318B"/>
    <w:rsid w:val="00CD31A5"/>
    <w:rsid w:val="00CD325C"/>
    <w:rsid w:val="00CD354E"/>
    <w:rsid w:val="00CD38F4"/>
    <w:rsid w:val="00CD3A76"/>
    <w:rsid w:val="00CD3AB1"/>
    <w:rsid w:val="00CD3B67"/>
    <w:rsid w:val="00CD3C34"/>
    <w:rsid w:val="00CD40A2"/>
    <w:rsid w:val="00CD484F"/>
    <w:rsid w:val="00CD4915"/>
    <w:rsid w:val="00CD4CA4"/>
    <w:rsid w:val="00CD4F4D"/>
    <w:rsid w:val="00CD5293"/>
    <w:rsid w:val="00CD533A"/>
    <w:rsid w:val="00CD558D"/>
    <w:rsid w:val="00CD5630"/>
    <w:rsid w:val="00CD5A12"/>
    <w:rsid w:val="00CD5DD8"/>
    <w:rsid w:val="00CD5E04"/>
    <w:rsid w:val="00CD5E19"/>
    <w:rsid w:val="00CD5EED"/>
    <w:rsid w:val="00CD6046"/>
    <w:rsid w:val="00CD6254"/>
    <w:rsid w:val="00CD657A"/>
    <w:rsid w:val="00CD669B"/>
    <w:rsid w:val="00CD694B"/>
    <w:rsid w:val="00CD6C56"/>
    <w:rsid w:val="00CD7137"/>
    <w:rsid w:val="00CD72C0"/>
    <w:rsid w:val="00CD759E"/>
    <w:rsid w:val="00CD77B8"/>
    <w:rsid w:val="00CD7C92"/>
    <w:rsid w:val="00CD7DBF"/>
    <w:rsid w:val="00CE01BA"/>
    <w:rsid w:val="00CE0220"/>
    <w:rsid w:val="00CE0324"/>
    <w:rsid w:val="00CE0733"/>
    <w:rsid w:val="00CE08D4"/>
    <w:rsid w:val="00CE09E0"/>
    <w:rsid w:val="00CE0A7D"/>
    <w:rsid w:val="00CE0DAB"/>
    <w:rsid w:val="00CE0F0D"/>
    <w:rsid w:val="00CE0F4C"/>
    <w:rsid w:val="00CE11B8"/>
    <w:rsid w:val="00CE1211"/>
    <w:rsid w:val="00CE1484"/>
    <w:rsid w:val="00CE1747"/>
    <w:rsid w:val="00CE18C2"/>
    <w:rsid w:val="00CE18D6"/>
    <w:rsid w:val="00CE1D49"/>
    <w:rsid w:val="00CE1F01"/>
    <w:rsid w:val="00CE20A7"/>
    <w:rsid w:val="00CE2232"/>
    <w:rsid w:val="00CE2396"/>
    <w:rsid w:val="00CE2450"/>
    <w:rsid w:val="00CE2658"/>
    <w:rsid w:val="00CE2994"/>
    <w:rsid w:val="00CE2E0E"/>
    <w:rsid w:val="00CE2FE3"/>
    <w:rsid w:val="00CE32A1"/>
    <w:rsid w:val="00CE34DD"/>
    <w:rsid w:val="00CE3694"/>
    <w:rsid w:val="00CE36D8"/>
    <w:rsid w:val="00CE380F"/>
    <w:rsid w:val="00CE3880"/>
    <w:rsid w:val="00CE3965"/>
    <w:rsid w:val="00CE3B41"/>
    <w:rsid w:val="00CE3C76"/>
    <w:rsid w:val="00CE3CF5"/>
    <w:rsid w:val="00CE4203"/>
    <w:rsid w:val="00CE4302"/>
    <w:rsid w:val="00CE48F3"/>
    <w:rsid w:val="00CE4C05"/>
    <w:rsid w:val="00CE4C69"/>
    <w:rsid w:val="00CE4CE4"/>
    <w:rsid w:val="00CE4E13"/>
    <w:rsid w:val="00CE5175"/>
    <w:rsid w:val="00CE519E"/>
    <w:rsid w:val="00CE5208"/>
    <w:rsid w:val="00CE5257"/>
    <w:rsid w:val="00CE5285"/>
    <w:rsid w:val="00CE576F"/>
    <w:rsid w:val="00CE58E5"/>
    <w:rsid w:val="00CE58FC"/>
    <w:rsid w:val="00CE5AD5"/>
    <w:rsid w:val="00CE5ECD"/>
    <w:rsid w:val="00CE611B"/>
    <w:rsid w:val="00CE6202"/>
    <w:rsid w:val="00CE6267"/>
    <w:rsid w:val="00CE6308"/>
    <w:rsid w:val="00CE651B"/>
    <w:rsid w:val="00CE6577"/>
    <w:rsid w:val="00CE65A3"/>
    <w:rsid w:val="00CE663D"/>
    <w:rsid w:val="00CE668B"/>
    <w:rsid w:val="00CE6BE9"/>
    <w:rsid w:val="00CE6CB9"/>
    <w:rsid w:val="00CE6D7E"/>
    <w:rsid w:val="00CE7318"/>
    <w:rsid w:val="00CE77C1"/>
    <w:rsid w:val="00CE7A1D"/>
    <w:rsid w:val="00CE7A3E"/>
    <w:rsid w:val="00CE7A82"/>
    <w:rsid w:val="00CE7B57"/>
    <w:rsid w:val="00CE7BA1"/>
    <w:rsid w:val="00CE7CAD"/>
    <w:rsid w:val="00CF00BF"/>
    <w:rsid w:val="00CF06BD"/>
    <w:rsid w:val="00CF06CE"/>
    <w:rsid w:val="00CF0B36"/>
    <w:rsid w:val="00CF0ED8"/>
    <w:rsid w:val="00CF11BB"/>
    <w:rsid w:val="00CF138D"/>
    <w:rsid w:val="00CF147C"/>
    <w:rsid w:val="00CF172E"/>
    <w:rsid w:val="00CF182C"/>
    <w:rsid w:val="00CF1A35"/>
    <w:rsid w:val="00CF1A8C"/>
    <w:rsid w:val="00CF1D66"/>
    <w:rsid w:val="00CF2204"/>
    <w:rsid w:val="00CF2265"/>
    <w:rsid w:val="00CF2347"/>
    <w:rsid w:val="00CF28AD"/>
    <w:rsid w:val="00CF28BC"/>
    <w:rsid w:val="00CF29B0"/>
    <w:rsid w:val="00CF29F4"/>
    <w:rsid w:val="00CF2AC2"/>
    <w:rsid w:val="00CF2E05"/>
    <w:rsid w:val="00CF2EE3"/>
    <w:rsid w:val="00CF2F0B"/>
    <w:rsid w:val="00CF2FD2"/>
    <w:rsid w:val="00CF311A"/>
    <w:rsid w:val="00CF3462"/>
    <w:rsid w:val="00CF360F"/>
    <w:rsid w:val="00CF36AC"/>
    <w:rsid w:val="00CF3C30"/>
    <w:rsid w:val="00CF405F"/>
    <w:rsid w:val="00CF40A2"/>
    <w:rsid w:val="00CF40CF"/>
    <w:rsid w:val="00CF40FF"/>
    <w:rsid w:val="00CF41F8"/>
    <w:rsid w:val="00CF439F"/>
    <w:rsid w:val="00CF4481"/>
    <w:rsid w:val="00CF4D38"/>
    <w:rsid w:val="00CF4E64"/>
    <w:rsid w:val="00CF5040"/>
    <w:rsid w:val="00CF50A4"/>
    <w:rsid w:val="00CF5210"/>
    <w:rsid w:val="00CF53BA"/>
    <w:rsid w:val="00CF5415"/>
    <w:rsid w:val="00CF578D"/>
    <w:rsid w:val="00CF5B31"/>
    <w:rsid w:val="00CF5B32"/>
    <w:rsid w:val="00CF5C7D"/>
    <w:rsid w:val="00CF605F"/>
    <w:rsid w:val="00CF6212"/>
    <w:rsid w:val="00CF627D"/>
    <w:rsid w:val="00CF62BD"/>
    <w:rsid w:val="00CF632B"/>
    <w:rsid w:val="00CF6537"/>
    <w:rsid w:val="00CF67D6"/>
    <w:rsid w:val="00CF689B"/>
    <w:rsid w:val="00CF6B36"/>
    <w:rsid w:val="00CF6DE5"/>
    <w:rsid w:val="00CF7051"/>
    <w:rsid w:val="00CF78E1"/>
    <w:rsid w:val="00CF79AF"/>
    <w:rsid w:val="00CF7AF2"/>
    <w:rsid w:val="00CF7C84"/>
    <w:rsid w:val="00CF7DC5"/>
    <w:rsid w:val="00CF7E5B"/>
    <w:rsid w:val="00D00083"/>
    <w:rsid w:val="00D00689"/>
    <w:rsid w:val="00D00977"/>
    <w:rsid w:val="00D00A84"/>
    <w:rsid w:val="00D00AA3"/>
    <w:rsid w:val="00D00B54"/>
    <w:rsid w:val="00D00D4D"/>
    <w:rsid w:val="00D00FD6"/>
    <w:rsid w:val="00D010AC"/>
    <w:rsid w:val="00D01195"/>
    <w:rsid w:val="00D0148F"/>
    <w:rsid w:val="00D015D7"/>
    <w:rsid w:val="00D01BB4"/>
    <w:rsid w:val="00D01E7A"/>
    <w:rsid w:val="00D02428"/>
    <w:rsid w:val="00D0264E"/>
    <w:rsid w:val="00D02ACA"/>
    <w:rsid w:val="00D02BDF"/>
    <w:rsid w:val="00D02D8D"/>
    <w:rsid w:val="00D02F44"/>
    <w:rsid w:val="00D0300D"/>
    <w:rsid w:val="00D03076"/>
    <w:rsid w:val="00D0335A"/>
    <w:rsid w:val="00D03447"/>
    <w:rsid w:val="00D03640"/>
    <w:rsid w:val="00D03836"/>
    <w:rsid w:val="00D03B5A"/>
    <w:rsid w:val="00D03E65"/>
    <w:rsid w:val="00D044E8"/>
    <w:rsid w:val="00D04612"/>
    <w:rsid w:val="00D0461F"/>
    <w:rsid w:val="00D04819"/>
    <w:rsid w:val="00D048DC"/>
    <w:rsid w:val="00D049B0"/>
    <w:rsid w:val="00D04A5C"/>
    <w:rsid w:val="00D04CAD"/>
    <w:rsid w:val="00D04EB6"/>
    <w:rsid w:val="00D0504E"/>
    <w:rsid w:val="00D051E6"/>
    <w:rsid w:val="00D0531E"/>
    <w:rsid w:val="00D0569A"/>
    <w:rsid w:val="00D0570E"/>
    <w:rsid w:val="00D0586C"/>
    <w:rsid w:val="00D05AD9"/>
    <w:rsid w:val="00D05DB9"/>
    <w:rsid w:val="00D062A7"/>
    <w:rsid w:val="00D06316"/>
    <w:rsid w:val="00D06381"/>
    <w:rsid w:val="00D0638B"/>
    <w:rsid w:val="00D064C8"/>
    <w:rsid w:val="00D06691"/>
    <w:rsid w:val="00D0686D"/>
    <w:rsid w:val="00D06904"/>
    <w:rsid w:val="00D06B15"/>
    <w:rsid w:val="00D06B19"/>
    <w:rsid w:val="00D06F4B"/>
    <w:rsid w:val="00D06F85"/>
    <w:rsid w:val="00D0716C"/>
    <w:rsid w:val="00D0724B"/>
    <w:rsid w:val="00D07254"/>
    <w:rsid w:val="00D07554"/>
    <w:rsid w:val="00D078C9"/>
    <w:rsid w:val="00D078DA"/>
    <w:rsid w:val="00D0792C"/>
    <w:rsid w:val="00D07A13"/>
    <w:rsid w:val="00D07BFB"/>
    <w:rsid w:val="00D07C28"/>
    <w:rsid w:val="00D07CAC"/>
    <w:rsid w:val="00D07F72"/>
    <w:rsid w:val="00D07F73"/>
    <w:rsid w:val="00D10034"/>
    <w:rsid w:val="00D10141"/>
    <w:rsid w:val="00D102C9"/>
    <w:rsid w:val="00D10428"/>
    <w:rsid w:val="00D1063A"/>
    <w:rsid w:val="00D106B9"/>
    <w:rsid w:val="00D106F1"/>
    <w:rsid w:val="00D10953"/>
    <w:rsid w:val="00D110E1"/>
    <w:rsid w:val="00D113AD"/>
    <w:rsid w:val="00D11414"/>
    <w:rsid w:val="00D1157D"/>
    <w:rsid w:val="00D11688"/>
    <w:rsid w:val="00D11A94"/>
    <w:rsid w:val="00D11BBE"/>
    <w:rsid w:val="00D11CFE"/>
    <w:rsid w:val="00D120CC"/>
    <w:rsid w:val="00D12174"/>
    <w:rsid w:val="00D1240E"/>
    <w:rsid w:val="00D12476"/>
    <w:rsid w:val="00D128FC"/>
    <w:rsid w:val="00D12AE5"/>
    <w:rsid w:val="00D131E2"/>
    <w:rsid w:val="00D13399"/>
    <w:rsid w:val="00D13677"/>
    <w:rsid w:val="00D13705"/>
    <w:rsid w:val="00D138DC"/>
    <w:rsid w:val="00D13B56"/>
    <w:rsid w:val="00D13BE8"/>
    <w:rsid w:val="00D13C1A"/>
    <w:rsid w:val="00D13C27"/>
    <w:rsid w:val="00D13C42"/>
    <w:rsid w:val="00D13F34"/>
    <w:rsid w:val="00D13FB2"/>
    <w:rsid w:val="00D14152"/>
    <w:rsid w:val="00D14235"/>
    <w:rsid w:val="00D1463F"/>
    <w:rsid w:val="00D14844"/>
    <w:rsid w:val="00D14EC7"/>
    <w:rsid w:val="00D150FE"/>
    <w:rsid w:val="00D153D2"/>
    <w:rsid w:val="00D15453"/>
    <w:rsid w:val="00D155C8"/>
    <w:rsid w:val="00D158F0"/>
    <w:rsid w:val="00D15957"/>
    <w:rsid w:val="00D15B6F"/>
    <w:rsid w:val="00D15B9D"/>
    <w:rsid w:val="00D15F57"/>
    <w:rsid w:val="00D1627D"/>
    <w:rsid w:val="00D16352"/>
    <w:rsid w:val="00D16508"/>
    <w:rsid w:val="00D1651D"/>
    <w:rsid w:val="00D16823"/>
    <w:rsid w:val="00D169CE"/>
    <w:rsid w:val="00D16B83"/>
    <w:rsid w:val="00D16B87"/>
    <w:rsid w:val="00D16EB8"/>
    <w:rsid w:val="00D171AB"/>
    <w:rsid w:val="00D17401"/>
    <w:rsid w:val="00D1751A"/>
    <w:rsid w:val="00D176B0"/>
    <w:rsid w:val="00D176F4"/>
    <w:rsid w:val="00D177C7"/>
    <w:rsid w:val="00D177F2"/>
    <w:rsid w:val="00D17BD2"/>
    <w:rsid w:val="00D20099"/>
    <w:rsid w:val="00D2041C"/>
    <w:rsid w:val="00D20467"/>
    <w:rsid w:val="00D2050E"/>
    <w:rsid w:val="00D206C6"/>
    <w:rsid w:val="00D20B69"/>
    <w:rsid w:val="00D2124F"/>
    <w:rsid w:val="00D2143D"/>
    <w:rsid w:val="00D21473"/>
    <w:rsid w:val="00D2174D"/>
    <w:rsid w:val="00D21B53"/>
    <w:rsid w:val="00D21BC1"/>
    <w:rsid w:val="00D21EBE"/>
    <w:rsid w:val="00D228DE"/>
    <w:rsid w:val="00D22B76"/>
    <w:rsid w:val="00D22ED9"/>
    <w:rsid w:val="00D23027"/>
    <w:rsid w:val="00D23277"/>
    <w:rsid w:val="00D23482"/>
    <w:rsid w:val="00D23962"/>
    <w:rsid w:val="00D2396F"/>
    <w:rsid w:val="00D239B2"/>
    <w:rsid w:val="00D23B54"/>
    <w:rsid w:val="00D23BC3"/>
    <w:rsid w:val="00D23D57"/>
    <w:rsid w:val="00D23EBD"/>
    <w:rsid w:val="00D241B3"/>
    <w:rsid w:val="00D24770"/>
    <w:rsid w:val="00D248E4"/>
    <w:rsid w:val="00D2494B"/>
    <w:rsid w:val="00D24BF0"/>
    <w:rsid w:val="00D24C14"/>
    <w:rsid w:val="00D251E9"/>
    <w:rsid w:val="00D25259"/>
    <w:rsid w:val="00D252E6"/>
    <w:rsid w:val="00D25319"/>
    <w:rsid w:val="00D25393"/>
    <w:rsid w:val="00D25456"/>
    <w:rsid w:val="00D25960"/>
    <w:rsid w:val="00D25ADE"/>
    <w:rsid w:val="00D25CC5"/>
    <w:rsid w:val="00D25E38"/>
    <w:rsid w:val="00D260F6"/>
    <w:rsid w:val="00D26305"/>
    <w:rsid w:val="00D265E8"/>
    <w:rsid w:val="00D26651"/>
    <w:rsid w:val="00D26820"/>
    <w:rsid w:val="00D26983"/>
    <w:rsid w:val="00D26A4B"/>
    <w:rsid w:val="00D26B6A"/>
    <w:rsid w:val="00D26B93"/>
    <w:rsid w:val="00D26DEA"/>
    <w:rsid w:val="00D26EA4"/>
    <w:rsid w:val="00D26ECC"/>
    <w:rsid w:val="00D27009"/>
    <w:rsid w:val="00D27387"/>
    <w:rsid w:val="00D275C3"/>
    <w:rsid w:val="00D27691"/>
    <w:rsid w:val="00D27BF7"/>
    <w:rsid w:val="00D300E7"/>
    <w:rsid w:val="00D3043D"/>
    <w:rsid w:val="00D30784"/>
    <w:rsid w:val="00D308B5"/>
    <w:rsid w:val="00D3090E"/>
    <w:rsid w:val="00D30C21"/>
    <w:rsid w:val="00D30CE8"/>
    <w:rsid w:val="00D312D9"/>
    <w:rsid w:val="00D31387"/>
    <w:rsid w:val="00D31645"/>
    <w:rsid w:val="00D316BE"/>
    <w:rsid w:val="00D31BA1"/>
    <w:rsid w:val="00D31BFD"/>
    <w:rsid w:val="00D32157"/>
    <w:rsid w:val="00D3216C"/>
    <w:rsid w:val="00D323C6"/>
    <w:rsid w:val="00D3242F"/>
    <w:rsid w:val="00D3264A"/>
    <w:rsid w:val="00D327D8"/>
    <w:rsid w:val="00D329CC"/>
    <w:rsid w:val="00D32B61"/>
    <w:rsid w:val="00D32F5B"/>
    <w:rsid w:val="00D336BB"/>
    <w:rsid w:val="00D33883"/>
    <w:rsid w:val="00D339AF"/>
    <w:rsid w:val="00D33A11"/>
    <w:rsid w:val="00D33CF8"/>
    <w:rsid w:val="00D33F3C"/>
    <w:rsid w:val="00D3417C"/>
    <w:rsid w:val="00D342A4"/>
    <w:rsid w:val="00D34330"/>
    <w:rsid w:val="00D344B0"/>
    <w:rsid w:val="00D345D4"/>
    <w:rsid w:val="00D3469E"/>
    <w:rsid w:val="00D34854"/>
    <w:rsid w:val="00D34AF5"/>
    <w:rsid w:val="00D35286"/>
    <w:rsid w:val="00D3568C"/>
    <w:rsid w:val="00D3573D"/>
    <w:rsid w:val="00D3586C"/>
    <w:rsid w:val="00D3588B"/>
    <w:rsid w:val="00D358A3"/>
    <w:rsid w:val="00D35AF8"/>
    <w:rsid w:val="00D35E05"/>
    <w:rsid w:val="00D36684"/>
    <w:rsid w:val="00D368EC"/>
    <w:rsid w:val="00D36AAC"/>
    <w:rsid w:val="00D36B05"/>
    <w:rsid w:val="00D36BCC"/>
    <w:rsid w:val="00D372D9"/>
    <w:rsid w:val="00D37483"/>
    <w:rsid w:val="00D377E0"/>
    <w:rsid w:val="00D37846"/>
    <w:rsid w:val="00D37B30"/>
    <w:rsid w:val="00D37D18"/>
    <w:rsid w:val="00D40208"/>
    <w:rsid w:val="00D403BA"/>
    <w:rsid w:val="00D407BB"/>
    <w:rsid w:val="00D40A6D"/>
    <w:rsid w:val="00D40CAB"/>
    <w:rsid w:val="00D40DCD"/>
    <w:rsid w:val="00D40E91"/>
    <w:rsid w:val="00D40EC9"/>
    <w:rsid w:val="00D419EF"/>
    <w:rsid w:val="00D41C46"/>
    <w:rsid w:val="00D41D72"/>
    <w:rsid w:val="00D42155"/>
    <w:rsid w:val="00D42191"/>
    <w:rsid w:val="00D42319"/>
    <w:rsid w:val="00D42587"/>
    <w:rsid w:val="00D4291C"/>
    <w:rsid w:val="00D42B31"/>
    <w:rsid w:val="00D42E8E"/>
    <w:rsid w:val="00D430CE"/>
    <w:rsid w:val="00D43242"/>
    <w:rsid w:val="00D43297"/>
    <w:rsid w:val="00D43617"/>
    <w:rsid w:val="00D43EC5"/>
    <w:rsid w:val="00D43FD7"/>
    <w:rsid w:val="00D44036"/>
    <w:rsid w:val="00D44200"/>
    <w:rsid w:val="00D44209"/>
    <w:rsid w:val="00D44268"/>
    <w:rsid w:val="00D44297"/>
    <w:rsid w:val="00D442A5"/>
    <w:rsid w:val="00D4437A"/>
    <w:rsid w:val="00D446BB"/>
    <w:rsid w:val="00D448DE"/>
    <w:rsid w:val="00D44ACD"/>
    <w:rsid w:val="00D44DB6"/>
    <w:rsid w:val="00D44E6C"/>
    <w:rsid w:val="00D450BE"/>
    <w:rsid w:val="00D45574"/>
    <w:rsid w:val="00D45718"/>
    <w:rsid w:val="00D45EEE"/>
    <w:rsid w:val="00D46603"/>
    <w:rsid w:val="00D466D1"/>
    <w:rsid w:val="00D46728"/>
    <w:rsid w:val="00D468EA"/>
    <w:rsid w:val="00D46C82"/>
    <w:rsid w:val="00D46DC4"/>
    <w:rsid w:val="00D46E7A"/>
    <w:rsid w:val="00D46F44"/>
    <w:rsid w:val="00D46F45"/>
    <w:rsid w:val="00D475F2"/>
    <w:rsid w:val="00D47601"/>
    <w:rsid w:val="00D476A9"/>
    <w:rsid w:val="00D476E7"/>
    <w:rsid w:val="00D478A8"/>
    <w:rsid w:val="00D478C1"/>
    <w:rsid w:val="00D479F8"/>
    <w:rsid w:val="00D47D83"/>
    <w:rsid w:val="00D47E18"/>
    <w:rsid w:val="00D47F51"/>
    <w:rsid w:val="00D50119"/>
    <w:rsid w:val="00D5013B"/>
    <w:rsid w:val="00D50188"/>
    <w:rsid w:val="00D501C0"/>
    <w:rsid w:val="00D502CF"/>
    <w:rsid w:val="00D504EE"/>
    <w:rsid w:val="00D5054E"/>
    <w:rsid w:val="00D50787"/>
    <w:rsid w:val="00D50AED"/>
    <w:rsid w:val="00D50DE0"/>
    <w:rsid w:val="00D50E4E"/>
    <w:rsid w:val="00D50F21"/>
    <w:rsid w:val="00D5180F"/>
    <w:rsid w:val="00D519D0"/>
    <w:rsid w:val="00D51EA0"/>
    <w:rsid w:val="00D51F00"/>
    <w:rsid w:val="00D520B0"/>
    <w:rsid w:val="00D52131"/>
    <w:rsid w:val="00D521BA"/>
    <w:rsid w:val="00D521E6"/>
    <w:rsid w:val="00D523EA"/>
    <w:rsid w:val="00D52871"/>
    <w:rsid w:val="00D52AC1"/>
    <w:rsid w:val="00D52C44"/>
    <w:rsid w:val="00D52CF3"/>
    <w:rsid w:val="00D52EF4"/>
    <w:rsid w:val="00D532C9"/>
    <w:rsid w:val="00D53584"/>
    <w:rsid w:val="00D53603"/>
    <w:rsid w:val="00D5396D"/>
    <w:rsid w:val="00D53BD6"/>
    <w:rsid w:val="00D53C76"/>
    <w:rsid w:val="00D53D2C"/>
    <w:rsid w:val="00D54060"/>
    <w:rsid w:val="00D540B0"/>
    <w:rsid w:val="00D5441B"/>
    <w:rsid w:val="00D54639"/>
    <w:rsid w:val="00D546E8"/>
    <w:rsid w:val="00D54838"/>
    <w:rsid w:val="00D54867"/>
    <w:rsid w:val="00D54DF6"/>
    <w:rsid w:val="00D54F3D"/>
    <w:rsid w:val="00D550B0"/>
    <w:rsid w:val="00D553D3"/>
    <w:rsid w:val="00D555DF"/>
    <w:rsid w:val="00D556C9"/>
    <w:rsid w:val="00D558F3"/>
    <w:rsid w:val="00D55B23"/>
    <w:rsid w:val="00D55BA8"/>
    <w:rsid w:val="00D55C5E"/>
    <w:rsid w:val="00D55DB6"/>
    <w:rsid w:val="00D56205"/>
    <w:rsid w:val="00D563D9"/>
    <w:rsid w:val="00D563F5"/>
    <w:rsid w:val="00D564DA"/>
    <w:rsid w:val="00D566D7"/>
    <w:rsid w:val="00D56713"/>
    <w:rsid w:val="00D568D5"/>
    <w:rsid w:val="00D56B8A"/>
    <w:rsid w:val="00D56CF1"/>
    <w:rsid w:val="00D56ECC"/>
    <w:rsid w:val="00D57144"/>
    <w:rsid w:val="00D575E8"/>
    <w:rsid w:val="00D57931"/>
    <w:rsid w:val="00D57CDB"/>
    <w:rsid w:val="00D57D90"/>
    <w:rsid w:val="00D57DBE"/>
    <w:rsid w:val="00D57EDB"/>
    <w:rsid w:val="00D57F01"/>
    <w:rsid w:val="00D600AC"/>
    <w:rsid w:val="00D60119"/>
    <w:rsid w:val="00D6015C"/>
    <w:rsid w:val="00D60288"/>
    <w:rsid w:val="00D60531"/>
    <w:rsid w:val="00D6060D"/>
    <w:rsid w:val="00D607E9"/>
    <w:rsid w:val="00D60872"/>
    <w:rsid w:val="00D60AFC"/>
    <w:rsid w:val="00D60B93"/>
    <w:rsid w:val="00D60C06"/>
    <w:rsid w:val="00D60C81"/>
    <w:rsid w:val="00D6103A"/>
    <w:rsid w:val="00D6109E"/>
    <w:rsid w:val="00D61724"/>
    <w:rsid w:val="00D61816"/>
    <w:rsid w:val="00D6198C"/>
    <w:rsid w:val="00D61B01"/>
    <w:rsid w:val="00D621AA"/>
    <w:rsid w:val="00D621B2"/>
    <w:rsid w:val="00D623E2"/>
    <w:rsid w:val="00D624B2"/>
    <w:rsid w:val="00D624CC"/>
    <w:rsid w:val="00D62572"/>
    <w:rsid w:val="00D62588"/>
    <w:rsid w:val="00D6272D"/>
    <w:rsid w:val="00D6277F"/>
    <w:rsid w:val="00D62876"/>
    <w:rsid w:val="00D62881"/>
    <w:rsid w:val="00D62915"/>
    <w:rsid w:val="00D62E29"/>
    <w:rsid w:val="00D62ED2"/>
    <w:rsid w:val="00D6308A"/>
    <w:rsid w:val="00D6326D"/>
    <w:rsid w:val="00D63361"/>
    <w:rsid w:val="00D636E5"/>
    <w:rsid w:val="00D63973"/>
    <w:rsid w:val="00D63C00"/>
    <w:rsid w:val="00D63C99"/>
    <w:rsid w:val="00D63E14"/>
    <w:rsid w:val="00D642E3"/>
    <w:rsid w:val="00D6440A"/>
    <w:rsid w:val="00D64523"/>
    <w:rsid w:val="00D64540"/>
    <w:rsid w:val="00D64550"/>
    <w:rsid w:val="00D64577"/>
    <w:rsid w:val="00D64648"/>
    <w:rsid w:val="00D64AA2"/>
    <w:rsid w:val="00D64E24"/>
    <w:rsid w:val="00D65338"/>
    <w:rsid w:val="00D659FB"/>
    <w:rsid w:val="00D65D55"/>
    <w:rsid w:val="00D6652B"/>
    <w:rsid w:val="00D66C51"/>
    <w:rsid w:val="00D66CDB"/>
    <w:rsid w:val="00D66F06"/>
    <w:rsid w:val="00D66F48"/>
    <w:rsid w:val="00D6706D"/>
    <w:rsid w:val="00D67138"/>
    <w:rsid w:val="00D671C3"/>
    <w:rsid w:val="00D6721F"/>
    <w:rsid w:val="00D6722B"/>
    <w:rsid w:val="00D672A4"/>
    <w:rsid w:val="00D67767"/>
    <w:rsid w:val="00D67782"/>
    <w:rsid w:val="00D67823"/>
    <w:rsid w:val="00D6791D"/>
    <w:rsid w:val="00D67924"/>
    <w:rsid w:val="00D67979"/>
    <w:rsid w:val="00D67B10"/>
    <w:rsid w:val="00D67DAA"/>
    <w:rsid w:val="00D67E3E"/>
    <w:rsid w:val="00D67EF4"/>
    <w:rsid w:val="00D67F72"/>
    <w:rsid w:val="00D7033F"/>
    <w:rsid w:val="00D706D9"/>
    <w:rsid w:val="00D70B86"/>
    <w:rsid w:val="00D70D3D"/>
    <w:rsid w:val="00D70D66"/>
    <w:rsid w:val="00D70DC6"/>
    <w:rsid w:val="00D70F22"/>
    <w:rsid w:val="00D71165"/>
    <w:rsid w:val="00D716FA"/>
    <w:rsid w:val="00D717DE"/>
    <w:rsid w:val="00D7181A"/>
    <w:rsid w:val="00D718D9"/>
    <w:rsid w:val="00D71AA6"/>
    <w:rsid w:val="00D71C56"/>
    <w:rsid w:val="00D71D69"/>
    <w:rsid w:val="00D71E4D"/>
    <w:rsid w:val="00D71F41"/>
    <w:rsid w:val="00D72176"/>
    <w:rsid w:val="00D721EF"/>
    <w:rsid w:val="00D721F1"/>
    <w:rsid w:val="00D7229B"/>
    <w:rsid w:val="00D72487"/>
    <w:rsid w:val="00D72743"/>
    <w:rsid w:val="00D72890"/>
    <w:rsid w:val="00D7295B"/>
    <w:rsid w:val="00D72FB5"/>
    <w:rsid w:val="00D72FFA"/>
    <w:rsid w:val="00D7360A"/>
    <w:rsid w:val="00D73744"/>
    <w:rsid w:val="00D7378A"/>
    <w:rsid w:val="00D738B8"/>
    <w:rsid w:val="00D73A32"/>
    <w:rsid w:val="00D73C3B"/>
    <w:rsid w:val="00D73EC5"/>
    <w:rsid w:val="00D74608"/>
    <w:rsid w:val="00D7484D"/>
    <w:rsid w:val="00D748B7"/>
    <w:rsid w:val="00D749B6"/>
    <w:rsid w:val="00D74CF6"/>
    <w:rsid w:val="00D752C0"/>
    <w:rsid w:val="00D753E2"/>
    <w:rsid w:val="00D75429"/>
    <w:rsid w:val="00D75979"/>
    <w:rsid w:val="00D75BD6"/>
    <w:rsid w:val="00D75C1C"/>
    <w:rsid w:val="00D764C8"/>
    <w:rsid w:val="00D76517"/>
    <w:rsid w:val="00D76548"/>
    <w:rsid w:val="00D76569"/>
    <w:rsid w:val="00D76877"/>
    <w:rsid w:val="00D76A53"/>
    <w:rsid w:val="00D76CBC"/>
    <w:rsid w:val="00D76CD4"/>
    <w:rsid w:val="00D76D47"/>
    <w:rsid w:val="00D76D94"/>
    <w:rsid w:val="00D76E3E"/>
    <w:rsid w:val="00D76F94"/>
    <w:rsid w:val="00D7707C"/>
    <w:rsid w:val="00D7716D"/>
    <w:rsid w:val="00D7765A"/>
    <w:rsid w:val="00D778A9"/>
    <w:rsid w:val="00D77B38"/>
    <w:rsid w:val="00D77E20"/>
    <w:rsid w:val="00D77F2A"/>
    <w:rsid w:val="00D80057"/>
    <w:rsid w:val="00D800A7"/>
    <w:rsid w:val="00D802C7"/>
    <w:rsid w:val="00D80399"/>
    <w:rsid w:val="00D803CC"/>
    <w:rsid w:val="00D80A95"/>
    <w:rsid w:val="00D80B22"/>
    <w:rsid w:val="00D80B27"/>
    <w:rsid w:val="00D80B70"/>
    <w:rsid w:val="00D80DCD"/>
    <w:rsid w:val="00D80E09"/>
    <w:rsid w:val="00D80EE1"/>
    <w:rsid w:val="00D811AE"/>
    <w:rsid w:val="00D81203"/>
    <w:rsid w:val="00D814C2"/>
    <w:rsid w:val="00D81627"/>
    <w:rsid w:val="00D816CC"/>
    <w:rsid w:val="00D81943"/>
    <w:rsid w:val="00D819B0"/>
    <w:rsid w:val="00D81C38"/>
    <w:rsid w:val="00D81C51"/>
    <w:rsid w:val="00D81D38"/>
    <w:rsid w:val="00D81DF5"/>
    <w:rsid w:val="00D826C5"/>
    <w:rsid w:val="00D82796"/>
    <w:rsid w:val="00D82A38"/>
    <w:rsid w:val="00D82A43"/>
    <w:rsid w:val="00D82C36"/>
    <w:rsid w:val="00D82D02"/>
    <w:rsid w:val="00D82D5A"/>
    <w:rsid w:val="00D831EA"/>
    <w:rsid w:val="00D8338E"/>
    <w:rsid w:val="00D834C1"/>
    <w:rsid w:val="00D838E6"/>
    <w:rsid w:val="00D83A16"/>
    <w:rsid w:val="00D83A93"/>
    <w:rsid w:val="00D83AEC"/>
    <w:rsid w:val="00D83B37"/>
    <w:rsid w:val="00D83CBE"/>
    <w:rsid w:val="00D83E57"/>
    <w:rsid w:val="00D83F3E"/>
    <w:rsid w:val="00D83F7C"/>
    <w:rsid w:val="00D84168"/>
    <w:rsid w:val="00D841FF"/>
    <w:rsid w:val="00D84A3D"/>
    <w:rsid w:val="00D84B06"/>
    <w:rsid w:val="00D84BBF"/>
    <w:rsid w:val="00D84C94"/>
    <w:rsid w:val="00D84DA3"/>
    <w:rsid w:val="00D84E11"/>
    <w:rsid w:val="00D84E4E"/>
    <w:rsid w:val="00D84E82"/>
    <w:rsid w:val="00D855A9"/>
    <w:rsid w:val="00D8583B"/>
    <w:rsid w:val="00D86881"/>
    <w:rsid w:val="00D871BD"/>
    <w:rsid w:val="00D8745B"/>
    <w:rsid w:val="00D87508"/>
    <w:rsid w:val="00D8757F"/>
    <w:rsid w:val="00D87770"/>
    <w:rsid w:val="00D87887"/>
    <w:rsid w:val="00D87C72"/>
    <w:rsid w:val="00D87CEC"/>
    <w:rsid w:val="00D87DCC"/>
    <w:rsid w:val="00D87E51"/>
    <w:rsid w:val="00D87F3E"/>
    <w:rsid w:val="00D901FB"/>
    <w:rsid w:val="00D903C4"/>
    <w:rsid w:val="00D904AE"/>
    <w:rsid w:val="00D905C7"/>
    <w:rsid w:val="00D906C3"/>
    <w:rsid w:val="00D90754"/>
    <w:rsid w:val="00D90D7E"/>
    <w:rsid w:val="00D90E0E"/>
    <w:rsid w:val="00D90E5C"/>
    <w:rsid w:val="00D91052"/>
    <w:rsid w:val="00D9173B"/>
    <w:rsid w:val="00D91AA0"/>
    <w:rsid w:val="00D91C28"/>
    <w:rsid w:val="00D91C34"/>
    <w:rsid w:val="00D91C80"/>
    <w:rsid w:val="00D91EA9"/>
    <w:rsid w:val="00D9208B"/>
    <w:rsid w:val="00D9209D"/>
    <w:rsid w:val="00D920A8"/>
    <w:rsid w:val="00D9212E"/>
    <w:rsid w:val="00D92337"/>
    <w:rsid w:val="00D92454"/>
    <w:rsid w:val="00D92499"/>
    <w:rsid w:val="00D92538"/>
    <w:rsid w:val="00D928AE"/>
    <w:rsid w:val="00D928F1"/>
    <w:rsid w:val="00D928FD"/>
    <w:rsid w:val="00D9292D"/>
    <w:rsid w:val="00D9298C"/>
    <w:rsid w:val="00D92D5D"/>
    <w:rsid w:val="00D93008"/>
    <w:rsid w:val="00D93183"/>
    <w:rsid w:val="00D93243"/>
    <w:rsid w:val="00D9328B"/>
    <w:rsid w:val="00D9331F"/>
    <w:rsid w:val="00D933B5"/>
    <w:rsid w:val="00D934CB"/>
    <w:rsid w:val="00D93773"/>
    <w:rsid w:val="00D93797"/>
    <w:rsid w:val="00D93864"/>
    <w:rsid w:val="00D93980"/>
    <w:rsid w:val="00D93D78"/>
    <w:rsid w:val="00D94051"/>
    <w:rsid w:val="00D94115"/>
    <w:rsid w:val="00D9414A"/>
    <w:rsid w:val="00D942AB"/>
    <w:rsid w:val="00D94573"/>
    <w:rsid w:val="00D9459A"/>
    <w:rsid w:val="00D946AE"/>
    <w:rsid w:val="00D946FB"/>
    <w:rsid w:val="00D94865"/>
    <w:rsid w:val="00D94BB1"/>
    <w:rsid w:val="00D94C0B"/>
    <w:rsid w:val="00D94C40"/>
    <w:rsid w:val="00D94CD7"/>
    <w:rsid w:val="00D94D58"/>
    <w:rsid w:val="00D94F36"/>
    <w:rsid w:val="00D94FAD"/>
    <w:rsid w:val="00D954AF"/>
    <w:rsid w:val="00D95893"/>
    <w:rsid w:val="00D959EB"/>
    <w:rsid w:val="00D95AD9"/>
    <w:rsid w:val="00D95B42"/>
    <w:rsid w:val="00D95C78"/>
    <w:rsid w:val="00D96052"/>
    <w:rsid w:val="00D962CD"/>
    <w:rsid w:val="00D9633B"/>
    <w:rsid w:val="00D9643A"/>
    <w:rsid w:val="00D964C1"/>
    <w:rsid w:val="00D967D4"/>
    <w:rsid w:val="00D967FF"/>
    <w:rsid w:val="00D9693C"/>
    <w:rsid w:val="00D96BAA"/>
    <w:rsid w:val="00D96BDA"/>
    <w:rsid w:val="00D96FC9"/>
    <w:rsid w:val="00D9710A"/>
    <w:rsid w:val="00D9715F"/>
    <w:rsid w:val="00D97571"/>
    <w:rsid w:val="00D97813"/>
    <w:rsid w:val="00D978AD"/>
    <w:rsid w:val="00D979ED"/>
    <w:rsid w:val="00D97B1C"/>
    <w:rsid w:val="00D97BC7"/>
    <w:rsid w:val="00DA0077"/>
    <w:rsid w:val="00DA00FD"/>
    <w:rsid w:val="00DA0237"/>
    <w:rsid w:val="00DA0353"/>
    <w:rsid w:val="00DA0941"/>
    <w:rsid w:val="00DA09CD"/>
    <w:rsid w:val="00DA09F4"/>
    <w:rsid w:val="00DA0EC7"/>
    <w:rsid w:val="00DA1117"/>
    <w:rsid w:val="00DA113B"/>
    <w:rsid w:val="00DA11E8"/>
    <w:rsid w:val="00DA1506"/>
    <w:rsid w:val="00DA1578"/>
    <w:rsid w:val="00DA17A9"/>
    <w:rsid w:val="00DA1E82"/>
    <w:rsid w:val="00DA230F"/>
    <w:rsid w:val="00DA2A6B"/>
    <w:rsid w:val="00DA2BBB"/>
    <w:rsid w:val="00DA2C04"/>
    <w:rsid w:val="00DA321B"/>
    <w:rsid w:val="00DA3604"/>
    <w:rsid w:val="00DA383A"/>
    <w:rsid w:val="00DA3BB6"/>
    <w:rsid w:val="00DA3D7D"/>
    <w:rsid w:val="00DA3E3F"/>
    <w:rsid w:val="00DA40CC"/>
    <w:rsid w:val="00DA4822"/>
    <w:rsid w:val="00DA4BA5"/>
    <w:rsid w:val="00DA4F4C"/>
    <w:rsid w:val="00DA4F9F"/>
    <w:rsid w:val="00DA51F4"/>
    <w:rsid w:val="00DA5202"/>
    <w:rsid w:val="00DA5341"/>
    <w:rsid w:val="00DA56FE"/>
    <w:rsid w:val="00DA5741"/>
    <w:rsid w:val="00DA5B94"/>
    <w:rsid w:val="00DA5EAD"/>
    <w:rsid w:val="00DA5FC8"/>
    <w:rsid w:val="00DA61F1"/>
    <w:rsid w:val="00DA62C2"/>
    <w:rsid w:val="00DA648F"/>
    <w:rsid w:val="00DA6759"/>
    <w:rsid w:val="00DA6A05"/>
    <w:rsid w:val="00DA6E0B"/>
    <w:rsid w:val="00DA6F03"/>
    <w:rsid w:val="00DA6F8A"/>
    <w:rsid w:val="00DA6FDD"/>
    <w:rsid w:val="00DA71F8"/>
    <w:rsid w:val="00DA75E1"/>
    <w:rsid w:val="00DA79AE"/>
    <w:rsid w:val="00DA7A4E"/>
    <w:rsid w:val="00DA7B00"/>
    <w:rsid w:val="00DA7B5D"/>
    <w:rsid w:val="00DA7FE0"/>
    <w:rsid w:val="00DB00C4"/>
    <w:rsid w:val="00DB057E"/>
    <w:rsid w:val="00DB0603"/>
    <w:rsid w:val="00DB06C7"/>
    <w:rsid w:val="00DB09A1"/>
    <w:rsid w:val="00DB0DF6"/>
    <w:rsid w:val="00DB0E4D"/>
    <w:rsid w:val="00DB10F8"/>
    <w:rsid w:val="00DB15FB"/>
    <w:rsid w:val="00DB1760"/>
    <w:rsid w:val="00DB1843"/>
    <w:rsid w:val="00DB1AEA"/>
    <w:rsid w:val="00DB1B86"/>
    <w:rsid w:val="00DB1F15"/>
    <w:rsid w:val="00DB207A"/>
    <w:rsid w:val="00DB2295"/>
    <w:rsid w:val="00DB23B3"/>
    <w:rsid w:val="00DB2564"/>
    <w:rsid w:val="00DB2642"/>
    <w:rsid w:val="00DB2F9C"/>
    <w:rsid w:val="00DB3122"/>
    <w:rsid w:val="00DB31B9"/>
    <w:rsid w:val="00DB3558"/>
    <w:rsid w:val="00DB35E6"/>
    <w:rsid w:val="00DB3789"/>
    <w:rsid w:val="00DB3A70"/>
    <w:rsid w:val="00DB3AC1"/>
    <w:rsid w:val="00DB3F2A"/>
    <w:rsid w:val="00DB40A2"/>
    <w:rsid w:val="00DB4670"/>
    <w:rsid w:val="00DB48B1"/>
    <w:rsid w:val="00DB4A0B"/>
    <w:rsid w:val="00DB4A98"/>
    <w:rsid w:val="00DB4C56"/>
    <w:rsid w:val="00DB4E16"/>
    <w:rsid w:val="00DB51FF"/>
    <w:rsid w:val="00DB520E"/>
    <w:rsid w:val="00DB532A"/>
    <w:rsid w:val="00DB595D"/>
    <w:rsid w:val="00DB5B7C"/>
    <w:rsid w:val="00DB6294"/>
    <w:rsid w:val="00DB634C"/>
    <w:rsid w:val="00DB6389"/>
    <w:rsid w:val="00DB6489"/>
    <w:rsid w:val="00DB6B25"/>
    <w:rsid w:val="00DB6C62"/>
    <w:rsid w:val="00DB6CD3"/>
    <w:rsid w:val="00DB6EC1"/>
    <w:rsid w:val="00DB6EC8"/>
    <w:rsid w:val="00DB6EEE"/>
    <w:rsid w:val="00DB706A"/>
    <w:rsid w:val="00DB71E6"/>
    <w:rsid w:val="00DB775A"/>
    <w:rsid w:val="00DB7D13"/>
    <w:rsid w:val="00DB7D85"/>
    <w:rsid w:val="00DB7E38"/>
    <w:rsid w:val="00DC002F"/>
    <w:rsid w:val="00DC036B"/>
    <w:rsid w:val="00DC040B"/>
    <w:rsid w:val="00DC0512"/>
    <w:rsid w:val="00DC06EA"/>
    <w:rsid w:val="00DC084A"/>
    <w:rsid w:val="00DC0A07"/>
    <w:rsid w:val="00DC0A8B"/>
    <w:rsid w:val="00DC0D16"/>
    <w:rsid w:val="00DC0F19"/>
    <w:rsid w:val="00DC102A"/>
    <w:rsid w:val="00DC10FB"/>
    <w:rsid w:val="00DC1134"/>
    <w:rsid w:val="00DC12AD"/>
    <w:rsid w:val="00DC12CA"/>
    <w:rsid w:val="00DC14AC"/>
    <w:rsid w:val="00DC16AA"/>
    <w:rsid w:val="00DC1C14"/>
    <w:rsid w:val="00DC237D"/>
    <w:rsid w:val="00DC251D"/>
    <w:rsid w:val="00DC2609"/>
    <w:rsid w:val="00DC28EB"/>
    <w:rsid w:val="00DC28FD"/>
    <w:rsid w:val="00DC2990"/>
    <w:rsid w:val="00DC2B40"/>
    <w:rsid w:val="00DC3175"/>
    <w:rsid w:val="00DC32CC"/>
    <w:rsid w:val="00DC3561"/>
    <w:rsid w:val="00DC38E7"/>
    <w:rsid w:val="00DC3C82"/>
    <w:rsid w:val="00DC3D5D"/>
    <w:rsid w:val="00DC3DE5"/>
    <w:rsid w:val="00DC4256"/>
    <w:rsid w:val="00DC42DE"/>
    <w:rsid w:val="00DC44A4"/>
    <w:rsid w:val="00DC49D3"/>
    <w:rsid w:val="00DC4A4D"/>
    <w:rsid w:val="00DC4F82"/>
    <w:rsid w:val="00DC524C"/>
    <w:rsid w:val="00DC5375"/>
    <w:rsid w:val="00DC5576"/>
    <w:rsid w:val="00DC5611"/>
    <w:rsid w:val="00DC57A2"/>
    <w:rsid w:val="00DC5842"/>
    <w:rsid w:val="00DC59F6"/>
    <w:rsid w:val="00DC5A1E"/>
    <w:rsid w:val="00DC5A5A"/>
    <w:rsid w:val="00DC5C55"/>
    <w:rsid w:val="00DC5CAE"/>
    <w:rsid w:val="00DC5E38"/>
    <w:rsid w:val="00DC609C"/>
    <w:rsid w:val="00DC6145"/>
    <w:rsid w:val="00DC6222"/>
    <w:rsid w:val="00DC69E6"/>
    <w:rsid w:val="00DC6F46"/>
    <w:rsid w:val="00DC710A"/>
    <w:rsid w:val="00DC712A"/>
    <w:rsid w:val="00DC7432"/>
    <w:rsid w:val="00DC7744"/>
    <w:rsid w:val="00DC7764"/>
    <w:rsid w:val="00DC7844"/>
    <w:rsid w:val="00DC7980"/>
    <w:rsid w:val="00DC7A72"/>
    <w:rsid w:val="00DC7ACC"/>
    <w:rsid w:val="00DC7AE5"/>
    <w:rsid w:val="00DC7BF6"/>
    <w:rsid w:val="00DC7E5D"/>
    <w:rsid w:val="00DC7F82"/>
    <w:rsid w:val="00DC7F88"/>
    <w:rsid w:val="00DD0077"/>
    <w:rsid w:val="00DD02F3"/>
    <w:rsid w:val="00DD0909"/>
    <w:rsid w:val="00DD0B6F"/>
    <w:rsid w:val="00DD0D99"/>
    <w:rsid w:val="00DD0EE3"/>
    <w:rsid w:val="00DD1254"/>
    <w:rsid w:val="00DD1368"/>
    <w:rsid w:val="00DD1938"/>
    <w:rsid w:val="00DD1A02"/>
    <w:rsid w:val="00DD1C41"/>
    <w:rsid w:val="00DD1D8F"/>
    <w:rsid w:val="00DD1DA8"/>
    <w:rsid w:val="00DD1E0E"/>
    <w:rsid w:val="00DD1E5E"/>
    <w:rsid w:val="00DD207D"/>
    <w:rsid w:val="00DD2234"/>
    <w:rsid w:val="00DD232F"/>
    <w:rsid w:val="00DD246F"/>
    <w:rsid w:val="00DD2501"/>
    <w:rsid w:val="00DD2561"/>
    <w:rsid w:val="00DD271B"/>
    <w:rsid w:val="00DD282D"/>
    <w:rsid w:val="00DD2AF3"/>
    <w:rsid w:val="00DD2BC1"/>
    <w:rsid w:val="00DD2D42"/>
    <w:rsid w:val="00DD2E31"/>
    <w:rsid w:val="00DD2EA4"/>
    <w:rsid w:val="00DD2EC4"/>
    <w:rsid w:val="00DD3001"/>
    <w:rsid w:val="00DD307F"/>
    <w:rsid w:val="00DD30D3"/>
    <w:rsid w:val="00DD34C0"/>
    <w:rsid w:val="00DD3578"/>
    <w:rsid w:val="00DD36F4"/>
    <w:rsid w:val="00DD38DD"/>
    <w:rsid w:val="00DD3B4F"/>
    <w:rsid w:val="00DD3E9E"/>
    <w:rsid w:val="00DD4421"/>
    <w:rsid w:val="00DD4427"/>
    <w:rsid w:val="00DD4528"/>
    <w:rsid w:val="00DD4565"/>
    <w:rsid w:val="00DD4663"/>
    <w:rsid w:val="00DD47B8"/>
    <w:rsid w:val="00DD49B7"/>
    <w:rsid w:val="00DD4BB7"/>
    <w:rsid w:val="00DD4FD4"/>
    <w:rsid w:val="00DD5089"/>
    <w:rsid w:val="00DD5109"/>
    <w:rsid w:val="00DD51B7"/>
    <w:rsid w:val="00DD5738"/>
    <w:rsid w:val="00DD57FA"/>
    <w:rsid w:val="00DD5AAF"/>
    <w:rsid w:val="00DD5D4B"/>
    <w:rsid w:val="00DD5DB8"/>
    <w:rsid w:val="00DD5E47"/>
    <w:rsid w:val="00DD5F95"/>
    <w:rsid w:val="00DD62B1"/>
    <w:rsid w:val="00DD63CB"/>
    <w:rsid w:val="00DD6442"/>
    <w:rsid w:val="00DD673E"/>
    <w:rsid w:val="00DD6742"/>
    <w:rsid w:val="00DD6779"/>
    <w:rsid w:val="00DD6883"/>
    <w:rsid w:val="00DD6928"/>
    <w:rsid w:val="00DD6A18"/>
    <w:rsid w:val="00DD6AAC"/>
    <w:rsid w:val="00DD6AE0"/>
    <w:rsid w:val="00DD6B5C"/>
    <w:rsid w:val="00DD6DB6"/>
    <w:rsid w:val="00DD722B"/>
    <w:rsid w:val="00DD72C7"/>
    <w:rsid w:val="00DD7480"/>
    <w:rsid w:val="00DD7562"/>
    <w:rsid w:val="00DD7764"/>
    <w:rsid w:val="00DD779B"/>
    <w:rsid w:val="00DD779F"/>
    <w:rsid w:val="00DD77C0"/>
    <w:rsid w:val="00DD794D"/>
    <w:rsid w:val="00DD7C21"/>
    <w:rsid w:val="00DD7CE5"/>
    <w:rsid w:val="00DD7ECC"/>
    <w:rsid w:val="00DE003D"/>
    <w:rsid w:val="00DE01C2"/>
    <w:rsid w:val="00DE0241"/>
    <w:rsid w:val="00DE03CA"/>
    <w:rsid w:val="00DE051A"/>
    <w:rsid w:val="00DE05B9"/>
    <w:rsid w:val="00DE0759"/>
    <w:rsid w:val="00DE079F"/>
    <w:rsid w:val="00DE07B3"/>
    <w:rsid w:val="00DE0851"/>
    <w:rsid w:val="00DE09F0"/>
    <w:rsid w:val="00DE0AF0"/>
    <w:rsid w:val="00DE0BD6"/>
    <w:rsid w:val="00DE0BE6"/>
    <w:rsid w:val="00DE0C00"/>
    <w:rsid w:val="00DE0DF4"/>
    <w:rsid w:val="00DE100A"/>
    <w:rsid w:val="00DE12DD"/>
    <w:rsid w:val="00DE12FF"/>
    <w:rsid w:val="00DE1305"/>
    <w:rsid w:val="00DE1438"/>
    <w:rsid w:val="00DE14DD"/>
    <w:rsid w:val="00DE15E2"/>
    <w:rsid w:val="00DE166F"/>
    <w:rsid w:val="00DE16D6"/>
    <w:rsid w:val="00DE17CA"/>
    <w:rsid w:val="00DE1A3C"/>
    <w:rsid w:val="00DE1DAA"/>
    <w:rsid w:val="00DE1EAD"/>
    <w:rsid w:val="00DE1F33"/>
    <w:rsid w:val="00DE2384"/>
    <w:rsid w:val="00DE2CE4"/>
    <w:rsid w:val="00DE2E14"/>
    <w:rsid w:val="00DE2E56"/>
    <w:rsid w:val="00DE313C"/>
    <w:rsid w:val="00DE3218"/>
    <w:rsid w:val="00DE32C9"/>
    <w:rsid w:val="00DE33EC"/>
    <w:rsid w:val="00DE3445"/>
    <w:rsid w:val="00DE379D"/>
    <w:rsid w:val="00DE3C85"/>
    <w:rsid w:val="00DE3D2C"/>
    <w:rsid w:val="00DE3D6E"/>
    <w:rsid w:val="00DE3D95"/>
    <w:rsid w:val="00DE3FC8"/>
    <w:rsid w:val="00DE4046"/>
    <w:rsid w:val="00DE4072"/>
    <w:rsid w:val="00DE4193"/>
    <w:rsid w:val="00DE41DE"/>
    <w:rsid w:val="00DE4303"/>
    <w:rsid w:val="00DE44E9"/>
    <w:rsid w:val="00DE45CB"/>
    <w:rsid w:val="00DE45D1"/>
    <w:rsid w:val="00DE4869"/>
    <w:rsid w:val="00DE496E"/>
    <w:rsid w:val="00DE4C55"/>
    <w:rsid w:val="00DE4EC2"/>
    <w:rsid w:val="00DE53C5"/>
    <w:rsid w:val="00DE5491"/>
    <w:rsid w:val="00DE54E5"/>
    <w:rsid w:val="00DE5665"/>
    <w:rsid w:val="00DE5850"/>
    <w:rsid w:val="00DE5997"/>
    <w:rsid w:val="00DE5AF5"/>
    <w:rsid w:val="00DE5C2A"/>
    <w:rsid w:val="00DE5C5D"/>
    <w:rsid w:val="00DE5E87"/>
    <w:rsid w:val="00DE6023"/>
    <w:rsid w:val="00DE6355"/>
    <w:rsid w:val="00DE6461"/>
    <w:rsid w:val="00DE6539"/>
    <w:rsid w:val="00DE65E1"/>
    <w:rsid w:val="00DE6604"/>
    <w:rsid w:val="00DE68AD"/>
    <w:rsid w:val="00DE68B3"/>
    <w:rsid w:val="00DE6E2B"/>
    <w:rsid w:val="00DE716A"/>
    <w:rsid w:val="00DE72B3"/>
    <w:rsid w:val="00DE77E3"/>
    <w:rsid w:val="00DE78FF"/>
    <w:rsid w:val="00DE794E"/>
    <w:rsid w:val="00DE7A2E"/>
    <w:rsid w:val="00DE7A75"/>
    <w:rsid w:val="00DE7F75"/>
    <w:rsid w:val="00DF0223"/>
    <w:rsid w:val="00DF05C8"/>
    <w:rsid w:val="00DF070B"/>
    <w:rsid w:val="00DF0872"/>
    <w:rsid w:val="00DF08E0"/>
    <w:rsid w:val="00DF0A0B"/>
    <w:rsid w:val="00DF0ACF"/>
    <w:rsid w:val="00DF0F9A"/>
    <w:rsid w:val="00DF100A"/>
    <w:rsid w:val="00DF11EC"/>
    <w:rsid w:val="00DF27A0"/>
    <w:rsid w:val="00DF2896"/>
    <w:rsid w:val="00DF2AE1"/>
    <w:rsid w:val="00DF2B01"/>
    <w:rsid w:val="00DF2B44"/>
    <w:rsid w:val="00DF2C16"/>
    <w:rsid w:val="00DF3251"/>
    <w:rsid w:val="00DF341E"/>
    <w:rsid w:val="00DF3644"/>
    <w:rsid w:val="00DF3AE3"/>
    <w:rsid w:val="00DF3BDD"/>
    <w:rsid w:val="00DF3CCB"/>
    <w:rsid w:val="00DF3F21"/>
    <w:rsid w:val="00DF40A6"/>
    <w:rsid w:val="00DF42CE"/>
    <w:rsid w:val="00DF43EB"/>
    <w:rsid w:val="00DF47F0"/>
    <w:rsid w:val="00DF4858"/>
    <w:rsid w:val="00DF48ED"/>
    <w:rsid w:val="00DF4B96"/>
    <w:rsid w:val="00DF4CA4"/>
    <w:rsid w:val="00DF4CEE"/>
    <w:rsid w:val="00DF4E05"/>
    <w:rsid w:val="00DF4ED5"/>
    <w:rsid w:val="00DF5002"/>
    <w:rsid w:val="00DF504F"/>
    <w:rsid w:val="00DF50B2"/>
    <w:rsid w:val="00DF53B7"/>
    <w:rsid w:val="00DF5633"/>
    <w:rsid w:val="00DF57F6"/>
    <w:rsid w:val="00DF58E7"/>
    <w:rsid w:val="00DF5B1D"/>
    <w:rsid w:val="00DF5CDC"/>
    <w:rsid w:val="00DF60C8"/>
    <w:rsid w:val="00DF617A"/>
    <w:rsid w:val="00DF6191"/>
    <w:rsid w:val="00DF637F"/>
    <w:rsid w:val="00DF645A"/>
    <w:rsid w:val="00DF64A3"/>
    <w:rsid w:val="00DF6671"/>
    <w:rsid w:val="00DF673F"/>
    <w:rsid w:val="00DF69E8"/>
    <w:rsid w:val="00DF6E72"/>
    <w:rsid w:val="00DF6F33"/>
    <w:rsid w:val="00DF7039"/>
    <w:rsid w:val="00DF7199"/>
    <w:rsid w:val="00DF7284"/>
    <w:rsid w:val="00DF74D8"/>
    <w:rsid w:val="00DF78FD"/>
    <w:rsid w:val="00DF7997"/>
    <w:rsid w:val="00DF79E8"/>
    <w:rsid w:val="00DF7A98"/>
    <w:rsid w:val="00DF7D93"/>
    <w:rsid w:val="00DF7DEE"/>
    <w:rsid w:val="00E00088"/>
    <w:rsid w:val="00E003C3"/>
    <w:rsid w:val="00E00468"/>
    <w:rsid w:val="00E00477"/>
    <w:rsid w:val="00E0088E"/>
    <w:rsid w:val="00E00C5A"/>
    <w:rsid w:val="00E00D23"/>
    <w:rsid w:val="00E00E8F"/>
    <w:rsid w:val="00E00EFC"/>
    <w:rsid w:val="00E01226"/>
    <w:rsid w:val="00E01279"/>
    <w:rsid w:val="00E01844"/>
    <w:rsid w:val="00E01B08"/>
    <w:rsid w:val="00E01BB6"/>
    <w:rsid w:val="00E01BFF"/>
    <w:rsid w:val="00E021EA"/>
    <w:rsid w:val="00E022DB"/>
    <w:rsid w:val="00E02432"/>
    <w:rsid w:val="00E02AD3"/>
    <w:rsid w:val="00E02D32"/>
    <w:rsid w:val="00E02E66"/>
    <w:rsid w:val="00E03179"/>
    <w:rsid w:val="00E033D0"/>
    <w:rsid w:val="00E03551"/>
    <w:rsid w:val="00E035D7"/>
    <w:rsid w:val="00E03607"/>
    <w:rsid w:val="00E0372C"/>
    <w:rsid w:val="00E03845"/>
    <w:rsid w:val="00E03A5A"/>
    <w:rsid w:val="00E03B1B"/>
    <w:rsid w:val="00E03B51"/>
    <w:rsid w:val="00E03C4B"/>
    <w:rsid w:val="00E0415C"/>
    <w:rsid w:val="00E042EA"/>
    <w:rsid w:val="00E0436A"/>
    <w:rsid w:val="00E0465B"/>
    <w:rsid w:val="00E048B3"/>
    <w:rsid w:val="00E04CF7"/>
    <w:rsid w:val="00E04D6B"/>
    <w:rsid w:val="00E05279"/>
    <w:rsid w:val="00E052D1"/>
    <w:rsid w:val="00E053AE"/>
    <w:rsid w:val="00E0540E"/>
    <w:rsid w:val="00E05492"/>
    <w:rsid w:val="00E05632"/>
    <w:rsid w:val="00E0595C"/>
    <w:rsid w:val="00E05A08"/>
    <w:rsid w:val="00E05A40"/>
    <w:rsid w:val="00E05B87"/>
    <w:rsid w:val="00E05D10"/>
    <w:rsid w:val="00E0606A"/>
    <w:rsid w:val="00E061BB"/>
    <w:rsid w:val="00E0623C"/>
    <w:rsid w:val="00E06291"/>
    <w:rsid w:val="00E0635A"/>
    <w:rsid w:val="00E0688F"/>
    <w:rsid w:val="00E0695D"/>
    <w:rsid w:val="00E06BA9"/>
    <w:rsid w:val="00E06C13"/>
    <w:rsid w:val="00E06CEA"/>
    <w:rsid w:val="00E06E9F"/>
    <w:rsid w:val="00E0716F"/>
    <w:rsid w:val="00E072D1"/>
    <w:rsid w:val="00E0764D"/>
    <w:rsid w:val="00E077B0"/>
    <w:rsid w:val="00E10443"/>
    <w:rsid w:val="00E1052D"/>
    <w:rsid w:val="00E10648"/>
    <w:rsid w:val="00E10A23"/>
    <w:rsid w:val="00E10A8C"/>
    <w:rsid w:val="00E10B73"/>
    <w:rsid w:val="00E11096"/>
    <w:rsid w:val="00E1122C"/>
    <w:rsid w:val="00E11325"/>
    <w:rsid w:val="00E11876"/>
    <w:rsid w:val="00E11B6F"/>
    <w:rsid w:val="00E11BF8"/>
    <w:rsid w:val="00E11C3F"/>
    <w:rsid w:val="00E11D14"/>
    <w:rsid w:val="00E11DD9"/>
    <w:rsid w:val="00E12027"/>
    <w:rsid w:val="00E12597"/>
    <w:rsid w:val="00E12949"/>
    <w:rsid w:val="00E12ACC"/>
    <w:rsid w:val="00E12D1C"/>
    <w:rsid w:val="00E12DDD"/>
    <w:rsid w:val="00E12E2D"/>
    <w:rsid w:val="00E12E44"/>
    <w:rsid w:val="00E12F53"/>
    <w:rsid w:val="00E1312D"/>
    <w:rsid w:val="00E13280"/>
    <w:rsid w:val="00E132DB"/>
    <w:rsid w:val="00E13505"/>
    <w:rsid w:val="00E135DF"/>
    <w:rsid w:val="00E13693"/>
    <w:rsid w:val="00E1383E"/>
    <w:rsid w:val="00E1390E"/>
    <w:rsid w:val="00E139FB"/>
    <w:rsid w:val="00E13C26"/>
    <w:rsid w:val="00E13CDE"/>
    <w:rsid w:val="00E140A7"/>
    <w:rsid w:val="00E14149"/>
    <w:rsid w:val="00E1415A"/>
    <w:rsid w:val="00E1455E"/>
    <w:rsid w:val="00E1480B"/>
    <w:rsid w:val="00E14994"/>
    <w:rsid w:val="00E14B4E"/>
    <w:rsid w:val="00E14C89"/>
    <w:rsid w:val="00E14F03"/>
    <w:rsid w:val="00E14F52"/>
    <w:rsid w:val="00E15229"/>
    <w:rsid w:val="00E15466"/>
    <w:rsid w:val="00E157D0"/>
    <w:rsid w:val="00E159FD"/>
    <w:rsid w:val="00E15A56"/>
    <w:rsid w:val="00E15C68"/>
    <w:rsid w:val="00E15C95"/>
    <w:rsid w:val="00E15EBC"/>
    <w:rsid w:val="00E15EC1"/>
    <w:rsid w:val="00E15F5B"/>
    <w:rsid w:val="00E160B6"/>
    <w:rsid w:val="00E163DC"/>
    <w:rsid w:val="00E167AC"/>
    <w:rsid w:val="00E167D6"/>
    <w:rsid w:val="00E16995"/>
    <w:rsid w:val="00E169F3"/>
    <w:rsid w:val="00E16A82"/>
    <w:rsid w:val="00E16B1D"/>
    <w:rsid w:val="00E16E4B"/>
    <w:rsid w:val="00E1708E"/>
    <w:rsid w:val="00E174F5"/>
    <w:rsid w:val="00E17548"/>
    <w:rsid w:val="00E175E4"/>
    <w:rsid w:val="00E177BF"/>
    <w:rsid w:val="00E17819"/>
    <w:rsid w:val="00E17A62"/>
    <w:rsid w:val="00E20026"/>
    <w:rsid w:val="00E200C7"/>
    <w:rsid w:val="00E202D0"/>
    <w:rsid w:val="00E205B8"/>
    <w:rsid w:val="00E205D8"/>
    <w:rsid w:val="00E20A53"/>
    <w:rsid w:val="00E20B56"/>
    <w:rsid w:val="00E20ED2"/>
    <w:rsid w:val="00E2111D"/>
    <w:rsid w:val="00E21414"/>
    <w:rsid w:val="00E214E3"/>
    <w:rsid w:val="00E2154E"/>
    <w:rsid w:val="00E219B2"/>
    <w:rsid w:val="00E21B75"/>
    <w:rsid w:val="00E21BC9"/>
    <w:rsid w:val="00E21C3B"/>
    <w:rsid w:val="00E21E98"/>
    <w:rsid w:val="00E21ED2"/>
    <w:rsid w:val="00E21EDC"/>
    <w:rsid w:val="00E22269"/>
    <w:rsid w:val="00E22333"/>
    <w:rsid w:val="00E22599"/>
    <w:rsid w:val="00E2271D"/>
    <w:rsid w:val="00E228EF"/>
    <w:rsid w:val="00E2292E"/>
    <w:rsid w:val="00E22C83"/>
    <w:rsid w:val="00E22DDB"/>
    <w:rsid w:val="00E230F7"/>
    <w:rsid w:val="00E23214"/>
    <w:rsid w:val="00E23307"/>
    <w:rsid w:val="00E234BC"/>
    <w:rsid w:val="00E23889"/>
    <w:rsid w:val="00E2388B"/>
    <w:rsid w:val="00E23CBB"/>
    <w:rsid w:val="00E24059"/>
    <w:rsid w:val="00E240B0"/>
    <w:rsid w:val="00E24161"/>
    <w:rsid w:val="00E2424D"/>
    <w:rsid w:val="00E243CB"/>
    <w:rsid w:val="00E24464"/>
    <w:rsid w:val="00E24651"/>
    <w:rsid w:val="00E248EB"/>
    <w:rsid w:val="00E249BD"/>
    <w:rsid w:val="00E24CF8"/>
    <w:rsid w:val="00E2501A"/>
    <w:rsid w:val="00E25173"/>
    <w:rsid w:val="00E2533B"/>
    <w:rsid w:val="00E258A4"/>
    <w:rsid w:val="00E258D5"/>
    <w:rsid w:val="00E25A80"/>
    <w:rsid w:val="00E25EA7"/>
    <w:rsid w:val="00E26112"/>
    <w:rsid w:val="00E263F6"/>
    <w:rsid w:val="00E26505"/>
    <w:rsid w:val="00E265F6"/>
    <w:rsid w:val="00E266F8"/>
    <w:rsid w:val="00E269AB"/>
    <w:rsid w:val="00E26B3A"/>
    <w:rsid w:val="00E26D11"/>
    <w:rsid w:val="00E270CA"/>
    <w:rsid w:val="00E271D3"/>
    <w:rsid w:val="00E2732C"/>
    <w:rsid w:val="00E274B8"/>
    <w:rsid w:val="00E274D3"/>
    <w:rsid w:val="00E276B2"/>
    <w:rsid w:val="00E2772F"/>
    <w:rsid w:val="00E27A35"/>
    <w:rsid w:val="00E27B4A"/>
    <w:rsid w:val="00E27BE0"/>
    <w:rsid w:val="00E30299"/>
    <w:rsid w:val="00E307E2"/>
    <w:rsid w:val="00E307E8"/>
    <w:rsid w:val="00E30AF7"/>
    <w:rsid w:val="00E30D0B"/>
    <w:rsid w:val="00E31112"/>
    <w:rsid w:val="00E31334"/>
    <w:rsid w:val="00E31382"/>
    <w:rsid w:val="00E313C6"/>
    <w:rsid w:val="00E318FF"/>
    <w:rsid w:val="00E31C36"/>
    <w:rsid w:val="00E31D05"/>
    <w:rsid w:val="00E31E0A"/>
    <w:rsid w:val="00E31FC9"/>
    <w:rsid w:val="00E32158"/>
    <w:rsid w:val="00E3225A"/>
    <w:rsid w:val="00E323A2"/>
    <w:rsid w:val="00E3272B"/>
    <w:rsid w:val="00E329EC"/>
    <w:rsid w:val="00E32A0A"/>
    <w:rsid w:val="00E32B26"/>
    <w:rsid w:val="00E32BD0"/>
    <w:rsid w:val="00E32DBE"/>
    <w:rsid w:val="00E32E8F"/>
    <w:rsid w:val="00E3303A"/>
    <w:rsid w:val="00E337E1"/>
    <w:rsid w:val="00E3381C"/>
    <w:rsid w:val="00E33847"/>
    <w:rsid w:val="00E33BC8"/>
    <w:rsid w:val="00E33DBB"/>
    <w:rsid w:val="00E33E2C"/>
    <w:rsid w:val="00E34333"/>
    <w:rsid w:val="00E34398"/>
    <w:rsid w:val="00E343CE"/>
    <w:rsid w:val="00E34782"/>
    <w:rsid w:val="00E348B4"/>
    <w:rsid w:val="00E34D51"/>
    <w:rsid w:val="00E35354"/>
    <w:rsid w:val="00E3547F"/>
    <w:rsid w:val="00E35C2E"/>
    <w:rsid w:val="00E36167"/>
    <w:rsid w:val="00E3617C"/>
    <w:rsid w:val="00E362B3"/>
    <w:rsid w:val="00E36588"/>
    <w:rsid w:val="00E36912"/>
    <w:rsid w:val="00E36938"/>
    <w:rsid w:val="00E369E0"/>
    <w:rsid w:val="00E36DFC"/>
    <w:rsid w:val="00E3767A"/>
    <w:rsid w:val="00E37AE8"/>
    <w:rsid w:val="00E37B59"/>
    <w:rsid w:val="00E37BAD"/>
    <w:rsid w:val="00E37D5D"/>
    <w:rsid w:val="00E37E92"/>
    <w:rsid w:val="00E37E9A"/>
    <w:rsid w:val="00E405E3"/>
    <w:rsid w:val="00E40677"/>
    <w:rsid w:val="00E40CAA"/>
    <w:rsid w:val="00E40E79"/>
    <w:rsid w:val="00E4104B"/>
    <w:rsid w:val="00E41289"/>
    <w:rsid w:val="00E41489"/>
    <w:rsid w:val="00E4178B"/>
    <w:rsid w:val="00E4186C"/>
    <w:rsid w:val="00E418D7"/>
    <w:rsid w:val="00E41ACA"/>
    <w:rsid w:val="00E41B56"/>
    <w:rsid w:val="00E41E4C"/>
    <w:rsid w:val="00E4202C"/>
    <w:rsid w:val="00E4210F"/>
    <w:rsid w:val="00E422BA"/>
    <w:rsid w:val="00E4231E"/>
    <w:rsid w:val="00E423CB"/>
    <w:rsid w:val="00E42567"/>
    <w:rsid w:val="00E4274D"/>
    <w:rsid w:val="00E4275B"/>
    <w:rsid w:val="00E42823"/>
    <w:rsid w:val="00E4282C"/>
    <w:rsid w:val="00E428B6"/>
    <w:rsid w:val="00E42B20"/>
    <w:rsid w:val="00E433A3"/>
    <w:rsid w:val="00E43488"/>
    <w:rsid w:val="00E4360E"/>
    <w:rsid w:val="00E437F2"/>
    <w:rsid w:val="00E438BE"/>
    <w:rsid w:val="00E43B23"/>
    <w:rsid w:val="00E43B4D"/>
    <w:rsid w:val="00E43BD0"/>
    <w:rsid w:val="00E43BD5"/>
    <w:rsid w:val="00E43D7B"/>
    <w:rsid w:val="00E43DB2"/>
    <w:rsid w:val="00E43F31"/>
    <w:rsid w:val="00E44234"/>
    <w:rsid w:val="00E444E8"/>
    <w:rsid w:val="00E44525"/>
    <w:rsid w:val="00E44881"/>
    <w:rsid w:val="00E4489E"/>
    <w:rsid w:val="00E44907"/>
    <w:rsid w:val="00E44DD7"/>
    <w:rsid w:val="00E44F77"/>
    <w:rsid w:val="00E451FE"/>
    <w:rsid w:val="00E4524B"/>
    <w:rsid w:val="00E4574C"/>
    <w:rsid w:val="00E457CE"/>
    <w:rsid w:val="00E4590E"/>
    <w:rsid w:val="00E45DB2"/>
    <w:rsid w:val="00E45F8F"/>
    <w:rsid w:val="00E46326"/>
    <w:rsid w:val="00E4694B"/>
    <w:rsid w:val="00E469DD"/>
    <w:rsid w:val="00E46E6F"/>
    <w:rsid w:val="00E46F03"/>
    <w:rsid w:val="00E46F15"/>
    <w:rsid w:val="00E46F8E"/>
    <w:rsid w:val="00E46FA1"/>
    <w:rsid w:val="00E472B7"/>
    <w:rsid w:val="00E4750F"/>
    <w:rsid w:val="00E476F6"/>
    <w:rsid w:val="00E477B2"/>
    <w:rsid w:val="00E479AB"/>
    <w:rsid w:val="00E47DC2"/>
    <w:rsid w:val="00E47E74"/>
    <w:rsid w:val="00E47E9B"/>
    <w:rsid w:val="00E47FF5"/>
    <w:rsid w:val="00E50432"/>
    <w:rsid w:val="00E505DF"/>
    <w:rsid w:val="00E50947"/>
    <w:rsid w:val="00E50B2C"/>
    <w:rsid w:val="00E50C13"/>
    <w:rsid w:val="00E50C3D"/>
    <w:rsid w:val="00E512FF"/>
    <w:rsid w:val="00E5134B"/>
    <w:rsid w:val="00E51410"/>
    <w:rsid w:val="00E51489"/>
    <w:rsid w:val="00E514AD"/>
    <w:rsid w:val="00E519BC"/>
    <w:rsid w:val="00E51AFC"/>
    <w:rsid w:val="00E51B29"/>
    <w:rsid w:val="00E51BDA"/>
    <w:rsid w:val="00E51CE3"/>
    <w:rsid w:val="00E51EA8"/>
    <w:rsid w:val="00E51FDB"/>
    <w:rsid w:val="00E5213D"/>
    <w:rsid w:val="00E521B5"/>
    <w:rsid w:val="00E521C7"/>
    <w:rsid w:val="00E5220D"/>
    <w:rsid w:val="00E5278B"/>
    <w:rsid w:val="00E5283B"/>
    <w:rsid w:val="00E529E0"/>
    <w:rsid w:val="00E52A59"/>
    <w:rsid w:val="00E53171"/>
    <w:rsid w:val="00E53373"/>
    <w:rsid w:val="00E533C9"/>
    <w:rsid w:val="00E533CD"/>
    <w:rsid w:val="00E53438"/>
    <w:rsid w:val="00E5350D"/>
    <w:rsid w:val="00E535C1"/>
    <w:rsid w:val="00E53793"/>
    <w:rsid w:val="00E538C3"/>
    <w:rsid w:val="00E53930"/>
    <w:rsid w:val="00E53D83"/>
    <w:rsid w:val="00E53EB4"/>
    <w:rsid w:val="00E53EE6"/>
    <w:rsid w:val="00E54257"/>
    <w:rsid w:val="00E54626"/>
    <w:rsid w:val="00E54A0D"/>
    <w:rsid w:val="00E54C52"/>
    <w:rsid w:val="00E54D1E"/>
    <w:rsid w:val="00E54D1F"/>
    <w:rsid w:val="00E55174"/>
    <w:rsid w:val="00E5532F"/>
    <w:rsid w:val="00E55346"/>
    <w:rsid w:val="00E555C3"/>
    <w:rsid w:val="00E55872"/>
    <w:rsid w:val="00E558BC"/>
    <w:rsid w:val="00E55979"/>
    <w:rsid w:val="00E55A17"/>
    <w:rsid w:val="00E55AD6"/>
    <w:rsid w:val="00E55D75"/>
    <w:rsid w:val="00E55EE2"/>
    <w:rsid w:val="00E5615D"/>
    <w:rsid w:val="00E561A7"/>
    <w:rsid w:val="00E56341"/>
    <w:rsid w:val="00E56355"/>
    <w:rsid w:val="00E563DA"/>
    <w:rsid w:val="00E56489"/>
    <w:rsid w:val="00E56900"/>
    <w:rsid w:val="00E56BC2"/>
    <w:rsid w:val="00E56EA1"/>
    <w:rsid w:val="00E56F4F"/>
    <w:rsid w:val="00E5718C"/>
    <w:rsid w:val="00E5728E"/>
    <w:rsid w:val="00E5746F"/>
    <w:rsid w:val="00E57641"/>
    <w:rsid w:val="00E579A9"/>
    <w:rsid w:val="00E600D7"/>
    <w:rsid w:val="00E6018E"/>
    <w:rsid w:val="00E601CB"/>
    <w:rsid w:val="00E60213"/>
    <w:rsid w:val="00E6030F"/>
    <w:rsid w:val="00E6032E"/>
    <w:rsid w:val="00E60358"/>
    <w:rsid w:val="00E6038E"/>
    <w:rsid w:val="00E603A9"/>
    <w:rsid w:val="00E605F3"/>
    <w:rsid w:val="00E607CF"/>
    <w:rsid w:val="00E60AAB"/>
    <w:rsid w:val="00E60EE5"/>
    <w:rsid w:val="00E61297"/>
    <w:rsid w:val="00E612DA"/>
    <w:rsid w:val="00E613ED"/>
    <w:rsid w:val="00E613FA"/>
    <w:rsid w:val="00E615B2"/>
    <w:rsid w:val="00E6169F"/>
    <w:rsid w:val="00E6182E"/>
    <w:rsid w:val="00E618B1"/>
    <w:rsid w:val="00E61BA7"/>
    <w:rsid w:val="00E61BC0"/>
    <w:rsid w:val="00E61C9E"/>
    <w:rsid w:val="00E620AA"/>
    <w:rsid w:val="00E62602"/>
    <w:rsid w:val="00E62679"/>
    <w:rsid w:val="00E62738"/>
    <w:rsid w:val="00E628FE"/>
    <w:rsid w:val="00E62BA2"/>
    <w:rsid w:val="00E62CAC"/>
    <w:rsid w:val="00E6327E"/>
    <w:rsid w:val="00E632B0"/>
    <w:rsid w:val="00E634AF"/>
    <w:rsid w:val="00E63900"/>
    <w:rsid w:val="00E63935"/>
    <w:rsid w:val="00E63A5F"/>
    <w:rsid w:val="00E63F3B"/>
    <w:rsid w:val="00E643AD"/>
    <w:rsid w:val="00E645E6"/>
    <w:rsid w:val="00E645EB"/>
    <w:rsid w:val="00E6475E"/>
    <w:rsid w:val="00E6481A"/>
    <w:rsid w:val="00E64E72"/>
    <w:rsid w:val="00E64F49"/>
    <w:rsid w:val="00E64FCA"/>
    <w:rsid w:val="00E65317"/>
    <w:rsid w:val="00E65518"/>
    <w:rsid w:val="00E6572F"/>
    <w:rsid w:val="00E659A1"/>
    <w:rsid w:val="00E65BB9"/>
    <w:rsid w:val="00E65DDB"/>
    <w:rsid w:val="00E65FDE"/>
    <w:rsid w:val="00E663C0"/>
    <w:rsid w:val="00E663E2"/>
    <w:rsid w:val="00E668B1"/>
    <w:rsid w:val="00E67087"/>
    <w:rsid w:val="00E67233"/>
    <w:rsid w:val="00E6740F"/>
    <w:rsid w:val="00E6748A"/>
    <w:rsid w:val="00E6765F"/>
    <w:rsid w:val="00E67980"/>
    <w:rsid w:val="00E67A9E"/>
    <w:rsid w:val="00E701B3"/>
    <w:rsid w:val="00E70335"/>
    <w:rsid w:val="00E704B8"/>
    <w:rsid w:val="00E70520"/>
    <w:rsid w:val="00E7055B"/>
    <w:rsid w:val="00E7061C"/>
    <w:rsid w:val="00E70832"/>
    <w:rsid w:val="00E70929"/>
    <w:rsid w:val="00E709A9"/>
    <w:rsid w:val="00E70A78"/>
    <w:rsid w:val="00E70CC5"/>
    <w:rsid w:val="00E70CD8"/>
    <w:rsid w:val="00E71151"/>
    <w:rsid w:val="00E71333"/>
    <w:rsid w:val="00E71448"/>
    <w:rsid w:val="00E71575"/>
    <w:rsid w:val="00E71725"/>
    <w:rsid w:val="00E71974"/>
    <w:rsid w:val="00E719B5"/>
    <w:rsid w:val="00E719CC"/>
    <w:rsid w:val="00E71A37"/>
    <w:rsid w:val="00E71A56"/>
    <w:rsid w:val="00E71D50"/>
    <w:rsid w:val="00E72086"/>
    <w:rsid w:val="00E723D0"/>
    <w:rsid w:val="00E7242F"/>
    <w:rsid w:val="00E724AE"/>
    <w:rsid w:val="00E725AE"/>
    <w:rsid w:val="00E725FC"/>
    <w:rsid w:val="00E72668"/>
    <w:rsid w:val="00E72ABD"/>
    <w:rsid w:val="00E730ED"/>
    <w:rsid w:val="00E73131"/>
    <w:rsid w:val="00E7331A"/>
    <w:rsid w:val="00E7339F"/>
    <w:rsid w:val="00E73555"/>
    <w:rsid w:val="00E73797"/>
    <w:rsid w:val="00E73893"/>
    <w:rsid w:val="00E739B0"/>
    <w:rsid w:val="00E73AE8"/>
    <w:rsid w:val="00E73C79"/>
    <w:rsid w:val="00E73E05"/>
    <w:rsid w:val="00E74065"/>
    <w:rsid w:val="00E7413A"/>
    <w:rsid w:val="00E74323"/>
    <w:rsid w:val="00E744D8"/>
    <w:rsid w:val="00E74687"/>
    <w:rsid w:val="00E7481D"/>
    <w:rsid w:val="00E74BFB"/>
    <w:rsid w:val="00E74DB2"/>
    <w:rsid w:val="00E74DF6"/>
    <w:rsid w:val="00E74E6E"/>
    <w:rsid w:val="00E7540C"/>
    <w:rsid w:val="00E75732"/>
    <w:rsid w:val="00E7579F"/>
    <w:rsid w:val="00E75A6C"/>
    <w:rsid w:val="00E75B22"/>
    <w:rsid w:val="00E75D7B"/>
    <w:rsid w:val="00E75F73"/>
    <w:rsid w:val="00E75FA8"/>
    <w:rsid w:val="00E76230"/>
    <w:rsid w:val="00E76282"/>
    <w:rsid w:val="00E763D2"/>
    <w:rsid w:val="00E766DD"/>
    <w:rsid w:val="00E76A72"/>
    <w:rsid w:val="00E76CD2"/>
    <w:rsid w:val="00E76D6F"/>
    <w:rsid w:val="00E76F66"/>
    <w:rsid w:val="00E76FB4"/>
    <w:rsid w:val="00E77043"/>
    <w:rsid w:val="00E770D0"/>
    <w:rsid w:val="00E77171"/>
    <w:rsid w:val="00E77197"/>
    <w:rsid w:val="00E77230"/>
    <w:rsid w:val="00E77294"/>
    <w:rsid w:val="00E7733F"/>
    <w:rsid w:val="00E77424"/>
    <w:rsid w:val="00E775BB"/>
    <w:rsid w:val="00E7776A"/>
    <w:rsid w:val="00E77980"/>
    <w:rsid w:val="00E779CA"/>
    <w:rsid w:val="00E77BE7"/>
    <w:rsid w:val="00E77CD9"/>
    <w:rsid w:val="00E77CF4"/>
    <w:rsid w:val="00E77D03"/>
    <w:rsid w:val="00E800FC"/>
    <w:rsid w:val="00E801E8"/>
    <w:rsid w:val="00E802D9"/>
    <w:rsid w:val="00E80743"/>
    <w:rsid w:val="00E8074A"/>
    <w:rsid w:val="00E807D3"/>
    <w:rsid w:val="00E80A23"/>
    <w:rsid w:val="00E80ABC"/>
    <w:rsid w:val="00E80D9D"/>
    <w:rsid w:val="00E80E0B"/>
    <w:rsid w:val="00E80E28"/>
    <w:rsid w:val="00E8107B"/>
    <w:rsid w:val="00E810A5"/>
    <w:rsid w:val="00E8123A"/>
    <w:rsid w:val="00E812D3"/>
    <w:rsid w:val="00E814EF"/>
    <w:rsid w:val="00E815C4"/>
    <w:rsid w:val="00E8165F"/>
    <w:rsid w:val="00E8194D"/>
    <w:rsid w:val="00E82176"/>
    <w:rsid w:val="00E82398"/>
    <w:rsid w:val="00E8245F"/>
    <w:rsid w:val="00E824BC"/>
    <w:rsid w:val="00E82534"/>
    <w:rsid w:val="00E8280D"/>
    <w:rsid w:val="00E82AE0"/>
    <w:rsid w:val="00E82B6F"/>
    <w:rsid w:val="00E82CE0"/>
    <w:rsid w:val="00E82CFB"/>
    <w:rsid w:val="00E82D0A"/>
    <w:rsid w:val="00E82DD6"/>
    <w:rsid w:val="00E83453"/>
    <w:rsid w:val="00E836D7"/>
    <w:rsid w:val="00E83707"/>
    <w:rsid w:val="00E8386F"/>
    <w:rsid w:val="00E838FB"/>
    <w:rsid w:val="00E83947"/>
    <w:rsid w:val="00E83AD1"/>
    <w:rsid w:val="00E83CF6"/>
    <w:rsid w:val="00E83DA3"/>
    <w:rsid w:val="00E83ECD"/>
    <w:rsid w:val="00E84132"/>
    <w:rsid w:val="00E8417A"/>
    <w:rsid w:val="00E844E6"/>
    <w:rsid w:val="00E845FC"/>
    <w:rsid w:val="00E84A2B"/>
    <w:rsid w:val="00E84BFD"/>
    <w:rsid w:val="00E84D50"/>
    <w:rsid w:val="00E853AB"/>
    <w:rsid w:val="00E8550B"/>
    <w:rsid w:val="00E85812"/>
    <w:rsid w:val="00E85A2B"/>
    <w:rsid w:val="00E85C01"/>
    <w:rsid w:val="00E85CC9"/>
    <w:rsid w:val="00E85CDD"/>
    <w:rsid w:val="00E85FE7"/>
    <w:rsid w:val="00E86049"/>
    <w:rsid w:val="00E86306"/>
    <w:rsid w:val="00E8673B"/>
    <w:rsid w:val="00E86BF8"/>
    <w:rsid w:val="00E86C00"/>
    <w:rsid w:val="00E87384"/>
    <w:rsid w:val="00E8764E"/>
    <w:rsid w:val="00E8785E"/>
    <w:rsid w:val="00E878F5"/>
    <w:rsid w:val="00E87A47"/>
    <w:rsid w:val="00E87D30"/>
    <w:rsid w:val="00E87E13"/>
    <w:rsid w:val="00E9053C"/>
    <w:rsid w:val="00E90931"/>
    <w:rsid w:val="00E90B73"/>
    <w:rsid w:val="00E90E79"/>
    <w:rsid w:val="00E90EDE"/>
    <w:rsid w:val="00E910CC"/>
    <w:rsid w:val="00E91123"/>
    <w:rsid w:val="00E91653"/>
    <w:rsid w:val="00E916CF"/>
    <w:rsid w:val="00E9177D"/>
    <w:rsid w:val="00E91866"/>
    <w:rsid w:val="00E9186F"/>
    <w:rsid w:val="00E91A09"/>
    <w:rsid w:val="00E91F3D"/>
    <w:rsid w:val="00E91F8A"/>
    <w:rsid w:val="00E920AA"/>
    <w:rsid w:val="00E92781"/>
    <w:rsid w:val="00E9282C"/>
    <w:rsid w:val="00E92A6E"/>
    <w:rsid w:val="00E92C46"/>
    <w:rsid w:val="00E92CBE"/>
    <w:rsid w:val="00E92D43"/>
    <w:rsid w:val="00E92E4D"/>
    <w:rsid w:val="00E930F0"/>
    <w:rsid w:val="00E93A4E"/>
    <w:rsid w:val="00E93BCF"/>
    <w:rsid w:val="00E93EC4"/>
    <w:rsid w:val="00E93F4E"/>
    <w:rsid w:val="00E93F5A"/>
    <w:rsid w:val="00E9424A"/>
    <w:rsid w:val="00E946CC"/>
    <w:rsid w:val="00E949ED"/>
    <w:rsid w:val="00E94EF1"/>
    <w:rsid w:val="00E95152"/>
    <w:rsid w:val="00E95573"/>
    <w:rsid w:val="00E95794"/>
    <w:rsid w:val="00E95B83"/>
    <w:rsid w:val="00E95C86"/>
    <w:rsid w:val="00E95EAA"/>
    <w:rsid w:val="00E960F4"/>
    <w:rsid w:val="00E96108"/>
    <w:rsid w:val="00E96400"/>
    <w:rsid w:val="00E9670C"/>
    <w:rsid w:val="00E9670D"/>
    <w:rsid w:val="00E96750"/>
    <w:rsid w:val="00E967A0"/>
    <w:rsid w:val="00E96937"/>
    <w:rsid w:val="00E96B78"/>
    <w:rsid w:val="00E96D76"/>
    <w:rsid w:val="00E96EEB"/>
    <w:rsid w:val="00E970FB"/>
    <w:rsid w:val="00E97120"/>
    <w:rsid w:val="00E972DD"/>
    <w:rsid w:val="00E972E3"/>
    <w:rsid w:val="00E97341"/>
    <w:rsid w:val="00E97397"/>
    <w:rsid w:val="00E97583"/>
    <w:rsid w:val="00E97AC3"/>
    <w:rsid w:val="00E97AF0"/>
    <w:rsid w:val="00E97D39"/>
    <w:rsid w:val="00E97E23"/>
    <w:rsid w:val="00E97E74"/>
    <w:rsid w:val="00E97F9E"/>
    <w:rsid w:val="00EA0044"/>
    <w:rsid w:val="00EA0204"/>
    <w:rsid w:val="00EA03EF"/>
    <w:rsid w:val="00EA0555"/>
    <w:rsid w:val="00EA0F0F"/>
    <w:rsid w:val="00EA10B4"/>
    <w:rsid w:val="00EA12E4"/>
    <w:rsid w:val="00EA19FE"/>
    <w:rsid w:val="00EA1AA0"/>
    <w:rsid w:val="00EA1AF8"/>
    <w:rsid w:val="00EA1B6C"/>
    <w:rsid w:val="00EA1E6D"/>
    <w:rsid w:val="00EA1FD7"/>
    <w:rsid w:val="00EA2030"/>
    <w:rsid w:val="00EA220A"/>
    <w:rsid w:val="00EA2254"/>
    <w:rsid w:val="00EA2426"/>
    <w:rsid w:val="00EA25C4"/>
    <w:rsid w:val="00EA26C4"/>
    <w:rsid w:val="00EA2890"/>
    <w:rsid w:val="00EA2B29"/>
    <w:rsid w:val="00EA2EBB"/>
    <w:rsid w:val="00EA3286"/>
    <w:rsid w:val="00EA329D"/>
    <w:rsid w:val="00EA3537"/>
    <w:rsid w:val="00EA36C6"/>
    <w:rsid w:val="00EA37AF"/>
    <w:rsid w:val="00EA3833"/>
    <w:rsid w:val="00EA3AAD"/>
    <w:rsid w:val="00EA3AD5"/>
    <w:rsid w:val="00EA3BC2"/>
    <w:rsid w:val="00EA3E34"/>
    <w:rsid w:val="00EA3FB0"/>
    <w:rsid w:val="00EA483B"/>
    <w:rsid w:val="00EA4B01"/>
    <w:rsid w:val="00EA4CC2"/>
    <w:rsid w:val="00EA51D3"/>
    <w:rsid w:val="00EA550D"/>
    <w:rsid w:val="00EA5599"/>
    <w:rsid w:val="00EA5652"/>
    <w:rsid w:val="00EA59D2"/>
    <w:rsid w:val="00EA5B44"/>
    <w:rsid w:val="00EA5FB7"/>
    <w:rsid w:val="00EA618E"/>
    <w:rsid w:val="00EA62AF"/>
    <w:rsid w:val="00EA6C6B"/>
    <w:rsid w:val="00EA6E7E"/>
    <w:rsid w:val="00EA6F1E"/>
    <w:rsid w:val="00EA710A"/>
    <w:rsid w:val="00EA77C6"/>
    <w:rsid w:val="00EA7834"/>
    <w:rsid w:val="00EA796E"/>
    <w:rsid w:val="00EA7A27"/>
    <w:rsid w:val="00EA7BD6"/>
    <w:rsid w:val="00EA7DF0"/>
    <w:rsid w:val="00EA7F4E"/>
    <w:rsid w:val="00EA7F81"/>
    <w:rsid w:val="00EB0196"/>
    <w:rsid w:val="00EB0284"/>
    <w:rsid w:val="00EB029A"/>
    <w:rsid w:val="00EB0513"/>
    <w:rsid w:val="00EB077B"/>
    <w:rsid w:val="00EB0FC5"/>
    <w:rsid w:val="00EB11CB"/>
    <w:rsid w:val="00EB1368"/>
    <w:rsid w:val="00EB13F4"/>
    <w:rsid w:val="00EB144D"/>
    <w:rsid w:val="00EB15CF"/>
    <w:rsid w:val="00EB1855"/>
    <w:rsid w:val="00EB1B86"/>
    <w:rsid w:val="00EB1BFD"/>
    <w:rsid w:val="00EB1F10"/>
    <w:rsid w:val="00EB20B9"/>
    <w:rsid w:val="00EB24A2"/>
    <w:rsid w:val="00EB25E3"/>
    <w:rsid w:val="00EB2806"/>
    <w:rsid w:val="00EB2C0F"/>
    <w:rsid w:val="00EB2EEB"/>
    <w:rsid w:val="00EB2F50"/>
    <w:rsid w:val="00EB2F55"/>
    <w:rsid w:val="00EB324C"/>
    <w:rsid w:val="00EB32DE"/>
    <w:rsid w:val="00EB33C4"/>
    <w:rsid w:val="00EB344A"/>
    <w:rsid w:val="00EB353D"/>
    <w:rsid w:val="00EB3793"/>
    <w:rsid w:val="00EB3AE3"/>
    <w:rsid w:val="00EB3C31"/>
    <w:rsid w:val="00EB3F51"/>
    <w:rsid w:val="00EB4316"/>
    <w:rsid w:val="00EB431E"/>
    <w:rsid w:val="00EB44A2"/>
    <w:rsid w:val="00EB4892"/>
    <w:rsid w:val="00EB4DB0"/>
    <w:rsid w:val="00EB50A9"/>
    <w:rsid w:val="00EB50C4"/>
    <w:rsid w:val="00EB50C6"/>
    <w:rsid w:val="00EB5212"/>
    <w:rsid w:val="00EB5688"/>
    <w:rsid w:val="00EB56F0"/>
    <w:rsid w:val="00EB57CF"/>
    <w:rsid w:val="00EB59C7"/>
    <w:rsid w:val="00EB5E7C"/>
    <w:rsid w:val="00EB6444"/>
    <w:rsid w:val="00EB6458"/>
    <w:rsid w:val="00EB68BB"/>
    <w:rsid w:val="00EB6AD6"/>
    <w:rsid w:val="00EB6BB6"/>
    <w:rsid w:val="00EB6C6B"/>
    <w:rsid w:val="00EB6EAA"/>
    <w:rsid w:val="00EB6FEE"/>
    <w:rsid w:val="00EB74B4"/>
    <w:rsid w:val="00EB74D7"/>
    <w:rsid w:val="00EB7508"/>
    <w:rsid w:val="00EB787F"/>
    <w:rsid w:val="00EB789E"/>
    <w:rsid w:val="00EB7913"/>
    <w:rsid w:val="00EB79FA"/>
    <w:rsid w:val="00EB7AF5"/>
    <w:rsid w:val="00EB7D73"/>
    <w:rsid w:val="00EC0176"/>
    <w:rsid w:val="00EC01E8"/>
    <w:rsid w:val="00EC03BB"/>
    <w:rsid w:val="00EC076A"/>
    <w:rsid w:val="00EC0BD6"/>
    <w:rsid w:val="00EC0D2A"/>
    <w:rsid w:val="00EC0E84"/>
    <w:rsid w:val="00EC1030"/>
    <w:rsid w:val="00EC1065"/>
    <w:rsid w:val="00EC109A"/>
    <w:rsid w:val="00EC1236"/>
    <w:rsid w:val="00EC157D"/>
    <w:rsid w:val="00EC1731"/>
    <w:rsid w:val="00EC1796"/>
    <w:rsid w:val="00EC17A3"/>
    <w:rsid w:val="00EC1902"/>
    <w:rsid w:val="00EC1A7C"/>
    <w:rsid w:val="00EC1BAA"/>
    <w:rsid w:val="00EC2012"/>
    <w:rsid w:val="00EC20DD"/>
    <w:rsid w:val="00EC21FC"/>
    <w:rsid w:val="00EC2473"/>
    <w:rsid w:val="00EC27BB"/>
    <w:rsid w:val="00EC2C7E"/>
    <w:rsid w:val="00EC3065"/>
    <w:rsid w:val="00EC30F9"/>
    <w:rsid w:val="00EC350D"/>
    <w:rsid w:val="00EC3B4E"/>
    <w:rsid w:val="00EC423B"/>
    <w:rsid w:val="00EC42A5"/>
    <w:rsid w:val="00EC4391"/>
    <w:rsid w:val="00EC46E8"/>
    <w:rsid w:val="00EC4EC0"/>
    <w:rsid w:val="00EC4EE6"/>
    <w:rsid w:val="00EC504B"/>
    <w:rsid w:val="00EC5250"/>
    <w:rsid w:val="00EC527F"/>
    <w:rsid w:val="00EC5351"/>
    <w:rsid w:val="00EC54BE"/>
    <w:rsid w:val="00EC54E8"/>
    <w:rsid w:val="00EC5556"/>
    <w:rsid w:val="00EC55DB"/>
    <w:rsid w:val="00EC580A"/>
    <w:rsid w:val="00EC5A5D"/>
    <w:rsid w:val="00EC5D15"/>
    <w:rsid w:val="00EC5D5D"/>
    <w:rsid w:val="00EC5F47"/>
    <w:rsid w:val="00EC60E2"/>
    <w:rsid w:val="00EC626B"/>
    <w:rsid w:val="00EC6AF7"/>
    <w:rsid w:val="00EC6C57"/>
    <w:rsid w:val="00EC6CB7"/>
    <w:rsid w:val="00EC6D86"/>
    <w:rsid w:val="00EC6FE0"/>
    <w:rsid w:val="00EC6FF4"/>
    <w:rsid w:val="00EC7201"/>
    <w:rsid w:val="00EC73A9"/>
    <w:rsid w:val="00EC75A9"/>
    <w:rsid w:val="00EC775D"/>
    <w:rsid w:val="00EC77BE"/>
    <w:rsid w:val="00EC787D"/>
    <w:rsid w:val="00EC7989"/>
    <w:rsid w:val="00EC7E97"/>
    <w:rsid w:val="00EC7EF5"/>
    <w:rsid w:val="00EC7F4A"/>
    <w:rsid w:val="00ED03EE"/>
    <w:rsid w:val="00ED04E3"/>
    <w:rsid w:val="00ED04E5"/>
    <w:rsid w:val="00ED07C0"/>
    <w:rsid w:val="00ED101A"/>
    <w:rsid w:val="00ED127D"/>
    <w:rsid w:val="00ED1557"/>
    <w:rsid w:val="00ED162C"/>
    <w:rsid w:val="00ED16F3"/>
    <w:rsid w:val="00ED19C6"/>
    <w:rsid w:val="00ED1EED"/>
    <w:rsid w:val="00ED22CC"/>
    <w:rsid w:val="00ED297F"/>
    <w:rsid w:val="00ED2B6E"/>
    <w:rsid w:val="00ED2E85"/>
    <w:rsid w:val="00ED2EE6"/>
    <w:rsid w:val="00ED2F26"/>
    <w:rsid w:val="00ED3077"/>
    <w:rsid w:val="00ED31B7"/>
    <w:rsid w:val="00ED31DE"/>
    <w:rsid w:val="00ED326E"/>
    <w:rsid w:val="00ED3A4B"/>
    <w:rsid w:val="00ED3B3D"/>
    <w:rsid w:val="00ED3C3C"/>
    <w:rsid w:val="00ED3DFF"/>
    <w:rsid w:val="00ED4209"/>
    <w:rsid w:val="00ED44F0"/>
    <w:rsid w:val="00ED46EF"/>
    <w:rsid w:val="00ED473D"/>
    <w:rsid w:val="00ED4795"/>
    <w:rsid w:val="00ED4802"/>
    <w:rsid w:val="00ED48D0"/>
    <w:rsid w:val="00ED5094"/>
    <w:rsid w:val="00ED531D"/>
    <w:rsid w:val="00ED5423"/>
    <w:rsid w:val="00ED5443"/>
    <w:rsid w:val="00ED55FC"/>
    <w:rsid w:val="00ED570F"/>
    <w:rsid w:val="00ED5725"/>
    <w:rsid w:val="00ED5735"/>
    <w:rsid w:val="00ED573B"/>
    <w:rsid w:val="00ED5802"/>
    <w:rsid w:val="00ED5867"/>
    <w:rsid w:val="00ED623D"/>
    <w:rsid w:val="00ED6270"/>
    <w:rsid w:val="00ED6339"/>
    <w:rsid w:val="00ED64EF"/>
    <w:rsid w:val="00ED6748"/>
    <w:rsid w:val="00ED6802"/>
    <w:rsid w:val="00ED6809"/>
    <w:rsid w:val="00ED6883"/>
    <w:rsid w:val="00ED6A13"/>
    <w:rsid w:val="00ED6D15"/>
    <w:rsid w:val="00ED7031"/>
    <w:rsid w:val="00ED714E"/>
    <w:rsid w:val="00ED7208"/>
    <w:rsid w:val="00ED74F2"/>
    <w:rsid w:val="00ED7537"/>
    <w:rsid w:val="00ED7559"/>
    <w:rsid w:val="00ED76A8"/>
    <w:rsid w:val="00ED7765"/>
    <w:rsid w:val="00ED77DA"/>
    <w:rsid w:val="00ED7803"/>
    <w:rsid w:val="00ED783B"/>
    <w:rsid w:val="00ED78B6"/>
    <w:rsid w:val="00ED7AFB"/>
    <w:rsid w:val="00ED7B2E"/>
    <w:rsid w:val="00ED7C57"/>
    <w:rsid w:val="00ED7D3B"/>
    <w:rsid w:val="00ED7E66"/>
    <w:rsid w:val="00ED7F1D"/>
    <w:rsid w:val="00ED7F86"/>
    <w:rsid w:val="00ED7FCA"/>
    <w:rsid w:val="00EE001B"/>
    <w:rsid w:val="00EE0116"/>
    <w:rsid w:val="00EE0499"/>
    <w:rsid w:val="00EE0523"/>
    <w:rsid w:val="00EE0823"/>
    <w:rsid w:val="00EE0A16"/>
    <w:rsid w:val="00EE0ABC"/>
    <w:rsid w:val="00EE0C93"/>
    <w:rsid w:val="00EE0ECD"/>
    <w:rsid w:val="00EE10B7"/>
    <w:rsid w:val="00EE142E"/>
    <w:rsid w:val="00EE1574"/>
    <w:rsid w:val="00EE16FC"/>
    <w:rsid w:val="00EE1907"/>
    <w:rsid w:val="00EE1CD8"/>
    <w:rsid w:val="00EE1D50"/>
    <w:rsid w:val="00EE1EAB"/>
    <w:rsid w:val="00EE204F"/>
    <w:rsid w:val="00EE20FC"/>
    <w:rsid w:val="00EE227C"/>
    <w:rsid w:val="00EE267F"/>
    <w:rsid w:val="00EE2702"/>
    <w:rsid w:val="00EE2871"/>
    <w:rsid w:val="00EE2BBB"/>
    <w:rsid w:val="00EE2E69"/>
    <w:rsid w:val="00EE2ED8"/>
    <w:rsid w:val="00EE2FD9"/>
    <w:rsid w:val="00EE3055"/>
    <w:rsid w:val="00EE3060"/>
    <w:rsid w:val="00EE37B2"/>
    <w:rsid w:val="00EE37BC"/>
    <w:rsid w:val="00EE38BC"/>
    <w:rsid w:val="00EE3973"/>
    <w:rsid w:val="00EE3C04"/>
    <w:rsid w:val="00EE3D0D"/>
    <w:rsid w:val="00EE3D14"/>
    <w:rsid w:val="00EE40B1"/>
    <w:rsid w:val="00EE40E1"/>
    <w:rsid w:val="00EE4230"/>
    <w:rsid w:val="00EE4315"/>
    <w:rsid w:val="00EE44D8"/>
    <w:rsid w:val="00EE46DB"/>
    <w:rsid w:val="00EE4C14"/>
    <w:rsid w:val="00EE4D67"/>
    <w:rsid w:val="00EE4E79"/>
    <w:rsid w:val="00EE4E94"/>
    <w:rsid w:val="00EE524E"/>
    <w:rsid w:val="00EE564B"/>
    <w:rsid w:val="00EE5696"/>
    <w:rsid w:val="00EE5763"/>
    <w:rsid w:val="00EE57D0"/>
    <w:rsid w:val="00EE58FF"/>
    <w:rsid w:val="00EE59F5"/>
    <w:rsid w:val="00EE5B79"/>
    <w:rsid w:val="00EE5C81"/>
    <w:rsid w:val="00EE5E2E"/>
    <w:rsid w:val="00EE614D"/>
    <w:rsid w:val="00EE659B"/>
    <w:rsid w:val="00EE6B49"/>
    <w:rsid w:val="00EE6CCB"/>
    <w:rsid w:val="00EE6F42"/>
    <w:rsid w:val="00EE76FC"/>
    <w:rsid w:val="00EE7817"/>
    <w:rsid w:val="00EE78E3"/>
    <w:rsid w:val="00EE7A79"/>
    <w:rsid w:val="00EE7D8E"/>
    <w:rsid w:val="00EF018E"/>
    <w:rsid w:val="00EF061A"/>
    <w:rsid w:val="00EF0640"/>
    <w:rsid w:val="00EF0754"/>
    <w:rsid w:val="00EF0A47"/>
    <w:rsid w:val="00EF0A6C"/>
    <w:rsid w:val="00EF0B81"/>
    <w:rsid w:val="00EF0D11"/>
    <w:rsid w:val="00EF0D21"/>
    <w:rsid w:val="00EF0E17"/>
    <w:rsid w:val="00EF0EF3"/>
    <w:rsid w:val="00EF104F"/>
    <w:rsid w:val="00EF11A1"/>
    <w:rsid w:val="00EF1327"/>
    <w:rsid w:val="00EF1521"/>
    <w:rsid w:val="00EF1755"/>
    <w:rsid w:val="00EF1888"/>
    <w:rsid w:val="00EF1BF7"/>
    <w:rsid w:val="00EF2295"/>
    <w:rsid w:val="00EF24E7"/>
    <w:rsid w:val="00EF2523"/>
    <w:rsid w:val="00EF2725"/>
    <w:rsid w:val="00EF2980"/>
    <w:rsid w:val="00EF2AC0"/>
    <w:rsid w:val="00EF2BCB"/>
    <w:rsid w:val="00EF301D"/>
    <w:rsid w:val="00EF3158"/>
    <w:rsid w:val="00EF352B"/>
    <w:rsid w:val="00EF3912"/>
    <w:rsid w:val="00EF3CC4"/>
    <w:rsid w:val="00EF4490"/>
    <w:rsid w:val="00EF4693"/>
    <w:rsid w:val="00EF472A"/>
    <w:rsid w:val="00EF49D3"/>
    <w:rsid w:val="00EF4A4C"/>
    <w:rsid w:val="00EF4AED"/>
    <w:rsid w:val="00EF4D16"/>
    <w:rsid w:val="00EF5200"/>
    <w:rsid w:val="00EF52C6"/>
    <w:rsid w:val="00EF54B6"/>
    <w:rsid w:val="00EF576A"/>
    <w:rsid w:val="00EF5820"/>
    <w:rsid w:val="00EF584A"/>
    <w:rsid w:val="00EF5AB5"/>
    <w:rsid w:val="00EF5CC7"/>
    <w:rsid w:val="00EF5D9C"/>
    <w:rsid w:val="00EF5F08"/>
    <w:rsid w:val="00EF6035"/>
    <w:rsid w:val="00EF63C8"/>
    <w:rsid w:val="00EF6426"/>
    <w:rsid w:val="00EF64BB"/>
    <w:rsid w:val="00EF6507"/>
    <w:rsid w:val="00EF6676"/>
    <w:rsid w:val="00EF679F"/>
    <w:rsid w:val="00EF6859"/>
    <w:rsid w:val="00EF691D"/>
    <w:rsid w:val="00EF6925"/>
    <w:rsid w:val="00EF692D"/>
    <w:rsid w:val="00EF6BE2"/>
    <w:rsid w:val="00EF6D31"/>
    <w:rsid w:val="00EF6FA1"/>
    <w:rsid w:val="00EF7180"/>
    <w:rsid w:val="00EF7499"/>
    <w:rsid w:val="00EF752E"/>
    <w:rsid w:val="00EF754A"/>
    <w:rsid w:val="00EF7968"/>
    <w:rsid w:val="00F001E3"/>
    <w:rsid w:val="00F00353"/>
    <w:rsid w:val="00F0082F"/>
    <w:rsid w:val="00F00A2C"/>
    <w:rsid w:val="00F00B71"/>
    <w:rsid w:val="00F00D95"/>
    <w:rsid w:val="00F00DDB"/>
    <w:rsid w:val="00F00FEA"/>
    <w:rsid w:val="00F010D3"/>
    <w:rsid w:val="00F01372"/>
    <w:rsid w:val="00F01429"/>
    <w:rsid w:val="00F01827"/>
    <w:rsid w:val="00F01904"/>
    <w:rsid w:val="00F01A11"/>
    <w:rsid w:val="00F01B01"/>
    <w:rsid w:val="00F01C44"/>
    <w:rsid w:val="00F01C8D"/>
    <w:rsid w:val="00F01CDC"/>
    <w:rsid w:val="00F01F93"/>
    <w:rsid w:val="00F020C3"/>
    <w:rsid w:val="00F02131"/>
    <w:rsid w:val="00F02596"/>
    <w:rsid w:val="00F025A1"/>
    <w:rsid w:val="00F027D7"/>
    <w:rsid w:val="00F02879"/>
    <w:rsid w:val="00F02C5C"/>
    <w:rsid w:val="00F03086"/>
    <w:rsid w:val="00F03160"/>
    <w:rsid w:val="00F03524"/>
    <w:rsid w:val="00F036DA"/>
    <w:rsid w:val="00F03918"/>
    <w:rsid w:val="00F03980"/>
    <w:rsid w:val="00F03990"/>
    <w:rsid w:val="00F03AE9"/>
    <w:rsid w:val="00F03B0F"/>
    <w:rsid w:val="00F03D0A"/>
    <w:rsid w:val="00F03D5B"/>
    <w:rsid w:val="00F03D7A"/>
    <w:rsid w:val="00F040B3"/>
    <w:rsid w:val="00F042F5"/>
    <w:rsid w:val="00F04372"/>
    <w:rsid w:val="00F046DE"/>
    <w:rsid w:val="00F0476D"/>
    <w:rsid w:val="00F04B9C"/>
    <w:rsid w:val="00F04C37"/>
    <w:rsid w:val="00F04E6D"/>
    <w:rsid w:val="00F05757"/>
    <w:rsid w:val="00F05A1F"/>
    <w:rsid w:val="00F05A65"/>
    <w:rsid w:val="00F05B05"/>
    <w:rsid w:val="00F05B47"/>
    <w:rsid w:val="00F06002"/>
    <w:rsid w:val="00F0638C"/>
    <w:rsid w:val="00F064B9"/>
    <w:rsid w:val="00F065F2"/>
    <w:rsid w:val="00F066F5"/>
    <w:rsid w:val="00F06789"/>
    <w:rsid w:val="00F06835"/>
    <w:rsid w:val="00F06865"/>
    <w:rsid w:val="00F06947"/>
    <w:rsid w:val="00F0694F"/>
    <w:rsid w:val="00F06D11"/>
    <w:rsid w:val="00F06D5C"/>
    <w:rsid w:val="00F06F1D"/>
    <w:rsid w:val="00F070FA"/>
    <w:rsid w:val="00F072AE"/>
    <w:rsid w:val="00F07357"/>
    <w:rsid w:val="00F0742D"/>
    <w:rsid w:val="00F07604"/>
    <w:rsid w:val="00F07B55"/>
    <w:rsid w:val="00F07C38"/>
    <w:rsid w:val="00F07DF2"/>
    <w:rsid w:val="00F07FAC"/>
    <w:rsid w:val="00F100CE"/>
    <w:rsid w:val="00F100D8"/>
    <w:rsid w:val="00F10BC1"/>
    <w:rsid w:val="00F10FC5"/>
    <w:rsid w:val="00F11055"/>
    <w:rsid w:val="00F1106E"/>
    <w:rsid w:val="00F11319"/>
    <w:rsid w:val="00F114C7"/>
    <w:rsid w:val="00F1162A"/>
    <w:rsid w:val="00F11AB0"/>
    <w:rsid w:val="00F11AC5"/>
    <w:rsid w:val="00F11AF4"/>
    <w:rsid w:val="00F11AF9"/>
    <w:rsid w:val="00F120E5"/>
    <w:rsid w:val="00F12118"/>
    <w:rsid w:val="00F122E0"/>
    <w:rsid w:val="00F122F2"/>
    <w:rsid w:val="00F1241B"/>
    <w:rsid w:val="00F127AF"/>
    <w:rsid w:val="00F1280F"/>
    <w:rsid w:val="00F128FC"/>
    <w:rsid w:val="00F12CCF"/>
    <w:rsid w:val="00F12D5F"/>
    <w:rsid w:val="00F13085"/>
    <w:rsid w:val="00F130C0"/>
    <w:rsid w:val="00F130C9"/>
    <w:rsid w:val="00F130F5"/>
    <w:rsid w:val="00F133BB"/>
    <w:rsid w:val="00F1342C"/>
    <w:rsid w:val="00F1362F"/>
    <w:rsid w:val="00F136B7"/>
    <w:rsid w:val="00F13712"/>
    <w:rsid w:val="00F13901"/>
    <w:rsid w:val="00F13AA4"/>
    <w:rsid w:val="00F13F2D"/>
    <w:rsid w:val="00F13F38"/>
    <w:rsid w:val="00F13FBD"/>
    <w:rsid w:val="00F141B0"/>
    <w:rsid w:val="00F14517"/>
    <w:rsid w:val="00F14559"/>
    <w:rsid w:val="00F1459E"/>
    <w:rsid w:val="00F146A3"/>
    <w:rsid w:val="00F147DF"/>
    <w:rsid w:val="00F148CB"/>
    <w:rsid w:val="00F14C01"/>
    <w:rsid w:val="00F14F81"/>
    <w:rsid w:val="00F14FBF"/>
    <w:rsid w:val="00F15028"/>
    <w:rsid w:val="00F153B9"/>
    <w:rsid w:val="00F15402"/>
    <w:rsid w:val="00F1562C"/>
    <w:rsid w:val="00F1577A"/>
    <w:rsid w:val="00F15B11"/>
    <w:rsid w:val="00F15C6E"/>
    <w:rsid w:val="00F15D1E"/>
    <w:rsid w:val="00F163E8"/>
    <w:rsid w:val="00F16555"/>
    <w:rsid w:val="00F1658D"/>
    <w:rsid w:val="00F166EA"/>
    <w:rsid w:val="00F167F3"/>
    <w:rsid w:val="00F16B1A"/>
    <w:rsid w:val="00F16BAB"/>
    <w:rsid w:val="00F16C3D"/>
    <w:rsid w:val="00F16D57"/>
    <w:rsid w:val="00F16DE5"/>
    <w:rsid w:val="00F17091"/>
    <w:rsid w:val="00F1762B"/>
    <w:rsid w:val="00F17654"/>
    <w:rsid w:val="00F17692"/>
    <w:rsid w:val="00F179E4"/>
    <w:rsid w:val="00F17BE1"/>
    <w:rsid w:val="00F2035E"/>
    <w:rsid w:val="00F20530"/>
    <w:rsid w:val="00F20556"/>
    <w:rsid w:val="00F205B0"/>
    <w:rsid w:val="00F2063B"/>
    <w:rsid w:val="00F20672"/>
    <w:rsid w:val="00F206AB"/>
    <w:rsid w:val="00F206D5"/>
    <w:rsid w:val="00F209EF"/>
    <w:rsid w:val="00F21079"/>
    <w:rsid w:val="00F21084"/>
    <w:rsid w:val="00F210C6"/>
    <w:rsid w:val="00F2114C"/>
    <w:rsid w:val="00F21259"/>
    <w:rsid w:val="00F21345"/>
    <w:rsid w:val="00F2147C"/>
    <w:rsid w:val="00F2171C"/>
    <w:rsid w:val="00F21A0C"/>
    <w:rsid w:val="00F21E11"/>
    <w:rsid w:val="00F21E1E"/>
    <w:rsid w:val="00F22136"/>
    <w:rsid w:val="00F22211"/>
    <w:rsid w:val="00F22395"/>
    <w:rsid w:val="00F2248C"/>
    <w:rsid w:val="00F22534"/>
    <w:rsid w:val="00F22636"/>
    <w:rsid w:val="00F22694"/>
    <w:rsid w:val="00F226BA"/>
    <w:rsid w:val="00F22958"/>
    <w:rsid w:val="00F22E2F"/>
    <w:rsid w:val="00F22EFC"/>
    <w:rsid w:val="00F23172"/>
    <w:rsid w:val="00F232D8"/>
    <w:rsid w:val="00F23337"/>
    <w:rsid w:val="00F235A1"/>
    <w:rsid w:val="00F236A8"/>
    <w:rsid w:val="00F236B0"/>
    <w:rsid w:val="00F236F7"/>
    <w:rsid w:val="00F238A0"/>
    <w:rsid w:val="00F23916"/>
    <w:rsid w:val="00F23A0A"/>
    <w:rsid w:val="00F23CCA"/>
    <w:rsid w:val="00F23DEC"/>
    <w:rsid w:val="00F24010"/>
    <w:rsid w:val="00F2428C"/>
    <w:rsid w:val="00F2436D"/>
    <w:rsid w:val="00F243A4"/>
    <w:rsid w:val="00F245FC"/>
    <w:rsid w:val="00F24612"/>
    <w:rsid w:val="00F24874"/>
    <w:rsid w:val="00F24907"/>
    <w:rsid w:val="00F24D02"/>
    <w:rsid w:val="00F24D72"/>
    <w:rsid w:val="00F2515C"/>
    <w:rsid w:val="00F25169"/>
    <w:rsid w:val="00F25373"/>
    <w:rsid w:val="00F25440"/>
    <w:rsid w:val="00F2546F"/>
    <w:rsid w:val="00F258B4"/>
    <w:rsid w:val="00F259E5"/>
    <w:rsid w:val="00F25AD1"/>
    <w:rsid w:val="00F25D2B"/>
    <w:rsid w:val="00F260DC"/>
    <w:rsid w:val="00F26407"/>
    <w:rsid w:val="00F2670B"/>
    <w:rsid w:val="00F267DB"/>
    <w:rsid w:val="00F269D7"/>
    <w:rsid w:val="00F26C0F"/>
    <w:rsid w:val="00F26ED3"/>
    <w:rsid w:val="00F26ED5"/>
    <w:rsid w:val="00F26F67"/>
    <w:rsid w:val="00F276D4"/>
    <w:rsid w:val="00F2785B"/>
    <w:rsid w:val="00F27C4D"/>
    <w:rsid w:val="00F27DC4"/>
    <w:rsid w:val="00F27E4C"/>
    <w:rsid w:val="00F27EBC"/>
    <w:rsid w:val="00F27F21"/>
    <w:rsid w:val="00F30019"/>
    <w:rsid w:val="00F30188"/>
    <w:rsid w:val="00F3029C"/>
    <w:rsid w:val="00F30373"/>
    <w:rsid w:val="00F30777"/>
    <w:rsid w:val="00F309E5"/>
    <w:rsid w:val="00F30D0E"/>
    <w:rsid w:val="00F310B2"/>
    <w:rsid w:val="00F31121"/>
    <w:rsid w:val="00F3190B"/>
    <w:rsid w:val="00F31A41"/>
    <w:rsid w:val="00F31E01"/>
    <w:rsid w:val="00F31EFC"/>
    <w:rsid w:val="00F31F73"/>
    <w:rsid w:val="00F320BF"/>
    <w:rsid w:val="00F32445"/>
    <w:rsid w:val="00F32468"/>
    <w:rsid w:val="00F324A7"/>
    <w:rsid w:val="00F32519"/>
    <w:rsid w:val="00F3289A"/>
    <w:rsid w:val="00F32919"/>
    <w:rsid w:val="00F32A0D"/>
    <w:rsid w:val="00F32D87"/>
    <w:rsid w:val="00F32E77"/>
    <w:rsid w:val="00F32F9F"/>
    <w:rsid w:val="00F32FE6"/>
    <w:rsid w:val="00F330C7"/>
    <w:rsid w:val="00F332A3"/>
    <w:rsid w:val="00F334F2"/>
    <w:rsid w:val="00F337B4"/>
    <w:rsid w:val="00F3394B"/>
    <w:rsid w:val="00F33969"/>
    <w:rsid w:val="00F33CCE"/>
    <w:rsid w:val="00F33D61"/>
    <w:rsid w:val="00F3402E"/>
    <w:rsid w:val="00F34A02"/>
    <w:rsid w:val="00F34A4C"/>
    <w:rsid w:val="00F34A85"/>
    <w:rsid w:val="00F34D07"/>
    <w:rsid w:val="00F34EBD"/>
    <w:rsid w:val="00F34ECA"/>
    <w:rsid w:val="00F35553"/>
    <w:rsid w:val="00F357EF"/>
    <w:rsid w:val="00F35B3B"/>
    <w:rsid w:val="00F35BE1"/>
    <w:rsid w:val="00F35BE5"/>
    <w:rsid w:val="00F35D5E"/>
    <w:rsid w:val="00F361A3"/>
    <w:rsid w:val="00F36222"/>
    <w:rsid w:val="00F364FE"/>
    <w:rsid w:val="00F36872"/>
    <w:rsid w:val="00F36F7A"/>
    <w:rsid w:val="00F370E2"/>
    <w:rsid w:val="00F372E5"/>
    <w:rsid w:val="00F372E9"/>
    <w:rsid w:val="00F3772C"/>
    <w:rsid w:val="00F377BE"/>
    <w:rsid w:val="00F37933"/>
    <w:rsid w:val="00F37990"/>
    <w:rsid w:val="00F37AF9"/>
    <w:rsid w:val="00F37D32"/>
    <w:rsid w:val="00F37F6E"/>
    <w:rsid w:val="00F40193"/>
    <w:rsid w:val="00F407F7"/>
    <w:rsid w:val="00F40F82"/>
    <w:rsid w:val="00F4103A"/>
    <w:rsid w:val="00F41094"/>
    <w:rsid w:val="00F412D9"/>
    <w:rsid w:val="00F41303"/>
    <w:rsid w:val="00F4139E"/>
    <w:rsid w:val="00F41418"/>
    <w:rsid w:val="00F41718"/>
    <w:rsid w:val="00F41724"/>
    <w:rsid w:val="00F4182F"/>
    <w:rsid w:val="00F41A78"/>
    <w:rsid w:val="00F41AE1"/>
    <w:rsid w:val="00F41C59"/>
    <w:rsid w:val="00F41E8F"/>
    <w:rsid w:val="00F42394"/>
    <w:rsid w:val="00F425D9"/>
    <w:rsid w:val="00F4266E"/>
    <w:rsid w:val="00F42853"/>
    <w:rsid w:val="00F429B8"/>
    <w:rsid w:val="00F42D10"/>
    <w:rsid w:val="00F42D14"/>
    <w:rsid w:val="00F42D6D"/>
    <w:rsid w:val="00F42E68"/>
    <w:rsid w:val="00F430C3"/>
    <w:rsid w:val="00F43902"/>
    <w:rsid w:val="00F43AA1"/>
    <w:rsid w:val="00F44166"/>
    <w:rsid w:val="00F4418B"/>
    <w:rsid w:val="00F444FF"/>
    <w:rsid w:val="00F445E9"/>
    <w:rsid w:val="00F44704"/>
    <w:rsid w:val="00F4494F"/>
    <w:rsid w:val="00F44986"/>
    <w:rsid w:val="00F449D9"/>
    <w:rsid w:val="00F44BC1"/>
    <w:rsid w:val="00F44DA9"/>
    <w:rsid w:val="00F44ED5"/>
    <w:rsid w:val="00F4508C"/>
    <w:rsid w:val="00F4519C"/>
    <w:rsid w:val="00F45442"/>
    <w:rsid w:val="00F454D0"/>
    <w:rsid w:val="00F45679"/>
    <w:rsid w:val="00F456E1"/>
    <w:rsid w:val="00F4576C"/>
    <w:rsid w:val="00F458F0"/>
    <w:rsid w:val="00F4597C"/>
    <w:rsid w:val="00F45C7C"/>
    <w:rsid w:val="00F45EA9"/>
    <w:rsid w:val="00F45F82"/>
    <w:rsid w:val="00F462BE"/>
    <w:rsid w:val="00F462E8"/>
    <w:rsid w:val="00F4696F"/>
    <w:rsid w:val="00F46976"/>
    <w:rsid w:val="00F469DA"/>
    <w:rsid w:val="00F46ED0"/>
    <w:rsid w:val="00F46F18"/>
    <w:rsid w:val="00F46F27"/>
    <w:rsid w:val="00F474BF"/>
    <w:rsid w:val="00F47540"/>
    <w:rsid w:val="00F4756D"/>
    <w:rsid w:val="00F475FA"/>
    <w:rsid w:val="00F4790E"/>
    <w:rsid w:val="00F479C2"/>
    <w:rsid w:val="00F47D85"/>
    <w:rsid w:val="00F47DB6"/>
    <w:rsid w:val="00F50014"/>
    <w:rsid w:val="00F50076"/>
    <w:rsid w:val="00F50112"/>
    <w:rsid w:val="00F50255"/>
    <w:rsid w:val="00F502CD"/>
    <w:rsid w:val="00F50828"/>
    <w:rsid w:val="00F50B8C"/>
    <w:rsid w:val="00F50CB9"/>
    <w:rsid w:val="00F50D94"/>
    <w:rsid w:val="00F514C0"/>
    <w:rsid w:val="00F51873"/>
    <w:rsid w:val="00F51986"/>
    <w:rsid w:val="00F51C86"/>
    <w:rsid w:val="00F51D14"/>
    <w:rsid w:val="00F520C9"/>
    <w:rsid w:val="00F524BB"/>
    <w:rsid w:val="00F524E0"/>
    <w:rsid w:val="00F5282E"/>
    <w:rsid w:val="00F52944"/>
    <w:rsid w:val="00F52B7C"/>
    <w:rsid w:val="00F52C42"/>
    <w:rsid w:val="00F52D70"/>
    <w:rsid w:val="00F53464"/>
    <w:rsid w:val="00F535EE"/>
    <w:rsid w:val="00F535F2"/>
    <w:rsid w:val="00F5368C"/>
    <w:rsid w:val="00F5382F"/>
    <w:rsid w:val="00F53B03"/>
    <w:rsid w:val="00F53FA2"/>
    <w:rsid w:val="00F54157"/>
    <w:rsid w:val="00F541B4"/>
    <w:rsid w:val="00F545EE"/>
    <w:rsid w:val="00F547EF"/>
    <w:rsid w:val="00F54B23"/>
    <w:rsid w:val="00F551C9"/>
    <w:rsid w:val="00F55281"/>
    <w:rsid w:val="00F552C0"/>
    <w:rsid w:val="00F55378"/>
    <w:rsid w:val="00F55415"/>
    <w:rsid w:val="00F5543E"/>
    <w:rsid w:val="00F5545A"/>
    <w:rsid w:val="00F559AE"/>
    <w:rsid w:val="00F55A6E"/>
    <w:rsid w:val="00F55DA1"/>
    <w:rsid w:val="00F55F3C"/>
    <w:rsid w:val="00F55FE7"/>
    <w:rsid w:val="00F5644D"/>
    <w:rsid w:val="00F5653B"/>
    <w:rsid w:val="00F56720"/>
    <w:rsid w:val="00F56865"/>
    <w:rsid w:val="00F56B04"/>
    <w:rsid w:val="00F56B7E"/>
    <w:rsid w:val="00F56BE0"/>
    <w:rsid w:val="00F56E78"/>
    <w:rsid w:val="00F56FAD"/>
    <w:rsid w:val="00F5723F"/>
    <w:rsid w:val="00F5747B"/>
    <w:rsid w:val="00F57919"/>
    <w:rsid w:val="00F57BD4"/>
    <w:rsid w:val="00F57BEF"/>
    <w:rsid w:val="00F57DF0"/>
    <w:rsid w:val="00F57F33"/>
    <w:rsid w:val="00F6022A"/>
    <w:rsid w:val="00F604C3"/>
    <w:rsid w:val="00F60618"/>
    <w:rsid w:val="00F6078D"/>
    <w:rsid w:val="00F6083E"/>
    <w:rsid w:val="00F60B78"/>
    <w:rsid w:val="00F60DC3"/>
    <w:rsid w:val="00F60DE4"/>
    <w:rsid w:val="00F60E12"/>
    <w:rsid w:val="00F60E1D"/>
    <w:rsid w:val="00F6103E"/>
    <w:rsid w:val="00F61298"/>
    <w:rsid w:val="00F612C3"/>
    <w:rsid w:val="00F6142F"/>
    <w:rsid w:val="00F6148D"/>
    <w:rsid w:val="00F61702"/>
    <w:rsid w:val="00F617AC"/>
    <w:rsid w:val="00F61A3A"/>
    <w:rsid w:val="00F61D77"/>
    <w:rsid w:val="00F61DF1"/>
    <w:rsid w:val="00F61F39"/>
    <w:rsid w:val="00F62034"/>
    <w:rsid w:val="00F622BE"/>
    <w:rsid w:val="00F6234E"/>
    <w:rsid w:val="00F62547"/>
    <w:rsid w:val="00F6271A"/>
    <w:rsid w:val="00F62809"/>
    <w:rsid w:val="00F62992"/>
    <w:rsid w:val="00F62B5F"/>
    <w:rsid w:val="00F62B7A"/>
    <w:rsid w:val="00F62E5A"/>
    <w:rsid w:val="00F62EA3"/>
    <w:rsid w:val="00F62F25"/>
    <w:rsid w:val="00F63517"/>
    <w:rsid w:val="00F635CA"/>
    <w:rsid w:val="00F6392D"/>
    <w:rsid w:val="00F6397D"/>
    <w:rsid w:val="00F63DF0"/>
    <w:rsid w:val="00F63E6C"/>
    <w:rsid w:val="00F63F4F"/>
    <w:rsid w:val="00F640DC"/>
    <w:rsid w:val="00F64108"/>
    <w:rsid w:val="00F64126"/>
    <w:rsid w:val="00F642ED"/>
    <w:rsid w:val="00F644BE"/>
    <w:rsid w:val="00F6481C"/>
    <w:rsid w:val="00F64AA0"/>
    <w:rsid w:val="00F64B97"/>
    <w:rsid w:val="00F654EA"/>
    <w:rsid w:val="00F65676"/>
    <w:rsid w:val="00F65F09"/>
    <w:rsid w:val="00F65F0F"/>
    <w:rsid w:val="00F66153"/>
    <w:rsid w:val="00F66335"/>
    <w:rsid w:val="00F66420"/>
    <w:rsid w:val="00F666F4"/>
    <w:rsid w:val="00F669A0"/>
    <w:rsid w:val="00F66A47"/>
    <w:rsid w:val="00F66D48"/>
    <w:rsid w:val="00F66E6D"/>
    <w:rsid w:val="00F66EAE"/>
    <w:rsid w:val="00F67089"/>
    <w:rsid w:val="00F6723E"/>
    <w:rsid w:val="00F673D5"/>
    <w:rsid w:val="00F67937"/>
    <w:rsid w:val="00F679E4"/>
    <w:rsid w:val="00F67A1B"/>
    <w:rsid w:val="00F67E3A"/>
    <w:rsid w:val="00F67E42"/>
    <w:rsid w:val="00F70420"/>
    <w:rsid w:val="00F70533"/>
    <w:rsid w:val="00F7060A"/>
    <w:rsid w:val="00F70841"/>
    <w:rsid w:val="00F70A1F"/>
    <w:rsid w:val="00F70D0D"/>
    <w:rsid w:val="00F70DE5"/>
    <w:rsid w:val="00F70E47"/>
    <w:rsid w:val="00F70FD6"/>
    <w:rsid w:val="00F71419"/>
    <w:rsid w:val="00F7142B"/>
    <w:rsid w:val="00F716B8"/>
    <w:rsid w:val="00F7198E"/>
    <w:rsid w:val="00F71D7E"/>
    <w:rsid w:val="00F71E69"/>
    <w:rsid w:val="00F72049"/>
    <w:rsid w:val="00F72605"/>
    <w:rsid w:val="00F72666"/>
    <w:rsid w:val="00F7293E"/>
    <w:rsid w:val="00F72A3D"/>
    <w:rsid w:val="00F72A40"/>
    <w:rsid w:val="00F72AF3"/>
    <w:rsid w:val="00F72CDF"/>
    <w:rsid w:val="00F72CFD"/>
    <w:rsid w:val="00F73039"/>
    <w:rsid w:val="00F732F5"/>
    <w:rsid w:val="00F73543"/>
    <w:rsid w:val="00F73642"/>
    <w:rsid w:val="00F7390F"/>
    <w:rsid w:val="00F739DC"/>
    <w:rsid w:val="00F73A7F"/>
    <w:rsid w:val="00F73B33"/>
    <w:rsid w:val="00F73BC6"/>
    <w:rsid w:val="00F73C59"/>
    <w:rsid w:val="00F73E7C"/>
    <w:rsid w:val="00F73FC3"/>
    <w:rsid w:val="00F74103"/>
    <w:rsid w:val="00F742DD"/>
    <w:rsid w:val="00F74398"/>
    <w:rsid w:val="00F743BB"/>
    <w:rsid w:val="00F74477"/>
    <w:rsid w:val="00F744FB"/>
    <w:rsid w:val="00F7451B"/>
    <w:rsid w:val="00F747D4"/>
    <w:rsid w:val="00F74937"/>
    <w:rsid w:val="00F74C6F"/>
    <w:rsid w:val="00F74CE4"/>
    <w:rsid w:val="00F7500D"/>
    <w:rsid w:val="00F750B5"/>
    <w:rsid w:val="00F7528C"/>
    <w:rsid w:val="00F755FE"/>
    <w:rsid w:val="00F7584B"/>
    <w:rsid w:val="00F75B45"/>
    <w:rsid w:val="00F75E1E"/>
    <w:rsid w:val="00F75EEA"/>
    <w:rsid w:val="00F760AF"/>
    <w:rsid w:val="00F761F5"/>
    <w:rsid w:val="00F762C9"/>
    <w:rsid w:val="00F76406"/>
    <w:rsid w:val="00F765F0"/>
    <w:rsid w:val="00F76650"/>
    <w:rsid w:val="00F76AEC"/>
    <w:rsid w:val="00F76B08"/>
    <w:rsid w:val="00F76BC0"/>
    <w:rsid w:val="00F76EC8"/>
    <w:rsid w:val="00F770DF"/>
    <w:rsid w:val="00F772FD"/>
    <w:rsid w:val="00F777CA"/>
    <w:rsid w:val="00F77842"/>
    <w:rsid w:val="00F77BC9"/>
    <w:rsid w:val="00F77BFD"/>
    <w:rsid w:val="00F77D39"/>
    <w:rsid w:val="00F77E7C"/>
    <w:rsid w:val="00F77E90"/>
    <w:rsid w:val="00F77F7C"/>
    <w:rsid w:val="00F8015F"/>
    <w:rsid w:val="00F80160"/>
    <w:rsid w:val="00F802E2"/>
    <w:rsid w:val="00F804AE"/>
    <w:rsid w:val="00F809F2"/>
    <w:rsid w:val="00F80C2C"/>
    <w:rsid w:val="00F80FEB"/>
    <w:rsid w:val="00F811B0"/>
    <w:rsid w:val="00F812B0"/>
    <w:rsid w:val="00F81429"/>
    <w:rsid w:val="00F816B3"/>
    <w:rsid w:val="00F818C9"/>
    <w:rsid w:val="00F81A42"/>
    <w:rsid w:val="00F81B5C"/>
    <w:rsid w:val="00F81B8D"/>
    <w:rsid w:val="00F81F0C"/>
    <w:rsid w:val="00F82329"/>
    <w:rsid w:val="00F82340"/>
    <w:rsid w:val="00F8255B"/>
    <w:rsid w:val="00F8296A"/>
    <w:rsid w:val="00F82E09"/>
    <w:rsid w:val="00F83267"/>
    <w:rsid w:val="00F836F1"/>
    <w:rsid w:val="00F83716"/>
    <w:rsid w:val="00F83AB7"/>
    <w:rsid w:val="00F83EA1"/>
    <w:rsid w:val="00F84128"/>
    <w:rsid w:val="00F84AB4"/>
    <w:rsid w:val="00F84E3E"/>
    <w:rsid w:val="00F84E91"/>
    <w:rsid w:val="00F84EEE"/>
    <w:rsid w:val="00F85296"/>
    <w:rsid w:val="00F854F5"/>
    <w:rsid w:val="00F85986"/>
    <w:rsid w:val="00F85A96"/>
    <w:rsid w:val="00F85D8F"/>
    <w:rsid w:val="00F85EDD"/>
    <w:rsid w:val="00F85FD3"/>
    <w:rsid w:val="00F85FDC"/>
    <w:rsid w:val="00F86101"/>
    <w:rsid w:val="00F86189"/>
    <w:rsid w:val="00F861F8"/>
    <w:rsid w:val="00F8623B"/>
    <w:rsid w:val="00F86477"/>
    <w:rsid w:val="00F86763"/>
    <w:rsid w:val="00F86B1B"/>
    <w:rsid w:val="00F86CD2"/>
    <w:rsid w:val="00F8767E"/>
    <w:rsid w:val="00F87787"/>
    <w:rsid w:val="00F87C69"/>
    <w:rsid w:val="00F87D8C"/>
    <w:rsid w:val="00F87E38"/>
    <w:rsid w:val="00F90492"/>
    <w:rsid w:val="00F904E1"/>
    <w:rsid w:val="00F90705"/>
    <w:rsid w:val="00F90779"/>
    <w:rsid w:val="00F90816"/>
    <w:rsid w:val="00F90BB4"/>
    <w:rsid w:val="00F90BEC"/>
    <w:rsid w:val="00F90CF4"/>
    <w:rsid w:val="00F90FDA"/>
    <w:rsid w:val="00F913FE"/>
    <w:rsid w:val="00F91523"/>
    <w:rsid w:val="00F916FF"/>
    <w:rsid w:val="00F9187B"/>
    <w:rsid w:val="00F91AAD"/>
    <w:rsid w:val="00F91B31"/>
    <w:rsid w:val="00F91B39"/>
    <w:rsid w:val="00F91CF9"/>
    <w:rsid w:val="00F91E9D"/>
    <w:rsid w:val="00F91EBD"/>
    <w:rsid w:val="00F91EE0"/>
    <w:rsid w:val="00F91F32"/>
    <w:rsid w:val="00F92013"/>
    <w:rsid w:val="00F9212F"/>
    <w:rsid w:val="00F92237"/>
    <w:rsid w:val="00F922FB"/>
    <w:rsid w:val="00F92385"/>
    <w:rsid w:val="00F92827"/>
    <w:rsid w:val="00F92D96"/>
    <w:rsid w:val="00F92E47"/>
    <w:rsid w:val="00F9302C"/>
    <w:rsid w:val="00F93082"/>
    <w:rsid w:val="00F9364F"/>
    <w:rsid w:val="00F93840"/>
    <w:rsid w:val="00F9397D"/>
    <w:rsid w:val="00F940ED"/>
    <w:rsid w:val="00F94301"/>
    <w:rsid w:val="00F94539"/>
    <w:rsid w:val="00F945E0"/>
    <w:rsid w:val="00F946A5"/>
    <w:rsid w:val="00F9475F"/>
    <w:rsid w:val="00F94DA6"/>
    <w:rsid w:val="00F94DC6"/>
    <w:rsid w:val="00F94ECA"/>
    <w:rsid w:val="00F94F9E"/>
    <w:rsid w:val="00F9527C"/>
    <w:rsid w:val="00F95484"/>
    <w:rsid w:val="00F9576C"/>
    <w:rsid w:val="00F9580D"/>
    <w:rsid w:val="00F958FE"/>
    <w:rsid w:val="00F95911"/>
    <w:rsid w:val="00F9599A"/>
    <w:rsid w:val="00F95BE0"/>
    <w:rsid w:val="00F95D4B"/>
    <w:rsid w:val="00F96375"/>
    <w:rsid w:val="00F96592"/>
    <w:rsid w:val="00F9659B"/>
    <w:rsid w:val="00F965EC"/>
    <w:rsid w:val="00F96935"/>
    <w:rsid w:val="00F96AFA"/>
    <w:rsid w:val="00F96D54"/>
    <w:rsid w:val="00F96D60"/>
    <w:rsid w:val="00F96E65"/>
    <w:rsid w:val="00F96E84"/>
    <w:rsid w:val="00F96F91"/>
    <w:rsid w:val="00F9700F"/>
    <w:rsid w:val="00F973DC"/>
    <w:rsid w:val="00F97A53"/>
    <w:rsid w:val="00F97DF4"/>
    <w:rsid w:val="00F97E4C"/>
    <w:rsid w:val="00FA00B4"/>
    <w:rsid w:val="00FA00BE"/>
    <w:rsid w:val="00FA020C"/>
    <w:rsid w:val="00FA0311"/>
    <w:rsid w:val="00FA05A3"/>
    <w:rsid w:val="00FA05BD"/>
    <w:rsid w:val="00FA06E6"/>
    <w:rsid w:val="00FA07B6"/>
    <w:rsid w:val="00FA07FC"/>
    <w:rsid w:val="00FA0B2A"/>
    <w:rsid w:val="00FA0BCD"/>
    <w:rsid w:val="00FA0CAF"/>
    <w:rsid w:val="00FA0CF9"/>
    <w:rsid w:val="00FA0D6C"/>
    <w:rsid w:val="00FA1106"/>
    <w:rsid w:val="00FA15C7"/>
    <w:rsid w:val="00FA1A2B"/>
    <w:rsid w:val="00FA1B4F"/>
    <w:rsid w:val="00FA1C70"/>
    <w:rsid w:val="00FA1C9C"/>
    <w:rsid w:val="00FA2326"/>
    <w:rsid w:val="00FA234D"/>
    <w:rsid w:val="00FA24A0"/>
    <w:rsid w:val="00FA25A3"/>
    <w:rsid w:val="00FA2796"/>
    <w:rsid w:val="00FA2A4C"/>
    <w:rsid w:val="00FA2A91"/>
    <w:rsid w:val="00FA2DF8"/>
    <w:rsid w:val="00FA3257"/>
    <w:rsid w:val="00FA3751"/>
    <w:rsid w:val="00FA3855"/>
    <w:rsid w:val="00FA3A04"/>
    <w:rsid w:val="00FA3D12"/>
    <w:rsid w:val="00FA3F50"/>
    <w:rsid w:val="00FA4066"/>
    <w:rsid w:val="00FA408C"/>
    <w:rsid w:val="00FA415F"/>
    <w:rsid w:val="00FA434A"/>
    <w:rsid w:val="00FA4694"/>
    <w:rsid w:val="00FA47B8"/>
    <w:rsid w:val="00FA4A7E"/>
    <w:rsid w:val="00FA4B96"/>
    <w:rsid w:val="00FA4F19"/>
    <w:rsid w:val="00FA5168"/>
    <w:rsid w:val="00FA5195"/>
    <w:rsid w:val="00FA52F9"/>
    <w:rsid w:val="00FA59C2"/>
    <w:rsid w:val="00FA5B99"/>
    <w:rsid w:val="00FA5D92"/>
    <w:rsid w:val="00FA5E9F"/>
    <w:rsid w:val="00FA610E"/>
    <w:rsid w:val="00FA639F"/>
    <w:rsid w:val="00FA6408"/>
    <w:rsid w:val="00FA660B"/>
    <w:rsid w:val="00FA68C8"/>
    <w:rsid w:val="00FA6C60"/>
    <w:rsid w:val="00FA70ED"/>
    <w:rsid w:val="00FA713A"/>
    <w:rsid w:val="00FA72E9"/>
    <w:rsid w:val="00FA7451"/>
    <w:rsid w:val="00FA77D8"/>
    <w:rsid w:val="00FA78BE"/>
    <w:rsid w:val="00FA79CA"/>
    <w:rsid w:val="00FA7A3E"/>
    <w:rsid w:val="00FA7AFA"/>
    <w:rsid w:val="00FA7B32"/>
    <w:rsid w:val="00FA7CB5"/>
    <w:rsid w:val="00FA7D60"/>
    <w:rsid w:val="00FA7DA6"/>
    <w:rsid w:val="00FA7F7A"/>
    <w:rsid w:val="00FB00A6"/>
    <w:rsid w:val="00FB029C"/>
    <w:rsid w:val="00FB05E4"/>
    <w:rsid w:val="00FB0672"/>
    <w:rsid w:val="00FB0800"/>
    <w:rsid w:val="00FB0BD3"/>
    <w:rsid w:val="00FB0DAD"/>
    <w:rsid w:val="00FB0EAE"/>
    <w:rsid w:val="00FB1112"/>
    <w:rsid w:val="00FB1126"/>
    <w:rsid w:val="00FB1127"/>
    <w:rsid w:val="00FB12EE"/>
    <w:rsid w:val="00FB130C"/>
    <w:rsid w:val="00FB1699"/>
    <w:rsid w:val="00FB1FFD"/>
    <w:rsid w:val="00FB219B"/>
    <w:rsid w:val="00FB21C1"/>
    <w:rsid w:val="00FB227F"/>
    <w:rsid w:val="00FB2300"/>
    <w:rsid w:val="00FB249B"/>
    <w:rsid w:val="00FB29DA"/>
    <w:rsid w:val="00FB2AE0"/>
    <w:rsid w:val="00FB2B30"/>
    <w:rsid w:val="00FB2C36"/>
    <w:rsid w:val="00FB32A1"/>
    <w:rsid w:val="00FB349C"/>
    <w:rsid w:val="00FB3724"/>
    <w:rsid w:val="00FB3ADA"/>
    <w:rsid w:val="00FB3BDF"/>
    <w:rsid w:val="00FB3D3E"/>
    <w:rsid w:val="00FB3DF0"/>
    <w:rsid w:val="00FB3E7B"/>
    <w:rsid w:val="00FB3FC3"/>
    <w:rsid w:val="00FB4061"/>
    <w:rsid w:val="00FB42A0"/>
    <w:rsid w:val="00FB4438"/>
    <w:rsid w:val="00FB4821"/>
    <w:rsid w:val="00FB4997"/>
    <w:rsid w:val="00FB499B"/>
    <w:rsid w:val="00FB4CA6"/>
    <w:rsid w:val="00FB4CD8"/>
    <w:rsid w:val="00FB4D44"/>
    <w:rsid w:val="00FB4DD8"/>
    <w:rsid w:val="00FB4E43"/>
    <w:rsid w:val="00FB4F9B"/>
    <w:rsid w:val="00FB5073"/>
    <w:rsid w:val="00FB53E3"/>
    <w:rsid w:val="00FB559B"/>
    <w:rsid w:val="00FB5804"/>
    <w:rsid w:val="00FB599C"/>
    <w:rsid w:val="00FB5A98"/>
    <w:rsid w:val="00FB5AEF"/>
    <w:rsid w:val="00FB5B9E"/>
    <w:rsid w:val="00FB5D1C"/>
    <w:rsid w:val="00FB5DA8"/>
    <w:rsid w:val="00FB6059"/>
    <w:rsid w:val="00FB63A1"/>
    <w:rsid w:val="00FB63AB"/>
    <w:rsid w:val="00FB68DC"/>
    <w:rsid w:val="00FB6C8A"/>
    <w:rsid w:val="00FB6F6B"/>
    <w:rsid w:val="00FB7014"/>
    <w:rsid w:val="00FB71D9"/>
    <w:rsid w:val="00FB7242"/>
    <w:rsid w:val="00FB7389"/>
    <w:rsid w:val="00FB738F"/>
    <w:rsid w:val="00FB7662"/>
    <w:rsid w:val="00FB76B9"/>
    <w:rsid w:val="00FB76FB"/>
    <w:rsid w:val="00FB77AE"/>
    <w:rsid w:val="00FB78B9"/>
    <w:rsid w:val="00FB7AAB"/>
    <w:rsid w:val="00FB7BEE"/>
    <w:rsid w:val="00FB7C5E"/>
    <w:rsid w:val="00FB7D20"/>
    <w:rsid w:val="00FB7EC0"/>
    <w:rsid w:val="00FC0030"/>
    <w:rsid w:val="00FC083D"/>
    <w:rsid w:val="00FC08F0"/>
    <w:rsid w:val="00FC09C8"/>
    <w:rsid w:val="00FC0A7D"/>
    <w:rsid w:val="00FC0C26"/>
    <w:rsid w:val="00FC0D0A"/>
    <w:rsid w:val="00FC1091"/>
    <w:rsid w:val="00FC17B0"/>
    <w:rsid w:val="00FC17BB"/>
    <w:rsid w:val="00FC1A93"/>
    <w:rsid w:val="00FC1F5C"/>
    <w:rsid w:val="00FC22EF"/>
    <w:rsid w:val="00FC2422"/>
    <w:rsid w:val="00FC2616"/>
    <w:rsid w:val="00FC27C4"/>
    <w:rsid w:val="00FC27F8"/>
    <w:rsid w:val="00FC280C"/>
    <w:rsid w:val="00FC294E"/>
    <w:rsid w:val="00FC2A44"/>
    <w:rsid w:val="00FC2ACE"/>
    <w:rsid w:val="00FC2B8A"/>
    <w:rsid w:val="00FC2D2A"/>
    <w:rsid w:val="00FC2DDE"/>
    <w:rsid w:val="00FC2F1B"/>
    <w:rsid w:val="00FC3057"/>
    <w:rsid w:val="00FC311B"/>
    <w:rsid w:val="00FC32BB"/>
    <w:rsid w:val="00FC345D"/>
    <w:rsid w:val="00FC373F"/>
    <w:rsid w:val="00FC37A0"/>
    <w:rsid w:val="00FC38BC"/>
    <w:rsid w:val="00FC394E"/>
    <w:rsid w:val="00FC3CCE"/>
    <w:rsid w:val="00FC3E80"/>
    <w:rsid w:val="00FC422D"/>
    <w:rsid w:val="00FC4423"/>
    <w:rsid w:val="00FC4425"/>
    <w:rsid w:val="00FC4564"/>
    <w:rsid w:val="00FC475F"/>
    <w:rsid w:val="00FC4773"/>
    <w:rsid w:val="00FC47BE"/>
    <w:rsid w:val="00FC47F9"/>
    <w:rsid w:val="00FC47FC"/>
    <w:rsid w:val="00FC49B7"/>
    <w:rsid w:val="00FC4E30"/>
    <w:rsid w:val="00FC4EBE"/>
    <w:rsid w:val="00FC4ECE"/>
    <w:rsid w:val="00FC4F36"/>
    <w:rsid w:val="00FC4F3D"/>
    <w:rsid w:val="00FC52A9"/>
    <w:rsid w:val="00FC5311"/>
    <w:rsid w:val="00FC5A92"/>
    <w:rsid w:val="00FC5B30"/>
    <w:rsid w:val="00FC5B49"/>
    <w:rsid w:val="00FC5BCF"/>
    <w:rsid w:val="00FC5CBB"/>
    <w:rsid w:val="00FC5D82"/>
    <w:rsid w:val="00FC60EC"/>
    <w:rsid w:val="00FC6155"/>
    <w:rsid w:val="00FC6404"/>
    <w:rsid w:val="00FC67B1"/>
    <w:rsid w:val="00FC67FF"/>
    <w:rsid w:val="00FC6C3B"/>
    <w:rsid w:val="00FC7431"/>
    <w:rsid w:val="00FC763D"/>
    <w:rsid w:val="00FC776E"/>
    <w:rsid w:val="00FC7793"/>
    <w:rsid w:val="00FC78A8"/>
    <w:rsid w:val="00FC7A9D"/>
    <w:rsid w:val="00FC7B56"/>
    <w:rsid w:val="00FC7EDC"/>
    <w:rsid w:val="00FD01AB"/>
    <w:rsid w:val="00FD02CF"/>
    <w:rsid w:val="00FD0434"/>
    <w:rsid w:val="00FD0549"/>
    <w:rsid w:val="00FD05F3"/>
    <w:rsid w:val="00FD05F7"/>
    <w:rsid w:val="00FD066D"/>
    <w:rsid w:val="00FD08D4"/>
    <w:rsid w:val="00FD0F4C"/>
    <w:rsid w:val="00FD0FA1"/>
    <w:rsid w:val="00FD1077"/>
    <w:rsid w:val="00FD12F5"/>
    <w:rsid w:val="00FD1391"/>
    <w:rsid w:val="00FD183F"/>
    <w:rsid w:val="00FD1AFA"/>
    <w:rsid w:val="00FD1C21"/>
    <w:rsid w:val="00FD1EA8"/>
    <w:rsid w:val="00FD213F"/>
    <w:rsid w:val="00FD238A"/>
    <w:rsid w:val="00FD257F"/>
    <w:rsid w:val="00FD2741"/>
    <w:rsid w:val="00FD28F9"/>
    <w:rsid w:val="00FD2B9D"/>
    <w:rsid w:val="00FD2F01"/>
    <w:rsid w:val="00FD30A3"/>
    <w:rsid w:val="00FD3273"/>
    <w:rsid w:val="00FD34A4"/>
    <w:rsid w:val="00FD3530"/>
    <w:rsid w:val="00FD3A91"/>
    <w:rsid w:val="00FD3AD3"/>
    <w:rsid w:val="00FD3D41"/>
    <w:rsid w:val="00FD3D7F"/>
    <w:rsid w:val="00FD40CA"/>
    <w:rsid w:val="00FD430C"/>
    <w:rsid w:val="00FD4497"/>
    <w:rsid w:val="00FD4631"/>
    <w:rsid w:val="00FD4AD5"/>
    <w:rsid w:val="00FD5076"/>
    <w:rsid w:val="00FD53CF"/>
    <w:rsid w:val="00FD54DE"/>
    <w:rsid w:val="00FD5888"/>
    <w:rsid w:val="00FD588B"/>
    <w:rsid w:val="00FD5BBD"/>
    <w:rsid w:val="00FD5CD6"/>
    <w:rsid w:val="00FD5D7C"/>
    <w:rsid w:val="00FD6227"/>
    <w:rsid w:val="00FD6865"/>
    <w:rsid w:val="00FD6A42"/>
    <w:rsid w:val="00FD6A58"/>
    <w:rsid w:val="00FD6B14"/>
    <w:rsid w:val="00FD6D52"/>
    <w:rsid w:val="00FD6F4A"/>
    <w:rsid w:val="00FD71A8"/>
    <w:rsid w:val="00FD73B1"/>
    <w:rsid w:val="00FD75CB"/>
    <w:rsid w:val="00FD7758"/>
    <w:rsid w:val="00FD7863"/>
    <w:rsid w:val="00FD7942"/>
    <w:rsid w:val="00FD7D4A"/>
    <w:rsid w:val="00FD7ED8"/>
    <w:rsid w:val="00FD7F25"/>
    <w:rsid w:val="00FE0028"/>
    <w:rsid w:val="00FE04AB"/>
    <w:rsid w:val="00FE04CB"/>
    <w:rsid w:val="00FE0961"/>
    <w:rsid w:val="00FE0971"/>
    <w:rsid w:val="00FE0AEF"/>
    <w:rsid w:val="00FE0B4C"/>
    <w:rsid w:val="00FE0C8B"/>
    <w:rsid w:val="00FE0DB1"/>
    <w:rsid w:val="00FE11C5"/>
    <w:rsid w:val="00FE11DF"/>
    <w:rsid w:val="00FE140D"/>
    <w:rsid w:val="00FE15D3"/>
    <w:rsid w:val="00FE161D"/>
    <w:rsid w:val="00FE19B8"/>
    <w:rsid w:val="00FE1A53"/>
    <w:rsid w:val="00FE1A69"/>
    <w:rsid w:val="00FE1C17"/>
    <w:rsid w:val="00FE1E6D"/>
    <w:rsid w:val="00FE2191"/>
    <w:rsid w:val="00FE21C9"/>
    <w:rsid w:val="00FE2244"/>
    <w:rsid w:val="00FE22A3"/>
    <w:rsid w:val="00FE2351"/>
    <w:rsid w:val="00FE237C"/>
    <w:rsid w:val="00FE2622"/>
    <w:rsid w:val="00FE2747"/>
    <w:rsid w:val="00FE29CC"/>
    <w:rsid w:val="00FE2B26"/>
    <w:rsid w:val="00FE2E73"/>
    <w:rsid w:val="00FE337D"/>
    <w:rsid w:val="00FE33DF"/>
    <w:rsid w:val="00FE3675"/>
    <w:rsid w:val="00FE3A41"/>
    <w:rsid w:val="00FE3C78"/>
    <w:rsid w:val="00FE3E97"/>
    <w:rsid w:val="00FE41CE"/>
    <w:rsid w:val="00FE4C29"/>
    <w:rsid w:val="00FE4D2D"/>
    <w:rsid w:val="00FE4DC9"/>
    <w:rsid w:val="00FE5045"/>
    <w:rsid w:val="00FE5093"/>
    <w:rsid w:val="00FE5580"/>
    <w:rsid w:val="00FE561D"/>
    <w:rsid w:val="00FE5667"/>
    <w:rsid w:val="00FE58F4"/>
    <w:rsid w:val="00FE59DB"/>
    <w:rsid w:val="00FE5C1C"/>
    <w:rsid w:val="00FE603A"/>
    <w:rsid w:val="00FE609D"/>
    <w:rsid w:val="00FE62C2"/>
    <w:rsid w:val="00FE63B7"/>
    <w:rsid w:val="00FE6410"/>
    <w:rsid w:val="00FE647E"/>
    <w:rsid w:val="00FE660F"/>
    <w:rsid w:val="00FE69B1"/>
    <w:rsid w:val="00FE6B24"/>
    <w:rsid w:val="00FE6B26"/>
    <w:rsid w:val="00FE6C0C"/>
    <w:rsid w:val="00FE6C7D"/>
    <w:rsid w:val="00FE6CE1"/>
    <w:rsid w:val="00FE6CEF"/>
    <w:rsid w:val="00FE6F5B"/>
    <w:rsid w:val="00FE7645"/>
    <w:rsid w:val="00FE7667"/>
    <w:rsid w:val="00FE770F"/>
    <w:rsid w:val="00FE77E7"/>
    <w:rsid w:val="00FE7966"/>
    <w:rsid w:val="00FE7A2B"/>
    <w:rsid w:val="00FE7BB5"/>
    <w:rsid w:val="00FE7C4C"/>
    <w:rsid w:val="00FE7C90"/>
    <w:rsid w:val="00FE7E75"/>
    <w:rsid w:val="00FF0121"/>
    <w:rsid w:val="00FF0458"/>
    <w:rsid w:val="00FF04C7"/>
    <w:rsid w:val="00FF09D9"/>
    <w:rsid w:val="00FF0DAE"/>
    <w:rsid w:val="00FF0FE1"/>
    <w:rsid w:val="00FF110C"/>
    <w:rsid w:val="00FF12E6"/>
    <w:rsid w:val="00FF169B"/>
    <w:rsid w:val="00FF1868"/>
    <w:rsid w:val="00FF2030"/>
    <w:rsid w:val="00FF21F0"/>
    <w:rsid w:val="00FF24C1"/>
    <w:rsid w:val="00FF2893"/>
    <w:rsid w:val="00FF28D8"/>
    <w:rsid w:val="00FF2992"/>
    <w:rsid w:val="00FF29AD"/>
    <w:rsid w:val="00FF2A4F"/>
    <w:rsid w:val="00FF2C59"/>
    <w:rsid w:val="00FF2F5E"/>
    <w:rsid w:val="00FF3586"/>
    <w:rsid w:val="00FF3920"/>
    <w:rsid w:val="00FF39A6"/>
    <w:rsid w:val="00FF4223"/>
    <w:rsid w:val="00FF45A0"/>
    <w:rsid w:val="00FF45A2"/>
    <w:rsid w:val="00FF4874"/>
    <w:rsid w:val="00FF499D"/>
    <w:rsid w:val="00FF4B8C"/>
    <w:rsid w:val="00FF4CB4"/>
    <w:rsid w:val="00FF5111"/>
    <w:rsid w:val="00FF51ED"/>
    <w:rsid w:val="00FF526D"/>
    <w:rsid w:val="00FF5275"/>
    <w:rsid w:val="00FF5291"/>
    <w:rsid w:val="00FF52BF"/>
    <w:rsid w:val="00FF555D"/>
    <w:rsid w:val="00FF5730"/>
    <w:rsid w:val="00FF5746"/>
    <w:rsid w:val="00FF57DE"/>
    <w:rsid w:val="00FF5904"/>
    <w:rsid w:val="00FF5A25"/>
    <w:rsid w:val="00FF5C3F"/>
    <w:rsid w:val="00FF5CC2"/>
    <w:rsid w:val="00FF5D17"/>
    <w:rsid w:val="00FF5E75"/>
    <w:rsid w:val="00FF6125"/>
    <w:rsid w:val="00FF62D2"/>
    <w:rsid w:val="00FF6613"/>
    <w:rsid w:val="00FF6823"/>
    <w:rsid w:val="00FF68E8"/>
    <w:rsid w:val="00FF69EC"/>
    <w:rsid w:val="00FF6A74"/>
    <w:rsid w:val="00FF6B11"/>
    <w:rsid w:val="00FF6BFF"/>
    <w:rsid w:val="00FF6D48"/>
    <w:rsid w:val="00FF6E56"/>
    <w:rsid w:val="00FF7197"/>
    <w:rsid w:val="00FF71AA"/>
    <w:rsid w:val="00FF7773"/>
    <w:rsid w:val="00FF7A1F"/>
    <w:rsid w:val="00FF7B15"/>
    <w:rsid w:val="00FF7D24"/>
    <w:rsid w:val="00FF7E46"/>
    <w:rsid w:val="011E51FA"/>
    <w:rsid w:val="011F0732"/>
    <w:rsid w:val="012F5162"/>
    <w:rsid w:val="01378EF2"/>
    <w:rsid w:val="014F7379"/>
    <w:rsid w:val="01724B8E"/>
    <w:rsid w:val="01757D4B"/>
    <w:rsid w:val="0184B4A1"/>
    <w:rsid w:val="0184E29F"/>
    <w:rsid w:val="019315F0"/>
    <w:rsid w:val="0197071A"/>
    <w:rsid w:val="019FDC46"/>
    <w:rsid w:val="01A2C30E"/>
    <w:rsid w:val="01C14E2E"/>
    <w:rsid w:val="01D16C6F"/>
    <w:rsid w:val="01D1B41B"/>
    <w:rsid w:val="01E31F3D"/>
    <w:rsid w:val="01E6B9C9"/>
    <w:rsid w:val="020063CB"/>
    <w:rsid w:val="02113749"/>
    <w:rsid w:val="022473BA"/>
    <w:rsid w:val="023ECA74"/>
    <w:rsid w:val="02462A81"/>
    <w:rsid w:val="0251AB1E"/>
    <w:rsid w:val="025978DC"/>
    <w:rsid w:val="025F050A"/>
    <w:rsid w:val="0270B123"/>
    <w:rsid w:val="0270CC37"/>
    <w:rsid w:val="027487D2"/>
    <w:rsid w:val="027C4BC9"/>
    <w:rsid w:val="028B374B"/>
    <w:rsid w:val="0291319D"/>
    <w:rsid w:val="02942E34"/>
    <w:rsid w:val="029883D3"/>
    <w:rsid w:val="02A6F4F0"/>
    <w:rsid w:val="02BB043B"/>
    <w:rsid w:val="02C3BE6B"/>
    <w:rsid w:val="02D227B7"/>
    <w:rsid w:val="02E30172"/>
    <w:rsid w:val="02E32EE9"/>
    <w:rsid w:val="02E555FC"/>
    <w:rsid w:val="02EB811E"/>
    <w:rsid w:val="030BB1F6"/>
    <w:rsid w:val="030DACE5"/>
    <w:rsid w:val="03102FCC"/>
    <w:rsid w:val="031B3D7D"/>
    <w:rsid w:val="0334CEAA"/>
    <w:rsid w:val="0337C34F"/>
    <w:rsid w:val="0338F709"/>
    <w:rsid w:val="034475E9"/>
    <w:rsid w:val="034854C8"/>
    <w:rsid w:val="034CA43E"/>
    <w:rsid w:val="034E775A"/>
    <w:rsid w:val="0356EA48"/>
    <w:rsid w:val="03655631"/>
    <w:rsid w:val="036B4084"/>
    <w:rsid w:val="036F072A"/>
    <w:rsid w:val="0376F6ED"/>
    <w:rsid w:val="037D5DCB"/>
    <w:rsid w:val="0388BF22"/>
    <w:rsid w:val="0392F19E"/>
    <w:rsid w:val="039FDC2D"/>
    <w:rsid w:val="03A07E98"/>
    <w:rsid w:val="03AB2E7F"/>
    <w:rsid w:val="03ACBFEB"/>
    <w:rsid w:val="03AE34CD"/>
    <w:rsid w:val="03CCC558"/>
    <w:rsid w:val="03EFAEE0"/>
    <w:rsid w:val="040145EA"/>
    <w:rsid w:val="04048D0F"/>
    <w:rsid w:val="04085093"/>
    <w:rsid w:val="041F215A"/>
    <w:rsid w:val="042ADC6A"/>
    <w:rsid w:val="04323EFA"/>
    <w:rsid w:val="044E3255"/>
    <w:rsid w:val="04708965"/>
    <w:rsid w:val="048ED902"/>
    <w:rsid w:val="049A68FE"/>
    <w:rsid w:val="04A56914"/>
    <w:rsid w:val="04ABA6AF"/>
    <w:rsid w:val="04AF4C6E"/>
    <w:rsid w:val="04BA099D"/>
    <w:rsid w:val="04F3C01D"/>
    <w:rsid w:val="04F5A63B"/>
    <w:rsid w:val="0511F415"/>
    <w:rsid w:val="0518D265"/>
    <w:rsid w:val="051967D7"/>
    <w:rsid w:val="05269FB0"/>
    <w:rsid w:val="0526D160"/>
    <w:rsid w:val="0531943E"/>
    <w:rsid w:val="0531E7F6"/>
    <w:rsid w:val="053EE644"/>
    <w:rsid w:val="0543300C"/>
    <w:rsid w:val="055295A2"/>
    <w:rsid w:val="0554F847"/>
    <w:rsid w:val="056CB771"/>
    <w:rsid w:val="0579DC8F"/>
    <w:rsid w:val="058B17A7"/>
    <w:rsid w:val="05A273E1"/>
    <w:rsid w:val="05C78D6A"/>
    <w:rsid w:val="05CEE5AB"/>
    <w:rsid w:val="05D4821D"/>
    <w:rsid w:val="05E22628"/>
    <w:rsid w:val="05E77DF4"/>
    <w:rsid w:val="05F08BA0"/>
    <w:rsid w:val="060B16C7"/>
    <w:rsid w:val="062178F8"/>
    <w:rsid w:val="0623E76E"/>
    <w:rsid w:val="0633DC65"/>
    <w:rsid w:val="0635F781"/>
    <w:rsid w:val="063E7EBF"/>
    <w:rsid w:val="064347C4"/>
    <w:rsid w:val="064A553F"/>
    <w:rsid w:val="064C33AD"/>
    <w:rsid w:val="0654A727"/>
    <w:rsid w:val="06587C94"/>
    <w:rsid w:val="0658BACD"/>
    <w:rsid w:val="0668874E"/>
    <w:rsid w:val="066AB2BE"/>
    <w:rsid w:val="06733482"/>
    <w:rsid w:val="0681E7D8"/>
    <w:rsid w:val="0683D8CC"/>
    <w:rsid w:val="068E420D"/>
    <w:rsid w:val="069DE1E2"/>
    <w:rsid w:val="06B17761"/>
    <w:rsid w:val="06C7F562"/>
    <w:rsid w:val="06C9D356"/>
    <w:rsid w:val="06D70B22"/>
    <w:rsid w:val="06D8E531"/>
    <w:rsid w:val="06D956F2"/>
    <w:rsid w:val="06D985BC"/>
    <w:rsid w:val="06ED4435"/>
    <w:rsid w:val="06F36CFB"/>
    <w:rsid w:val="073FBD57"/>
    <w:rsid w:val="07411261"/>
    <w:rsid w:val="07473936"/>
    <w:rsid w:val="0749925F"/>
    <w:rsid w:val="07512B20"/>
    <w:rsid w:val="07549317"/>
    <w:rsid w:val="07622A06"/>
    <w:rsid w:val="0772B055"/>
    <w:rsid w:val="077F69E8"/>
    <w:rsid w:val="07833F39"/>
    <w:rsid w:val="0787FF6A"/>
    <w:rsid w:val="078ADBAD"/>
    <w:rsid w:val="078CF953"/>
    <w:rsid w:val="0794E001"/>
    <w:rsid w:val="07A28895"/>
    <w:rsid w:val="07AF4A89"/>
    <w:rsid w:val="07BD4A43"/>
    <w:rsid w:val="07C3C187"/>
    <w:rsid w:val="07C92347"/>
    <w:rsid w:val="07C964E6"/>
    <w:rsid w:val="07CC1B7E"/>
    <w:rsid w:val="07D805DA"/>
    <w:rsid w:val="07DABA4B"/>
    <w:rsid w:val="07DFF168"/>
    <w:rsid w:val="07E2BB6E"/>
    <w:rsid w:val="07F224C3"/>
    <w:rsid w:val="07F7ECFB"/>
    <w:rsid w:val="082D3295"/>
    <w:rsid w:val="0833FE27"/>
    <w:rsid w:val="083FF247"/>
    <w:rsid w:val="084BACA9"/>
    <w:rsid w:val="0850E39C"/>
    <w:rsid w:val="08556EF8"/>
    <w:rsid w:val="08593F90"/>
    <w:rsid w:val="08649263"/>
    <w:rsid w:val="0866E0A1"/>
    <w:rsid w:val="086CBACB"/>
    <w:rsid w:val="0872FC76"/>
    <w:rsid w:val="087EC4E0"/>
    <w:rsid w:val="087F7E9E"/>
    <w:rsid w:val="088577DB"/>
    <w:rsid w:val="088F0C30"/>
    <w:rsid w:val="089C3164"/>
    <w:rsid w:val="08C8B8E9"/>
    <w:rsid w:val="08E9A77C"/>
    <w:rsid w:val="08EDCD58"/>
    <w:rsid w:val="08F144ED"/>
    <w:rsid w:val="08F1F38C"/>
    <w:rsid w:val="091C7751"/>
    <w:rsid w:val="0929DA0A"/>
    <w:rsid w:val="09342367"/>
    <w:rsid w:val="094914D4"/>
    <w:rsid w:val="094F78D1"/>
    <w:rsid w:val="095BF02E"/>
    <w:rsid w:val="0963AE5E"/>
    <w:rsid w:val="096EACF4"/>
    <w:rsid w:val="0971CB27"/>
    <w:rsid w:val="09782814"/>
    <w:rsid w:val="099F00AA"/>
    <w:rsid w:val="09A5809B"/>
    <w:rsid w:val="09AC796E"/>
    <w:rsid w:val="09B3666A"/>
    <w:rsid w:val="09C2F640"/>
    <w:rsid w:val="09CF607C"/>
    <w:rsid w:val="09D4C006"/>
    <w:rsid w:val="09DB39C7"/>
    <w:rsid w:val="09EDBAAA"/>
    <w:rsid w:val="09FFF84A"/>
    <w:rsid w:val="0A1891E8"/>
    <w:rsid w:val="0A2C09C6"/>
    <w:rsid w:val="0A45F6F8"/>
    <w:rsid w:val="0A4AD149"/>
    <w:rsid w:val="0A5E38D6"/>
    <w:rsid w:val="0A61818D"/>
    <w:rsid w:val="0A7B650A"/>
    <w:rsid w:val="0A8242A1"/>
    <w:rsid w:val="0AB2D523"/>
    <w:rsid w:val="0AB755E5"/>
    <w:rsid w:val="0AB83BCC"/>
    <w:rsid w:val="0AB8CB4E"/>
    <w:rsid w:val="0AC2B3D7"/>
    <w:rsid w:val="0ACFAD20"/>
    <w:rsid w:val="0AD75273"/>
    <w:rsid w:val="0B271930"/>
    <w:rsid w:val="0B28CC5B"/>
    <w:rsid w:val="0B34F56C"/>
    <w:rsid w:val="0B37279E"/>
    <w:rsid w:val="0B4B721F"/>
    <w:rsid w:val="0B6AAD69"/>
    <w:rsid w:val="0B7D1879"/>
    <w:rsid w:val="0B7DF504"/>
    <w:rsid w:val="0B7FE79C"/>
    <w:rsid w:val="0BB20237"/>
    <w:rsid w:val="0BB5E9E5"/>
    <w:rsid w:val="0BC3686C"/>
    <w:rsid w:val="0BCB00EB"/>
    <w:rsid w:val="0BDE6D4A"/>
    <w:rsid w:val="0BE475FE"/>
    <w:rsid w:val="0BE971E9"/>
    <w:rsid w:val="0BEDA4DB"/>
    <w:rsid w:val="0BFAD65C"/>
    <w:rsid w:val="0C189D68"/>
    <w:rsid w:val="0C1A2491"/>
    <w:rsid w:val="0C22A46C"/>
    <w:rsid w:val="0C2B5A72"/>
    <w:rsid w:val="0C2C2C9B"/>
    <w:rsid w:val="0C2F05C3"/>
    <w:rsid w:val="0C3125F2"/>
    <w:rsid w:val="0C430C79"/>
    <w:rsid w:val="0C576F0C"/>
    <w:rsid w:val="0C5BCF30"/>
    <w:rsid w:val="0C5EC978"/>
    <w:rsid w:val="0C63105F"/>
    <w:rsid w:val="0C7717A3"/>
    <w:rsid w:val="0C929EF1"/>
    <w:rsid w:val="0C9376B9"/>
    <w:rsid w:val="0C9D8B0A"/>
    <w:rsid w:val="0C9E99A0"/>
    <w:rsid w:val="0CA1A28B"/>
    <w:rsid w:val="0CAF2212"/>
    <w:rsid w:val="0CD577BA"/>
    <w:rsid w:val="0CE14239"/>
    <w:rsid w:val="0CE4D10F"/>
    <w:rsid w:val="0CE68381"/>
    <w:rsid w:val="0CF00DE7"/>
    <w:rsid w:val="0CF386BD"/>
    <w:rsid w:val="0D09E62A"/>
    <w:rsid w:val="0D377175"/>
    <w:rsid w:val="0D44E7BA"/>
    <w:rsid w:val="0D6DC0DF"/>
    <w:rsid w:val="0D7265E6"/>
    <w:rsid w:val="0D9A73DB"/>
    <w:rsid w:val="0D9BD559"/>
    <w:rsid w:val="0DA114B3"/>
    <w:rsid w:val="0DAECB79"/>
    <w:rsid w:val="0DB28858"/>
    <w:rsid w:val="0DC1C4E1"/>
    <w:rsid w:val="0DCA553C"/>
    <w:rsid w:val="0DEB7786"/>
    <w:rsid w:val="0DFAD051"/>
    <w:rsid w:val="0DFDF0FF"/>
    <w:rsid w:val="0E153D97"/>
    <w:rsid w:val="0E5139DF"/>
    <w:rsid w:val="0E5D218E"/>
    <w:rsid w:val="0E6147EF"/>
    <w:rsid w:val="0E91DF51"/>
    <w:rsid w:val="0E979CFC"/>
    <w:rsid w:val="0EA97965"/>
    <w:rsid w:val="0ED7A8DC"/>
    <w:rsid w:val="0EEE0FD3"/>
    <w:rsid w:val="0F06BB4D"/>
    <w:rsid w:val="0F0B59E2"/>
    <w:rsid w:val="0F156B6A"/>
    <w:rsid w:val="0F28B5FA"/>
    <w:rsid w:val="0F38AFBD"/>
    <w:rsid w:val="0F4DBD0C"/>
    <w:rsid w:val="0F64BCF2"/>
    <w:rsid w:val="0F6850B2"/>
    <w:rsid w:val="0F7D9AB8"/>
    <w:rsid w:val="0F83B3C2"/>
    <w:rsid w:val="0F991B9D"/>
    <w:rsid w:val="0F9E00BF"/>
    <w:rsid w:val="0FC4507C"/>
    <w:rsid w:val="0FCF4013"/>
    <w:rsid w:val="0FD12311"/>
    <w:rsid w:val="0FD26F05"/>
    <w:rsid w:val="0FD719F1"/>
    <w:rsid w:val="0FE904F3"/>
    <w:rsid w:val="100066EF"/>
    <w:rsid w:val="100B8444"/>
    <w:rsid w:val="101109AD"/>
    <w:rsid w:val="101E1A72"/>
    <w:rsid w:val="104E7C46"/>
    <w:rsid w:val="10617F53"/>
    <w:rsid w:val="107680D4"/>
    <w:rsid w:val="107C850C"/>
    <w:rsid w:val="1080BAB5"/>
    <w:rsid w:val="108D15E7"/>
    <w:rsid w:val="108F9B4F"/>
    <w:rsid w:val="1092DE0F"/>
    <w:rsid w:val="109DA51F"/>
    <w:rsid w:val="10A965FD"/>
    <w:rsid w:val="10B649FF"/>
    <w:rsid w:val="10BE9A2D"/>
    <w:rsid w:val="10CC7806"/>
    <w:rsid w:val="10D7D0FA"/>
    <w:rsid w:val="10E0FE6D"/>
    <w:rsid w:val="10ECAF44"/>
    <w:rsid w:val="10F4233F"/>
    <w:rsid w:val="10F6EDB2"/>
    <w:rsid w:val="11073F3D"/>
    <w:rsid w:val="1107B1DC"/>
    <w:rsid w:val="11249F7D"/>
    <w:rsid w:val="11299C0B"/>
    <w:rsid w:val="1131FFA6"/>
    <w:rsid w:val="11469A70"/>
    <w:rsid w:val="114E955B"/>
    <w:rsid w:val="116A95E7"/>
    <w:rsid w:val="11A0DF72"/>
    <w:rsid w:val="11B15AC2"/>
    <w:rsid w:val="11B90C6C"/>
    <w:rsid w:val="11DD1905"/>
    <w:rsid w:val="11E89BAB"/>
    <w:rsid w:val="11EF24A2"/>
    <w:rsid w:val="11F6DEBF"/>
    <w:rsid w:val="120125EB"/>
    <w:rsid w:val="120AA428"/>
    <w:rsid w:val="120CD0B1"/>
    <w:rsid w:val="1214DBCC"/>
    <w:rsid w:val="1217A812"/>
    <w:rsid w:val="122558CA"/>
    <w:rsid w:val="1225D531"/>
    <w:rsid w:val="12310858"/>
    <w:rsid w:val="124581CF"/>
    <w:rsid w:val="1248FD07"/>
    <w:rsid w:val="124C9344"/>
    <w:rsid w:val="1251C0B5"/>
    <w:rsid w:val="126029E1"/>
    <w:rsid w:val="127501DC"/>
    <w:rsid w:val="1277FC3A"/>
    <w:rsid w:val="127D04E8"/>
    <w:rsid w:val="128AFBC3"/>
    <w:rsid w:val="12902F46"/>
    <w:rsid w:val="12AB63E8"/>
    <w:rsid w:val="12B8EDF7"/>
    <w:rsid w:val="12E0FE21"/>
    <w:rsid w:val="12E63D2F"/>
    <w:rsid w:val="12E8FA75"/>
    <w:rsid w:val="12F0380D"/>
    <w:rsid w:val="12F3EF39"/>
    <w:rsid w:val="12FCA6C5"/>
    <w:rsid w:val="12FEB5B6"/>
    <w:rsid w:val="1302DCE4"/>
    <w:rsid w:val="13090F91"/>
    <w:rsid w:val="13175DAD"/>
    <w:rsid w:val="131E185A"/>
    <w:rsid w:val="131F0A56"/>
    <w:rsid w:val="135BB4C6"/>
    <w:rsid w:val="13624496"/>
    <w:rsid w:val="136D86E0"/>
    <w:rsid w:val="136DFFF4"/>
    <w:rsid w:val="137CB49C"/>
    <w:rsid w:val="13882173"/>
    <w:rsid w:val="13954A6E"/>
    <w:rsid w:val="139635BB"/>
    <w:rsid w:val="1396F812"/>
    <w:rsid w:val="13A6E3AB"/>
    <w:rsid w:val="13B959CB"/>
    <w:rsid w:val="13BDA004"/>
    <w:rsid w:val="13BEA2F7"/>
    <w:rsid w:val="13C7D30D"/>
    <w:rsid w:val="13D49F2C"/>
    <w:rsid w:val="13EA4F85"/>
    <w:rsid w:val="13F2D581"/>
    <w:rsid w:val="14088CCE"/>
    <w:rsid w:val="142150EB"/>
    <w:rsid w:val="142670C7"/>
    <w:rsid w:val="143270D1"/>
    <w:rsid w:val="143D1F74"/>
    <w:rsid w:val="1455181D"/>
    <w:rsid w:val="148C8386"/>
    <w:rsid w:val="14919FA7"/>
    <w:rsid w:val="1491C639"/>
    <w:rsid w:val="14B7F80C"/>
    <w:rsid w:val="14B97F4B"/>
    <w:rsid w:val="14D9ABE2"/>
    <w:rsid w:val="14E59EC3"/>
    <w:rsid w:val="14F23C9C"/>
    <w:rsid w:val="15026D5E"/>
    <w:rsid w:val="151B4FEB"/>
    <w:rsid w:val="151F335F"/>
    <w:rsid w:val="152A1AAB"/>
    <w:rsid w:val="15356793"/>
    <w:rsid w:val="15446646"/>
    <w:rsid w:val="154FF9C2"/>
    <w:rsid w:val="1559A152"/>
    <w:rsid w:val="156272D6"/>
    <w:rsid w:val="156D5740"/>
    <w:rsid w:val="156FE8C3"/>
    <w:rsid w:val="1599AFDB"/>
    <w:rsid w:val="15B1CD38"/>
    <w:rsid w:val="15B99346"/>
    <w:rsid w:val="15C8971F"/>
    <w:rsid w:val="15CE1B96"/>
    <w:rsid w:val="15D75CDD"/>
    <w:rsid w:val="15E0F264"/>
    <w:rsid w:val="15EEBB46"/>
    <w:rsid w:val="15FBB917"/>
    <w:rsid w:val="15FD53A2"/>
    <w:rsid w:val="160F49F2"/>
    <w:rsid w:val="161224A3"/>
    <w:rsid w:val="16144E36"/>
    <w:rsid w:val="163232A4"/>
    <w:rsid w:val="163B2139"/>
    <w:rsid w:val="163BAE22"/>
    <w:rsid w:val="1641AF1F"/>
    <w:rsid w:val="16427D3C"/>
    <w:rsid w:val="1651278B"/>
    <w:rsid w:val="16578F45"/>
    <w:rsid w:val="165BDEEF"/>
    <w:rsid w:val="165DA3A6"/>
    <w:rsid w:val="166AF3DE"/>
    <w:rsid w:val="16886812"/>
    <w:rsid w:val="1695A6DC"/>
    <w:rsid w:val="16A5EC14"/>
    <w:rsid w:val="16B23C95"/>
    <w:rsid w:val="16D12D02"/>
    <w:rsid w:val="16E169B8"/>
    <w:rsid w:val="16E8DD83"/>
    <w:rsid w:val="1707BA4D"/>
    <w:rsid w:val="1717FB98"/>
    <w:rsid w:val="171F49F6"/>
    <w:rsid w:val="1731811C"/>
    <w:rsid w:val="173404C8"/>
    <w:rsid w:val="1742560A"/>
    <w:rsid w:val="174E9B47"/>
    <w:rsid w:val="17758AFC"/>
    <w:rsid w:val="1778B43A"/>
    <w:rsid w:val="17891309"/>
    <w:rsid w:val="17A03562"/>
    <w:rsid w:val="17A10807"/>
    <w:rsid w:val="17A4E3E0"/>
    <w:rsid w:val="17B23824"/>
    <w:rsid w:val="17B274B1"/>
    <w:rsid w:val="17B5EE95"/>
    <w:rsid w:val="17BF6760"/>
    <w:rsid w:val="17DEABFD"/>
    <w:rsid w:val="17E665CB"/>
    <w:rsid w:val="17EC141F"/>
    <w:rsid w:val="17EC5DB5"/>
    <w:rsid w:val="18146940"/>
    <w:rsid w:val="181D5F57"/>
    <w:rsid w:val="1826DCE2"/>
    <w:rsid w:val="182B3B1C"/>
    <w:rsid w:val="183A862C"/>
    <w:rsid w:val="1845E930"/>
    <w:rsid w:val="1851B78A"/>
    <w:rsid w:val="18581BB3"/>
    <w:rsid w:val="1859DA79"/>
    <w:rsid w:val="1859F7B5"/>
    <w:rsid w:val="185C446A"/>
    <w:rsid w:val="185EE6D7"/>
    <w:rsid w:val="1861DE50"/>
    <w:rsid w:val="186C27AC"/>
    <w:rsid w:val="18734456"/>
    <w:rsid w:val="1894EF23"/>
    <w:rsid w:val="189613FD"/>
    <w:rsid w:val="189C3544"/>
    <w:rsid w:val="18BE1E15"/>
    <w:rsid w:val="18C36608"/>
    <w:rsid w:val="18C97F46"/>
    <w:rsid w:val="18CA927E"/>
    <w:rsid w:val="18F44DF6"/>
    <w:rsid w:val="18F9DBD7"/>
    <w:rsid w:val="18FDA73B"/>
    <w:rsid w:val="1901EB6A"/>
    <w:rsid w:val="1935EF08"/>
    <w:rsid w:val="193CF66D"/>
    <w:rsid w:val="19408738"/>
    <w:rsid w:val="1945507A"/>
    <w:rsid w:val="195B8CF4"/>
    <w:rsid w:val="195C637B"/>
    <w:rsid w:val="19714535"/>
    <w:rsid w:val="197468F6"/>
    <w:rsid w:val="1978F70B"/>
    <w:rsid w:val="198931BA"/>
    <w:rsid w:val="1998AC88"/>
    <w:rsid w:val="19BBDE74"/>
    <w:rsid w:val="19BF98EB"/>
    <w:rsid w:val="19D0C308"/>
    <w:rsid w:val="19D44A31"/>
    <w:rsid w:val="19DAF6AE"/>
    <w:rsid w:val="19DFE0BE"/>
    <w:rsid w:val="19F003E3"/>
    <w:rsid w:val="1A14EF4B"/>
    <w:rsid w:val="1A195F0F"/>
    <w:rsid w:val="1A3068BF"/>
    <w:rsid w:val="1A358E22"/>
    <w:rsid w:val="1A4BDB6A"/>
    <w:rsid w:val="1A4C6216"/>
    <w:rsid w:val="1A4C70E0"/>
    <w:rsid w:val="1A501AFE"/>
    <w:rsid w:val="1A559989"/>
    <w:rsid w:val="1A5C85A7"/>
    <w:rsid w:val="1A785CBC"/>
    <w:rsid w:val="1A8115E0"/>
    <w:rsid w:val="1A851AC4"/>
    <w:rsid w:val="1A8C9594"/>
    <w:rsid w:val="1A9D0AF0"/>
    <w:rsid w:val="1A9DE329"/>
    <w:rsid w:val="1AB3D376"/>
    <w:rsid w:val="1AB4FCAA"/>
    <w:rsid w:val="1AD5A6F7"/>
    <w:rsid w:val="1AE9234E"/>
    <w:rsid w:val="1AF00C13"/>
    <w:rsid w:val="1B050D6A"/>
    <w:rsid w:val="1B24656F"/>
    <w:rsid w:val="1B2EAE7A"/>
    <w:rsid w:val="1B44F6B1"/>
    <w:rsid w:val="1B5A4A75"/>
    <w:rsid w:val="1B821A3F"/>
    <w:rsid w:val="1B849980"/>
    <w:rsid w:val="1B975317"/>
    <w:rsid w:val="1BA21FD4"/>
    <w:rsid w:val="1BA27BE4"/>
    <w:rsid w:val="1BBD345C"/>
    <w:rsid w:val="1BD1EAAC"/>
    <w:rsid w:val="1BD992F5"/>
    <w:rsid w:val="1BE1E7C9"/>
    <w:rsid w:val="1BE20099"/>
    <w:rsid w:val="1C00836C"/>
    <w:rsid w:val="1C015D75"/>
    <w:rsid w:val="1C0F6605"/>
    <w:rsid w:val="1C17CD87"/>
    <w:rsid w:val="1C1A3ED0"/>
    <w:rsid w:val="1C1EE4EC"/>
    <w:rsid w:val="1C23923D"/>
    <w:rsid w:val="1C28D5C4"/>
    <w:rsid w:val="1C3401EB"/>
    <w:rsid w:val="1C40F441"/>
    <w:rsid w:val="1C41FCAE"/>
    <w:rsid w:val="1C513FDC"/>
    <w:rsid w:val="1C567D89"/>
    <w:rsid w:val="1C7BFBCA"/>
    <w:rsid w:val="1C8A4564"/>
    <w:rsid w:val="1C8C13D1"/>
    <w:rsid w:val="1C8C93A3"/>
    <w:rsid w:val="1CA1F60F"/>
    <w:rsid w:val="1CAFCF05"/>
    <w:rsid w:val="1CB10132"/>
    <w:rsid w:val="1CB887D1"/>
    <w:rsid w:val="1CE8CB68"/>
    <w:rsid w:val="1CEE1F47"/>
    <w:rsid w:val="1CFA0372"/>
    <w:rsid w:val="1CFD6A69"/>
    <w:rsid w:val="1D0368F5"/>
    <w:rsid w:val="1D08EDEB"/>
    <w:rsid w:val="1D1408C6"/>
    <w:rsid w:val="1D18927F"/>
    <w:rsid w:val="1D20E48A"/>
    <w:rsid w:val="1D285BA4"/>
    <w:rsid w:val="1D381822"/>
    <w:rsid w:val="1D43154E"/>
    <w:rsid w:val="1D4383C2"/>
    <w:rsid w:val="1D4D3977"/>
    <w:rsid w:val="1D5AA41F"/>
    <w:rsid w:val="1D726306"/>
    <w:rsid w:val="1D89245C"/>
    <w:rsid w:val="1DA8FDF2"/>
    <w:rsid w:val="1DA9B550"/>
    <w:rsid w:val="1DC0163A"/>
    <w:rsid w:val="1DC42D47"/>
    <w:rsid w:val="1DC97559"/>
    <w:rsid w:val="1DD78293"/>
    <w:rsid w:val="1DD86DBE"/>
    <w:rsid w:val="1DD9E341"/>
    <w:rsid w:val="1DFD6732"/>
    <w:rsid w:val="1E0E3D63"/>
    <w:rsid w:val="1E23462C"/>
    <w:rsid w:val="1E2BC350"/>
    <w:rsid w:val="1E3413F8"/>
    <w:rsid w:val="1E393C9C"/>
    <w:rsid w:val="1E3CEC6A"/>
    <w:rsid w:val="1E437D87"/>
    <w:rsid w:val="1E4574D5"/>
    <w:rsid w:val="1E607DCC"/>
    <w:rsid w:val="1E701688"/>
    <w:rsid w:val="1E78B6C8"/>
    <w:rsid w:val="1E7DCED1"/>
    <w:rsid w:val="1E849468"/>
    <w:rsid w:val="1E86E467"/>
    <w:rsid w:val="1E89D794"/>
    <w:rsid w:val="1E8E85F0"/>
    <w:rsid w:val="1E9823E1"/>
    <w:rsid w:val="1EBD3043"/>
    <w:rsid w:val="1EBD8BA2"/>
    <w:rsid w:val="1EC4A4D0"/>
    <w:rsid w:val="1ED8D067"/>
    <w:rsid w:val="1EE19691"/>
    <w:rsid w:val="1EE306EC"/>
    <w:rsid w:val="1EF0E6F0"/>
    <w:rsid w:val="1EF96C7D"/>
    <w:rsid w:val="1F23F6CC"/>
    <w:rsid w:val="1F3FEF0D"/>
    <w:rsid w:val="1F736C5B"/>
    <w:rsid w:val="1F9A35B7"/>
    <w:rsid w:val="1F9E5424"/>
    <w:rsid w:val="1FADDE71"/>
    <w:rsid w:val="1FAED9F3"/>
    <w:rsid w:val="1FBB8DD6"/>
    <w:rsid w:val="1FBDFF42"/>
    <w:rsid w:val="1FC7C319"/>
    <w:rsid w:val="2027E103"/>
    <w:rsid w:val="202AAB75"/>
    <w:rsid w:val="2038F206"/>
    <w:rsid w:val="2054F6F4"/>
    <w:rsid w:val="20648B4D"/>
    <w:rsid w:val="207B7A61"/>
    <w:rsid w:val="20849C4D"/>
    <w:rsid w:val="20859917"/>
    <w:rsid w:val="208AA8A6"/>
    <w:rsid w:val="20AC3534"/>
    <w:rsid w:val="20B40845"/>
    <w:rsid w:val="20BA58EB"/>
    <w:rsid w:val="20BD7646"/>
    <w:rsid w:val="20C5CDEE"/>
    <w:rsid w:val="20D140F3"/>
    <w:rsid w:val="20D43BC2"/>
    <w:rsid w:val="20D66762"/>
    <w:rsid w:val="20D6C86B"/>
    <w:rsid w:val="20E0D434"/>
    <w:rsid w:val="20EDAB8A"/>
    <w:rsid w:val="20F0A25D"/>
    <w:rsid w:val="2108DBFF"/>
    <w:rsid w:val="210CBE81"/>
    <w:rsid w:val="211563BC"/>
    <w:rsid w:val="211D3B28"/>
    <w:rsid w:val="212BD5C5"/>
    <w:rsid w:val="212E0223"/>
    <w:rsid w:val="2142BC08"/>
    <w:rsid w:val="21554EE5"/>
    <w:rsid w:val="215CD3CB"/>
    <w:rsid w:val="215F54E0"/>
    <w:rsid w:val="21644997"/>
    <w:rsid w:val="2171043D"/>
    <w:rsid w:val="217A0B10"/>
    <w:rsid w:val="21824723"/>
    <w:rsid w:val="219524E4"/>
    <w:rsid w:val="219C254A"/>
    <w:rsid w:val="21A93A95"/>
    <w:rsid w:val="21BC27F8"/>
    <w:rsid w:val="21C3E216"/>
    <w:rsid w:val="21C5C54E"/>
    <w:rsid w:val="21D11AA6"/>
    <w:rsid w:val="21D14C5A"/>
    <w:rsid w:val="21D62FA6"/>
    <w:rsid w:val="21DBC25F"/>
    <w:rsid w:val="21F74294"/>
    <w:rsid w:val="22042DB2"/>
    <w:rsid w:val="2207F572"/>
    <w:rsid w:val="220F87FD"/>
    <w:rsid w:val="22136275"/>
    <w:rsid w:val="221C5860"/>
    <w:rsid w:val="2227EE01"/>
    <w:rsid w:val="2239500F"/>
    <w:rsid w:val="2242BA97"/>
    <w:rsid w:val="225C3766"/>
    <w:rsid w:val="22612632"/>
    <w:rsid w:val="22678498"/>
    <w:rsid w:val="226BF32A"/>
    <w:rsid w:val="2271140B"/>
    <w:rsid w:val="229957C0"/>
    <w:rsid w:val="229D19FC"/>
    <w:rsid w:val="22AE49C4"/>
    <w:rsid w:val="22AE8730"/>
    <w:rsid w:val="22D5F9B3"/>
    <w:rsid w:val="22DB7600"/>
    <w:rsid w:val="22EC5887"/>
    <w:rsid w:val="22FE6438"/>
    <w:rsid w:val="23157BF6"/>
    <w:rsid w:val="233808BA"/>
    <w:rsid w:val="2338E4A1"/>
    <w:rsid w:val="235EF07F"/>
    <w:rsid w:val="236408D9"/>
    <w:rsid w:val="2370D811"/>
    <w:rsid w:val="23711C8B"/>
    <w:rsid w:val="237C1D1A"/>
    <w:rsid w:val="237CD5AA"/>
    <w:rsid w:val="2381DA72"/>
    <w:rsid w:val="2389082C"/>
    <w:rsid w:val="2390413E"/>
    <w:rsid w:val="23AEACF9"/>
    <w:rsid w:val="23C3B9EE"/>
    <w:rsid w:val="23C97F7A"/>
    <w:rsid w:val="23CF0F60"/>
    <w:rsid w:val="23D836D4"/>
    <w:rsid w:val="23E96770"/>
    <w:rsid w:val="23F15855"/>
    <w:rsid w:val="23FE69CB"/>
    <w:rsid w:val="24043397"/>
    <w:rsid w:val="24277CBD"/>
    <w:rsid w:val="2431294D"/>
    <w:rsid w:val="243E3C3E"/>
    <w:rsid w:val="24497413"/>
    <w:rsid w:val="24531292"/>
    <w:rsid w:val="24533A1A"/>
    <w:rsid w:val="246727E9"/>
    <w:rsid w:val="246AAEC1"/>
    <w:rsid w:val="246E2012"/>
    <w:rsid w:val="247E6306"/>
    <w:rsid w:val="248C5A39"/>
    <w:rsid w:val="249BF61B"/>
    <w:rsid w:val="24B59104"/>
    <w:rsid w:val="24BDD90B"/>
    <w:rsid w:val="24C38131"/>
    <w:rsid w:val="24C3932E"/>
    <w:rsid w:val="24E14F9D"/>
    <w:rsid w:val="24E2B956"/>
    <w:rsid w:val="2503FE02"/>
    <w:rsid w:val="25049F4E"/>
    <w:rsid w:val="250A2A88"/>
    <w:rsid w:val="25147C1A"/>
    <w:rsid w:val="2515B0CE"/>
    <w:rsid w:val="2534FD45"/>
    <w:rsid w:val="2539CB36"/>
    <w:rsid w:val="2543FA62"/>
    <w:rsid w:val="2546BFED"/>
    <w:rsid w:val="25539A1F"/>
    <w:rsid w:val="2553A648"/>
    <w:rsid w:val="2560D722"/>
    <w:rsid w:val="2562C6F0"/>
    <w:rsid w:val="256CEAA9"/>
    <w:rsid w:val="259232E7"/>
    <w:rsid w:val="2593279B"/>
    <w:rsid w:val="25A33ED4"/>
    <w:rsid w:val="25AB1FBC"/>
    <w:rsid w:val="25ACA3EF"/>
    <w:rsid w:val="25B19C68"/>
    <w:rsid w:val="25B6DCFC"/>
    <w:rsid w:val="25C1A4A0"/>
    <w:rsid w:val="25C40C2F"/>
    <w:rsid w:val="25CC6EB3"/>
    <w:rsid w:val="25E4F155"/>
    <w:rsid w:val="260EF4BE"/>
    <w:rsid w:val="2617A23F"/>
    <w:rsid w:val="2638C9C5"/>
    <w:rsid w:val="263EB985"/>
    <w:rsid w:val="26607385"/>
    <w:rsid w:val="267F8DEF"/>
    <w:rsid w:val="2693B65B"/>
    <w:rsid w:val="26A12BDF"/>
    <w:rsid w:val="26A6AA9A"/>
    <w:rsid w:val="26A71F78"/>
    <w:rsid w:val="26C58526"/>
    <w:rsid w:val="26D3672E"/>
    <w:rsid w:val="2700CC1D"/>
    <w:rsid w:val="2707B3CB"/>
    <w:rsid w:val="270A0C89"/>
    <w:rsid w:val="270A80E2"/>
    <w:rsid w:val="275F74BB"/>
    <w:rsid w:val="27772BF9"/>
    <w:rsid w:val="27796E23"/>
    <w:rsid w:val="27816303"/>
    <w:rsid w:val="2782C54B"/>
    <w:rsid w:val="27927C33"/>
    <w:rsid w:val="27999355"/>
    <w:rsid w:val="279B593F"/>
    <w:rsid w:val="279EE276"/>
    <w:rsid w:val="27AB405E"/>
    <w:rsid w:val="27B042B3"/>
    <w:rsid w:val="27B428A0"/>
    <w:rsid w:val="27B60103"/>
    <w:rsid w:val="27C041E2"/>
    <w:rsid w:val="27C77E00"/>
    <w:rsid w:val="27C8C001"/>
    <w:rsid w:val="27CDE50C"/>
    <w:rsid w:val="280AEF05"/>
    <w:rsid w:val="28239FAE"/>
    <w:rsid w:val="282A634A"/>
    <w:rsid w:val="283EC37F"/>
    <w:rsid w:val="283EDC31"/>
    <w:rsid w:val="28440203"/>
    <w:rsid w:val="28490FD5"/>
    <w:rsid w:val="2858C4F2"/>
    <w:rsid w:val="2863A7A4"/>
    <w:rsid w:val="286CFCC9"/>
    <w:rsid w:val="2871FDDD"/>
    <w:rsid w:val="28A384D2"/>
    <w:rsid w:val="28B1852B"/>
    <w:rsid w:val="28B41EBF"/>
    <w:rsid w:val="28C74F9A"/>
    <w:rsid w:val="28CE25BA"/>
    <w:rsid w:val="28D62F8C"/>
    <w:rsid w:val="28E70231"/>
    <w:rsid w:val="28EC4D1F"/>
    <w:rsid w:val="28F3C7EC"/>
    <w:rsid w:val="28F5A93F"/>
    <w:rsid w:val="28F9D66B"/>
    <w:rsid w:val="2909D1BE"/>
    <w:rsid w:val="290A272B"/>
    <w:rsid w:val="293A90BD"/>
    <w:rsid w:val="294F0B66"/>
    <w:rsid w:val="297BB986"/>
    <w:rsid w:val="2980BDA4"/>
    <w:rsid w:val="298C99EE"/>
    <w:rsid w:val="299F95F9"/>
    <w:rsid w:val="29B15150"/>
    <w:rsid w:val="29BADA35"/>
    <w:rsid w:val="29F70116"/>
    <w:rsid w:val="29FA4EF8"/>
    <w:rsid w:val="2A150F7D"/>
    <w:rsid w:val="2A24BBF4"/>
    <w:rsid w:val="2A35F0D6"/>
    <w:rsid w:val="2A484C8C"/>
    <w:rsid w:val="2A5CA4B3"/>
    <w:rsid w:val="2A740993"/>
    <w:rsid w:val="2A7B9341"/>
    <w:rsid w:val="2A80A588"/>
    <w:rsid w:val="2A956195"/>
    <w:rsid w:val="2A9652C1"/>
    <w:rsid w:val="2AA038DA"/>
    <w:rsid w:val="2AA0E11D"/>
    <w:rsid w:val="2AABC4B0"/>
    <w:rsid w:val="2AAFE23A"/>
    <w:rsid w:val="2AB770E8"/>
    <w:rsid w:val="2AB86BF0"/>
    <w:rsid w:val="2ABFC20B"/>
    <w:rsid w:val="2AC56E08"/>
    <w:rsid w:val="2AD3999D"/>
    <w:rsid w:val="2AD5CC66"/>
    <w:rsid w:val="2AEC650A"/>
    <w:rsid w:val="2AF0F2C4"/>
    <w:rsid w:val="2AF4EA98"/>
    <w:rsid w:val="2AFCF971"/>
    <w:rsid w:val="2B02A1A9"/>
    <w:rsid w:val="2B0891AD"/>
    <w:rsid w:val="2B0D7AD5"/>
    <w:rsid w:val="2B1DF908"/>
    <w:rsid w:val="2B3BAE11"/>
    <w:rsid w:val="2B410F82"/>
    <w:rsid w:val="2B49BFB1"/>
    <w:rsid w:val="2B545745"/>
    <w:rsid w:val="2B6645A2"/>
    <w:rsid w:val="2B68E2D6"/>
    <w:rsid w:val="2B7D5EEE"/>
    <w:rsid w:val="2B8B7921"/>
    <w:rsid w:val="2B8F9C4B"/>
    <w:rsid w:val="2B9E163A"/>
    <w:rsid w:val="2B9E4704"/>
    <w:rsid w:val="2B9FDADE"/>
    <w:rsid w:val="2BB1A2C1"/>
    <w:rsid w:val="2BCC9533"/>
    <w:rsid w:val="2BD27786"/>
    <w:rsid w:val="2BD9AE4D"/>
    <w:rsid w:val="2BDA4F1B"/>
    <w:rsid w:val="2BE0BB5C"/>
    <w:rsid w:val="2BE495B8"/>
    <w:rsid w:val="2BE51CAF"/>
    <w:rsid w:val="2BF114C0"/>
    <w:rsid w:val="2C106AEB"/>
    <w:rsid w:val="2C137DB3"/>
    <w:rsid w:val="2C14D6DC"/>
    <w:rsid w:val="2C35986A"/>
    <w:rsid w:val="2C368B53"/>
    <w:rsid w:val="2C4A5C4F"/>
    <w:rsid w:val="2C5B4881"/>
    <w:rsid w:val="2C6F8AB3"/>
    <w:rsid w:val="2C7B8539"/>
    <w:rsid w:val="2C84871B"/>
    <w:rsid w:val="2C87963B"/>
    <w:rsid w:val="2C907963"/>
    <w:rsid w:val="2CB12384"/>
    <w:rsid w:val="2CB2DF97"/>
    <w:rsid w:val="2CCF6FEF"/>
    <w:rsid w:val="2D115548"/>
    <w:rsid w:val="2D18866A"/>
    <w:rsid w:val="2D24DE0D"/>
    <w:rsid w:val="2D30662C"/>
    <w:rsid w:val="2D340363"/>
    <w:rsid w:val="2D3B5538"/>
    <w:rsid w:val="2D45A8BB"/>
    <w:rsid w:val="2D4B4871"/>
    <w:rsid w:val="2D5DB748"/>
    <w:rsid w:val="2D614E1B"/>
    <w:rsid w:val="2D642B15"/>
    <w:rsid w:val="2D82107C"/>
    <w:rsid w:val="2D832C72"/>
    <w:rsid w:val="2DAAE8EC"/>
    <w:rsid w:val="2DBAB89E"/>
    <w:rsid w:val="2DC3808A"/>
    <w:rsid w:val="2DD41068"/>
    <w:rsid w:val="2DD93B95"/>
    <w:rsid w:val="2DDE1DEF"/>
    <w:rsid w:val="2DE8AC0F"/>
    <w:rsid w:val="2DEC2793"/>
    <w:rsid w:val="2DFFD6FF"/>
    <w:rsid w:val="2E0C9873"/>
    <w:rsid w:val="2E1395D6"/>
    <w:rsid w:val="2E30189C"/>
    <w:rsid w:val="2E3CCF4C"/>
    <w:rsid w:val="2E6BD31C"/>
    <w:rsid w:val="2E6D028C"/>
    <w:rsid w:val="2E85CB0C"/>
    <w:rsid w:val="2E9F0888"/>
    <w:rsid w:val="2EA00CB9"/>
    <w:rsid w:val="2EA3EC46"/>
    <w:rsid w:val="2EA49393"/>
    <w:rsid w:val="2EA85EB8"/>
    <w:rsid w:val="2EAA2793"/>
    <w:rsid w:val="2EBB00A7"/>
    <w:rsid w:val="2EC2C967"/>
    <w:rsid w:val="2ED8E272"/>
    <w:rsid w:val="2EE705F0"/>
    <w:rsid w:val="2EE76B07"/>
    <w:rsid w:val="2EF1BD2C"/>
    <w:rsid w:val="2EFE3437"/>
    <w:rsid w:val="2F1DB7EA"/>
    <w:rsid w:val="2F342FC7"/>
    <w:rsid w:val="2F455ED8"/>
    <w:rsid w:val="2F45D4A8"/>
    <w:rsid w:val="2F51CDF4"/>
    <w:rsid w:val="2F572B73"/>
    <w:rsid w:val="2F59866B"/>
    <w:rsid w:val="2F68754F"/>
    <w:rsid w:val="2F775E16"/>
    <w:rsid w:val="2F79E2F7"/>
    <w:rsid w:val="2F79FEFD"/>
    <w:rsid w:val="2F7BA478"/>
    <w:rsid w:val="2F7E4609"/>
    <w:rsid w:val="2F856041"/>
    <w:rsid w:val="2F8A05EB"/>
    <w:rsid w:val="2F8E7331"/>
    <w:rsid w:val="2F91D969"/>
    <w:rsid w:val="2FA27474"/>
    <w:rsid w:val="2FA46070"/>
    <w:rsid w:val="2FA8050A"/>
    <w:rsid w:val="2FA8F2FB"/>
    <w:rsid w:val="2FAF1E7B"/>
    <w:rsid w:val="2FD73841"/>
    <w:rsid w:val="2FDFC87A"/>
    <w:rsid w:val="2FE108F8"/>
    <w:rsid w:val="2FECC707"/>
    <w:rsid w:val="2FF6EB63"/>
    <w:rsid w:val="3011DD07"/>
    <w:rsid w:val="302352EB"/>
    <w:rsid w:val="30299E60"/>
    <w:rsid w:val="303D1C45"/>
    <w:rsid w:val="304014C5"/>
    <w:rsid w:val="304B64C2"/>
    <w:rsid w:val="30670595"/>
    <w:rsid w:val="3068DEBD"/>
    <w:rsid w:val="307B4CED"/>
    <w:rsid w:val="309E6710"/>
    <w:rsid w:val="30A87B08"/>
    <w:rsid w:val="30BAF17D"/>
    <w:rsid w:val="30E16471"/>
    <w:rsid w:val="30E557A0"/>
    <w:rsid w:val="30E68A20"/>
    <w:rsid w:val="30E8A756"/>
    <w:rsid w:val="30E972A1"/>
    <w:rsid w:val="30F1411B"/>
    <w:rsid w:val="30F9DF42"/>
    <w:rsid w:val="30FBAB28"/>
    <w:rsid w:val="3101A3C7"/>
    <w:rsid w:val="3106FA6C"/>
    <w:rsid w:val="31200E1F"/>
    <w:rsid w:val="312A1E55"/>
    <w:rsid w:val="312E8A08"/>
    <w:rsid w:val="3130F7EB"/>
    <w:rsid w:val="313249B6"/>
    <w:rsid w:val="3141E913"/>
    <w:rsid w:val="314410D8"/>
    <w:rsid w:val="314EAF13"/>
    <w:rsid w:val="31647D57"/>
    <w:rsid w:val="31764768"/>
    <w:rsid w:val="317F5F80"/>
    <w:rsid w:val="319B1636"/>
    <w:rsid w:val="31A636CE"/>
    <w:rsid w:val="31ACD264"/>
    <w:rsid w:val="31AF6C04"/>
    <w:rsid w:val="31DEC418"/>
    <w:rsid w:val="31E5803B"/>
    <w:rsid w:val="31E61FF6"/>
    <w:rsid w:val="31F3A37E"/>
    <w:rsid w:val="31F71655"/>
    <w:rsid w:val="31FA848B"/>
    <w:rsid w:val="32225458"/>
    <w:rsid w:val="32366401"/>
    <w:rsid w:val="3250583F"/>
    <w:rsid w:val="3259D0C5"/>
    <w:rsid w:val="325AEEE4"/>
    <w:rsid w:val="32667A4E"/>
    <w:rsid w:val="3273F598"/>
    <w:rsid w:val="3275BD37"/>
    <w:rsid w:val="32854444"/>
    <w:rsid w:val="328ABFE2"/>
    <w:rsid w:val="32923E6D"/>
    <w:rsid w:val="3298D907"/>
    <w:rsid w:val="32A38FDF"/>
    <w:rsid w:val="32A8F624"/>
    <w:rsid w:val="32B1565F"/>
    <w:rsid w:val="32B64F9F"/>
    <w:rsid w:val="32C0658E"/>
    <w:rsid w:val="32C4D423"/>
    <w:rsid w:val="32D57D19"/>
    <w:rsid w:val="32DE6513"/>
    <w:rsid w:val="32E28626"/>
    <w:rsid w:val="32E7CE5C"/>
    <w:rsid w:val="330828A2"/>
    <w:rsid w:val="3308CC63"/>
    <w:rsid w:val="332730C8"/>
    <w:rsid w:val="332D80EE"/>
    <w:rsid w:val="332FE64E"/>
    <w:rsid w:val="333E49C2"/>
    <w:rsid w:val="333EB400"/>
    <w:rsid w:val="3340DC88"/>
    <w:rsid w:val="33432AE2"/>
    <w:rsid w:val="3343EBAC"/>
    <w:rsid w:val="33464737"/>
    <w:rsid w:val="334F2B08"/>
    <w:rsid w:val="33518C1E"/>
    <w:rsid w:val="3363DE22"/>
    <w:rsid w:val="33692B59"/>
    <w:rsid w:val="336C8E43"/>
    <w:rsid w:val="337A80C1"/>
    <w:rsid w:val="3388AE25"/>
    <w:rsid w:val="338C08CD"/>
    <w:rsid w:val="338C69F4"/>
    <w:rsid w:val="338D0C47"/>
    <w:rsid w:val="339B8FA2"/>
    <w:rsid w:val="339E3A6C"/>
    <w:rsid w:val="33AB79DB"/>
    <w:rsid w:val="33D86C1E"/>
    <w:rsid w:val="33E60068"/>
    <w:rsid w:val="33E7F294"/>
    <w:rsid w:val="33F3A00F"/>
    <w:rsid w:val="3402EC3D"/>
    <w:rsid w:val="34040B70"/>
    <w:rsid w:val="341D8CE5"/>
    <w:rsid w:val="3426F6E1"/>
    <w:rsid w:val="34286ABA"/>
    <w:rsid w:val="342C311D"/>
    <w:rsid w:val="342D0CD9"/>
    <w:rsid w:val="345210DA"/>
    <w:rsid w:val="345389D4"/>
    <w:rsid w:val="3468EA47"/>
    <w:rsid w:val="3484D1FB"/>
    <w:rsid w:val="349546BF"/>
    <w:rsid w:val="349A660B"/>
    <w:rsid w:val="349D9598"/>
    <w:rsid w:val="34AF7007"/>
    <w:rsid w:val="34B208E9"/>
    <w:rsid w:val="34B713A9"/>
    <w:rsid w:val="34B7CE27"/>
    <w:rsid w:val="34C81D6A"/>
    <w:rsid w:val="34D0746D"/>
    <w:rsid w:val="34E84928"/>
    <w:rsid w:val="34F3FB20"/>
    <w:rsid w:val="34FA5AD3"/>
    <w:rsid w:val="3512BBE4"/>
    <w:rsid w:val="35390CB9"/>
    <w:rsid w:val="353AAEDB"/>
    <w:rsid w:val="3540C435"/>
    <w:rsid w:val="3550E0B3"/>
    <w:rsid w:val="355AC748"/>
    <w:rsid w:val="356A3D08"/>
    <w:rsid w:val="356BA095"/>
    <w:rsid w:val="358459B2"/>
    <w:rsid w:val="3584EF3D"/>
    <w:rsid w:val="35894E44"/>
    <w:rsid w:val="358D11EE"/>
    <w:rsid w:val="35A49047"/>
    <w:rsid w:val="35AFDDD5"/>
    <w:rsid w:val="35B002F8"/>
    <w:rsid w:val="35B769C7"/>
    <w:rsid w:val="35BAC798"/>
    <w:rsid w:val="35C383B9"/>
    <w:rsid w:val="35E0C775"/>
    <w:rsid w:val="35F1AA32"/>
    <w:rsid w:val="36074893"/>
    <w:rsid w:val="3612EE29"/>
    <w:rsid w:val="361B758A"/>
    <w:rsid w:val="3629F9E0"/>
    <w:rsid w:val="3631F49F"/>
    <w:rsid w:val="36362243"/>
    <w:rsid w:val="36394D03"/>
    <w:rsid w:val="364CD880"/>
    <w:rsid w:val="3650AE0A"/>
    <w:rsid w:val="3658513B"/>
    <w:rsid w:val="365B834F"/>
    <w:rsid w:val="36667D02"/>
    <w:rsid w:val="366A6EFC"/>
    <w:rsid w:val="366DD822"/>
    <w:rsid w:val="36A746D8"/>
    <w:rsid w:val="36AFA4E4"/>
    <w:rsid w:val="36BAA295"/>
    <w:rsid w:val="36BCC490"/>
    <w:rsid w:val="36C1F29B"/>
    <w:rsid w:val="36C89DDC"/>
    <w:rsid w:val="36FE74F6"/>
    <w:rsid w:val="36FF47E6"/>
    <w:rsid w:val="37049D2B"/>
    <w:rsid w:val="3704CF48"/>
    <w:rsid w:val="371ADCD2"/>
    <w:rsid w:val="37224588"/>
    <w:rsid w:val="3735AF89"/>
    <w:rsid w:val="373C5F5B"/>
    <w:rsid w:val="373FF5B1"/>
    <w:rsid w:val="37473E04"/>
    <w:rsid w:val="375D3816"/>
    <w:rsid w:val="3765FBA3"/>
    <w:rsid w:val="37735528"/>
    <w:rsid w:val="378045EF"/>
    <w:rsid w:val="379EB373"/>
    <w:rsid w:val="37A5625B"/>
    <w:rsid w:val="37A8C12A"/>
    <w:rsid w:val="37B2D8A6"/>
    <w:rsid w:val="37BBD882"/>
    <w:rsid w:val="37C636A8"/>
    <w:rsid w:val="37D0449E"/>
    <w:rsid w:val="37D10627"/>
    <w:rsid w:val="37D35CC1"/>
    <w:rsid w:val="37D4229C"/>
    <w:rsid w:val="37FAF415"/>
    <w:rsid w:val="381C0906"/>
    <w:rsid w:val="3828CC3B"/>
    <w:rsid w:val="382CCEA6"/>
    <w:rsid w:val="382DBD53"/>
    <w:rsid w:val="382DEFD9"/>
    <w:rsid w:val="383DC247"/>
    <w:rsid w:val="38539894"/>
    <w:rsid w:val="3857F7FB"/>
    <w:rsid w:val="3859BA3E"/>
    <w:rsid w:val="38638849"/>
    <w:rsid w:val="38789C38"/>
    <w:rsid w:val="3878AFEF"/>
    <w:rsid w:val="388C921A"/>
    <w:rsid w:val="38946286"/>
    <w:rsid w:val="389B96C3"/>
    <w:rsid w:val="389BA3AA"/>
    <w:rsid w:val="38AF3072"/>
    <w:rsid w:val="38B280D6"/>
    <w:rsid w:val="38B9297D"/>
    <w:rsid w:val="38C57646"/>
    <w:rsid w:val="38CC0E78"/>
    <w:rsid w:val="38D27848"/>
    <w:rsid w:val="38DEE91C"/>
    <w:rsid w:val="38E08856"/>
    <w:rsid w:val="38E6625D"/>
    <w:rsid w:val="38EB74E4"/>
    <w:rsid w:val="38FD5B57"/>
    <w:rsid w:val="39062E22"/>
    <w:rsid w:val="390BF021"/>
    <w:rsid w:val="39171029"/>
    <w:rsid w:val="392BB678"/>
    <w:rsid w:val="3935A64A"/>
    <w:rsid w:val="39389570"/>
    <w:rsid w:val="3941D584"/>
    <w:rsid w:val="3958B828"/>
    <w:rsid w:val="39602EB4"/>
    <w:rsid w:val="396508DC"/>
    <w:rsid w:val="39724372"/>
    <w:rsid w:val="3984C246"/>
    <w:rsid w:val="39A6575A"/>
    <w:rsid w:val="39AE4CA0"/>
    <w:rsid w:val="39BE002B"/>
    <w:rsid w:val="39C626ED"/>
    <w:rsid w:val="39C67019"/>
    <w:rsid w:val="39CDC93A"/>
    <w:rsid w:val="39F8BEFE"/>
    <w:rsid w:val="3A02B9B8"/>
    <w:rsid w:val="3A03EC8A"/>
    <w:rsid w:val="3A07699F"/>
    <w:rsid w:val="3A0C1FA5"/>
    <w:rsid w:val="3A2457C2"/>
    <w:rsid w:val="3A28A25C"/>
    <w:rsid w:val="3A5D6EBD"/>
    <w:rsid w:val="3A61FB45"/>
    <w:rsid w:val="3A63C6F1"/>
    <w:rsid w:val="3A710864"/>
    <w:rsid w:val="3A7927C0"/>
    <w:rsid w:val="3A7D5F37"/>
    <w:rsid w:val="3A7DC98F"/>
    <w:rsid w:val="3A8A060F"/>
    <w:rsid w:val="3A9CE941"/>
    <w:rsid w:val="3AA4AC7C"/>
    <w:rsid w:val="3AB7FCE1"/>
    <w:rsid w:val="3ABB6189"/>
    <w:rsid w:val="3ABC303C"/>
    <w:rsid w:val="3AC5FAB7"/>
    <w:rsid w:val="3AD6CCD9"/>
    <w:rsid w:val="3AE2D431"/>
    <w:rsid w:val="3AFE3E4F"/>
    <w:rsid w:val="3B005610"/>
    <w:rsid w:val="3B133248"/>
    <w:rsid w:val="3B138F23"/>
    <w:rsid w:val="3B218074"/>
    <w:rsid w:val="3B377F69"/>
    <w:rsid w:val="3B51D12C"/>
    <w:rsid w:val="3B60D98D"/>
    <w:rsid w:val="3B6A861D"/>
    <w:rsid w:val="3B74D54C"/>
    <w:rsid w:val="3B7BFD43"/>
    <w:rsid w:val="3B84B003"/>
    <w:rsid w:val="3B8D25D9"/>
    <w:rsid w:val="3B8FACA3"/>
    <w:rsid w:val="3BAC0718"/>
    <w:rsid w:val="3BB49AFA"/>
    <w:rsid w:val="3BD623D2"/>
    <w:rsid w:val="3BE764DD"/>
    <w:rsid w:val="3C0C8A6D"/>
    <w:rsid w:val="3C1401E1"/>
    <w:rsid w:val="3C2F4AA7"/>
    <w:rsid w:val="3C364107"/>
    <w:rsid w:val="3C40685B"/>
    <w:rsid w:val="3C40C5FB"/>
    <w:rsid w:val="3C4DA3AF"/>
    <w:rsid w:val="3C5E48E4"/>
    <w:rsid w:val="3C670086"/>
    <w:rsid w:val="3C798BC5"/>
    <w:rsid w:val="3C7BF4C1"/>
    <w:rsid w:val="3C7F56C1"/>
    <w:rsid w:val="3C8341CA"/>
    <w:rsid w:val="3C8CDCAF"/>
    <w:rsid w:val="3C9BE50F"/>
    <w:rsid w:val="3CB8F4C1"/>
    <w:rsid w:val="3CBD9FB5"/>
    <w:rsid w:val="3CCE2BDC"/>
    <w:rsid w:val="3CDA4D89"/>
    <w:rsid w:val="3CDADF5F"/>
    <w:rsid w:val="3CE7CF2E"/>
    <w:rsid w:val="3CF48C3C"/>
    <w:rsid w:val="3CF781D2"/>
    <w:rsid w:val="3CF7B45C"/>
    <w:rsid w:val="3CF813EE"/>
    <w:rsid w:val="3CFA09E4"/>
    <w:rsid w:val="3CFB190C"/>
    <w:rsid w:val="3CFB8F67"/>
    <w:rsid w:val="3D0F8045"/>
    <w:rsid w:val="3D11CA1A"/>
    <w:rsid w:val="3D31EF6B"/>
    <w:rsid w:val="3D385DE2"/>
    <w:rsid w:val="3D445121"/>
    <w:rsid w:val="3D47EAEB"/>
    <w:rsid w:val="3D52A9EE"/>
    <w:rsid w:val="3D53B353"/>
    <w:rsid w:val="3D6974FC"/>
    <w:rsid w:val="3D7AE80B"/>
    <w:rsid w:val="3D86B842"/>
    <w:rsid w:val="3D8E9CE1"/>
    <w:rsid w:val="3D9061DF"/>
    <w:rsid w:val="3D95D212"/>
    <w:rsid w:val="3D9EB683"/>
    <w:rsid w:val="3DACC3A3"/>
    <w:rsid w:val="3DB7B7AE"/>
    <w:rsid w:val="3DBBBC9A"/>
    <w:rsid w:val="3DC4AE6D"/>
    <w:rsid w:val="3DCF697E"/>
    <w:rsid w:val="3DCFD804"/>
    <w:rsid w:val="3DE66982"/>
    <w:rsid w:val="3DE81245"/>
    <w:rsid w:val="3E089D44"/>
    <w:rsid w:val="3E1CBC55"/>
    <w:rsid w:val="3E214666"/>
    <w:rsid w:val="3E26C864"/>
    <w:rsid w:val="3E2B5011"/>
    <w:rsid w:val="3E2DBF7A"/>
    <w:rsid w:val="3E322DD7"/>
    <w:rsid w:val="3E3A3CF0"/>
    <w:rsid w:val="3E55FA42"/>
    <w:rsid w:val="3E564E95"/>
    <w:rsid w:val="3E5C084E"/>
    <w:rsid w:val="3E83C8BE"/>
    <w:rsid w:val="3E87B8C5"/>
    <w:rsid w:val="3E8E2425"/>
    <w:rsid w:val="3E913513"/>
    <w:rsid w:val="3EA7CB95"/>
    <w:rsid w:val="3EAAA571"/>
    <w:rsid w:val="3EB51EED"/>
    <w:rsid w:val="3ED42A68"/>
    <w:rsid w:val="3EF09C2B"/>
    <w:rsid w:val="3EF5D6BE"/>
    <w:rsid w:val="3EFA3AF7"/>
    <w:rsid w:val="3EFAA90C"/>
    <w:rsid w:val="3F3D8496"/>
    <w:rsid w:val="3F41A4FA"/>
    <w:rsid w:val="3F43D7E2"/>
    <w:rsid w:val="3F4B1264"/>
    <w:rsid w:val="3F4D78F9"/>
    <w:rsid w:val="3F543744"/>
    <w:rsid w:val="3F56E3E4"/>
    <w:rsid w:val="3F793175"/>
    <w:rsid w:val="3F7B74A1"/>
    <w:rsid w:val="3F926164"/>
    <w:rsid w:val="3F9C5FE4"/>
    <w:rsid w:val="3FAC9661"/>
    <w:rsid w:val="3FB4B21E"/>
    <w:rsid w:val="3FBDCE13"/>
    <w:rsid w:val="3FC0A5A0"/>
    <w:rsid w:val="3FC1D28B"/>
    <w:rsid w:val="3FC2A12E"/>
    <w:rsid w:val="3FD62D9F"/>
    <w:rsid w:val="3FDD8D80"/>
    <w:rsid w:val="3FDDF0FB"/>
    <w:rsid w:val="3FEF3AAE"/>
    <w:rsid w:val="3FF4E6FF"/>
    <w:rsid w:val="3FF64E84"/>
    <w:rsid w:val="3FF6C311"/>
    <w:rsid w:val="40034FC9"/>
    <w:rsid w:val="40048433"/>
    <w:rsid w:val="400747B3"/>
    <w:rsid w:val="401464D6"/>
    <w:rsid w:val="401FCE3F"/>
    <w:rsid w:val="4024BFA7"/>
    <w:rsid w:val="40375360"/>
    <w:rsid w:val="404A4D3B"/>
    <w:rsid w:val="40543733"/>
    <w:rsid w:val="406883AB"/>
    <w:rsid w:val="406DF0C0"/>
    <w:rsid w:val="406E6ACD"/>
    <w:rsid w:val="4078D8B2"/>
    <w:rsid w:val="407D15BD"/>
    <w:rsid w:val="407E66F1"/>
    <w:rsid w:val="408710E2"/>
    <w:rsid w:val="409B656E"/>
    <w:rsid w:val="40A9A5F7"/>
    <w:rsid w:val="40ACA064"/>
    <w:rsid w:val="40BED2F5"/>
    <w:rsid w:val="40C249B6"/>
    <w:rsid w:val="40F66BA9"/>
    <w:rsid w:val="40FE16CE"/>
    <w:rsid w:val="4122DC78"/>
    <w:rsid w:val="412CD9E7"/>
    <w:rsid w:val="41354FCA"/>
    <w:rsid w:val="41367F65"/>
    <w:rsid w:val="41370CD8"/>
    <w:rsid w:val="41372D20"/>
    <w:rsid w:val="413CA16C"/>
    <w:rsid w:val="4142F9A3"/>
    <w:rsid w:val="414C94B0"/>
    <w:rsid w:val="4153F4B3"/>
    <w:rsid w:val="4163D479"/>
    <w:rsid w:val="4164A17B"/>
    <w:rsid w:val="41856E1A"/>
    <w:rsid w:val="418E9989"/>
    <w:rsid w:val="418FAA4E"/>
    <w:rsid w:val="41914466"/>
    <w:rsid w:val="41A04ECB"/>
    <w:rsid w:val="41A869AF"/>
    <w:rsid w:val="41AD1070"/>
    <w:rsid w:val="41B36F23"/>
    <w:rsid w:val="41B82C64"/>
    <w:rsid w:val="41DB1423"/>
    <w:rsid w:val="41FAEEA6"/>
    <w:rsid w:val="41FE3C94"/>
    <w:rsid w:val="420260B9"/>
    <w:rsid w:val="42143F5D"/>
    <w:rsid w:val="42437242"/>
    <w:rsid w:val="425DB751"/>
    <w:rsid w:val="426F6ADF"/>
    <w:rsid w:val="4284AC9B"/>
    <w:rsid w:val="4285CFCA"/>
    <w:rsid w:val="428ACD6E"/>
    <w:rsid w:val="428C35C4"/>
    <w:rsid w:val="42925563"/>
    <w:rsid w:val="42A893F3"/>
    <w:rsid w:val="42B428AB"/>
    <w:rsid w:val="42C2170A"/>
    <w:rsid w:val="42DC5BE1"/>
    <w:rsid w:val="42DC6ED6"/>
    <w:rsid w:val="42EDD6FE"/>
    <w:rsid w:val="42F7183D"/>
    <w:rsid w:val="42F80D5F"/>
    <w:rsid w:val="4307F492"/>
    <w:rsid w:val="430B4370"/>
    <w:rsid w:val="430C6D82"/>
    <w:rsid w:val="430E246F"/>
    <w:rsid w:val="43273B30"/>
    <w:rsid w:val="4327D496"/>
    <w:rsid w:val="434AD6C8"/>
    <w:rsid w:val="435626F4"/>
    <w:rsid w:val="437EAE4A"/>
    <w:rsid w:val="438B3753"/>
    <w:rsid w:val="43A55B41"/>
    <w:rsid w:val="43A6D700"/>
    <w:rsid w:val="43B86B4C"/>
    <w:rsid w:val="43BC2DC5"/>
    <w:rsid w:val="43C4E4F1"/>
    <w:rsid w:val="43CC9225"/>
    <w:rsid w:val="43D4AD59"/>
    <w:rsid w:val="43F4E09C"/>
    <w:rsid w:val="4403887E"/>
    <w:rsid w:val="4414E52D"/>
    <w:rsid w:val="4419B0D1"/>
    <w:rsid w:val="444264AE"/>
    <w:rsid w:val="4449F441"/>
    <w:rsid w:val="4453EEC7"/>
    <w:rsid w:val="446071A6"/>
    <w:rsid w:val="447BA23A"/>
    <w:rsid w:val="448B209E"/>
    <w:rsid w:val="449992C5"/>
    <w:rsid w:val="44AF38CD"/>
    <w:rsid w:val="44B8AAD5"/>
    <w:rsid w:val="44C033B7"/>
    <w:rsid w:val="44D783CA"/>
    <w:rsid w:val="4507A196"/>
    <w:rsid w:val="450D25C9"/>
    <w:rsid w:val="45158070"/>
    <w:rsid w:val="451827AC"/>
    <w:rsid w:val="4541F9F0"/>
    <w:rsid w:val="45566D4C"/>
    <w:rsid w:val="457BBE5C"/>
    <w:rsid w:val="45814395"/>
    <w:rsid w:val="45904F68"/>
    <w:rsid w:val="45A04891"/>
    <w:rsid w:val="45B2FB1D"/>
    <w:rsid w:val="45CBE758"/>
    <w:rsid w:val="45D59A97"/>
    <w:rsid w:val="45F2AE35"/>
    <w:rsid w:val="45F504AC"/>
    <w:rsid w:val="4600C85C"/>
    <w:rsid w:val="460EB86E"/>
    <w:rsid w:val="4614E162"/>
    <w:rsid w:val="4624B67D"/>
    <w:rsid w:val="46432680"/>
    <w:rsid w:val="46438B52"/>
    <w:rsid w:val="4664CE5D"/>
    <w:rsid w:val="46651B98"/>
    <w:rsid w:val="466A73FE"/>
    <w:rsid w:val="466DB485"/>
    <w:rsid w:val="467C8FA7"/>
    <w:rsid w:val="46964B4E"/>
    <w:rsid w:val="46A84320"/>
    <w:rsid w:val="46B40E9D"/>
    <w:rsid w:val="46B62703"/>
    <w:rsid w:val="46BF5602"/>
    <w:rsid w:val="46C2B912"/>
    <w:rsid w:val="46C5523B"/>
    <w:rsid w:val="46CD5250"/>
    <w:rsid w:val="46D5594C"/>
    <w:rsid w:val="46E4B0CC"/>
    <w:rsid w:val="46F3362B"/>
    <w:rsid w:val="46F98EEC"/>
    <w:rsid w:val="46F9DC08"/>
    <w:rsid w:val="46FF897E"/>
    <w:rsid w:val="4710E19C"/>
    <w:rsid w:val="4724FAA9"/>
    <w:rsid w:val="472617C4"/>
    <w:rsid w:val="472A9AB3"/>
    <w:rsid w:val="47314E84"/>
    <w:rsid w:val="4743E990"/>
    <w:rsid w:val="474B87CF"/>
    <w:rsid w:val="4750003C"/>
    <w:rsid w:val="4753EE08"/>
    <w:rsid w:val="475C7378"/>
    <w:rsid w:val="476694D1"/>
    <w:rsid w:val="4779AF19"/>
    <w:rsid w:val="47816E37"/>
    <w:rsid w:val="47B6A8A3"/>
    <w:rsid w:val="47CADBB0"/>
    <w:rsid w:val="47D162A4"/>
    <w:rsid w:val="47DB7BAB"/>
    <w:rsid w:val="47F840C6"/>
    <w:rsid w:val="47F9391A"/>
    <w:rsid w:val="480E1D58"/>
    <w:rsid w:val="4816565E"/>
    <w:rsid w:val="482B65F4"/>
    <w:rsid w:val="48331082"/>
    <w:rsid w:val="484E37AC"/>
    <w:rsid w:val="48673F85"/>
    <w:rsid w:val="4877C5C4"/>
    <w:rsid w:val="489A0C15"/>
    <w:rsid w:val="48A8E091"/>
    <w:rsid w:val="48B30634"/>
    <w:rsid w:val="48BEBD11"/>
    <w:rsid w:val="48C8E054"/>
    <w:rsid w:val="48CB0B49"/>
    <w:rsid w:val="48CD9476"/>
    <w:rsid w:val="48E7898C"/>
    <w:rsid w:val="48ED6937"/>
    <w:rsid w:val="48EFA32B"/>
    <w:rsid w:val="49062810"/>
    <w:rsid w:val="4912EC93"/>
    <w:rsid w:val="49142184"/>
    <w:rsid w:val="491B235F"/>
    <w:rsid w:val="491C0B7C"/>
    <w:rsid w:val="49229FC3"/>
    <w:rsid w:val="4936F220"/>
    <w:rsid w:val="493D0254"/>
    <w:rsid w:val="49449FD3"/>
    <w:rsid w:val="4949BCAB"/>
    <w:rsid w:val="4950BB0C"/>
    <w:rsid w:val="49568990"/>
    <w:rsid w:val="495D46D9"/>
    <w:rsid w:val="4962D515"/>
    <w:rsid w:val="497E5135"/>
    <w:rsid w:val="4989BFA6"/>
    <w:rsid w:val="498A02D2"/>
    <w:rsid w:val="49C22315"/>
    <w:rsid w:val="49C3B9E6"/>
    <w:rsid w:val="49CD153B"/>
    <w:rsid w:val="49F05D6E"/>
    <w:rsid w:val="49F774E9"/>
    <w:rsid w:val="49FA3F79"/>
    <w:rsid w:val="49FD5C59"/>
    <w:rsid w:val="4A0D69B0"/>
    <w:rsid w:val="4A0F6018"/>
    <w:rsid w:val="4A1E97F4"/>
    <w:rsid w:val="4A219CE3"/>
    <w:rsid w:val="4A2B7041"/>
    <w:rsid w:val="4A2D9AB6"/>
    <w:rsid w:val="4A2F7B87"/>
    <w:rsid w:val="4A4299D9"/>
    <w:rsid w:val="4A6363DF"/>
    <w:rsid w:val="4A6DFD0A"/>
    <w:rsid w:val="4A72693E"/>
    <w:rsid w:val="4A7342F7"/>
    <w:rsid w:val="4A74DA21"/>
    <w:rsid w:val="4A846631"/>
    <w:rsid w:val="4A89C71A"/>
    <w:rsid w:val="4A92FC1C"/>
    <w:rsid w:val="4A96E33F"/>
    <w:rsid w:val="4A9C9430"/>
    <w:rsid w:val="4AA253A6"/>
    <w:rsid w:val="4AA9C59D"/>
    <w:rsid w:val="4AADD61C"/>
    <w:rsid w:val="4AAF31D6"/>
    <w:rsid w:val="4AC92726"/>
    <w:rsid w:val="4AD68BA4"/>
    <w:rsid w:val="4AEA481C"/>
    <w:rsid w:val="4B11EEFD"/>
    <w:rsid w:val="4B126D07"/>
    <w:rsid w:val="4B16EFB7"/>
    <w:rsid w:val="4B1E56DE"/>
    <w:rsid w:val="4B24EFD9"/>
    <w:rsid w:val="4B344EDC"/>
    <w:rsid w:val="4B486731"/>
    <w:rsid w:val="4B4B08A8"/>
    <w:rsid w:val="4B532911"/>
    <w:rsid w:val="4B54FE7D"/>
    <w:rsid w:val="4B7CA47B"/>
    <w:rsid w:val="4B7D33E5"/>
    <w:rsid w:val="4B86520B"/>
    <w:rsid w:val="4B8F3F42"/>
    <w:rsid w:val="4B90A918"/>
    <w:rsid w:val="4B94D354"/>
    <w:rsid w:val="4B9B0421"/>
    <w:rsid w:val="4B9F2568"/>
    <w:rsid w:val="4BA0007E"/>
    <w:rsid w:val="4BB728BE"/>
    <w:rsid w:val="4BBC73A4"/>
    <w:rsid w:val="4BC1006A"/>
    <w:rsid w:val="4BD7F674"/>
    <w:rsid w:val="4BE671A6"/>
    <w:rsid w:val="4BF93F73"/>
    <w:rsid w:val="4C01A1EF"/>
    <w:rsid w:val="4C0AC8E0"/>
    <w:rsid w:val="4C189885"/>
    <w:rsid w:val="4C26EE66"/>
    <w:rsid w:val="4C3EFCF6"/>
    <w:rsid w:val="4C4666F4"/>
    <w:rsid w:val="4C5FAD9D"/>
    <w:rsid w:val="4C8E574F"/>
    <w:rsid w:val="4C8F5654"/>
    <w:rsid w:val="4CA64315"/>
    <w:rsid w:val="4CAF0182"/>
    <w:rsid w:val="4CCC7C62"/>
    <w:rsid w:val="4CDF20F9"/>
    <w:rsid w:val="4CEF1782"/>
    <w:rsid w:val="4CF146D3"/>
    <w:rsid w:val="4CFC766A"/>
    <w:rsid w:val="4CFFB235"/>
    <w:rsid w:val="4D0BBEFB"/>
    <w:rsid w:val="4D1181E7"/>
    <w:rsid w:val="4D207BAF"/>
    <w:rsid w:val="4D312D0F"/>
    <w:rsid w:val="4D35D097"/>
    <w:rsid w:val="4D5CC7C0"/>
    <w:rsid w:val="4D601D73"/>
    <w:rsid w:val="4D6158F7"/>
    <w:rsid w:val="4D867921"/>
    <w:rsid w:val="4D9117FC"/>
    <w:rsid w:val="4D93A0C3"/>
    <w:rsid w:val="4D945EA8"/>
    <w:rsid w:val="4D956DD8"/>
    <w:rsid w:val="4DB8DE04"/>
    <w:rsid w:val="4DBD123D"/>
    <w:rsid w:val="4DC6DE4B"/>
    <w:rsid w:val="4DDD2063"/>
    <w:rsid w:val="4DF66E2F"/>
    <w:rsid w:val="4E2826B7"/>
    <w:rsid w:val="4E382ED7"/>
    <w:rsid w:val="4E57BD2F"/>
    <w:rsid w:val="4E66DD0A"/>
    <w:rsid w:val="4E6B6CF3"/>
    <w:rsid w:val="4E8750CB"/>
    <w:rsid w:val="4E8A834F"/>
    <w:rsid w:val="4E9A265C"/>
    <w:rsid w:val="4EB14703"/>
    <w:rsid w:val="4ECA3D80"/>
    <w:rsid w:val="4ED76972"/>
    <w:rsid w:val="4EE099AD"/>
    <w:rsid w:val="4EED8074"/>
    <w:rsid w:val="4EEE1E74"/>
    <w:rsid w:val="4EFED66F"/>
    <w:rsid w:val="4F05507B"/>
    <w:rsid w:val="4F0761CA"/>
    <w:rsid w:val="4F0805A7"/>
    <w:rsid w:val="4F24ABC8"/>
    <w:rsid w:val="4F27904C"/>
    <w:rsid w:val="4F29F693"/>
    <w:rsid w:val="4F2A5527"/>
    <w:rsid w:val="4F3A7EFB"/>
    <w:rsid w:val="4F3DFD26"/>
    <w:rsid w:val="4F426ABE"/>
    <w:rsid w:val="4F486ED7"/>
    <w:rsid w:val="4F4E8ACE"/>
    <w:rsid w:val="4F4FC8B2"/>
    <w:rsid w:val="4F53DBA9"/>
    <w:rsid w:val="4F654D49"/>
    <w:rsid w:val="4F6CB499"/>
    <w:rsid w:val="4F824FB3"/>
    <w:rsid w:val="4F92C74E"/>
    <w:rsid w:val="4F99764B"/>
    <w:rsid w:val="4FAC8D35"/>
    <w:rsid w:val="4FC09F0D"/>
    <w:rsid w:val="4FC62591"/>
    <w:rsid w:val="4FCB3E43"/>
    <w:rsid w:val="4FD9819A"/>
    <w:rsid w:val="4FDED83A"/>
    <w:rsid w:val="4FE1164D"/>
    <w:rsid w:val="500116FF"/>
    <w:rsid w:val="50074BE5"/>
    <w:rsid w:val="500BE1C0"/>
    <w:rsid w:val="50236F2C"/>
    <w:rsid w:val="50259394"/>
    <w:rsid w:val="502A681B"/>
    <w:rsid w:val="50468090"/>
    <w:rsid w:val="5052F801"/>
    <w:rsid w:val="505B3B55"/>
    <w:rsid w:val="5061D5C0"/>
    <w:rsid w:val="50669DC4"/>
    <w:rsid w:val="50682BE1"/>
    <w:rsid w:val="508B5CCB"/>
    <w:rsid w:val="508FF51D"/>
    <w:rsid w:val="50A807EF"/>
    <w:rsid w:val="50B9EB0A"/>
    <w:rsid w:val="50C79434"/>
    <w:rsid w:val="50C9444A"/>
    <w:rsid w:val="50E052C4"/>
    <w:rsid w:val="50E38FF1"/>
    <w:rsid w:val="50F8BB02"/>
    <w:rsid w:val="5126800D"/>
    <w:rsid w:val="5126FF6B"/>
    <w:rsid w:val="513864FD"/>
    <w:rsid w:val="5143CFB0"/>
    <w:rsid w:val="51446D33"/>
    <w:rsid w:val="51550941"/>
    <w:rsid w:val="515B3296"/>
    <w:rsid w:val="516D1B8D"/>
    <w:rsid w:val="517319A5"/>
    <w:rsid w:val="517E1FD6"/>
    <w:rsid w:val="517E5AD0"/>
    <w:rsid w:val="5181C705"/>
    <w:rsid w:val="5186153E"/>
    <w:rsid w:val="518F34BF"/>
    <w:rsid w:val="51C2EFC9"/>
    <w:rsid w:val="51C54641"/>
    <w:rsid w:val="51D418AC"/>
    <w:rsid w:val="520FB53B"/>
    <w:rsid w:val="521A018B"/>
    <w:rsid w:val="5231D452"/>
    <w:rsid w:val="5239DB09"/>
    <w:rsid w:val="524758B3"/>
    <w:rsid w:val="525B06B3"/>
    <w:rsid w:val="5265DCB0"/>
    <w:rsid w:val="526933A3"/>
    <w:rsid w:val="526C9970"/>
    <w:rsid w:val="527D3369"/>
    <w:rsid w:val="527DFBB7"/>
    <w:rsid w:val="5294D233"/>
    <w:rsid w:val="5296153F"/>
    <w:rsid w:val="52972655"/>
    <w:rsid w:val="52AD5530"/>
    <w:rsid w:val="52B846F5"/>
    <w:rsid w:val="52C80472"/>
    <w:rsid w:val="52C8F832"/>
    <w:rsid w:val="52D7CF93"/>
    <w:rsid w:val="52FBB83A"/>
    <w:rsid w:val="530F489F"/>
    <w:rsid w:val="530FC2C0"/>
    <w:rsid w:val="531C58F8"/>
    <w:rsid w:val="53226C04"/>
    <w:rsid w:val="5323AB94"/>
    <w:rsid w:val="5325B639"/>
    <w:rsid w:val="532A67A8"/>
    <w:rsid w:val="5333EF8F"/>
    <w:rsid w:val="53551B1D"/>
    <w:rsid w:val="53571C8A"/>
    <w:rsid w:val="535E3E19"/>
    <w:rsid w:val="535E97B1"/>
    <w:rsid w:val="536477B1"/>
    <w:rsid w:val="536D21A4"/>
    <w:rsid w:val="537FCAC5"/>
    <w:rsid w:val="53B502A7"/>
    <w:rsid w:val="53C1C430"/>
    <w:rsid w:val="53CD3EAB"/>
    <w:rsid w:val="53CFF7B6"/>
    <w:rsid w:val="53D5F872"/>
    <w:rsid w:val="53DCE2AF"/>
    <w:rsid w:val="53E255DE"/>
    <w:rsid w:val="53E5B29C"/>
    <w:rsid w:val="53E96771"/>
    <w:rsid w:val="53EFACF4"/>
    <w:rsid w:val="5411718A"/>
    <w:rsid w:val="5422B915"/>
    <w:rsid w:val="5428C6B5"/>
    <w:rsid w:val="542D892F"/>
    <w:rsid w:val="543048E3"/>
    <w:rsid w:val="5432FDCC"/>
    <w:rsid w:val="54354EC4"/>
    <w:rsid w:val="543CDFCB"/>
    <w:rsid w:val="544B2ABA"/>
    <w:rsid w:val="545F958B"/>
    <w:rsid w:val="546266AD"/>
    <w:rsid w:val="5462CE36"/>
    <w:rsid w:val="546D7367"/>
    <w:rsid w:val="5477F4B2"/>
    <w:rsid w:val="548620CF"/>
    <w:rsid w:val="54A095BC"/>
    <w:rsid w:val="54A4008E"/>
    <w:rsid w:val="54AF66C4"/>
    <w:rsid w:val="54BA2061"/>
    <w:rsid w:val="54BBF3CB"/>
    <w:rsid w:val="54C2AC09"/>
    <w:rsid w:val="54C95009"/>
    <w:rsid w:val="54E4BCE2"/>
    <w:rsid w:val="54E79BEC"/>
    <w:rsid w:val="54FF1FC5"/>
    <w:rsid w:val="550816FC"/>
    <w:rsid w:val="551608AD"/>
    <w:rsid w:val="5525F52A"/>
    <w:rsid w:val="5529BDB7"/>
    <w:rsid w:val="552B3D03"/>
    <w:rsid w:val="552B8FFC"/>
    <w:rsid w:val="55308E52"/>
    <w:rsid w:val="5533A0DE"/>
    <w:rsid w:val="5533D2D2"/>
    <w:rsid w:val="553D75CF"/>
    <w:rsid w:val="554BF17D"/>
    <w:rsid w:val="556051E0"/>
    <w:rsid w:val="556743FC"/>
    <w:rsid w:val="5568233B"/>
    <w:rsid w:val="55718924"/>
    <w:rsid w:val="557E4475"/>
    <w:rsid w:val="559409CE"/>
    <w:rsid w:val="55AF22D9"/>
    <w:rsid w:val="55BD1227"/>
    <w:rsid w:val="55C783A5"/>
    <w:rsid w:val="5604C8E8"/>
    <w:rsid w:val="560886FB"/>
    <w:rsid w:val="564617BE"/>
    <w:rsid w:val="56526FA2"/>
    <w:rsid w:val="56599B2A"/>
    <w:rsid w:val="566E9C46"/>
    <w:rsid w:val="568BC317"/>
    <w:rsid w:val="5698A7F4"/>
    <w:rsid w:val="56DA6115"/>
    <w:rsid w:val="56F0FD89"/>
    <w:rsid w:val="571780A9"/>
    <w:rsid w:val="572035E7"/>
    <w:rsid w:val="57293BA7"/>
    <w:rsid w:val="574BD513"/>
    <w:rsid w:val="574C5087"/>
    <w:rsid w:val="57568A0B"/>
    <w:rsid w:val="5756B2A2"/>
    <w:rsid w:val="575710FD"/>
    <w:rsid w:val="575ACDCA"/>
    <w:rsid w:val="576B4B7E"/>
    <w:rsid w:val="576BEA9A"/>
    <w:rsid w:val="5773DD95"/>
    <w:rsid w:val="577A0EAC"/>
    <w:rsid w:val="577A29F9"/>
    <w:rsid w:val="57822A1D"/>
    <w:rsid w:val="57A8BB10"/>
    <w:rsid w:val="57B469E1"/>
    <w:rsid w:val="57B477D4"/>
    <w:rsid w:val="57B5A2DA"/>
    <w:rsid w:val="57B73159"/>
    <w:rsid w:val="57C71214"/>
    <w:rsid w:val="57D857F6"/>
    <w:rsid w:val="57E02A03"/>
    <w:rsid w:val="57E84D1C"/>
    <w:rsid w:val="58172961"/>
    <w:rsid w:val="5824BF78"/>
    <w:rsid w:val="5838BF24"/>
    <w:rsid w:val="58508E0A"/>
    <w:rsid w:val="585E9CEF"/>
    <w:rsid w:val="5872F7A9"/>
    <w:rsid w:val="58742E71"/>
    <w:rsid w:val="58882815"/>
    <w:rsid w:val="58A648C8"/>
    <w:rsid w:val="58A90F01"/>
    <w:rsid w:val="58B4FFA2"/>
    <w:rsid w:val="58B5FC04"/>
    <w:rsid w:val="58BDBAEA"/>
    <w:rsid w:val="58BFDE19"/>
    <w:rsid w:val="58BFF177"/>
    <w:rsid w:val="58CA06F6"/>
    <w:rsid w:val="58CE0F75"/>
    <w:rsid w:val="58E53AB9"/>
    <w:rsid w:val="590FC8BA"/>
    <w:rsid w:val="591463CF"/>
    <w:rsid w:val="591A6A4F"/>
    <w:rsid w:val="592487D6"/>
    <w:rsid w:val="5924E59D"/>
    <w:rsid w:val="59291C8F"/>
    <w:rsid w:val="593CD9F6"/>
    <w:rsid w:val="594B5EC6"/>
    <w:rsid w:val="5957482A"/>
    <w:rsid w:val="595F12AB"/>
    <w:rsid w:val="596493FA"/>
    <w:rsid w:val="59724893"/>
    <w:rsid w:val="598E3D96"/>
    <w:rsid w:val="598F48A7"/>
    <w:rsid w:val="5995E082"/>
    <w:rsid w:val="59D236E1"/>
    <w:rsid w:val="59E99806"/>
    <w:rsid w:val="59E9E681"/>
    <w:rsid w:val="5A0BA869"/>
    <w:rsid w:val="5A1A56FF"/>
    <w:rsid w:val="5A2714D7"/>
    <w:rsid w:val="5A324742"/>
    <w:rsid w:val="5A360F72"/>
    <w:rsid w:val="5A3AC517"/>
    <w:rsid w:val="5A44C2C4"/>
    <w:rsid w:val="5A589E23"/>
    <w:rsid w:val="5A6067E8"/>
    <w:rsid w:val="5A6510F7"/>
    <w:rsid w:val="5A657DC5"/>
    <w:rsid w:val="5A716827"/>
    <w:rsid w:val="5A7479BE"/>
    <w:rsid w:val="5A756F50"/>
    <w:rsid w:val="5A795F26"/>
    <w:rsid w:val="5A7C2080"/>
    <w:rsid w:val="5A85399D"/>
    <w:rsid w:val="5A88DBAD"/>
    <w:rsid w:val="5A9CD8DF"/>
    <w:rsid w:val="5AAACC3F"/>
    <w:rsid w:val="5AB4731F"/>
    <w:rsid w:val="5AB54E10"/>
    <w:rsid w:val="5AB66BBA"/>
    <w:rsid w:val="5AB9524F"/>
    <w:rsid w:val="5ABA052E"/>
    <w:rsid w:val="5ACB4C5B"/>
    <w:rsid w:val="5AD38254"/>
    <w:rsid w:val="5AFB297C"/>
    <w:rsid w:val="5B0C3F06"/>
    <w:rsid w:val="5B194EE9"/>
    <w:rsid w:val="5B291B81"/>
    <w:rsid w:val="5B2A1C11"/>
    <w:rsid w:val="5B2C6D32"/>
    <w:rsid w:val="5B3A7B65"/>
    <w:rsid w:val="5B3C4253"/>
    <w:rsid w:val="5B3D6C96"/>
    <w:rsid w:val="5B42AF59"/>
    <w:rsid w:val="5B4C319A"/>
    <w:rsid w:val="5B70C0BC"/>
    <w:rsid w:val="5B7AEEFE"/>
    <w:rsid w:val="5B881142"/>
    <w:rsid w:val="5B9A4A4A"/>
    <w:rsid w:val="5BA3080C"/>
    <w:rsid w:val="5BAA7145"/>
    <w:rsid w:val="5BC31654"/>
    <w:rsid w:val="5BC42FB0"/>
    <w:rsid w:val="5BC86FE6"/>
    <w:rsid w:val="5BD554C5"/>
    <w:rsid w:val="5BDC0812"/>
    <w:rsid w:val="5BE6BFA2"/>
    <w:rsid w:val="5BFA3262"/>
    <w:rsid w:val="5C17CB79"/>
    <w:rsid w:val="5C1E1CD9"/>
    <w:rsid w:val="5C24F3AB"/>
    <w:rsid w:val="5C26D9C2"/>
    <w:rsid w:val="5C2A24DC"/>
    <w:rsid w:val="5C310847"/>
    <w:rsid w:val="5C33699C"/>
    <w:rsid w:val="5C4A2768"/>
    <w:rsid w:val="5C5142B4"/>
    <w:rsid w:val="5C6EEB02"/>
    <w:rsid w:val="5C79E361"/>
    <w:rsid w:val="5C7B23A8"/>
    <w:rsid w:val="5C82056C"/>
    <w:rsid w:val="5C8B6D26"/>
    <w:rsid w:val="5C99A409"/>
    <w:rsid w:val="5CA61469"/>
    <w:rsid w:val="5CBF8A14"/>
    <w:rsid w:val="5CCEEB96"/>
    <w:rsid w:val="5CDB946D"/>
    <w:rsid w:val="5CDBD2EA"/>
    <w:rsid w:val="5CDEBB0F"/>
    <w:rsid w:val="5CDED5BC"/>
    <w:rsid w:val="5CE2EF6A"/>
    <w:rsid w:val="5CEA62EF"/>
    <w:rsid w:val="5CEFF9FE"/>
    <w:rsid w:val="5CFA56A9"/>
    <w:rsid w:val="5D0E8B5E"/>
    <w:rsid w:val="5D1BA616"/>
    <w:rsid w:val="5D2FA952"/>
    <w:rsid w:val="5D3786A8"/>
    <w:rsid w:val="5D589D7F"/>
    <w:rsid w:val="5D58D85C"/>
    <w:rsid w:val="5D598196"/>
    <w:rsid w:val="5D97BE55"/>
    <w:rsid w:val="5DC12CAD"/>
    <w:rsid w:val="5DC36678"/>
    <w:rsid w:val="5DC51B4E"/>
    <w:rsid w:val="5DC801FE"/>
    <w:rsid w:val="5DF8980E"/>
    <w:rsid w:val="5DFE7E2C"/>
    <w:rsid w:val="5E141446"/>
    <w:rsid w:val="5E15BF57"/>
    <w:rsid w:val="5E1AB55A"/>
    <w:rsid w:val="5E274470"/>
    <w:rsid w:val="5E29A5AA"/>
    <w:rsid w:val="5E3D5AFA"/>
    <w:rsid w:val="5E419319"/>
    <w:rsid w:val="5E4AD468"/>
    <w:rsid w:val="5E517FDC"/>
    <w:rsid w:val="5E5E1A8B"/>
    <w:rsid w:val="5E648299"/>
    <w:rsid w:val="5E64CBB4"/>
    <w:rsid w:val="5E6F0411"/>
    <w:rsid w:val="5E755365"/>
    <w:rsid w:val="5E8BCC9A"/>
    <w:rsid w:val="5E8E88D4"/>
    <w:rsid w:val="5E90B140"/>
    <w:rsid w:val="5E94D696"/>
    <w:rsid w:val="5E9AA7F0"/>
    <w:rsid w:val="5E9F3E81"/>
    <w:rsid w:val="5EB4BE24"/>
    <w:rsid w:val="5EBC8BE0"/>
    <w:rsid w:val="5EBEBFCA"/>
    <w:rsid w:val="5ECDBB60"/>
    <w:rsid w:val="5EF6AE9C"/>
    <w:rsid w:val="5EFA75BE"/>
    <w:rsid w:val="5F065130"/>
    <w:rsid w:val="5F0E7D38"/>
    <w:rsid w:val="5F1B5809"/>
    <w:rsid w:val="5F1FA936"/>
    <w:rsid w:val="5F26D104"/>
    <w:rsid w:val="5F3367DE"/>
    <w:rsid w:val="5F41530F"/>
    <w:rsid w:val="5F623059"/>
    <w:rsid w:val="5F67FE74"/>
    <w:rsid w:val="5F6E7130"/>
    <w:rsid w:val="5F782D81"/>
    <w:rsid w:val="5F81C668"/>
    <w:rsid w:val="5F8BF41B"/>
    <w:rsid w:val="5F91255A"/>
    <w:rsid w:val="5FB6AFFC"/>
    <w:rsid w:val="5FC3EFE8"/>
    <w:rsid w:val="5FD2A90C"/>
    <w:rsid w:val="5FEE9BE8"/>
    <w:rsid w:val="6009D6E1"/>
    <w:rsid w:val="601C2EA9"/>
    <w:rsid w:val="60324B67"/>
    <w:rsid w:val="6032C4A7"/>
    <w:rsid w:val="6048F5FD"/>
    <w:rsid w:val="604BACAA"/>
    <w:rsid w:val="6051E3BC"/>
    <w:rsid w:val="606BB0C8"/>
    <w:rsid w:val="6075101B"/>
    <w:rsid w:val="60759B4B"/>
    <w:rsid w:val="607DEA43"/>
    <w:rsid w:val="6088C611"/>
    <w:rsid w:val="608D7962"/>
    <w:rsid w:val="60928131"/>
    <w:rsid w:val="609C9706"/>
    <w:rsid w:val="60A26CB8"/>
    <w:rsid w:val="60AF39A6"/>
    <w:rsid w:val="60C9B3AB"/>
    <w:rsid w:val="60D256E7"/>
    <w:rsid w:val="60DA7A94"/>
    <w:rsid w:val="60F6351E"/>
    <w:rsid w:val="60F73CC6"/>
    <w:rsid w:val="60FA544D"/>
    <w:rsid w:val="60FE0187"/>
    <w:rsid w:val="61056161"/>
    <w:rsid w:val="610C062E"/>
    <w:rsid w:val="6111D131"/>
    <w:rsid w:val="61167254"/>
    <w:rsid w:val="611A6183"/>
    <w:rsid w:val="61263EAC"/>
    <w:rsid w:val="6127B2CF"/>
    <w:rsid w:val="6155C698"/>
    <w:rsid w:val="615B848C"/>
    <w:rsid w:val="615D4ACC"/>
    <w:rsid w:val="616AFB49"/>
    <w:rsid w:val="618205F3"/>
    <w:rsid w:val="619569A3"/>
    <w:rsid w:val="61EF2F58"/>
    <w:rsid w:val="6202DCB2"/>
    <w:rsid w:val="622D6A77"/>
    <w:rsid w:val="622E6068"/>
    <w:rsid w:val="6235D83B"/>
    <w:rsid w:val="623CF3E1"/>
    <w:rsid w:val="623F1C88"/>
    <w:rsid w:val="624602BD"/>
    <w:rsid w:val="624F5B49"/>
    <w:rsid w:val="625144C8"/>
    <w:rsid w:val="625D4E5D"/>
    <w:rsid w:val="6261331A"/>
    <w:rsid w:val="626FB7F3"/>
    <w:rsid w:val="627F9851"/>
    <w:rsid w:val="62815395"/>
    <w:rsid w:val="628E0893"/>
    <w:rsid w:val="628F134E"/>
    <w:rsid w:val="62905DF9"/>
    <w:rsid w:val="629417BF"/>
    <w:rsid w:val="629FA6DF"/>
    <w:rsid w:val="62B5EBBD"/>
    <w:rsid w:val="62BEA723"/>
    <w:rsid w:val="62C4FFEF"/>
    <w:rsid w:val="62C7394F"/>
    <w:rsid w:val="62CE0813"/>
    <w:rsid w:val="62CFD4F4"/>
    <w:rsid w:val="62E3C0DE"/>
    <w:rsid w:val="62F4E453"/>
    <w:rsid w:val="63119CFA"/>
    <w:rsid w:val="63136396"/>
    <w:rsid w:val="631F8456"/>
    <w:rsid w:val="634E34B6"/>
    <w:rsid w:val="635D0CDA"/>
    <w:rsid w:val="6364EF7A"/>
    <w:rsid w:val="6372CF2F"/>
    <w:rsid w:val="6387B503"/>
    <w:rsid w:val="639C4C5F"/>
    <w:rsid w:val="63B87986"/>
    <w:rsid w:val="63B8CF9B"/>
    <w:rsid w:val="63C863BC"/>
    <w:rsid w:val="63D7472A"/>
    <w:rsid w:val="63D89B54"/>
    <w:rsid w:val="63DB94DC"/>
    <w:rsid w:val="63F4D499"/>
    <w:rsid w:val="63F4E6E2"/>
    <w:rsid w:val="63F7B238"/>
    <w:rsid w:val="63F97BF8"/>
    <w:rsid w:val="63FE568D"/>
    <w:rsid w:val="6404BA5B"/>
    <w:rsid w:val="64071FC4"/>
    <w:rsid w:val="6407BAF3"/>
    <w:rsid w:val="640CBA47"/>
    <w:rsid w:val="64131F30"/>
    <w:rsid w:val="6419C781"/>
    <w:rsid w:val="64447147"/>
    <w:rsid w:val="6450B628"/>
    <w:rsid w:val="6455C018"/>
    <w:rsid w:val="646BB992"/>
    <w:rsid w:val="646CC73D"/>
    <w:rsid w:val="64780280"/>
    <w:rsid w:val="647A7190"/>
    <w:rsid w:val="647E46FA"/>
    <w:rsid w:val="64A089E4"/>
    <w:rsid w:val="64A57BFE"/>
    <w:rsid w:val="64B89B8C"/>
    <w:rsid w:val="64BA4AEA"/>
    <w:rsid w:val="64BDD297"/>
    <w:rsid w:val="64C6584C"/>
    <w:rsid w:val="64C89A55"/>
    <w:rsid w:val="64C9461E"/>
    <w:rsid w:val="64D259CC"/>
    <w:rsid w:val="64DEED12"/>
    <w:rsid w:val="64EC9B8E"/>
    <w:rsid w:val="64ED54D7"/>
    <w:rsid w:val="64FD9E29"/>
    <w:rsid w:val="6511F4BF"/>
    <w:rsid w:val="6519BE6E"/>
    <w:rsid w:val="652285D1"/>
    <w:rsid w:val="6525522D"/>
    <w:rsid w:val="652F70B6"/>
    <w:rsid w:val="6531500C"/>
    <w:rsid w:val="6538DF60"/>
    <w:rsid w:val="654E0A7C"/>
    <w:rsid w:val="6556AC4E"/>
    <w:rsid w:val="65581AD4"/>
    <w:rsid w:val="6559E52F"/>
    <w:rsid w:val="655B4BBF"/>
    <w:rsid w:val="655EC1BD"/>
    <w:rsid w:val="65692766"/>
    <w:rsid w:val="656B978D"/>
    <w:rsid w:val="65930439"/>
    <w:rsid w:val="659C297A"/>
    <w:rsid w:val="65C64ABF"/>
    <w:rsid w:val="65DE2C76"/>
    <w:rsid w:val="65E7B853"/>
    <w:rsid w:val="66057B35"/>
    <w:rsid w:val="66102C29"/>
    <w:rsid w:val="6611F8AF"/>
    <w:rsid w:val="6613EB10"/>
    <w:rsid w:val="66161BDA"/>
    <w:rsid w:val="661D9D43"/>
    <w:rsid w:val="66275493"/>
    <w:rsid w:val="6629CDF8"/>
    <w:rsid w:val="6629D0A6"/>
    <w:rsid w:val="662CD209"/>
    <w:rsid w:val="663805B2"/>
    <w:rsid w:val="6638357D"/>
    <w:rsid w:val="663AF9ED"/>
    <w:rsid w:val="663F0318"/>
    <w:rsid w:val="664E860B"/>
    <w:rsid w:val="665289A7"/>
    <w:rsid w:val="66529C0E"/>
    <w:rsid w:val="6663607C"/>
    <w:rsid w:val="666884AA"/>
    <w:rsid w:val="6668D349"/>
    <w:rsid w:val="668B3B23"/>
    <w:rsid w:val="66B331EA"/>
    <w:rsid w:val="66C19961"/>
    <w:rsid w:val="66C568CD"/>
    <w:rsid w:val="66CA220D"/>
    <w:rsid w:val="66E2F747"/>
    <w:rsid w:val="6706DECA"/>
    <w:rsid w:val="6712E59E"/>
    <w:rsid w:val="67158C08"/>
    <w:rsid w:val="6726CEED"/>
    <w:rsid w:val="673B83B6"/>
    <w:rsid w:val="675BA184"/>
    <w:rsid w:val="676918AE"/>
    <w:rsid w:val="676CCB52"/>
    <w:rsid w:val="6770E04A"/>
    <w:rsid w:val="6793E9A7"/>
    <w:rsid w:val="67A520EA"/>
    <w:rsid w:val="67B05C36"/>
    <w:rsid w:val="67C5420D"/>
    <w:rsid w:val="67DA1F76"/>
    <w:rsid w:val="67DBF4A6"/>
    <w:rsid w:val="67E6BD8F"/>
    <w:rsid w:val="67E7B672"/>
    <w:rsid w:val="680A205A"/>
    <w:rsid w:val="68111E16"/>
    <w:rsid w:val="681F87F8"/>
    <w:rsid w:val="682D76BD"/>
    <w:rsid w:val="68372038"/>
    <w:rsid w:val="68805193"/>
    <w:rsid w:val="68984FC9"/>
    <w:rsid w:val="689AA415"/>
    <w:rsid w:val="68AF26F0"/>
    <w:rsid w:val="68B919AE"/>
    <w:rsid w:val="68B99A36"/>
    <w:rsid w:val="68C430E1"/>
    <w:rsid w:val="68C6F25A"/>
    <w:rsid w:val="68C789EA"/>
    <w:rsid w:val="68D15C3A"/>
    <w:rsid w:val="68D30C1A"/>
    <w:rsid w:val="68E5D9A9"/>
    <w:rsid w:val="68ED5D36"/>
    <w:rsid w:val="68F28158"/>
    <w:rsid w:val="68F65B9F"/>
    <w:rsid w:val="69035DA0"/>
    <w:rsid w:val="6918A836"/>
    <w:rsid w:val="6921A82A"/>
    <w:rsid w:val="693DE45E"/>
    <w:rsid w:val="69664E8B"/>
    <w:rsid w:val="696ADB68"/>
    <w:rsid w:val="696F095F"/>
    <w:rsid w:val="69732B05"/>
    <w:rsid w:val="697A8FC8"/>
    <w:rsid w:val="697BF448"/>
    <w:rsid w:val="697FBA33"/>
    <w:rsid w:val="69822BED"/>
    <w:rsid w:val="69892D0E"/>
    <w:rsid w:val="69987F70"/>
    <w:rsid w:val="69CB175A"/>
    <w:rsid w:val="69DAF913"/>
    <w:rsid w:val="69EC5FD2"/>
    <w:rsid w:val="69F148D6"/>
    <w:rsid w:val="6A07E354"/>
    <w:rsid w:val="6A246CBC"/>
    <w:rsid w:val="6A3AE120"/>
    <w:rsid w:val="6A3BEB15"/>
    <w:rsid w:val="6A40F9A8"/>
    <w:rsid w:val="6A74BEDE"/>
    <w:rsid w:val="6A75224C"/>
    <w:rsid w:val="6A7593D8"/>
    <w:rsid w:val="6A85B47B"/>
    <w:rsid w:val="6A8F8924"/>
    <w:rsid w:val="6A9A8EC6"/>
    <w:rsid w:val="6A9FD15F"/>
    <w:rsid w:val="6AA1AD45"/>
    <w:rsid w:val="6AC166A0"/>
    <w:rsid w:val="6AC2EFA9"/>
    <w:rsid w:val="6ACEA96D"/>
    <w:rsid w:val="6ADCECDD"/>
    <w:rsid w:val="6AE18763"/>
    <w:rsid w:val="6AE61D9A"/>
    <w:rsid w:val="6AF01E14"/>
    <w:rsid w:val="6AFCFE9A"/>
    <w:rsid w:val="6AFFD031"/>
    <w:rsid w:val="6B0110F1"/>
    <w:rsid w:val="6B104F94"/>
    <w:rsid w:val="6B119099"/>
    <w:rsid w:val="6B2C6CF1"/>
    <w:rsid w:val="6B2EB523"/>
    <w:rsid w:val="6B3371E0"/>
    <w:rsid w:val="6B78CEF7"/>
    <w:rsid w:val="6B7B5B12"/>
    <w:rsid w:val="6BA5B7DE"/>
    <w:rsid w:val="6BA688D2"/>
    <w:rsid w:val="6BB3ABFD"/>
    <w:rsid w:val="6BB416F1"/>
    <w:rsid w:val="6BBCAFF4"/>
    <w:rsid w:val="6BBD322F"/>
    <w:rsid w:val="6BC450B2"/>
    <w:rsid w:val="6BC70B8F"/>
    <w:rsid w:val="6BD05607"/>
    <w:rsid w:val="6BD8D8EA"/>
    <w:rsid w:val="6BE2AA45"/>
    <w:rsid w:val="6BF0B191"/>
    <w:rsid w:val="6BFF39FA"/>
    <w:rsid w:val="6C0473B3"/>
    <w:rsid w:val="6C088094"/>
    <w:rsid w:val="6C0D9666"/>
    <w:rsid w:val="6C30D0F1"/>
    <w:rsid w:val="6C3E90DD"/>
    <w:rsid w:val="6C5D9A60"/>
    <w:rsid w:val="6C603F3F"/>
    <w:rsid w:val="6C63F4AC"/>
    <w:rsid w:val="6C69269D"/>
    <w:rsid w:val="6C69AB8B"/>
    <w:rsid w:val="6C7F2EDE"/>
    <w:rsid w:val="6C82F48E"/>
    <w:rsid w:val="6C846AF2"/>
    <w:rsid w:val="6C871A8E"/>
    <w:rsid w:val="6C8CD4F9"/>
    <w:rsid w:val="6C91246C"/>
    <w:rsid w:val="6C95F875"/>
    <w:rsid w:val="6CA4DBB6"/>
    <w:rsid w:val="6CAE1893"/>
    <w:rsid w:val="6CC0A744"/>
    <w:rsid w:val="6CCEBD30"/>
    <w:rsid w:val="6CF12501"/>
    <w:rsid w:val="6CF65D66"/>
    <w:rsid w:val="6CFE8E27"/>
    <w:rsid w:val="6D048BAC"/>
    <w:rsid w:val="6D231D68"/>
    <w:rsid w:val="6D25111F"/>
    <w:rsid w:val="6D36EB10"/>
    <w:rsid w:val="6D384599"/>
    <w:rsid w:val="6D3B2ACD"/>
    <w:rsid w:val="6D3F1898"/>
    <w:rsid w:val="6D5BFB75"/>
    <w:rsid w:val="6D5EAA53"/>
    <w:rsid w:val="6D67B129"/>
    <w:rsid w:val="6D7418A1"/>
    <w:rsid w:val="6D7515D8"/>
    <w:rsid w:val="6D83898C"/>
    <w:rsid w:val="6D8DC73E"/>
    <w:rsid w:val="6D90FD4E"/>
    <w:rsid w:val="6D913E25"/>
    <w:rsid w:val="6D9489E6"/>
    <w:rsid w:val="6DB4999A"/>
    <w:rsid w:val="6DBAC0C3"/>
    <w:rsid w:val="6DC3B507"/>
    <w:rsid w:val="6DCD738B"/>
    <w:rsid w:val="6DD34565"/>
    <w:rsid w:val="6DE35B54"/>
    <w:rsid w:val="6DE69350"/>
    <w:rsid w:val="6DE74EAD"/>
    <w:rsid w:val="6DF46442"/>
    <w:rsid w:val="6DFA9E42"/>
    <w:rsid w:val="6DFEC203"/>
    <w:rsid w:val="6E022640"/>
    <w:rsid w:val="6E0ADFEC"/>
    <w:rsid w:val="6E0B02C5"/>
    <w:rsid w:val="6E0B9351"/>
    <w:rsid w:val="6E12BDF6"/>
    <w:rsid w:val="6E1FCAF9"/>
    <w:rsid w:val="6E2758CF"/>
    <w:rsid w:val="6E654143"/>
    <w:rsid w:val="6E983A95"/>
    <w:rsid w:val="6EAAF84A"/>
    <w:rsid w:val="6EAED2CC"/>
    <w:rsid w:val="6EB00247"/>
    <w:rsid w:val="6EC2CDAB"/>
    <w:rsid w:val="6EC6BED9"/>
    <w:rsid w:val="6ED38F8D"/>
    <w:rsid w:val="6EFD10EA"/>
    <w:rsid w:val="6F045F5F"/>
    <w:rsid w:val="6F048CF4"/>
    <w:rsid w:val="6F25BBFF"/>
    <w:rsid w:val="6F422BE4"/>
    <w:rsid w:val="6F4E9007"/>
    <w:rsid w:val="6F6E5B89"/>
    <w:rsid w:val="6F6EC70B"/>
    <w:rsid w:val="6F7033E4"/>
    <w:rsid w:val="6F770371"/>
    <w:rsid w:val="6F7A1A2E"/>
    <w:rsid w:val="6F837A7D"/>
    <w:rsid w:val="6F8F78F1"/>
    <w:rsid w:val="6F911FA3"/>
    <w:rsid w:val="6F9614DC"/>
    <w:rsid w:val="6F9BBD1C"/>
    <w:rsid w:val="6F9F0490"/>
    <w:rsid w:val="6FA90DE2"/>
    <w:rsid w:val="6FC68167"/>
    <w:rsid w:val="6FC79D8B"/>
    <w:rsid w:val="6FE3DB6F"/>
    <w:rsid w:val="6FE704AB"/>
    <w:rsid w:val="700BDC6F"/>
    <w:rsid w:val="7037D5F9"/>
    <w:rsid w:val="703B75C8"/>
    <w:rsid w:val="70432A5C"/>
    <w:rsid w:val="705077E1"/>
    <w:rsid w:val="705B3660"/>
    <w:rsid w:val="7071ED04"/>
    <w:rsid w:val="70746516"/>
    <w:rsid w:val="70755D4F"/>
    <w:rsid w:val="7076C9C1"/>
    <w:rsid w:val="70898895"/>
    <w:rsid w:val="7092307C"/>
    <w:rsid w:val="7092F548"/>
    <w:rsid w:val="709B520C"/>
    <w:rsid w:val="70A3D940"/>
    <w:rsid w:val="70B86FB7"/>
    <w:rsid w:val="70DE866A"/>
    <w:rsid w:val="70E6E914"/>
    <w:rsid w:val="70ECE0FE"/>
    <w:rsid w:val="70F40822"/>
    <w:rsid w:val="70FAA8FF"/>
    <w:rsid w:val="7108F1EC"/>
    <w:rsid w:val="7136790B"/>
    <w:rsid w:val="7145AC71"/>
    <w:rsid w:val="7157F71D"/>
    <w:rsid w:val="716115E4"/>
    <w:rsid w:val="7172A605"/>
    <w:rsid w:val="7172D6EE"/>
    <w:rsid w:val="71777AAB"/>
    <w:rsid w:val="71A664FE"/>
    <w:rsid w:val="71B41955"/>
    <w:rsid w:val="71B55217"/>
    <w:rsid w:val="71BB20FD"/>
    <w:rsid w:val="71C1637E"/>
    <w:rsid w:val="71CE2850"/>
    <w:rsid w:val="721C3BE8"/>
    <w:rsid w:val="7227B2CC"/>
    <w:rsid w:val="722E0CF8"/>
    <w:rsid w:val="72331A49"/>
    <w:rsid w:val="72351A4E"/>
    <w:rsid w:val="72420944"/>
    <w:rsid w:val="725A4EBB"/>
    <w:rsid w:val="725B92BB"/>
    <w:rsid w:val="7274DC29"/>
    <w:rsid w:val="728067A0"/>
    <w:rsid w:val="72855BD4"/>
    <w:rsid w:val="7289A70C"/>
    <w:rsid w:val="728B4461"/>
    <w:rsid w:val="7290220E"/>
    <w:rsid w:val="72993303"/>
    <w:rsid w:val="72B56165"/>
    <w:rsid w:val="72C9AA5F"/>
    <w:rsid w:val="72CDF34F"/>
    <w:rsid w:val="72E75FFD"/>
    <w:rsid w:val="72EF15E4"/>
    <w:rsid w:val="72F29BF3"/>
    <w:rsid w:val="731222BE"/>
    <w:rsid w:val="73172DA7"/>
    <w:rsid w:val="7333670D"/>
    <w:rsid w:val="7340ADA9"/>
    <w:rsid w:val="7341C9FE"/>
    <w:rsid w:val="7342FC23"/>
    <w:rsid w:val="735CA0D2"/>
    <w:rsid w:val="735E289A"/>
    <w:rsid w:val="738249DA"/>
    <w:rsid w:val="738945C3"/>
    <w:rsid w:val="738C20E2"/>
    <w:rsid w:val="73AE5094"/>
    <w:rsid w:val="73C45602"/>
    <w:rsid w:val="73D65685"/>
    <w:rsid w:val="73D68E99"/>
    <w:rsid w:val="73E68E0D"/>
    <w:rsid w:val="73EF6FD6"/>
    <w:rsid w:val="73F5B475"/>
    <w:rsid w:val="73FED964"/>
    <w:rsid w:val="73FFD6AC"/>
    <w:rsid w:val="741C293D"/>
    <w:rsid w:val="741CBE42"/>
    <w:rsid w:val="7425A56C"/>
    <w:rsid w:val="742604A7"/>
    <w:rsid w:val="7438FBE9"/>
    <w:rsid w:val="743D29B0"/>
    <w:rsid w:val="744CC9DE"/>
    <w:rsid w:val="745B6B84"/>
    <w:rsid w:val="747836A0"/>
    <w:rsid w:val="747CA28A"/>
    <w:rsid w:val="747F0771"/>
    <w:rsid w:val="74949C1F"/>
    <w:rsid w:val="74958EF6"/>
    <w:rsid w:val="74A60460"/>
    <w:rsid w:val="74AA37BC"/>
    <w:rsid w:val="74B87CF5"/>
    <w:rsid w:val="74BEA485"/>
    <w:rsid w:val="74F7CEFA"/>
    <w:rsid w:val="74FE3532"/>
    <w:rsid w:val="750F6BFC"/>
    <w:rsid w:val="7511909C"/>
    <w:rsid w:val="7519ADD4"/>
    <w:rsid w:val="752632CF"/>
    <w:rsid w:val="75341B8A"/>
    <w:rsid w:val="754BB539"/>
    <w:rsid w:val="755391FF"/>
    <w:rsid w:val="75622037"/>
    <w:rsid w:val="75644617"/>
    <w:rsid w:val="7564C1EF"/>
    <w:rsid w:val="756DF341"/>
    <w:rsid w:val="756FDD9B"/>
    <w:rsid w:val="75769A5C"/>
    <w:rsid w:val="757E0372"/>
    <w:rsid w:val="7583074D"/>
    <w:rsid w:val="758E8808"/>
    <w:rsid w:val="75A52454"/>
    <w:rsid w:val="75B19264"/>
    <w:rsid w:val="75B79929"/>
    <w:rsid w:val="75BA8A78"/>
    <w:rsid w:val="75E56F39"/>
    <w:rsid w:val="7617A929"/>
    <w:rsid w:val="761E764A"/>
    <w:rsid w:val="76305A74"/>
    <w:rsid w:val="7633D95A"/>
    <w:rsid w:val="764D8BD1"/>
    <w:rsid w:val="76613F57"/>
    <w:rsid w:val="76632F97"/>
    <w:rsid w:val="766C4B4D"/>
    <w:rsid w:val="767DB448"/>
    <w:rsid w:val="76882D23"/>
    <w:rsid w:val="76942CEC"/>
    <w:rsid w:val="769D8B46"/>
    <w:rsid w:val="76A2B0FA"/>
    <w:rsid w:val="76AAFA2F"/>
    <w:rsid w:val="76ABFE0A"/>
    <w:rsid w:val="76AC906F"/>
    <w:rsid w:val="76B26981"/>
    <w:rsid w:val="76B755F7"/>
    <w:rsid w:val="76EA363F"/>
    <w:rsid w:val="76F8468B"/>
    <w:rsid w:val="7704214E"/>
    <w:rsid w:val="7723B64F"/>
    <w:rsid w:val="77270CD2"/>
    <w:rsid w:val="773D0731"/>
    <w:rsid w:val="774C4EB9"/>
    <w:rsid w:val="777B1325"/>
    <w:rsid w:val="778189F1"/>
    <w:rsid w:val="77946903"/>
    <w:rsid w:val="77B275A3"/>
    <w:rsid w:val="77B404BD"/>
    <w:rsid w:val="77C9FF67"/>
    <w:rsid w:val="77CEF5FB"/>
    <w:rsid w:val="77DE547D"/>
    <w:rsid w:val="77E3B695"/>
    <w:rsid w:val="77EE11E3"/>
    <w:rsid w:val="77EED165"/>
    <w:rsid w:val="77FD3B00"/>
    <w:rsid w:val="780ABE1E"/>
    <w:rsid w:val="7811A23F"/>
    <w:rsid w:val="781A2496"/>
    <w:rsid w:val="78357913"/>
    <w:rsid w:val="7835C6C6"/>
    <w:rsid w:val="7835E670"/>
    <w:rsid w:val="78467983"/>
    <w:rsid w:val="78579969"/>
    <w:rsid w:val="78648067"/>
    <w:rsid w:val="7865242C"/>
    <w:rsid w:val="78668D6B"/>
    <w:rsid w:val="7896EB0D"/>
    <w:rsid w:val="78A8CCDD"/>
    <w:rsid w:val="78BB7C5A"/>
    <w:rsid w:val="78BBB2D4"/>
    <w:rsid w:val="78BCEBF7"/>
    <w:rsid w:val="78C7C6AC"/>
    <w:rsid w:val="78CB267C"/>
    <w:rsid w:val="78DD314B"/>
    <w:rsid w:val="78F8ADDD"/>
    <w:rsid w:val="7901D866"/>
    <w:rsid w:val="79153DFF"/>
    <w:rsid w:val="7918C822"/>
    <w:rsid w:val="7918F27E"/>
    <w:rsid w:val="79230DA7"/>
    <w:rsid w:val="792F7957"/>
    <w:rsid w:val="793DB5F7"/>
    <w:rsid w:val="793E1CD1"/>
    <w:rsid w:val="794C5612"/>
    <w:rsid w:val="7950D1D2"/>
    <w:rsid w:val="795B9552"/>
    <w:rsid w:val="795D5098"/>
    <w:rsid w:val="79704F53"/>
    <w:rsid w:val="798AEE70"/>
    <w:rsid w:val="7997AEE6"/>
    <w:rsid w:val="79A89B60"/>
    <w:rsid w:val="79A8F68B"/>
    <w:rsid w:val="79ABA21C"/>
    <w:rsid w:val="79AD4613"/>
    <w:rsid w:val="79B3E625"/>
    <w:rsid w:val="79D6BDE8"/>
    <w:rsid w:val="79EF248D"/>
    <w:rsid w:val="79FE6784"/>
    <w:rsid w:val="7A06120A"/>
    <w:rsid w:val="7A0B2283"/>
    <w:rsid w:val="7A172C07"/>
    <w:rsid w:val="7A1B937A"/>
    <w:rsid w:val="7A362C65"/>
    <w:rsid w:val="7A378B50"/>
    <w:rsid w:val="7A38E2F0"/>
    <w:rsid w:val="7A405606"/>
    <w:rsid w:val="7A5E0CE0"/>
    <w:rsid w:val="7A799BB3"/>
    <w:rsid w:val="7A825A2C"/>
    <w:rsid w:val="7A885CF2"/>
    <w:rsid w:val="7A91E4B0"/>
    <w:rsid w:val="7A93A633"/>
    <w:rsid w:val="7AC91937"/>
    <w:rsid w:val="7ADA2A2B"/>
    <w:rsid w:val="7AF4649C"/>
    <w:rsid w:val="7AF6E7E0"/>
    <w:rsid w:val="7AF8B4FB"/>
    <w:rsid w:val="7B0CD017"/>
    <w:rsid w:val="7B0F06B4"/>
    <w:rsid w:val="7B140EF8"/>
    <w:rsid w:val="7B2588C2"/>
    <w:rsid w:val="7B36FBDB"/>
    <w:rsid w:val="7B43A2F4"/>
    <w:rsid w:val="7B441004"/>
    <w:rsid w:val="7B5968D6"/>
    <w:rsid w:val="7B850A54"/>
    <w:rsid w:val="7B87B5DC"/>
    <w:rsid w:val="7BA50BC4"/>
    <w:rsid w:val="7BB5BD67"/>
    <w:rsid w:val="7BBB158F"/>
    <w:rsid w:val="7BCA48EC"/>
    <w:rsid w:val="7BCAB48C"/>
    <w:rsid w:val="7BD4C769"/>
    <w:rsid w:val="7BE13514"/>
    <w:rsid w:val="7BF8348F"/>
    <w:rsid w:val="7BFDAE6E"/>
    <w:rsid w:val="7C2336BE"/>
    <w:rsid w:val="7C4567F6"/>
    <w:rsid w:val="7C535287"/>
    <w:rsid w:val="7C53E8F0"/>
    <w:rsid w:val="7CAB1AA8"/>
    <w:rsid w:val="7CB522BC"/>
    <w:rsid w:val="7CC8E4EF"/>
    <w:rsid w:val="7CCA1CB5"/>
    <w:rsid w:val="7CD49B2B"/>
    <w:rsid w:val="7CDD74C2"/>
    <w:rsid w:val="7CEC6D5F"/>
    <w:rsid w:val="7CF6E3AB"/>
    <w:rsid w:val="7CFCA4ED"/>
    <w:rsid w:val="7CFDA693"/>
    <w:rsid w:val="7D0673B3"/>
    <w:rsid w:val="7D076455"/>
    <w:rsid w:val="7D0D691A"/>
    <w:rsid w:val="7D0EEB40"/>
    <w:rsid w:val="7D220BAB"/>
    <w:rsid w:val="7D37EA07"/>
    <w:rsid w:val="7D37F865"/>
    <w:rsid w:val="7D399D0D"/>
    <w:rsid w:val="7D64F24D"/>
    <w:rsid w:val="7D6E0826"/>
    <w:rsid w:val="7D85E552"/>
    <w:rsid w:val="7DA48AB1"/>
    <w:rsid w:val="7DA53375"/>
    <w:rsid w:val="7DBBBBC7"/>
    <w:rsid w:val="7DC6D6C8"/>
    <w:rsid w:val="7DFDFDE5"/>
    <w:rsid w:val="7E2A0CF8"/>
    <w:rsid w:val="7E30131C"/>
    <w:rsid w:val="7E312FFE"/>
    <w:rsid w:val="7E37F54E"/>
    <w:rsid w:val="7E4FA0D0"/>
    <w:rsid w:val="7E594A70"/>
    <w:rsid w:val="7E70401D"/>
    <w:rsid w:val="7EAF2397"/>
    <w:rsid w:val="7EBE629E"/>
    <w:rsid w:val="7ED35D57"/>
    <w:rsid w:val="7ED41C9F"/>
    <w:rsid w:val="7ED72E58"/>
    <w:rsid w:val="7EDA6BD8"/>
    <w:rsid w:val="7EDCB1C8"/>
    <w:rsid w:val="7EEB2C33"/>
    <w:rsid w:val="7EF5D05C"/>
    <w:rsid w:val="7EF78A16"/>
    <w:rsid w:val="7EFA9B17"/>
    <w:rsid w:val="7F0CBB47"/>
    <w:rsid w:val="7F1EE801"/>
    <w:rsid w:val="7F2F2CB7"/>
    <w:rsid w:val="7F413EDC"/>
    <w:rsid w:val="7F620E7E"/>
    <w:rsid w:val="7F7F40B5"/>
    <w:rsid w:val="7F80CD58"/>
    <w:rsid w:val="7F820D1F"/>
    <w:rsid w:val="7F8E4F85"/>
    <w:rsid w:val="7F91AC88"/>
    <w:rsid w:val="7FAB2656"/>
    <w:rsid w:val="7FCCFF87"/>
    <w:rsid w:val="7FCDDBDC"/>
    <w:rsid w:val="7FD5A8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39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6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7170FB"/>
    <w:pPr>
      <w:numPr>
        <w:numId w:val="14"/>
      </w:numPr>
      <w:ind w:right="2160"/>
    </w:pPr>
    <w:rPr>
      <w:rFonts w:eastAsiaTheme="majorEastAsia" w:cstheme="majorBidi"/>
      <w:szCs w:val="32"/>
    </w:rPr>
  </w:style>
  <w:style w:type="paragraph" w:styleId="Heading2">
    <w:name w:val="heading 2"/>
    <w:basedOn w:val="Dummy"/>
    <w:next w:val="Standard"/>
    <w:link w:val="Heading2Char"/>
    <w:uiPriority w:val="4"/>
    <w:qFormat/>
    <w:rsid w:val="007170FB"/>
    <w:pPr>
      <w:numPr>
        <w:ilvl w:val="1"/>
        <w:numId w:val="14"/>
      </w:numPr>
      <w:ind w:right="2160"/>
      <w:outlineLvl w:val="1"/>
    </w:pPr>
  </w:style>
  <w:style w:type="paragraph" w:styleId="Heading3">
    <w:name w:val="heading 3"/>
    <w:basedOn w:val="Dummy"/>
    <w:next w:val="Standard"/>
    <w:link w:val="Heading3Char"/>
    <w:uiPriority w:val="4"/>
    <w:qFormat/>
    <w:rsid w:val="007170FB"/>
    <w:pPr>
      <w:numPr>
        <w:ilvl w:val="2"/>
        <w:numId w:val="14"/>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7170FB"/>
    <w:pPr>
      <w:numPr>
        <w:ilvl w:val="3"/>
        <w:numId w:val="14"/>
      </w:numPr>
      <w:ind w:right="2160"/>
      <w:outlineLvl w:val="3"/>
    </w:pPr>
    <w:rPr>
      <w:rFonts w:eastAsiaTheme="majorEastAsia" w:cstheme="majorBidi"/>
      <w:iCs/>
    </w:rPr>
  </w:style>
  <w:style w:type="paragraph" w:styleId="Heading5">
    <w:name w:val="heading 5"/>
    <w:basedOn w:val="Dummy"/>
    <w:next w:val="Standard"/>
    <w:link w:val="Heading5Char"/>
    <w:uiPriority w:val="4"/>
    <w:rsid w:val="007170FB"/>
    <w:pPr>
      <w:numPr>
        <w:ilvl w:val="4"/>
        <w:numId w:val="14"/>
      </w:numPr>
      <w:ind w:right="2160"/>
      <w:outlineLvl w:val="4"/>
    </w:pPr>
    <w:rPr>
      <w:rFonts w:eastAsiaTheme="majorEastAsia" w:cstheme="majorBidi"/>
    </w:rPr>
  </w:style>
  <w:style w:type="paragraph" w:styleId="Heading6">
    <w:name w:val="heading 6"/>
    <w:basedOn w:val="Dummy"/>
    <w:next w:val="Standard"/>
    <w:link w:val="Heading6Char"/>
    <w:uiPriority w:val="4"/>
    <w:rsid w:val="007170FB"/>
    <w:pPr>
      <w:numPr>
        <w:ilvl w:val="5"/>
        <w:numId w:val="14"/>
      </w:numPr>
      <w:spacing w:before="40"/>
      <w:ind w:right="2160"/>
      <w:outlineLvl w:val="5"/>
    </w:pPr>
    <w:rPr>
      <w:rFonts w:eastAsiaTheme="majorEastAsia" w:cstheme="majorBidi"/>
    </w:rPr>
  </w:style>
  <w:style w:type="paragraph" w:styleId="Heading7">
    <w:name w:val="heading 7"/>
    <w:basedOn w:val="Normal"/>
    <w:next w:val="Normal"/>
    <w:link w:val="Heading7Char"/>
    <w:uiPriority w:val="9"/>
    <w:semiHidden/>
    <w:qFormat/>
    <w:rsid w:val="00B66DC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170FB"/>
    <w:rPr>
      <w:rFonts w:ascii="Arial" w:eastAsiaTheme="majorEastAsia" w:hAnsi="Arial" w:cstheme="majorBidi"/>
      <w:b/>
      <w:sz w:val="26"/>
      <w:szCs w:val="32"/>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7170FB"/>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170FB"/>
    <w:rPr>
      <w:rFonts w:ascii="Arial" w:hAnsi="Arial" w:cs="Arial"/>
      <w:b/>
      <w:sz w:val="26"/>
      <w:szCs w:val="26"/>
    </w:rPr>
  </w:style>
  <w:style w:type="character" w:customStyle="1" w:styleId="Heading3Char">
    <w:name w:val="Heading 3 Char"/>
    <w:basedOn w:val="DefaultParagraphFont"/>
    <w:link w:val="Heading3"/>
    <w:uiPriority w:val="4"/>
    <w:rsid w:val="007170FB"/>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7170FB"/>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7170FB"/>
    <w:rPr>
      <w:rFonts w:ascii="Arial" w:eastAsiaTheme="majorEastAsia" w:hAnsi="Arial" w:cstheme="majorBidi"/>
      <w:b/>
      <w:sz w:val="26"/>
      <w:szCs w:val="26"/>
    </w:rPr>
  </w:style>
  <w:style w:type="paragraph" w:customStyle="1" w:styleId="Main">
    <w:name w:val="Main"/>
    <w:next w:val="Normal"/>
    <w:uiPriority w:val="19"/>
    <w:rsid w:val="007170FB"/>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7170FB"/>
    <w:pPr>
      <w:keepNext/>
      <w:spacing w:line="360" w:lineRule="auto"/>
      <w:outlineLvl w:val="0"/>
    </w:pPr>
    <w:rPr>
      <w:spacing w:val="120"/>
    </w:rPr>
  </w:style>
  <w:style w:type="paragraph" w:styleId="TOC2">
    <w:name w:val="toc 2"/>
    <w:basedOn w:val="Normal"/>
    <w:next w:val="Normal"/>
    <w:uiPriority w:val="39"/>
    <w:unhideWhenUsed/>
    <w:rsid w:val="007170FB"/>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7170FB"/>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7170FB"/>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1"/>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7170FB"/>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basedOn w:val="DefaultParagraphFont"/>
    <w:uiPriority w:val="99"/>
    <w:unhideWhenUsed/>
    <w:rsid w:val="00DF58E7"/>
    <w:rPr>
      <w:vertAlign w:val="superscript"/>
    </w:rPr>
  </w:style>
  <w:style w:type="paragraph" w:customStyle="1" w:styleId="FoF">
    <w:name w:val="FoF"/>
    <w:basedOn w:val="Standard"/>
    <w:uiPriority w:val="6"/>
    <w:qFormat/>
    <w:rsid w:val="00D13705"/>
    <w:pPr>
      <w:numPr>
        <w:numId w:val="24"/>
      </w:numPr>
      <w:ind w:left="0" w:firstLine="540"/>
    </w:pPr>
  </w:style>
  <w:style w:type="paragraph" w:customStyle="1" w:styleId="CoL">
    <w:name w:val="CoL"/>
    <w:basedOn w:val="Standard"/>
    <w:uiPriority w:val="7"/>
    <w:qFormat/>
    <w:rsid w:val="00D13705"/>
    <w:pPr>
      <w:numPr>
        <w:numId w:val="23"/>
      </w:numPr>
      <w:ind w:left="0" w:firstLine="540"/>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D13705"/>
    <w:pPr>
      <w:numPr>
        <w:numId w:val="2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3"/>
      </w:numPr>
    </w:pPr>
  </w:style>
  <w:style w:type="paragraph" w:customStyle="1" w:styleId="Standard">
    <w:name w:val="Standard"/>
    <w:basedOn w:val="Normal"/>
    <w:qFormat/>
    <w:rsid w:val="007170FB"/>
  </w:style>
  <w:style w:type="paragraph" w:customStyle="1" w:styleId="ListAlpha">
    <w:name w:val="List Alpha"/>
    <w:basedOn w:val="Standard"/>
    <w:uiPriority w:val="4"/>
    <w:qFormat/>
    <w:rsid w:val="000E270A"/>
    <w:pPr>
      <w:numPr>
        <w:ilvl w:val="7"/>
        <w:numId w:val="14"/>
      </w:numPr>
      <w:spacing w:after="120" w:line="240" w:lineRule="auto"/>
    </w:pPr>
  </w:style>
  <w:style w:type="paragraph" w:styleId="ListBullet">
    <w:name w:val="List Bullet"/>
    <w:basedOn w:val="Standard"/>
    <w:uiPriority w:val="4"/>
    <w:qFormat/>
    <w:rsid w:val="001F2819"/>
    <w:pPr>
      <w:numPr>
        <w:numId w:val="4"/>
      </w:numPr>
      <w:tabs>
        <w:tab w:val="clear" w:pos="360"/>
      </w:tabs>
      <w:spacing w:after="120" w:line="240" w:lineRule="auto"/>
      <w:ind w:left="1080"/>
    </w:pPr>
  </w:style>
  <w:style w:type="character" w:customStyle="1" w:styleId="Heading6Char">
    <w:name w:val="Heading 6 Char"/>
    <w:basedOn w:val="DefaultParagraphFont"/>
    <w:link w:val="Heading6"/>
    <w:uiPriority w:val="4"/>
    <w:rsid w:val="007170FB"/>
    <w:rPr>
      <w:rFonts w:ascii="Arial" w:eastAsiaTheme="majorEastAsia" w:hAnsi="Arial" w:cstheme="majorBidi"/>
      <w:b/>
      <w:sz w:val="26"/>
      <w:szCs w:val="26"/>
    </w:rPr>
  </w:style>
  <w:style w:type="paragraph" w:styleId="TOC4">
    <w:name w:val="toc 4"/>
    <w:basedOn w:val="Normal"/>
    <w:next w:val="Normal"/>
    <w:autoRedefine/>
    <w:uiPriority w:val="39"/>
    <w:unhideWhenUsed/>
    <w:rsid w:val="007170FB"/>
    <w:pPr>
      <w:spacing w:line="240" w:lineRule="auto"/>
      <w:ind w:left="1728" w:right="720" w:hanging="1080"/>
    </w:pPr>
  </w:style>
  <w:style w:type="paragraph" w:styleId="TOC5">
    <w:name w:val="toc 5"/>
    <w:basedOn w:val="TOC3"/>
    <w:next w:val="Normal"/>
    <w:autoRedefine/>
    <w:uiPriority w:val="39"/>
    <w:unhideWhenUsed/>
    <w:rsid w:val="007170FB"/>
  </w:style>
  <w:style w:type="paragraph" w:styleId="TOC6">
    <w:name w:val="toc 6"/>
    <w:basedOn w:val="Normal"/>
    <w:next w:val="Normal"/>
    <w:autoRedefine/>
    <w:uiPriority w:val="39"/>
    <w:unhideWhenUsed/>
    <w:rsid w:val="007170FB"/>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4"/>
      </w:numPr>
      <w:spacing w:after="120" w:line="240" w:lineRule="auto"/>
    </w:pPr>
  </w:style>
  <w:style w:type="paragraph" w:styleId="HTMLPreformatted">
    <w:name w:val="HTML Preformatted"/>
    <w:basedOn w:val="Normal"/>
    <w:link w:val="HTMLPreformattedChar"/>
    <w:uiPriority w:val="99"/>
    <w:semiHidden/>
    <w:unhideWhenUsed/>
    <w:rsid w:val="00E7798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7980"/>
    <w:rPr>
      <w:rFonts w:ascii="Consolas" w:hAnsi="Consolas"/>
      <w:sz w:val="20"/>
      <w:szCs w:val="20"/>
    </w:rPr>
  </w:style>
  <w:style w:type="character" w:styleId="CommentReference">
    <w:name w:val="annotation reference"/>
    <w:basedOn w:val="DefaultParagraphFont"/>
    <w:uiPriority w:val="99"/>
    <w:semiHidden/>
    <w:unhideWhenUsed/>
    <w:rsid w:val="003A6305"/>
    <w:rPr>
      <w:sz w:val="16"/>
      <w:szCs w:val="16"/>
    </w:rPr>
  </w:style>
  <w:style w:type="paragraph" w:styleId="CommentText">
    <w:name w:val="annotation text"/>
    <w:basedOn w:val="Normal"/>
    <w:link w:val="CommentTextChar"/>
    <w:uiPriority w:val="99"/>
    <w:unhideWhenUsed/>
    <w:rsid w:val="003A6305"/>
    <w:pPr>
      <w:spacing w:line="240" w:lineRule="auto"/>
    </w:pPr>
    <w:rPr>
      <w:sz w:val="20"/>
      <w:szCs w:val="20"/>
    </w:rPr>
  </w:style>
  <w:style w:type="character" w:customStyle="1" w:styleId="CommentTextChar">
    <w:name w:val="Comment Text Char"/>
    <w:basedOn w:val="DefaultParagraphFont"/>
    <w:link w:val="CommentText"/>
    <w:uiPriority w:val="99"/>
    <w:rsid w:val="003A6305"/>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3A6305"/>
    <w:rPr>
      <w:b/>
      <w:bCs/>
    </w:rPr>
  </w:style>
  <w:style w:type="character" w:customStyle="1" w:styleId="CommentSubjectChar">
    <w:name w:val="Comment Subject Char"/>
    <w:basedOn w:val="CommentTextChar"/>
    <w:link w:val="CommentSubject"/>
    <w:uiPriority w:val="99"/>
    <w:semiHidden/>
    <w:rsid w:val="003A6305"/>
    <w:rPr>
      <w:rFonts w:ascii="Book Antiqua" w:hAnsi="Book Antiqua"/>
      <w:b/>
      <w:bCs/>
      <w:sz w:val="20"/>
      <w:szCs w:val="20"/>
    </w:rPr>
  </w:style>
  <w:style w:type="paragraph" w:styleId="ListParagraph">
    <w:name w:val="List Paragraph"/>
    <w:basedOn w:val="Normal"/>
    <w:link w:val="ListParagraphChar"/>
    <w:uiPriority w:val="1"/>
    <w:qFormat/>
    <w:rsid w:val="00BC5458"/>
    <w:pPr>
      <w:ind w:left="720"/>
      <w:contextualSpacing/>
    </w:pPr>
  </w:style>
  <w:style w:type="character" w:styleId="Mention">
    <w:name w:val="Mention"/>
    <w:basedOn w:val="DefaultParagraphFont"/>
    <w:uiPriority w:val="99"/>
    <w:unhideWhenUsed/>
    <w:rsid w:val="00681EF2"/>
    <w:rPr>
      <w:color w:val="2B579A"/>
      <w:shd w:val="clear" w:color="auto" w:fill="E6E6E6"/>
    </w:rPr>
  </w:style>
  <w:style w:type="character" w:styleId="UnresolvedMention">
    <w:name w:val="Unresolved Mention"/>
    <w:basedOn w:val="DefaultParagraphFont"/>
    <w:uiPriority w:val="99"/>
    <w:semiHidden/>
    <w:unhideWhenUsed/>
    <w:rsid w:val="00D95893"/>
    <w:rPr>
      <w:color w:val="605E5C"/>
      <w:shd w:val="clear" w:color="auto" w:fill="E1DFDD"/>
    </w:rPr>
  </w:style>
  <w:style w:type="character" w:styleId="FollowedHyperlink">
    <w:name w:val="FollowedHyperlink"/>
    <w:basedOn w:val="DefaultParagraphFont"/>
    <w:uiPriority w:val="99"/>
    <w:semiHidden/>
    <w:unhideWhenUsed/>
    <w:rsid w:val="00AD0904"/>
    <w:rPr>
      <w:color w:val="954F72" w:themeColor="followedHyperlink"/>
      <w:u w:val="single"/>
    </w:rPr>
  </w:style>
  <w:style w:type="character" w:customStyle="1" w:styleId="ListParagraphChar">
    <w:name w:val="List Paragraph Char"/>
    <w:basedOn w:val="DefaultParagraphFont"/>
    <w:link w:val="ListParagraph"/>
    <w:uiPriority w:val="34"/>
    <w:rsid w:val="00661C96"/>
    <w:rPr>
      <w:rFonts w:ascii="Book Antiqua" w:hAnsi="Book Antiqua"/>
      <w:sz w:val="26"/>
    </w:rPr>
  </w:style>
  <w:style w:type="character" w:customStyle="1" w:styleId="normaltextrun">
    <w:name w:val="normaltextrun"/>
    <w:basedOn w:val="DefaultParagraphFont"/>
    <w:rsid w:val="00F243A4"/>
  </w:style>
  <w:style w:type="paragraph" w:customStyle="1" w:styleId="Default">
    <w:name w:val="Default"/>
    <w:rsid w:val="00FC6155"/>
    <w:pPr>
      <w:autoSpaceDE w:val="0"/>
      <w:autoSpaceDN w:val="0"/>
      <w:adjustRightInd w:val="0"/>
      <w:spacing w:after="0" w:line="240" w:lineRule="auto"/>
    </w:pPr>
    <w:rPr>
      <w:rFonts w:ascii="Calibri" w:hAnsi="Calibri" w:cs="Calibri"/>
      <w:color w:val="000000"/>
      <w:sz w:val="24"/>
      <w:szCs w:val="24"/>
    </w:rPr>
  </w:style>
  <w:style w:type="character" w:customStyle="1" w:styleId="Heading7Char">
    <w:name w:val="Heading 7 Char"/>
    <w:basedOn w:val="DefaultParagraphFont"/>
    <w:link w:val="Heading7"/>
    <w:uiPriority w:val="9"/>
    <w:semiHidden/>
    <w:rsid w:val="00B66DCC"/>
    <w:rPr>
      <w:rFonts w:asciiTheme="majorHAnsi" w:eastAsiaTheme="majorEastAsia" w:hAnsiTheme="majorHAnsi" w:cstheme="majorBidi"/>
      <w:i/>
      <w:iCs/>
      <w:color w:val="1F3763" w:themeColor="accent1" w:themeShade="7F"/>
      <w:sz w:val="26"/>
    </w:rPr>
  </w:style>
  <w:style w:type="paragraph" w:customStyle="1" w:styleId="paragraph">
    <w:name w:val="paragraph"/>
    <w:basedOn w:val="Normal"/>
    <w:rsid w:val="00412803"/>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eop">
    <w:name w:val="eop"/>
    <w:basedOn w:val="DefaultParagraphFont"/>
    <w:rsid w:val="00412803"/>
  </w:style>
  <w:style w:type="paragraph" w:styleId="Revision">
    <w:name w:val="Revision"/>
    <w:hidden/>
    <w:uiPriority w:val="99"/>
    <w:semiHidden/>
    <w:rsid w:val="00853A7E"/>
    <w:pPr>
      <w:spacing w:after="0" w:line="240" w:lineRule="auto"/>
    </w:pPr>
    <w:rPr>
      <w:rFonts w:ascii="Book Antiqua" w:hAnsi="Book Antiqua"/>
      <w:sz w:val="26"/>
    </w:rPr>
  </w:style>
  <w:style w:type="paragraph" w:styleId="TOC7">
    <w:name w:val="toc 7"/>
    <w:basedOn w:val="Normal"/>
    <w:next w:val="Normal"/>
    <w:autoRedefine/>
    <w:uiPriority w:val="39"/>
    <w:unhideWhenUsed/>
    <w:rsid w:val="007170FB"/>
    <w:pPr>
      <w:spacing w:after="100" w:line="278" w:lineRule="auto"/>
      <w:ind w:left="1440" w:right="720" w:firstLine="0"/>
    </w:pPr>
    <w:rPr>
      <w:rFonts w:asciiTheme="minorHAnsi" w:eastAsiaTheme="minorEastAsia" w:hAnsiTheme="minorHAnsi"/>
      <w:kern w:val="2"/>
      <w:sz w:val="24"/>
      <w:szCs w:val="24"/>
      <w14:ligatures w14:val="standardContextual"/>
    </w:rPr>
  </w:style>
  <w:style w:type="paragraph" w:styleId="TOC8">
    <w:name w:val="toc 8"/>
    <w:basedOn w:val="Normal"/>
    <w:next w:val="Normal"/>
    <w:autoRedefine/>
    <w:uiPriority w:val="39"/>
    <w:unhideWhenUsed/>
    <w:rsid w:val="00703244"/>
    <w:pPr>
      <w:spacing w:after="100" w:line="278" w:lineRule="auto"/>
      <w:ind w:left="1680" w:firstLine="0"/>
    </w:pPr>
    <w:rPr>
      <w:rFonts w:asciiTheme="minorHAnsi" w:eastAsiaTheme="minorEastAsia" w:hAnsiTheme="minorHAnsi"/>
      <w:kern w:val="2"/>
      <w:sz w:val="24"/>
      <w:szCs w:val="24"/>
      <w14:ligatures w14:val="standardContextual"/>
    </w:rPr>
  </w:style>
  <w:style w:type="paragraph" w:styleId="EndnoteText">
    <w:name w:val="endnote text"/>
    <w:basedOn w:val="Normal"/>
    <w:link w:val="EndnoteTextChar"/>
    <w:uiPriority w:val="99"/>
    <w:semiHidden/>
    <w:unhideWhenUsed/>
    <w:rsid w:val="00955096"/>
    <w:pPr>
      <w:spacing w:line="240" w:lineRule="auto"/>
    </w:pPr>
    <w:rPr>
      <w:sz w:val="20"/>
      <w:szCs w:val="20"/>
    </w:rPr>
  </w:style>
  <w:style w:type="character" w:customStyle="1" w:styleId="EndnoteTextChar">
    <w:name w:val="Endnote Text Char"/>
    <w:basedOn w:val="DefaultParagraphFont"/>
    <w:link w:val="EndnoteText"/>
    <w:uiPriority w:val="99"/>
    <w:semiHidden/>
    <w:rsid w:val="00955096"/>
    <w:rPr>
      <w:rFonts w:ascii="Book Antiqua" w:hAnsi="Book Antiqua"/>
      <w:sz w:val="20"/>
      <w:szCs w:val="20"/>
    </w:rPr>
  </w:style>
  <w:style w:type="character" w:styleId="EndnoteReference">
    <w:name w:val="endnote reference"/>
    <w:basedOn w:val="DefaultParagraphFont"/>
    <w:uiPriority w:val="99"/>
    <w:semiHidden/>
    <w:unhideWhenUsed/>
    <w:rsid w:val="00955096"/>
    <w:rPr>
      <w:vertAlign w:val="superscript"/>
    </w:rPr>
  </w:style>
  <w:style w:type="paragraph" w:styleId="BodyText">
    <w:name w:val="Body Text"/>
    <w:basedOn w:val="Normal"/>
    <w:link w:val="BodyTextChar"/>
    <w:uiPriority w:val="1"/>
    <w:qFormat/>
    <w:rsid w:val="00014BFF"/>
    <w:pPr>
      <w:widowControl w:val="0"/>
      <w:autoSpaceDE w:val="0"/>
      <w:autoSpaceDN w:val="0"/>
      <w:spacing w:line="240" w:lineRule="auto"/>
      <w:ind w:left="2261" w:hanging="720"/>
    </w:pPr>
    <w:rPr>
      <w:rFonts w:eastAsia="Book Antiqua" w:cs="Book Antiqua"/>
      <w:sz w:val="24"/>
      <w:szCs w:val="24"/>
    </w:rPr>
  </w:style>
  <w:style w:type="character" w:customStyle="1" w:styleId="BodyTextChar">
    <w:name w:val="Body Text Char"/>
    <w:basedOn w:val="DefaultParagraphFont"/>
    <w:link w:val="BodyText"/>
    <w:uiPriority w:val="1"/>
    <w:rsid w:val="00014BFF"/>
    <w:rPr>
      <w:rFonts w:ascii="Book Antiqua" w:eastAsia="Book Antiqua" w:hAnsi="Book Antiqua" w:cs="Book Antiqua"/>
      <w:sz w:val="24"/>
      <w:szCs w:val="24"/>
    </w:rPr>
  </w:style>
  <w:style w:type="table" w:customStyle="1" w:styleId="TableGrid11">
    <w:name w:val="Table Grid11"/>
    <w:basedOn w:val="TableNormal"/>
    <w:next w:val="TableGrid"/>
    <w:uiPriority w:val="39"/>
    <w:rsid w:val="00D13705"/>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106">
      <w:bodyDiv w:val="1"/>
      <w:marLeft w:val="0"/>
      <w:marRight w:val="0"/>
      <w:marTop w:val="0"/>
      <w:marBottom w:val="0"/>
      <w:divBdr>
        <w:top w:val="none" w:sz="0" w:space="0" w:color="auto"/>
        <w:left w:val="none" w:sz="0" w:space="0" w:color="auto"/>
        <w:bottom w:val="none" w:sz="0" w:space="0" w:color="auto"/>
        <w:right w:val="none" w:sz="0" w:space="0" w:color="auto"/>
      </w:divBdr>
      <w:divsChild>
        <w:div w:id="258635313">
          <w:marLeft w:val="0"/>
          <w:marRight w:val="0"/>
          <w:marTop w:val="0"/>
          <w:marBottom w:val="240"/>
          <w:divBdr>
            <w:top w:val="none" w:sz="0" w:space="0" w:color="auto"/>
            <w:left w:val="none" w:sz="0" w:space="0" w:color="auto"/>
            <w:bottom w:val="none" w:sz="0" w:space="0" w:color="auto"/>
            <w:right w:val="none" w:sz="0" w:space="0" w:color="auto"/>
          </w:divBdr>
        </w:div>
        <w:div w:id="443697888">
          <w:marLeft w:val="0"/>
          <w:marRight w:val="0"/>
          <w:marTop w:val="0"/>
          <w:marBottom w:val="240"/>
          <w:divBdr>
            <w:top w:val="none" w:sz="0" w:space="0" w:color="auto"/>
            <w:left w:val="none" w:sz="0" w:space="0" w:color="auto"/>
            <w:bottom w:val="none" w:sz="0" w:space="0" w:color="auto"/>
            <w:right w:val="none" w:sz="0" w:space="0" w:color="auto"/>
          </w:divBdr>
        </w:div>
        <w:div w:id="888108438">
          <w:marLeft w:val="0"/>
          <w:marRight w:val="0"/>
          <w:marTop w:val="0"/>
          <w:marBottom w:val="240"/>
          <w:divBdr>
            <w:top w:val="none" w:sz="0" w:space="0" w:color="auto"/>
            <w:left w:val="none" w:sz="0" w:space="0" w:color="auto"/>
            <w:bottom w:val="none" w:sz="0" w:space="0" w:color="auto"/>
            <w:right w:val="none" w:sz="0" w:space="0" w:color="auto"/>
          </w:divBdr>
        </w:div>
        <w:div w:id="1554385837">
          <w:marLeft w:val="0"/>
          <w:marRight w:val="0"/>
          <w:marTop w:val="0"/>
          <w:marBottom w:val="240"/>
          <w:divBdr>
            <w:top w:val="none" w:sz="0" w:space="0" w:color="auto"/>
            <w:left w:val="none" w:sz="0" w:space="0" w:color="auto"/>
            <w:bottom w:val="none" w:sz="0" w:space="0" w:color="auto"/>
            <w:right w:val="none" w:sz="0" w:space="0" w:color="auto"/>
          </w:divBdr>
        </w:div>
        <w:div w:id="1650940245">
          <w:marLeft w:val="0"/>
          <w:marRight w:val="0"/>
          <w:marTop w:val="0"/>
          <w:marBottom w:val="240"/>
          <w:divBdr>
            <w:top w:val="none" w:sz="0" w:space="0" w:color="auto"/>
            <w:left w:val="none" w:sz="0" w:space="0" w:color="auto"/>
            <w:bottom w:val="none" w:sz="0" w:space="0" w:color="auto"/>
            <w:right w:val="none" w:sz="0" w:space="0" w:color="auto"/>
          </w:divBdr>
        </w:div>
      </w:divsChild>
    </w:div>
    <w:div w:id="21134666">
      <w:bodyDiv w:val="1"/>
      <w:marLeft w:val="0"/>
      <w:marRight w:val="0"/>
      <w:marTop w:val="0"/>
      <w:marBottom w:val="0"/>
      <w:divBdr>
        <w:top w:val="none" w:sz="0" w:space="0" w:color="auto"/>
        <w:left w:val="none" w:sz="0" w:space="0" w:color="auto"/>
        <w:bottom w:val="none" w:sz="0" w:space="0" w:color="auto"/>
        <w:right w:val="none" w:sz="0" w:space="0" w:color="auto"/>
      </w:divBdr>
    </w:div>
    <w:div w:id="34475268">
      <w:bodyDiv w:val="1"/>
      <w:marLeft w:val="0"/>
      <w:marRight w:val="0"/>
      <w:marTop w:val="0"/>
      <w:marBottom w:val="0"/>
      <w:divBdr>
        <w:top w:val="none" w:sz="0" w:space="0" w:color="auto"/>
        <w:left w:val="none" w:sz="0" w:space="0" w:color="auto"/>
        <w:bottom w:val="none" w:sz="0" w:space="0" w:color="auto"/>
        <w:right w:val="none" w:sz="0" w:space="0" w:color="auto"/>
      </w:divBdr>
    </w:div>
    <w:div w:id="34626273">
      <w:bodyDiv w:val="1"/>
      <w:marLeft w:val="0"/>
      <w:marRight w:val="0"/>
      <w:marTop w:val="0"/>
      <w:marBottom w:val="0"/>
      <w:divBdr>
        <w:top w:val="none" w:sz="0" w:space="0" w:color="auto"/>
        <w:left w:val="none" w:sz="0" w:space="0" w:color="auto"/>
        <w:bottom w:val="none" w:sz="0" w:space="0" w:color="auto"/>
        <w:right w:val="none" w:sz="0" w:space="0" w:color="auto"/>
      </w:divBdr>
    </w:div>
    <w:div w:id="60491061">
      <w:bodyDiv w:val="1"/>
      <w:marLeft w:val="0"/>
      <w:marRight w:val="0"/>
      <w:marTop w:val="0"/>
      <w:marBottom w:val="0"/>
      <w:divBdr>
        <w:top w:val="none" w:sz="0" w:space="0" w:color="auto"/>
        <w:left w:val="none" w:sz="0" w:space="0" w:color="auto"/>
        <w:bottom w:val="none" w:sz="0" w:space="0" w:color="auto"/>
        <w:right w:val="none" w:sz="0" w:space="0" w:color="auto"/>
      </w:divBdr>
      <w:divsChild>
        <w:div w:id="658116226">
          <w:marLeft w:val="0"/>
          <w:marRight w:val="0"/>
          <w:marTop w:val="0"/>
          <w:marBottom w:val="0"/>
          <w:divBdr>
            <w:top w:val="none" w:sz="0" w:space="0" w:color="auto"/>
            <w:left w:val="none" w:sz="0" w:space="0" w:color="auto"/>
            <w:bottom w:val="none" w:sz="0" w:space="0" w:color="auto"/>
            <w:right w:val="none" w:sz="0" w:space="0" w:color="auto"/>
          </w:divBdr>
        </w:div>
        <w:div w:id="1049260777">
          <w:marLeft w:val="0"/>
          <w:marRight w:val="0"/>
          <w:marTop w:val="0"/>
          <w:marBottom w:val="0"/>
          <w:divBdr>
            <w:top w:val="none" w:sz="0" w:space="0" w:color="auto"/>
            <w:left w:val="none" w:sz="0" w:space="0" w:color="auto"/>
            <w:bottom w:val="none" w:sz="0" w:space="0" w:color="auto"/>
            <w:right w:val="none" w:sz="0" w:space="0" w:color="auto"/>
          </w:divBdr>
        </w:div>
        <w:div w:id="1092240939">
          <w:marLeft w:val="0"/>
          <w:marRight w:val="0"/>
          <w:marTop w:val="0"/>
          <w:marBottom w:val="0"/>
          <w:divBdr>
            <w:top w:val="none" w:sz="0" w:space="0" w:color="auto"/>
            <w:left w:val="none" w:sz="0" w:space="0" w:color="auto"/>
            <w:bottom w:val="none" w:sz="0" w:space="0" w:color="auto"/>
            <w:right w:val="none" w:sz="0" w:space="0" w:color="auto"/>
          </w:divBdr>
        </w:div>
        <w:div w:id="1499272344">
          <w:marLeft w:val="0"/>
          <w:marRight w:val="0"/>
          <w:marTop w:val="0"/>
          <w:marBottom w:val="0"/>
          <w:divBdr>
            <w:top w:val="none" w:sz="0" w:space="0" w:color="auto"/>
            <w:left w:val="none" w:sz="0" w:space="0" w:color="auto"/>
            <w:bottom w:val="none" w:sz="0" w:space="0" w:color="auto"/>
            <w:right w:val="none" w:sz="0" w:space="0" w:color="auto"/>
          </w:divBdr>
        </w:div>
      </w:divsChild>
    </w:div>
    <w:div w:id="73354995">
      <w:bodyDiv w:val="1"/>
      <w:marLeft w:val="0"/>
      <w:marRight w:val="0"/>
      <w:marTop w:val="0"/>
      <w:marBottom w:val="0"/>
      <w:divBdr>
        <w:top w:val="none" w:sz="0" w:space="0" w:color="auto"/>
        <w:left w:val="none" w:sz="0" w:space="0" w:color="auto"/>
        <w:bottom w:val="none" w:sz="0" w:space="0" w:color="auto"/>
        <w:right w:val="none" w:sz="0" w:space="0" w:color="auto"/>
      </w:divBdr>
    </w:div>
    <w:div w:id="102187191">
      <w:bodyDiv w:val="1"/>
      <w:marLeft w:val="0"/>
      <w:marRight w:val="0"/>
      <w:marTop w:val="0"/>
      <w:marBottom w:val="0"/>
      <w:divBdr>
        <w:top w:val="none" w:sz="0" w:space="0" w:color="auto"/>
        <w:left w:val="none" w:sz="0" w:space="0" w:color="auto"/>
        <w:bottom w:val="none" w:sz="0" w:space="0" w:color="auto"/>
        <w:right w:val="none" w:sz="0" w:space="0" w:color="auto"/>
      </w:divBdr>
    </w:div>
    <w:div w:id="127817393">
      <w:bodyDiv w:val="1"/>
      <w:marLeft w:val="0"/>
      <w:marRight w:val="0"/>
      <w:marTop w:val="0"/>
      <w:marBottom w:val="0"/>
      <w:divBdr>
        <w:top w:val="none" w:sz="0" w:space="0" w:color="auto"/>
        <w:left w:val="none" w:sz="0" w:space="0" w:color="auto"/>
        <w:bottom w:val="none" w:sz="0" w:space="0" w:color="auto"/>
        <w:right w:val="none" w:sz="0" w:space="0" w:color="auto"/>
      </w:divBdr>
    </w:div>
    <w:div w:id="134378211">
      <w:bodyDiv w:val="1"/>
      <w:marLeft w:val="0"/>
      <w:marRight w:val="0"/>
      <w:marTop w:val="0"/>
      <w:marBottom w:val="0"/>
      <w:divBdr>
        <w:top w:val="none" w:sz="0" w:space="0" w:color="auto"/>
        <w:left w:val="none" w:sz="0" w:space="0" w:color="auto"/>
        <w:bottom w:val="none" w:sz="0" w:space="0" w:color="auto"/>
        <w:right w:val="none" w:sz="0" w:space="0" w:color="auto"/>
      </w:divBdr>
      <w:divsChild>
        <w:div w:id="168562551">
          <w:marLeft w:val="0"/>
          <w:marRight w:val="0"/>
          <w:marTop w:val="0"/>
          <w:marBottom w:val="0"/>
          <w:divBdr>
            <w:top w:val="none" w:sz="0" w:space="0" w:color="auto"/>
            <w:left w:val="none" w:sz="0" w:space="0" w:color="auto"/>
            <w:bottom w:val="none" w:sz="0" w:space="0" w:color="auto"/>
            <w:right w:val="none" w:sz="0" w:space="0" w:color="auto"/>
          </w:divBdr>
        </w:div>
        <w:div w:id="211502152">
          <w:marLeft w:val="0"/>
          <w:marRight w:val="0"/>
          <w:marTop w:val="0"/>
          <w:marBottom w:val="0"/>
          <w:divBdr>
            <w:top w:val="none" w:sz="0" w:space="0" w:color="auto"/>
            <w:left w:val="none" w:sz="0" w:space="0" w:color="auto"/>
            <w:bottom w:val="none" w:sz="0" w:space="0" w:color="auto"/>
            <w:right w:val="none" w:sz="0" w:space="0" w:color="auto"/>
          </w:divBdr>
        </w:div>
        <w:div w:id="1116214958">
          <w:marLeft w:val="0"/>
          <w:marRight w:val="0"/>
          <w:marTop w:val="0"/>
          <w:marBottom w:val="0"/>
          <w:divBdr>
            <w:top w:val="none" w:sz="0" w:space="0" w:color="auto"/>
            <w:left w:val="none" w:sz="0" w:space="0" w:color="auto"/>
            <w:bottom w:val="none" w:sz="0" w:space="0" w:color="auto"/>
            <w:right w:val="none" w:sz="0" w:space="0" w:color="auto"/>
          </w:divBdr>
        </w:div>
        <w:div w:id="1127622343">
          <w:marLeft w:val="0"/>
          <w:marRight w:val="0"/>
          <w:marTop w:val="0"/>
          <w:marBottom w:val="0"/>
          <w:divBdr>
            <w:top w:val="none" w:sz="0" w:space="0" w:color="auto"/>
            <w:left w:val="none" w:sz="0" w:space="0" w:color="auto"/>
            <w:bottom w:val="none" w:sz="0" w:space="0" w:color="auto"/>
            <w:right w:val="none" w:sz="0" w:space="0" w:color="auto"/>
          </w:divBdr>
        </w:div>
      </w:divsChild>
    </w:div>
    <w:div w:id="152336999">
      <w:bodyDiv w:val="1"/>
      <w:marLeft w:val="0"/>
      <w:marRight w:val="0"/>
      <w:marTop w:val="0"/>
      <w:marBottom w:val="0"/>
      <w:divBdr>
        <w:top w:val="none" w:sz="0" w:space="0" w:color="auto"/>
        <w:left w:val="none" w:sz="0" w:space="0" w:color="auto"/>
        <w:bottom w:val="none" w:sz="0" w:space="0" w:color="auto"/>
        <w:right w:val="none" w:sz="0" w:space="0" w:color="auto"/>
      </w:divBdr>
      <w:divsChild>
        <w:div w:id="281692875">
          <w:marLeft w:val="0"/>
          <w:marRight w:val="0"/>
          <w:marTop w:val="0"/>
          <w:marBottom w:val="0"/>
          <w:divBdr>
            <w:top w:val="none" w:sz="0" w:space="0" w:color="auto"/>
            <w:left w:val="none" w:sz="0" w:space="0" w:color="auto"/>
            <w:bottom w:val="none" w:sz="0" w:space="0" w:color="auto"/>
            <w:right w:val="none" w:sz="0" w:space="0" w:color="auto"/>
          </w:divBdr>
        </w:div>
        <w:div w:id="423308422">
          <w:marLeft w:val="0"/>
          <w:marRight w:val="0"/>
          <w:marTop w:val="0"/>
          <w:marBottom w:val="0"/>
          <w:divBdr>
            <w:top w:val="none" w:sz="0" w:space="0" w:color="auto"/>
            <w:left w:val="none" w:sz="0" w:space="0" w:color="auto"/>
            <w:bottom w:val="none" w:sz="0" w:space="0" w:color="auto"/>
            <w:right w:val="none" w:sz="0" w:space="0" w:color="auto"/>
          </w:divBdr>
        </w:div>
        <w:div w:id="663048661">
          <w:marLeft w:val="0"/>
          <w:marRight w:val="0"/>
          <w:marTop w:val="0"/>
          <w:marBottom w:val="0"/>
          <w:divBdr>
            <w:top w:val="none" w:sz="0" w:space="0" w:color="auto"/>
            <w:left w:val="none" w:sz="0" w:space="0" w:color="auto"/>
            <w:bottom w:val="none" w:sz="0" w:space="0" w:color="auto"/>
            <w:right w:val="none" w:sz="0" w:space="0" w:color="auto"/>
          </w:divBdr>
        </w:div>
        <w:div w:id="2033342326">
          <w:marLeft w:val="0"/>
          <w:marRight w:val="0"/>
          <w:marTop w:val="0"/>
          <w:marBottom w:val="0"/>
          <w:divBdr>
            <w:top w:val="none" w:sz="0" w:space="0" w:color="auto"/>
            <w:left w:val="none" w:sz="0" w:space="0" w:color="auto"/>
            <w:bottom w:val="none" w:sz="0" w:space="0" w:color="auto"/>
            <w:right w:val="none" w:sz="0" w:space="0" w:color="auto"/>
          </w:divBdr>
        </w:div>
      </w:divsChild>
    </w:div>
    <w:div w:id="162940048">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189421929">
      <w:bodyDiv w:val="1"/>
      <w:marLeft w:val="0"/>
      <w:marRight w:val="0"/>
      <w:marTop w:val="0"/>
      <w:marBottom w:val="0"/>
      <w:divBdr>
        <w:top w:val="none" w:sz="0" w:space="0" w:color="auto"/>
        <w:left w:val="none" w:sz="0" w:space="0" w:color="auto"/>
        <w:bottom w:val="none" w:sz="0" w:space="0" w:color="auto"/>
        <w:right w:val="none" w:sz="0" w:space="0" w:color="auto"/>
      </w:divBdr>
    </w:div>
    <w:div w:id="223377299">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44924961">
      <w:bodyDiv w:val="1"/>
      <w:marLeft w:val="0"/>
      <w:marRight w:val="0"/>
      <w:marTop w:val="0"/>
      <w:marBottom w:val="0"/>
      <w:divBdr>
        <w:top w:val="none" w:sz="0" w:space="0" w:color="auto"/>
        <w:left w:val="none" w:sz="0" w:space="0" w:color="auto"/>
        <w:bottom w:val="none" w:sz="0" w:space="0" w:color="auto"/>
        <w:right w:val="none" w:sz="0" w:space="0" w:color="auto"/>
      </w:divBdr>
    </w:div>
    <w:div w:id="255674434">
      <w:bodyDiv w:val="1"/>
      <w:marLeft w:val="0"/>
      <w:marRight w:val="0"/>
      <w:marTop w:val="0"/>
      <w:marBottom w:val="0"/>
      <w:divBdr>
        <w:top w:val="none" w:sz="0" w:space="0" w:color="auto"/>
        <w:left w:val="none" w:sz="0" w:space="0" w:color="auto"/>
        <w:bottom w:val="none" w:sz="0" w:space="0" w:color="auto"/>
        <w:right w:val="none" w:sz="0" w:space="0" w:color="auto"/>
      </w:divBdr>
      <w:divsChild>
        <w:div w:id="582035809">
          <w:marLeft w:val="0"/>
          <w:marRight w:val="0"/>
          <w:marTop w:val="0"/>
          <w:marBottom w:val="240"/>
          <w:divBdr>
            <w:top w:val="none" w:sz="0" w:space="0" w:color="auto"/>
            <w:left w:val="none" w:sz="0" w:space="0" w:color="auto"/>
            <w:bottom w:val="none" w:sz="0" w:space="0" w:color="auto"/>
            <w:right w:val="none" w:sz="0" w:space="0" w:color="auto"/>
          </w:divBdr>
        </w:div>
        <w:div w:id="1432780606">
          <w:marLeft w:val="0"/>
          <w:marRight w:val="0"/>
          <w:marTop w:val="0"/>
          <w:marBottom w:val="240"/>
          <w:divBdr>
            <w:top w:val="none" w:sz="0" w:space="0" w:color="auto"/>
            <w:left w:val="none" w:sz="0" w:space="0" w:color="auto"/>
            <w:bottom w:val="none" w:sz="0" w:space="0" w:color="auto"/>
            <w:right w:val="none" w:sz="0" w:space="0" w:color="auto"/>
          </w:divBdr>
        </w:div>
        <w:div w:id="1477599913">
          <w:marLeft w:val="0"/>
          <w:marRight w:val="0"/>
          <w:marTop w:val="0"/>
          <w:marBottom w:val="240"/>
          <w:divBdr>
            <w:top w:val="none" w:sz="0" w:space="0" w:color="auto"/>
            <w:left w:val="none" w:sz="0" w:space="0" w:color="auto"/>
            <w:bottom w:val="none" w:sz="0" w:space="0" w:color="auto"/>
            <w:right w:val="none" w:sz="0" w:space="0" w:color="auto"/>
          </w:divBdr>
        </w:div>
        <w:div w:id="1606572290">
          <w:marLeft w:val="0"/>
          <w:marRight w:val="0"/>
          <w:marTop w:val="0"/>
          <w:marBottom w:val="240"/>
          <w:divBdr>
            <w:top w:val="none" w:sz="0" w:space="0" w:color="auto"/>
            <w:left w:val="none" w:sz="0" w:space="0" w:color="auto"/>
            <w:bottom w:val="none" w:sz="0" w:space="0" w:color="auto"/>
            <w:right w:val="none" w:sz="0" w:space="0" w:color="auto"/>
          </w:divBdr>
        </w:div>
        <w:div w:id="1871801230">
          <w:marLeft w:val="0"/>
          <w:marRight w:val="0"/>
          <w:marTop w:val="0"/>
          <w:marBottom w:val="240"/>
          <w:divBdr>
            <w:top w:val="none" w:sz="0" w:space="0" w:color="auto"/>
            <w:left w:val="none" w:sz="0" w:space="0" w:color="auto"/>
            <w:bottom w:val="none" w:sz="0" w:space="0" w:color="auto"/>
            <w:right w:val="none" w:sz="0" w:space="0" w:color="auto"/>
          </w:divBdr>
        </w:div>
      </w:divsChild>
    </w:div>
    <w:div w:id="263848505">
      <w:bodyDiv w:val="1"/>
      <w:marLeft w:val="0"/>
      <w:marRight w:val="0"/>
      <w:marTop w:val="0"/>
      <w:marBottom w:val="0"/>
      <w:divBdr>
        <w:top w:val="none" w:sz="0" w:space="0" w:color="auto"/>
        <w:left w:val="none" w:sz="0" w:space="0" w:color="auto"/>
        <w:bottom w:val="none" w:sz="0" w:space="0" w:color="auto"/>
        <w:right w:val="none" w:sz="0" w:space="0" w:color="auto"/>
      </w:divBdr>
      <w:divsChild>
        <w:div w:id="659699222">
          <w:marLeft w:val="0"/>
          <w:marRight w:val="0"/>
          <w:marTop w:val="0"/>
          <w:marBottom w:val="0"/>
          <w:divBdr>
            <w:top w:val="none" w:sz="0" w:space="0" w:color="auto"/>
            <w:left w:val="none" w:sz="0" w:space="0" w:color="auto"/>
            <w:bottom w:val="none" w:sz="0" w:space="0" w:color="auto"/>
            <w:right w:val="none" w:sz="0" w:space="0" w:color="auto"/>
          </w:divBdr>
        </w:div>
        <w:div w:id="963464145">
          <w:marLeft w:val="0"/>
          <w:marRight w:val="0"/>
          <w:marTop w:val="0"/>
          <w:marBottom w:val="0"/>
          <w:divBdr>
            <w:top w:val="none" w:sz="0" w:space="0" w:color="auto"/>
            <w:left w:val="none" w:sz="0" w:space="0" w:color="auto"/>
            <w:bottom w:val="none" w:sz="0" w:space="0" w:color="auto"/>
            <w:right w:val="none" w:sz="0" w:space="0" w:color="auto"/>
          </w:divBdr>
        </w:div>
      </w:divsChild>
    </w:div>
    <w:div w:id="285694669">
      <w:bodyDiv w:val="1"/>
      <w:marLeft w:val="0"/>
      <w:marRight w:val="0"/>
      <w:marTop w:val="0"/>
      <w:marBottom w:val="0"/>
      <w:divBdr>
        <w:top w:val="none" w:sz="0" w:space="0" w:color="auto"/>
        <w:left w:val="none" w:sz="0" w:space="0" w:color="auto"/>
        <w:bottom w:val="none" w:sz="0" w:space="0" w:color="auto"/>
        <w:right w:val="none" w:sz="0" w:space="0" w:color="auto"/>
      </w:divBdr>
      <w:divsChild>
        <w:div w:id="299261757">
          <w:marLeft w:val="0"/>
          <w:marRight w:val="0"/>
          <w:marTop w:val="0"/>
          <w:marBottom w:val="0"/>
          <w:divBdr>
            <w:top w:val="none" w:sz="0" w:space="0" w:color="auto"/>
            <w:left w:val="none" w:sz="0" w:space="0" w:color="auto"/>
            <w:bottom w:val="none" w:sz="0" w:space="0" w:color="auto"/>
            <w:right w:val="none" w:sz="0" w:space="0" w:color="auto"/>
          </w:divBdr>
        </w:div>
        <w:div w:id="422337498">
          <w:marLeft w:val="0"/>
          <w:marRight w:val="0"/>
          <w:marTop w:val="0"/>
          <w:marBottom w:val="0"/>
          <w:divBdr>
            <w:top w:val="none" w:sz="0" w:space="0" w:color="auto"/>
            <w:left w:val="none" w:sz="0" w:space="0" w:color="auto"/>
            <w:bottom w:val="none" w:sz="0" w:space="0" w:color="auto"/>
            <w:right w:val="none" w:sz="0" w:space="0" w:color="auto"/>
          </w:divBdr>
        </w:div>
        <w:div w:id="478117213">
          <w:marLeft w:val="0"/>
          <w:marRight w:val="0"/>
          <w:marTop w:val="0"/>
          <w:marBottom w:val="0"/>
          <w:divBdr>
            <w:top w:val="none" w:sz="0" w:space="0" w:color="auto"/>
            <w:left w:val="none" w:sz="0" w:space="0" w:color="auto"/>
            <w:bottom w:val="none" w:sz="0" w:space="0" w:color="auto"/>
            <w:right w:val="none" w:sz="0" w:space="0" w:color="auto"/>
          </w:divBdr>
        </w:div>
        <w:div w:id="528446101">
          <w:marLeft w:val="0"/>
          <w:marRight w:val="0"/>
          <w:marTop w:val="0"/>
          <w:marBottom w:val="0"/>
          <w:divBdr>
            <w:top w:val="none" w:sz="0" w:space="0" w:color="auto"/>
            <w:left w:val="none" w:sz="0" w:space="0" w:color="auto"/>
            <w:bottom w:val="none" w:sz="0" w:space="0" w:color="auto"/>
            <w:right w:val="none" w:sz="0" w:space="0" w:color="auto"/>
          </w:divBdr>
        </w:div>
        <w:div w:id="623465471">
          <w:marLeft w:val="0"/>
          <w:marRight w:val="0"/>
          <w:marTop w:val="0"/>
          <w:marBottom w:val="0"/>
          <w:divBdr>
            <w:top w:val="none" w:sz="0" w:space="0" w:color="auto"/>
            <w:left w:val="none" w:sz="0" w:space="0" w:color="auto"/>
            <w:bottom w:val="none" w:sz="0" w:space="0" w:color="auto"/>
            <w:right w:val="none" w:sz="0" w:space="0" w:color="auto"/>
          </w:divBdr>
        </w:div>
        <w:div w:id="1318076534">
          <w:marLeft w:val="0"/>
          <w:marRight w:val="0"/>
          <w:marTop w:val="0"/>
          <w:marBottom w:val="0"/>
          <w:divBdr>
            <w:top w:val="none" w:sz="0" w:space="0" w:color="auto"/>
            <w:left w:val="none" w:sz="0" w:space="0" w:color="auto"/>
            <w:bottom w:val="none" w:sz="0" w:space="0" w:color="auto"/>
            <w:right w:val="none" w:sz="0" w:space="0" w:color="auto"/>
          </w:divBdr>
        </w:div>
        <w:div w:id="1328366133">
          <w:marLeft w:val="0"/>
          <w:marRight w:val="0"/>
          <w:marTop w:val="0"/>
          <w:marBottom w:val="0"/>
          <w:divBdr>
            <w:top w:val="none" w:sz="0" w:space="0" w:color="auto"/>
            <w:left w:val="none" w:sz="0" w:space="0" w:color="auto"/>
            <w:bottom w:val="none" w:sz="0" w:space="0" w:color="auto"/>
            <w:right w:val="none" w:sz="0" w:space="0" w:color="auto"/>
          </w:divBdr>
        </w:div>
        <w:div w:id="1867793472">
          <w:marLeft w:val="0"/>
          <w:marRight w:val="0"/>
          <w:marTop w:val="0"/>
          <w:marBottom w:val="0"/>
          <w:divBdr>
            <w:top w:val="none" w:sz="0" w:space="0" w:color="auto"/>
            <w:left w:val="none" w:sz="0" w:space="0" w:color="auto"/>
            <w:bottom w:val="none" w:sz="0" w:space="0" w:color="auto"/>
            <w:right w:val="none" w:sz="0" w:space="0" w:color="auto"/>
          </w:divBdr>
        </w:div>
      </w:divsChild>
    </w:div>
    <w:div w:id="417335951">
      <w:bodyDiv w:val="1"/>
      <w:marLeft w:val="0"/>
      <w:marRight w:val="0"/>
      <w:marTop w:val="0"/>
      <w:marBottom w:val="0"/>
      <w:divBdr>
        <w:top w:val="none" w:sz="0" w:space="0" w:color="auto"/>
        <w:left w:val="none" w:sz="0" w:space="0" w:color="auto"/>
        <w:bottom w:val="none" w:sz="0" w:space="0" w:color="auto"/>
        <w:right w:val="none" w:sz="0" w:space="0" w:color="auto"/>
      </w:divBdr>
    </w:div>
    <w:div w:id="427309360">
      <w:bodyDiv w:val="1"/>
      <w:marLeft w:val="0"/>
      <w:marRight w:val="0"/>
      <w:marTop w:val="0"/>
      <w:marBottom w:val="0"/>
      <w:divBdr>
        <w:top w:val="none" w:sz="0" w:space="0" w:color="auto"/>
        <w:left w:val="none" w:sz="0" w:space="0" w:color="auto"/>
        <w:bottom w:val="none" w:sz="0" w:space="0" w:color="auto"/>
        <w:right w:val="none" w:sz="0" w:space="0" w:color="auto"/>
      </w:divBdr>
    </w:div>
    <w:div w:id="434398180">
      <w:bodyDiv w:val="1"/>
      <w:marLeft w:val="0"/>
      <w:marRight w:val="0"/>
      <w:marTop w:val="0"/>
      <w:marBottom w:val="0"/>
      <w:divBdr>
        <w:top w:val="none" w:sz="0" w:space="0" w:color="auto"/>
        <w:left w:val="none" w:sz="0" w:space="0" w:color="auto"/>
        <w:bottom w:val="none" w:sz="0" w:space="0" w:color="auto"/>
        <w:right w:val="none" w:sz="0" w:space="0" w:color="auto"/>
      </w:divBdr>
    </w:div>
    <w:div w:id="471796026">
      <w:bodyDiv w:val="1"/>
      <w:marLeft w:val="0"/>
      <w:marRight w:val="0"/>
      <w:marTop w:val="0"/>
      <w:marBottom w:val="0"/>
      <w:divBdr>
        <w:top w:val="none" w:sz="0" w:space="0" w:color="auto"/>
        <w:left w:val="none" w:sz="0" w:space="0" w:color="auto"/>
        <w:bottom w:val="none" w:sz="0" w:space="0" w:color="auto"/>
        <w:right w:val="none" w:sz="0" w:space="0" w:color="auto"/>
      </w:divBdr>
    </w:div>
    <w:div w:id="474301443">
      <w:bodyDiv w:val="1"/>
      <w:marLeft w:val="0"/>
      <w:marRight w:val="0"/>
      <w:marTop w:val="0"/>
      <w:marBottom w:val="0"/>
      <w:divBdr>
        <w:top w:val="none" w:sz="0" w:space="0" w:color="auto"/>
        <w:left w:val="none" w:sz="0" w:space="0" w:color="auto"/>
        <w:bottom w:val="none" w:sz="0" w:space="0" w:color="auto"/>
        <w:right w:val="none" w:sz="0" w:space="0" w:color="auto"/>
      </w:divBdr>
    </w:div>
    <w:div w:id="494034815">
      <w:bodyDiv w:val="1"/>
      <w:marLeft w:val="0"/>
      <w:marRight w:val="0"/>
      <w:marTop w:val="0"/>
      <w:marBottom w:val="0"/>
      <w:divBdr>
        <w:top w:val="none" w:sz="0" w:space="0" w:color="auto"/>
        <w:left w:val="none" w:sz="0" w:space="0" w:color="auto"/>
        <w:bottom w:val="none" w:sz="0" w:space="0" w:color="auto"/>
        <w:right w:val="none" w:sz="0" w:space="0" w:color="auto"/>
      </w:divBdr>
    </w:div>
    <w:div w:id="494956039">
      <w:bodyDiv w:val="1"/>
      <w:marLeft w:val="0"/>
      <w:marRight w:val="0"/>
      <w:marTop w:val="0"/>
      <w:marBottom w:val="0"/>
      <w:divBdr>
        <w:top w:val="none" w:sz="0" w:space="0" w:color="auto"/>
        <w:left w:val="none" w:sz="0" w:space="0" w:color="auto"/>
        <w:bottom w:val="none" w:sz="0" w:space="0" w:color="auto"/>
        <w:right w:val="none" w:sz="0" w:space="0" w:color="auto"/>
      </w:divBdr>
    </w:div>
    <w:div w:id="523251257">
      <w:bodyDiv w:val="1"/>
      <w:marLeft w:val="0"/>
      <w:marRight w:val="0"/>
      <w:marTop w:val="0"/>
      <w:marBottom w:val="0"/>
      <w:divBdr>
        <w:top w:val="none" w:sz="0" w:space="0" w:color="auto"/>
        <w:left w:val="none" w:sz="0" w:space="0" w:color="auto"/>
        <w:bottom w:val="none" w:sz="0" w:space="0" w:color="auto"/>
        <w:right w:val="none" w:sz="0" w:space="0" w:color="auto"/>
      </w:divBdr>
      <w:divsChild>
        <w:div w:id="615017382">
          <w:marLeft w:val="0"/>
          <w:marRight w:val="0"/>
          <w:marTop w:val="0"/>
          <w:marBottom w:val="0"/>
          <w:divBdr>
            <w:top w:val="none" w:sz="0" w:space="0" w:color="auto"/>
            <w:left w:val="none" w:sz="0" w:space="0" w:color="auto"/>
            <w:bottom w:val="none" w:sz="0" w:space="0" w:color="auto"/>
            <w:right w:val="none" w:sz="0" w:space="0" w:color="auto"/>
          </w:divBdr>
        </w:div>
        <w:div w:id="758021641">
          <w:marLeft w:val="0"/>
          <w:marRight w:val="0"/>
          <w:marTop w:val="0"/>
          <w:marBottom w:val="0"/>
          <w:divBdr>
            <w:top w:val="none" w:sz="0" w:space="0" w:color="auto"/>
            <w:left w:val="none" w:sz="0" w:space="0" w:color="auto"/>
            <w:bottom w:val="none" w:sz="0" w:space="0" w:color="auto"/>
            <w:right w:val="none" w:sz="0" w:space="0" w:color="auto"/>
          </w:divBdr>
        </w:div>
        <w:div w:id="1386442187">
          <w:marLeft w:val="0"/>
          <w:marRight w:val="0"/>
          <w:marTop w:val="0"/>
          <w:marBottom w:val="0"/>
          <w:divBdr>
            <w:top w:val="none" w:sz="0" w:space="0" w:color="auto"/>
            <w:left w:val="none" w:sz="0" w:space="0" w:color="auto"/>
            <w:bottom w:val="none" w:sz="0" w:space="0" w:color="auto"/>
            <w:right w:val="none" w:sz="0" w:space="0" w:color="auto"/>
          </w:divBdr>
        </w:div>
      </w:divsChild>
    </w:div>
    <w:div w:id="563561560">
      <w:bodyDiv w:val="1"/>
      <w:marLeft w:val="0"/>
      <w:marRight w:val="0"/>
      <w:marTop w:val="0"/>
      <w:marBottom w:val="0"/>
      <w:divBdr>
        <w:top w:val="none" w:sz="0" w:space="0" w:color="auto"/>
        <w:left w:val="none" w:sz="0" w:space="0" w:color="auto"/>
        <w:bottom w:val="none" w:sz="0" w:space="0" w:color="auto"/>
        <w:right w:val="none" w:sz="0" w:space="0" w:color="auto"/>
      </w:divBdr>
    </w:div>
    <w:div w:id="586303564">
      <w:bodyDiv w:val="1"/>
      <w:marLeft w:val="0"/>
      <w:marRight w:val="0"/>
      <w:marTop w:val="0"/>
      <w:marBottom w:val="0"/>
      <w:divBdr>
        <w:top w:val="none" w:sz="0" w:space="0" w:color="auto"/>
        <w:left w:val="none" w:sz="0" w:space="0" w:color="auto"/>
        <w:bottom w:val="none" w:sz="0" w:space="0" w:color="auto"/>
        <w:right w:val="none" w:sz="0" w:space="0" w:color="auto"/>
      </w:divBdr>
    </w:div>
    <w:div w:id="624508626">
      <w:bodyDiv w:val="1"/>
      <w:marLeft w:val="0"/>
      <w:marRight w:val="0"/>
      <w:marTop w:val="0"/>
      <w:marBottom w:val="0"/>
      <w:divBdr>
        <w:top w:val="none" w:sz="0" w:space="0" w:color="auto"/>
        <w:left w:val="none" w:sz="0" w:space="0" w:color="auto"/>
        <w:bottom w:val="none" w:sz="0" w:space="0" w:color="auto"/>
        <w:right w:val="none" w:sz="0" w:space="0" w:color="auto"/>
      </w:divBdr>
      <w:divsChild>
        <w:div w:id="72355952">
          <w:marLeft w:val="0"/>
          <w:marRight w:val="0"/>
          <w:marTop w:val="0"/>
          <w:marBottom w:val="240"/>
          <w:divBdr>
            <w:top w:val="none" w:sz="0" w:space="0" w:color="auto"/>
            <w:left w:val="none" w:sz="0" w:space="0" w:color="auto"/>
            <w:bottom w:val="none" w:sz="0" w:space="0" w:color="auto"/>
            <w:right w:val="none" w:sz="0" w:space="0" w:color="auto"/>
          </w:divBdr>
        </w:div>
        <w:div w:id="397869072">
          <w:marLeft w:val="0"/>
          <w:marRight w:val="0"/>
          <w:marTop w:val="0"/>
          <w:marBottom w:val="240"/>
          <w:divBdr>
            <w:top w:val="none" w:sz="0" w:space="0" w:color="auto"/>
            <w:left w:val="none" w:sz="0" w:space="0" w:color="auto"/>
            <w:bottom w:val="none" w:sz="0" w:space="0" w:color="auto"/>
            <w:right w:val="none" w:sz="0" w:space="0" w:color="auto"/>
          </w:divBdr>
        </w:div>
        <w:div w:id="450587220">
          <w:marLeft w:val="0"/>
          <w:marRight w:val="0"/>
          <w:marTop w:val="0"/>
          <w:marBottom w:val="240"/>
          <w:divBdr>
            <w:top w:val="none" w:sz="0" w:space="0" w:color="auto"/>
            <w:left w:val="none" w:sz="0" w:space="0" w:color="auto"/>
            <w:bottom w:val="none" w:sz="0" w:space="0" w:color="auto"/>
            <w:right w:val="none" w:sz="0" w:space="0" w:color="auto"/>
          </w:divBdr>
        </w:div>
        <w:div w:id="1219584845">
          <w:marLeft w:val="0"/>
          <w:marRight w:val="0"/>
          <w:marTop w:val="0"/>
          <w:marBottom w:val="240"/>
          <w:divBdr>
            <w:top w:val="none" w:sz="0" w:space="0" w:color="auto"/>
            <w:left w:val="none" w:sz="0" w:space="0" w:color="auto"/>
            <w:bottom w:val="none" w:sz="0" w:space="0" w:color="auto"/>
            <w:right w:val="none" w:sz="0" w:space="0" w:color="auto"/>
          </w:divBdr>
        </w:div>
        <w:div w:id="1796411167">
          <w:marLeft w:val="0"/>
          <w:marRight w:val="0"/>
          <w:marTop w:val="0"/>
          <w:marBottom w:val="240"/>
          <w:divBdr>
            <w:top w:val="none" w:sz="0" w:space="0" w:color="auto"/>
            <w:left w:val="none" w:sz="0" w:space="0" w:color="auto"/>
            <w:bottom w:val="none" w:sz="0" w:space="0" w:color="auto"/>
            <w:right w:val="none" w:sz="0" w:space="0" w:color="auto"/>
          </w:divBdr>
        </w:div>
      </w:divsChild>
    </w:div>
    <w:div w:id="646741696">
      <w:bodyDiv w:val="1"/>
      <w:marLeft w:val="0"/>
      <w:marRight w:val="0"/>
      <w:marTop w:val="0"/>
      <w:marBottom w:val="0"/>
      <w:divBdr>
        <w:top w:val="none" w:sz="0" w:space="0" w:color="auto"/>
        <w:left w:val="none" w:sz="0" w:space="0" w:color="auto"/>
        <w:bottom w:val="none" w:sz="0" w:space="0" w:color="auto"/>
        <w:right w:val="none" w:sz="0" w:space="0" w:color="auto"/>
      </w:divBdr>
    </w:div>
    <w:div w:id="683631917">
      <w:bodyDiv w:val="1"/>
      <w:marLeft w:val="0"/>
      <w:marRight w:val="0"/>
      <w:marTop w:val="0"/>
      <w:marBottom w:val="0"/>
      <w:divBdr>
        <w:top w:val="none" w:sz="0" w:space="0" w:color="auto"/>
        <w:left w:val="none" w:sz="0" w:space="0" w:color="auto"/>
        <w:bottom w:val="none" w:sz="0" w:space="0" w:color="auto"/>
        <w:right w:val="none" w:sz="0" w:space="0" w:color="auto"/>
      </w:divBdr>
    </w:div>
    <w:div w:id="691801305">
      <w:bodyDiv w:val="1"/>
      <w:marLeft w:val="0"/>
      <w:marRight w:val="0"/>
      <w:marTop w:val="0"/>
      <w:marBottom w:val="0"/>
      <w:divBdr>
        <w:top w:val="none" w:sz="0" w:space="0" w:color="auto"/>
        <w:left w:val="none" w:sz="0" w:space="0" w:color="auto"/>
        <w:bottom w:val="none" w:sz="0" w:space="0" w:color="auto"/>
        <w:right w:val="none" w:sz="0" w:space="0" w:color="auto"/>
      </w:divBdr>
      <w:divsChild>
        <w:div w:id="36662604">
          <w:marLeft w:val="0"/>
          <w:marRight w:val="0"/>
          <w:marTop w:val="0"/>
          <w:marBottom w:val="0"/>
          <w:divBdr>
            <w:top w:val="none" w:sz="0" w:space="0" w:color="auto"/>
            <w:left w:val="none" w:sz="0" w:space="0" w:color="auto"/>
            <w:bottom w:val="none" w:sz="0" w:space="0" w:color="auto"/>
            <w:right w:val="none" w:sz="0" w:space="0" w:color="auto"/>
          </w:divBdr>
        </w:div>
        <w:div w:id="384065287">
          <w:marLeft w:val="0"/>
          <w:marRight w:val="0"/>
          <w:marTop w:val="0"/>
          <w:marBottom w:val="0"/>
          <w:divBdr>
            <w:top w:val="none" w:sz="0" w:space="0" w:color="auto"/>
            <w:left w:val="none" w:sz="0" w:space="0" w:color="auto"/>
            <w:bottom w:val="none" w:sz="0" w:space="0" w:color="auto"/>
            <w:right w:val="none" w:sz="0" w:space="0" w:color="auto"/>
          </w:divBdr>
        </w:div>
        <w:div w:id="836530919">
          <w:marLeft w:val="0"/>
          <w:marRight w:val="0"/>
          <w:marTop w:val="0"/>
          <w:marBottom w:val="0"/>
          <w:divBdr>
            <w:top w:val="none" w:sz="0" w:space="0" w:color="auto"/>
            <w:left w:val="none" w:sz="0" w:space="0" w:color="auto"/>
            <w:bottom w:val="none" w:sz="0" w:space="0" w:color="auto"/>
            <w:right w:val="none" w:sz="0" w:space="0" w:color="auto"/>
          </w:divBdr>
        </w:div>
        <w:div w:id="850417933">
          <w:marLeft w:val="0"/>
          <w:marRight w:val="0"/>
          <w:marTop w:val="0"/>
          <w:marBottom w:val="0"/>
          <w:divBdr>
            <w:top w:val="none" w:sz="0" w:space="0" w:color="auto"/>
            <w:left w:val="none" w:sz="0" w:space="0" w:color="auto"/>
            <w:bottom w:val="none" w:sz="0" w:space="0" w:color="auto"/>
            <w:right w:val="none" w:sz="0" w:space="0" w:color="auto"/>
          </w:divBdr>
        </w:div>
        <w:div w:id="2053267252">
          <w:marLeft w:val="0"/>
          <w:marRight w:val="0"/>
          <w:marTop w:val="0"/>
          <w:marBottom w:val="0"/>
          <w:divBdr>
            <w:top w:val="none" w:sz="0" w:space="0" w:color="auto"/>
            <w:left w:val="none" w:sz="0" w:space="0" w:color="auto"/>
            <w:bottom w:val="none" w:sz="0" w:space="0" w:color="auto"/>
            <w:right w:val="none" w:sz="0" w:space="0" w:color="auto"/>
          </w:divBdr>
        </w:div>
        <w:div w:id="2132480051">
          <w:marLeft w:val="0"/>
          <w:marRight w:val="0"/>
          <w:marTop w:val="0"/>
          <w:marBottom w:val="0"/>
          <w:divBdr>
            <w:top w:val="none" w:sz="0" w:space="0" w:color="auto"/>
            <w:left w:val="none" w:sz="0" w:space="0" w:color="auto"/>
            <w:bottom w:val="none" w:sz="0" w:space="0" w:color="auto"/>
            <w:right w:val="none" w:sz="0" w:space="0" w:color="auto"/>
          </w:divBdr>
        </w:div>
      </w:divsChild>
    </w:div>
    <w:div w:id="704869298">
      <w:bodyDiv w:val="1"/>
      <w:marLeft w:val="0"/>
      <w:marRight w:val="0"/>
      <w:marTop w:val="0"/>
      <w:marBottom w:val="0"/>
      <w:divBdr>
        <w:top w:val="none" w:sz="0" w:space="0" w:color="auto"/>
        <w:left w:val="none" w:sz="0" w:space="0" w:color="auto"/>
        <w:bottom w:val="none" w:sz="0" w:space="0" w:color="auto"/>
        <w:right w:val="none" w:sz="0" w:space="0" w:color="auto"/>
      </w:divBdr>
    </w:div>
    <w:div w:id="715618044">
      <w:bodyDiv w:val="1"/>
      <w:marLeft w:val="0"/>
      <w:marRight w:val="0"/>
      <w:marTop w:val="0"/>
      <w:marBottom w:val="0"/>
      <w:divBdr>
        <w:top w:val="none" w:sz="0" w:space="0" w:color="auto"/>
        <w:left w:val="none" w:sz="0" w:space="0" w:color="auto"/>
        <w:bottom w:val="none" w:sz="0" w:space="0" w:color="auto"/>
        <w:right w:val="none" w:sz="0" w:space="0" w:color="auto"/>
      </w:divBdr>
    </w:div>
    <w:div w:id="747919407">
      <w:bodyDiv w:val="1"/>
      <w:marLeft w:val="0"/>
      <w:marRight w:val="0"/>
      <w:marTop w:val="0"/>
      <w:marBottom w:val="0"/>
      <w:divBdr>
        <w:top w:val="none" w:sz="0" w:space="0" w:color="auto"/>
        <w:left w:val="none" w:sz="0" w:space="0" w:color="auto"/>
        <w:bottom w:val="none" w:sz="0" w:space="0" w:color="auto"/>
        <w:right w:val="none" w:sz="0" w:space="0" w:color="auto"/>
      </w:divBdr>
    </w:div>
    <w:div w:id="762262856">
      <w:bodyDiv w:val="1"/>
      <w:marLeft w:val="0"/>
      <w:marRight w:val="0"/>
      <w:marTop w:val="0"/>
      <w:marBottom w:val="0"/>
      <w:divBdr>
        <w:top w:val="none" w:sz="0" w:space="0" w:color="auto"/>
        <w:left w:val="none" w:sz="0" w:space="0" w:color="auto"/>
        <w:bottom w:val="none" w:sz="0" w:space="0" w:color="auto"/>
        <w:right w:val="none" w:sz="0" w:space="0" w:color="auto"/>
      </w:divBdr>
    </w:div>
    <w:div w:id="793448387">
      <w:bodyDiv w:val="1"/>
      <w:marLeft w:val="0"/>
      <w:marRight w:val="0"/>
      <w:marTop w:val="0"/>
      <w:marBottom w:val="0"/>
      <w:divBdr>
        <w:top w:val="none" w:sz="0" w:space="0" w:color="auto"/>
        <w:left w:val="none" w:sz="0" w:space="0" w:color="auto"/>
        <w:bottom w:val="none" w:sz="0" w:space="0" w:color="auto"/>
        <w:right w:val="none" w:sz="0" w:space="0" w:color="auto"/>
      </w:divBdr>
    </w:div>
    <w:div w:id="800685084">
      <w:bodyDiv w:val="1"/>
      <w:marLeft w:val="0"/>
      <w:marRight w:val="0"/>
      <w:marTop w:val="0"/>
      <w:marBottom w:val="0"/>
      <w:divBdr>
        <w:top w:val="none" w:sz="0" w:space="0" w:color="auto"/>
        <w:left w:val="none" w:sz="0" w:space="0" w:color="auto"/>
        <w:bottom w:val="none" w:sz="0" w:space="0" w:color="auto"/>
        <w:right w:val="none" w:sz="0" w:space="0" w:color="auto"/>
      </w:divBdr>
      <w:divsChild>
        <w:div w:id="727655937">
          <w:marLeft w:val="0"/>
          <w:marRight w:val="0"/>
          <w:marTop w:val="0"/>
          <w:marBottom w:val="0"/>
          <w:divBdr>
            <w:top w:val="none" w:sz="0" w:space="0" w:color="auto"/>
            <w:left w:val="none" w:sz="0" w:space="0" w:color="auto"/>
            <w:bottom w:val="none" w:sz="0" w:space="0" w:color="auto"/>
            <w:right w:val="none" w:sz="0" w:space="0" w:color="auto"/>
          </w:divBdr>
        </w:div>
        <w:div w:id="1145657828">
          <w:marLeft w:val="0"/>
          <w:marRight w:val="0"/>
          <w:marTop w:val="0"/>
          <w:marBottom w:val="0"/>
          <w:divBdr>
            <w:top w:val="none" w:sz="0" w:space="0" w:color="auto"/>
            <w:left w:val="none" w:sz="0" w:space="0" w:color="auto"/>
            <w:bottom w:val="none" w:sz="0" w:space="0" w:color="auto"/>
            <w:right w:val="none" w:sz="0" w:space="0" w:color="auto"/>
          </w:divBdr>
        </w:div>
        <w:div w:id="1324620601">
          <w:marLeft w:val="0"/>
          <w:marRight w:val="0"/>
          <w:marTop w:val="0"/>
          <w:marBottom w:val="0"/>
          <w:divBdr>
            <w:top w:val="none" w:sz="0" w:space="0" w:color="auto"/>
            <w:left w:val="none" w:sz="0" w:space="0" w:color="auto"/>
            <w:bottom w:val="none" w:sz="0" w:space="0" w:color="auto"/>
            <w:right w:val="none" w:sz="0" w:space="0" w:color="auto"/>
          </w:divBdr>
        </w:div>
        <w:div w:id="1550216503">
          <w:marLeft w:val="0"/>
          <w:marRight w:val="0"/>
          <w:marTop w:val="0"/>
          <w:marBottom w:val="0"/>
          <w:divBdr>
            <w:top w:val="none" w:sz="0" w:space="0" w:color="auto"/>
            <w:left w:val="none" w:sz="0" w:space="0" w:color="auto"/>
            <w:bottom w:val="none" w:sz="0" w:space="0" w:color="auto"/>
            <w:right w:val="none" w:sz="0" w:space="0" w:color="auto"/>
          </w:divBdr>
        </w:div>
      </w:divsChild>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848177053">
      <w:bodyDiv w:val="1"/>
      <w:marLeft w:val="0"/>
      <w:marRight w:val="0"/>
      <w:marTop w:val="0"/>
      <w:marBottom w:val="0"/>
      <w:divBdr>
        <w:top w:val="none" w:sz="0" w:space="0" w:color="auto"/>
        <w:left w:val="none" w:sz="0" w:space="0" w:color="auto"/>
        <w:bottom w:val="none" w:sz="0" w:space="0" w:color="auto"/>
        <w:right w:val="none" w:sz="0" w:space="0" w:color="auto"/>
      </w:divBdr>
    </w:div>
    <w:div w:id="859008105">
      <w:bodyDiv w:val="1"/>
      <w:marLeft w:val="0"/>
      <w:marRight w:val="0"/>
      <w:marTop w:val="0"/>
      <w:marBottom w:val="0"/>
      <w:divBdr>
        <w:top w:val="none" w:sz="0" w:space="0" w:color="auto"/>
        <w:left w:val="none" w:sz="0" w:space="0" w:color="auto"/>
        <w:bottom w:val="none" w:sz="0" w:space="0" w:color="auto"/>
        <w:right w:val="none" w:sz="0" w:space="0" w:color="auto"/>
      </w:divBdr>
    </w:div>
    <w:div w:id="886647635">
      <w:bodyDiv w:val="1"/>
      <w:marLeft w:val="0"/>
      <w:marRight w:val="0"/>
      <w:marTop w:val="0"/>
      <w:marBottom w:val="0"/>
      <w:divBdr>
        <w:top w:val="none" w:sz="0" w:space="0" w:color="auto"/>
        <w:left w:val="none" w:sz="0" w:space="0" w:color="auto"/>
        <w:bottom w:val="none" w:sz="0" w:space="0" w:color="auto"/>
        <w:right w:val="none" w:sz="0" w:space="0" w:color="auto"/>
      </w:divBdr>
      <w:divsChild>
        <w:div w:id="131480325">
          <w:marLeft w:val="0"/>
          <w:marRight w:val="0"/>
          <w:marTop w:val="0"/>
          <w:marBottom w:val="240"/>
          <w:divBdr>
            <w:top w:val="none" w:sz="0" w:space="0" w:color="auto"/>
            <w:left w:val="none" w:sz="0" w:space="0" w:color="auto"/>
            <w:bottom w:val="none" w:sz="0" w:space="0" w:color="auto"/>
            <w:right w:val="none" w:sz="0" w:space="0" w:color="auto"/>
          </w:divBdr>
        </w:div>
        <w:div w:id="443886423">
          <w:marLeft w:val="0"/>
          <w:marRight w:val="0"/>
          <w:marTop w:val="0"/>
          <w:marBottom w:val="240"/>
          <w:divBdr>
            <w:top w:val="none" w:sz="0" w:space="0" w:color="auto"/>
            <w:left w:val="none" w:sz="0" w:space="0" w:color="auto"/>
            <w:bottom w:val="none" w:sz="0" w:space="0" w:color="auto"/>
            <w:right w:val="none" w:sz="0" w:space="0" w:color="auto"/>
          </w:divBdr>
        </w:div>
        <w:div w:id="1417366184">
          <w:marLeft w:val="0"/>
          <w:marRight w:val="0"/>
          <w:marTop w:val="0"/>
          <w:marBottom w:val="240"/>
          <w:divBdr>
            <w:top w:val="none" w:sz="0" w:space="0" w:color="auto"/>
            <w:left w:val="none" w:sz="0" w:space="0" w:color="auto"/>
            <w:bottom w:val="none" w:sz="0" w:space="0" w:color="auto"/>
            <w:right w:val="none" w:sz="0" w:space="0" w:color="auto"/>
          </w:divBdr>
        </w:div>
        <w:div w:id="1533615533">
          <w:marLeft w:val="0"/>
          <w:marRight w:val="0"/>
          <w:marTop w:val="0"/>
          <w:marBottom w:val="240"/>
          <w:divBdr>
            <w:top w:val="none" w:sz="0" w:space="0" w:color="auto"/>
            <w:left w:val="none" w:sz="0" w:space="0" w:color="auto"/>
            <w:bottom w:val="none" w:sz="0" w:space="0" w:color="auto"/>
            <w:right w:val="none" w:sz="0" w:space="0" w:color="auto"/>
          </w:divBdr>
        </w:div>
        <w:div w:id="1833132551">
          <w:marLeft w:val="0"/>
          <w:marRight w:val="0"/>
          <w:marTop w:val="0"/>
          <w:marBottom w:val="240"/>
          <w:divBdr>
            <w:top w:val="none" w:sz="0" w:space="0" w:color="auto"/>
            <w:left w:val="none" w:sz="0" w:space="0" w:color="auto"/>
            <w:bottom w:val="none" w:sz="0" w:space="0" w:color="auto"/>
            <w:right w:val="none" w:sz="0" w:space="0" w:color="auto"/>
          </w:divBdr>
        </w:div>
      </w:divsChild>
    </w:div>
    <w:div w:id="906653007">
      <w:bodyDiv w:val="1"/>
      <w:marLeft w:val="0"/>
      <w:marRight w:val="0"/>
      <w:marTop w:val="0"/>
      <w:marBottom w:val="0"/>
      <w:divBdr>
        <w:top w:val="none" w:sz="0" w:space="0" w:color="auto"/>
        <w:left w:val="none" w:sz="0" w:space="0" w:color="auto"/>
        <w:bottom w:val="none" w:sz="0" w:space="0" w:color="auto"/>
        <w:right w:val="none" w:sz="0" w:space="0" w:color="auto"/>
      </w:divBdr>
      <w:divsChild>
        <w:div w:id="338436360">
          <w:marLeft w:val="0"/>
          <w:marRight w:val="0"/>
          <w:marTop w:val="0"/>
          <w:marBottom w:val="240"/>
          <w:divBdr>
            <w:top w:val="none" w:sz="0" w:space="0" w:color="auto"/>
            <w:left w:val="none" w:sz="0" w:space="0" w:color="auto"/>
            <w:bottom w:val="none" w:sz="0" w:space="0" w:color="auto"/>
            <w:right w:val="none" w:sz="0" w:space="0" w:color="auto"/>
          </w:divBdr>
        </w:div>
        <w:div w:id="1115061777">
          <w:marLeft w:val="0"/>
          <w:marRight w:val="0"/>
          <w:marTop w:val="0"/>
          <w:marBottom w:val="240"/>
          <w:divBdr>
            <w:top w:val="none" w:sz="0" w:space="0" w:color="auto"/>
            <w:left w:val="none" w:sz="0" w:space="0" w:color="auto"/>
            <w:bottom w:val="none" w:sz="0" w:space="0" w:color="auto"/>
            <w:right w:val="none" w:sz="0" w:space="0" w:color="auto"/>
          </w:divBdr>
        </w:div>
        <w:div w:id="1155489517">
          <w:marLeft w:val="0"/>
          <w:marRight w:val="0"/>
          <w:marTop w:val="0"/>
          <w:marBottom w:val="240"/>
          <w:divBdr>
            <w:top w:val="none" w:sz="0" w:space="0" w:color="auto"/>
            <w:left w:val="none" w:sz="0" w:space="0" w:color="auto"/>
            <w:bottom w:val="none" w:sz="0" w:space="0" w:color="auto"/>
            <w:right w:val="none" w:sz="0" w:space="0" w:color="auto"/>
          </w:divBdr>
        </w:div>
        <w:div w:id="1283221325">
          <w:marLeft w:val="0"/>
          <w:marRight w:val="0"/>
          <w:marTop w:val="0"/>
          <w:marBottom w:val="240"/>
          <w:divBdr>
            <w:top w:val="none" w:sz="0" w:space="0" w:color="auto"/>
            <w:left w:val="none" w:sz="0" w:space="0" w:color="auto"/>
            <w:bottom w:val="none" w:sz="0" w:space="0" w:color="auto"/>
            <w:right w:val="none" w:sz="0" w:space="0" w:color="auto"/>
          </w:divBdr>
        </w:div>
        <w:div w:id="1901012379">
          <w:marLeft w:val="0"/>
          <w:marRight w:val="0"/>
          <w:marTop w:val="0"/>
          <w:marBottom w:val="240"/>
          <w:divBdr>
            <w:top w:val="none" w:sz="0" w:space="0" w:color="auto"/>
            <w:left w:val="none" w:sz="0" w:space="0" w:color="auto"/>
            <w:bottom w:val="none" w:sz="0" w:space="0" w:color="auto"/>
            <w:right w:val="none" w:sz="0" w:space="0" w:color="auto"/>
          </w:divBdr>
        </w:div>
      </w:divsChild>
    </w:div>
    <w:div w:id="972715624">
      <w:bodyDiv w:val="1"/>
      <w:marLeft w:val="0"/>
      <w:marRight w:val="0"/>
      <w:marTop w:val="0"/>
      <w:marBottom w:val="0"/>
      <w:divBdr>
        <w:top w:val="none" w:sz="0" w:space="0" w:color="auto"/>
        <w:left w:val="none" w:sz="0" w:space="0" w:color="auto"/>
        <w:bottom w:val="none" w:sz="0" w:space="0" w:color="auto"/>
        <w:right w:val="none" w:sz="0" w:space="0" w:color="auto"/>
      </w:divBdr>
    </w:div>
    <w:div w:id="1045060754">
      <w:bodyDiv w:val="1"/>
      <w:marLeft w:val="0"/>
      <w:marRight w:val="0"/>
      <w:marTop w:val="0"/>
      <w:marBottom w:val="0"/>
      <w:divBdr>
        <w:top w:val="none" w:sz="0" w:space="0" w:color="auto"/>
        <w:left w:val="none" w:sz="0" w:space="0" w:color="auto"/>
        <w:bottom w:val="none" w:sz="0" w:space="0" w:color="auto"/>
        <w:right w:val="none" w:sz="0" w:space="0" w:color="auto"/>
      </w:divBdr>
    </w:div>
    <w:div w:id="1055544616">
      <w:bodyDiv w:val="1"/>
      <w:marLeft w:val="0"/>
      <w:marRight w:val="0"/>
      <w:marTop w:val="0"/>
      <w:marBottom w:val="0"/>
      <w:divBdr>
        <w:top w:val="none" w:sz="0" w:space="0" w:color="auto"/>
        <w:left w:val="none" w:sz="0" w:space="0" w:color="auto"/>
        <w:bottom w:val="none" w:sz="0" w:space="0" w:color="auto"/>
        <w:right w:val="none" w:sz="0" w:space="0" w:color="auto"/>
      </w:divBdr>
    </w:div>
    <w:div w:id="1067726335">
      <w:bodyDiv w:val="1"/>
      <w:marLeft w:val="0"/>
      <w:marRight w:val="0"/>
      <w:marTop w:val="0"/>
      <w:marBottom w:val="0"/>
      <w:divBdr>
        <w:top w:val="none" w:sz="0" w:space="0" w:color="auto"/>
        <w:left w:val="none" w:sz="0" w:space="0" w:color="auto"/>
        <w:bottom w:val="none" w:sz="0" w:space="0" w:color="auto"/>
        <w:right w:val="none" w:sz="0" w:space="0" w:color="auto"/>
      </w:divBdr>
    </w:div>
    <w:div w:id="1080251604">
      <w:bodyDiv w:val="1"/>
      <w:marLeft w:val="0"/>
      <w:marRight w:val="0"/>
      <w:marTop w:val="0"/>
      <w:marBottom w:val="0"/>
      <w:divBdr>
        <w:top w:val="none" w:sz="0" w:space="0" w:color="auto"/>
        <w:left w:val="none" w:sz="0" w:space="0" w:color="auto"/>
        <w:bottom w:val="none" w:sz="0" w:space="0" w:color="auto"/>
        <w:right w:val="none" w:sz="0" w:space="0" w:color="auto"/>
      </w:divBdr>
    </w:div>
    <w:div w:id="1081216013">
      <w:bodyDiv w:val="1"/>
      <w:marLeft w:val="0"/>
      <w:marRight w:val="0"/>
      <w:marTop w:val="0"/>
      <w:marBottom w:val="0"/>
      <w:divBdr>
        <w:top w:val="none" w:sz="0" w:space="0" w:color="auto"/>
        <w:left w:val="none" w:sz="0" w:space="0" w:color="auto"/>
        <w:bottom w:val="none" w:sz="0" w:space="0" w:color="auto"/>
        <w:right w:val="none" w:sz="0" w:space="0" w:color="auto"/>
      </w:divBdr>
    </w:div>
    <w:div w:id="1095396662">
      <w:bodyDiv w:val="1"/>
      <w:marLeft w:val="0"/>
      <w:marRight w:val="0"/>
      <w:marTop w:val="0"/>
      <w:marBottom w:val="0"/>
      <w:divBdr>
        <w:top w:val="none" w:sz="0" w:space="0" w:color="auto"/>
        <w:left w:val="none" w:sz="0" w:space="0" w:color="auto"/>
        <w:bottom w:val="none" w:sz="0" w:space="0" w:color="auto"/>
        <w:right w:val="none" w:sz="0" w:space="0" w:color="auto"/>
      </w:divBdr>
    </w:div>
    <w:div w:id="1104766680">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93809627">
      <w:bodyDiv w:val="1"/>
      <w:marLeft w:val="0"/>
      <w:marRight w:val="0"/>
      <w:marTop w:val="0"/>
      <w:marBottom w:val="0"/>
      <w:divBdr>
        <w:top w:val="none" w:sz="0" w:space="0" w:color="auto"/>
        <w:left w:val="none" w:sz="0" w:space="0" w:color="auto"/>
        <w:bottom w:val="none" w:sz="0" w:space="0" w:color="auto"/>
        <w:right w:val="none" w:sz="0" w:space="0" w:color="auto"/>
      </w:divBdr>
    </w:div>
    <w:div w:id="1201548049">
      <w:bodyDiv w:val="1"/>
      <w:marLeft w:val="0"/>
      <w:marRight w:val="0"/>
      <w:marTop w:val="0"/>
      <w:marBottom w:val="0"/>
      <w:divBdr>
        <w:top w:val="none" w:sz="0" w:space="0" w:color="auto"/>
        <w:left w:val="none" w:sz="0" w:space="0" w:color="auto"/>
        <w:bottom w:val="none" w:sz="0" w:space="0" w:color="auto"/>
        <w:right w:val="none" w:sz="0" w:space="0" w:color="auto"/>
      </w:divBdr>
    </w:div>
    <w:div w:id="1211380210">
      <w:bodyDiv w:val="1"/>
      <w:marLeft w:val="0"/>
      <w:marRight w:val="0"/>
      <w:marTop w:val="0"/>
      <w:marBottom w:val="0"/>
      <w:divBdr>
        <w:top w:val="none" w:sz="0" w:space="0" w:color="auto"/>
        <w:left w:val="none" w:sz="0" w:space="0" w:color="auto"/>
        <w:bottom w:val="none" w:sz="0" w:space="0" w:color="auto"/>
        <w:right w:val="none" w:sz="0" w:space="0" w:color="auto"/>
      </w:divBdr>
    </w:div>
    <w:div w:id="1224484475">
      <w:bodyDiv w:val="1"/>
      <w:marLeft w:val="0"/>
      <w:marRight w:val="0"/>
      <w:marTop w:val="0"/>
      <w:marBottom w:val="0"/>
      <w:divBdr>
        <w:top w:val="none" w:sz="0" w:space="0" w:color="auto"/>
        <w:left w:val="none" w:sz="0" w:space="0" w:color="auto"/>
        <w:bottom w:val="none" w:sz="0" w:space="0" w:color="auto"/>
        <w:right w:val="none" w:sz="0" w:space="0" w:color="auto"/>
      </w:divBdr>
    </w:div>
    <w:div w:id="1269511874">
      <w:bodyDiv w:val="1"/>
      <w:marLeft w:val="0"/>
      <w:marRight w:val="0"/>
      <w:marTop w:val="0"/>
      <w:marBottom w:val="0"/>
      <w:divBdr>
        <w:top w:val="none" w:sz="0" w:space="0" w:color="auto"/>
        <w:left w:val="none" w:sz="0" w:space="0" w:color="auto"/>
        <w:bottom w:val="none" w:sz="0" w:space="0" w:color="auto"/>
        <w:right w:val="none" w:sz="0" w:space="0" w:color="auto"/>
      </w:divBdr>
      <w:divsChild>
        <w:div w:id="1273317736">
          <w:marLeft w:val="0"/>
          <w:marRight w:val="0"/>
          <w:marTop w:val="0"/>
          <w:marBottom w:val="0"/>
          <w:divBdr>
            <w:top w:val="none" w:sz="0" w:space="0" w:color="auto"/>
            <w:left w:val="none" w:sz="0" w:space="0" w:color="auto"/>
            <w:bottom w:val="none" w:sz="0" w:space="0" w:color="auto"/>
            <w:right w:val="none" w:sz="0" w:space="0" w:color="auto"/>
          </w:divBdr>
        </w:div>
        <w:div w:id="1642924835">
          <w:marLeft w:val="0"/>
          <w:marRight w:val="0"/>
          <w:marTop w:val="0"/>
          <w:marBottom w:val="0"/>
          <w:divBdr>
            <w:top w:val="none" w:sz="0" w:space="0" w:color="auto"/>
            <w:left w:val="none" w:sz="0" w:space="0" w:color="auto"/>
            <w:bottom w:val="none" w:sz="0" w:space="0" w:color="auto"/>
            <w:right w:val="none" w:sz="0" w:space="0" w:color="auto"/>
          </w:divBdr>
        </w:div>
        <w:div w:id="1718969292">
          <w:marLeft w:val="0"/>
          <w:marRight w:val="0"/>
          <w:marTop w:val="0"/>
          <w:marBottom w:val="0"/>
          <w:divBdr>
            <w:top w:val="none" w:sz="0" w:space="0" w:color="auto"/>
            <w:left w:val="none" w:sz="0" w:space="0" w:color="auto"/>
            <w:bottom w:val="none" w:sz="0" w:space="0" w:color="auto"/>
            <w:right w:val="none" w:sz="0" w:space="0" w:color="auto"/>
          </w:divBdr>
        </w:div>
      </w:divsChild>
    </w:div>
    <w:div w:id="1315917691">
      <w:bodyDiv w:val="1"/>
      <w:marLeft w:val="0"/>
      <w:marRight w:val="0"/>
      <w:marTop w:val="0"/>
      <w:marBottom w:val="0"/>
      <w:divBdr>
        <w:top w:val="none" w:sz="0" w:space="0" w:color="auto"/>
        <w:left w:val="none" w:sz="0" w:space="0" w:color="auto"/>
        <w:bottom w:val="none" w:sz="0" w:space="0" w:color="auto"/>
        <w:right w:val="none" w:sz="0" w:space="0" w:color="auto"/>
      </w:divBdr>
    </w:div>
    <w:div w:id="1321156771">
      <w:bodyDiv w:val="1"/>
      <w:marLeft w:val="0"/>
      <w:marRight w:val="0"/>
      <w:marTop w:val="0"/>
      <w:marBottom w:val="0"/>
      <w:divBdr>
        <w:top w:val="none" w:sz="0" w:space="0" w:color="auto"/>
        <w:left w:val="none" w:sz="0" w:space="0" w:color="auto"/>
        <w:bottom w:val="none" w:sz="0" w:space="0" w:color="auto"/>
        <w:right w:val="none" w:sz="0" w:space="0" w:color="auto"/>
      </w:divBdr>
    </w:div>
    <w:div w:id="1348285302">
      <w:bodyDiv w:val="1"/>
      <w:marLeft w:val="0"/>
      <w:marRight w:val="0"/>
      <w:marTop w:val="0"/>
      <w:marBottom w:val="0"/>
      <w:divBdr>
        <w:top w:val="none" w:sz="0" w:space="0" w:color="auto"/>
        <w:left w:val="none" w:sz="0" w:space="0" w:color="auto"/>
        <w:bottom w:val="none" w:sz="0" w:space="0" w:color="auto"/>
        <w:right w:val="none" w:sz="0" w:space="0" w:color="auto"/>
      </w:divBdr>
      <w:divsChild>
        <w:div w:id="593713088">
          <w:marLeft w:val="0"/>
          <w:marRight w:val="0"/>
          <w:marTop w:val="0"/>
          <w:marBottom w:val="0"/>
          <w:divBdr>
            <w:top w:val="none" w:sz="0" w:space="0" w:color="auto"/>
            <w:left w:val="none" w:sz="0" w:space="0" w:color="auto"/>
            <w:bottom w:val="none" w:sz="0" w:space="0" w:color="auto"/>
            <w:right w:val="none" w:sz="0" w:space="0" w:color="auto"/>
          </w:divBdr>
        </w:div>
        <w:div w:id="1102729429">
          <w:marLeft w:val="0"/>
          <w:marRight w:val="0"/>
          <w:marTop w:val="0"/>
          <w:marBottom w:val="0"/>
          <w:divBdr>
            <w:top w:val="none" w:sz="0" w:space="0" w:color="auto"/>
            <w:left w:val="none" w:sz="0" w:space="0" w:color="auto"/>
            <w:bottom w:val="none" w:sz="0" w:space="0" w:color="auto"/>
            <w:right w:val="none" w:sz="0" w:space="0" w:color="auto"/>
          </w:divBdr>
        </w:div>
        <w:div w:id="1897741952">
          <w:marLeft w:val="0"/>
          <w:marRight w:val="0"/>
          <w:marTop w:val="0"/>
          <w:marBottom w:val="0"/>
          <w:divBdr>
            <w:top w:val="none" w:sz="0" w:space="0" w:color="auto"/>
            <w:left w:val="none" w:sz="0" w:space="0" w:color="auto"/>
            <w:bottom w:val="none" w:sz="0" w:space="0" w:color="auto"/>
            <w:right w:val="none" w:sz="0" w:space="0" w:color="auto"/>
          </w:divBdr>
        </w:div>
        <w:div w:id="1933660001">
          <w:marLeft w:val="0"/>
          <w:marRight w:val="0"/>
          <w:marTop w:val="0"/>
          <w:marBottom w:val="0"/>
          <w:divBdr>
            <w:top w:val="none" w:sz="0" w:space="0" w:color="auto"/>
            <w:left w:val="none" w:sz="0" w:space="0" w:color="auto"/>
            <w:bottom w:val="none" w:sz="0" w:space="0" w:color="auto"/>
            <w:right w:val="none" w:sz="0" w:space="0" w:color="auto"/>
          </w:divBdr>
        </w:div>
      </w:divsChild>
    </w:div>
    <w:div w:id="1356038010">
      <w:bodyDiv w:val="1"/>
      <w:marLeft w:val="0"/>
      <w:marRight w:val="0"/>
      <w:marTop w:val="0"/>
      <w:marBottom w:val="0"/>
      <w:divBdr>
        <w:top w:val="none" w:sz="0" w:space="0" w:color="auto"/>
        <w:left w:val="none" w:sz="0" w:space="0" w:color="auto"/>
        <w:bottom w:val="none" w:sz="0" w:space="0" w:color="auto"/>
        <w:right w:val="none" w:sz="0" w:space="0" w:color="auto"/>
      </w:divBdr>
    </w:div>
    <w:div w:id="1402214298">
      <w:bodyDiv w:val="1"/>
      <w:marLeft w:val="0"/>
      <w:marRight w:val="0"/>
      <w:marTop w:val="0"/>
      <w:marBottom w:val="0"/>
      <w:divBdr>
        <w:top w:val="none" w:sz="0" w:space="0" w:color="auto"/>
        <w:left w:val="none" w:sz="0" w:space="0" w:color="auto"/>
        <w:bottom w:val="none" w:sz="0" w:space="0" w:color="auto"/>
        <w:right w:val="none" w:sz="0" w:space="0" w:color="auto"/>
      </w:divBdr>
    </w:div>
    <w:div w:id="1404061834">
      <w:bodyDiv w:val="1"/>
      <w:marLeft w:val="0"/>
      <w:marRight w:val="0"/>
      <w:marTop w:val="0"/>
      <w:marBottom w:val="0"/>
      <w:divBdr>
        <w:top w:val="none" w:sz="0" w:space="0" w:color="auto"/>
        <w:left w:val="none" w:sz="0" w:space="0" w:color="auto"/>
        <w:bottom w:val="none" w:sz="0" w:space="0" w:color="auto"/>
        <w:right w:val="none" w:sz="0" w:space="0" w:color="auto"/>
      </w:divBdr>
    </w:div>
    <w:div w:id="1419978803">
      <w:bodyDiv w:val="1"/>
      <w:marLeft w:val="0"/>
      <w:marRight w:val="0"/>
      <w:marTop w:val="0"/>
      <w:marBottom w:val="0"/>
      <w:divBdr>
        <w:top w:val="none" w:sz="0" w:space="0" w:color="auto"/>
        <w:left w:val="none" w:sz="0" w:space="0" w:color="auto"/>
        <w:bottom w:val="none" w:sz="0" w:space="0" w:color="auto"/>
        <w:right w:val="none" w:sz="0" w:space="0" w:color="auto"/>
      </w:divBdr>
    </w:div>
    <w:div w:id="14466537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0">
          <w:marLeft w:val="0"/>
          <w:marRight w:val="0"/>
          <w:marTop w:val="0"/>
          <w:marBottom w:val="0"/>
          <w:divBdr>
            <w:top w:val="none" w:sz="0" w:space="0" w:color="auto"/>
            <w:left w:val="none" w:sz="0" w:space="0" w:color="auto"/>
            <w:bottom w:val="none" w:sz="0" w:space="0" w:color="auto"/>
            <w:right w:val="none" w:sz="0" w:space="0" w:color="auto"/>
          </w:divBdr>
        </w:div>
        <w:div w:id="129398486">
          <w:marLeft w:val="0"/>
          <w:marRight w:val="0"/>
          <w:marTop w:val="0"/>
          <w:marBottom w:val="0"/>
          <w:divBdr>
            <w:top w:val="none" w:sz="0" w:space="0" w:color="auto"/>
            <w:left w:val="none" w:sz="0" w:space="0" w:color="auto"/>
            <w:bottom w:val="none" w:sz="0" w:space="0" w:color="auto"/>
            <w:right w:val="none" w:sz="0" w:space="0" w:color="auto"/>
          </w:divBdr>
        </w:div>
        <w:div w:id="1170488952">
          <w:marLeft w:val="0"/>
          <w:marRight w:val="0"/>
          <w:marTop w:val="0"/>
          <w:marBottom w:val="0"/>
          <w:divBdr>
            <w:top w:val="none" w:sz="0" w:space="0" w:color="auto"/>
            <w:left w:val="none" w:sz="0" w:space="0" w:color="auto"/>
            <w:bottom w:val="none" w:sz="0" w:space="0" w:color="auto"/>
            <w:right w:val="none" w:sz="0" w:space="0" w:color="auto"/>
          </w:divBdr>
        </w:div>
        <w:div w:id="1380125435">
          <w:marLeft w:val="0"/>
          <w:marRight w:val="0"/>
          <w:marTop w:val="0"/>
          <w:marBottom w:val="0"/>
          <w:divBdr>
            <w:top w:val="none" w:sz="0" w:space="0" w:color="auto"/>
            <w:left w:val="none" w:sz="0" w:space="0" w:color="auto"/>
            <w:bottom w:val="none" w:sz="0" w:space="0" w:color="auto"/>
            <w:right w:val="none" w:sz="0" w:space="0" w:color="auto"/>
          </w:divBdr>
        </w:div>
        <w:div w:id="1469857087">
          <w:marLeft w:val="0"/>
          <w:marRight w:val="0"/>
          <w:marTop w:val="0"/>
          <w:marBottom w:val="0"/>
          <w:divBdr>
            <w:top w:val="none" w:sz="0" w:space="0" w:color="auto"/>
            <w:left w:val="none" w:sz="0" w:space="0" w:color="auto"/>
            <w:bottom w:val="none" w:sz="0" w:space="0" w:color="auto"/>
            <w:right w:val="none" w:sz="0" w:space="0" w:color="auto"/>
          </w:divBdr>
        </w:div>
        <w:div w:id="1509561583">
          <w:marLeft w:val="0"/>
          <w:marRight w:val="0"/>
          <w:marTop w:val="0"/>
          <w:marBottom w:val="0"/>
          <w:divBdr>
            <w:top w:val="none" w:sz="0" w:space="0" w:color="auto"/>
            <w:left w:val="none" w:sz="0" w:space="0" w:color="auto"/>
            <w:bottom w:val="none" w:sz="0" w:space="0" w:color="auto"/>
            <w:right w:val="none" w:sz="0" w:space="0" w:color="auto"/>
          </w:divBdr>
        </w:div>
        <w:div w:id="1620914790">
          <w:marLeft w:val="0"/>
          <w:marRight w:val="0"/>
          <w:marTop w:val="0"/>
          <w:marBottom w:val="0"/>
          <w:divBdr>
            <w:top w:val="none" w:sz="0" w:space="0" w:color="auto"/>
            <w:left w:val="none" w:sz="0" w:space="0" w:color="auto"/>
            <w:bottom w:val="none" w:sz="0" w:space="0" w:color="auto"/>
            <w:right w:val="none" w:sz="0" w:space="0" w:color="auto"/>
          </w:divBdr>
        </w:div>
        <w:div w:id="1642805263">
          <w:marLeft w:val="0"/>
          <w:marRight w:val="0"/>
          <w:marTop w:val="0"/>
          <w:marBottom w:val="0"/>
          <w:divBdr>
            <w:top w:val="none" w:sz="0" w:space="0" w:color="auto"/>
            <w:left w:val="none" w:sz="0" w:space="0" w:color="auto"/>
            <w:bottom w:val="none" w:sz="0" w:space="0" w:color="auto"/>
            <w:right w:val="none" w:sz="0" w:space="0" w:color="auto"/>
          </w:divBdr>
        </w:div>
      </w:divsChild>
    </w:div>
    <w:div w:id="1447432898">
      <w:bodyDiv w:val="1"/>
      <w:marLeft w:val="0"/>
      <w:marRight w:val="0"/>
      <w:marTop w:val="0"/>
      <w:marBottom w:val="0"/>
      <w:divBdr>
        <w:top w:val="none" w:sz="0" w:space="0" w:color="auto"/>
        <w:left w:val="none" w:sz="0" w:space="0" w:color="auto"/>
        <w:bottom w:val="none" w:sz="0" w:space="0" w:color="auto"/>
        <w:right w:val="none" w:sz="0" w:space="0" w:color="auto"/>
      </w:divBdr>
    </w:div>
    <w:div w:id="1485587104">
      <w:bodyDiv w:val="1"/>
      <w:marLeft w:val="0"/>
      <w:marRight w:val="0"/>
      <w:marTop w:val="0"/>
      <w:marBottom w:val="0"/>
      <w:divBdr>
        <w:top w:val="none" w:sz="0" w:space="0" w:color="auto"/>
        <w:left w:val="none" w:sz="0" w:space="0" w:color="auto"/>
        <w:bottom w:val="none" w:sz="0" w:space="0" w:color="auto"/>
        <w:right w:val="none" w:sz="0" w:space="0" w:color="auto"/>
      </w:divBdr>
    </w:div>
    <w:div w:id="1501694327">
      <w:bodyDiv w:val="1"/>
      <w:marLeft w:val="0"/>
      <w:marRight w:val="0"/>
      <w:marTop w:val="0"/>
      <w:marBottom w:val="0"/>
      <w:divBdr>
        <w:top w:val="none" w:sz="0" w:space="0" w:color="auto"/>
        <w:left w:val="none" w:sz="0" w:space="0" w:color="auto"/>
        <w:bottom w:val="none" w:sz="0" w:space="0" w:color="auto"/>
        <w:right w:val="none" w:sz="0" w:space="0" w:color="auto"/>
      </w:divBdr>
    </w:div>
    <w:div w:id="1538423444">
      <w:bodyDiv w:val="1"/>
      <w:marLeft w:val="0"/>
      <w:marRight w:val="0"/>
      <w:marTop w:val="0"/>
      <w:marBottom w:val="0"/>
      <w:divBdr>
        <w:top w:val="none" w:sz="0" w:space="0" w:color="auto"/>
        <w:left w:val="none" w:sz="0" w:space="0" w:color="auto"/>
        <w:bottom w:val="none" w:sz="0" w:space="0" w:color="auto"/>
        <w:right w:val="none" w:sz="0" w:space="0" w:color="auto"/>
      </w:divBdr>
    </w:div>
    <w:div w:id="1540824634">
      <w:bodyDiv w:val="1"/>
      <w:marLeft w:val="0"/>
      <w:marRight w:val="0"/>
      <w:marTop w:val="0"/>
      <w:marBottom w:val="0"/>
      <w:divBdr>
        <w:top w:val="none" w:sz="0" w:space="0" w:color="auto"/>
        <w:left w:val="none" w:sz="0" w:space="0" w:color="auto"/>
        <w:bottom w:val="none" w:sz="0" w:space="0" w:color="auto"/>
        <w:right w:val="none" w:sz="0" w:space="0" w:color="auto"/>
      </w:divBdr>
    </w:div>
    <w:div w:id="1575814990">
      <w:bodyDiv w:val="1"/>
      <w:marLeft w:val="0"/>
      <w:marRight w:val="0"/>
      <w:marTop w:val="0"/>
      <w:marBottom w:val="0"/>
      <w:divBdr>
        <w:top w:val="none" w:sz="0" w:space="0" w:color="auto"/>
        <w:left w:val="none" w:sz="0" w:space="0" w:color="auto"/>
        <w:bottom w:val="none" w:sz="0" w:space="0" w:color="auto"/>
        <w:right w:val="none" w:sz="0" w:space="0" w:color="auto"/>
      </w:divBdr>
    </w:div>
    <w:div w:id="1586913688">
      <w:bodyDiv w:val="1"/>
      <w:marLeft w:val="0"/>
      <w:marRight w:val="0"/>
      <w:marTop w:val="0"/>
      <w:marBottom w:val="0"/>
      <w:divBdr>
        <w:top w:val="none" w:sz="0" w:space="0" w:color="auto"/>
        <w:left w:val="none" w:sz="0" w:space="0" w:color="auto"/>
        <w:bottom w:val="none" w:sz="0" w:space="0" w:color="auto"/>
        <w:right w:val="none" w:sz="0" w:space="0" w:color="auto"/>
      </w:divBdr>
    </w:div>
    <w:div w:id="1612127205">
      <w:bodyDiv w:val="1"/>
      <w:marLeft w:val="0"/>
      <w:marRight w:val="0"/>
      <w:marTop w:val="0"/>
      <w:marBottom w:val="0"/>
      <w:divBdr>
        <w:top w:val="none" w:sz="0" w:space="0" w:color="auto"/>
        <w:left w:val="none" w:sz="0" w:space="0" w:color="auto"/>
        <w:bottom w:val="none" w:sz="0" w:space="0" w:color="auto"/>
        <w:right w:val="none" w:sz="0" w:space="0" w:color="auto"/>
      </w:divBdr>
    </w:div>
    <w:div w:id="1635479132">
      <w:bodyDiv w:val="1"/>
      <w:marLeft w:val="0"/>
      <w:marRight w:val="0"/>
      <w:marTop w:val="0"/>
      <w:marBottom w:val="0"/>
      <w:divBdr>
        <w:top w:val="none" w:sz="0" w:space="0" w:color="auto"/>
        <w:left w:val="none" w:sz="0" w:space="0" w:color="auto"/>
        <w:bottom w:val="none" w:sz="0" w:space="0" w:color="auto"/>
        <w:right w:val="none" w:sz="0" w:space="0" w:color="auto"/>
      </w:divBdr>
    </w:div>
    <w:div w:id="1640379953">
      <w:bodyDiv w:val="1"/>
      <w:marLeft w:val="0"/>
      <w:marRight w:val="0"/>
      <w:marTop w:val="0"/>
      <w:marBottom w:val="0"/>
      <w:divBdr>
        <w:top w:val="none" w:sz="0" w:space="0" w:color="auto"/>
        <w:left w:val="none" w:sz="0" w:space="0" w:color="auto"/>
        <w:bottom w:val="none" w:sz="0" w:space="0" w:color="auto"/>
        <w:right w:val="none" w:sz="0" w:space="0" w:color="auto"/>
      </w:divBdr>
    </w:div>
    <w:div w:id="1646734593">
      <w:bodyDiv w:val="1"/>
      <w:marLeft w:val="0"/>
      <w:marRight w:val="0"/>
      <w:marTop w:val="0"/>
      <w:marBottom w:val="0"/>
      <w:divBdr>
        <w:top w:val="none" w:sz="0" w:space="0" w:color="auto"/>
        <w:left w:val="none" w:sz="0" w:space="0" w:color="auto"/>
        <w:bottom w:val="none" w:sz="0" w:space="0" w:color="auto"/>
        <w:right w:val="none" w:sz="0" w:space="0" w:color="auto"/>
      </w:divBdr>
    </w:div>
    <w:div w:id="1660422851">
      <w:bodyDiv w:val="1"/>
      <w:marLeft w:val="0"/>
      <w:marRight w:val="0"/>
      <w:marTop w:val="0"/>
      <w:marBottom w:val="0"/>
      <w:divBdr>
        <w:top w:val="none" w:sz="0" w:space="0" w:color="auto"/>
        <w:left w:val="none" w:sz="0" w:space="0" w:color="auto"/>
        <w:bottom w:val="none" w:sz="0" w:space="0" w:color="auto"/>
        <w:right w:val="none" w:sz="0" w:space="0" w:color="auto"/>
      </w:divBdr>
    </w:div>
    <w:div w:id="1667709061">
      <w:bodyDiv w:val="1"/>
      <w:marLeft w:val="0"/>
      <w:marRight w:val="0"/>
      <w:marTop w:val="0"/>
      <w:marBottom w:val="0"/>
      <w:divBdr>
        <w:top w:val="none" w:sz="0" w:space="0" w:color="auto"/>
        <w:left w:val="none" w:sz="0" w:space="0" w:color="auto"/>
        <w:bottom w:val="none" w:sz="0" w:space="0" w:color="auto"/>
        <w:right w:val="none" w:sz="0" w:space="0" w:color="auto"/>
      </w:divBdr>
    </w:div>
    <w:div w:id="1713964498">
      <w:bodyDiv w:val="1"/>
      <w:marLeft w:val="0"/>
      <w:marRight w:val="0"/>
      <w:marTop w:val="0"/>
      <w:marBottom w:val="0"/>
      <w:divBdr>
        <w:top w:val="none" w:sz="0" w:space="0" w:color="auto"/>
        <w:left w:val="none" w:sz="0" w:space="0" w:color="auto"/>
        <w:bottom w:val="none" w:sz="0" w:space="0" w:color="auto"/>
        <w:right w:val="none" w:sz="0" w:space="0" w:color="auto"/>
      </w:divBdr>
      <w:divsChild>
        <w:div w:id="445926493">
          <w:marLeft w:val="960"/>
          <w:marRight w:val="0"/>
          <w:marTop w:val="0"/>
          <w:marBottom w:val="240"/>
          <w:divBdr>
            <w:top w:val="none" w:sz="0" w:space="0" w:color="auto"/>
            <w:left w:val="none" w:sz="0" w:space="0" w:color="auto"/>
            <w:bottom w:val="none" w:sz="0" w:space="0" w:color="auto"/>
            <w:right w:val="none" w:sz="0" w:space="0" w:color="auto"/>
          </w:divBdr>
        </w:div>
        <w:div w:id="548106497">
          <w:marLeft w:val="960"/>
          <w:marRight w:val="0"/>
          <w:marTop w:val="0"/>
          <w:marBottom w:val="240"/>
          <w:divBdr>
            <w:top w:val="none" w:sz="0" w:space="0" w:color="auto"/>
            <w:left w:val="none" w:sz="0" w:space="0" w:color="auto"/>
            <w:bottom w:val="none" w:sz="0" w:space="0" w:color="auto"/>
            <w:right w:val="none" w:sz="0" w:space="0" w:color="auto"/>
          </w:divBdr>
        </w:div>
        <w:div w:id="587078889">
          <w:marLeft w:val="960"/>
          <w:marRight w:val="0"/>
          <w:marTop w:val="0"/>
          <w:marBottom w:val="240"/>
          <w:divBdr>
            <w:top w:val="none" w:sz="0" w:space="0" w:color="auto"/>
            <w:left w:val="none" w:sz="0" w:space="0" w:color="auto"/>
            <w:bottom w:val="none" w:sz="0" w:space="0" w:color="auto"/>
            <w:right w:val="none" w:sz="0" w:space="0" w:color="auto"/>
          </w:divBdr>
        </w:div>
      </w:divsChild>
    </w:div>
    <w:div w:id="1718117732">
      <w:bodyDiv w:val="1"/>
      <w:marLeft w:val="0"/>
      <w:marRight w:val="0"/>
      <w:marTop w:val="0"/>
      <w:marBottom w:val="0"/>
      <w:divBdr>
        <w:top w:val="none" w:sz="0" w:space="0" w:color="auto"/>
        <w:left w:val="none" w:sz="0" w:space="0" w:color="auto"/>
        <w:bottom w:val="none" w:sz="0" w:space="0" w:color="auto"/>
        <w:right w:val="none" w:sz="0" w:space="0" w:color="auto"/>
      </w:divBdr>
    </w:div>
    <w:div w:id="1768312497">
      <w:bodyDiv w:val="1"/>
      <w:marLeft w:val="0"/>
      <w:marRight w:val="0"/>
      <w:marTop w:val="0"/>
      <w:marBottom w:val="0"/>
      <w:divBdr>
        <w:top w:val="none" w:sz="0" w:space="0" w:color="auto"/>
        <w:left w:val="none" w:sz="0" w:space="0" w:color="auto"/>
        <w:bottom w:val="none" w:sz="0" w:space="0" w:color="auto"/>
        <w:right w:val="none" w:sz="0" w:space="0" w:color="auto"/>
      </w:divBdr>
    </w:div>
    <w:div w:id="1801220196">
      <w:bodyDiv w:val="1"/>
      <w:marLeft w:val="0"/>
      <w:marRight w:val="0"/>
      <w:marTop w:val="0"/>
      <w:marBottom w:val="0"/>
      <w:divBdr>
        <w:top w:val="none" w:sz="0" w:space="0" w:color="auto"/>
        <w:left w:val="none" w:sz="0" w:space="0" w:color="auto"/>
        <w:bottom w:val="none" w:sz="0" w:space="0" w:color="auto"/>
        <w:right w:val="none" w:sz="0" w:space="0" w:color="auto"/>
      </w:divBdr>
    </w:div>
    <w:div w:id="1812559220">
      <w:bodyDiv w:val="1"/>
      <w:marLeft w:val="0"/>
      <w:marRight w:val="0"/>
      <w:marTop w:val="0"/>
      <w:marBottom w:val="0"/>
      <w:divBdr>
        <w:top w:val="none" w:sz="0" w:space="0" w:color="auto"/>
        <w:left w:val="none" w:sz="0" w:space="0" w:color="auto"/>
        <w:bottom w:val="none" w:sz="0" w:space="0" w:color="auto"/>
        <w:right w:val="none" w:sz="0" w:space="0" w:color="auto"/>
      </w:divBdr>
    </w:div>
    <w:div w:id="1816028039">
      <w:bodyDiv w:val="1"/>
      <w:marLeft w:val="0"/>
      <w:marRight w:val="0"/>
      <w:marTop w:val="0"/>
      <w:marBottom w:val="0"/>
      <w:divBdr>
        <w:top w:val="none" w:sz="0" w:space="0" w:color="auto"/>
        <w:left w:val="none" w:sz="0" w:space="0" w:color="auto"/>
        <w:bottom w:val="none" w:sz="0" w:space="0" w:color="auto"/>
        <w:right w:val="none" w:sz="0" w:space="0" w:color="auto"/>
      </w:divBdr>
    </w:div>
    <w:div w:id="1850169394">
      <w:bodyDiv w:val="1"/>
      <w:marLeft w:val="0"/>
      <w:marRight w:val="0"/>
      <w:marTop w:val="0"/>
      <w:marBottom w:val="0"/>
      <w:divBdr>
        <w:top w:val="none" w:sz="0" w:space="0" w:color="auto"/>
        <w:left w:val="none" w:sz="0" w:space="0" w:color="auto"/>
        <w:bottom w:val="none" w:sz="0" w:space="0" w:color="auto"/>
        <w:right w:val="none" w:sz="0" w:space="0" w:color="auto"/>
      </w:divBdr>
    </w:div>
    <w:div w:id="1851329561">
      <w:bodyDiv w:val="1"/>
      <w:marLeft w:val="0"/>
      <w:marRight w:val="0"/>
      <w:marTop w:val="0"/>
      <w:marBottom w:val="0"/>
      <w:divBdr>
        <w:top w:val="none" w:sz="0" w:space="0" w:color="auto"/>
        <w:left w:val="none" w:sz="0" w:space="0" w:color="auto"/>
        <w:bottom w:val="none" w:sz="0" w:space="0" w:color="auto"/>
        <w:right w:val="none" w:sz="0" w:space="0" w:color="auto"/>
      </w:divBdr>
    </w:div>
    <w:div w:id="1868327636">
      <w:bodyDiv w:val="1"/>
      <w:marLeft w:val="0"/>
      <w:marRight w:val="0"/>
      <w:marTop w:val="0"/>
      <w:marBottom w:val="0"/>
      <w:divBdr>
        <w:top w:val="none" w:sz="0" w:space="0" w:color="auto"/>
        <w:left w:val="none" w:sz="0" w:space="0" w:color="auto"/>
        <w:bottom w:val="none" w:sz="0" w:space="0" w:color="auto"/>
        <w:right w:val="none" w:sz="0" w:space="0" w:color="auto"/>
      </w:divBdr>
    </w:div>
    <w:div w:id="1886982736">
      <w:bodyDiv w:val="1"/>
      <w:marLeft w:val="0"/>
      <w:marRight w:val="0"/>
      <w:marTop w:val="0"/>
      <w:marBottom w:val="0"/>
      <w:divBdr>
        <w:top w:val="none" w:sz="0" w:space="0" w:color="auto"/>
        <w:left w:val="none" w:sz="0" w:space="0" w:color="auto"/>
        <w:bottom w:val="none" w:sz="0" w:space="0" w:color="auto"/>
        <w:right w:val="none" w:sz="0" w:space="0" w:color="auto"/>
      </w:divBdr>
    </w:div>
    <w:div w:id="1887184316">
      <w:bodyDiv w:val="1"/>
      <w:marLeft w:val="0"/>
      <w:marRight w:val="0"/>
      <w:marTop w:val="0"/>
      <w:marBottom w:val="0"/>
      <w:divBdr>
        <w:top w:val="none" w:sz="0" w:space="0" w:color="auto"/>
        <w:left w:val="none" w:sz="0" w:space="0" w:color="auto"/>
        <w:bottom w:val="none" w:sz="0" w:space="0" w:color="auto"/>
        <w:right w:val="none" w:sz="0" w:space="0" w:color="auto"/>
      </w:divBdr>
    </w:div>
    <w:div w:id="1903904902">
      <w:bodyDiv w:val="1"/>
      <w:marLeft w:val="0"/>
      <w:marRight w:val="0"/>
      <w:marTop w:val="0"/>
      <w:marBottom w:val="0"/>
      <w:divBdr>
        <w:top w:val="none" w:sz="0" w:space="0" w:color="auto"/>
        <w:left w:val="none" w:sz="0" w:space="0" w:color="auto"/>
        <w:bottom w:val="none" w:sz="0" w:space="0" w:color="auto"/>
        <w:right w:val="none" w:sz="0" w:space="0" w:color="auto"/>
      </w:divBdr>
    </w:div>
    <w:div w:id="1911114230">
      <w:bodyDiv w:val="1"/>
      <w:marLeft w:val="0"/>
      <w:marRight w:val="0"/>
      <w:marTop w:val="0"/>
      <w:marBottom w:val="0"/>
      <w:divBdr>
        <w:top w:val="none" w:sz="0" w:space="0" w:color="auto"/>
        <w:left w:val="none" w:sz="0" w:space="0" w:color="auto"/>
        <w:bottom w:val="none" w:sz="0" w:space="0" w:color="auto"/>
        <w:right w:val="none" w:sz="0" w:space="0" w:color="auto"/>
      </w:divBdr>
    </w:div>
    <w:div w:id="1913661292">
      <w:bodyDiv w:val="1"/>
      <w:marLeft w:val="0"/>
      <w:marRight w:val="0"/>
      <w:marTop w:val="0"/>
      <w:marBottom w:val="0"/>
      <w:divBdr>
        <w:top w:val="none" w:sz="0" w:space="0" w:color="auto"/>
        <w:left w:val="none" w:sz="0" w:space="0" w:color="auto"/>
        <w:bottom w:val="none" w:sz="0" w:space="0" w:color="auto"/>
        <w:right w:val="none" w:sz="0" w:space="0" w:color="auto"/>
      </w:divBdr>
    </w:div>
    <w:div w:id="1956674058">
      <w:bodyDiv w:val="1"/>
      <w:marLeft w:val="0"/>
      <w:marRight w:val="0"/>
      <w:marTop w:val="0"/>
      <w:marBottom w:val="0"/>
      <w:divBdr>
        <w:top w:val="none" w:sz="0" w:space="0" w:color="auto"/>
        <w:left w:val="none" w:sz="0" w:space="0" w:color="auto"/>
        <w:bottom w:val="none" w:sz="0" w:space="0" w:color="auto"/>
        <w:right w:val="none" w:sz="0" w:space="0" w:color="auto"/>
      </w:divBdr>
    </w:div>
    <w:div w:id="2004700172">
      <w:bodyDiv w:val="1"/>
      <w:marLeft w:val="0"/>
      <w:marRight w:val="0"/>
      <w:marTop w:val="0"/>
      <w:marBottom w:val="0"/>
      <w:divBdr>
        <w:top w:val="none" w:sz="0" w:space="0" w:color="auto"/>
        <w:left w:val="none" w:sz="0" w:space="0" w:color="auto"/>
        <w:bottom w:val="none" w:sz="0" w:space="0" w:color="auto"/>
        <w:right w:val="none" w:sz="0" w:space="0" w:color="auto"/>
      </w:divBdr>
    </w:div>
    <w:div w:id="2013027749">
      <w:bodyDiv w:val="1"/>
      <w:marLeft w:val="0"/>
      <w:marRight w:val="0"/>
      <w:marTop w:val="0"/>
      <w:marBottom w:val="0"/>
      <w:divBdr>
        <w:top w:val="none" w:sz="0" w:space="0" w:color="auto"/>
        <w:left w:val="none" w:sz="0" w:space="0" w:color="auto"/>
        <w:bottom w:val="none" w:sz="0" w:space="0" w:color="auto"/>
        <w:right w:val="none" w:sz="0" w:space="0" w:color="auto"/>
      </w:divBdr>
    </w:div>
    <w:div w:id="2029789116">
      <w:bodyDiv w:val="1"/>
      <w:marLeft w:val="0"/>
      <w:marRight w:val="0"/>
      <w:marTop w:val="0"/>
      <w:marBottom w:val="0"/>
      <w:divBdr>
        <w:top w:val="none" w:sz="0" w:space="0" w:color="auto"/>
        <w:left w:val="none" w:sz="0" w:space="0" w:color="auto"/>
        <w:bottom w:val="none" w:sz="0" w:space="0" w:color="auto"/>
        <w:right w:val="none" w:sz="0" w:space="0" w:color="auto"/>
      </w:divBdr>
    </w:div>
    <w:div w:id="2091342083">
      <w:bodyDiv w:val="1"/>
      <w:marLeft w:val="0"/>
      <w:marRight w:val="0"/>
      <w:marTop w:val="0"/>
      <w:marBottom w:val="0"/>
      <w:divBdr>
        <w:top w:val="none" w:sz="0" w:space="0" w:color="auto"/>
        <w:left w:val="none" w:sz="0" w:space="0" w:color="auto"/>
        <w:bottom w:val="none" w:sz="0" w:space="0" w:color="auto"/>
        <w:right w:val="none" w:sz="0" w:space="0" w:color="auto"/>
      </w:divBdr>
    </w:div>
    <w:div w:id="2118059962">
      <w:bodyDiv w:val="1"/>
      <w:marLeft w:val="0"/>
      <w:marRight w:val="0"/>
      <w:marTop w:val="0"/>
      <w:marBottom w:val="0"/>
      <w:divBdr>
        <w:top w:val="none" w:sz="0" w:space="0" w:color="auto"/>
        <w:left w:val="none" w:sz="0" w:space="0" w:color="auto"/>
        <w:bottom w:val="none" w:sz="0" w:space="0" w:color="auto"/>
        <w:right w:val="none" w:sz="0" w:space="0" w:color="auto"/>
      </w:divBdr>
    </w:div>
    <w:div w:id="2127502092">
      <w:bodyDiv w:val="1"/>
      <w:marLeft w:val="0"/>
      <w:marRight w:val="0"/>
      <w:marTop w:val="0"/>
      <w:marBottom w:val="0"/>
      <w:divBdr>
        <w:top w:val="none" w:sz="0" w:space="0" w:color="auto"/>
        <w:left w:val="none" w:sz="0" w:space="0" w:color="auto"/>
        <w:bottom w:val="none" w:sz="0" w:space="0" w:color="auto"/>
        <w:right w:val="none" w:sz="0" w:space="0" w:color="auto"/>
      </w:divBdr>
      <w:divsChild>
        <w:div w:id="287131808">
          <w:marLeft w:val="0"/>
          <w:marRight w:val="0"/>
          <w:marTop w:val="0"/>
          <w:marBottom w:val="0"/>
          <w:divBdr>
            <w:top w:val="none" w:sz="0" w:space="0" w:color="auto"/>
            <w:left w:val="none" w:sz="0" w:space="0" w:color="auto"/>
            <w:bottom w:val="none" w:sz="0" w:space="0" w:color="auto"/>
            <w:right w:val="none" w:sz="0" w:space="0" w:color="auto"/>
          </w:divBdr>
        </w:div>
        <w:div w:id="569659166">
          <w:marLeft w:val="0"/>
          <w:marRight w:val="0"/>
          <w:marTop w:val="0"/>
          <w:marBottom w:val="0"/>
          <w:divBdr>
            <w:top w:val="none" w:sz="0" w:space="0" w:color="auto"/>
            <w:left w:val="none" w:sz="0" w:space="0" w:color="auto"/>
            <w:bottom w:val="none" w:sz="0" w:space="0" w:color="auto"/>
            <w:right w:val="none" w:sz="0" w:space="0" w:color="auto"/>
          </w:divBdr>
        </w:div>
        <w:div w:id="897284852">
          <w:marLeft w:val="0"/>
          <w:marRight w:val="0"/>
          <w:marTop w:val="0"/>
          <w:marBottom w:val="0"/>
          <w:divBdr>
            <w:top w:val="none" w:sz="0" w:space="0" w:color="auto"/>
            <w:left w:val="none" w:sz="0" w:space="0" w:color="auto"/>
            <w:bottom w:val="none" w:sz="0" w:space="0" w:color="auto"/>
            <w:right w:val="none" w:sz="0" w:space="0" w:color="auto"/>
          </w:divBdr>
        </w:div>
        <w:div w:id="899024857">
          <w:marLeft w:val="0"/>
          <w:marRight w:val="0"/>
          <w:marTop w:val="0"/>
          <w:marBottom w:val="0"/>
          <w:divBdr>
            <w:top w:val="none" w:sz="0" w:space="0" w:color="auto"/>
            <w:left w:val="none" w:sz="0" w:space="0" w:color="auto"/>
            <w:bottom w:val="none" w:sz="0" w:space="0" w:color="auto"/>
            <w:right w:val="none" w:sz="0" w:space="0" w:color="auto"/>
          </w:divBdr>
        </w:div>
        <w:div w:id="1055662199">
          <w:marLeft w:val="0"/>
          <w:marRight w:val="0"/>
          <w:marTop w:val="0"/>
          <w:marBottom w:val="0"/>
          <w:divBdr>
            <w:top w:val="none" w:sz="0" w:space="0" w:color="auto"/>
            <w:left w:val="none" w:sz="0" w:space="0" w:color="auto"/>
            <w:bottom w:val="none" w:sz="0" w:space="0" w:color="auto"/>
            <w:right w:val="none" w:sz="0" w:space="0" w:color="auto"/>
          </w:divBdr>
        </w:div>
        <w:div w:id="2076278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 Type="http://schemas.openxmlformats.org/officeDocument/2006/relationships/fontTable" Target="fontTable.xml" Id="rId22" /><Relationship Type="http://schemas.openxmlformats.org/officeDocument/2006/relationships/hyperlink" Target="https://docs.cpuc.ca.gov/PublishedDocs/Published/G000/M556/K528/556528708.pdf" TargetMode="External" Id="Rbcb5c21173fe4774" /><Relationship Type="http://schemas.openxmlformats.org/officeDocument/2006/relationships/hyperlink" Target="https://docs.cpuc.ca.gov/PublishedDocs/Published/G000/M556/K525/556525777.docx" TargetMode="External" Id="Rad1aa28a26ce4fab" /></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media/cpuc-website/files/legacyfiles/c/6442463239-ceqa-pre-filing-guidelines-pea-checklist-nov-2019.pdf" TargetMode="External"/><Relationship Id="rId2" Type="http://schemas.openxmlformats.org/officeDocument/2006/relationships/hyperlink" Target="https://opr.ca.gov/ceqa/docs/20210809-CEQA_101.pdf" TargetMode="External"/><Relationship Id="rId1" Type="http://schemas.openxmlformats.org/officeDocument/2006/relationships/hyperlink" Target="https://opr.ca.gov/ceqa/getting-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fa8c6a1-a26a-4531-bba0-41196200a045">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d029ddf9-aa33-495e-b1b4-6d68212772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DF2F3AA19FF9418516062AF11C0ACF" ma:contentTypeVersion="17" ma:contentTypeDescription="Create a new document." ma:contentTypeScope="" ma:versionID="6ae3668c390b9802295264eef385e73c">
  <xsd:schema xmlns:xsd="http://www.w3.org/2001/XMLSchema" xmlns:xs="http://www.w3.org/2001/XMLSchema" xmlns:p="http://schemas.microsoft.com/office/2006/metadata/properties" xmlns:ns2="8114c60f-d572-43b4-ba5f-295801837341" xmlns:ns3="0db3a248-2f3b-4e14-a06e-708bd1cc474a" targetNamespace="http://schemas.microsoft.com/office/2006/metadata/properties" ma:root="true" ma:fieldsID="eeff2ac547717997a686a7feec319d29" ns2:_="" ns3:_="">
    <xsd:import namespace="8114c60f-d572-43b4-ba5f-295801837341"/>
    <xsd:import namespace="0db3a248-2f3b-4e14-a06e-708bd1cc4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60f-d572-43b4-ba5f-2958018373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468275ae-ef1e-40ba-9e1a-f8e2345e05de}" ma:internalName="TaxCatchAll" ma:showField="CatchAllData" ma:web="8114c60f-d572-43b4-ba5f-2958018373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3a248-2f3b-4e14-a06e-708bd1cc47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0FFBBE0AC460F4AA4CC26C1F6896B31" ma:contentTypeVersion="8" ma:contentTypeDescription="Create a new document." ma:contentTypeScope="" ma:versionID="89b5d15339b09071b076e96e47fe1bd9">
  <xsd:schema xmlns:xsd="http://www.w3.org/2001/XMLSchema" xmlns:xs="http://www.w3.org/2001/XMLSchema" xmlns:p="http://schemas.microsoft.com/office/2006/metadata/properties" xmlns:ns3="d029ddf9-aa33-495e-b1b4-6d6821277222" xmlns:ns4="cfa8c6a1-a26a-4531-bba0-41196200a045" targetNamespace="http://schemas.microsoft.com/office/2006/metadata/properties" ma:root="true" ma:fieldsID="b74621f3953c3fa9fbd3a0e1a49f5714" ns3:_="" ns4:_="">
    <xsd:import namespace="d029ddf9-aa33-495e-b1b4-6d6821277222"/>
    <xsd:import namespace="cfa8c6a1-a26a-4531-bba0-41196200a0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9ddf9-aa33-495e-b1b4-6d6821277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8c6a1-a26a-4531-bba0-41196200a0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cfa8c6a1-a26a-4531-bba0-41196200a045"/>
    <ds:schemaRef ds:uri="d029ddf9-aa33-495e-b1b4-6d6821277222"/>
  </ds:schemaRefs>
</ds:datastoreItem>
</file>

<file path=customXml/itemProps3.xml><?xml version="1.0" encoding="utf-8"?>
<ds:datastoreItem xmlns:ds="http://schemas.openxmlformats.org/officeDocument/2006/customXml" ds:itemID="{CB6EB667-7234-4282-BA47-D98455332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60f-d572-43b4-ba5f-295801837341"/>
    <ds:schemaRef ds:uri="0db3a248-2f3b-4e14-a06e-708bd1cc4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A3D9E-C994-4020-AEDD-E6B07762A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9ddf9-aa33-495e-b1b4-6d6821277222"/>
    <ds:schemaRef ds:uri="cfa8c6a1-a26a-4531-bba0-41196200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145</ap:Pages>
  <ap:Words>34569</ap:Words>
  <ap:Characters>197045</ap:Characters>
  <ap:Application>Microsoft Office Word</ap:Application>
  <ap:DocSecurity>0</ap:DocSecurity>
  <ap:Lines>1642</ap:Lines>
  <ap:Paragraphs>462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231152</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2025-01-28T22:05:00Z</cp:lastPrinted>
  <dcterms:created xsi:type="dcterms:W3CDTF">2025-02-07T12:08:21Z</dcterms:created>
  <dcterms:modified xsi:type="dcterms:W3CDTF">2025-02-07T12:08:21Z</dcterms:modified>
</cp:coreProperties>
</file>