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27F0" w:rsidR="00CF17DE" w:rsidRDefault="00CF17DE" w14:paraId="3F0A2015" w14:textId="77777777">
      <w:pPr>
        <w:pStyle w:val="titlebar"/>
        <w:rPr>
          <w:rFonts w:ascii="Palatino Linotype" w:hAnsi="Palatino Linotype"/>
          <w:sz w:val="24"/>
        </w:rPr>
      </w:pPr>
      <w:r w:rsidRPr="00CC27F0">
        <w:rPr>
          <w:rFonts w:ascii="Palatino Linotype" w:hAnsi="Palatino Linotype"/>
          <w:sz w:val="24"/>
        </w:rPr>
        <w:t>PUBLIC UTILITIES COMMISSION OF THE STATE OF CALIFORNIA</w:t>
      </w:r>
    </w:p>
    <w:p w:rsidRPr="00A85091" w:rsidR="00CF17DE" w:rsidRDefault="00CF17DE" w14:paraId="027DA850" w14:textId="77777777">
      <w:pPr>
        <w:suppressAutoHyphens/>
        <w:rPr>
          <w:rFonts w:ascii="Palatino Linotype" w:hAnsi="Palatino Linotype"/>
          <w:sz w:val="24"/>
          <w:szCs w:val="24"/>
        </w:rPr>
      </w:pPr>
    </w:p>
    <w:p w:rsidRPr="00CC27F0" w:rsidR="00CF17DE" w:rsidRDefault="008601D3" w14:paraId="29AEC102" w14:textId="1D8E83C7">
      <w:pPr>
        <w:rPr>
          <w:rFonts w:ascii="Palatino Linotype" w:hAnsi="Palatino Linotype"/>
          <w:b/>
          <w:sz w:val="24"/>
        </w:rPr>
      </w:pPr>
      <w:r w:rsidRPr="00CC27F0">
        <w:rPr>
          <w:rFonts w:ascii="Palatino Linotype" w:hAnsi="Palatino Linotype"/>
          <w:b/>
          <w:sz w:val="24"/>
        </w:rPr>
        <w:t>Consumer Protection and Enforcement Division</w:t>
      </w:r>
      <w:r w:rsidRPr="00CC27F0" w:rsidR="00593807">
        <w:rPr>
          <w:rFonts w:ascii="Palatino Linotype" w:hAnsi="Palatino Linotype"/>
          <w:b/>
          <w:sz w:val="24"/>
        </w:rPr>
        <w:tab/>
      </w:r>
      <w:r w:rsidRPr="00CC27F0" w:rsidR="00593807">
        <w:rPr>
          <w:rFonts w:ascii="Palatino Linotype" w:hAnsi="Palatino Linotype"/>
          <w:b/>
          <w:sz w:val="24"/>
        </w:rPr>
        <w:tab/>
      </w:r>
      <w:r w:rsidRPr="00CC27F0" w:rsidR="00CF17DE">
        <w:rPr>
          <w:rFonts w:ascii="Palatino Linotype" w:hAnsi="Palatino Linotype"/>
          <w:b/>
          <w:sz w:val="24"/>
        </w:rPr>
        <w:t xml:space="preserve">RESOLUTION </w:t>
      </w:r>
      <w:r w:rsidRPr="00CC27F0">
        <w:rPr>
          <w:rFonts w:ascii="Palatino Linotype" w:hAnsi="Palatino Linotype"/>
          <w:b/>
          <w:sz w:val="24"/>
        </w:rPr>
        <w:t>T</w:t>
      </w:r>
      <w:r w:rsidRPr="00CC27F0" w:rsidR="00F1204E">
        <w:rPr>
          <w:rFonts w:ascii="Palatino Linotype" w:hAnsi="Palatino Linotype"/>
          <w:b/>
          <w:sz w:val="24"/>
        </w:rPr>
        <w:t>L-</w:t>
      </w:r>
      <w:r w:rsidRPr="00CC27F0" w:rsidR="002D142A">
        <w:rPr>
          <w:rFonts w:ascii="Palatino Linotype" w:hAnsi="Palatino Linotype"/>
          <w:b/>
          <w:sz w:val="24"/>
        </w:rPr>
        <w:t>19152</w:t>
      </w:r>
    </w:p>
    <w:p w:rsidRPr="00CC27F0" w:rsidR="008601D3" w:rsidP="3E8D698D" w:rsidRDefault="008601D3" w14:paraId="762E8829" w14:textId="6C489719">
      <w:pPr>
        <w:rPr>
          <w:rFonts w:ascii="Palatino Linotype" w:hAnsi="Palatino Linotype"/>
          <w:b/>
          <w:bCs/>
          <w:sz w:val="24"/>
          <w:szCs w:val="24"/>
        </w:rPr>
      </w:pPr>
      <w:r w:rsidRPr="00CC27F0">
        <w:rPr>
          <w:rFonts w:ascii="Palatino Linotype" w:hAnsi="Palatino Linotype"/>
          <w:b/>
          <w:bCs/>
          <w:sz w:val="24"/>
          <w:szCs w:val="24"/>
        </w:rPr>
        <w:t>Transportation Licensing and Analysis Branch</w:t>
      </w:r>
      <w:r w:rsidRPr="00CC27F0">
        <w:rPr>
          <w:rFonts w:ascii="Palatino Linotype" w:hAnsi="Palatino Linotype"/>
        </w:rPr>
        <w:tab/>
      </w:r>
      <w:r w:rsidRPr="00CC27F0">
        <w:rPr>
          <w:rFonts w:ascii="Palatino Linotype" w:hAnsi="Palatino Linotype"/>
        </w:rPr>
        <w:tab/>
      </w:r>
      <w:r w:rsidRPr="00296D32" w:rsidR="00803622">
        <w:rPr>
          <w:rFonts w:ascii="Palatino Linotype" w:hAnsi="Palatino Linotype"/>
          <w:b/>
          <w:bCs/>
          <w:sz w:val="24"/>
          <w:szCs w:val="24"/>
        </w:rPr>
        <w:t>March 13</w:t>
      </w:r>
      <w:r w:rsidRPr="00296D32" w:rsidR="00C27E55">
        <w:rPr>
          <w:rFonts w:ascii="Palatino Linotype" w:hAnsi="Palatino Linotype"/>
          <w:b/>
          <w:bCs/>
          <w:sz w:val="24"/>
          <w:szCs w:val="24"/>
        </w:rPr>
        <w:t>, 2025</w:t>
      </w:r>
    </w:p>
    <w:p w:rsidRPr="00D47CA1" w:rsidR="00CF17DE" w:rsidP="00F1204E" w:rsidRDefault="00CF17DE" w14:paraId="302F2932" w14:textId="79044574">
      <w:pPr>
        <w:ind w:left="1440" w:firstLine="720"/>
        <w:rPr>
          <w:rFonts w:ascii="Palatino Linotype" w:hAnsi="Palatino Linotype"/>
          <w:b/>
          <w:sz w:val="24"/>
          <w:szCs w:val="24"/>
        </w:rPr>
      </w:pPr>
      <w:r w:rsidRPr="00D47CA1">
        <w:rPr>
          <w:rFonts w:ascii="Palatino Linotype" w:hAnsi="Palatino Linotype"/>
          <w:b/>
          <w:sz w:val="24"/>
        </w:rPr>
        <w:tab/>
      </w:r>
      <w:r w:rsidRPr="00D47CA1" w:rsidR="00F1204E">
        <w:rPr>
          <w:rFonts w:ascii="Palatino Linotype" w:hAnsi="Palatino Linotype"/>
          <w:b/>
          <w:sz w:val="24"/>
        </w:rPr>
        <w:tab/>
      </w:r>
      <w:r w:rsidRPr="00D47CA1" w:rsidR="00F1204E">
        <w:rPr>
          <w:rFonts w:ascii="Palatino Linotype" w:hAnsi="Palatino Linotype"/>
          <w:b/>
          <w:sz w:val="24"/>
        </w:rPr>
        <w:tab/>
      </w:r>
      <w:r w:rsidRPr="00D47CA1" w:rsidR="00F1204E">
        <w:rPr>
          <w:rFonts w:ascii="Palatino Linotype" w:hAnsi="Palatino Linotype"/>
          <w:b/>
          <w:sz w:val="24"/>
        </w:rPr>
        <w:tab/>
      </w:r>
      <w:r w:rsidRPr="00D47CA1" w:rsidR="00F1204E">
        <w:rPr>
          <w:rFonts w:ascii="Palatino Linotype" w:hAnsi="Palatino Linotype"/>
          <w:b/>
          <w:sz w:val="24"/>
        </w:rPr>
        <w:tab/>
      </w:r>
    </w:p>
    <w:p w:rsidRPr="00A85091" w:rsidR="00CF17DE" w:rsidRDefault="00CF17DE" w14:paraId="1C4C27E0" w14:textId="77777777">
      <w:pPr>
        <w:tabs>
          <w:tab w:val="right" w:pos="8910"/>
        </w:tabs>
        <w:ind w:left="1440" w:firstLine="720"/>
        <w:rPr>
          <w:rFonts w:ascii="Palatino Linotype" w:hAnsi="Palatino Linotype"/>
          <w:b/>
          <w:sz w:val="24"/>
          <w:szCs w:val="24"/>
        </w:rPr>
      </w:pPr>
    </w:p>
    <w:p w:rsidRPr="00A85091" w:rsidR="00CF17DE" w:rsidRDefault="00B259F9" w14:paraId="30A28582" w14:textId="363A20D6">
      <w:pPr>
        <w:pStyle w:val="mainex"/>
        <w:rPr>
          <w:rFonts w:ascii="Palatino Linotype" w:hAnsi="Palatino Linotype"/>
          <w:spacing w:val="0"/>
          <w:szCs w:val="26"/>
          <w:u w:val="single"/>
        </w:rPr>
      </w:pPr>
      <w:bookmarkStart w:name="_Ref404993683" w:id="0"/>
      <w:r w:rsidRPr="00A85091">
        <w:rPr>
          <w:rFonts w:ascii="Palatino Linotype" w:hAnsi="Palatino Linotype"/>
          <w:spacing w:val="0"/>
          <w:szCs w:val="26"/>
          <w:u w:val="single"/>
        </w:rPr>
        <w:t xml:space="preserve">DRAFT </w:t>
      </w:r>
      <w:r w:rsidRPr="00A85091" w:rsidR="00CF17DE">
        <w:rPr>
          <w:rFonts w:ascii="Palatino Linotype" w:hAnsi="Palatino Linotype"/>
          <w:spacing w:val="0"/>
          <w:szCs w:val="26"/>
          <w:u w:val="single"/>
        </w:rPr>
        <w:t>RESOLUTION</w:t>
      </w:r>
    </w:p>
    <w:p w:rsidRPr="00A85091" w:rsidR="00CF17DE" w:rsidRDefault="00CF17DE" w14:paraId="65E88A7D" w14:textId="77777777">
      <w:pPr>
        <w:rPr>
          <w:rFonts w:ascii="Palatino Linotype" w:hAnsi="Palatino Linotype"/>
          <w:sz w:val="24"/>
          <w:szCs w:val="24"/>
        </w:rPr>
      </w:pPr>
    </w:p>
    <w:p w:rsidRPr="00A85091" w:rsidR="00CF17DE" w:rsidP="00F1204E" w:rsidRDefault="00FC557A" w14:paraId="5C3C7819" w14:textId="54920C7E">
      <w:pPr>
        <w:pStyle w:val="Res-Caption"/>
        <w:rPr>
          <w:rFonts w:ascii="Palatino Linotype" w:hAnsi="Palatino Linotype"/>
          <w:sz w:val="24"/>
          <w:szCs w:val="24"/>
        </w:rPr>
      </w:pPr>
      <w:r w:rsidRPr="00A85091">
        <w:rPr>
          <w:rFonts w:ascii="Palatino Linotype" w:hAnsi="Palatino Linotype"/>
          <w:sz w:val="24"/>
          <w:szCs w:val="24"/>
        </w:rPr>
        <w:t>RESOLUTION APPROVING</w:t>
      </w:r>
      <w:r w:rsidRPr="00A85091" w:rsidR="00AC2CAE">
        <w:rPr>
          <w:rFonts w:ascii="Palatino Linotype" w:hAnsi="Palatino Linotype"/>
          <w:sz w:val="24"/>
          <w:szCs w:val="24"/>
        </w:rPr>
        <w:t xml:space="preserve"> </w:t>
      </w:r>
      <w:r w:rsidRPr="00A85091" w:rsidR="008134BB">
        <w:rPr>
          <w:rFonts w:ascii="Palatino Linotype" w:hAnsi="Palatino Linotype"/>
          <w:sz w:val="24"/>
          <w:szCs w:val="24"/>
        </w:rPr>
        <w:t>UBER TECHNOLOGIES</w:t>
      </w:r>
      <w:r w:rsidRPr="00A85091" w:rsidR="00AC2CAE">
        <w:rPr>
          <w:rFonts w:ascii="Palatino Linotype" w:hAnsi="Palatino Linotype"/>
          <w:sz w:val="24"/>
          <w:szCs w:val="24"/>
        </w:rPr>
        <w:t>, INC.’S</w:t>
      </w:r>
      <w:r w:rsidRPr="00A85091">
        <w:rPr>
          <w:rFonts w:ascii="Palatino Linotype" w:hAnsi="Palatino Linotype"/>
          <w:sz w:val="24"/>
          <w:szCs w:val="24"/>
        </w:rPr>
        <w:t xml:space="preserve"> INTERIM GREENHOUSE GAS EMISSIONS REDUCTION PLAN</w:t>
      </w:r>
      <w:r w:rsidRPr="00A85091" w:rsidR="008B014B">
        <w:rPr>
          <w:rFonts w:ascii="Palatino Linotype" w:hAnsi="Palatino Linotype"/>
          <w:sz w:val="24"/>
          <w:szCs w:val="24"/>
        </w:rPr>
        <w:t xml:space="preserve"> SUBMITTED AS</w:t>
      </w:r>
      <w:r w:rsidRPr="00A85091" w:rsidR="00AC2CAE">
        <w:rPr>
          <w:rFonts w:ascii="Palatino Linotype" w:hAnsi="Palatino Linotype"/>
          <w:sz w:val="24"/>
          <w:szCs w:val="24"/>
        </w:rPr>
        <w:t xml:space="preserve"> </w:t>
      </w:r>
      <w:r w:rsidRPr="00A85091" w:rsidR="008134BB">
        <w:rPr>
          <w:rFonts w:ascii="Palatino Linotype" w:hAnsi="Palatino Linotype"/>
          <w:sz w:val="24"/>
          <w:szCs w:val="24"/>
        </w:rPr>
        <w:t>UBER</w:t>
      </w:r>
      <w:r w:rsidRPr="00A85091" w:rsidR="008B014B">
        <w:rPr>
          <w:rFonts w:ascii="Palatino Linotype" w:hAnsi="Palatino Linotype"/>
          <w:sz w:val="24"/>
          <w:szCs w:val="24"/>
        </w:rPr>
        <w:t xml:space="preserve"> ADVICE LETTER </w:t>
      </w:r>
      <w:r w:rsidRPr="00A85091" w:rsidR="00AC2CAE">
        <w:rPr>
          <w:rFonts w:ascii="Palatino Linotype" w:hAnsi="Palatino Linotype"/>
          <w:sz w:val="24"/>
          <w:szCs w:val="24"/>
        </w:rPr>
        <w:t>2</w:t>
      </w:r>
      <w:r w:rsidRPr="00A85091" w:rsidR="008134BB">
        <w:rPr>
          <w:rFonts w:ascii="Palatino Linotype" w:hAnsi="Palatino Linotype"/>
          <w:sz w:val="24"/>
          <w:szCs w:val="24"/>
        </w:rPr>
        <w:t>7</w:t>
      </w:r>
    </w:p>
    <w:p w:rsidRPr="00A85091" w:rsidR="00CF17DE" w:rsidRDefault="00CF17DE" w14:paraId="16D83785" w14:textId="77777777">
      <w:pPr>
        <w:jc w:val="center"/>
        <w:rPr>
          <w:rFonts w:ascii="Palatino Linotype" w:hAnsi="Palatino Linotype"/>
          <w:sz w:val="24"/>
          <w:szCs w:val="24"/>
        </w:rPr>
      </w:pPr>
      <w:r w:rsidRPr="00A85091">
        <w:rPr>
          <w:rFonts w:ascii="Palatino Linotype" w:hAnsi="Palatino Linotype"/>
          <w:sz w:val="24"/>
          <w:szCs w:val="24"/>
        </w:rPr>
        <w:t>__________________________________________________________</w:t>
      </w:r>
    </w:p>
    <w:p w:rsidRPr="00A85091" w:rsidR="00CF17DE" w:rsidRDefault="00CF17DE" w14:paraId="7FD69406" w14:textId="77777777">
      <w:pPr>
        <w:rPr>
          <w:rFonts w:ascii="Palatino Linotype" w:hAnsi="Palatino Linotype"/>
          <w:b/>
          <w:sz w:val="24"/>
          <w:szCs w:val="24"/>
        </w:rPr>
      </w:pPr>
    </w:p>
    <w:p w:rsidRPr="00A60ADD" w:rsidR="00CF17DE" w:rsidRDefault="00CF17DE" w14:paraId="65F9988C" w14:textId="77777777">
      <w:pPr>
        <w:pStyle w:val="Heading1"/>
        <w:rPr>
          <w:rFonts w:ascii="Palatino Linotype" w:hAnsi="Palatino Linotype"/>
          <w:sz w:val="24"/>
          <w:szCs w:val="24"/>
        </w:rPr>
      </w:pPr>
      <w:r w:rsidRPr="00A60ADD">
        <w:rPr>
          <w:rFonts w:ascii="Palatino Linotype" w:hAnsi="Palatino Linotype"/>
          <w:sz w:val="24"/>
          <w:szCs w:val="24"/>
        </w:rPr>
        <w:t>Summary</w:t>
      </w:r>
      <w:bookmarkEnd w:id="0"/>
    </w:p>
    <w:p w:rsidRPr="00DF558C" w:rsidR="000E6167" w:rsidP="000E6167" w:rsidRDefault="00CF17DE" w14:paraId="72BEB60D" w14:textId="2937CD43">
      <w:pPr>
        <w:spacing w:after="240" w:line="276" w:lineRule="auto"/>
        <w:rPr>
          <w:rFonts w:ascii="Palatino Linotype" w:hAnsi="Palatino Linotype"/>
          <w:sz w:val="24"/>
          <w:szCs w:val="24"/>
        </w:rPr>
      </w:pPr>
      <w:r w:rsidRPr="23BE7E22">
        <w:rPr>
          <w:rFonts w:ascii="Palatino Linotype" w:hAnsi="Palatino Linotype"/>
          <w:sz w:val="24"/>
          <w:szCs w:val="24"/>
        </w:rPr>
        <w:t>This Resolutio</w:t>
      </w:r>
      <w:r w:rsidRPr="23BE7E22" w:rsidR="00443967">
        <w:rPr>
          <w:rFonts w:ascii="Palatino Linotype" w:hAnsi="Palatino Linotype"/>
          <w:sz w:val="24"/>
          <w:szCs w:val="24"/>
        </w:rPr>
        <w:t xml:space="preserve">n approves </w:t>
      </w:r>
      <w:r w:rsidRPr="23BE7E22" w:rsidR="00F441F4">
        <w:rPr>
          <w:rFonts w:ascii="Palatino Linotype" w:hAnsi="Palatino Linotype"/>
          <w:sz w:val="24"/>
          <w:szCs w:val="24"/>
        </w:rPr>
        <w:t>Uber Technologies</w:t>
      </w:r>
      <w:r w:rsidRPr="23BE7E22" w:rsidR="005F5DEA">
        <w:rPr>
          <w:rFonts w:ascii="Palatino Linotype" w:hAnsi="Palatino Linotype"/>
          <w:sz w:val="24"/>
          <w:szCs w:val="24"/>
        </w:rPr>
        <w:t>, Inc.’s (</w:t>
      </w:r>
      <w:r w:rsidRPr="23BE7E22" w:rsidR="00F441F4">
        <w:rPr>
          <w:rFonts w:ascii="Palatino Linotype" w:hAnsi="Palatino Linotype"/>
          <w:sz w:val="24"/>
          <w:szCs w:val="24"/>
        </w:rPr>
        <w:t>Uber</w:t>
      </w:r>
      <w:r w:rsidRPr="23BE7E22" w:rsidR="005F5DEA">
        <w:rPr>
          <w:rFonts w:ascii="Palatino Linotype" w:hAnsi="Palatino Linotype"/>
          <w:sz w:val="24"/>
          <w:szCs w:val="24"/>
        </w:rPr>
        <w:t xml:space="preserve">) Advice Letter </w:t>
      </w:r>
      <w:r w:rsidRPr="23BE7E22" w:rsidR="00D26AA6">
        <w:rPr>
          <w:rFonts w:ascii="Palatino Linotype" w:hAnsi="Palatino Linotype"/>
          <w:sz w:val="24"/>
          <w:szCs w:val="24"/>
        </w:rPr>
        <w:t>2</w:t>
      </w:r>
      <w:r w:rsidRPr="23BE7E22" w:rsidR="3A76547B">
        <w:rPr>
          <w:rFonts w:ascii="Palatino Linotype" w:hAnsi="Palatino Linotype"/>
          <w:sz w:val="24"/>
          <w:szCs w:val="24"/>
        </w:rPr>
        <w:t>7</w:t>
      </w:r>
      <w:r w:rsidRPr="23BE7E22" w:rsidR="005F5DEA">
        <w:rPr>
          <w:rFonts w:ascii="Palatino Linotype" w:hAnsi="Palatino Linotype"/>
          <w:sz w:val="24"/>
          <w:szCs w:val="24"/>
        </w:rPr>
        <w:t xml:space="preserve"> </w:t>
      </w:r>
      <w:r w:rsidRPr="23BE7E22" w:rsidR="003B78B5">
        <w:rPr>
          <w:rFonts w:ascii="Palatino Linotype" w:hAnsi="Palatino Linotype"/>
          <w:sz w:val="24"/>
          <w:szCs w:val="24"/>
        </w:rPr>
        <w:t xml:space="preserve">submission </w:t>
      </w:r>
      <w:r w:rsidRPr="23BE7E22" w:rsidR="006E164E">
        <w:rPr>
          <w:rFonts w:ascii="Palatino Linotype" w:hAnsi="Palatino Linotype"/>
          <w:sz w:val="24"/>
          <w:szCs w:val="24"/>
        </w:rPr>
        <w:t>of an</w:t>
      </w:r>
      <w:r w:rsidRPr="23BE7E22" w:rsidR="00FD2FDD">
        <w:rPr>
          <w:rFonts w:ascii="Palatino Linotype" w:hAnsi="Palatino Linotype"/>
          <w:sz w:val="24"/>
          <w:szCs w:val="24"/>
        </w:rPr>
        <w:t xml:space="preserve"> I</w:t>
      </w:r>
      <w:r w:rsidRPr="23BE7E22" w:rsidR="003B78B5">
        <w:rPr>
          <w:rFonts w:ascii="Palatino Linotype" w:hAnsi="Palatino Linotype"/>
          <w:sz w:val="24"/>
          <w:szCs w:val="24"/>
        </w:rPr>
        <w:t xml:space="preserve">nterim Greenhouse </w:t>
      </w:r>
      <w:proofErr w:type="gramStart"/>
      <w:r w:rsidRPr="23BE7E22" w:rsidR="003B78B5">
        <w:rPr>
          <w:rFonts w:ascii="Palatino Linotype" w:hAnsi="Palatino Linotype"/>
          <w:sz w:val="24"/>
          <w:szCs w:val="24"/>
        </w:rPr>
        <w:t>Gas Emissions</w:t>
      </w:r>
      <w:proofErr w:type="gramEnd"/>
      <w:r w:rsidRPr="23BE7E22" w:rsidR="003B78B5">
        <w:rPr>
          <w:rFonts w:ascii="Palatino Linotype" w:hAnsi="Palatino Linotype"/>
          <w:sz w:val="24"/>
          <w:szCs w:val="24"/>
        </w:rPr>
        <w:t xml:space="preserve"> Reduction Plan (</w:t>
      </w:r>
      <w:r w:rsidRPr="23BE7E22" w:rsidR="00807FAD">
        <w:rPr>
          <w:rFonts w:ascii="Palatino Linotype" w:hAnsi="Palatino Linotype"/>
          <w:sz w:val="24"/>
          <w:szCs w:val="24"/>
        </w:rPr>
        <w:t xml:space="preserve">Interim </w:t>
      </w:r>
      <w:r w:rsidRPr="23BE7E22" w:rsidR="003B78B5">
        <w:rPr>
          <w:rFonts w:ascii="Palatino Linotype" w:hAnsi="Palatino Linotype"/>
          <w:sz w:val="24"/>
          <w:szCs w:val="24"/>
        </w:rPr>
        <w:t>GHG Plan)</w:t>
      </w:r>
      <w:r w:rsidRPr="23BE7E22" w:rsidR="00FD2FDD">
        <w:rPr>
          <w:rFonts w:ascii="Palatino Linotype" w:hAnsi="Palatino Linotype"/>
          <w:sz w:val="24"/>
          <w:szCs w:val="24"/>
        </w:rPr>
        <w:t xml:space="preserve"> per </w:t>
      </w:r>
      <w:r w:rsidRPr="23BE7E22" w:rsidR="00F6073D">
        <w:rPr>
          <w:rFonts w:ascii="Palatino Linotype" w:hAnsi="Palatino Linotype"/>
          <w:sz w:val="24"/>
          <w:szCs w:val="24"/>
        </w:rPr>
        <w:t xml:space="preserve">the Clean Miles Standard (CMS) </w:t>
      </w:r>
      <w:r w:rsidRPr="23BE7E22" w:rsidR="00FD2FDD">
        <w:rPr>
          <w:rFonts w:ascii="Palatino Linotype" w:hAnsi="Palatino Linotype"/>
          <w:sz w:val="24"/>
          <w:szCs w:val="24"/>
        </w:rPr>
        <w:t>Decision (D.) 24-03-001</w:t>
      </w:r>
      <w:r w:rsidRPr="23BE7E22" w:rsidR="003B78B5">
        <w:rPr>
          <w:rFonts w:ascii="Palatino Linotype" w:hAnsi="Palatino Linotype"/>
          <w:sz w:val="24"/>
          <w:szCs w:val="24"/>
        </w:rPr>
        <w:t xml:space="preserve">. </w:t>
      </w:r>
      <w:r w:rsidRPr="23BE7E22" w:rsidR="006E164E">
        <w:rPr>
          <w:rFonts w:ascii="Palatino Linotype" w:hAnsi="Palatino Linotype"/>
          <w:sz w:val="24"/>
          <w:szCs w:val="24"/>
        </w:rPr>
        <w:t xml:space="preserve">Consumer Protection and Enforcement Division (CPED) </w:t>
      </w:r>
      <w:r w:rsidRPr="23BE7E22" w:rsidR="06A5E48A">
        <w:rPr>
          <w:rFonts w:ascii="Palatino Linotype" w:hAnsi="Palatino Linotype"/>
          <w:sz w:val="24"/>
          <w:szCs w:val="24"/>
        </w:rPr>
        <w:t xml:space="preserve">staff </w:t>
      </w:r>
      <w:r w:rsidRPr="23BE7E22" w:rsidR="006E164E">
        <w:rPr>
          <w:rFonts w:ascii="Palatino Linotype" w:hAnsi="Palatino Linotype"/>
          <w:sz w:val="24"/>
          <w:szCs w:val="24"/>
        </w:rPr>
        <w:t xml:space="preserve">reviewed the </w:t>
      </w:r>
      <w:r w:rsidRPr="23BE7E22" w:rsidR="00FD2FDD">
        <w:rPr>
          <w:rFonts w:ascii="Palatino Linotype" w:hAnsi="Palatino Linotype"/>
          <w:sz w:val="24"/>
          <w:szCs w:val="24"/>
        </w:rPr>
        <w:t>Interim GHG Plan and found the submission to be sufficient</w:t>
      </w:r>
      <w:r w:rsidRPr="23BE7E22" w:rsidR="70B375D7">
        <w:rPr>
          <w:rFonts w:ascii="Palatino Linotype" w:hAnsi="Palatino Linotype"/>
          <w:sz w:val="24"/>
          <w:szCs w:val="24"/>
        </w:rPr>
        <w:t xml:space="preserve"> in terms of completeness, feasibility, and accuracy</w:t>
      </w:r>
      <w:r w:rsidRPr="23BE7E22" w:rsidR="00FD2FDD">
        <w:rPr>
          <w:rFonts w:ascii="Palatino Linotype" w:hAnsi="Palatino Linotype"/>
          <w:sz w:val="24"/>
          <w:szCs w:val="24"/>
        </w:rPr>
        <w:t xml:space="preserve">. </w:t>
      </w:r>
      <w:r w:rsidRPr="23BE7E22" w:rsidR="005F2E53">
        <w:rPr>
          <w:rFonts w:ascii="Palatino Linotype" w:hAnsi="Palatino Linotype"/>
          <w:sz w:val="24"/>
          <w:szCs w:val="24"/>
        </w:rPr>
        <w:t>Th</w:t>
      </w:r>
      <w:r w:rsidRPr="23BE7E22" w:rsidR="005E395E">
        <w:rPr>
          <w:rFonts w:ascii="Palatino Linotype" w:hAnsi="Palatino Linotype"/>
          <w:sz w:val="24"/>
          <w:szCs w:val="24"/>
        </w:rPr>
        <w:t>is</w:t>
      </w:r>
      <w:r w:rsidRPr="23BE7E22" w:rsidR="005F2E53">
        <w:rPr>
          <w:rFonts w:ascii="Palatino Linotype" w:hAnsi="Palatino Linotype"/>
          <w:sz w:val="24"/>
          <w:szCs w:val="24"/>
        </w:rPr>
        <w:t xml:space="preserve"> Reso</w:t>
      </w:r>
      <w:r w:rsidRPr="23BE7E22" w:rsidR="007B200C">
        <w:rPr>
          <w:rFonts w:ascii="Palatino Linotype" w:hAnsi="Palatino Linotype"/>
          <w:sz w:val="24"/>
          <w:szCs w:val="24"/>
        </w:rPr>
        <w:t xml:space="preserve">lution, along with the </w:t>
      </w:r>
      <w:r w:rsidRPr="23BE7E22" w:rsidR="005E395E">
        <w:rPr>
          <w:rFonts w:ascii="Palatino Linotype" w:hAnsi="Palatino Linotype"/>
          <w:sz w:val="24"/>
          <w:szCs w:val="24"/>
        </w:rPr>
        <w:t xml:space="preserve">corresponding </w:t>
      </w:r>
      <w:r w:rsidRPr="23BE7E22" w:rsidR="007B200C">
        <w:rPr>
          <w:rFonts w:ascii="Palatino Linotype" w:hAnsi="Palatino Linotype"/>
          <w:sz w:val="24"/>
          <w:szCs w:val="24"/>
        </w:rPr>
        <w:t>Resolutions on</w:t>
      </w:r>
      <w:r w:rsidRPr="23BE7E22" w:rsidR="00D26AA6">
        <w:rPr>
          <w:rFonts w:ascii="Palatino Linotype" w:hAnsi="Palatino Linotype"/>
          <w:sz w:val="24"/>
          <w:szCs w:val="24"/>
        </w:rPr>
        <w:t xml:space="preserve"> </w:t>
      </w:r>
      <w:r w:rsidRPr="23BE7E22" w:rsidR="005E395E">
        <w:rPr>
          <w:rFonts w:ascii="Palatino Linotype" w:hAnsi="Palatino Linotype"/>
          <w:sz w:val="24"/>
          <w:szCs w:val="24"/>
        </w:rPr>
        <w:t xml:space="preserve">Interim GHG Plan Advice Letter submissions </w:t>
      </w:r>
      <w:r w:rsidRPr="23BE7E22" w:rsidR="00BA4909">
        <w:rPr>
          <w:rFonts w:ascii="Palatino Linotype" w:hAnsi="Palatino Linotype"/>
          <w:sz w:val="24"/>
          <w:szCs w:val="24"/>
        </w:rPr>
        <w:t xml:space="preserve">from </w:t>
      </w:r>
      <w:r w:rsidRPr="23BE7E22" w:rsidR="00D26AA6">
        <w:rPr>
          <w:rFonts w:ascii="Palatino Linotype" w:hAnsi="Palatino Linotype"/>
          <w:sz w:val="24"/>
          <w:szCs w:val="24"/>
        </w:rPr>
        <w:t>HopSkipDrive</w:t>
      </w:r>
      <w:r w:rsidRPr="23BE7E22" w:rsidR="007B200C">
        <w:rPr>
          <w:rFonts w:ascii="Palatino Linotype" w:hAnsi="Palatino Linotype"/>
          <w:sz w:val="24"/>
          <w:szCs w:val="24"/>
        </w:rPr>
        <w:t>, Inc.</w:t>
      </w:r>
      <w:r w:rsidRPr="23BE7E22" w:rsidR="00AF1159">
        <w:rPr>
          <w:rFonts w:ascii="Palatino Linotype" w:hAnsi="Palatino Linotype"/>
          <w:sz w:val="24"/>
          <w:szCs w:val="24"/>
        </w:rPr>
        <w:t xml:space="preserve"> (HopSkipDrive)</w:t>
      </w:r>
      <w:r w:rsidRPr="23BE7E22" w:rsidR="007B200C">
        <w:rPr>
          <w:rFonts w:ascii="Palatino Linotype" w:hAnsi="Palatino Linotype"/>
          <w:sz w:val="24"/>
          <w:szCs w:val="24"/>
        </w:rPr>
        <w:t xml:space="preserve"> and </w:t>
      </w:r>
      <w:r w:rsidRPr="23BE7E22" w:rsidR="00404881">
        <w:rPr>
          <w:rFonts w:ascii="Palatino Linotype" w:hAnsi="Palatino Linotype"/>
          <w:sz w:val="24"/>
          <w:szCs w:val="24"/>
        </w:rPr>
        <w:t xml:space="preserve">Lyft, Inc. </w:t>
      </w:r>
      <w:r w:rsidRPr="23BE7E22" w:rsidR="00AF1159">
        <w:rPr>
          <w:rFonts w:ascii="Palatino Linotype" w:hAnsi="Palatino Linotype"/>
          <w:sz w:val="24"/>
          <w:szCs w:val="24"/>
        </w:rPr>
        <w:t>(</w:t>
      </w:r>
      <w:r w:rsidRPr="23BE7E22" w:rsidR="00404881">
        <w:rPr>
          <w:rFonts w:ascii="Palatino Linotype" w:hAnsi="Palatino Linotype"/>
          <w:sz w:val="24"/>
          <w:szCs w:val="24"/>
        </w:rPr>
        <w:t>Lyft</w:t>
      </w:r>
      <w:r w:rsidRPr="23BE7E22" w:rsidR="00AF1159">
        <w:rPr>
          <w:rFonts w:ascii="Palatino Linotype" w:hAnsi="Palatino Linotype"/>
          <w:sz w:val="24"/>
          <w:szCs w:val="24"/>
        </w:rPr>
        <w:t>)</w:t>
      </w:r>
      <w:r w:rsidRPr="23BE7E22" w:rsidR="00F6073D">
        <w:rPr>
          <w:rFonts w:ascii="Palatino Linotype" w:hAnsi="Palatino Linotype"/>
          <w:sz w:val="24"/>
          <w:szCs w:val="24"/>
        </w:rPr>
        <w:t>, establishes a uniform statewide CMS Regulatory Fee</w:t>
      </w:r>
      <w:r w:rsidRPr="23BE7E22" w:rsidR="0017108F">
        <w:rPr>
          <w:rFonts w:ascii="Palatino Linotype" w:hAnsi="Palatino Linotype"/>
          <w:sz w:val="24"/>
          <w:szCs w:val="24"/>
        </w:rPr>
        <w:t xml:space="preserve">, Drivers Assistance Program budget, and minimum driving </w:t>
      </w:r>
      <w:proofErr w:type="gramStart"/>
      <w:r w:rsidRPr="23BE7E22" w:rsidR="0017108F">
        <w:rPr>
          <w:rFonts w:ascii="Palatino Linotype" w:hAnsi="Palatino Linotype"/>
          <w:sz w:val="24"/>
          <w:szCs w:val="24"/>
        </w:rPr>
        <w:t>threshold for drivers</w:t>
      </w:r>
      <w:proofErr w:type="gramEnd"/>
      <w:r w:rsidRPr="23BE7E22" w:rsidR="0017108F">
        <w:rPr>
          <w:rFonts w:ascii="Palatino Linotype" w:hAnsi="Palatino Linotype"/>
          <w:sz w:val="24"/>
          <w:szCs w:val="24"/>
        </w:rPr>
        <w:t xml:space="preserve"> to access the CMS incentives.</w:t>
      </w:r>
    </w:p>
    <w:p w:rsidRPr="00A60ADD" w:rsidR="00CF17DE" w:rsidRDefault="00CF17DE" w14:paraId="5BB9ED16" w14:textId="77777777">
      <w:pPr>
        <w:pStyle w:val="Heading1"/>
        <w:rPr>
          <w:rFonts w:ascii="Palatino Linotype" w:hAnsi="Palatino Linotype"/>
          <w:sz w:val="24"/>
          <w:szCs w:val="24"/>
        </w:rPr>
      </w:pPr>
      <w:r w:rsidRPr="00A60ADD">
        <w:rPr>
          <w:rFonts w:ascii="Palatino Linotype" w:hAnsi="Palatino Linotype"/>
          <w:sz w:val="24"/>
          <w:szCs w:val="24"/>
        </w:rPr>
        <w:t>Background</w:t>
      </w:r>
    </w:p>
    <w:p w:rsidRPr="00DF558C" w:rsidR="00A721AC" w:rsidP="00A721AC" w:rsidRDefault="00A721AC" w14:paraId="19269C51" w14:textId="54D9DBA1">
      <w:pPr>
        <w:spacing w:after="240" w:line="276" w:lineRule="auto"/>
        <w:rPr>
          <w:rFonts w:ascii="Palatino Linotype" w:hAnsi="Palatino Linotype"/>
          <w:sz w:val="24"/>
          <w:szCs w:val="24"/>
        </w:rPr>
      </w:pPr>
      <w:r w:rsidRPr="3E8D698D">
        <w:rPr>
          <w:rFonts w:ascii="Palatino Linotype" w:hAnsi="Palatino Linotype"/>
          <w:sz w:val="24"/>
          <w:szCs w:val="24"/>
        </w:rPr>
        <w:t xml:space="preserve">Senate Bill 1014 and Public Utilities Code Section 5450(c) requires the submission of greenhouse gas emissions reduction plans (GHG Plans) for the Clean Miles Standard (CMS) program. In Decision (D.) 24-03-001 (CMS Phase 1 Decision), the Commission required CMS Regulated Entities to submit Interim GHG Plans within 120 days of the effective date of D.24-03-001, by July 5, 2024. The CMS Phase 1 Decision specified the Interim GHG Plan should be submitted via a Tier 3 advice letter. </w:t>
      </w:r>
    </w:p>
    <w:p w:rsidRPr="00DF558C" w:rsidR="00E96D23" w:rsidP="00DF558C" w:rsidRDefault="00E96D23" w14:paraId="07680636" w14:textId="3CB44526">
      <w:pPr>
        <w:spacing w:after="240" w:line="276" w:lineRule="auto"/>
        <w:rPr>
          <w:rFonts w:ascii="Palatino Linotype" w:hAnsi="Palatino Linotype"/>
          <w:sz w:val="24"/>
          <w:szCs w:val="24"/>
        </w:rPr>
      </w:pPr>
      <w:r w:rsidRPr="3E8D698D">
        <w:rPr>
          <w:rFonts w:ascii="Palatino Linotype" w:hAnsi="Palatino Linotype"/>
          <w:sz w:val="24"/>
          <w:szCs w:val="24"/>
        </w:rPr>
        <w:t>The minimum requirements for GHG Plans, per D.24-03-001 Attachment E, include a narrative plan and supplement</w:t>
      </w:r>
      <w:r w:rsidRPr="3E8D698D" w:rsidR="3C60959E">
        <w:rPr>
          <w:rFonts w:ascii="Palatino Linotype" w:hAnsi="Palatino Linotype"/>
          <w:sz w:val="24"/>
          <w:szCs w:val="24"/>
        </w:rPr>
        <w:t>al</w:t>
      </w:r>
      <w:r w:rsidRPr="3E8D698D">
        <w:rPr>
          <w:rFonts w:ascii="Palatino Linotype" w:hAnsi="Palatino Linotype"/>
          <w:sz w:val="24"/>
          <w:szCs w:val="24"/>
        </w:rPr>
        <w:t xml:space="preserve"> calculations. The narrative plan </w:t>
      </w:r>
      <w:r w:rsidRPr="3E8D698D" w:rsidR="00B05E61">
        <w:rPr>
          <w:rFonts w:ascii="Palatino Linotype" w:hAnsi="Palatino Linotype"/>
          <w:sz w:val="24"/>
          <w:szCs w:val="24"/>
        </w:rPr>
        <w:t>must</w:t>
      </w:r>
      <w:r w:rsidRPr="3E8D698D">
        <w:rPr>
          <w:rFonts w:ascii="Palatino Linotype" w:hAnsi="Palatino Linotype"/>
          <w:sz w:val="24"/>
          <w:szCs w:val="24"/>
        </w:rPr>
        <w:t xml:space="preserve"> have the following sections:</w:t>
      </w:r>
    </w:p>
    <w:p w:rsidRPr="00DF558C" w:rsidR="00E96D23" w:rsidP="00E96D23" w:rsidRDefault="00E96D23" w14:paraId="3CC2EC95" w14:textId="77777777">
      <w:pPr>
        <w:pStyle w:val="ListParagraph"/>
        <w:numPr>
          <w:ilvl w:val="0"/>
          <w:numId w:val="6"/>
        </w:numPr>
        <w:spacing w:after="240"/>
        <w:rPr>
          <w:rFonts w:ascii="Palatino Linotype" w:hAnsi="Palatino Linotype"/>
        </w:rPr>
      </w:pPr>
      <w:r w:rsidRPr="00DF558C">
        <w:rPr>
          <w:rFonts w:ascii="Palatino Linotype" w:hAnsi="Palatino Linotype"/>
        </w:rPr>
        <w:lastRenderedPageBreak/>
        <w:t>Cover Page and Executive Summary</w:t>
      </w:r>
    </w:p>
    <w:p w:rsidRPr="00DF558C" w:rsidR="00E96D23" w:rsidP="00E96D23" w:rsidRDefault="00E96D23" w14:paraId="1CFAD4FE" w14:textId="77777777">
      <w:pPr>
        <w:pStyle w:val="ListParagraph"/>
        <w:numPr>
          <w:ilvl w:val="0"/>
          <w:numId w:val="6"/>
        </w:numPr>
        <w:spacing w:after="240"/>
        <w:rPr>
          <w:rFonts w:ascii="Palatino Linotype" w:hAnsi="Palatino Linotype"/>
        </w:rPr>
      </w:pPr>
      <w:r w:rsidRPr="00DF558C">
        <w:rPr>
          <w:rFonts w:ascii="Palatino Linotype" w:hAnsi="Palatino Linotype"/>
        </w:rPr>
        <w:t>Study/Plan Design for Achieving Targets describing how the GHG Plan was developed.</w:t>
      </w:r>
    </w:p>
    <w:p w:rsidRPr="00DF558C" w:rsidR="00E96D23" w:rsidP="00E96D23" w:rsidRDefault="00E96D23" w14:paraId="5DC9C4FA" w14:textId="77777777">
      <w:pPr>
        <w:pStyle w:val="ListParagraph"/>
        <w:numPr>
          <w:ilvl w:val="0"/>
          <w:numId w:val="6"/>
        </w:numPr>
        <w:spacing w:after="240"/>
        <w:rPr>
          <w:rFonts w:ascii="Palatino Linotype" w:hAnsi="Palatino Linotype"/>
        </w:rPr>
      </w:pPr>
      <w:r w:rsidRPr="00DF558C">
        <w:rPr>
          <w:rFonts w:ascii="Palatino Linotype" w:hAnsi="Palatino Linotype"/>
        </w:rPr>
        <w:t>Action Plan with the following sections:</w:t>
      </w:r>
    </w:p>
    <w:p w:rsidRPr="00DF558C" w:rsidR="00E96D23" w:rsidP="00E96D23" w:rsidRDefault="00E96D23" w14:paraId="20968736" w14:textId="77777777">
      <w:pPr>
        <w:pStyle w:val="ListParagraph"/>
        <w:numPr>
          <w:ilvl w:val="1"/>
          <w:numId w:val="6"/>
        </w:numPr>
        <w:spacing w:after="240"/>
        <w:rPr>
          <w:rFonts w:ascii="Palatino Linotype" w:hAnsi="Palatino Linotype"/>
        </w:rPr>
      </w:pPr>
      <w:r w:rsidRPr="00DF558C">
        <w:rPr>
          <w:rFonts w:ascii="Palatino Linotype" w:hAnsi="Palatino Linotype"/>
        </w:rPr>
        <w:t>Annual Targets</w:t>
      </w:r>
    </w:p>
    <w:p w:rsidRPr="00DF558C" w:rsidR="00E96D23" w:rsidP="00E96D23" w:rsidRDefault="00E96D23" w14:paraId="49CDD4AB" w14:textId="77777777">
      <w:pPr>
        <w:pStyle w:val="ListParagraph"/>
        <w:numPr>
          <w:ilvl w:val="1"/>
          <w:numId w:val="6"/>
        </w:numPr>
        <w:spacing w:after="240"/>
        <w:rPr>
          <w:rFonts w:ascii="Palatino Linotype" w:hAnsi="Palatino Linotype"/>
        </w:rPr>
      </w:pPr>
      <w:r w:rsidRPr="00DF558C">
        <w:rPr>
          <w:rFonts w:ascii="Palatino Linotype" w:hAnsi="Palatino Linotype"/>
        </w:rPr>
        <w:t>Low- and Moderate-Income (LMI) Drivers</w:t>
      </w:r>
    </w:p>
    <w:p w:rsidRPr="00DF558C" w:rsidR="00E96D23" w:rsidP="00E96D23" w:rsidRDefault="00E96D23" w14:paraId="78648AD8" w14:textId="77777777">
      <w:pPr>
        <w:pStyle w:val="ListParagraph"/>
        <w:numPr>
          <w:ilvl w:val="1"/>
          <w:numId w:val="6"/>
        </w:numPr>
        <w:spacing w:after="240"/>
        <w:rPr>
          <w:rFonts w:ascii="Palatino Linotype" w:hAnsi="Palatino Linotype"/>
        </w:rPr>
      </w:pPr>
      <w:r w:rsidRPr="00DF558C">
        <w:rPr>
          <w:rFonts w:ascii="Palatino Linotype" w:hAnsi="Palatino Linotype"/>
        </w:rPr>
        <w:t>Clean Mobility</w:t>
      </w:r>
    </w:p>
    <w:p w:rsidRPr="00DF558C" w:rsidR="00E96D23" w:rsidP="00E96D23" w:rsidRDefault="00E96D23" w14:paraId="442F81CC" w14:textId="77777777">
      <w:pPr>
        <w:pStyle w:val="ListParagraph"/>
        <w:numPr>
          <w:ilvl w:val="1"/>
          <w:numId w:val="6"/>
        </w:numPr>
        <w:spacing w:after="240"/>
        <w:rPr>
          <w:rFonts w:ascii="Palatino Linotype" w:hAnsi="Palatino Linotype"/>
        </w:rPr>
      </w:pPr>
      <w:r w:rsidRPr="00DF558C">
        <w:rPr>
          <w:rFonts w:ascii="Palatino Linotype" w:hAnsi="Palatino Linotype"/>
        </w:rPr>
        <w:t>Environmental and Social Justice (ESJ) Action Plan and Charging Infrastructure</w:t>
      </w:r>
    </w:p>
    <w:p w:rsidRPr="00DF558C" w:rsidR="00E96D23" w:rsidP="00E96D23" w:rsidRDefault="00E96D23" w14:paraId="6D93365D" w14:textId="77777777">
      <w:pPr>
        <w:pStyle w:val="ListParagraph"/>
        <w:numPr>
          <w:ilvl w:val="1"/>
          <w:numId w:val="6"/>
        </w:numPr>
        <w:spacing w:after="240"/>
        <w:rPr>
          <w:rFonts w:ascii="Palatino Linotype" w:hAnsi="Palatino Linotype"/>
        </w:rPr>
      </w:pPr>
      <w:r w:rsidRPr="00DF558C">
        <w:rPr>
          <w:rFonts w:ascii="Palatino Linotype" w:hAnsi="Palatino Linotype"/>
        </w:rPr>
        <w:t>Marketing, Education, and Outreach</w:t>
      </w:r>
    </w:p>
    <w:p w:rsidRPr="00DF558C" w:rsidR="00E96D23" w:rsidP="00E96D23" w:rsidRDefault="00E96D23" w14:paraId="43998406" w14:textId="77777777">
      <w:pPr>
        <w:pStyle w:val="ListParagraph"/>
        <w:numPr>
          <w:ilvl w:val="0"/>
          <w:numId w:val="6"/>
        </w:numPr>
        <w:spacing w:after="240"/>
        <w:rPr>
          <w:rFonts w:ascii="Palatino Linotype" w:hAnsi="Palatino Linotype"/>
        </w:rPr>
      </w:pPr>
      <w:r w:rsidRPr="00DF558C">
        <w:rPr>
          <w:rFonts w:ascii="Palatino Linotype" w:hAnsi="Palatino Linotype"/>
        </w:rPr>
        <w:t>Anticipated Barriers and Minimization Proposals</w:t>
      </w:r>
    </w:p>
    <w:p w:rsidRPr="00DF558C" w:rsidR="00E96D23" w:rsidP="00E96D23" w:rsidRDefault="00E96D23" w14:paraId="736AA5EE" w14:textId="77777777">
      <w:pPr>
        <w:pStyle w:val="ListParagraph"/>
        <w:numPr>
          <w:ilvl w:val="0"/>
          <w:numId w:val="6"/>
        </w:numPr>
        <w:spacing w:after="240"/>
        <w:rPr>
          <w:rFonts w:ascii="Palatino Linotype" w:hAnsi="Palatino Linotype"/>
        </w:rPr>
      </w:pPr>
      <w:r w:rsidRPr="00DF558C">
        <w:rPr>
          <w:rFonts w:ascii="Palatino Linotype" w:hAnsi="Palatino Linotype"/>
        </w:rPr>
        <w:t>Supplemental Calculations with the following sections:</w:t>
      </w:r>
    </w:p>
    <w:p w:rsidRPr="00DF558C" w:rsidR="00E96D23" w:rsidP="00E96D23" w:rsidRDefault="00E96D23" w14:paraId="5D6C8DCD" w14:textId="77777777">
      <w:pPr>
        <w:pStyle w:val="ListParagraph"/>
        <w:numPr>
          <w:ilvl w:val="1"/>
          <w:numId w:val="6"/>
        </w:numPr>
        <w:spacing w:after="240"/>
        <w:rPr>
          <w:rFonts w:ascii="Palatino Linotype" w:hAnsi="Palatino Linotype"/>
        </w:rPr>
      </w:pPr>
      <w:r w:rsidRPr="00DF558C">
        <w:rPr>
          <w:rFonts w:ascii="Palatino Linotype" w:hAnsi="Palatino Linotype"/>
        </w:rPr>
        <w:t>Regulatory Fee Assumptions</w:t>
      </w:r>
    </w:p>
    <w:p w:rsidRPr="00DF558C" w:rsidR="00E96D23" w:rsidP="00E96D23" w:rsidRDefault="00E96D23" w14:paraId="2888D282" w14:textId="77777777">
      <w:pPr>
        <w:pStyle w:val="ListParagraph"/>
        <w:numPr>
          <w:ilvl w:val="1"/>
          <w:numId w:val="6"/>
        </w:numPr>
        <w:spacing w:after="240"/>
        <w:rPr>
          <w:rFonts w:ascii="Palatino Linotype" w:hAnsi="Palatino Linotype"/>
        </w:rPr>
      </w:pPr>
      <w:r w:rsidRPr="00DF558C">
        <w:rPr>
          <w:rFonts w:ascii="Palatino Linotype" w:hAnsi="Palatino Linotype"/>
        </w:rPr>
        <w:t>GHG Plan Compliance Estimates</w:t>
      </w:r>
    </w:p>
    <w:p w:rsidRPr="00DF558C" w:rsidR="00E96D23" w:rsidP="00E96D23" w:rsidRDefault="00E96D23" w14:paraId="24008152" w14:textId="77777777">
      <w:pPr>
        <w:pStyle w:val="ListParagraph"/>
        <w:numPr>
          <w:ilvl w:val="1"/>
          <w:numId w:val="6"/>
        </w:numPr>
        <w:spacing w:after="240"/>
        <w:rPr>
          <w:rFonts w:ascii="Palatino Linotype" w:hAnsi="Palatino Linotype"/>
        </w:rPr>
      </w:pPr>
      <w:r w:rsidRPr="00DF558C">
        <w:rPr>
          <w:rFonts w:ascii="Palatino Linotype" w:hAnsi="Palatino Linotype"/>
        </w:rPr>
        <w:t>Analysis Results (optional if there are other analyses to share)</w:t>
      </w:r>
    </w:p>
    <w:p w:rsidRPr="00DF558C" w:rsidR="00E96D23" w:rsidP="00E96D23" w:rsidRDefault="00E96D23" w14:paraId="426DF431" w14:textId="77777777">
      <w:pPr>
        <w:pStyle w:val="ListParagraph"/>
        <w:numPr>
          <w:ilvl w:val="0"/>
          <w:numId w:val="6"/>
        </w:numPr>
        <w:spacing w:after="240"/>
        <w:rPr>
          <w:rFonts w:ascii="Palatino Linotype" w:hAnsi="Palatino Linotype"/>
        </w:rPr>
      </w:pPr>
      <w:r w:rsidRPr="00DF558C">
        <w:rPr>
          <w:rFonts w:ascii="Palatino Linotype" w:hAnsi="Palatino Linotype"/>
        </w:rPr>
        <w:t>Lessons Learned</w:t>
      </w:r>
    </w:p>
    <w:p w:rsidRPr="00DF558C" w:rsidR="00E96D23" w:rsidP="00DF558C" w:rsidRDefault="00E96D23" w14:paraId="0F3DC7A2" w14:textId="4E05B3DD">
      <w:pPr>
        <w:spacing w:after="240" w:line="276" w:lineRule="auto"/>
        <w:rPr>
          <w:rFonts w:ascii="Palatino Linotype" w:hAnsi="Palatino Linotype"/>
          <w:sz w:val="24"/>
          <w:szCs w:val="24"/>
        </w:rPr>
      </w:pPr>
      <w:r w:rsidRPr="3E8D698D">
        <w:rPr>
          <w:rFonts w:ascii="Palatino Linotype" w:hAnsi="Palatino Linotype"/>
          <w:sz w:val="24"/>
          <w:szCs w:val="24"/>
        </w:rPr>
        <w:t xml:space="preserve">In addition to establishing each CMS Regulated Entities’ plan for achieving CMS Annual Targets and program goals, the GHG Plans </w:t>
      </w:r>
      <w:r w:rsidRPr="3E8D698D" w:rsidR="00B05E61">
        <w:rPr>
          <w:rFonts w:ascii="Palatino Linotype" w:hAnsi="Palatino Linotype"/>
          <w:sz w:val="24"/>
          <w:szCs w:val="24"/>
        </w:rPr>
        <w:t>must</w:t>
      </w:r>
      <w:r w:rsidRPr="3E8D698D">
        <w:rPr>
          <w:rFonts w:ascii="Palatino Linotype" w:hAnsi="Palatino Linotype"/>
          <w:sz w:val="24"/>
          <w:szCs w:val="24"/>
        </w:rPr>
        <w:t xml:space="preserve"> include submissions that will enable the Commission to set a uniform statewide CMS Regulatory Fee (per Attachment D of D.24-03-001), Drivers Assistance Program Budget, and minimum trip threshold for LMI drivers to qualify for the CMS incentives. </w:t>
      </w:r>
      <w:r w:rsidRPr="3E8D698D" w:rsidR="0090221E">
        <w:rPr>
          <w:rFonts w:ascii="Palatino Linotype" w:hAnsi="Palatino Linotype"/>
          <w:sz w:val="24"/>
          <w:szCs w:val="24"/>
        </w:rPr>
        <w:t>CPED</w:t>
      </w:r>
      <w:r w:rsidRPr="3E8D698D">
        <w:rPr>
          <w:rFonts w:ascii="Palatino Linotype" w:hAnsi="Palatino Linotype"/>
          <w:sz w:val="24"/>
          <w:szCs w:val="24"/>
        </w:rPr>
        <w:t xml:space="preserve"> </w:t>
      </w:r>
      <w:r w:rsidRPr="3E8D698D" w:rsidR="5BAB297F">
        <w:rPr>
          <w:rFonts w:ascii="Palatino Linotype" w:hAnsi="Palatino Linotype"/>
          <w:sz w:val="24"/>
          <w:szCs w:val="24"/>
        </w:rPr>
        <w:t>uses</w:t>
      </w:r>
      <w:r w:rsidRPr="3E8D698D">
        <w:rPr>
          <w:rFonts w:ascii="Palatino Linotype" w:hAnsi="Palatino Linotype"/>
          <w:sz w:val="24"/>
          <w:szCs w:val="24"/>
        </w:rPr>
        <w:t xml:space="preserve"> a scorecard system to review GHG Plans based on the following criteria: completeness, feasibility, and accuracy. Each element will be scored as “exemplary</w:t>
      </w:r>
      <w:r w:rsidRPr="3E8D698D" w:rsidR="002C1838">
        <w:rPr>
          <w:rFonts w:ascii="Palatino Linotype" w:hAnsi="Palatino Linotype"/>
          <w:sz w:val="24"/>
          <w:szCs w:val="24"/>
        </w:rPr>
        <w:t>,</w:t>
      </w:r>
      <w:r w:rsidRPr="3E8D698D">
        <w:rPr>
          <w:rFonts w:ascii="Palatino Linotype" w:hAnsi="Palatino Linotype"/>
          <w:sz w:val="24"/>
          <w:szCs w:val="24"/>
        </w:rPr>
        <w:t>” “sufficient</w:t>
      </w:r>
      <w:r w:rsidRPr="3E8D698D" w:rsidR="002C1838">
        <w:rPr>
          <w:rFonts w:ascii="Palatino Linotype" w:hAnsi="Palatino Linotype"/>
          <w:sz w:val="24"/>
          <w:szCs w:val="24"/>
        </w:rPr>
        <w:t>,</w:t>
      </w:r>
      <w:r w:rsidRPr="3E8D698D">
        <w:rPr>
          <w:rFonts w:ascii="Palatino Linotype" w:hAnsi="Palatino Linotype"/>
          <w:sz w:val="24"/>
          <w:szCs w:val="24"/>
        </w:rPr>
        <w:t xml:space="preserve">” or “deficient.” </w:t>
      </w:r>
    </w:p>
    <w:p w:rsidRPr="00DF558C" w:rsidR="001839F9" w:rsidP="001839F9" w:rsidRDefault="001839F9" w14:paraId="2A8B3E7E" w14:textId="4EBDC392">
      <w:pPr>
        <w:spacing w:after="240" w:line="276" w:lineRule="auto"/>
        <w:rPr>
          <w:rFonts w:ascii="Palatino Linotype" w:hAnsi="Palatino Linotype"/>
          <w:sz w:val="24"/>
          <w:szCs w:val="24"/>
        </w:rPr>
      </w:pPr>
      <w:r w:rsidRPr="3E8D698D">
        <w:rPr>
          <w:rFonts w:ascii="Palatino Linotype" w:hAnsi="Palatino Linotype"/>
          <w:sz w:val="24"/>
          <w:szCs w:val="24"/>
        </w:rPr>
        <w:t>Pursuant to D.24-03-001, CMS Regulated Entities will submit a full GHG Plan via a Tier 3 advice letter within 90 days of the effective date of a Phase 2 decision in the CMS proceeding. CMS Regulated Entities that submit a full GHG Plan after a Phase 2 decision do not need to submit a new GHG Plan on January 15, 2026.</w:t>
      </w:r>
    </w:p>
    <w:p w:rsidR="00CF17DE" w:rsidP="3E8D698D" w:rsidRDefault="00E96D23" w14:paraId="73A9E9F5" w14:textId="330B727A">
      <w:pPr>
        <w:spacing w:after="240" w:line="276" w:lineRule="auto"/>
        <w:rPr>
          <w:rFonts w:ascii="Palatino Linotype" w:hAnsi="Palatino Linotype"/>
          <w:sz w:val="24"/>
          <w:szCs w:val="24"/>
        </w:rPr>
      </w:pPr>
      <w:r w:rsidRPr="3E8D698D">
        <w:rPr>
          <w:rFonts w:ascii="Palatino Linotype" w:hAnsi="Palatino Linotype"/>
          <w:sz w:val="24"/>
          <w:szCs w:val="24"/>
        </w:rPr>
        <w:t xml:space="preserve">On July </w:t>
      </w:r>
      <w:r w:rsidRPr="3E8D698D" w:rsidR="00431EF2">
        <w:rPr>
          <w:rFonts w:ascii="Palatino Linotype" w:hAnsi="Palatino Linotype"/>
          <w:sz w:val="24"/>
          <w:szCs w:val="24"/>
        </w:rPr>
        <w:t>5</w:t>
      </w:r>
      <w:r w:rsidRPr="3E8D698D">
        <w:rPr>
          <w:rFonts w:ascii="Palatino Linotype" w:hAnsi="Palatino Linotype"/>
          <w:sz w:val="24"/>
          <w:szCs w:val="24"/>
        </w:rPr>
        <w:t xml:space="preserve">, 2024, </w:t>
      </w:r>
      <w:r w:rsidRPr="3E8D698D" w:rsidR="00431EF2">
        <w:rPr>
          <w:rFonts w:ascii="Palatino Linotype" w:hAnsi="Palatino Linotype"/>
          <w:sz w:val="24"/>
          <w:szCs w:val="24"/>
        </w:rPr>
        <w:t>Uber</w:t>
      </w:r>
      <w:r w:rsidRPr="3E8D698D">
        <w:rPr>
          <w:rFonts w:ascii="Palatino Linotype" w:hAnsi="Palatino Linotype"/>
          <w:sz w:val="24"/>
          <w:szCs w:val="24"/>
        </w:rPr>
        <w:t xml:space="preserve"> submitted AL 2</w:t>
      </w:r>
      <w:r w:rsidRPr="3E8D698D" w:rsidR="00431EF2">
        <w:rPr>
          <w:rFonts w:ascii="Palatino Linotype" w:hAnsi="Palatino Linotype"/>
          <w:sz w:val="24"/>
          <w:szCs w:val="24"/>
        </w:rPr>
        <w:t>7</w:t>
      </w:r>
      <w:r w:rsidRPr="3E8D698D">
        <w:rPr>
          <w:rFonts w:ascii="Palatino Linotype" w:hAnsi="Palatino Linotype"/>
          <w:sz w:val="24"/>
          <w:szCs w:val="24"/>
        </w:rPr>
        <w:t xml:space="preserve">, a Tier 3 advice letter, submitting the </w:t>
      </w:r>
      <w:r w:rsidRPr="3E8D698D" w:rsidR="00413A6F">
        <w:rPr>
          <w:rFonts w:ascii="Palatino Linotype" w:hAnsi="Palatino Linotype"/>
          <w:sz w:val="24"/>
          <w:szCs w:val="24"/>
        </w:rPr>
        <w:t>I</w:t>
      </w:r>
      <w:r w:rsidRPr="3E8D698D">
        <w:rPr>
          <w:rFonts w:ascii="Palatino Linotype" w:hAnsi="Palatino Linotype"/>
          <w:sz w:val="24"/>
          <w:szCs w:val="24"/>
        </w:rPr>
        <w:t xml:space="preserve">nterim GHG Plan for Commission approval. </w:t>
      </w:r>
      <w:r w:rsidRPr="3E8D698D" w:rsidR="00090B4B">
        <w:rPr>
          <w:rFonts w:ascii="Palatino Linotype" w:hAnsi="Palatino Linotype"/>
          <w:sz w:val="24"/>
          <w:szCs w:val="24"/>
        </w:rPr>
        <w:t xml:space="preserve">The </w:t>
      </w:r>
      <w:r w:rsidRPr="3E8D698D" w:rsidR="5098F956">
        <w:rPr>
          <w:rFonts w:ascii="Palatino Linotype" w:hAnsi="Palatino Linotype"/>
          <w:sz w:val="24"/>
          <w:szCs w:val="24"/>
        </w:rPr>
        <w:t xml:space="preserve">Commission </w:t>
      </w:r>
      <w:r w:rsidRPr="3E8D698D" w:rsidR="27FBFCFC">
        <w:rPr>
          <w:rFonts w:ascii="Palatino Linotype" w:hAnsi="Palatino Linotype"/>
          <w:sz w:val="24"/>
          <w:szCs w:val="24"/>
        </w:rPr>
        <w:t>sets</w:t>
      </w:r>
      <w:r w:rsidRPr="3E8D698D" w:rsidR="00090B4B">
        <w:rPr>
          <w:rFonts w:ascii="Palatino Linotype" w:hAnsi="Palatino Linotype"/>
          <w:sz w:val="24"/>
          <w:szCs w:val="24"/>
        </w:rPr>
        <w:t xml:space="preserve"> a uniform statewide CMS Regulatory Fee, Drivers Assistance Program Budget, and minimum trip threshold for low- and moderate-drivers to qualify for the CMS incentives </w:t>
      </w:r>
      <w:r w:rsidRPr="3E8D698D" w:rsidR="0E339E34">
        <w:rPr>
          <w:rFonts w:ascii="Palatino Linotype" w:hAnsi="Palatino Linotype"/>
          <w:sz w:val="24"/>
          <w:szCs w:val="24"/>
        </w:rPr>
        <w:t>by adopting</w:t>
      </w:r>
      <w:r w:rsidRPr="3E8D698D" w:rsidR="00090B4B">
        <w:rPr>
          <w:rFonts w:ascii="Palatino Linotype" w:hAnsi="Palatino Linotype"/>
          <w:sz w:val="24"/>
          <w:szCs w:val="24"/>
        </w:rPr>
        <w:t xml:space="preserve"> this resolution and the resolutions corresponding to the Interim GHG Plan submittals from the other regulated entities.</w:t>
      </w:r>
    </w:p>
    <w:p w:rsidRPr="00DF558C" w:rsidR="00C022D5" w:rsidP="3E8D698D" w:rsidRDefault="00C022D5" w14:paraId="53802940" w14:textId="41A122F0">
      <w:pPr>
        <w:spacing w:after="240" w:line="276" w:lineRule="auto"/>
        <w:rPr>
          <w:rFonts w:ascii="Palatino Linotype" w:hAnsi="Palatino Linotype"/>
          <w:b/>
          <w:bCs/>
          <w:sz w:val="24"/>
          <w:szCs w:val="24"/>
          <w:u w:val="single"/>
        </w:rPr>
      </w:pPr>
      <w:r w:rsidRPr="23BE7E22">
        <w:rPr>
          <w:rFonts w:ascii="Palatino Linotype" w:hAnsi="Palatino Linotype"/>
          <w:sz w:val="24"/>
          <w:szCs w:val="24"/>
        </w:rPr>
        <w:lastRenderedPageBreak/>
        <w:t xml:space="preserve">On August </w:t>
      </w:r>
      <w:r w:rsidRPr="23BE7E22" w:rsidR="005C3CEC">
        <w:rPr>
          <w:rFonts w:ascii="Palatino Linotype" w:hAnsi="Palatino Linotype"/>
          <w:sz w:val="24"/>
          <w:szCs w:val="24"/>
        </w:rPr>
        <w:t>13</w:t>
      </w:r>
      <w:r w:rsidRPr="23BE7E22">
        <w:rPr>
          <w:rFonts w:ascii="Palatino Linotype" w:hAnsi="Palatino Linotype"/>
          <w:sz w:val="24"/>
          <w:szCs w:val="24"/>
        </w:rPr>
        <w:t>, 2024, CPED staff hosted a</w:t>
      </w:r>
      <w:r w:rsidRPr="23BE7E22" w:rsidR="001A0F22">
        <w:rPr>
          <w:rFonts w:ascii="Palatino Linotype" w:hAnsi="Palatino Linotype"/>
          <w:sz w:val="24"/>
          <w:szCs w:val="24"/>
        </w:rPr>
        <w:t>n</w:t>
      </w:r>
      <w:r w:rsidRPr="23BE7E22" w:rsidR="005C3CEC">
        <w:rPr>
          <w:rFonts w:ascii="Palatino Linotype" w:hAnsi="Palatino Linotype"/>
          <w:sz w:val="24"/>
          <w:szCs w:val="24"/>
        </w:rPr>
        <w:t xml:space="preserve"> Interim GHG Plan</w:t>
      </w:r>
      <w:r w:rsidRPr="23BE7E22">
        <w:rPr>
          <w:rFonts w:ascii="Palatino Linotype" w:hAnsi="Palatino Linotype"/>
          <w:sz w:val="24"/>
          <w:szCs w:val="24"/>
        </w:rPr>
        <w:t xml:space="preserve"> workshop</w:t>
      </w:r>
      <w:r w:rsidRPr="23BE7E22" w:rsidR="005C3CEC">
        <w:rPr>
          <w:rFonts w:ascii="Palatino Linotype" w:hAnsi="Palatino Linotype"/>
          <w:sz w:val="24"/>
          <w:szCs w:val="24"/>
        </w:rPr>
        <w:t xml:space="preserve"> where HopSkipDrive, Lyft, and Uber presented on their plans and took questions from workshop attendees.</w:t>
      </w:r>
      <w:r w:rsidR="004D3B24">
        <w:rPr>
          <w:rStyle w:val="FootnoteReference"/>
          <w:rFonts w:ascii="Palatino Linotype" w:hAnsi="Palatino Linotype"/>
          <w:sz w:val="24"/>
          <w:szCs w:val="24"/>
        </w:rPr>
        <w:footnoteReference w:id="2"/>
      </w:r>
    </w:p>
    <w:p w:rsidRPr="00A60ADD" w:rsidR="00CF17DE" w:rsidRDefault="00CF17DE" w14:paraId="755620C4" w14:textId="77777777">
      <w:pPr>
        <w:pStyle w:val="Heading1"/>
        <w:rPr>
          <w:rFonts w:ascii="Palatino Linotype" w:hAnsi="Palatino Linotype"/>
          <w:sz w:val="24"/>
          <w:szCs w:val="24"/>
        </w:rPr>
      </w:pPr>
      <w:r w:rsidRPr="00A60ADD">
        <w:rPr>
          <w:rFonts w:ascii="Palatino Linotype" w:hAnsi="Palatino Linotype"/>
          <w:sz w:val="24"/>
          <w:szCs w:val="24"/>
        </w:rPr>
        <w:t>Discussion</w:t>
      </w:r>
    </w:p>
    <w:p w:rsidRPr="00C652CB" w:rsidR="00FE1722" w:rsidP="00AC77D3" w:rsidRDefault="00FE1722" w14:paraId="3F706F25" w14:textId="525C5B08">
      <w:pPr>
        <w:spacing w:after="240" w:line="276" w:lineRule="auto"/>
        <w:rPr>
          <w:rFonts w:ascii="Palatino Linotype" w:hAnsi="Palatino Linotype"/>
          <w:i/>
          <w:iCs/>
          <w:sz w:val="24"/>
          <w:szCs w:val="24"/>
        </w:rPr>
      </w:pPr>
      <w:r w:rsidRPr="00C652CB">
        <w:rPr>
          <w:rFonts w:ascii="Palatino Linotype" w:hAnsi="Palatino Linotype"/>
          <w:i/>
          <w:iCs/>
          <w:sz w:val="24"/>
          <w:szCs w:val="24"/>
        </w:rPr>
        <w:t>Review of</w:t>
      </w:r>
      <w:r w:rsidRPr="00C652CB" w:rsidR="00864787">
        <w:rPr>
          <w:rFonts w:ascii="Palatino Linotype" w:hAnsi="Palatino Linotype"/>
          <w:i/>
          <w:iCs/>
          <w:sz w:val="24"/>
          <w:szCs w:val="24"/>
        </w:rPr>
        <w:t xml:space="preserve"> Uber</w:t>
      </w:r>
      <w:r w:rsidRPr="00C652CB">
        <w:rPr>
          <w:rFonts w:ascii="Palatino Linotype" w:hAnsi="Palatino Linotype"/>
          <w:i/>
          <w:iCs/>
          <w:sz w:val="24"/>
          <w:szCs w:val="24"/>
        </w:rPr>
        <w:t xml:space="preserve">’s </w:t>
      </w:r>
      <w:r w:rsidRPr="00C652CB" w:rsidR="00413A6F">
        <w:rPr>
          <w:rFonts w:ascii="Palatino Linotype" w:hAnsi="Palatino Linotype"/>
          <w:i/>
          <w:iCs/>
          <w:sz w:val="24"/>
          <w:szCs w:val="24"/>
        </w:rPr>
        <w:t>I</w:t>
      </w:r>
      <w:r w:rsidRPr="00C652CB">
        <w:rPr>
          <w:rFonts w:ascii="Palatino Linotype" w:hAnsi="Palatino Linotype"/>
          <w:i/>
          <w:iCs/>
          <w:sz w:val="24"/>
          <w:szCs w:val="24"/>
        </w:rPr>
        <w:t>nterim GHG Plan</w:t>
      </w:r>
    </w:p>
    <w:p w:rsidRPr="00C652CB" w:rsidR="004A2A8D" w:rsidP="004A2A8D" w:rsidRDefault="00864787" w14:paraId="747996F1" w14:textId="413FCD9C">
      <w:pPr>
        <w:spacing w:after="240" w:line="276" w:lineRule="auto"/>
        <w:rPr>
          <w:rFonts w:ascii="Palatino Linotype" w:hAnsi="Palatino Linotype"/>
          <w:sz w:val="24"/>
          <w:szCs w:val="24"/>
        </w:rPr>
      </w:pPr>
      <w:r w:rsidRPr="00C652CB">
        <w:rPr>
          <w:rFonts w:ascii="Palatino Linotype" w:hAnsi="Palatino Linotype"/>
          <w:sz w:val="24"/>
          <w:szCs w:val="24"/>
        </w:rPr>
        <w:t>Uber</w:t>
      </w:r>
      <w:r w:rsidRPr="00C652CB" w:rsidR="004A2A8D">
        <w:rPr>
          <w:rFonts w:ascii="Palatino Linotype" w:hAnsi="Palatino Linotype"/>
          <w:sz w:val="24"/>
          <w:szCs w:val="24"/>
        </w:rPr>
        <w:t xml:space="preserve"> submitted an </w:t>
      </w:r>
      <w:r w:rsidRPr="00C652CB" w:rsidR="00413A6F">
        <w:rPr>
          <w:rFonts w:ascii="Palatino Linotype" w:hAnsi="Palatino Linotype"/>
          <w:sz w:val="24"/>
          <w:szCs w:val="24"/>
        </w:rPr>
        <w:t>I</w:t>
      </w:r>
      <w:r w:rsidRPr="00C652CB" w:rsidR="004A2A8D">
        <w:rPr>
          <w:rFonts w:ascii="Palatino Linotype" w:hAnsi="Palatino Linotype"/>
          <w:sz w:val="24"/>
          <w:szCs w:val="24"/>
        </w:rPr>
        <w:t xml:space="preserve">nterim GHG Plan on July </w:t>
      </w:r>
      <w:r w:rsidRPr="00C652CB">
        <w:rPr>
          <w:rFonts w:ascii="Palatino Linotype" w:hAnsi="Palatino Linotype"/>
          <w:sz w:val="24"/>
          <w:szCs w:val="24"/>
        </w:rPr>
        <w:t>5</w:t>
      </w:r>
      <w:r w:rsidRPr="00C652CB" w:rsidR="004A2A8D">
        <w:rPr>
          <w:rFonts w:ascii="Palatino Linotype" w:hAnsi="Palatino Linotype"/>
          <w:sz w:val="24"/>
          <w:szCs w:val="24"/>
        </w:rPr>
        <w:t xml:space="preserve">, 2024. Pursuant to D.24-03-001, CPED </w:t>
      </w:r>
      <w:r w:rsidR="00DA0FFE">
        <w:rPr>
          <w:rFonts w:ascii="Palatino Linotype" w:hAnsi="Palatino Linotype"/>
          <w:sz w:val="24"/>
          <w:szCs w:val="24"/>
        </w:rPr>
        <w:t xml:space="preserve">staff </w:t>
      </w:r>
      <w:r w:rsidRPr="00C652CB" w:rsidR="004A2A8D">
        <w:rPr>
          <w:rFonts w:ascii="Palatino Linotype" w:hAnsi="Palatino Linotype"/>
          <w:sz w:val="24"/>
          <w:szCs w:val="24"/>
        </w:rPr>
        <w:t xml:space="preserve">reviewed the </w:t>
      </w:r>
      <w:r w:rsidRPr="00C652CB" w:rsidR="00413A6F">
        <w:rPr>
          <w:rFonts w:ascii="Palatino Linotype" w:hAnsi="Palatino Linotype"/>
          <w:sz w:val="24"/>
          <w:szCs w:val="24"/>
        </w:rPr>
        <w:t>I</w:t>
      </w:r>
      <w:r w:rsidRPr="00C652CB" w:rsidR="004A2A8D">
        <w:rPr>
          <w:rFonts w:ascii="Palatino Linotype" w:hAnsi="Palatino Linotype"/>
          <w:sz w:val="24"/>
          <w:szCs w:val="24"/>
        </w:rPr>
        <w:t>nterim GHG Plan. CPED finds the</w:t>
      </w:r>
      <w:r w:rsidRPr="00C652CB">
        <w:rPr>
          <w:rFonts w:ascii="Palatino Linotype" w:hAnsi="Palatino Linotype"/>
          <w:sz w:val="24"/>
          <w:szCs w:val="24"/>
        </w:rPr>
        <w:t xml:space="preserve"> Uber</w:t>
      </w:r>
      <w:r w:rsidRPr="00C652CB" w:rsidR="004A2A8D">
        <w:rPr>
          <w:rFonts w:ascii="Palatino Linotype" w:hAnsi="Palatino Linotype"/>
          <w:sz w:val="24"/>
          <w:szCs w:val="24"/>
        </w:rPr>
        <w:t xml:space="preserve"> </w:t>
      </w:r>
      <w:r w:rsidRPr="00C652CB" w:rsidR="00413A6F">
        <w:rPr>
          <w:rFonts w:ascii="Palatino Linotype" w:hAnsi="Palatino Linotype"/>
          <w:sz w:val="24"/>
          <w:szCs w:val="24"/>
        </w:rPr>
        <w:t>I</w:t>
      </w:r>
      <w:r w:rsidRPr="00C652CB" w:rsidR="004A2A8D">
        <w:rPr>
          <w:rFonts w:ascii="Palatino Linotype" w:hAnsi="Palatino Linotype"/>
          <w:sz w:val="24"/>
          <w:szCs w:val="24"/>
        </w:rPr>
        <w:t>nterim GHG Plan to be</w:t>
      </w:r>
      <w:r w:rsidRPr="00C652CB">
        <w:rPr>
          <w:rFonts w:ascii="Palatino Linotype" w:hAnsi="Palatino Linotype"/>
          <w:sz w:val="24"/>
          <w:szCs w:val="24"/>
        </w:rPr>
        <w:t xml:space="preserve"> </w:t>
      </w:r>
      <w:r w:rsidRPr="00C652CB" w:rsidR="004A2A8D">
        <w:rPr>
          <w:rFonts w:ascii="Palatino Linotype" w:hAnsi="Palatino Linotype"/>
          <w:sz w:val="24"/>
          <w:szCs w:val="24"/>
        </w:rPr>
        <w:t>sufficient in terms of completeness, feasibility, and accuracy</w:t>
      </w:r>
      <w:r w:rsidRPr="00C652CB">
        <w:rPr>
          <w:rFonts w:ascii="Palatino Linotype" w:hAnsi="Palatino Linotype"/>
          <w:sz w:val="24"/>
          <w:szCs w:val="24"/>
        </w:rPr>
        <w:t xml:space="preserve">. </w:t>
      </w:r>
    </w:p>
    <w:p w:rsidRPr="00C652CB" w:rsidR="00FB0BAA" w:rsidP="3E8D698D" w:rsidRDefault="006E79B3" w14:paraId="170E83C3" w14:textId="3B8F9989">
      <w:pPr>
        <w:spacing w:after="240" w:line="276" w:lineRule="auto"/>
        <w:rPr>
          <w:rFonts w:ascii="Palatino Linotype" w:hAnsi="Palatino Linotype"/>
          <w:sz w:val="24"/>
          <w:szCs w:val="24"/>
        </w:rPr>
      </w:pPr>
      <w:r w:rsidRPr="23BE7E22">
        <w:rPr>
          <w:rFonts w:ascii="Palatino Linotype" w:hAnsi="Palatino Linotype"/>
          <w:sz w:val="24"/>
          <w:szCs w:val="24"/>
        </w:rPr>
        <w:t xml:space="preserve">Uber’s proposed actions </w:t>
      </w:r>
      <w:r w:rsidRPr="23BE7E22" w:rsidR="00EE4CB1">
        <w:rPr>
          <w:rFonts w:ascii="Palatino Linotype" w:hAnsi="Palatino Linotype"/>
          <w:sz w:val="24"/>
          <w:szCs w:val="24"/>
        </w:rPr>
        <w:t xml:space="preserve">include </w:t>
      </w:r>
      <w:r w:rsidRPr="23BE7E22" w:rsidR="00573B66">
        <w:rPr>
          <w:rFonts w:ascii="Palatino Linotype" w:hAnsi="Palatino Linotype"/>
          <w:sz w:val="24"/>
          <w:szCs w:val="24"/>
        </w:rPr>
        <w:t>zero-emission vehicle (Z</w:t>
      </w:r>
      <w:r w:rsidRPr="23BE7E22" w:rsidR="00EE4CB1">
        <w:rPr>
          <w:rFonts w:ascii="Palatino Linotype" w:hAnsi="Palatino Linotype"/>
          <w:sz w:val="24"/>
          <w:szCs w:val="24"/>
        </w:rPr>
        <w:t>EV</w:t>
      </w:r>
      <w:r w:rsidRPr="23BE7E22" w:rsidR="00573B66">
        <w:rPr>
          <w:rFonts w:ascii="Palatino Linotype" w:hAnsi="Palatino Linotype"/>
          <w:sz w:val="24"/>
          <w:szCs w:val="24"/>
        </w:rPr>
        <w:t>)</w:t>
      </w:r>
      <w:r w:rsidRPr="23BE7E22" w:rsidR="00EE4CB1">
        <w:rPr>
          <w:rFonts w:ascii="Palatino Linotype" w:hAnsi="Palatino Linotype"/>
          <w:sz w:val="24"/>
          <w:szCs w:val="24"/>
        </w:rPr>
        <w:t xml:space="preserve"> purchase and rental incentives, </w:t>
      </w:r>
      <w:r w:rsidRPr="23BE7E22" w:rsidR="008564FF">
        <w:rPr>
          <w:rFonts w:ascii="Palatino Linotype" w:hAnsi="Palatino Linotype"/>
          <w:sz w:val="24"/>
          <w:szCs w:val="24"/>
        </w:rPr>
        <w:t xml:space="preserve">improving </w:t>
      </w:r>
      <w:r w:rsidRPr="23BE7E22" w:rsidR="00573B66">
        <w:rPr>
          <w:rFonts w:ascii="Palatino Linotype" w:hAnsi="Palatino Linotype"/>
          <w:sz w:val="24"/>
          <w:szCs w:val="24"/>
        </w:rPr>
        <w:t>Z</w:t>
      </w:r>
      <w:r w:rsidRPr="23BE7E22" w:rsidR="008564FF">
        <w:rPr>
          <w:rFonts w:ascii="Palatino Linotype" w:hAnsi="Palatino Linotype"/>
          <w:sz w:val="24"/>
          <w:szCs w:val="24"/>
        </w:rPr>
        <w:t xml:space="preserve">EV driver earnings, charging discounts, aiding in </w:t>
      </w:r>
      <w:r w:rsidRPr="23BE7E22" w:rsidR="00524F3F">
        <w:rPr>
          <w:rFonts w:ascii="Palatino Linotype" w:hAnsi="Palatino Linotype"/>
          <w:sz w:val="24"/>
          <w:szCs w:val="24"/>
        </w:rPr>
        <w:t>infrastructure</w:t>
      </w:r>
      <w:r w:rsidRPr="23BE7E22" w:rsidR="008564FF">
        <w:rPr>
          <w:rFonts w:ascii="Palatino Linotype" w:hAnsi="Palatino Linotype"/>
          <w:sz w:val="24"/>
          <w:szCs w:val="24"/>
        </w:rPr>
        <w:t xml:space="preserve"> </w:t>
      </w:r>
      <w:r w:rsidRPr="23BE7E22" w:rsidR="00524F3F">
        <w:rPr>
          <w:rFonts w:ascii="Palatino Linotype" w:hAnsi="Palatino Linotype"/>
          <w:sz w:val="24"/>
          <w:szCs w:val="24"/>
        </w:rPr>
        <w:t xml:space="preserve">development, </w:t>
      </w:r>
      <w:r w:rsidRPr="23BE7E22" w:rsidR="30E5CBDF">
        <w:rPr>
          <w:rFonts w:ascii="Palatino Linotype" w:hAnsi="Palatino Linotype"/>
          <w:sz w:val="24"/>
          <w:szCs w:val="24"/>
        </w:rPr>
        <w:t xml:space="preserve">in-app vehicle </w:t>
      </w:r>
      <w:r w:rsidRPr="23BE7E22" w:rsidR="00524F3F">
        <w:rPr>
          <w:rFonts w:ascii="Palatino Linotype" w:hAnsi="Palatino Linotype"/>
          <w:sz w:val="24"/>
          <w:szCs w:val="24"/>
        </w:rPr>
        <w:t xml:space="preserve">charging features for drivers, and </w:t>
      </w:r>
      <w:r w:rsidRPr="23BE7E22" w:rsidR="00573B66">
        <w:rPr>
          <w:rFonts w:ascii="Palatino Linotype" w:hAnsi="Palatino Linotype"/>
          <w:sz w:val="24"/>
          <w:szCs w:val="24"/>
        </w:rPr>
        <w:t>Z</w:t>
      </w:r>
      <w:r w:rsidRPr="23BE7E22" w:rsidR="00524F3F">
        <w:rPr>
          <w:rFonts w:ascii="Palatino Linotype" w:hAnsi="Palatino Linotype"/>
          <w:sz w:val="24"/>
          <w:szCs w:val="24"/>
        </w:rPr>
        <w:t xml:space="preserve">EV education for drivers. </w:t>
      </w:r>
      <w:r w:rsidRPr="23BE7E22" w:rsidR="79CA8210">
        <w:rPr>
          <w:rFonts w:ascii="Palatino Linotype" w:hAnsi="Palatino Linotype"/>
          <w:sz w:val="24"/>
          <w:szCs w:val="24"/>
        </w:rPr>
        <w:t xml:space="preserve">Uber asserts that its </w:t>
      </w:r>
      <w:r w:rsidRPr="23BE7E22" w:rsidR="0876A0B5">
        <w:rPr>
          <w:rFonts w:ascii="Palatino Linotype" w:hAnsi="Palatino Linotype"/>
          <w:sz w:val="24"/>
          <w:szCs w:val="24"/>
        </w:rPr>
        <w:t>i</w:t>
      </w:r>
      <w:r w:rsidRPr="23BE7E22" w:rsidR="00D93FFA">
        <w:rPr>
          <w:rFonts w:ascii="Palatino Linotype" w:hAnsi="Palatino Linotype"/>
          <w:sz w:val="24"/>
          <w:szCs w:val="24"/>
        </w:rPr>
        <w:t xml:space="preserve">ncentives </w:t>
      </w:r>
      <w:r w:rsidRPr="23BE7E22" w:rsidR="4145C35E">
        <w:rPr>
          <w:rFonts w:ascii="Palatino Linotype" w:hAnsi="Palatino Linotype"/>
          <w:sz w:val="24"/>
          <w:szCs w:val="24"/>
        </w:rPr>
        <w:t xml:space="preserve">will </w:t>
      </w:r>
      <w:r w:rsidRPr="23BE7E22" w:rsidR="00D93FFA">
        <w:rPr>
          <w:rFonts w:ascii="Palatino Linotype" w:hAnsi="Palatino Linotype"/>
          <w:sz w:val="24"/>
          <w:szCs w:val="24"/>
        </w:rPr>
        <w:t xml:space="preserve">be </w:t>
      </w:r>
      <w:r w:rsidRPr="23BE7E22" w:rsidR="00D14EB9">
        <w:rPr>
          <w:rFonts w:ascii="Palatino Linotype" w:hAnsi="Palatino Linotype"/>
          <w:sz w:val="24"/>
          <w:szCs w:val="24"/>
        </w:rPr>
        <w:t>impactful</w:t>
      </w:r>
      <w:r w:rsidRPr="23BE7E22" w:rsidR="497D7E59">
        <w:rPr>
          <w:rFonts w:ascii="Palatino Linotype" w:hAnsi="Palatino Linotype"/>
          <w:sz w:val="24"/>
          <w:szCs w:val="24"/>
        </w:rPr>
        <w:t>,</w:t>
      </w:r>
      <w:r w:rsidRPr="23BE7E22" w:rsidR="00D14EB9">
        <w:rPr>
          <w:rFonts w:ascii="Palatino Linotype" w:hAnsi="Palatino Linotype"/>
          <w:sz w:val="24"/>
          <w:szCs w:val="24"/>
        </w:rPr>
        <w:t xml:space="preserve"> with other efforts having moderate to longer-term potential impacts.</w:t>
      </w:r>
    </w:p>
    <w:p w:rsidRPr="00C652CB" w:rsidR="00EF6F3B" w:rsidP="00EF6F3B" w:rsidRDefault="00EF6F3B" w14:paraId="04CF4905" w14:textId="680FC573">
      <w:pPr>
        <w:spacing w:after="240" w:line="276" w:lineRule="auto"/>
        <w:rPr>
          <w:rFonts w:ascii="Palatino Linotype" w:hAnsi="Palatino Linotype"/>
          <w:sz w:val="24"/>
          <w:szCs w:val="24"/>
        </w:rPr>
      </w:pPr>
      <w:r w:rsidRPr="3E8D698D">
        <w:rPr>
          <w:rFonts w:ascii="Palatino Linotype" w:hAnsi="Palatino Linotype"/>
          <w:sz w:val="24"/>
          <w:szCs w:val="24"/>
        </w:rPr>
        <w:t xml:space="preserve">Uber provided sufficient information in their Action Plan </w:t>
      </w:r>
      <w:r w:rsidRPr="3E8D698D" w:rsidR="5B24D5FE">
        <w:rPr>
          <w:rFonts w:ascii="Palatino Linotype" w:hAnsi="Palatino Linotype"/>
          <w:sz w:val="24"/>
          <w:szCs w:val="24"/>
        </w:rPr>
        <w:t xml:space="preserve">to allow staff and the public to understand their plans </w:t>
      </w:r>
      <w:r w:rsidRPr="3E8D698D" w:rsidR="302EAC3D">
        <w:rPr>
          <w:rFonts w:ascii="Palatino Linotype" w:hAnsi="Palatino Linotype"/>
          <w:sz w:val="24"/>
          <w:szCs w:val="24"/>
        </w:rPr>
        <w:t>in</w:t>
      </w:r>
      <w:r w:rsidRPr="3E8D698D" w:rsidR="186E54DE">
        <w:rPr>
          <w:rFonts w:ascii="Palatino Linotype" w:hAnsi="Palatino Linotype"/>
          <w:sz w:val="24"/>
          <w:szCs w:val="24"/>
        </w:rPr>
        <w:t xml:space="preserve"> the required areas of</w:t>
      </w:r>
      <w:r w:rsidRPr="3E8D698D">
        <w:rPr>
          <w:rFonts w:ascii="Palatino Linotype" w:hAnsi="Palatino Linotype"/>
          <w:sz w:val="24"/>
          <w:szCs w:val="24"/>
        </w:rPr>
        <w:t xml:space="preserve"> low- and moderate-income drivers</w:t>
      </w:r>
      <w:r w:rsidRPr="3E8D698D" w:rsidR="6BD7F6A0">
        <w:rPr>
          <w:rFonts w:ascii="Palatino Linotype" w:hAnsi="Palatino Linotype"/>
          <w:sz w:val="24"/>
          <w:szCs w:val="24"/>
        </w:rPr>
        <w:t>;</w:t>
      </w:r>
      <w:r w:rsidRPr="3E8D698D">
        <w:rPr>
          <w:rFonts w:ascii="Palatino Linotype" w:hAnsi="Palatino Linotype"/>
          <w:sz w:val="24"/>
          <w:szCs w:val="24"/>
        </w:rPr>
        <w:t xml:space="preserve"> clean mobility</w:t>
      </w:r>
      <w:r w:rsidRPr="3E8D698D" w:rsidR="23D3C2AC">
        <w:rPr>
          <w:rFonts w:ascii="Palatino Linotype" w:hAnsi="Palatino Linotype"/>
          <w:sz w:val="24"/>
          <w:szCs w:val="24"/>
        </w:rPr>
        <w:t>;</w:t>
      </w:r>
      <w:r w:rsidRPr="3E8D698D">
        <w:rPr>
          <w:rFonts w:ascii="Palatino Linotype" w:hAnsi="Palatino Linotype"/>
          <w:sz w:val="24"/>
          <w:szCs w:val="24"/>
        </w:rPr>
        <w:t xml:space="preserve"> ESJ Action Plan </w:t>
      </w:r>
      <w:r w:rsidRPr="3E8D698D" w:rsidR="0A9D249F">
        <w:rPr>
          <w:rFonts w:ascii="Palatino Linotype" w:hAnsi="Palatino Linotype"/>
          <w:sz w:val="24"/>
          <w:szCs w:val="24"/>
        </w:rPr>
        <w:t>and</w:t>
      </w:r>
      <w:r w:rsidRPr="3E8D698D">
        <w:rPr>
          <w:rFonts w:ascii="Palatino Linotype" w:hAnsi="Palatino Linotype"/>
          <w:sz w:val="24"/>
          <w:szCs w:val="24"/>
        </w:rPr>
        <w:t xml:space="preserve"> charging infrastructure</w:t>
      </w:r>
      <w:r w:rsidRPr="3E8D698D" w:rsidR="6BB08BA2">
        <w:rPr>
          <w:rFonts w:ascii="Palatino Linotype" w:hAnsi="Palatino Linotype"/>
          <w:sz w:val="24"/>
          <w:szCs w:val="24"/>
        </w:rPr>
        <w:t>;</w:t>
      </w:r>
      <w:r w:rsidRPr="3E8D698D">
        <w:rPr>
          <w:rFonts w:ascii="Palatino Linotype" w:hAnsi="Palatino Linotype"/>
          <w:sz w:val="24"/>
          <w:szCs w:val="24"/>
        </w:rPr>
        <w:t xml:space="preserve"> and marketing, education</w:t>
      </w:r>
      <w:r w:rsidRPr="3E8D698D" w:rsidR="45043640">
        <w:rPr>
          <w:rFonts w:ascii="Palatino Linotype" w:hAnsi="Palatino Linotype"/>
          <w:sz w:val="24"/>
          <w:szCs w:val="24"/>
        </w:rPr>
        <w:t>,</w:t>
      </w:r>
      <w:r w:rsidRPr="3E8D698D">
        <w:rPr>
          <w:rFonts w:ascii="Palatino Linotype" w:hAnsi="Palatino Linotype"/>
          <w:sz w:val="24"/>
          <w:szCs w:val="24"/>
        </w:rPr>
        <w:t xml:space="preserve"> and outreach. CPED </w:t>
      </w:r>
      <w:r w:rsidR="002F03C4">
        <w:rPr>
          <w:rFonts w:ascii="Palatino Linotype" w:hAnsi="Palatino Linotype"/>
          <w:sz w:val="24"/>
          <w:szCs w:val="24"/>
        </w:rPr>
        <w:t xml:space="preserve">staff </w:t>
      </w:r>
      <w:r w:rsidRPr="3E8D698D">
        <w:rPr>
          <w:rFonts w:ascii="Palatino Linotype" w:hAnsi="Palatino Linotype"/>
          <w:sz w:val="24"/>
          <w:szCs w:val="24"/>
        </w:rPr>
        <w:t>will monitor progress toward the program goals for these areas through compliance data collection and other program oversight required in the Phase 1 Decision.</w:t>
      </w:r>
    </w:p>
    <w:p w:rsidRPr="00C652CB" w:rsidR="00EF6F3B" w:rsidP="00EF6F3B" w:rsidRDefault="00865F18" w14:paraId="1F3102C9" w14:textId="485A0C23">
      <w:pPr>
        <w:spacing w:after="240" w:line="276" w:lineRule="auto"/>
        <w:rPr>
          <w:rFonts w:ascii="Palatino Linotype" w:hAnsi="Palatino Linotype"/>
          <w:sz w:val="24"/>
          <w:szCs w:val="24"/>
        </w:rPr>
      </w:pPr>
      <w:r w:rsidRPr="3E8D698D">
        <w:rPr>
          <w:rFonts w:ascii="Palatino Linotype" w:hAnsi="Palatino Linotype"/>
          <w:sz w:val="24"/>
          <w:szCs w:val="24"/>
        </w:rPr>
        <w:t>Uber</w:t>
      </w:r>
      <w:r w:rsidRPr="3E8D698D" w:rsidR="00EF6F3B">
        <w:rPr>
          <w:rFonts w:ascii="Palatino Linotype" w:hAnsi="Palatino Linotype"/>
          <w:sz w:val="24"/>
          <w:szCs w:val="24"/>
        </w:rPr>
        <w:t xml:space="preserve"> identified anticipated barriers to </w:t>
      </w:r>
      <w:r w:rsidRPr="3E8D698D" w:rsidR="00573B66">
        <w:rPr>
          <w:rFonts w:ascii="Palatino Linotype" w:hAnsi="Palatino Linotype"/>
          <w:sz w:val="24"/>
          <w:szCs w:val="24"/>
        </w:rPr>
        <w:t>Z</w:t>
      </w:r>
      <w:r w:rsidRPr="3E8D698D" w:rsidR="00EF6F3B">
        <w:rPr>
          <w:rFonts w:ascii="Palatino Linotype" w:hAnsi="Palatino Linotype"/>
          <w:sz w:val="24"/>
          <w:szCs w:val="24"/>
        </w:rPr>
        <w:t>EV adoption</w:t>
      </w:r>
      <w:r w:rsidRPr="3E8D698D" w:rsidR="001F6ED0">
        <w:rPr>
          <w:rFonts w:ascii="Palatino Linotype" w:hAnsi="Palatino Linotype"/>
          <w:sz w:val="24"/>
          <w:szCs w:val="24"/>
        </w:rPr>
        <w:t xml:space="preserve"> </w:t>
      </w:r>
      <w:r w:rsidRPr="3E8D698D" w:rsidR="691FA9DD">
        <w:rPr>
          <w:rFonts w:ascii="Palatino Linotype" w:hAnsi="Palatino Linotype"/>
          <w:sz w:val="24"/>
          <w:szCs w:val="24"/>
        </w:rPr>
        <w:t>that</w:t>
      </w:r>
      <w:r w:rsidRPr="3E8D698D" w:rsidR="001F6ED0">
        <w:rPr>
          <w:rFonts w:ascii="Palatino Linotype" w:hAnsi="Palatino Linotype"/>
          <w:sz w:val="24"/>
          <w:szCs w:val="24"/>
        </w:rPr>
        <w:t xml:space="preserve"> </w:t>
      </w:r>
      <w:r w:rsidRPr="3E8D698D" w:rsidR="000C4C19">
        <w:rPr>
          <w:rFonts w:ascii="Palatino Linotype" w:hAnsi="Palatino Linotype"/>
          <w:sz w:val="24"/>
          <w:szCs w:val="24"/>
        </w:rPr>
        <w:t xml:space="preserve">Uber is </w:t>
      </w:r>
      <w:r w:rsidR="002E3064">
        <w:rPr>
          <w:rFonts w:ascii="Palatino Linotype" w:hAnsi="Palatino Linotype"/>
          <w:sz w:val="24"/>
          <w:szCs w:val="24"/>
        </w:rPr>
        <w:t>seeking to</w:t>
      </w:r>
      <w:r w:rsidRPr="3E8D698D" w:rsidR="000C4C19">
        <w:rPr>
          <w:rFonts w:ascii="Palatino Linotype" w:hAnsi="Palatino Linotype"/>
          <w:sz w:val="24"/>
          <w:szCs w:val="24"/>
        </w:rPr>
        <w:t xml:space="preserve"> address </w:t>
      </w:r>
      <w:r w:rsidR="002E3064">
        <w:rPr>
          <w:rFonts w:ascii="Palatino Linotype" w:hAnsi="Palatino Linotype"/>
          <w:sz w:val="24"/>
          <w:szCs w:val="24"/>
        </w:rPr>
        <w:t xml:space="preserve">through its </w:t>
      </w:r>
      <w:r w:rsidRPr="3E8D698D" w:rsidR="000C4C19">
        <w:rPr>
          <w:rFonts w:ascii="Palatino Linotype" w:hAnsi="Palatino Linotype"/>
          <w:sz w:val="24"/>
          <w:szCs w:val="24"/>
        </w:rPr>
        <w:t>proposed actions</w:t>
      </w:r>
      <w:r w:rsidRPr="3E8D698D" w:rsidR="31DEB201">
        <w:rPr>
          <w:rFonts w:ascii="Palatino Linotype" w:hAnsi="Palatino Linotype"/>
          <w:sz w:val="24"/>
          <w:szCs w:val="24"/>
        </w:rPr>
        <w:t>; these include</w:t>
      </w:r>
      <w:r w:rsidRPr="3E8D698D" w:rsidR="00EF6F3B">
        <w:rPr>
          <w:rFonts w:ascii="Palatino Linotype" w:hAnsi="Palatino Linotype"/>
          <w:sz w:val="24"/>
          <w:szCs w:val="24"/>
        </w:rPr>
        <w:t xml:space="preserve"> </w:t>
      </w:r>
      <w:r w:rsidRPr="3E8D698D" w:rsidR="001F6ED0">
        <w:rPr>
          <w:rFonts w:ascii="Palatino Linotype" w:hAnsi="Palatino Linotype"/>
          <w:sz w:val="24"/>
          <w:szCs w:val="24"/>
        </w:rPr>
        <w:t>upfront cost</w:t>
      </w:r>
      <w:r w:rsidRPr="3E8D698D" w:rsidR="000C4C19">
        <w:rPr>
          <w:rFonts w:ascii="Palatino Linotype" w:hAnsi="Palatino Linotype"/>
          <w:sz w:val="24"/>
          <w:szCs w:val="24"/>
        </w:rPr>
        <w:t xml:space="preserve"> of </w:t>
      </w:r>
      <w:r w:rsidRPr="3E8D698D" w:rsidR="006224CD">
        <w:rPr>
          <w:rFonts w:ascii="Palatino Linotype" w:hAnsi="Palatino Linotype"/>
          <w:sz w:val="24"/>
          <w:szCs w:val="24"/>
        </w:rPr>
        <w:t>Z</w:t>
      </w:r>
      <w:r w:rsidRPr="3E8D698D" w:rsidR="000C4C19">
        <w:rPr>
          <w:rFonts w:ascii="Palatino Linotype" w:hAnsi="Palatino Linotype"/>
          <w:sz w:val="24"/>
          <w:szCs w:val="24"/>
        </w:rPr>
        <w:t>EVs, access to charging,</w:t>
      </w:r>
      <w:r w:rsidRPr="3E8D698D" w:rsidR="002E6A72">
        <w:rPr>
          <w:rFonts w:ascii="Palatino Linotype" w:hAnsi="Palatino Linotype"/>
          <w:sz w:val="24"/>
          <w:szCs w:val="24"/>
        </w:rPr>
        <w:t xml:space="preserve"> driver range anxiety, and lack of education. Uber also identifie</w:t>
      </w:r>
      <w:r w:rsidRPr="3E8D698D" w:rsidR="4C7C40D0">
        <w:rPr>
          <w:rFonts w:ascii="Palatino Linotype" w:hAnsi="Palatino Linotype"/>
          <w:sz w:val="24"/>
          <w:szCs w:val="24"/>
        </w:rPr>
        <w:t>d</w:t>
      </w:r>
      <w:r w:rsidRPr="3E8D698D" w:rsidR="002E6A72">
        <w:rPr>
          <w:rFonts w:ascii="Palatino Linotype" w:hAnsi="Palatino Linotype"/>
          <w:sz w:val="24"/>
          <w:szCs w:val="24"/>
        </w:rPr>
        <w:t xml:space="preserve"> </w:t>
      </w:r>
      <w:r w:rsidRPr="3E8D698D" w:rsidR="006C2D08">
        <w:rPr>
          <w:rFonts w:ascii="Palatino Linotype" w:hAnsi="Palatino Linotype"/>
          <w:sz w:val="24"/>
          <w:szCs w:val="24"/>
        </w:rPr>
        <w:t xml:space="preserve">major barriers outside of their control including high interest rates, reduced accessibility of financing, limited </w:t>
      </w:r>
      <w:r w:rsidRPr="3E8D698D" w:rsidR="006224CD">
        <w:rPr>
          <w:rFonts w:ascii="Palatino Linotype" w:hAnsi="Palatino Linotype"/>
          <w:sz w:val="24"/>
          <w:szCs w:val="24"/>
        </w:rPr>
        <w:t>Z</w:t>
      </w:r>
      <w:r w:rsidRPr="3E8D698D" w:rsidR="006C2D08">
        <w:rPr>
          <w:rFonts w:ascii="Palatino Linotype" w:hAnsi="Palatino Linotype"/>
          <w:sz w:val="24"/>
          <w:szCs w:val="24"/>
        </w:rPr>
        <w:t xml:space="preserve">EV options, and volatility in the </w:t>
      </w:r>
      <w:r w:rsidRPr="3E8D698D" w:rsidR="006224CD">
        <w:rPr>
          <w:rFonts w:ascii="Palatino Linotype" w:hAnsi="Palatino Linotype"/>
          <w:sz w:val="24"/>
          <w:szCs w:val="24"/>
        </w:rPr>
        <w:t>Z</w:t>
      </w:r>
      <w:r w:rsidRPr="3E8D698D" w:rsidR="006C2D08">
        <w:rPr>
          <w:rFonts w:ascii="Palatino Linotype" w:hAnsi="Palatino Linotype"/>
          <w:sz w:val="24"/>
          <w:szCs w:val="24"/>
        </w:rPr>
        <w:t>EV supply.</w:t>
      </w:r>
      <w:r w:rsidRPr="3E8D698D" w:rsidR="000069D6">
        <w:rPr>
          <w:rFonts w:ascii="Palatino Linotype" w:hAnsi="Palatino Linotype"/>
          <w:sz w:val="24"/>
          <w:szCs w:val="24"/>
        </w:rPr>
        <w:t xml:space="preserve"> </w:t>
      </w:r>
    </w:p>
    <w:p w:rsidRPr="00C652CB" w:rsidR="00014665" w:rsidP="00014665" w:rsidRDefault="00014665" w14:paraId="202C75AC" w14:textId="5261C829">
      <w:pPr>
        <w:spacing w:after="240" w:line="276" w:lineRule="auto"/>
        <w:rPr>
          <w:rFonts w:ascii="Palatino Linotype" w:hAnsi="Palatino Linotype"/>
          <w:sz w:val="24"/>
          <w:szCs w:val="24"/>
        </w:rPr>
      </w:pPr>
      <w:r w:rsidRPr="23BE7E22">
        <w:rPr>
          <w:rFonts w:ascii="Palatino Linotype" w:hAnsi="Palatino Linotype"/>
          <w:sz w:val="24"/>
          <w:szCs w:val="24"/>
        </w:rPr>
        <w:lastRenderedPageBreak/>
        <w:t xml:space="preserve">CPED </w:t>
      </w:r>
      <w:r w:rsidRPr="23BE7E22" w:rsidR="00A36F8F">
        <w:rPr>
          <w:rFonts w:ascii="Palatino Linotype" w:hAnsi="Palatino Linotype"/>
          <w:sz w:val="24"/>
          <w:szCs w:val="24"/>
        </w:rPr>
        <w:t>finds</w:t>
      </w:r>
      <w:r w:rsidRPr="23BE7E22">
        <w:rPr>
          <w:rFonts w:ascii="Palatino Linotype" w:hAnsi="Palatino Linotype"/>
          <w:sz w:val="24"/>
          <w:szCs w:val="24"/>
        </w:rPr>
        <w:t xml:space="preserve"> that </w:t>
      </w:r>
      <w:r w:rsidRPr="23BE7E22" w:rsidR="00B86020">
        <w:rPr>
          <w:rFonts w:ascii="Palatino Linotype" w:hAnsi="Palatino Linotype"/>
          <w:sz w:val="24"/>
          <w:szCs w:val="24"/>
        </w:rPr>
        <w:t>Uber</w:t>
      </w:r>
      <w:r w:rsidRPr="23BE7E22" w:rsidR="00526265">
        <w:rPr>
          <w:rFonts w:ascii="Palatino Linotype" w:hAnsi="Palatino Linotype"/>
          <w:sz w:val="24"/>
          <w:szCs w:val="24"/>
        </w:rPr>
        <w:t xml:space="preserve"> </w:t>
      </w:r>
      <w:r w:rsidRPr="23BE7E22" w:rsidR="004E7265">
        <w:rPr>
          <w:rFonts w:ascii="Palatino Linotype" w:hAnsi="Palatino Linotype"/>
          <w:sz w:val="24"/>
          <w:szCs w:val="24"/>
        </w:rPr>
        <w:t xml:space="preserve">submitted all required supplemental calculations and </w:t>
      </w:r>
      <w:r w:rsidRPr="23BE7E22" w:rsidR="00B37C93">
        <w:rPr>
          <w:rFonts w:ascii="Palatino Linotype" w:hAnsi="Palatino Linotype"/>
          <w:sz w:val="24"/>
          <w:szCs w:val="24"/>
        </w:rPr>
        <w:t>the submitted information was sufficient in terms of completeness, feasibility, and accuracy</w:t>
      </w:r>
      <w:r w:rsidR="0081457F">
        <w:rPr>
          <w:rFonts w:ascii="Palatino Linotype" w:hAnsi="Palatino Linotype"/>
          <w:sz w:val="24"/>
          <w:szCs w:val="24"/>
        </w:rPr>
        <w:t>.</w:t>
      </w:r>
    </w:p>
    <w:p w:rsidRPr="00C652CB" w:rsidR="00FE1722" w:rsidP="00014665" w:rsidRDefault="00FE1722" w14:paraId="73C8FF7D" w14:textId="5652A0C9">
      <w:pPr>
        <w:spacing w:after="240" w:line="276" w:lineRule="auto"/>
        <w:rPr>
          <w:rFonts w:ascii="Palatino Linotype" w:hAnsi="Palatino Linotype"/>
          <w:i/>
          <w:iCs/>
          <w:sz w:val="24"/>
          <w:szCs w:val="24"/>
        </w:rPr>
      </w:pPr>
      <w:r w:rsidRPr="23BE7E22">
        <w:rPr>
          <w:rFonts w:ascii="Palatino Linotype" w:hAnsi="Palatino Linotype"/>
          <w:i/>
          <w:iCs/>
          <w:sz w:val="24"/>
          <w:szCs w:val="24"/>
        </w:rPr>
        <w:t>Establishing a</w:t>
      </w:r>
      <w:r w:rsidRPr="23BE7E22" w:rsidR="00C250B1">
        <w:rPr>
          <w:rFonts w:ascii="Palatino Linotype" w:hAnsi="Palatino Linotype"/>
          <w:i/>
          <w:iCs/>
          <w:sz w:val="24"/>
          <w:szCs w:val="24"/>
        </w:rPr>
        <w:t xml:space="preserve"> Total Program Budget and</w:t>
      </w:r>
      <w:r w:rsidRPr="23BE7E22">
        <w:rPr>
          <w:rFonts w:ascii="Palatino Linotype" w:hAnsi="Palatino Linotype"/>
          <w:i/>
          <w:iCs/>
          <w:sz w:val="24"/>
          <w:szCs w:val="24"/>
        </w:rPr>
        <w:t xml:space="preserve"> Statewide CMS Regulatory Fee</w:t>
      </w:r>
    </w:p>
    <w:p w:rsidRPr="00C652CB" w:rsidR="00040440" w:rsidP="00040440" w:rsidRDefault="00040440" w14:paraId="2B879A03" w14:textId="5404443C">
      <w:pPr>
        <w:spacing w:after="240" w:line="276" w:lineRule="auto"/>
        <w:rPr>
          <w:rFonts w:ascii="Palatino Linotype" w:hAnsi="Palatino Linotype"/>
          <w:sz w:val="24"/>
          <w:szCs w:val="24"/>
        </w:rPr>
      </w:pPr>
      <w:r w:rsidRPr="3E8D698D">
        <w:rPr>
          <w:rFonts w:ascii="Palatino Linotype" w:hAnsi="Palatino Linotype"/>
          <w:sz w:val="24"/>
          <w:szCs w:val="24"/>
        </w:rPr>
        <w:t xml:space="preserve">The </w:t>
      </w:r>
      <w:r w:rsidR="00BE4BA6">
        <w:rPr>
          <w:rFonts w:ascii="Palatino Linotype" w:hAnsi="Palatino Linotype"/>
          <w:sz w:val="24"/>
          <w:szCs w:val="24"/>
        </w:rPr>
        <w:t xml:space="preserve">methodology for </w:t>
      </w:r>
      <w:r w:rsidR="00C250B1">
        <w:rPr>
          <w:rFonts w:ascii="Palatino Linotype" w:hAnsi="Palatino Linotype"/>
          <w:sz w:val="24"/>
          <w:szCs w:val="24"/>
        </w:rPr>
        <w:t xml:space="preserve">establishing the Total Program Budget and </w:t>
      </w:r>
      <w:r w:rsidR="00BE4BA6">
        <w:rPr>
          <w:rFonts w:ascii="Palatino Linotype" w:hAnsi="Palatino Linotype"/>
          <w:sz w:val="24"/>
          <w:szCs w:val="24"/>
        </w:rPr>
        <w:t xml:space="preserve">calculating the </w:t>
      </w:r>
      <w:r w:rsidRPr="3E8D698D">
        <w:rPr>
          <w:rFonts w:ascii="Palatino Linotype" w:hAnsi="Palatino Linotype"/>
          <w:sz w:val="24"/>
          <w:szCs w:val="24"/>
        </w:rPr>
        <w:t xml:space="preserve">CMS Regulatory fee </w:t>
      </w:r>
      <w:r w:rsidRPr="3E8D698D" w:rsidR="0028298F">
        <w:rPr>
          <w:rFonts w:ascii="Palatino Linotype" w:hAnsi="Palatino Linotype"/>
          <w:sz w:val="24"/>
          <w:szCs w:val="24"/>
        </w:rPr>
        <w:t xml:space="preserve">was </w:t>
      </w:r>
      <w:r w:rsidR="00D6231F">
        <w:rPr>
          <w:rFonts w:ascii="Palatino Linotype" w:hAnsi="Palatino Linotype"/>
          <w:sz w:val="24"/>
          <w:szCs w:val="24"/>
        </w:rPr>
        <w:t>established</w:t>
      </w:r>
      <w:r w:rsidRPr="3E8D698D" w:rsidR="0028298F">
        <w:rPr>
          <w:rFonts w:ascii="Palatino Linotype" w:hAnsi="Palatino Linotype"/>
          <w:sz w:val="24"/>
          <w:szCs w:val="24"/>
        </w:rPr>
        <w:t xml:space="preserve"> by the CMS Phase 1 Decision</w:t>
      </w:r>
      <w:r w:rsidR="00205C9B">
        <w:rPr>
          <w:rFonts w:ascii="Palatino Linotype" w:hAnsi="Palatino Linotype"/>
          <w:sz w:val="24"/>
          <w:szCs w:val="24"/>
        </w:rPr>
        <w:t>. The CMS Regulatory Fee</w:t>
      </w:r>
      <w:r w:rsidRPr="3E8D698D" w:rsidR="0028298F">
        <w:rPr>
          <w:rFonts w:ascii="Palatino Linotype" w:hAnsi="Palatino Linotype"/>
          <w:sz w:val="24"/>
          <w:szCs w:val="24"/>
        </w:rPr>
        <w:t xml:space="preserve"> </w:t>
      </w:r>
      <w:r w:rsidRPr="3E8D698D">
        <w:rPr>
          <w:rFonts w:ascii="Palatino Linotype" w:hAnsi="Palatino Linotype"/>
          <w:sz w:val="24"/>
          <w:szCs w:val="24"/>
        </w:rPr>
        <w:t>will fund the Drivers Assistance Program and CMS incentives, Contracting Agent, programmatic evaluation, and financial audit.</w:t>
      </w:r>
      <w:r w:rsidRPr="3E8D698D" w:rsidR="0028298F">
        <w:rPr>
          <w:rFonts w:ascii="Palatino Linotype" w:hAnsi="Palatino Linotype"/>
          <w:sz w:val="24"/>
          <w:szCs w:val="24"/>
        </w:rPr>
        <w:t xml:space="preserve"> This fee will be </w:t>
      </w:r>
      <w:r w:rsidRPr="3E8D698D" w:rsidR="003E4DF2">
        <w:rPr>
          <w:rFonts w:ascii="Palatino Linotype" w:hAnsi="Palatino Linotype"/>
          <w:sz w:val="24"/>
          <w:szCs w:val="24"/>
        </w:rPr>
        <w:t xml:space="preserve">collected on a per-trip basis by the CMS </w:t>
      </w:r>
      <w:r w:rsidRPr="3E8D698D" w:rsidR="00B8282C">
        <w:rPr>
          <w:rFonts w:ascii="Palatino Linotype" w:hAnsi="Palatino Linotype"/>
          <w:sz w:val="24"/>
          <w:szCs w:val="24"/>
        </w:rPr>
        <w:t>R</w:t>
      </w:r>
      <w:r w:rsidRPr="3E8D698D" w:rsidR="003E4DF2">
        <w:rPr>
          <w:rFonts w:ascii="Palatino Linotype" w:hAnsi="Palatino Linotype"/>
          <w:sz w:val="24"/>
          <w:szCs w:val="24"/>
        </w:rPr>
        <w:t xml:space="preserve">egulated </w:t>
      </w:r>
      <w:r w:rsidRPr="3E8D698D" w:rsidR="00B8282C">
        <w:rPr>
          <w:rFonts w:ascii="Palatino Linotype" w:hAnsi="Palatino Linotype"/>
          <w:sz w:val="24"/>
          <w:szCs w:val="24"/>
        </w:rPr>
        <w:t>E</w:t>
      </w:r>
      <w:r w:rsidRPr="3E8D698D" w:rsidR="003E4DF2">
        <w:rPr>
          <w:rFonts w:ascii="Palatino Linotype" w:hAnsi="Palatino Linotype"/>
          <w:sz w:val="24"/>
          <w:szCs w:val="24"/>
        </w:rPr>
        <w:t>ntities.</w:t>
      </w:r>
    </w:p>
    <w:p w:rsidRPr="00C652CB" w:rsidR="00FE1722" w:rsidP="00AC77D3" w:rsidRDefault="00FE1722" w14:paraId="00FE5C38" w14:textId="5A54FAE3">
      <w:pPr>
        <w:spacing w:after="240" w:line="276" w:lineRule="auto"/>
        <w:rPr>
          <w:rFonts w:ascii="Palatino Linotype" w:hAnsi="Palatino Linotype"/>
          <w:sz w:val="24"/>
          <w:szCs w:val="24"/>
        </w:rPr>
      </w:pPr>
      <w:r w:rsidRPr="3E8D698D">
        <w:rPr>
          <w:rFonts w:ascii="Palatino Linotype" w:hAnsi="Palatino Linotype"/>
          <w:sz w:val="24"/>
          <w:szCs w:val="24"/>
        </w:rPr>
        <w:t xml:space="preserve">The CMS Phase 1 Decision established the process for </w:t>
      </w:r>
      <w:r w:rsidR="00205C9B">
        <w:rPr>
          <w:rFonts w:ascii="Palatino Linotype" w:hAnsi="Palatino Linotype"/>
          <w:sz w:val="24"/>
          <w:szCs w:val="24"/>
        </w:rPr>
        <w:t xml:space="preserve">estimating the Total Program Budget and </w:t>
      </w:r>
      <w:r w:rsidRPr="3E8D698D">
        <w:rPr>
          <w:rFonts w:ascii="Palatino Linotype" w:hAnsi="Palatino Linotype"/>
          <w:sz w:val="24"/>
          <w:szCs w:val="24"/>
        </w:rPr>
        <w:t>setting a uniform statewide CMS Regulatory Fee in accordance with Attachment D</w:t>
      </w:r>
      <w:r w:rsidRPr="3E8D698D" w:rsidR="003E4DF2">
        <w:rPr>
          <w:rFonts w:ascii="Palatino Linotype" w:hAnsi="Palatino Linotype"/>
          <w:sz w:val="24"/>
          <w:szCs w:val="24"/>
        </w:rPr>
        <w:t xml:space="preserve"> of the Decision</w:t>
      </w:r>
      <w:r w:rsidRPr="3E8D698D">
        <w:rPr>
          <w:rFonts w:ascii="Palatino Linotype" w:hAnsi="Palatino Linotype"/>
          <w:sz w:val="24"/>
          <w:szCs w:val="24"/>
        </w:rPr>
        <w:t xml:space="preserve"> and with information submitted by each of the CMS Regulatory Entities. </w:t>
      </w:r>
      <w:r w:rsidRPr="3E8D698D" w:rsidR="00AD3354">
        <w:rPr>
          <w:rFonts w:ascii="Palatino Linotype" w:hAnsi="Palatino Linotype"/>
          <w:sz w:val="24"/>
          <w:szCs w:val="24"/>
        </w:rPr>
        <w:t>CPED</w:t>
      </w:r>
      <w:r w:rsidRPr="3E8D698D">
        <w:rPr>
          <w:rFonts w:ascii="Palatino Linotype" w:hAnsi="Palatino Linotype"/>
          <w:sz w:val="24"/>
          <w:szCs w:val="24"/>
        </w:rPr>
        <w:t xml:space="preserve"> </w:t>
      </w:r>
      <w:r w:rsidRPr="3E8D698D" w:rsidR="690411BC">
        <w:rPr>
          <w:rFonts w:ascii="Palatino Linotype" w:hAnsi="Palatino Linotype"/>
          <w:sz w:val="24"/>
          <w:szCs w:val="24"/>
        </w:rPr>
        <w:t xml:space="preserve">is </w:t>
      </w:r>
      <w:r w:rsidRPr="3E8D698D">
        <w:rPr>
          <w:rFonts w:ascii="Palatino Linotype" w:hAnsi="Palatino Linotype"/>
          <w:sz w:val="24"/>
          <w:szCs w:val="24"/>
        </w:rPr>
        <w:t xml:space="preserve">tasked with calculating </w:t>
      </w:r>
      <w:r w:rsidR="00C3795C">
        <w:rPr>
          <w:rFonts w:ascii="Palatino Linotype" w:hAnsi="Palatino Linotype"/>
          <w:sz w:val="24"/>
          <w:szCs w:val="24"/>
        </w:rPr>
        <w:t xml:space="preserve">both the Total Program Budget and </w:t>
      </w:r>
      <w:r w:rsidRPr="3E8D698D">
        <w:rPr>
          <w:rFonts w:ascii="Palatino Linotype" w:hAnsi="Palatino Linotype"/>
          <w:sz w:val="24"/>
          <w:szCs w:val="24"/>
        </w:rPr>
        <w:t>the CMS Regulatory Fee.</w:t>
      </w:r>
    </w:p>
    <w:p w:rsidRPr="00C652CB" w:rsidR="00FE1722" w:rsidP="00AC77D3" w:rsidRDefault="00FE1722" w14:paraId="392482EC" w14:textId="15D17B91">
      <w:pPr>
        <w:spacing w:after="240" w:line="276" w:lineRule="auto"/>
        <w:rPr>
          <w:rFonts w:ascii="Palatino Linotype" w:hAnsi="Palatino Linotype"/>
          <w:sz w:val="24"/>
          <w:szCs w:val="24"/>
        </w:rPr>
      </w:pPr>
      <w:r w:rsidRPr="3E8D698D">
        <w:rPr>
          <w:rFonts w:ascii="Palatino Linotype" w:hAnsi="Palatino Linotype"/>
          <w:sz w:val="24"/>
          <w:szCs w:val="24"/>
        </w:rPr>
        <w:t xml:space="preserve">As detailed in Attachment D of the CMS Phase 1 Decision, CMS Regulated Entities were required to submit the following data with projections for the years 2024 and 2025 as part of their </w:t>
      </w:r>
      <w:r w:rsidRPr="3E8D698D" w:rsidR="00413A6F">
        <w:rPr>
          <w:rFonts w:ascii="Palatino Linotype" w:hAnsi="Palatino Linotype"/>
          <w:sz w:val="24"/>
          <w:szCs w:val="24"/>
        </w:rPr>
        <w:t>I</w:t>
      </w:r>
      <w:r w:rsidRPr="3E8D698D">
        <w:rPr>
          <w:rFonts w:ascii="Palatino Linotype" w:hAnsi="Palatino Linotype"/>
          <w:sz w:val="24"/>
          <w:szCs w:val="24"/>
        </w:rPr>
        <w:t>nterim GHG Plans:</w:t>
      </w:r>
    </w:p>
    <w:p w:rsidRPr="00C652CB" w:rsidR="00FE1722" w:rsidP="00FE1722" w:rsidRDefault="00FE1722" w14:paraId="48BF6284" w14:textId="77777777">
      <w:pPr>
        <w:pStyle w:val="ListParagraph"/>
        <w:numPr>
          <w:ilvl w:val="0"/>
          <w:numId w:val="8"/>
        </w:numPr>
        <w:spacing w:after="240"/>
        <w:rPr>
          <w:rFonts w:ascii="Palatino Linotype" w:hAnsi="Palatino Linotype"/>
        </w:rPr>
      </w:pPr>
      <w:r w:rsidRPr="00C652CB">
        <w:rPr>
          <w:rFonts w:ascii="Palatino Linotype" w:hAnsi="Palatino Linotype"/>
        </w:rPr>
        <w:t>Number of drivers.</w:t>
      </w:r>
    </w:p>
    <w:p w:rsidRPr="00C652CB" w:rsidR="00FE1722" w:rsidP="00FE1722" w:rsidRDefault="00FE1722" w14:paraId="71332B88" w14:textId="294FCA69">
      <w:pPr>
        <w:pStyle w:val="ListParagraph"/>
        <w:numPr>
          <w:ilvl w:val="0"/>
          <w:numId w:val="8"/>
        </w:numPr>
        <w:spacing w:after="240"/>
        <w:rPr>
          <w:rFonts w:ascii="Palatino Linotype" w:hAnsi="Palatino Linotype"/>
        </w:rPr>
      </w:pPr>
      <w:r w:rsidRPr="00C652CB">
        <w:rPr>
          <w:rFonts w:ascii="Palatino Linotype" w:hAnsi="Palatino Linotype"/>
        </w:rPr>
        <w:t xml:space="preserve">Number of </w:t>
      </w:r>
      <w:r w:rsidRPr="00C652CB" w:rsidR="00CD2D68">
        <w:rPr>
          <w:rFonts w:ascii="Palatino Linotype" w:hAnsi="Palatino Linotype"/>
        </w:rPr>
        <w:t>t</w:t>
      </w:r>
      <w:r w:rsidRPr="00C652CB">
        <w:rPr>
          <w:rFonts w:ascii="Palatino Linotype" w:hAnsi="Palatino Linotype"/>
        </w:rPr>
        <w:t>rips.</w:t>
      </w:r>
    </w:p>
    <w:p w:rsidRPr="00C652CB" w:rsidR="00FE1722" w:rsidP="00FE1722" w:rsidRDefault="00FE1722" w14:paraId="5319E87B" w14:textId="77777777">
      <w:pPr>
        <w:pStyle w:val="ListParagraph"/>
        <w:numPr>
          <w:ilvl w:val="0"/>
          <w:numId w:val="8"/>
        </w:numPr>
        <w:spacing w:after="240"/>
        <w:rPr>
          <w:rFonts w:ascii="Palatino Linotype" w:hAnsi="Palatino Linotype"/>
        </w:rPr>
      </w:pPr>
      <w:r w:rsidRPr="00C652CB">
        <w:rPr>
          <w:rFonts w:ascii="Palatino Linotype" w:hAnsi="Palatino Linotype"/>
        </w:rPr>
        <w:t xml:space="preserve">Estimated percentage of drivers transitioning to ZEV </w:t>
      </w:r>
      <w:proofErr w:type="gramStart"/>
      <w:r w:rsidRPr="00C652CB">
        <w:rPr>
          <w:rFonts w:ascii="Palatino Linotype" w:hAnsi="Palatino Linotype"/>
        </w:rPr>
        <w:t>in a given year</w:t>
      </w:r>
      <w:proofErr w:type="gramEnd"/>
      <w:r w:rsidRPr="00C652CB">
        <w:rPr>
          <w:rFonts w:ascii="Palatino Linotype" w:hAnsi="Palatino Linotype"/>
        </w:rPr>
        <w:t xml:space="preserve"> to meet CARB target.</w:t>
      </w:r>
    </w:p>
    <w:p w:rsidRPr="00C652CB" w:rsidR="00FE1722" w:rsidP="00FE1722" w:rsidRDefault="00FE1722" w14:paraId="23F89C10" w14:textId="77777777">
      <w:pPr>
        <w:pStyle w:val="ListParagraph"/>
        <w:numPr>
          <w:ilvl w:val="0"/>
          <w:numId w:val="8"/>
        </w:numPr>
        <w:spacing w:after="240"/>
        <w:rPr>
          <w:rFonts w:ascii="Palatino Linotype" w:hAnsi="Palatino Linotype"/>
        </w:rPr>
      </w:pPr>
      <w:proofErr w:type="gramStart"/>
      <w:r w:rsidRPr="00C652CB">
        <w:rPr>
          <w:rFonts w:ascii="Palatino Linotype" w:hAnsi="Palatino Linotype"/>
        </w:rPr>
        <w:t>Estimated</w:t>
      </w:r>
      <w:proofErr w:type="gramEnd"/>
      <w:r w:rsidRPr="00C652CB">
        <w:rPr>
          <w:rFonts w:ascii="Palatino Linotype" w:hAnsi="Palatino Linotype"/>
        </w:rPr>
        <w:t xml:space="preserve"> percentage of drivers transitioning to ZEV who will access upfront incentives.</w:t>
      </w:r>
    </w:p>
    <w:p w:rsidRPr="00C652CB" w:rsidR="00FE1722" w:rsidP="00FE1722" w:rsidRDefault="00FE1722" w14:paraId="1387E270" w14:textId="77777777">
      <w:pPr>
        <w:pStyle w:val="ListParagraph"/>
        <w:numPr>
          <w:ilvl w:val="0"/>
          <w:numId w:val="8"/>
        </w:numPr>
        <w:spacing w:after="240"/>
        <w:rPr>
          <w:rFonts w:ascii="Palatino Linotype" w:hAnsi="Palatino Linotype"/>
        </w:rPr>
      </w:pPr>
      <w:proofErr w:type="gramStart"/>
      <w:r w:rsidRPr="00C652CB">
        <w:rPr>
          <w:rFonts w:ascii="Palatino Linotype" w:hAnsi="Palatino Linotype"/>
        </w:rPr>
        <w:t>Estimated</w:t>
      </w:r>
      <w:proofErr w:type="gramEnd"/>
      <w:r w:rsidRPr="00C652CB">
        <w:rPr>
          <w:rFonts w:ascii="Palatino Linotype" w:hAnsi="Palatino Linotype"/>
        </w:rPr>
        <w:t xml:space="preserve"> percentage of drivers transitioning and receive the upfront incentives who will access ongoing incentives.</w:t>
      </w:r>
    </w:p>
    <w:p w:rsidRPr="00C652CB" w:rsidR="00FE1722" w:rsidP="00FE1722" w:rsidRDefault="00FE1722" w14:paraId="5F06A73F" w14:textId="77777777">
      <w:pPr>
        <w:pStyle w:val="ListParagraph"/>
        <w:numPr>
          <w:ilvl w:val="0"/>
          <w:numId w:val="8"/>
        </w:numPr>
        <w:spacing w:after="240"/>
        <w:rPr>
          <w:rFonts w:ascii="Palatino Linotype" w:hAnsi="Palatino Linotype"/>
        </w:rPr>
      </w:pPr>
      <w:r w:rsidRPr="00C652CB">
        <w:rPr>
          <w:rFonts w:ascii="Palatino Linotype" w:hAnsi="Palatino Linotype"/>
        </w:rPr>
        <w:t>Proposed driver trip eligibility threshold to receive the CMS incentive.</w:t>
      </w:r>
    </w:p>
    <w:p w:rsidRPr="00C652CB" w:rsidR="00FE1722" w:rsidP="00AC77D3" w:rsidRDefault="00FE1722" w14:paraId="1D4AFD72" w14:textId="076E8C81">
      <w:pPr>
        <w:spacing w:after="240" w:line="276" w:lineRule="auto"/>
        <w:rPr>
          <w:rFonts w:ascii="Palatino Linotype" w:hAnsi="Palatino Linotype"/>
          <w:sz w:val="24"/>
          <w:szCs w:val="24"/>
        </w:rPr>
      </w:pPr>
      <w:r w:rsidRPr="3E8D698D">
        <w:rPr>
          <w:rFonts w:ascii="Palatino Linotype" w:hAnsi="Palatino Linotype"/>
          <w:sz w:val="24"/>
          <w:szCs w:val="24"/>
        </w:rPr>
        <w:t xml:space="preserve">CMS Regulated Entities HopSkipDrive, Lyft, and Uber each submitted data with projections </w:t>
      </w:r>
      <w:r w:rsidRPr="3E8D698D" w:rsidR="00D46555">
        <w:rPr>
          <w:rFonts w:ascii="Palatino Linotype" w:hAnsi="Palatino Linotype"/>
          <w:sz w:val="24"/>
          <w:szCs w:val="24"/>
        </w:rPr>
        <w:t>based</w:t>
      </w:r>
      <w:r w:rsidRPr="3E8D698D">
        <w:rPr>
          <w:rFonts w:ascii="Palatino Linotype" w:hAnsi="Palatino Linotype"/>
          <w:sz w:val="24"/>
          <w:szCs w:val="24"/>
        </w:rPr>
        <w:t xml:space="preserve"> on company or statewide data, which </w:t>
      </w:r>
      <w:r w:rsidRPr="3E8D698D" w:rsidR="00AD3354">
        <w:rPr>
          <w:rFonts w:ascii="Palatino Linotype" w:hAnsi="Palatino Linotype"/>
          <w:sz w:val="24"/>
          <w:szCs w:val="24"/>
        </w:rPr>
        <w:t>CPED</w:t>
      </w:r>
      <w:r w:rsidRPr="3E8D698D">
        <w:rPr>
          <w:rFonts w:ascii="Palatino Linotype" w:hAnsi="Palatino Linotype"/>
          <w:sz w:val="24"/>
          <w:szCs w:val="24"/>
        </w:rPr>
        <w:t xml:space="preserve"> used to calculate the </w:t>
      </w:r>
      <w:r w:rsidR="00265CCB">
        <w:rPr>
          <w:rFonts w:ascii="Palatino Linotype" w:hAnsi="Palatino Linotype"/>
          <w:sz w:val="24"/>
          <w:szCs w:val="24"/>
        </w:rPr>
        <w:t xml:space="preserve">Total Program Budget and </w:t>
      </w:r>
      <w:r w:rsidRPr="3E8D698D">
        <w:rPr>
          <w:rFonts w:ascii="Palatino Linotype" w:hAnsi="Palatino Linotype"/>
          <w:sz w:val="24"/>
          <w:szCs w:val="24"/>
        </w:rPr>
        <w:t xml:space="preserve">CMS Regulatory Fee. </w:t>
      </w:r>
      <w:r w:rsidRPr="3E8D698D" w:rsidR="00AD3354">
        <w:rPr>
          <w:rFonts w:ascii="Palatino Linotype" w:hAnsi="Palatino Linotype"/>
          <w:sz w:val="24"/>
          <w:szCs w:val="24"/>
        </w:rPr>
        <w:t>CPED</w:t>
      </w:r>
      <w:r w:rsidRPr="3E8D698D">
        <w:rPr>
          <w:rFonts w:ascii="Palatino Linotype" w:hAnsi="Palatino Linotype"/>
          <w:sz w:val="24"/>
          <w:szCs w:val="24"/>
        </w:rPr>
        <w:t xml:space="preserve"> followed the guidance in Attachment D in the CMS Phase 1 Decision with additional assumptions for the years 2024 and 2025</w:t>
      </w:r>
      <w:r w:rsidRPr="3E8D698D" w:rsidR="4AC23BBA">
        <w:rPr>
          <w:rFonts w:ascii="Palatino Linotype" w:hAnsi="Palatino Linotype"/>
          <w:sz w:val="24"/>
          <w:szCs w:val="24"/>
        </w:rPr>
        <w:t>,</w:t>
      </w:r>
      <w:r w:rsidRPr="3E8D698D">
        <w:rPr>
          <w:rFonts w:ascii="Palatino Linotype" w:hAnsi="Palatino Linotype"/>
          <w:sz w:val="24"/>
          <w:szCs w:val="24"/>
        </w:rPr>
        <w:t xml:space="preserve"> as follows in Table </w:t>
      </w:r>
      <w:r w:rsidR="000E4B4E">
        <w:rPr>
          <w:rFonts w:ascii="Palatino Linotype" w:hAnsi="Palatino Linotype"/>
          <w:sz w:val="24"/>
          <w:szCs w:val="24"/>
        </w:rPr>
        <w:t>1.</w:t>
      </w:r>
    </w:p>
    <w:p w:rsidRPr="00C652CB" w:rsidR="00FE1722" w:rsidP="00FE1722" w:rsidRDefault="00FE1722" w14:paraId="60E9C4EB" w14:textId="309BE8F1">
      <w:pPr>
        <w:keepNext/>
        <w:spacing w:after="240"/>
        <w:rPr>
          <w:rFonts w:ascii="Palatino Linotype" w:hAnsi="Palatino Linotype"/>
          <w:sz w:val="24"/>
          <w:szCs w:val="24"/>
        </w:rPr>
      </w:pPr>
      <w:r w:rsidRPr="00C652CB">
        <w:rPr>
          <w:rFonts w:ascii="Palatino Linotype" w:hAnsi="Palatino Linotype"/>
          <w:sz w:val="24"/>
          <w:szCs w:val="24"/>
        </w:rPr>
        <w:lastRenderedPageBreak/>
        <w:t xml:space="preserve">Table </w:t>
      </w:r>
      <w:r w:rsidR="000E4B4E">
        <w:rPr>
          <w:rFonts w:ascii="Palatino Linotype" w:hAnsi="Palatino Linotype"/>
          <w:sz w:val="24"/>
          <w:szCs w:val="24"/>
        </w:rPr>
        <w:t>1</w:t>
      </w:r>
      <w:r w:rsidRPr="00C652CB">
        <w:rPr>
          <w:rFonts w:ascii="Palatino Linotype" w:hAnsi="Palatino Linotype"/>
          <w:sz w:val="24"/>
          <w:szCs w:val="24"/>
        </w:rPr>
        <w:t xml:space="preserve">: Assumptions from D.24-03-001 Attachment D to set </w:t>
      </w:r>
      <w:r w:rsidR="00265CCB">
        <w:rPr>
          <w:rFonts w:ascii="Palatino Linotype" w:hAnsi="Palatino Linotype"/>
          <w:sz w:val="24"/>
          <w:szCs w:val="24"/>
        </w:rPr>
        <w:t xml:space="preserve">the Total Program Budget and </w:t>
      </w:r>
      <w:r w:rsidRPr="00C652CB">
        <w:rPr>
          <w:rFonts w:ascii="Palatino Linotype" w:hAnsi="Palatino Linotype"/>
          <w:sz w:val="24"/>
          <w:szCs w:val="24"/>
        </w:rPr>
        <w:t>CMS Regulatory Fee</w:t>
      </w:r>
    </w:p>
    <w:tbl>
      <w:tblPr>
        <w:tblStyle w:val="TableGrid"/>
        <w:tblW w:w="0" w:type="auto"/>
        <w:tblLook w:val="04A0" w:firstRow="1" w:lastRow="0" w:firstColumn="1" w:lastColumn="0" w:noHBand="0" w:noVBand="1"/>
      </w:tblPr>
      <w:tblGrid>
        <w:gridCol w:w="1975"/>
        <w:gridCol w:w="1980"/>
        <w:gridCol w:w="1890"/>
        <w:gridCol w:w="3505"/>
      </w:tblGrid>
      <w:tr w:rsidRPr="00C652CB" w:rsidR="00FE1722" w:rsidTr="3E8D698D" w14:paraId="5A39939A" w14:textId="77777777">
        <w:tc>
          <w:tcPr>
            <w:tcW w:w="1975" w:type="dxa"/>
          </w:tcPr>
          <w:p w:rsidRPr="00C652CB" w:rsidR="00FE1722" w:rsidRDefault="00FE1722" w14:paraId="033468A8" w14:textId="77777777">
            <w:pPr>
              <w:keepNext/>
              <w:spacing w:after="240"/>
              <w:rPr>
                <w:rFonts w:ascii="Palatino Linotype" w:hAnsi="Palatino Linotype"/>
                <w:sz w:val="22"/>
                <w:szCs w:val="22"/>
              </w:rPr>
            </w:pPr>
          </w:p>
        </w:tc>
        <w:tc>
          <w:tcPr>
            <w:tcW w:w="1980" w:type="dxa"/>
          </w:tcPr>
          <w:p w:rsidRPr="00C652CB" w:rsidR="00FE1722" w:rsidRDefault="00FE1722" w14:paraId="0C9F9D1F" w14:textId="77777777">
            <w:pPr>
              <w:keepNext/>
              <w:spacing w:after="240"/>
              <w:jc w:val="center"/>
              <w:rPr>
                <w:rFonts w:ascii="Palatino Linotype" w:hAnsi="Palatino Linotype"/>
                <w:b/>
                <w:bCs/>
                <w:sz w:val="22"/>
                <w:szCs w:val="22"/>
              </w:rPr>
            </w:pPr>
            <w:r w:rsidRPr="00C652CB">
              <w:rPr>
                <w:rFonts w:ascii="Palatino Linotype" w:hAnsi="Palatino Linotype"/>
                <w:b/>
                <w:bCs/>
                <w:sz w:val="22"/>
                <w:szCs w:val="22"/>
              </w:rPr>
              <w:t>2024</w:t>
            </w:r>
          </w:p>
        </w:tc>
        <w:tc>
          <w:tcPr>
            <w:tcW w:w="1890" w:type="dxa"/>
          </w:tcPr>
          <w:p w:rsidRPr="00C652CB" w:rsidR="00FE1722" w:rsidRDefault="00FE1722" w14:paraId="625B688E" w14:textId="77777777">
            <w:pPr>
              <w:keepNext/>
              <w:spacing w:after="240"/>
              <w:jc w:val="center"/>
              <w:rPr>
                <w:rFonts w:ascii="Palatino Linotype" w:hAnsi="Palatino Linotype"/>
                <w:b/>
                <w:bCs/>
                <w:sz w:val="22"/>
                <w:szCs w:val="22"/>
              </w:rPr>
            </w:pPr>
            <w:r w:rsidRPr="00C652CB">
              <w:rPr>
                <w:rFonts w:ascii="Palatino Linotype" w:hAnsi="Palatino Linotype"/>
                <w:b/>
                <w:bCs/>
                <w:sz w:val="22"/>
                <w:szCs w:val="22"/>
              </w:rPr>
              <w:t>2025</w:t>
            </w:r>
          </w:p>
        </w:tc>
        <w:tc>
          <w:tcPr>
            <w:tcW w:w="3505" w:type="dxa"/>
          </w:tcPr>
          <w:p w:rsidRPr="00C652CB" w:rsidR="00FE1722" w:rsidRDefault="00FE1722" w14:paraId="67C70C8E" w14:textId="77777777">
            <w:pPr>
              <w:keepNext/>
              <w:spacing w:after="240"/>
              <w:rPr>
                <w:rFonts w:ascii="Palatino Linotype" w:hAnsi="Palatino Linotype"/>
                <w:b/>
                <w:bCs/>
                <w:sz w:val="22"/>
                <w:szCs w:val="22"/>
              </w:rPr>
            </w:pPr>
            <w:r w:rsidRPr="00C652CB">
              <w:rPr>
                <w:rFonts w:ascii="Palatino Linotype" w:hAnsi="Palatino Linotype"/>
                <w:b/>
                <w:bCs/>
                <w:sz w:val="22"/>
                <w:szCs w:val="22"/>
              </w:rPr>
              <w:t>Notes</w:t>
            </w:r>
          </w:p>
        </w:tc>
      </w:tr>
      <w:tr w:rsidRPr="00C652CB" w:rsidR="00FE1722" w:rsidTr="3E8D698D" w14:paraId="2E4AE51D" w14:textId="77777777">
        <w:tc>
          <w:tcPr>
            <w:tcW w:w="1975" w:type="dxa"/>
          </w:tcPr>
          <w:p w:rsidRPr="00C652CB" w:rsidR="00FE1722" w:rsidRDefault="00FE1722" w14:paraId="6DE069FD" w14:textId="77777777">
            <w:pPr>
              <w:keepNext/>
              <w:spacing w:after="240"/>
              <w:rPr>
                <w:rFonts w:ascii="Palatino Linotype" w:hAnsi="Palatino Linotype"/>
                <w:b/>
                <w:bCs/>
                <w:sz w:val="22"/>
                <w:szCs w:val="22"/>
              </w:rPr>
            </w:pPr>
            <w:r w:rsidRPr="00C652CB">
              <w:rPr>
                <w:rFonts w:ascii="Palatino Linotype" w:hAnsi="Palatino Linotype"/>
                <w:b/>
                <w:bCs/>
                <w:sz w:val="22"/>
                <w:szCs w:val="22"/>
              </w:rPr>
              <w:t>Number of Drivers</w:t>
            </w:r>
          </w:p>
        </w:tc>
        <w:tc>
          <w:tcPr>
            <w:tcW w:w="1980" w:type="dxa"/>
            <w:vMerge w:val="restart"/>
          </w:tcPr>
          <w:p w:rsidRPr="00C652CB" w:rsidR="00FE1722" w:rsidRDefault="00FE1722" w14:paraId="554EF017" w14:textId="78080909">
            <w:pPr>
              <w:keepNext/>
              <w:spacing w:after="240"/>
              <w:jc w:val="center"/>
              <w:rPr>
                <w:rFonts w:ascii="Palatino Linotype" w:hAnsi="Palatino Linotype"/>
                <w:sz w:val="22"/>
                <w:szCs w:val="22"/>
              </w:rPr>
            </w:pPr>
            <w:r w:rsidRPr="3E8D698D">
              <w:rPr>
                <w:rFonts w:ascii="Palatino Linotype" w:hAnsi="Palatino Linotype"/>
                <w:sz w:val="22"/>
                <w:szCs w:val="22"/>
              </w:rPr>
              <w:t xml:space="preserve">2024 data not considered as the Drivers Assistance Program </w:t>
            </w:r>
            <w:r w:rsidRPr="3E8D698D" w:rsidR="511C8D2A">
              <w:rPr>
                <w:rFonts w:ascii="Palatino Linotype" w:hAnsi="Palatino Linotype"/>
                <w:sz w:val="22"/>
                <w:szCs w:val="22"/>
              </w:rPr>
              <w:t xml:space="preserve">was </w:t>
            </w:r>
            <w:r w:rsidRPr="3E8D698D">
              <w:rPr>
                <w:rFonts w:ascii="Palatino Linotype" w:hAnsi="Palatino Linotype"/>
                <w:sz w:val="22"/>
                <w:szCs w:val="22"/>
              </w:rPr>
              <w:t xml:space="preserve">not established </w:t>
            </w:r>
            <w:r w:rsidRPr="3E8D698D" w:rsidR="1B1859F6">
              <w:rPr>
                <w:rFonts w:ascii="Palatino Linotype" w:hAnsi="Palatino Linotype"/>
                <w:sz w:val="22"/>
                <w:szCs w:val="22"/>
              </w:rPr>
              <w:t xml:space="preserve">in 2024 </w:t>
            </w:r>
            <w:r w:rsidRPr="3E8D698D">
              <w:rPr>
                <w:rFonts w:ascii="Palatino Linotype" w:hAnsi="Palatino Linotype"/>
                <w:sz w:val="22"/>
                <w:szCs w:val="22"/>
              </w:rPr>
              <w:t>and the CMS Regulatory Fee w</w:t>
            </w:r>
            <w:r w:rsidRPr="3E8D698D" w:rsidR="00272673">
              <w:rPr>
                <w:rFonts w:ascii="Palatino Linotype" w:hAnsi="Palatino Linotype"/>
                <w:sz w:val="22"/>
                <w:szCs w:val="22"/>
              </w:rPr>
              <w:t>as</w:t>
            </w:r>
            <w:r w:rsidRPr="3E8D698D">
              <w:rPr>
                <w:rFonts w:ascii="Palatino Linotype" w:hAnsi="Palatino Linotype"/>
                <w:sz w:val="22"/>
                <w:szCs w:val="22"/>
              </w:rPr>
              <w:t xml:space="preserve"> </w:t>
            </w:r>
            <w:r w:rsidRPr="3E8D698D" w:rsidR="0B6DC503">
              <w:rPr>
                <w:rFonts w:ascii="Palatino Linotype" w:hAnsi="Palatino Linotype"/>
                <w:sz w:val="22"/>
                <w:szCs w:val="22"/>
              </w:rPr>
              <w:t>not collected in</w:t>
            </w:r>
            <w:r w:rsidRPr="3E8D698D">
              <w:rPr>
                <w:rFonts w:ascii="Palatino Linotype" w:hAnsi="Palatino Linotype"/>
                <w:sz w:val="22"/>
                <w:szCs w:val="22"/>
              </w:rPr>
              <w:t xml:space="preserve"> 2024. Any costs from 2024 will roll into the 2025 calculation.</w:t>
            </w:r>
          </w:p>
        </w:tc>
        <w:tc>
          <w:tcPr>
            <w:tcW w:w="1890" w:type="dxa"/>
          </w:tcPr>
          <w:p w:rsidRPr="00C652CB" w:rsidR="00FE1722" w:rsidRDefault="00322826" w14:paraId="505D92D2" w14:textId="77477A0F">
            <w:pPr>
              <w:keepNext/>
              <w:spacing w:after="240"/>
              <w:jc w:val="center"/>
              <w:rPr>
                <w:rFonts w:ascii="Palatino Linotype" w:hAnsi="Palatino Linotype"/>
                <w:sz w:val="22"/>
                <w:szCs w:val="22"/>
              </w:rPr>
            </w:pPr>
            <w:r>
              <w:rPr>
                <w:rFonts w:ascii="Palatino Linotype" w:hAnsi="Palatino Linotype"/>
                <w:sz w:val="22"/>
                <w:szCs w:val="22"/>
              </w:rPr>
              <w:t>387,130</w:t>
            </w:r>
          </w:p>
        </w:tc>
        <w:tc>
          <w:tcPr>
            <w:tcW w:w="3505" w:type="dxa"/>
          </w:tcPr>
          <w:p w:rsidRPr="00C652CB" w:rsidR="00FE1722" w:rsidRDefault="00FE1722" w14:paraId="30D674C8" w14:textId="3BD1A3E1">
            <w:pPr>
              <w:keepNext/>
              <w:spacing w:after="240"/>
              <w:rPr>
                <w:rFonts w:ascii="Palatino Linotype" w:hAnsi="Palatino Linotype"/>
                <w:sz w:val="22"/>
                <w:szCs w:val="22"/>
              </w:rPr>
            </w:pPr>
            <w:proofErr w:type="gramStart"/>
            <w:r w:rsidRPr="00C652CB">
              <w:rPr>
                <w:rFonts w:ascii="Palatino Linotype" w:hAnsi="Palatino Linotype"/>
                <w:sz w:val="22"/>
                <w:szCs w:val="22"/>
              </w:rPr>
              <w:t>Sum for</w:t>
            </w:r>
            <w:proofErr w:type="gramEnd"/>
            <w:r w:rsidRPr="00C652CB">
              <w:rPr>
                <w:rFonts w:ascii="Palatino Linotype" w:hAnsi="Palatino Linotype"/>
                <w:sz w:val="22"/>
                <w:szCs w:val="22"/>
              </w:rPr>
              <w:t xml:space="preserve"> all CMS Regulated Entities submitting </w:t>
            </w:r>
            <w:r w:rsidRPr="00C652CB" w:rsidR="00413A6F">
              <w:rPr>
                <w:rFonts w:ascii="Palatino Linotype" w:hAnsi="Palatino Linotype"/>
                <w:sz w:val="22"/>
                <w:szCs w:val="22"/>
              </w:rPr>
              <w:t>I</w:t>
            </w:r>
            <w:r w:rsidRPr="00C652CB">
              <w:rPr>
                <w:rFonts w:ascii="Palatino Linotype" w:hAnsi="Palatino Linotype"/>
                <w:sz w:val="22"/>
                <w:szCs w:val="22"/>
              </w:rPr>
              <w:t>nterim GHG Plans</w:t>
            </w:r>
            <w:r w:rsidR="00B934EE">
              <w:rPr>
                <w:rFonts w:ascii="Palatino Linotype" w:hAnsi="Palatino Linotype"/>
                <w:sz w:val="22"/>
                <w:szCs w:val="22"/>
              </w:rPr>
              <w:t xml:space="preserve"> and multiply by 0.8 to account for multi-platform driving</w:t>
            </w:r>
            <w:r w:rsidRPr="00C652CB">
              <w:rPr>
                <w:rFonts w:ascii="Palatino Linotype" w:hAnsi="Palatino Linotype"/>
                <w:sz w:val="22"/>
                <w:szCs w:val="22"/>
              </w:rPr>
              <w:t>.</w:t>
            </w:r>
          </w:p>
        </w:tc>
      </w:tr>
      <w:tr w:rsidRPr="00C652CB" w:rsidR="00FE1722" w:rsidTr="3E8D698D" w14:paraId="726CCA5B" w14:textId="77777777">
        <w:tc>
          <w:tcPr>
            <w:tcW w:w="1975" w:type="dxa"/>
          </w:tcPr>
          <w:p w:rsidRPr="00C652CB" w:rsidR="00FE1722" w:rsidRDefault="00FE1722" w14:paraId="0A4455D1" w14:textId="77777777">
            <w:pPr>
              <w:keepNext/>
              <w:spacing w:after="240"/>
              <w:rPr>
                <w:rFonts w:ascii="Palatino Linotype" w:hAnsi="Palatino Linotype"/>
                <w:b/>
                <w:bCs/>
                <w:sz w:val="22"/>
                <w:szCs w:val="22"/>
              </w:rPr>
            </w:pPr>
            <w:r w:rsidRPr="00C652CB">
              <w:rPr>
                <w:rFonts w:ascii="Palatino Linotype" w:hAnsi="Palatino Linotype"/>
                <w:b/>
                <w:bCs/>
                <w:sz w:val="22"/>
                <w:szCs w:val="22"/>
              </w:rPr>
              <w:t>Number of Trips</w:t>
            </w:r>
          </w:p>
        </w:tc>
        <w:tc>
          <w:tcPr>
            <w:tcW w:w="1980" w:type="dxa"/>
            <w:vMerge/>
          </w:tcPr>
          <w:p w:rsidRPr="00C652CB" w:rsidR="00FE1722" w:rsidRDefault="00FE1722" w14:paraId="7A9CE2F4" w14:textId="77777777">
            <w:pPr>
              <w:keepNext/>
              <w:spacing w:after="240"/>
              <w:jc w:val="center"/>
              <w:rPr>
                <w:rFonts w:ascii="Palatino Linotype" w:hAnsi="Palatino Linotype"/>
                <w:sz w:val="22"/>
                <w:szCs w:val="22"/>
              </w:rPr>
            </w:pPr>
          </w:p>
        </w:tc>
        <w:tc>
          <w:tcPr>
            <w:tcW w:w="1890" w:type="dxa"/>
          </w:tcPr>
          <w:p w:rsidRPr="00C652CB" w:rsidR="00FE1722" w:rsidRDefault="00FE1722" w14:paraId="6FBB9509" w14:textId="77777777">
            <w:pPr>
              <w:keepNext/>
              <w:spacing w:after="240"/>
              <w:jc w:val="center"/>
              <w:rPr>
                <w:rFonts w:ascii="Palatino Linotype" w:hAnsi="Palatino Linotype"/>
                <w:sz w:val="22"/>
                <w:szCs w:val="22"/>
              </w:rPr>
            </w:pPr>
            <w:r w:rsidRPr="00C652CB">
              <w:rPr>
                <w:rFonts w:ascii="Palatino Linotype" w:hAnsi="Palatino Linotype"/>
                <w:sz w:val="22"/>
                <w:szCs w:val="22"/>
              </w:rPr>
              <w:t>320,718,050</w:t>
            </w:r>
          </w:p>
        </w:tc>
        <w:tc>
          <w:tcPr>
            <w:tcW w:w="3505" w:type="dxa"/>
          </w:tcPr>
          <w:p w:rsidRPr="00C652CB" w:rsidR="00FE1722" w:rsidRDefault="00FE1722" w14:paraId="0A5177C7" w14:textId="3B6AF338">
            <w:pPr>
              <w:keepNext/>
              <w:spacing w:after="240"/>
              <w:rPr>
                <w:rFonts w:ascii="Palatino Linotype" w:hAnsi="Palatino Linotype"/>
                <w:sz w:val="22"/>
                <w:szCs w:val="22"/>
              </w:rPr>
            </w:pPr>
            <w:proofErr w:type="gramStart"/>
            <w:r w:rsidRPr="00C652CB">
              <w:rPr>
                <w:rFonts w:ascii="Palatino Linotype" w:hAnsi="Palatino Linotype"/>
                <w:sz w:val="22"/>
                <w:szCs w:val="22"/>
              </w:rPr>
              <w:t>Sum</w:t>
            </w:r>
            <w:proofErr w:type="gramEnd"/>
            <w:r w:rsidRPr="00C652CB">
              <w:rPr>
                <w:rFonts w:ascii="Palatino Linotype" w:hAnsi="Palatino Linotype"/>
                <w:sz w:val="22"/>
                <w:szCs w:val="22"/>
              </w:rPr>
              <w:t xml:space="preserve"> for all CMS Regulated Entities submitting </w:t>
            </w:r>
            <w:r w:rsidRPr="00C652CB" w:rsidR="00413A6F">
              <w:rPr>
                <w:rFonts w:ascii="Palatino Linotype" w:hAnsi="Palatino Linotype"/>
                <w:sz w:val="22"/>
                <w:szCs w:val="22"/>
              </w:rPr>
              <w:t>I</w:t>
            </w:r>
            <w:r w:rsidRPr="00C652CB">
              <w:rPr>
                <w:rFonts w:ascii="Palatino Linotype" w:hAnsi="Palatino Linotype"/>
                <w:sz w:val="22"/>
                <w:szCs w:val="22"/>
              </w:rPr>
              <w:t>nterim GHG Plans.</w:t>
            </w:r>
          </w:p>
        </w:tc>
      </w:tr>
      <w:tr w:rsidRPr="00C652CB" w:rsidR="00FE1722" w:rsidTr="3E8D698D" w14:paraId="6E3B2BD0" w14:textId="77777777">
        <w:tc>
          <w:tcPr>
            <w:tcW w:w="1975" w:type="dxa"/>
          </w:tcPr>
          <w:p w:rsidRPr="00C652CB" w:rsidR="00FE1722" w:rsidRDefault="00FE1722" w14:paraId="529C06AF" w14:textId="77777777">
            <w:pPr>
              <w:keepNext/>
              <w:spacing w:after="240"/>
              <w:rPr>
                <w:rFonts w:ascii="Palatino Linotype" w:hAnsi="Palatino Linotype"/>
                <w:b/>
                <w:bCs/>
                <w:sz w:val="22"/>
                <w:szCs w:val="22"/>
              </w:rPr>
            </w:pPr>
            <w:r w:rsidRPr="00C652CB">
              <w:rPr>
                <w:rFonts w:ascii="Palatino Linotype" w:hAnsi="Palatino Linotype"/>
                <w:b/>
                <w:bCs/>
                <w:sz w:val="22"/>
                <w:szCs w:val="22"/>
              </w:rPr>
              <w:t>Percentage of Drivers/Vehicles Transitioning</w:t>
            </w:r>
          </w:p>
        </w:tc>
        <w:tc>
          <w:tcPr>
            <w:tcW w:w="1980" w:type="dxa"/>
            <w:vMerge/>
          </w:tcPr>
          <w:p w:rsidRPr="00C652CB" w:rsidR="00FE1722" w:rsidRDefault="00FE1722" w14:paraId="46B94AB4" w14:textId="77777777">
            <w:pPr>
              <w:keepNext/>
              <w:spacing w:after="240"/>
              <w:jc w:val="center"/>
              <w:rPr>
                <w:rFonts w:ascii="Palatino Linotype" w:hAnsi="Palatino Linotype"/>
                <w:sz w:val="22"/>
                <w:szCs w:val="22"/>
              </w:rPr>
            </w:pPr>
          </w:p>
        </w:tc>
        <w:tc>
          <w:tcPr>
            <w:tcW w:w="1890" w:type="dxa"/>
          </w:tcPr>
          <w:p w:rsidRPr="00C652CB" w:rsidR="00FE1722" w:rsidRDefault="00FE1722" w14:paraId="4D73C125" w14:textId="77777777">
            <w:pPr>
              <w:keepNext/>
              <w:spacing w:after="240"/>
              <w:jc w:val="center"/>
              <w:rPr>
                <w:rFonts w:ascii="Palatino Linotype" w:hAnsi="Palatino Linotype"/>
                <w:sz w:val="22"/>
                <w:szCs w:val="22"/>
              </w:rPr>
            </w:pPr>
            <w:r w:rsidRPr="00C652CB">
              <w:rPr>
                <w:rFonts w:ascii="Palatino Linotype" w:hAnsi="Palatino Linotype"/>
                <w:sz w:val="22"/>
                <w:szCs w:val="22"/>
              </w:rPr>
              <w:t>3.5%</w:t>
            </w:r>
          </w:p>
        </w:tc>
        <w:tc>
          <w:tcPr>
            <w:tcW w:w="3505" w:type="dxa"/>
          </w:tcPr>
          <w:p w:rsidRPr="00C652CB" w:rsidR="00FE1722" w:rsidRDefault="00FE1722" w14:paraId="6CC5758A" w14:textId="00CCBFDB">
            <w:pPr>
              <w:keepNext/>
              <w:spacing w:after="240"/>
              <w:rPr>
                <w:rFonts w:ascii="Palatino Linotype" w:hAnsi="Palatino Linotype"/>
                <w:sz w:val="22"/>
                <w:szCs w:val="22"/>
              </w:rPr>
            </w:pPr>
            <w:r w:rsidRPr="00C652CB">
              <w:rPr>
                <w:rFonts w:ascii="Palatino Linotype" w:hAnsi="Palatino Linotype"/>
                <w:sz w:val="22"/>
                <w:szCs w:val="22"/>
              </w:rPr>
              <w:t xml:space="preserve">Average for all CMS Regulated Entities submitting </w:t>
            </w:r>
            <w:r w:rsidRPr="00C652CB" w:rsidR="00413A6F">
              <w:rPr>
                <w:rFonts w:ascii="Palatino Linotype" w:hAnsi="Palatino Linotype"/>
                <w:sz w:val="22"/>
                <w:szCs w:val="22"/>
              </w:rPr>
              <w:t>I</w:t>
            </w:r>
            <w:r w:rsidRPr="00C652CB">
              <w:rPr>
                <w:rFonts w:ascii="Palatino Linotype" w:hAnsi="Palatino Linotype"/>
                <w:sz w:val="22"/>
                <w:szCs w:val="22"/>
              </w:rPr>
              <w:t>nterim GHG Plans.</w:t>
            </w:r>
          </w:p>
        </w:tc>
      </w:tr>
      <w:tr w:rsidRPr="00C652CB" w:rsidR="00FE1722" w:rsidTr="3E8D698D" w14:paraId="0A2A611E" w14:textId="77777777">
        <w:tc>
          <w:tcPr>
            <w:tcW w:w="1975" w:type="dxa"/>
          </w:tcPr>
          <w:p w:rsidRPr="00C652CB" w:rsidR="00FE1722" w:rsidRDefault="00FE1722" w14:paraId="6F0CADFD" w14:textId="77777777">
            <w:pPr>
              <w:spacing w:after="240"/>
              <w:rPr>
                <w:rFonts w:ascii="Palatino Linotype" w:hAnsi="Palatino Linotype"/>
                <w:b/>
                <w:bCs/>
                <w:sz w:val="22"/>
                <w:szCs w:val="22"/>
              </w:rPr>
            </w:pPr>
            <w:r w:rsidRPr="00C652CB">
              <w:rPr>
                <w:rFonts w:ascii="Palatino Linotype" w:hAnsi="Palatino Linotype"/>
                <w:b/>
                <w:bCs/>
                <w:sz w:val="22"/>
                <w:szCs w:val="22"/>
              </w:rPr>
              <w:t>Percentage of Transitioning Drivers to Access Incentive</w:t>
            </w:r>
          </w:p>
        </w:tc>
        <w:tc>
          <w:tcPr>
            <w:tcW w:w="1980" w:type="dxa"/>
            <w:vMerge/>
          </w:tcPr>
          <w:p w:rsidRPr="00C652CB" w:rsidR="00FE1722" w:rsidRDefault="00FE1722" w14:paraId="547BC49C" w14:textId="77777777">
            <w:pPr>
              <w:spacing w:after="240"/>
              <w:jc w:val="center"/>
              <w:rPr>
                <w:rFonts w:ascii="Palatino Linotype" w:hAnsi="Palatino Linotype"/>
                <w:sz w:val="22"/>
                <w:szCs w:val="22"/>
              </w:rPr>
            </w:pPr>
          </w:p>
        </w:tc>
        <w:tc>
          <w:tcPr>
            <w:tcW w:w="1890" w:type="dxa"/>
          </w:tcPr>
          <w:p w:rsidRPr="00C652CB" w:rsidR="00FE1722" w:rsidRDefault="00FE1722" w14:paraId="2B327EB2" w14:textId="77777777">
            <w:pPr>
              <w:spacing w:after="240"/>
              <w:jc w:val="center"/>
              <w:rPr>
                <w:rFonts w:ascii="Palatino Linotype" w:hAnsi="Palatino Linotype"/>
                <w:sz w:val="22"/>
                <w:szCs w:val="22"/>
              </w:rPr>
            </w:pPr>
            <w:r w:rsidRPr="00C652CB">
              <w:rPr>
                <w:rFonts w:ascii="Palatino Linotype" w:hAnsi="Palatino Linotype"/>
                <w:sz w:val="22"/>
                <w:szCs w:val="22"/>
              </w:rPr>
              <w:t>0.66%</w:t>
            </w:r>
          </w:p>
        </w:tc>
        <w:tc>
          <w:tcPr>
            <w:tcW w:w="3505" w:type="dxa"/>
          </w:tcPr>
          <w:p w:rsidRPr="00C652CB" w:rsidR="00FE1722" w:rsidRDefault="00FE1722" w14:paraId="4B334D54" w14:textId="0742B123">
            <w:pPr>
              <w:spacing w:after="240"/>
              <w:rPr>
                <w:rFonts w:ascii="Palatino Linotype" w:hAnsi="Palatino Linotype"/>
                <w:sz w:val="22"/>
                <w:szCs w:val="22"/>
              </w:rPr>
            </w:pPr>
            <w:r w:rsidRPr="00C652CB">
              <w:rPr>
                <w:rFonts w:ascii="Palatino Linotype" w:hAnsi="Palatino Linotype"/>
                <w:sz w:val="22"/>
                <w:szCs w:val="22"/>
              </w:rPr>
              <w:t xml:space="preserve">Average for all CMS Regulated Entities submitting </w:t>
            </w:r>
            <w:r w:rsidRPr="00C652CB" w:rsidR="00413A6F">
              <w:rPr>
                <w:rFonts w:ascii="Palatino Linotype" w:hAnsi="Palatino Linotype"/>
                <w:sz w:val="22"/>
                <w:szCs w:val="22"/>
              </w:rPr>
              <w:t>I</w:t>
            </w:r>
            <w:r w:rsidRPr="00C652CB">
              <w:rPr>
                <w:rFonts w:ascii="Palatino Linotype" w:hAnsi="Palatino Linotype"/>
                <w:sz w:val="22"/>
                <w:szCs w:val="22"/>
              </w:rPr>
              <w:t>nterim GHG Plans.</w:t>
            </w:r>
          </w:p>
        </w:tc>
      </w:tr>
      <w:tr w:rsidRPr="00C652CB" w:rsidR="00FE1722" w:rsidTr="3E8D698D" w14:paraId="06E7928C" w14:textId="77777777">
        <w:tc>
          <w:tcPr>
            <w:tcW w:w="1975" w:type="dxa"/>
          </w:tcPr>
          <w:p w:rsidRPr="00C652CB" w:rsidR="00FE1722" w:rsidRDefault="00FE1722" w14:paraId="16DC67F6" w14:textId="77777777">
            <w:pPr>
              <w:spacing w:after="240"/>
              <w:rPr>
                <w:rFonts w:ascii="Palatino Linotype" w:hAnsi="Palatino Linotype"/>
                <w:b/>
                <w:bCs/>
                <w:sz w:val="22"/>
                <w:szCs w:val="22"/>
              </w:rPr>
            </w:pPr>
            <w:r w:rsidRPr="00C652CB">
              <w:rPr>
                <w:rFonts w:ascii="Palatino Linotype" w:hAnsi="Palatino Linotype"/>
                <w:b/>
                <w:bCs/>
                <w:sz w:val="22"/>
                <w:szCs w:val="22"/>
              </w:rPr>
              <w:t>Percentage of Transitioned Drivers w/ Ongoing Incentive</w:t>
            </w:r>
          </w:p>
        </w:tc>
        <w:tc>
          <w:tcPr>
            <w:tcW w:w="1980" w:type="dxa"/>
            <w:vMerge/>
          </w:tcPr>
          <w:p w:rsidRPr="00C652CB" w:rsidR="00FE1722" w:rsidRDefault="00FE1722" w14:paraId="208CF45A" w14:textId="77777777">
            <w:pPr>
              <w:spacing w:after="240"/>
              <w:jc w:val="center"/>
              <w:rPr>
                <w:rFonts w:ascii="Palatino Linotype" w:hAnsi="Palatino Linotype"/>
                <w:sz w:val="22"/>
                <w:szCs w:val="22"/>
              </w:rPr>
            </w:pPr>
          </w:p>
        </w:tc>
        <w:tc>
          <w:tcPr>
            <w:tcW w:w="1890" w:type="dxa"/>
          </w:tcPr>
          <w:p w:rsidRPr="00C652CB" w:rsidR="00FE1722" w:rsidRDefault="00FE1722" w14:paraId="5A86EC12" w14:textId="77777777">
            <w:pPr>
              <w:spacing w:after="240"/>
              <w:jc w:val="center"/>
              <w:rPr>
                <w:rFonts w:ascii="Palatino Linotype" w:hAnsi="Palatino Linotype"/>
                <w:sz w:val="22"/>
                <w:szCs w:val="22"/>
              </w:rPr>
            </w:pPr>
            <w:r w:rsidRPr="00C652CB">
              <w:rPr>
                <w:rFonts w:ascii="Palatino Linotype" w:hAnsi="Palatino Linotype"/>
                <w:sz w:val="22"/>
                <w:szCs w:val="22"/>
              </w:rPr>
              <w:t>0%</w:t>
            </w:r>
          </w:p>
        </w:tc>
        <w:tc>
          <w:tcPr>
            <w:tcW w:w="3505" w:type="dxa"/>
          </w:tcPr>
          <w:p w:rsidRPr="00C652CB" w:rsidR="00FE1722" w:rsidRDefault="00FE1722" w14:paraId="051B6468" w14:textId="3889445F">
            <w:pPr>
              <w:spacing w:after="240"/>
              <w:rPr>
                <w:rFonts w:ascii="Palatino Linotype" w:hAnsi="Palatino Linotype"/>
                <w:sz w:val="22"/>
                <w:szCs w:val="22"/>
              </w:rPr>
            </w:pPr>
            <w:r w:rsidRPr="00C652CB">
              <w:rPr>
                <w:rFonts w:ascii="Palatino Linotype" w:hAnsi="Palatino Linotype"/>
                <w:sz w:val="22"/>
                <w:szCs w:val="22"/>
              </w:rPr>
              <w:t>Not applicable as no ongoing incentives will be provided.</w:t>
            </w:r>
          </w:p>
        </w:tc>
      </w:tr>
      <w:tr w:rsidRPr="00C652CB" w:rsidR="00FE1722" w:rsidTr="3E8D698D" w14:paraId="698E7744" w14:textId="77777777">
        <w:tc>
          <w:tcPr>
            <w:tcW w:w="1975" w:type="dxa"/>
          </w:tcPr>
          <w:p w:rsidRPr="00C652CB" w:rsidR="00FE1722" w:rsidRDefault="00FE1722" w14:paraId="7CEDB123" w14:textId="77777777">
            <w:pPr>
              <w:spacing w:after="240"/>
              <w:rPr>
                <w:rFonts w:ascii="Palatino Linotype" w:hAnsi="Palatino Linotype"/>
                <w:b/>
                <w:bCs/>
                <w:sz w:val="22"/>
                <w:szCs w:val="22"/>
              </w:rPr>
            </w:pPr>
            <w:r w:rsidRPr="00C652CB">
              <w:rPr>
                <w:rFonts w:ascii="Palatino Linotype" w:hAnsi="Palatino Linotype"/>
                <w:b/>
                <w:bCs/>
                <w:sz w:val="22"/>
                <w:szCs w:val="22"/>
              </w:rPr>
              <w:t>Upfront CMS Incentive</w:t>
            </w:r>
          </w:p>
        </w:tc>
        <w:tc>
          <w:tcPr>
            <w:tcW w:w="1980" w:type="dxa"/>
            <w:vMerge/>
          </w:tcPr>
          <w:p w:rsidRPr="00C652CB" w:rsidR="00FE1722" w:rsidRDefault="00FE1722" w14:paraId="45B19954" w14:textId="77777777">
            <w:pPr>
              <w:spacing w:after="240"/>
              <w:jc w:val="center"/>
              <w:rPr>
                <w:rFonts w:ascii="Palatino Linotype" w:hAnsi="Palatino Linotype"/>
                <w:sz w:val="22"/>
                <w:szCs w:val="22"/>
              </w:rPr>
            </w:pPr>
          </w:p>
        </w:tc>
        <w:tc>
          <w:tcPr>
            <w:tcW w:w="1890" w:type="dxa"/>
          </w:tcPr>
          <w:p w:rsidRPr="00C652CB" w:rsidR="00FE1722" w:rsidRDefault="00FE1722" w14:paraId="4954110B" w14:textId="77777777">
            <w:pPr>
              <w:spacing w:after="240"/>
              <w:jc w:val="center"/>
              <w:rPr>
                <w:rFonts w:ascii="Palatino Linotype" w:hAnsi="Palatino Linotype"/>
                <w:sz w:val="22"/>
                <w:szCs w:val="22"/>
              </w:rPr>
            </w:pPr>
            <w:r w:rsidRPr="00C652CB">
              <w:rPr>
                <w:rFonts w:ascii="Palatino Linotype" w:hAnsi="Palatino Linotype"/>
                <w:sz w:val="22"/>
                <w:szCs w:val="22"/>
              </w:rPr>
              <w:t>$10,400</w:t>
            </w:r>
          </w:p>
        </w:tc>
        <w:tc>
          <w:tcPr>
            <w:tcW w:w="3505" w:type="dxa"/>
          </w:tcPr>
          <w:p w:rsidRPr="00C652CB" w:rsidR="00FE1722" w:rsidRDefault="00FE1722" w14:paraId="391EB18E" w14:textId="77777777">
            <w:pPr>
              <w:spacing w:after="240"/>
              <w:rPr>
                <w:rFonts w:ascii="Palatino Linotype" w:hAnsi="Palatino Linotype"/>
                <w:sz w:val="22"/>
                <w:szCs w:val="22"/>
              </w:rPr>
            </w:pPr>
            <w:r w:rsidRPr="00C652CB">
              <w:rPr>
                <w:rFonts w:ascii="Palatino Linotype" w:hAnsi="Palatino Linotype"/>
                <w:sz w:val="22"/>
                <w:szCs w:val="22"/>
              </w:rPr>
              <w:t xml:space="preserve">Assumed </w:t>
            </w:r>
            <w:proofErr w:type="gramStart"/>
            <w:r w:rsidRPr="00C652CB">
              <w:rPr>
                <w:rFonts w:ascii="Palatino Linotype" w:hAnsi="Palatino Linotype"/>
                <w:sz w:val="22"/>
                <w:szCs w:val="22"/>
              </w:rPr>
              <w:t>per</w:t>
            </w:r>
            <w:proofErr w:type="gramEnd"/>
            <w:r w:rsidRPr="00C652CB">
              <w:rPr>
                <w:rFonts w:ascii="Palatino Linotype" w:hAnsi="Palatino Linotype"/>
                <w:sz w:val="22"/>
                <w:szCs w:val="22"/>
              </w:rPr>
              <w:t xml:space="preserve"> D.24-03-001.</w:t>
            </w:r>
          </w:p>
        </w:tc>
      </w:tr>
      <w:tr w:rsidRPr="00C652CB" w:rsidR="00FE1722" w:rsidTr="3E8D698D" w14:paraId="498912E0" w14:textId="77777777">
        <w:tc>
          <w:tcPr>
            <w:tcW w:w="1975" w:type="dxa"/>
          </w:tcPr>
          <w:p w:rsidRPr="00C652CB" w:rsidR="00FE1722" w:rsidRDefault="00FE1722" w14:paraId="19824E03" w14:textId="77777777">
            <w:pPr>
              <w:spacing w:after="240"/>
              <w:rPr>
                <w:rFonts w:ascii="Palatino Linotype" w:hAnsi="Palatino Linotype"/>
                <w:b/>
                <w:bCs/>
                <w:sz w:val="22"/>
                <w:szCs w:val="22"/>
              </w:rPr>
            </w:pPr>
            <w:r w:rsidRPr="00C652CB">
              <w:rPr>
                <w:rFonts w:ascii="Palatino Linotype" w:hAnsi="Palatino Linotype"/>
                <w:b/>
                <w:bCs/>
                <w:sz w:val="22"/>
                <w:szCs w:val="22"/>
              </w:rPr>
              <w:t>Ongoing CMS Incentive</w:t>
            </w:r>
          </w:p>
        </w:tc>
        <w:tc>
          <w:tcPr>
            <w:tcW w:w="1980" w:type="dxa"/>
            <w:vMerge/>
          </w:tcPr>
          <w:p w:rsidRPr="00C652CB" w:rsidR="00FE1722" w:rsidRDefault="00FE1722" w14:paraId="36F7888E" w14:textId="77777777">
            <w:pPr>
              <w:spacing w:after="240"/>
              <w:jc w:val="center"/>
              <w:rPr>
                <w:rFonts w:ascii="Palatino Linotype" w:hAnsi="Palatino Linotype"/>
                <w:sz w:val="22"/>
                <w:szCs w:val="22"/>
              </w:rPr>
            </w:pPr>
          </w:p>
        </w:tc>
        <w:tc>
          <w:tcPr>
            <w:tcW w:w="1890" w:type="dxa"/>
          </w:tcPr>
          <w:p w:rsidRPr="00C652CB" w:rsidR="00FE1722" w:rsidRDefault="00FE1722" w14:paraId="513E83A8" w14:textId="77777777">
            <w:pPr>
              <w:spacing w:after="240"/>
              <w:jc w:val="center"/>
              <w:rPr>
                <w:rFonts w:ascii="Palatino Linotype" w:hAnsi="Palatino Linotype"/>
                <w:sz w:val="22"/>
                <w:szCs w:val="22"/>
              </w:rPr>
            </w:pPr>
            <w:r w:rsidRPr="00C652CB">
              <w:rPr>
                <w:rFonts w:ascii="Palatino Linotype" w:hAnsi="Palatino Linotype"/>
                <w:sz w:val="22"/>
                <w:szCs w:val="22"/>
              </w:rPr>
              <w:t>$670</w:t>
            </w:r>
          </w:p>
        </w:tc>
        <w:tc>
          <w:tcPr>
            <w:tcW w:w="3505" w:type="dxa"/>
          </w:tcPr>
          <w:p w:rsidRPr="00C652CB" w:rsidR="00FE1722" w:rsidRDefault="00FE1722" w14:paraId="664D963A" w14:textId="77777777">
            <w:pPr>
              <w:spacing w:after="240"/>
              <w:rPr>
                <w:rFonts w:ascii="Palatino Linotype" w:hAnsi="Palatino Linotype"/>
                <w:sz w:val="22"/>
                <w:szCs w:val="22"/>
              </w:rPr>
            </w:pPr>
            <w:r w:rsidRPr="00C652CB">
              <w:rPr>
                <w:rFonts w:ascii="Palatino Linotype" w:hAnsi="Palatino Linotype"/>
                <w:sz w:val="22"/>
                <w:szCs w:val="22"/>
              </w:rPr>
              <w:t xml:space="preserve">Assumed </w:t>
            </w:r>
            <w:proofErr w:type="gramStart"/>
            <w:r w:rsidRPr="00C652CB">
              <w:rPr>
                <w:rFonts w:ascii="Palatino Linotype" w:hAnsi="Palatino Linotype"/>
                <w:sz w:val="22"/>
                <w:szCs w:val="22"/>
              </w:rPr>
              <w:t>per</w:t>
            </w:r>
            <w:proofErr w:type="gramEnd"/>
            <w:r w:rsidRPr="00C652CB">
              <w:rPr>
                <w:rFonts w:ascii="Palatino Linotype" w:hAnsi="Palatino Linotype"/>
                <w:sz w:val="22"/>
                <w:szCs w:val="22"/>
              </w:rPr>
              <w:t xml:space="preserve"> D.24-03-001.</w:t>
            </w:r>
          </w:p>
        </w:tc>
      </w:tr>
      <w:tr w:rsidRPr="00C652CB" w:rsidR="00FE1722" w:rsidTr="3E8D698D" w14:paraId="68431344" w14:textId="77777777">
        <w:tc>
          <w:tcPr>
            <w:tcW w:w="1975" w:type="dxa"/>
          </w:tcPr>
          <w:p w:rsidRPr="00C652CB" w:rsidR="00FE1722" w:rsidRDefault="00FE1722" w14:paraId="2AA5F31E" w14:textId="77777777">
            <w:pPr>
              <w:spacing w:after="240"/>
              <w:rPr>
                <w:rFonts w:ascii="Palatino Linotype" w:hAnsi="Palatino Linotype"/>
                <w:b/>
                <w:bCs/>
                <w:sz w:val="22"/>
                <w:szCs w:val="22"/>
              </w:rPr>
            </w:pPr>
            <w:r w:rsidRPr="00C652CB">
              <w:rPr>
                <w:rFonts w:ascii="Palatino Linotype" w:hAnsi="Palatino Linotype"/>
                <w:b/>
                <w:bCs/>
                <w:sz w:val="22"/>
                <w:szCs w:val="22"/>
              </w:rPr>
              <w:t>Evaluation and Audit Costs</w:t>
            </w:r>
          </w:p>
        </w:tc>
        <w:tc>
          <w:tcPr>
            <w:tcW w:w="1980" w:type="dxa"/>
            <w:vMerge/>
          </w:tcPr>
          <w:p w:rsidRPr="00C652CB" w:rsidR="00FE1722" w:rsidRDefault="00FE1722" w14:paraId="3B6C9446" w14:textId="77777777">
            <w:pPr>
              <w:spacing w:after="240"/>
              <w:jc w:val="center"/>
              <w:rPr>
                <w:rFonts w:ascii="Palatino Linotype" w:hAnsi="Palatino Linotype"/>
                <w:sz w:val="22"/>
                <w:szCs w:val="22"/>
              </w:rPr>
            </w:pPr>
          </w:p>
        </w:tc>
        <w:tc>
          <w:tcPr>
            <w:tcW w:w="1890" w:type="dxa"/>
          </w:tcPr>
          <w:p w:rsidRPr="00C652CB" w:rsidR="00FE1722" w:rsidRDefault="00FE1722" w14:paraId="4F811B1E" w14:textId="77777777">
            <w:pPr>
              <w:spacing w:after="240"/>
              <w:jc w:val="center"/>
              <w:rPr>
                <w:rFonts w:ascii="Palatino Linotype" w:hAnsi="Palatino Linotype"/>
                <w:sz w:val="22"/>
                <w:szCs w:val="22"/>
              </w:rPr>
            </w:pPr>
            <w:r w:rsidRPr="00C652CB">
              <w:rPr>
                <w:rFonts w:ascii="Palatino Linotype" w:hAnsi="Palatino Linotype"/>
                <w:sz w:val="22"/>
                <w:szCs w:val="22"/>
              </w:rPr>
              <w:t>$150,000</w:t>
            </w:r>
          </w:p>
        </w:tc>
        <w:tc>
          <w:tcPr>
            <w:tcW w:w="3505" w:type="dxa"/>
          </w:tcPr>
          <w:p w:rsidRPr="00C652CB" w:rsidR="00FE1722" w:rsidRDefault="00FE1722" w14:paraId="26FA3800" w14:textId="77777777">
            <w:pPr>
              <w:spacing w:after="240"/>
              <w:rPr>
                <w:rFonts w:ascii="Palatino Linotype" w:hAnsi="Palatino Linotype"/>
                <w:sz w:val="22"/>
                <w:szCs w:val="22"/>
              </w:rPr>
            </w:pPr>
            <w:r w:rsidRPr="00C652CB">
              <w:rPr>
                <w:rFonts w:ascii="Palatino Linotype" w:hAnsi="Palatino Linotype"/>
                <w:sz w:val="22"/>
                <w:szCs w:val="22"/>
              </w:rPr>
              <w:t>Funding for ¼ of the Evaluation Contractor budget.</w:t>
            </w:r>
          </w:p>
        </w:tc>
      </w:tr>
      <w:tr w:rsidRPr="00C652CB" w:rsidR="00FE1722" w:rsidTr="3E8D698D" w14:paraId="3E9BA4FB" w14:textId="77777777">
        <w:tc>
          <w:tcPr>
            <w:tcW w:w="1975" w:type="dxa"/>
          </w:tcPr>
          <w:p w:rsidRPr="00C652CB" w:rsidR="00FE1722" w:rsidRDefault="00FE1722" w14:paraId="70470B8A" w14:textId="77777777">
            <w:pPr>
              <w:spacing w:after="240"/>
              <w:rPr>
                <w:rFonts w:ascii="Palatino Linotype" w:hAnsi="Palatino Linotype"/>
                <w:b/>
                <w:bCs/>
                <w:sz w:val="22"/>
                <w:szCs w:val="22"/>
              </w:rPr>
            </w:pPr>
            <w:r w:rsidRPr="00C652CB">
              <w:rPr>
                <w:rFonts w:ascii="Palatino Linotype" w:hAnsi="Palatino Linotype"/>
                <w:b/>
                <w:bCs/>
                <w:sz w:val="22"/>
                <w:szCs w:val="22"/>
              </w:rPr>
              <w:t>Contracting Agent Costs</w:t>
            </w:r>
          </w:p>
        </w:tc>
        <w:tc>
          <w:tcPr>
            <w:tcW w:w="1980" w:type="dxa"/>
            <w:vMerge/>
          </w:tcPr>
          <w:p w:rsidRPr="00C652CB" w:rsidR="00FE1722" w:rsidRDefault="00FE1722" w14:paraId="7092A64A" w14:textId="77777777">
            <w:pPr>
              <w:spacing w:after="240"/>
              <w:jc w:val="center"/>
              <w:rPr>
                <w:rFonts w:ascii="Palatino Linotype" w:hAnsi="Palatino Linotype"/>
                <w:sz w:val="22"/>
                <w:szCs w:val="22"/>
              </w:rPr>
            </w:pPr>
          </w:p>
        </w:tc>
        <w:tc>
          <w:tcPr>
            <w:tcW w:w="1890" w:type="dxa"/>
          </w:tcPr>
          <w:p w:rsidRPr="00C652CB" w:rsidR="00FE1722" w:rsidRDefault="00FE1722" w14:paraId="45025A25" w14:textId="77777777">
            <w:pPr>
              <w:spacing w:after="240"/>
              <w:jc w:val="center"/>
              <w:rPr>
                <w:rFonts w:ascii="Palatino Linotype" w:hAnsi="Palatino Linotype"/>
                <w:sz w:val="22"/>
                <w:szCs w:val="22"/>
              </w:rPr>
            </w:pPr>
            <w:r w:rsidRPr="00C652CB">
              <w:rPr>
                <w:rFonts w:ascii="Palatino Linotype" w:hAnsi="Palatino Linotype"/>
                <w:sz w:val="22"/>
                <w:szCs w:val="22"/>
              </w:rPr>
              <w:t>$150,000</w:t>
            </w:r>
          </w:p>
        </w:tc>
        <w:tc>
          <w:tcPr>
            <w:tcW w:w="3505" w:type="dxa"/>
          </w:tcPr>
          <w:p w:rsidRPr="00C652CB" w:rsidR="00FE1722" w:rsidRDefault="00FE1722" w14:paraId="064921A0" w14:textId="77777777">
            <w:pPr>
              <w:spacing w:after="240"/>
              <w:rPr>
                <w:rFonts w:ascii="Palatino Linotype" w:hAnsi="Palatino Linotype"/>
                <w:sz w:val="22"/>
                <w:szCs w:val="22"/>
              </w:rPr>
            </w:pPr>
            <w:r w:rsidRPr="00C652CB">
              <w:rPr>
                <w:rFonts w:ascii="Palatino Linotype" w:hAnsi="Palatino Linotype"/>
                <w:sz w:val="22"/>
                <w:szCs w:val="22"/>
              </w:rPr>
              <w:t>For 2024 and 2025 costs.</w:t>
            </w:r>
          </w:p>
        </w:tc>
      </w:tr>
      <w:tr w:rsidRPr="00C652CB" w:rsidR="00FE1722" w:rsidTr="3E8D698D" w14:paraId="5A05375F" w14:textId="77777777">
        <w:tc>
          <w:tcPr>
            <w:tcW w:w="1975" w:type="dxa"/>
          </w:tcPr>
          <w:p w:rsidRPr="00C652CB" w:rsidR="00FE1722" w:rsidRDefault="00FE1722" w14:paraId="74151150" w14:textId="77777777">
            <w:pPr>
              <w:spacing w:after="240"/>
              <w:rPr>
                <w:rFonts w:ascii="Palatino Linotype" w:hAnsi="Palatino Linotype"/>
                <w:b/>
                <w:bCs/>
                <w:sz w:val="22"/>
                <w:szCs w:val="22"/>
              </w:rPr>
            </w:pPr>
            <w:r w:rsidRPr="00C652CB">
              <w:rPr>
                <w:rFonts w:ascii="Palatino Linotype" w:hAnsi="Palatino Linotype"/>
                <w:b/>
                <w:bCs/>
                <w:sz w:val="22"/>
                <w:szCs w:val="22"/>
              </w:rPr>
              <w:lastRenderedPageBreak/>
              <w:t>Program Administrator Budget</w:t>
            </w:r>
          </w:p>
        </w:tc>
        <w:tc>
          <w:tcPr>
            <w:tcW w:w="1980" w:type="dxa"/>
            <w:vMerge/>
          </w:tcPr>
          <w:p w:rsidRPr="00C652CB" w:rsidR="00FE1722" w:rsidRDefault="00FE1722" w14:paraId="67462BFC" w14:textId="77777777">
            <w:pPr>
              <w:spacing w:after="240"/>
              <w:jc w:val="center"/>
              <w:rPr>
                <w:rFonts w:ascii="Palatino Linotype" w:hAnsi="Palatino Linotype"/>
                <w:sz w:val="22"/>
                <w:szCs w:val="22"/>
              </w:rPr>
            </w:pPr>
          </w:p>
        </w:tc>
        <w:tc>
          <w:tcPr>
            <w:tcW w:w="1890" w:type="dxa"/>
          </w:tcPr>
          <w:p w:rsidRPr="00C652CB" w:rsidR="00FE1722" w:rsidRDefault="00FE1722" w14:paraId="0A12618E" w14:textId="77777777">
            <w:pPr>
              <w:spacing w:after="240"/>
              <w:jc w:val="center"/>
              <w:rPr>
                <w:rFonts w:ascii="Palatino Linotype" w:hAnsi="Palatino Linotype"/>
                <w:sz w:val="22"/>
                <w:szCs w:val="22"/>
              </w:rPr>
            </w:pPr>
            <w:r w:rsidRPr="00C652CB">
              <w:rPr>
                <w:rFonts w:ascii="Palatino Linotype" w:hAnsi="Palatino Linotype"/>
                <w:sz w:val="22"/>
                <w:szCs w:val="22"/>
              </w:rPr>
              <w:t>$2,000,000</w:t>
            </w:r>
          </w:p>
        </w:tc>
        <w:tc>
          <w:tcPr>
            <w:tcW w:w="3505" w:type="dxa"/>
          </w:tcPr>
          <w:p w:rsidRPr="00C652CB" w:rsidR="00FE1722" w:rsidRDefault="00FE1722" w14:paraId="7E35337D" w14:textId="77777777">
            <w:pPr>
              <w:spacing w:after="240"/>
              <w:rPr>
                <w:rFonts w:ascii="Palatino Linotype" w:hAnsi="Palatino Linotype"/>
                <w:sz w:val="22"/>
                <w:szCs w:val="22"/>
              </w:rPr>
            </w:pPr>
            <w:r w:rsidRPr="00C652CB">
              <w:rPr>
                <w:rFonts w:ascii="Palatino Linotype" w:hAnsi="Palatino Linotype"/>
                <w:sz w:val="22"/>
                <w:szCs w:val="22"/>
              </w:rPr>
              <w:t xml:space="preserve">Assumed </w:t>
            </w:r>
            <w:proofErr w:type="gramStart"/>
            <w:r w:rsidRPr="00C652CB">
              <w:rPr>
                <w:rFonts w:ascii="Palatino Linotype" w:hAnsi="Palatino Linotype"/>
                <w:sz w:val="22"/>
                <w:szCs w:val="22"/>
              </w:rPr>
              <w:t>per</w:t>
            </w:r>
            <w:proofErr w:type="gramEnd"/>
            <w:r w:rsidRPr="00C652CB">
              <w:rPr>
                <w:rFonts w:ascii="Palatino Linotype" w:hAnsi="Palatino Linotype"/>
                <w:sz w:val="22"/>
                <w:szCs w:val="22"/>
              </w:rPr>
              <w:t xml:space="preserve"> D.24-03-001.</w:t>
            </w:r>
          </w:p>
        </w:tc>
      </w:tr>
    </w:tbl>
    <w:p w:rsidRPr="00C652CB" w:rsidR="00FE1722" w:rsidP="00FE1722" w:rsidRDefault="00FE1722" w14:paraId="152A262F" w14:textId="77777777">
      <w:pPr>
        <w:spacing w:after="240"/>
        <w:rPr>
          <w:rFonts w:ascii="Palatino Linotype" w:hAnsi="Palatino Linotype"/>
          <w:sz w:val="24"/>
          <w:szCs w:val="24"/>
        </w:rPr>
      </w:pPr>
    </w:p>
    <w:p w:rsidRPr="00C652CB" w:rsidR="00FE1722" w:rsidP="00AC77D3" w:rsidRDefault="00FE1722" w14:paraId="0D07976B" w14:textId="56BC1952">
      <w:pPr>
        <w:spacing w:after="240" w:line="276" w:lineRule="auto"/>
        <w:rPr>
          <w:rFonts w:ascii="Palatino Linotype" w:hAnsi="Palatino Linotype"/>
          <w:sz w:val="24"/>
          <w:szCs w:val="24"/>
        </w:rPr>
      </w:pPr>
      <w:r w:rsidRPr="00C652CB">
        <w:rPr>
          <w:rFonts w:ascii="Palatino Linotype" w:hAnsi="Palatino Linotype"/>
          <w:sz w:val="24"/>
          <w:szCs w:val="24"/>
        </w:rPr>
        <w:t xml:space="preserve">To calculate the </w:t>
      </w:r>
      <w:r w:rsidR="00265CCB">
        <w:rPr>
          <w:rFonts w:ascii="Palatino Linotype" w:hAnsi="Palatino Linotype"/>
          <w:sz w:val="24"/>
          <w:szCs w:val="24"/>
        </w:rPr>
        <w:t xml:space="preserve">Total Program Budget and </w:t>
      </w:r>
      <w:r w:rsidRPr="00C652CB">
        <w:rPr>
          <w:rFonts w:ascii="Palatino Linotype" w:hAnsi="Palatino Linotype"/>
          <w:sz w:val="24"/>
          <w:szCs w:val="24"/>
        </w:rPr>
        <w:t xml:space="preserve">CMS Regulatory Fee, </w:t>
      </w:r>
      <w:r w:rsidRPr="00C652CB" w:rsidR="00AD3354">
        <w:rPr>
          <w:rFonts w:ascii="Palatino Linotype" w:hAnsi="Palatino Linotype"/>
          <w:sz w:val="24"/>
          <w:szCs w:val="24"/>
        </w:rPr>
        <w:t>CPED</w:t>
      </w:r>
      <w:r w:rsidRPr="00C652CB">
        <w:rPr>
          <w:rFonts w:ascii="Palatino Linotype" w:hAnsi="Palatino Linotype"/>
          <w:sz w:val="24"/>
          <w:szCs w:val="24"/>
        </w:rPr>
        <w:t xml:space="preserve"> used the assumptions in Table </w:t>
      </w:r>
      <w:r w:rsidR="000E4B4E">
        <w:rPr>
          <w:rFonts w:ascii="Palatino Linotype" w:hAnsi="Palatino Linotype"/>
          <w:sz w:val="24"/>
          <w:szCs w:val="24"/>
        </w:rPr>
        <w:t>1</w:t>
      </w:r>
      <w:r w:rsidRPr="00C652CB">
        <w:rPr>
          <w:rFonts w:ascii="Palatino Linotype" w:hAnsi="Palatino Linotype"/>
          <w:sz w:val="24"/>
          <w:szCs w:val="24"/>
        </w:rPr>
        <w:t xml:space="preserve"> to find the Total Program Budget and divided by the Number of Trips </w:t>
      </w:r>
      <w:r w:rsidR="00265CCB">
        <w:rPr>
          <w:rFonts w:ascii="Palatino Linotype" w:hAnsi="Palatino Linotype"/>
          <w:sz w:val="24"/>
          <w:szCs w:val="24"/>
        </w:rPr>
        <w:t xml:space="preserve">to calculate the CMS Regulatory Fee </w:t>
      </w:r>
      <w:r w:rsidRPr="00C652CB">
        <w:rPr>
          <w:rFonts w:ascii="Palatino Linotype" w:hAnsi="Palatino Linotype"/>
          <w:sz w:val="24"/>
          <w:szCs w:val="24"/>
        </w:rPr>
        <w:t xml:space="preserve">as described below in Table </w:t>
      </w:r>
      <w:r w:rsidR="000E4B4E">
        <w:rPr>
          <w:rFonts w:ascii="Palatino Linotype" w:hAnsi="Palatino Linotype"/>
          <w:sz w:val="24"/>
          <w:szCs w:val="24"/>
        </w:rPr>
        <w:t>2</w:t>
      </w:r>
      <w:r w:rsidRPr="00C652CB">
        <w:rPr>
          <w:rFonts w:ascii="Palatino Linotype" w:hAnsi="Palatino Linotype"/>
          <w:sz w:val="24"/>
          <w:szCs w:val="24"/>
        </w:rPr>
        <w:t>.</w:t>
      </w:r>
    </w:p>
    <w:p w:rsidRPr="00C652CB" w:rsidR="00FE1722" w:rsidP="00FE1722" w:rsidRDefault="00FE1722" w14:paraId="77489C24" w14:textId="63998E95">
      <w:pPr>
        <w:keepNext/>
        <w:spacing w:after="240"/>
        <w:rPr>
          <w:rFonts w:ascii="Palatino Linotype" w:hAnsi="Palatino Linotype"/>
          <w:sz w:val="24"/>
          <w:szCs w:val="24"/>
        </w:rPr>
      </w:pPr>
      <w:r w:rsidRPr="00C652CB">
        <w:rPr>
          <w:rFonts w:ascii="Palatino Linotype" w:hAnsi="Palatino Linotype"/>
          <w:sz w:val="24"/>
          <w:szCs w:val="24"/>
        </w:rPr>
        <w:t xml:space="preserve">Table </w:t>
      </w:r>
      <w:r w:rsidR="000E4B4E">
        <w:rPr>
          <w:rFonts w:ascii="Palatino Linotype" w:hAnsi="Palatino Linotype"/>
          <w:sz w:val="24"/>
          <w:szCs w:val="24"/>
        </w:rPr>
        <w:t>2</w:t>
      </w:r>
      <w:r w:rsidRPr="00C652CB">
        <w:rPr>
          <w:rFonts w:ascii="Palatino Linotype" w:hAnsi="Palatino Linotype"/>
          <w:sz w:val="24"/>
          <w:szCs w:val="24"/>
        </w:rPr>
        <w:t xml:space="preserve">: </w:t>
      </w:r>
      <w:r w:rsidR="00524240">
        <w:rPr>
          <w:rFonts w:ascii="Palatino Linotype" w:hAnsi="Palatino Linotype"/>
          <w:sz w:val="24"/>
          <w:szCs w:val="24"/>
        </w:rPr>
        <w:t xml:space="preserve">Total Program Budget and </w:t>
      </w:r>
      <w:r w:rsidRPr="00C652CB">
        <w:rPr>
          <w:rFonts w:ascii="Palatino Linotype" w:hAnsi="Palatino Linotype"/>
          <w:sz w:val="24"/>
          <w:szCs w:val="24"/>
        </w:rPr>
        <w:t>CMS Regulatory Fee</w:t>
      </w:r>
    </w:p>
    <w:tbl>
      <w:tblPr>
        <w:tblStyle w:val="TableGrid"/>
        <w:tblW w:w="0" w:type="auto"/>
        <w:tblLook w:val="04A0" w:firstRow="1" w:lastRow="0" w:firstColumn="1" w:lastColumn="0" w:noHBand="0" w:noVBand="1"/>
      </w:tblPr>
      <w:tblGrid>
        <w:gridCol w:w="2965"/>
        <w:gridCol w:w="4050"/>
        <w:gridCol w:w="2335"/>
      </w:tblGrid>
      <w:tr w:rsidRPr="00C652CB" w:rsidR="00FE1722" w14:paraId="2BDF58C2" w14:textId="77777777">
        <w:tc>
          <w:tcPr>
            <w:tcW w:w="2965" w:type="dxa"/>
          </w:tcPr>
          <w:p w:rsidRPr="00C652CB" w:rsidR="00FE1722" w:rsidRDefault="00FE1722" w14:paraId="379AFABA" w14:textId="77777777">
            <w:pPr>
              <w:keepNext/>
              <w:spacing w:after="240"/>
              <w:rPr>
                <w:rFonts w:ascii="Palatino Linotype" w:hAnsi="Palatino Linotype"/>
                <w:sz w:val="22"/>
                <w:szCs w:val="22"/>
              </w:rPr>
            </w:pPr>
          </w:p>
        </w:tc>
        <w:tc>
          <w:tcPr>
            <w:tcW w:w="4050" w:type="dxa"/>
          </w:tcPr>
          <w:p w:rsidRPr="00C652CB" w:rsidR="00FE1722" w:rsidRDefault="00FE1722" w14:paraId="4F918FE8" w14:textId="77777777">
            <w:pPr>
              <w:keepNext/>
              <w:spacing w:after="240"/>
              <w:rPr>
                <w:rFonts w:ascii="Palatino Linotype" w:hAnsi="Palatino Linotype"/>
                <w:b/>
                <w:bCs/>
                <w:sz w:val="22"/>
                <w:szCs w:val="22"/>
              </w:rPr>
            </w:pPr>
            <w:r w:rsidRPr="00C652CB">
              <w:rPr>
                <w:rFonts w:ascii="Palatino Linotype" w:hAnsi="Palatino Linotype"/>
                <w:b/>
                <w:bCs/>
                <w:sz w:val="22"/>
                <w:szCs w:val="22"/>
              </w:rPr>
              <w:t xml:space="preserve">2025 Calculations </w:t>
            </w:r>
          </w:p>
        </w:tc>
        <w:tc>
          <w:tcPr>
            <w:tcW w:w="2335" w:type="dxa"/>
          </w:tcPr>
          <w:p w:rsidRPr="00C652CB" w:rsidR="00FE1722" w:rsidRDefault="00FE1722" w14:paraId="1E4A850F" w14:textId="77777777">
            <w:pPr>
              <w:keepNext/>
              <w:spacing w:after="240"/>
              <w:rPr>
                <w:rFonts w:ascii="Palatino Linotype" w:hAnsi="Palatino Linotype"/>
                <w:b/>
                <w:bCs/>
                <w:sz w:val="22"/>
                <w:szCs w:val="22"/>
              </w:rPr>
            </w:pPr>
            <w:r w:rsidRPr="00C652CB">
              <w:rPr>
                <w:rFonts w:ascii="Palatino Linotype" w:hAnsi="Palatino Linotype"/>
                <w:b/>
                <w:bCs/>
                <w:sz w:val="22"/>
                <w:szCs w:val="22"/>
              </w:rPr>
              <w:t>2025 Totals</w:t>
            </w:r>
          </w:p>
        </w:tc>
      </w:tr>
      <w:tr w:rsidRPr="00C652CB" w:rsidR="00FE1722" w14:paraId="68128B67" w14:textId="77777777">
        <w:tc>
          <w:tcPr>
            <w:tcW w:w="2965" w:type="dxa"/>
          </w:tcPr>
          <w:p w:rsidRPr="00C652CB" w:rsidR="00FE1722" w:rsidRDefault="00FE1722" w14:paraId="325CC8D1" w14:textId="77777777">
            <w:pPr>
              <w:keepNext/>
              <w:spacing w:after="240"/>
              <w:rPr>
                <w:rFonts w:ascii="Palatino Linotype" w:hAnsi="Palatino Linotype"/>
                <w:b/>
                <w:bCs/>
                <w:sz w:val="22"/>
                <w:szCs w:val="22"/>
              </w:rPr>
            </w:pPr>
            <w:r w:rsidRPr="00C652CB">
              <w:rPr>
                <w:rFonts w:ascii="Palatino Linotype" w:hAnsi="Palatino Linotype"/>
                <w:b/>
                <w:bCs/>
                <w:sz w:val="22"/>
                <w:szCs w:val="22"/>
              </w:rPr>
              <w:t>Administrative Total (no Program Admin)</w:t>
            </w:r>
          </w:p>
        </w:tc>
        <w:tc>
          <w:tcPr>
            <w:tcW w:w="4050" w:type="dxa"/>
          </w:tcPr>
          <w:p w:rsidRPr="00C652CB" w:rsidR="00FE1722" w:rsidRDefault="00FE1722" w14:paraId="2C90D890" w14:textId="77777777">
            <w:pPr>
              <w:keepNext/>
              <w:spacing w:after="240"/>
              <w:rPr>
                <w:rFonts w:ascii="Palatino Linotype" w:hAnsi="Palatino Linotype"/>
                <w:sz w:val="22"/>
                <w:szCs w:val="22"/>
              </w:rPr>
            </w:pPr>
            <w:r w:rsidRPr="00C652CB">
              <w:rPr>
                <w:rFonts w:ascii="Palatino Linotype" w:hAnsi="Palatino Linotype"/>
                <w:sz w:val="22"/>
                <w:szCs w:val="22"/>
              </w:rPr>
              <w:t>$150,000 + $150,000</w:t>
            </w:r>
          </w:p>
          <w:p w:rsidRPr="00C652CB" w:rsidR="00FE1722" w:rsidRDefault="00FE1722" w14:paraId="4BD0CF99" w14:textId="77777777">
            <w:pPr>
              <w:keepNext/>
              <w:spacing w:after="240"/>
              <w:rPr>
                <w:rFonts w:ascii="Palatino Linotype" w:hAnsi="Palatino Linotype"/>
                <w:sz w:val="22"/>
                <w:szCs w:val="22"/>
              </w:rPr>
            </w:pPr>
            <w:r w:rsidRPr="00C652CB">
              <w:rPr>
                <w:rFonts w:ascii="Palatino Linotype" w:hAnsi="Palatino Linotype"/>
                <w:sz w:val="22"/>
                <w:szCs w:val="22"/>
              </w:rPr>
              <w:t>(Evaluation and Contracting Agent)</w:t>
            </w:r>
          </w:p>
        </w:tc>
        <w:tc>
          <w:tcPr>
            <w:tcW w:w="2335" w:type="dxa"/>
          </w:tcPr>
          <w:p w:rsidRPr="00C652CB" w:rsidR="00FE1722" w:rsidRDefault="00FE1722" w14:paraId="24B8FEC5" w14:textId="77777777">
            <w:pPr>
              <w:keepNext/>
              <w:spacing w:after="240"/>
              <w:rPr>
                <w:rFonts w:ascii="Palatino Linotype" w:hAnsi="Palatino Linotype"/>
                <w:sz w:val="22"/>
                <w:szCs w:val="22"/>
              </w:rPr>
            </w:pPr>
            <w:r w:rsidRPr="00C652CB">
              <w:rPr>
                <w:rFonts w:ascii="Palatino Linotype" w:hAnsi="Palatino Linotype"/>
                <w:sz w:val="22"/>
                <w:szCs w:val="22"/>
              </w:rPr>
              <w:t>$300,000</w:t>
            </w:r>
          </w:p>
        </w:tc>
      </w:tr>
      <w:tr w:rsidRPr="00C652CB" w:rsidR="00FE1722" w14:paraId="3D164390" w14:textId="77777777">
        <w:tc>
          <w:tcPr>
            <w:tcW w:w="2965" w:type="dxa"/>
          </w:tcPr>
          <w:p w:rsidRPr="00C652CB" w:rsidR="00FE1722" w:rsidRDefault="00FE1722" w14:paraId="2A7AE555" w14:textId="77777777">
            <w:pPr>
              <w:spacing w:after="240"/>
              <w:rPr>
                <w:rFonts w:ascii="Palatino Linotype" w:hAnsi="Palatino Linotype"/>
                <w:b/>
                <w:bCs/>
                <w:sz w:val="22"/>
                <w:szCs w:val="22"/>
              </w:rPr>
            </w:pPr>
            <w:r w:rsidRPr="00C652CB">
              <w:rPr>
                <w:rFonts w:ascii="Palatino Linotype" w:hAnsi="Palatino Linotype"/>
                <w:b/>
                <w:bCs/>
                <w:sz w:val="22"/>
                <w:szCs w:val="22"/>
              </w:rPr>
              <w:t>Program Administrator Total</w:t>
            </w:r>
          </w:p>
        </w:tc>
        <w:tc>
          <w:tcPr>
            <w:tcW w:w="4050" w:type="dxa"/>
          </w:tcPr>
          <w:p w:rsidRPr="00C652CB" w:rsidR="00FE1722" w:rsidRDefault="00FE1722" w14:paraId="47BCAB78" w14:textId="77777777">
            <w:pPr>
              <w:spacing w:after="240"/>
              <w:rPr>
                <w:rFonts w:ascii="Palatino Linotype" w:hAnsi="Palatino Linotype"/>
                <w:sz w:val="22"/>
                <w:szCs w:val="22"/>
              </w:rPr>
            </w:pPr>
            <w:r w:rsidRPr="00C652CB">
              <w:rPr>
                <w:rFonts w:ascii="Palatino Linotype" w:hAnsi="Palatino Linotype"/>
                <w:sz w:val="22"/>
                <w:szCs w:val="22"/>
              </w:rPr>
              <w:t>First year PA budget</w:t>
            </w:r>
          </w:p>
        </w:tc>
        <w:tc>
          <w:tcPr>
            <w:tcW w:w="2335" w:type="dxa"/>
          </w:tcPr>
          <w:p w:rsidRPr="00C652CB" w:rsidR="00FE1722" w:rsidRDefault="00FE1722" w14:paraId="2C0B0046" w14:textId="77777777">
            <w:pPr>
              <w:spacing w:after="240"/>
              <w:rPr>
                <w:rFonts w:ascii="Palatino Linotype" w:hAnsi="Palatino Linotype"/>
                <w:sz w:val="22"/>
                <w:szCs w:val="22"/>
              </w:rPr>
            </w:pPr>
            <w:r w:rsidRPr="00C652CB">
              <w:rPr>
                <w:rFonts w:ascii="Palatino Linotype" w:hAnsi="Palatino Linotype"/>
                <w:sz w:val="22"/>
                <w:szCs w:val="22"/>
              </w:rPr>
              <w:t>$2,000,000</w:t>
            </w:r>
          </w:p>
        </w:tc>
      </w:tr>
      <w:tr w:rsidRPr="00C652CB" w:rsidR="00FE1722" w14:paraId="47FB8F5C" w14:textId="77777777">
        <w:tc>
          <w:tcPr>
            <w:tcW w:w="2965" w:type="dxa"/>
          </w:tcPr>
          <w:p w:rsidRPr="00C652CB" w:rsidR="00FE1722" w:rsidRDefault="00FE1722" w14:paraId="1A2AC5C1" w14:textId="77777777">
            <w:pPr>
              <w:spacing w:after="240"/>
              <w:rPr>
                <w:rFonts w:ascii="Palatino Linotype" w:hAnsi="Palatino Linotype"/>
                <w:b/>
                <w:bCs/>
                <w:sz w:val="22"/>
                <w:szCs w:val="22"/>
              </w:rPr>
            </w:pPr>
            <w:r w:rsidRPr="00C652CB">
              <w:rPr>
                <w:rFonts w:ascii="Palatino Linotype" w:hAnsi="Palatino Linotype"/>
                <w:b/>
                <w:bCs/>
                <w:sz w:val="22"/>
                <w:szCs w:val="22"/>
              </w:rPr>
              <w:t>Incentive Totals</w:t>
            </w:r>
          </w:p>
        </w:tc>
        <w:tc>
          <w:tcPr>
            <w:tcW w:w="4050" w:type="dxa"/>
          </w:tcPr>
          <w:p w:rsidRPr="00C652CB" w:rsidR="00FE1722" w:rsidRDefault="002C3B81" w14:paraId="75F139CD" w14:textId="0DB08677">
            <w:pPr>
              <w:spacing w:after="240"/>
              <w:rPr>
                <w:rFonts w:ascii="Palatino Linotype" w:hAnsi="Palatino Linotype"/>
                <w:sz w:val="22"/>
                <w:szCs w:val="22"/>
              </w:rPr>
            </w:pPr>
            <w:r>
              <w:rPr>
                <w:rFonts w:ascii="Palatino Linotype" w:hAnsi="Palatino Linotype"/>
                <w:sz w:val="22"/>
                <w:szCs w:val="22"/>
              </w:rPr>
              <w:t>387,310</w:t>
            </w:r>
            <w:r w:rsidRPr="00C652CB" w:rsidR="00FE1722">
              <w:rPr>
                <w:rFonts w:ascii="Palatino Linotype" w:hAnsi="Palatino Linotype"/>
                <w:sz w:val="22"/>
                <w:szCs w:val="22"/>
              </w:rPr>
              <w:t xml:space="preserve"> * 0.66% * $10,400</w:t>
            </w:r>
          </w:p>
          <w:p w:rsidRPr="00C652CB" w:rsidR="00FE1722" w:rsidRDefault="00FE1722" w14:paraId="4243729F" w14:textId="77777777">
            <w:pPr>
              <w:spacing w:after="240"/>
              <w:rPr>
                <w:rFonts w:ascii="Palatino Linotype" w:hAnsi="Palatino Linotype"/>
                <w:sz w:val="22"/>
                <w:szCs w:val="22"/>
              </w:rPr>
            </w:pPr>
            <w:r w:rsidRPr="00C652CB">
              <w:rPr>
                <w:rFonts w:ascii="Palatino Linotype" w:hAnsi="Palatino Linotype"/>
                <w:sz w:val="22"/>
                <w:szCs w:val="22"/>
              </w:rPr>
              <w:t>(Number of drivers * % drivers accessing upfront incentive * upfront incentive)</w:t>
            </w:r>
          </w:p>
        </w:tc>
        <w:tc>
          <w:tcPr>
            <w:tcW w:w="2335" w:type="dxa"/>
          </w:tcPr>
          <w:p w:rsidRPr="00C652CB" w:rsidR="00FE1722" w:rsidRDefault="002C3B81" w14:paraId="30910F0F" w14:textId="3FC28054">
            <w:pPr>
              <w:spacing w:after="240"/>
              <w:rPr>
                <w:rFonts w:ascii="Palatino Linotype" w:hAnsi="Palatino Linotype"/>
                <w:sz w:val="22"/>
                <w:szCs w:val="22"/>
              </w:rPr>
            </w:pPr>
            <w:r>
              <w:rPr>
                <w:rFonts w:ascii="Palatino Linotype" w:hAnsi="Palatino Linotype"/>
                <w:sz w:val="22"/>
                <w:szCs w:val="22"/>
              </w:rPr>
              <w:t>$26,572,576</w:t>
            </w:r>
          </w:p>
        </w:tc>
      </w:tr>
      <w:tr w:rsidRPr="00C652CB" w:rsidR="00FE1722" w14:paraId="48261B3E" w14:textId="77777777">
        <w:tc>
          <w:tcPr>
            <w:tcW w:w="2965" w:type="dxa"/>
          </w:tcPr>
          <w:p w:rsidRPr="00C652CB" w:rsidR="00FE1722" w:rsidRDefault="00FE1722" w14:paraId="18B79F41" w14:textId="77777777">
            <w:pPr>
              <w:spacing w:after="240"/>
              <w:rPr>
                <w:rFonts w:ascii="Palatino Linotype" w:hAnsi="Palatino Linotype"/>
                <w:b/>
                <w:bCs/>
                <w:sz w:val="22"/>
                <w:szCs w:val="22"/>
              </w:rPr>
            </w:pPr>
            <w:r w:rsidRPr="00C652CB">
              <w:rPr>
                <w:rFonts w:ascii="Palatino Linotype" w:hAnsi="Palatino Linotype"/>
                <w:b/>
                <w:bCs/>
                <w:sz w:val="22"/>
                <w:szCs w:val="22"/>
              </w:rPr>
              <w:t>Total Program Budget</w:t>
            </w:r>
          </w:p>
        </w:tc>
        <w:tc>
          <w:tcPr>
            <w:tcW w:w="4050" w:type="dxa"/>
          </w:tcPr>
          <w:p w:rsidRPr="00C652CB" w:rsidR="00FE1722" w:rsidRDefault="00FE1722" w14:paraId="57654A7E" w14:textId="3A977775">
            <w:pPr>
              <w:spacing w:after="240"/>
              <w:rPr>
                <w:rFonts w:ascii="Palatino Linotype" w:hAnsi="Palatino Linotype"/>
                <w:sz w:val="22"/>
                <w:szCs w:val="22"/>
              </w:rPr>
            </w:pPr>
            <w:r w:rsidRPr="00C652CB">
              <w:rPr>
                <w:rFonts w:ascii="Palatino Linotype" w:hAnsi="Palatino Linotype"/>
                <w:sz w:val="22"/>
                <w:szCs w:val="22"/>
              </w:rPr>
              <w:t xml:space="preserve">$300,000 + $2,000,000 + </w:t>
            </w:r>
            <w:r w:rsidR="002C3B81">
              <w:rPr>
                <w:rFonts w:ascii="Palatino Linotype" w:hAnsi="Palatino Linotype"/>
                <w:sz w:val="22"/>
                <w:szCs w:val="22"/>
              </w:rPr>
              <w:t>$26,572,576</w:t>
            </w:r>
          </w:p>
        </w:tc>
        <w:tc>
          <w:tcPr>
            <w:tcW w:w="2335" w:type="dxa"/>
          </w:tcPr>
          <w:p w:rsidRPr="00885C15" w:rsidR="00FE1722" w:rsidRDefault="002C3B81" w14:paraId="63E7A15B" w14:textId="321DDE3E">
            <w:pPr>
              <w:spacing w:after="240"/>
              <w:rPr>
                <w:rFonts w:ascii="Palatino Linotype" w:hAnsi="Palatino Linotype"/>
                <w:b/>
                <w:bCs/>
                <w:sz w:val="22"/>
                <w:szCs w:val="22"/>
              </w:rPr>
            </w:pPr>
            <w:r>
              <w:rPr>
                <w:rFonts w:ascii="Palatino Linotype" w:hAnsi="Palatino Linotype"/>
                <w:b/>
                <w:bCs/>
                <w:sz w:val="22"/>
                <w:szCs w:val="22"/>
              </w:rPr>
              <w:t>$28,872,576</w:t>
            </w:r>
          </w:p>
        </w:tc>
      </w:tr>
      <w:tr w:rsidRPr="00C652CB" w:rsidR="00FE1722" w14:paraId="02AC5816" w14:textId="77777777">
        <w:tc>
          <w:tcPr>
            <w:tcW w:w="2965" w:type="dxa"/>
          </w:tcPr>
          <w:p w:rsidRPr="00C652CB" w:rsidR="00FE1722" w:rsidRDefault="00FE1722" w14:paraId="78EFE4AC" w14:textId="77777777">
            <w:pPr>
              <w:spacing w:after="240"/>
              <w:rPr>
                <w:rFonts w:ascii="Palatino Linotype" w:hAnsi="Palatino Linotype"/>
                <w:b/>
                <w:bCs/>
                <w:sz w:val="22"/>
                <w:szCs w:val="22"/>
              </w:rPr>
            </w:pPr>
            <w:r w:rsidRPr="00C652CB">
              <w:rPr>
                <w:rFonts w:ascii="Palatino Linotype" w:hAnsi="Palatino Linotype"/>
                <w:b/>
                <w:bCs/>
                <w:sz w:val="22"/>
                <w:szCs w:val="22"/>
              </w:rPr>
              <w:t>CMS Regulatory Fee ($/trip)</w:t>
            </w:r>
          </w:p>
        </w:tc>
        <w:tc>
          <w:tcPr>
            <w:tcW w:w="4050" w:type="dxa"/>
          </w:tcPr>
          <w:p w:rsidRPr="00C652CB" w:rsidR="00FE1722" w:rsidRDefault="002C3B81" w14:paraId="2624A1CF" w14:textId="4DC6E47F">
            <w:pPr>
              <w:spacing w:after="240"/>
              <w:rPr>
                <w:rFonts w:ascii="Palatino Linotype" w:hAnsi="Palatino Linotype"/>
                <w:sz w:val="22"/>
                <w:szCs w:val="22"/>
              </w:rPr>
            </w:pPr>
            <w:r>
              <w:rPr>
                <w:rFonts w:ascii="Palatino Linotype" w:hAnsi="Palatino Linotype"/>
                <w:sz w:val="22"/>
                <w:szCs w:val="22"/>
              </w:rPr>
              <w:t>$28,872,576</w:t>
            </w:r>
            <w:r w:rsidRPr="00C652CB" w:rsidR="00FE1722">
              <w:rPr>
                <w:rFonts w:ascii="Palatino Linotype" w:hAnsi="Palatino Linotype"/>
                <w:sz w:val="22"/>
                <w:szCs w:val="22"/>
              </w:rPr>
              <w:t xml:space="preserve"> / 320,718,050</w:t>
            </w:r>
          </w:p>
          <w:p w:rsidRPr="00C652CB" w:rsidR="00FE1722" w:rsidRDefault="00FE1722" w14:paraId="66603779" w14:textId="77777777">
            <w:pPr>
              <w:spacing w:after="240"/>
              <w:rPr>
                <w:rFonts w:ascii="Palatino Linotype" w:hAnsi="Palatino Linotype"/>
                <w:sz w:val="22"/>
                <w:szCs w:val="22"/>
              </w:rPr>
            </w:pPr>
            <w:r w:rsidRPr="00C652CB">
              <w:rPr>
                <w:rFonts w:ascii="Palatino Linotype" w:hAnsi="Palatino Linotype"/>
                <w:sz w:val="22"/>
                <w:szCs w:val="22"/>
              </w:rPr>
              <w:t>(Total Program Budget / Number of Trips)</w:t>
            </w:r>
          </w:p>
        </w:tc>
        <w:tc>
          <w:tcPr>
            <w:tcW w:w="2335" w:type="dxa"/>
          </w:tcPr>
          <w:p w:rsidRPr="00C652CB" w:rsidR="00FE1722" w:rsidRDefault="002C3B81" w14:paraId="143CFC6B" w14:textId="47E9DB4F">
            <w:pPr>
              <w:spacing w:after="240"/>
              <w:rPr>
                <w:rFonts w:ascii="Palatino Linotype" w:hAnsi="Palatino Linotype"/>
                <w:b/>
                <w:bCs/>
                <w:sz w:val="22"/>
                <w:szCs w:val="22"/>
              </w:rPr>
            </w:pPr>
            <w:r>
              <w:rPr>
                <w:rFonts w:ascii="Palatino Linotype" w:hAnsi="Palatino Linotype"/>
                <w:b/>
                <w:bCs/>
                <w:sz w:val="22"/>
                <w:szCs w:val="22"/>
              </w:rPr>
              <w:t>$0.09</w:t>
            </w:r>
          </w:p>
        </w:tc>
      </w:tr>
    </w:tbl>
    <w:p w:rsidRPr="00C652CB" w:rsidR="00FE1722" w:rsidP="00FE1722" w:rsidRDefault="00FE1722" w14:paraId="28BBF4D9" w14:textId="77777777">
      <w:pPr>
        <w:spacing w:after="240"/>
        <w:rPr>
          <w:rFonts w:ascii="Palatino Linotype" w:hAnsi="Palatino Linotype"/>
        </w:rPr>
      </w:pPr>
    </w:p>
    <w:p w:rsidRPr="00C652CB" w:rsidR="00FE1722" w:rsidP="00AC77D3" w:rsidRDefault="00FE1722" w14:paraId="4DACECCB" w14:textId="302D1A8A">
      <w:pPr>
        <w:spacing w:after="240" w:line="276" w:lineRule="auto"/>
        <w:rPr>
          <w:rFonts w:ascii="Palatino Linotype" w:hAnsi="Palatino Linotype"/>
          <w:sz w:val="24"/>
          <w:szCs w:val="24"/>
        </w:rPr>
      </w:pPr>
      <w:r w:rsidRPr="3E8D698D">
        <w:rPr>
          <w:rFonts w:ascii="Palatino Linotype" w:hAnsi="Palatino Linotype"/>
          <w:sz w:val="24"/>
          <w:szCs w:val="24"/>
        </w:rPr>
        <w:t xml:space="preserve">As noted in Table </w:t>
      </w:r>
      <w:r w:rsidR="000E4B4E">
        <w:rPr>
          <w:rFonts w:ascii="Palatino Linotype" w:hAnsi="Palatino Linotype"/>
          <w:sz w:val="24"/>
          <w:szCs w:val="24"/>
        </w:rPr>
        <w:t>1</w:t>
      </w:r>
      <w:r w:rsidRPr="3E8D698D">
        <w:rPr>
          <w:rFonts w:ascii="Palatino Linotype" w:hAnsi="Palatino Linotype"/>
          <w:sz w:val="24"/>
          <w:szCs w:val="24"/>
        </w:rPr>
        <w:t xml:space="preserve"> above, the data for 2024 was not considered in the </w:t>
      </w:r>
      <w:r w:rsidR="00265CCB">
        <w:rPr>
          <w:rFonts w:ascii="Palatino Linotype" w:hAnsi="Palatino Linotype"/>
          <w:sz w:val="24"/>
          <w:szCs w:val="24"/>
        </w:rPr>
        <w:t xml:space="preserve">Total Program Budget and </w:t>
      </w:r>
      <w:r w:rsidRPr="3E8D698D">
        <w:rPr>
          <w:rFonts w:ascii="Palatino Linotype" w:hAnsi="Palatino Linotype"/>
          <w:sz w:val="24"/>
          <w:szCs w:val="24"/>
        </w:rPr>
        <w:t xml:space="preserve">CMS Regulatory Fee calculation as the Drivers Assistance Program </w:t>
      </w:r>
      <w:r w:rsidRPr="3E8D698D" w:rsidR="22905EE9">
        <w:rPr>
          <w:rFonts w:ascii="Palatino Linotype" w:hAnsi="Palatino Linotype"/>
          <w:sz w:val="24"/>
          <w:szCs w:val="24"/>
        </w:rPr>
        <w:t xml:space="preserve">was </w:t>
      </w:r>
      <w:r w:rsidRPr="3E8D698D">
        <w:rPr>
          <w:rFonts w:ascii="Palatino Linotype" w:hAnsi="Palatino Linotype"/>
          <w:sz w:val="24"/>
          <w:szCs w:val="24"/>
        </w:rPr>
        <w:t xml:space="preserve">not established and the CMS Regulatory Fee </w:t>
      </w:r>
      <w:r w:rsidRPr="3E8D698D" w:rsidR="00272673">
        <w:rPr>
          <w:rFonts w:ascii="Palatino Linotype" w:hAnsi="Palatino Linotype"/>
          <w:sz w:val="24"/>
          <w:szCs w:val="24"/>
        </w:rPr>
        <w:t>was</w:t>
      </w:r>
      <w:r w:rsidRPr="3E8D698D" w:rsidR="00555D4C">
        <w:rPr>
          <w:rFonts w:ascii="Palatino Linotype" w:hAnsi="Palatino Linotype"/>
          <w:sz w:val="24"/>
          <w:szCs w:val="24"/>
        </w:rPr>
        <w:t xml:space="preserve"> not collected in</w:t>
      </w:r>
      <w:r w:rsidRPr="3E8D698D">
        <w:rPr>
          <w:rFonts w:ascii="Palatino Linotype" w:hAnsi="Palatino Linotype"/>
          <w:sz w:val="24"/>
          <w:szCs w:val="24"/>
        </w:rPr>
        <w:t xml:space="preserve"> 2024. Any costs from 2024 will roll into the 2025 calculation, for example the Contracting Agent’s costs for 2024. </w:t>
      </w:r>
    </w:p>
    <w:p w:rsidR="00265CCB" w:rsidP="00AC77D3" w:rsidRDefault="00265CCB" w14:paraId="697A0654" w14:textId="49DF66F6">
      <w:pPr>
        <w:spacing w:after="240" w:line="276" w:lineRule="auto"/>
        <w:rPr>
          <w:rFonts w:ascii="Palatino Linotype" w:hAnsi="Palatino Linotype"/>
          <w:sz w:val="24"/>
          <w:szCs w:val="24"/>
        </w:rPr>
      </w:pPr>
      <w:r w:rsidRPr="23BE7E22">
        <w:rPr>
          <w:rFonts w:ascii="Palatino Linotype" w:hAnsi="Palatino Linotype"/>
          <w:sz w:val="24"/>
          <w:szCs w:val="24"/>
        </w:rPr>
        <w:lastRenderedPageBreak/>
        <w:t xml:space="preserve">Table </w:t>
      </w:r>
      <w:r w:rsidR="000E4B4E">
        <w:rPr>
          <w:rFonts w:ascii="Palatino Linotype" w:hAnsi="Palatino Linotype"/>
          <w:sz w:val="24"/>
          <w:szCs w:val="24"/>
        </w:rPr>
        <w:t>2</w:t>
      </w:r>
      <w:r w:rsidRPr="23BE7E22">
        <w:rPr>
          <w:rFonts w:ascii="Palatino Linotype" w:hAnsi="Palatino Linotype"/>
          <w:sz w:val="24"/>
          <w:szCs w:val="24"/>
        </w:rPr>
        <w:t xml:space="preserve"> shows the Total Program Budget for 2025, the first year of the Program Administrator’s work</w:t>
      </w:r>
      <w:r w:rsidRPr="23BE7E22" w:rsidR="35A89966">
        <w:rPr>
          <w:rFonts w:ascii="Palatino Linotype" w:hAnsi="Palatino Linotype"/>
          <w:sz w:val="24"/>
          <w:szCs w:val="24"/>
        </w:rPr>
        <w:t>.</w:t>
      </w:r>
      <w:r w:rsidRPr="23BE7E22">
        <w:rPr>
          <w:rFonts w:ascii="Palatino Linotype" w:hAnsi="Palatino Linotype"/>
          <w:sz w:val="24"/>
          <w:szCs w:val="24"/>
        </w:rPr>
        <w:t xml:space="preserve"> </w:t>
      </w:r>
      <w:r w:rsidRPr="23BE7E22" w:rsidR="226DC0D7">
        <w:rPr>
          <w:rFonts w:ascii="Palatino Linotype" w:hAnsi="Palatino Linotype"/>
          <w:sz w:val="24"/>
          <w:szCs w:val="24"/>
        </w:rPr>
        <w:t>P</w:t>
      </w:r>
      <w:r w:rsidRPr="23BE7E22">
        <w:rPr>
          <w:rFonts w:ascii="Palatino Linotype" w:hAnsi="Palatino Linotype"/>
          <w:sz w:val="24"/>
          <w:szCs w:val="24"/>
        </w:rPr>
        <w:t xml:space="preserve">er D.24-03-001, the administrative budget is </w:t>
      </w:r>
      <w:r w:rsidRPr="23BE7E22">
        <w:rPr>
          <w:rFonts w:ascii="Palatino Linotype" w:hAnsi="Palatino Linotype"/>
          <w:b/>
          <w:bCs/>
          <w:sz w:val="24"/>
          <w:szCs w:val="24"/>
        </w:rPr>
        <w:t>$2,000,000</w:t>
      </w:r>
      <w:r w:rsidRPr="23BE7E22" w:rsidR="3DCB9C2A">
        <w:rPr>
          <w:rFonts w:ascii="Palatino Linotype" w:hAnsi="Palatino Linotype"/>
          <w:b/>
          <w:bCs/>
          <w:sz w:val="24"/>
          <w:szCs w:val="24"/>
        </w:rPr>
        <w:t>,</w:t>
      </w:r>
      <w:r w:rsidRPr="23BE7E22">
        <w:rPr>
          <w:rFonts w:ascii="Palatino Linotype" w:hAnsi="Palatino Linotype"/>
          <w:b/>
          <w:bCs/>
          <w:sz w:val="24"/>
          <w:szCs w:val="24"/>
        </w:rPr>
        <w:t xml:space="preserve"> </w:t>
      </w:r>
      <w:r w:rsidRPr="23BE7E22">
        <w:rPr>
          <w:rFonts w:ascii="Palatino Linotype" w:hAnsi="Palatino Linotype"/>
          <w:sz w:val="24"/>
          <w:szCs w:val="24"/>
        </w:rPr>
        <w:t xml:space="preserve">and the Total Program Budget is </w:t>
      </w:r>
      <w:r w:rsidR="002C3B81">
        <w:rPr>
          <w:rFonts w:ascii="Palatino Linotype" w:hAnsi="Palatino Linotype"/>
          <w:b/>
          <w:bCs/>
          <w:sz w:val="24"/>
          <w:szCs w:val="24"/>
        </w:rPr>
        <w:t>$28,</w:t>
      </w:r>
      <w:r w:rsidR="00C64695">
        <w:rPr>
          <w:rFonts w:ascii="Palatino Linotype" w:hAnsi="Palatino Linotype"/>
          <w:b/>
          <w:bCs/>
          <w:sz w:val="24"/>
          <w:szCs w:val="24"/>
        </w:rPr>
        <w:t>872,576</w:t>
      </w:r>
      <w:r w:rsidRPr="23BE7E22">
        <w:rPr>
          <w:rFonts w:ascii="Palatino Linotype" w:hAnsi="Palatino Linotype"/>
          <w:b/>
          <w:bCs/>
          <w:sz w:val="24"/>
          <w:szCs w:val="24"/>
        </w:rPr>
        <w:t xml:space="preserve">, </w:t>
      </w:r>
      <w:r w:rsidRPr="23BE7E22">
        <w:rPr>
          <w:rFonts w:ascii="Palatino Linotype" w:hAnsi="Palatino Linotype"/>
          <w:sz w:val="24"/>
          <w:szCs w:val="24"/>
        </w:rPr>
        <w:t>the majority of which is allocated to CMS incentives.</w:t>
      </w:r>
    </w:p>
    <w:p w:rsidRPr="00C652CB" w:rsidR="00FE1722" w:rsidP="00AC77D3" w:rsidRDefault="00FE1722" w14:paraId="7E050EEB" w14:textId="61F11A56">
      <w:pPr>
        <w:spacing w:after="240" w:line="276" w:lineRule="auto"/>
        <w:rPr>
          <w:rFonts w:ascii="Palatino Linotype" w:hAnsi="Palatino Linotype"/>
          <w:sz w:val="24"/>
          <w:szCs w:val="24"/>
        </w:rPr>
      </w:pPr>
      <w:r w:rsidRPr="00C652CB">
        <w:rPr>
          <w:rFonts w:ascii="Palatino Linotype" w:hAnsi="Palatino Linotype"/>
          <w:sz w:val="24"/>
          <w:szCs w:val="24"/>
        </w:rPr>
        <w:t xml:space="preserve">Based on the calculations, the uniform statewide CMS Regulatory Fee should be </w:t>
      </w:r>
      <w:r w:rsidR="00C64695">
        <w:rPr>
          <w:rFonts w:ascii="Palatino Linotype" w:hAnsi="Palatino Linotype"/>
          <w:b/>
          <w:bCs/>
          <w:sz w:val="24"/>
          <w:szCs w:val="24"/>
        </w:rPr>
        <w:t xml:space="preserve">$0.09 </w:t>
      </w:r>
      <w:r w:rsidRPr="00C652CB">
        <w:rPr>
          <w:rFonts w:ascii="Palatino Linotype" w:hAnsi="Palatino Linotype"/>
          <w:b/>
          <w:bCs/>
          <w:sz w:val="24"/>
          <w:szCs w:val="24"/>
        </w:rPr>
        <w:t>per trip</w:t>
      </w:r>
      <w:r w:rsidRPr="00C652CB">
        <w:rPr>
          <w:rFonts w:ascii="Palatino Linotype" w:hAnsi="Palatino Linotype"/>
          <w:sz w:val="24"/>
          <w:szCs w:val="24"/>
        </w:rPr>
        <w:t xml:space="preserve"> assessed on every </w:t>
      </w:r>
      <w:r w:rsidRPr="00C652CB" w:rsidR="1823246B">
        <w:rPr>
          <w:rFonts w:ascii="Palatino Linotype" w:hAnsi="Palatino Linotype"/>
          <w:sz w:val="24"/>
          <w:szCs w:val="24"/>
        </w:rPr>
        <w:t xml:space="preserve">TNC </w:t>
      </w:r>
      <w:r w:rsidRPr="00C652CB">
        <w:rPr>
          <w:rFonts w:ascii="Palatino Linotype" w:hAnsi="Palatino Linotype"/>
          <w:sz w:val="24"/>
          <w:szCs w:val="24"/>
        </w:rPr>
        <w:t xml:space="preserve">trip provided on </w:t>
      </w:r>
      <w:r w:rsidRPr="00C652CB" w:rsidR="1BB5334E">
        <w:rPr>
          <w:rFonts w:ascii="Palatino Linotype" w:hAnsi="Palatino Linotype"/>
          <w:sz w:val="24"/>
          <w:szCs w:val="24"/>
        </w:rPr>
        <w:t xml:space="preserve">the </w:t>
      </w:r>
      <w:r w:rsidRPr="00C652CB">
        <w:rPr>
          <w:rFonts w:ascii="Palatino Linotype" w:hAnsi="Palatino Linotype"/>
          <w:sz w:val="24"/>
          <w:szCs w:val="24"/>
        </w:rPr>
        <w:t>HopSkipDrive, Lyft, and Uber</w:t>
      </w:r>
      <w:r w:rsidRPr="23BE7E22" w:rsidR="30B71307">
        <w:rPr>
          <w:rFonts w:ascii="Palatino Linotype" w:hAnsi="Palatino Linotype"/>
          <w:sz w:val="24"/>
          <w:szCs w:val="24"/>
        </w:rPr>
        <w:t xml:space="preserve"> platforms</w:t>
      </w:r>
      <w:r w:rsidRPr="23BE7E22" w:rsidR="33E9F211">
        <w:rPr>
          <w:rFonts w:ascii="Palatino Linotype" w:hAnsi="Palatino Linotype"/>
          <w:sz w:val="24"/>
          <w:szCs w:val="24"/>
        </w:rPr>
        <w:t xml:space="preserve">, effective </w:t>
      </w:r>
      <w:r w:rsidRPr="23BE7E22" w:rsidR="00CF6197">
        <w:rPr>
          <w:rFonts w:ascii="Palatino Linotype" w:hAnsi="Palatino Linotype"/>
          <w:sz w:val="24"/>
          <w:szCs w:val="24"/>
        </w:rPr>
        <w:t>within 10 days of the date of this Resolution</w:t>
      </w:r>
      <w:r w:rsidR="00887AE7">
        <w:rPr>
          <w:rFonts w:ascii="Palatino Linotype" w:hAnsi="Palatino Linotype"/>
          <w:sz w:val="24"/>
          <w:szCs w:val="24"/>
        </w:rPr>
        <w:t>.</w:t>
      </w:r>
      <w:r w:rsidRPr="00C652CB">
        <w:rPr>
          <w:rFonts w:ascii="Palatino Linotype" w:hAnsi="Palatino Linotype"/>
          <w:sz w:val="24"/>
          <w:szCs w:val="24"/>
        </w:rPr>
        <w:t xml:space="preserve"> </w:t>
      </w:r>
      <w:r w:rsidRPr="23BE7E22" w:rsidR="00507286">
        <w:rPr>
          <w:rFonts w:ascii="Palatino Linotype" w:hAnsi="Palatino Linotype"/>
          <w:sz w:val="24"/>
          <w:szCs w:val="24"/>
        </w:rPr>
        <w:t xml:space="preserve">CPED staff analysis finds that a per trip fee of </w:t>
      </w:r>
      <w:r w:rsidR="00C64695">
        <w:rPr>
          <w:rFonts w:ascii="Palatino Linotype" w:hAnsi="Palatino Linotype"/>
          <w:sz w:val="24"/>
          <w:szCs w:val="24"/>
        </w:rPr>
        <w:t>$0.09</w:t>
      </w:r>
      <w:r w:rsidRPr="23BE7E22" w:rsidR="00507286">
        <w:rPr>
          <w:rFonts w:ascii="Palatino Linotype" w:hAnsi="Palatino Linotype"/>
          <w:sz w:val="24"/>
          <w:szCs w:val="24"/>
        </w:rPr>
        <w:t xml:space="preserve"> is less than</w:t>
      </w:r>
      <w:r w:rsidR="00C64695">
        <w:rPr>
          <w:rFonts w:ascii="Palatino Linotype" w:hAnsi="Palatino Linotype"/>
          <w:sz w:val="24"/>
          <w:szCs w:val="24"/>
        </w:rPr>
        <w:t xml:space="preserve"> half of</w:t>
      </w:r>
      <w:r w:rsidRPr="23BE7E22" w:rsidR="00507286">
        <w:rPr>
          <w:rFonts w:ascii="Palatino Linotype" w:hAnsi="Palatino Linotype"/>
          <w:sz w:val="24"/>
          <w:szCs w:val="24"/>
        </w:rPr>
        <w:t xml:space="preserve"> one percent of the average trip </w:t>
      </w:r>
      <w:r w:rsidRPr="23BE7E22" w:rsidR="58CB7711">
        <w:rPr>
          <w:rFonts w:ascii="Palatino Linotype" w:hAnsi="Palatino Linotype"/>
          <w:sz w:val="24"/>
          <w:szCs w:val="24"/>
        </w:rPr>
        <w:t>fare</w:t>
      </w:r>
      <w:r w:rsidRPr="23BE7E22" w:rsidR="00507286">
        <w:rPr>
          <w:rFonts w:ascii="Palatino Linotype" w:hAnsi="Palatino Linotype"/>
          <w:sz w:val="24"/>
          <w:szCs w:val="24"/>
        </w:rPr>
        <w:t xml:space="preserve">. </w:t>
      </w:r>
      <w:r w:rsidRPr="00C652CB">
        <w:rPr>
          <w:rFonts w:ascii="Palatino Linotype" w:hAnsi="Palatino Linotype"/>
          <w:sz w:val="24"/>
          <w:szCs w:val="24"/>
        </w:rPr>
        <w:t xml:space="preserve">The CMS Regulatory Fee will remain at this level </w:t>
      </w:r>
      <w:r w:rsidRPr="00C652CB" w:rsidR="0AEC3795">
        <w:rPr>
          <w:rFonts w:ascii="Palatino Linotype" w:hAnsi="Palatino Linotype"/>
          <w:sz w:val="24"/>
          <w:szCs w:val="24"/>
        </w:rPr>
        <w:t xml:space="preserve">at least </w:t>
      </w:r>
      <w:r w:rsidRPr="00C652CB">
        <w:rPr>
          <w:rFonts w:ascii="Palatino Linotype" w:hAnsi="Palatino Linotype"/>
          <w:sz w:val="24"/>
          <w:szCs w:val="24"/>
        </w:rPr>
        <w:t>until the next full GHG Plan submission after a Phase 2 decision</w:t>
      </w:r>
      <w:r w:rsidRPr="00C652CB" w:rsidR="5DFBC716">
        <w:rPr>
          <w:rFonts w:ascii="Palatino Linotype" w:hAnsi="Palatino Linotype"/>
          <w:sz w:val="24"/>
          <w:szCs w:val="24"/>
        </w:rPr>
        <w:t xml:space="preserve"> and subsequent Commission action</w:t>
      </w:r>
      <w:r w:rsidRPr="00C652CB" w:rsidR="00CD67CA">
        <w:rPr>
          <w:rFonts w:ascii="Palatino Linotype" w:hAnsi="Palatino Linotype"/>
          <w:sz w:val="24"/>
          <w:szCs w:val="24"/>
        </w:rPr>
        <w:t>.</w:t>
      </w:r>
      <w:r w:rsidRPr="00C652CB">
        <w:rPr>
          <w:rFonts w:ascii="Palatino Linotype" w:hAnsi="Palatino Linotype"/>
          <w:sz w:val="24"/>
          <w:szCs w:val="24"/>
        </w:rPr>
        <w:t xml:space="preserve"> </w:t>
      </w:r>
      <w:r w:rsidRPr="00C652CB" w:rsidR="00277EA7">
        <w:rPr>
          <w:rFonts w:ascii="Palatino Linotype" w:hAnsi="Palatino Linotype"/>
          <w:sz w:val="24"/>
          <w:szCs w:val="24"/>
        </w:rPr>
        <w:t>P</w:t>
      </w:r>
      <w:r w:rsidRPr="00C652CB" w:rsidR="0091608C">
        <w:rPr>
          <w:rFonts w:ascii="Palatino Linotype" w:hAnsi="Palatino Linotype"/>
          <w:sz w:val="24"/>
          <w:szCs w:val="24"/>
        </w:rPr>
        <w:t>er D.24-03-001,</w:t>
      </w:r>
      <w:r w:rsidRPr="00C652CB">
        <w:rPr>
          <w:rFonts w:ascii="Palatino Linotype" w:hAnsi="Palatino Linotype"/>
          <w:sz w:val="24"/>
          <w:szCs w:val="24"/>
        </w:rPr>
        <w:t xml:space="preserve"> modifications </w:t>
      </w:r>
      <w:r w:rsidRPr="00C652CB" w:rsidR="0091608C">
        <w:rPr>
          <w:rFonts w:ascii="Palatino Linotype" w:hAnsi="Palatino Linotype"/>
          <w:sz w:val="24"/>
          <w:szCs w:val="24"/>
        </w:rPr>
        <w:t xml:space="preserve">to the CMS Regulatory Fee may be proposed </w:t>
      </w:r>
      <w:r w:rsidRPr="00C652CB">
        <w:rPr>
          <w:rFonts w:ascii="Palatino Linotype" w:hAnsi="Palatino Linotype"/>
          <w:sz w:val="24"/>
          <w:szCs w:val="24"/>
        </w:rPr>
        <w:t>through a Tier 2 advice letter submission.</w:t>
      </w:r>
      <w:r w:rsidR="004C5085">
        <w:rPr>
          <w:rStyle w:val="FootnoteReference"/>
          <w:rFonts w:ascii="Palatino Linotype" w:hAnsi="Palatino Linotype"/>
          <w:sz w:val="24"/>
          <w:szCs w:val="24"/>
        </w:rPr>
        <w:footnoteReference w:id="3"/>
      </w:r>
    </w:p>
    <w:p w:rsidRPr="00C652CB" w:rsidR="00FE1722" w:rsidP="00AC77D3" w:rsidRDefault="00FE1722" w14:paraId="2FA3B3D7" w14:textId="344E3A1A">
      <w:pPr>
        <w:spacing w:after="240" w:line="276" w:lineRule="auto"/>
        <w:rPr>
          <w:rFonts w:ascii="Palatino Linotype" w:hAnsi="Palatino Linotype"/>
          <w:i/>
          <w:iCs/>
          <w:sz w:val="24"/>
          <w:szCs w:val="24"/>
        </w:rPr>
      </w:pPr>
      <w:r w:rsidRPr="00C652CB">
        <w:rPr>
          <w:rFonts w:ascii="Palatino Linotype" w:hAnsi="Palatino Linotype"/>
          <w:i/>
          <w:iCs/>
          <w:sz w:val="24"/>
          <w:szCs w:val="24"/>
        </w:rPr>
        <w:t>Establishing the Minimum Trip Threshold</w:t>
      </w:r>
    </w:p>
    <w:p w:rsidRPr="00C652CB" w:rsidR="00C86F1B" w:rsidP="00C86F1B" w:rsidRDefault="00C86F1B" w14:paraId="45483660" w14:textId="1E9DEBE4">
      <w:pPr>
        <w:spacing w:after="240" w:line="276" w:lineRule="auto"/>
        <w:rPr>
          <w:rFonts w:ascii="Palatino Linotype" w:hAnsi="Palatino Linotype"/>
          <w:sz w:val="24"/>
          <w:szCs w:val="24"/>
        </w:rPr>
      </w:pPr>
      <w:r w:rsidRPr="3E8D698D">
        <w:rPr>
          <w:rFonts w:ascii="Palatino Linotype" w:hAnsi="Palatino Linotype"/>
          <w:sz w:val="24"/>
          <w:szCs w:val="24"/>
        </w:rPr>
        <w:t xml:space="preserve">The CMS Phase 1 Decision established the process for setting a minimum driving threshold for drivers to be eligible for CMS incentives. The threshold </w:t>
      </w:r>
      <w:r w:rsidRPr="3E8D698D" w:rsidR="00A80FF6">
        <w:rPr>
          <w:rFonts w:ascii="Palatino Linotype" w:hAnsi="Palatino Linotype"/>
          <w:sz w:val="24"/>
          <w:szCs w:val="24"/>
        </w:rPr>
        <w:t>must</w:t>
      </w:r>
      <w:r w:rsidRPr="3E8D698D">
        <w:rPr>
          <w:rFonts w:ascii="Palatino Linotype" w:hAnsi="Palatino Linotype"/>
          <w:sz w:val="24"/>
          <w:szCs w:val="24"/>
        </w:rPr>
        <w:t xml:space="preserve"> be </w:t>
      </w:r>
      <w:r w:rsidRPr="3E8D698D" w:rsidR="008C1260">
        <w:rPr>
          <w:rFonts w:ascii="Palatino Linotype" w:hAnsi="Palatino Linotype"/>
          <w:sz w:val="24"/>
          <w:szCs w:val="24"/>
        </w:rPr>
        <w:t>informed by</w:t>
      </w:r>
      <w:r w:rsidRPr="3E8D698D" w:rsidR="00A80FF6">
        <w:rPr>
          <w:rFonts w:ascii="Palatino Linotype" w:hAnsi="Palatino Linotype"/>
          <w:sz w:val="24"/>
          <w:szCs w:val="24"/>
        </w:rPr>
        <w:t xml:space="preserve"> the</w:t>
      </w:r>
      <w:r w:rsidRPr="3E8D698D">
        <w:rPr>
          <w:rFonts w:ascii="Palatino Linotype" w:hAnsi="Palatino Linotype"/>
          <w:sz w:val="24"/>
          <w:szCs w:val="24"/>
        </w:rPr>
        <w:t xml:space="preserve"> trip</w:t>
      </w:r>
      <w:r w:rsidRPr="3E8D698D" w:rsidR="78FDD190">
        <w:rPr>
          <w:rFonts w:ascii="Palatino Linotype" w:hAnsi="Palatino Linotype"/>
          <w:sz w:val="24"/>
          <w:szCs w:val="24"/>
        </w:rPr>
        <w:t xml:space="preserve"> threshold</w:t>
      </w:r>
      <w:r w:rsidRPr="3E8D698D">
        <w:rPr>
          <w:rFonts w:ascii="Palatino Linotype" w:hAnsi="Palatino Linotype"/>
          <w:sz w:val="24"/>
          <w:szCs w:val="24"/>
        </w:rPr>
        <w:t xml:space="preserve"> proposed by each CMS Regulated Entity in its GHG Plan. The</w:t>
      </w:r>
      <w:r w:rsidRPr="3E8D698D" w:rsidR="2F6BF324">
        <w:rPr>
          <w:rFonts w:ascii="Palatino Linotype" w:hAnsi="Palatino Linotype"/>
          <w:sz w:val="24"/>
          <w:szCs w:val="24"/>
        </w:rPr>
        <w:t xml:space="preserve"> adopted trip</w:t>
      </w:r>
      <w:r w:rsidRPr="3E8D698D">
        <w:rPr>
          <w:rFonts w:ascii="Palatino Linotype" w:hAnsi="Palatino Linotype"/>
          <w:sz w:val="24"/>
          <w:szCs w:val="24"/>
        </w:rPr>
        <w:t xml:space="preserve"> threshold </w:t>
      </w:r>
      <w:r w:rsidRPr="3E8D698D" w:rsidR="6AEF69C4">
        <w:rPr>
          <w:rFonts w:ascii="Palatino Linotype" w:hAnsi="Palatino Linotype"/>
          <w:sz w:val="24"/>
          <w:szCs w:val="24"/>
        </w:rPr>
        <w:t xml:space="preserve">will be consistent </w:t>
      </w:r>
      <w:r w:rsidRPr="3E8D698D">
        <w:rPr>
          <w:rFonts w:ascii="Palatino Linotype" w:hAnsi="Palatino Linotype"/>
          <w:sz w:val="24"/>
          <w:szCs w:val="24"/>
        </w:rPr>
        <w:t xml:space="preserve">for </w:t>
      </w:r>
      <w:r w:rsidRPr="3E8D698D" w:rsidR="008D22FA">
        <w:rPr>
          <w:rFonts w:ascii="Palatino Linotype" w:hAnsi="Palatino Linotype"/>
          <w:sz w:val="24"/>
          <w:szCs w:val="24"/>
        </w:rPr>
        <w:t>drivers of all CMS Regulated Entities</w:t>
      </w:r>
      <w:r w:rsidRPr="3E8D698D">
        <w:rPr>
          <w:rFonts w:ascii="Palatino Linotype" w:hAnsi="Palatino Linotype"/>
          <w:sz w:val="24"/>
          <w:szCs w:val="24"/>
        </w:rPr>
        <w:t>.</w:t>
      </w:r>
    </w:p>
    <w:p w:rsidR="009C79F7" w:rsidP="00C86F1B" w:rsidRDefault="00C86F1B" w14:paraId="11DD17B9" w14:textId="22D338D5">
      <w:pPr>
        <w:spacing w:after="240" w:line="276" w:lineRule="auto"/>
        <w:rPr>
          <w:rFonts w:ascii="Palatino Linotype" w:hAnsi="Palatino Linotype"/>
          <w:sz w:val="24"/>
          <w:szCs w:val="24"/>
        </w:rPr>
      </w:pPr>
      <w:r w:rsidRPr="3E8D698D">
        <w:rPr>
          <w:rFonts w:ascii="Palatino Linotype" w:hAnsi="Palatino Linotype"/>
          <w:sz w:val="24"/>
          <w:szCs w:val="24"/>
        </w:rPr>
        <w:t>CMS Regulated Entities HopSkipDrive, Lyft, and Uber each submitted a proposal for the minimum driving threshold for drivers to access the CMS incentives</w:t>
      </w:r>
      <w:r w:rsidRPr="3E8D698D" w:rsidR="544A305A">
        <w:rPr>
          <w:rFonts w:ascii="Palatino Linotype" w:hAnsi="Palatino Linotype"/>
          <w:sz w:val="24"/>
          <w:szCs w:val="24"/>
        </w:rPr>
        <w:t xml:space="preserve">. </w:t>
      </w:r>
      <w:r w:rsidRPr="3E8D698D" w:rsidR="002153C3">
        <w:rPr>
          <w:rFonts w:ascii="Palatino Linotype" w:hAnsi="Palatino Linotype"/>
          <w:sz w:val="24"/>
          <w:szCs w:val="24"/>
        </w:rPr>
        <w:t xml:space="preserve">Table </w:t>
      </w:r>
      <w:r w:rsidR="000E4B4E">
        <w:rPr>
          <w:rFonts w:ascii="Palatino Linotype" w:hAnsi="Palatino Linotype"/>
          <w:sz w:val="24"/>
          <w:szCs w:val="24"/>
        </w:rPr>
        <w:t>3</w:t>
      </w:r>
      <w:r w:rsidRPr="3E8D698D" w:rsidR="4D4EE061">
        <w:rPr>
          <w:rFonts w:ascii="Palatino Linotype" w:hAnsi="Palatino Linotype"/>
          <w:sz w:val="24"/>
          <w:szCs w:val="24"/>
        </w:rPr>
        <w:t xml:space="preserve"> summarizes their proposals</w:t>
      </w:r>
      <w:r w:rsidRPr="3E8D698D">
        <w:rPr>
          <w:rFonts w:ascii="Palatino Linotype" w:hAnsi="Palatino Linotype"/>
          <w:sz w:val="24"/>
          <w:szCs w:val="24"/>
        </w:rPr>
        <w:t xml:space="preserve">. The driving threshold is measured over a 12-month period. </w:t>
      </w:r>
    </w:p>
    <w:p w:rsidR="008C6645" w:rsidP="009F6448" w:rsidRDefault="008C6645" w14:paraId="094EDCA4" w14:textId="5732826F">
      <w:pPr>
        <w:keepNext/>
        <w:spacing w:after="240" w:line="276" w:lineRule="auto"/>
        <w:rPr>
          <w:rFonts w:ascii="Palatino Linotype" w:hAnsi="Palatino Linotype"/>
          <w:sz w:val="24"/>
          <w:szCs w:val="24"/>
        </w:rPr>
      </w:pPr>
      <w:r>
        <w:rPr>
          <w:rFonts w:ascii="Palatino Linotype" w:hAnsi="Palatino Linotype"/>
          <w:sz w:val="24"/>
          <w:szCs w:val="24"/>
        </w:rPr>
        <w:t xml:space="preserve">Table </w:t>
      </w:r>
      <w:r w:rsidR="000E4B4E">
        <w:rPr>
          <w:rFonts w:ascii="Palatino Linotype" w:hAnsi="Palatino Linotype"/>
          <w:sz w:val="24"/>
          <w:szCs w:val="24"/>
        </w:rPr>
        <w:t>3</w:t>
      </w:r>
      <w:r>
        <w:rPr>
          <w:rFonts w:ascii="Palatino Linotype" w:hAnsi="Palatino Linotype"/>
          <w:sz w:val="24"/>
          <w:szCs w:val="24"/>
        </w:rPr>
        <w:t xml:space="preserve">: </w:t>
      </w:r>
      <w:r w:rsidRPr="00EE04CF" w:rsidR="00EE04CF">
        <w:rPr>
          <w:rFonts w:ascii="Palatino Linotype" w:hAnsi="Palatino Linotype"/>
          <w:sz w:val="24"/>
          <w:szCs w:val="24"/>
        </w:rPr>
        <w:t xml:space="preserve">Proposed </w:t>
      </w:r>
      <w:r w:rsidR="00D43877">
        <w:rPr>
          <w:rFonts w:ascii="Palatino Linotype" w:hAnsi="Palatino Linotype"/>
          <w:sz w:val="24"/>
          <w:szCs w:val="24"/>
        </w:rPr>
        <w:t>T</w:t>
      </w:r>
      <w:r w:rsidRPr="00EE04CF" w:rsidR="00EE04CF">
        <w:rPr>
          <w:rFonts w:ascii="Palatino Linotype" w:hAnsi="Palatino Linotype"/>
          <w:sz w:val="24"/>
          <w:szCs w:val="24"/>
        </w:rPr>
        <w:t xml:space="preserve">rip </w:t>
      </w:r>
      <w:r w:rsidR="00D43877">
        <w:rPr>
          <w:rFonts w:ascii="Palatino Linotype" w:hAnsi="Palatino Linotype"/>
          <w:sz w:val="24"/>
          <w:szCs w:val="24"/>
        </w:rPr>
        <w:t>E</w:t>
      </w:r>
      <w:r w:rsidRPr="00EE04CF" w:rsidR="00EE04CF">
        <w:rPr>
          <w:rFonts w:ascii="Palatino Linotype" w:hAnsi="Palatino Linotype"/>
          <w:sz w:val="24"/>
          <w:szCs w:val="24"/>
        </w:rPr>
        <w:t xml:space="preserve">ligibility </w:t>
      </w:r>
      <w:r w:rsidR="00D43877">
        <w:rPr>
          <w:rFonts w:ascii="Palatino Linotype" w:hAnsi="Palatino Linotype"/>
          <w:sz w:val="24"/>
          <w:szCs w:val="24"/>
        </w:rPr>
        <w:t>T</w:t>
      </w:r>
      <w:r w:rsidRPr="00EE04CF" w:rsidR="00EE04CF">
        <w:rPr>
          <w:rFonts w:ascii="Palatino Linotype" w:hAnsi="Palatino Linotype"/>
          <w:sz w:val="24"/>
          <w:szCs w:val="24"/>
        </w:rPr>
        <w:t>hreshold</w:t>
      </w:r>
      <w:r w:rsidR="00EE04CF">
        <w:rPr>
          <w:rFonts w:ascii="Palatino Linotype" w:hAnsi="Palatino Linotype"/>
          <w:sz w:val="24"/>
          <w:szCs w:val="24"/>
        </w:rPr>
        <w:t>s</w:t>
      </w:r>
      <w:r w:rsidRPr="00EE04CF" w:rsidR="00EE04CF">
        <w:rPr>
          <w:rFonts w:ascii="Palatino Linotype" w:hAnsi="Palatino Linotype"/>
          <w:sz w:val="24"/>
          <w:szCs w:val="24"/>
        </w:rPr>
        <w:t xml:space="preserve"> </w:t>
      </w:r>
      <w:r w:rsidR="004D5299">
        <w:rPr>
          <w:rFonts w:ascii="Palatino Linotype" w:hAnsi="Palatino Linotype"/>
          <w:sz w:val="24"/>
          <w:szCs w:val="24"/>
        </w:rPr>
        <w:t>for 2025</w:t>
      </w:r>
    </w:p>
    <w:tbl>
      <w:tblPr>
        <w:tblStyle w:val="TableGrid"/>
        <w:tblW w:w="0" w:type="auto"/>
        <w:tblLook w:val="04A0" w:firstRow="1" w:lastRow="0" w:firstColumn="1" w:lastColumn="0" w:noHBand="0" w:noVBand="1"/>
      </w:tblPr>
      <w:tblGrid>
        <w:gridCol w:w="2695"/>
        <w:gridCol w:w="4590"/>
      </w:tblGrid>
      <w:tr w:rsidR="0072287D" w:rsidTr="00D43877" w14:paraId="3C7444B8" w14:textId="77777777">
        <w:tc>
          <w:tcPr>
            <w:tcW w:w="2695" w:type="dxa"/>
          </w:tcPr>
          <w:p w:rsidRPr="0072287D" w:rsidR="0072287D" w:rsidP="009F6448" w:rsidRDefault="0072287D" w14:paraId="6BA30845" w14:textId="5CE0D2BE">
            <w:pPr>
              <w:keepNext/>
              <w:spacing w:after="240" w:line="276" w:lineRule="auto"/>
              <w:rPr>
                <w:rFonts w:ascii="Palatino Linotype" w:hAnsi="Palatino Linotype"/>
                <w:b/>
                <w:bCs/>
                <w:sz w:val="24"/>
                <w:szCs w:val="24"/>
              </w:rPr>
            </w:pPr>
            <w:r w:rsidRPr="0072287D">
              <w:rPr>
                <w:rFonts w:ascii="Palatino Linotype" w:hAnsi="Palatino Linotype"/>
                <w:b/>
                <w:bCs/>
                <w:sz w:val="24"/>
                <w:szCs w:val="24"/>
              </w:rPr>
              <w:t>CMS Regulated Entity</w:t>
            </w:r>
          </w:p>
        </w:tc>
        <w:tc>
          <w:tcPr>
            <w:tcW w:w="4590" w:type="dxa"/>
          </w:tcPr>
          <w:p w:rsidRPr="0072287D" w:rsidR="0072287D" w:rsidP="009F6448" w:rsidRDefault="0072287D" w14:paraId="68811E4C" w14:textId="1AC50166">
            <w:pPr>
              <w:keepNext/>
              <w:spacing w:after="240" w:line="276" w:lineRule="auto"/>
              <w:jc w:val="center"/>
              <w:rPr>
                <w:rFonts w:ascii="Palatino Linotype" w:hAnsi="Palatino Linotype"/>
                <w:b/>
                <w:bCs/>
                <w:sz w:val="24"/>
                <w:szCs w:val="24"/>
              </w:rPr>
            </w:pPr>
            <w:r w:rsidRPr="0072287D">
              <w:rPr>
                <w:rFonts w:ascii="Palatino Linotype" w:hAnsi="Palatino Linotype"/>
                <w:b/>
                <w:bCs/>
                <w:sz w:val="24"/>
                <w:szCs w:val="24"/>
              </w:rPr>
              <w:t>Proposed Trip</w:t>
            </w:r>
            <w:r w:rsidR="00D43877">
              <w:rPr>
                <w:rFonts w:ascii="Palatino Linotype" w:hAnsi="Palatino Linotype"/>
                <w:b/>
                <w:bCs/>
                <w:sz w:val="24"/>
                <w:szCs w:val="24"/>
              </w:rPr>
              <w:t xml:space="preserve"> Eligibility</w:t>
            </w:r>
            <w:r w:rsidRPr="0072287D">
              <w:rPr>
                <w:rFonts w:ascii="Palatino Linotype" w:hAnsi="Palatino Linotype"/>
                <w:b/>
                <w:bCs/>
                <w:sz w:val="24"/>
                <w:szCs w:val="24"/>
              </w:rPr>
              <w:t xml:space="preserve"> Threshold</w:t>
            </w:r>
          </w:p>
        </w:tc>
      </w:tr>
      <w:tr w:rsidR="0072287D" w:rsidTr="00D43877" w14:paraId="1447DEE1" w14:textId="77777777">
        <w:tc>
          <w:tcPr>
            <w:tcW w:w="2695" w:type="dxa"/>
          </w:tcPr>
          <w:p w:rsidR="0072287D" w:rsidP="00C86F1B" w:rsidRDefault="0072287D" w14:paraId="537D0B07" w14:textId="18C66DA5">
            <w:pPr>
              <w:spacing w:after="240" w:line="276" w:lineRule="auto"/>
              <w:rPr>
                <w:rFonts w:ascii="Palatino Linotype" w:hAnsi="Palatino Linotype"/>
                <w:sz w:val="24"/>
                <w:szCs w:val="24"/>
              </w:rPr>
            </w:pPr>
            <w:r>
              <w:rPr>
                <w:rFonts w:ascii="Palatino Linotype" w:hAnsi="Palatino Linotype"/>
                <w:sz w:val="24"/>
                <w:szCs w:val="24"/>
              </w:rPr>
              <w:t>HopSkipDrive</w:t>
            </w:r>
          </w:p>
        </w:tc>
        <w:tc>
          <w:tcPr>
            <w:tcW w:w="4590" w:type="dxa"/>
          </w:tcPr>
          <w:p w:rsidR="0072287D" w:rsidP="008C6645" w:rsidRDefault="0072287D" w14:paraId="7F1CF09E" w14:textId="61695331">
            <w:pPr>
              <w:spacing w:after="240" w:line="276" w:lineRule="auto"/>
              <w:jc w:val="center"/>
              <w:rPr>
                <w:rFonts w:ascii="Palatino Linotype" w:hAnsi="Palatino Linotype"/>
                <w:sz w:val="24"/>
                <w:szCs w:val="24"/>
              </w:rPr>
            </w:pPr>
            <w:r>
              <w:rPr>
                <w:rFonts w:ascii="Palatino Linotype" w:hAnsi="Palatino Linotype"/>
                <w:sz w:val="24"/>
                <w:szCs w:val="24"/>
              </w:rPr>
              <w:t>245.1</w:t>
            </w:r>
          </w:p>
        </w:tc>
      </w:tr>
      <w:tr w:rsidR="0072287D" w:rsidTr="00D43877" w14:paraId="76B4330D" w14:textId="77777777">
        <w:tc>
          <w:tcPr>
            <w:tcW w:w="2695" w:type="dxa"/>
          </w:tcPr>
          <w:p w:rsidR="0072287D" w:rsidP="00C86F1B" w:rsidRDefault="0072287D" w14:paraId="243E0C6C" w14:textId="4F4BE79E">
            <w:pPr>
              <w:spacing w:after="240" w:line="276" w:lineRule="auto"/>
              <w:rPr>
                <w:rFonts w:ascii="Palatino Linotype" w:hAnsi="Palatino Linotype"/>
                <w:sz w:val="24"/>
                <w:szCs w:val="24"/>
              </w:rPr>
            </w:pPr>
            <w:r>
              <w:rPr>
                <w:rFonts w:ascii="Palatino Linotype" w:hAnsi="Palatino Linotype"/>
                <w:sz w:val="24"/>
                <w:szCs w:val="24"/>
              </w:rPr>
              <w:lastRenderedPageBreak/>
              <w:t>Lyft</w:t>
            </w:r>
          </w:p>
        </w:tc>
        <w:tc>
          <w:tcPr>
            <w:tcW w:w="4590" w:type="dxa"/>
          </w:tcPr>
          <w:p w:rsidR="0072287D" w:rsidP="008C6645" w:rsidRDefault="0072287D" w14:paraId="7B6F44ED" w14:textId="4C233784">
            <w:pPr>
              <w:spacing w:after="240" w:line="276" w:lineRule="auto"/>
              <w:jc w:val="center"/>
              <w:rPr>
                <w:rFonts w:ascii="Palatino Linotype" w:hAnsi="Palatino Linotype"/>
                <w:sz w:val="24"/>
                <w:szCs w:val="24"/>
              </w:rPr>
            </w:pPr>
            <w:r>
              <w:rPr>
                <w:rFonts w:ascii="Palatino Linotype" w:hAnsi="Palatino Linotype"/>
                <w:sz w:val="24"/>
                <w:szCs w:val="24"/>
              </w:rPr>
              <w:t>2,000</w:t>
            </w:r>
          </w:p>
        </w:tc>
      </w:tr>
      <w:tr w:rsidR="0072287D" w:rsidTr="00D43877" w14:paraId="7E90D8BE" w14:textId="77777777">
        <w:tc>
          <w:tcPr>
            <w:tcW w:w="2695" w:type="dxa"/>
          </w:tcPr>
          <w:p w:rsidR="0072287D" w:rsidP="00C86F1B" w:rsidRDefault="0072287D" w14:paraId="7A177CC5" w14:textId="188C026D">
            <w:pPr>
              <w:spacing w:after="240" w:line="276" w:lineRule="auto"/>
              <w:rPr>
                <w:rFonts w:ascii="Palatino Linotype" w:hAnsi="Palatino Linotype"/>
                <w:sz w:val="24"/>
                <w:szCs w:val="24"/>
              </w:rPr>
            </w:pPr>
            <w:r>
              <w:rPr>
                <w:rFonts w:ascii="Palatino Linotype" w:hAnsi="Palatino Linotype"/>
                <w:sz w:val="24"/>
                <w:szCs w:val="24"/>
              </w:rPr>
              <w:t>Uber</w:t>
            </w:r>
          </w:p>
        </w:tc>
        <w:tc>
          <w:tcPr>
            <w:tcW w:w="4590" w:type="dxa"/>
          </w:tcPr>
          <w:p w:rsidR="0072287D" w:rsidP="008C6645" w:rsidRDefault="00642646" w14:paraId="721A85ED" w14:textId="7502BE8A">
            <w:pPr>
              <w:spacing w:after="240" w:line="276" w:lineRule="auto"/>
              <w:jc w:val="center"/>
              <w:rPr>
                <w:rFonts w:ascii="Palatino Linotype" w:hAnsi="Palatino Linotype"/>
                <w:sz w:val="24"/>
                <w:szCs w:val="24"/>
              </w:rPr>
            </w:pPr>
            <w:r>
              <w:rPr>
                <w:rFonts w:ascii="Palatino Linotype" w:hAnsi="Palatino Linotype"/>
                <w:sz w:val="24"/>
                <w:szCs w:val="24"/>
              </w:rPr>
              <w:t>5,000</w:t>
            </w:r>
          </w:p>
        </w:tc>
      </w:tr>
    </w:tbl>
    <w:p w:rsidR="008C6645" w:rsidP="00C86F1B" w:rsidRDefault="008C6645" w14:paraId="2A1822A1" w14:textId="77777777">
      <w:pPr>
        <w:spacing w:after="240" w:line="276" w:lineRule="auto"/>
        <w:rPr>
          <w:rFonts w:ascii="Palatino Linotype" w:hAnsi="Palatino Linotype"/>
          <w:sz w:val="24"/>
          <w:szCs w:val="24"/>
        </w:rPr>
      </w:pPr>
    </w:p>
    <w:p w:rsidRPr="00C652CB" w:rsidR="008E2FA5" w:rsidP="00C86F1B" w:rsidRDefault="00C86F1B" w14:paraId="3D718AE7" w14:textId="2AAC0E4E">
      <w:pPr>
        <w:spacing w:after="240" w:line="276" w:lineRule="auto"/>
        <w:rPr>
          <w:rFonts w:ascii="Palatino Linotype" w:hAnsi="Palatino Linotype"/>
          <w:sz w:val="24"/>
          <w:szCs w:val="24"/>
        </w:rPr>
      </w:pPr>
      <w:r w:rsidRPr="3E8D698D">
        <w:rPr>
          <w:rFonts w:ascii="Palatino Linotype" w:hAnsi="Palatino Linotype"/>
          <w:sz w:val="24"/>
          <w:szCs w:val="24"/>
        </w:rPr>
        <w:t xml:space="preserve">HopSkipDrive proposed </w:t>
      </w:r>
      <w:r w:rsidRPr="3E8D698D" w:rsidR="03B9D52B">
        <w:rPr>
          <w:rFonts w:ascii="Palatino Linotype" w:hAnsi="Palatino Linotype"/>
          <w:sz w:val="24"/>
          <w:szCs w:val="24"/>
        </w:rPr>
        <w:t xml:space="preserve">the lowest trip </w:t>
      </w:r>
      <w:r w:rsidRPr="3E8D698D">
        <w:rPr>
          <w:rFonts w:ascii="Palatino Linotype" w:hAnsi="Palatino Linotype"/>
          <w:sz w:val="24"/>
          <w:szCs w:val="24"/>
        </w:rPr>
        <w:t>threshold</w:t>
      </w:r>
      <w:r w:rsidRPr="3E8D698D" w:rsidR="743D1E45">
        <w:rPr>
          <w:rFonts w:ascii="Palatino Linotype" w:hAnsi="Palatino Linotype"/>
          <w:sz w:val="24"/>
          <w:szCs w:val="24"/>
        </w:rPr>
        <w:t>—an</w:t>
      </w:r>
      <w:r w:rsidRPr="3E8D698D">
        <w:rPr>
          <w:rFonts w:ascii="Palatino Linotype" w:hAnsi="Palatino Linotype"/>
          <w:sz w:val="24"/>
          <w:szCs w:val="24"/>
        </w:rPr>
        <w:t xml:space="preserve"> </w:t>
      </w:r>
      <w:r w:rsidRPr="3E8D698D" w:rsidR="743D1E45">
        <w:rPr>
          <w:rFonts w:ascii="Palatino Linotype" w:hAnsi="Palatino Linotype"/>
          <w:sz w:val="24"/>
          <w:szCs w:val="24"/>
        </w:rPr>
        <w:t xml:space="preserve">order of magnitude lower </w:t>
      </w:r>
      <w:r w:rsidRPr="3E8D698D" w:rsidR="001875B9">
        <w:rPr>
          <w:rFonts w:ascii="Palatino Linotype" w:hAnsi="Palatino Linotype"/>
          <w:sz w:val="24"/>
          <w:szCs w:val="24"/>
        </w:rPr>
        <w:t>than</w:t>
      </w:r>
      <w:r w:rsidRPr="3E8D698D">
        <w:rPr>
          <w:rFonts w:ascii="Palatino Linotype" w:hAnsi="Palatino Linotype"/>
          <w:sz w:val="24"/>
          <w:szCs w:val="24"/>
        </w:rPr>
        <w:t xml:space="preserve"> Uber and Lyft’s. HopSkipDrive noted that drivers on their platform typically drive much fewer trips per </w:t>
      </w:r>
      <w:r w:rsidRPr="3E8D698D" w:rsidR="003915D2">
        <w:rPr>
          <w:rFonts w:ascii="Palatino Linotype" w:hAnsi="Palatino Linotype"/>
          <w:sz w:val="24"/>
          <w:szCs w:val="24"/>
        </w:rPr>
        <w:t xml:space="preserve">year </w:t>
      </w:r>
      <w:r w:rsidRPr="3E8D698D">
        <w:rPr>
          <w:rFonts w:ascii="Palatino Linotype" w:hAnsi="Palatino Linotype"/>
          <w:sz w:val="24"/>
          <w:szCs w:val="24"/>
        </w:rPr>
        <w:t xml:space="preserve">than drivers who are primarily driving on Uber and Lyft’s platforms. </w:t>
      </w:r>
      <w:r w:rsidRPr="3E8D698D" w:rsidR="006166D7">
        <w:rPr>
          <w:rFonts w:ascii="Palatino Linotype" w:hAnsi="Palatino Linotype"/>
          <w:sz w:val="24"/>
          <w:szCs w:val="24"/>
        </w:rPr>
        <w:t xml:space="preserve">However, </w:t>
      </w:r>
      <w:r w:rsidRPr="3E8D698D">
        <w:rPr>
          <w:rFonts w:ascii="Palatino Linotype" w:hAnsi="Palatino Linotype"/>
          <w:sz w:val="24"/>
          <w:szCs w:val="24"/>
        </w:rPr>
        <w:t xml:space="preserve">CPED </w:t>
      </w:r>
      <w:r w:rsidRPr="3E8D698D" w:rsidR="006166D7">
        <w:rPr>
          <w:rFonts w:ascii="Palatino Linotype" w:hAnsi="Palatino Linotype"/>
          <w:sz w:val="24"/>
          <w:szCs w:val="24"/>
        </w:rPr>
        <w:t>analysis indicates</w:t>
      </w:r>
      <w:r w:rsidRPr="3E8D698D">
        <w:rPr>
          <w:rFonts w:ascii="Palatino Linotype" w:hAnsi="Palatino Linotype"/>
          <w:sz w:val="24"/>
          <w:szCs w:val="24"/>
        </w:rPr>
        <w:t xml:space="preserve"> that </w:t>
      </w:r>
      <w:r w:rsidRPr="3E8D698D" w:rsidR="0028073B">
        <w:rPr>
          <w:rFonts w:ascii="Palatino Linotype" w:hAnsi="Palatino Linotype"/>
          <w:sz w:val="24"/>
          <w:szCs w:val="24"/>
        </w:rPr>
        <w:t>50 percent</w:t>
      </w:r>
      <w:r w:rsidRPr="3E8D698D">
        <w:rPr>
          <w:rFonts w:ascii="Palatino Linotype" w:hAnsi="Palatino Linotype"/>
          <w:sz w:val="24"/>
          <w:szCs w:val="24"/>
        </w:rPr>
        <w:t xml:space="preserve"> of drivers who use HopSkipDrive’s platform also provide rides on Uber</w:t>
      </w:r>
      <w:r w:rsidRPr="3E8D698D" w:rsidR="12A36208">
        <w:rPr>
          <w:rFonts w:ascii="Palatino Linotype" w:hAnsi="Palatino Linotype"/>
          <w:sz w:val="24"/>
          <w:szCs w:val="24"/>
        </w:rPr>
        <w:t>’s</w:t>
      </w:r>
      <w:r w:rsidRPr="3E8D698D">
        <w:rPr>
          <w:rFonts w:ascii="Palatino Linotype" w:hAnsi="Palatino Linotype"/>
          <w:sz w:val="24"/>
          <w:szCs w:val="24"/>
        </w:rPr>
        <w:t xml:space="preserve"> and/or Lyft</w:t>
      </w:r>
      <w:r w:rsidRPr="3E8D698D" w:rsidR="3968B853">
        <w:rPr>
          <w:rFonts w:ascii="Palatino Linotype" w:hAnsi="Palatino Linotype"/>
          <w:sz w:val="24"/>
          <w:szCs w:val="24"/>
        </w:rPr>
        <w:t>’s platforms</w:t>
      </w:r>
      <w:r w:rsidRPr="3E8D698D">
        <w:rPr>
          <w:rFonts w:ascii="Palatino Linotype" w:hAnsi="Palatino Linotype"/>
          <w:sz w:val="24"/>
          <w:szCs w:val="24"/>
        </w:rPr>
        <w:t>. The Phase 1 Decision requires the trip threshold to be measure</w:t>
      </w:r>
      <w:r w:rsidRPr="3E8D698D" w:rsidR="00591D2A">
        <w:rPr>
          <w:rFonts w:ascii="Palatino Linotype" w:hAnsi="Palatino Linotype"/>
          <w:sz w:val="24"/>
          <w:szCs w:val="24"/>
        </w:rPr>
        <w:t>d</w:t>
      </w:r>
      <w:r w:rsidRPr="3E8D698D">
        <w:rPr>
          <w:rFonts w:ascii="Palatino Linotype" w:hAnsi="Palatino Linotype"/>
          <w:sz w:val="24"/>
          <w:szCs w:val="24"/>
        </w:rPr>
        <w:t xml:space="preserve"> across all platforms used by a driver. Therefore, a higher trip threshold than proposed by HopSkipDrive is reasonable given the </w:t>
      </w:r>
      <w:r w:rsidRPr="3E8D698D" w:rsidR="4756A898">
        <w:rPr>
          <w:rFonts w:ascii="Palatino Linotype" w:hAnsi="Palatino Linotype"/>
          <w:sz w:val="24"/>
          <w:szCs w:val="24"/>
        </w:rPr>
        <w:t xml:space="preserve">prevalence of </w:t>
      </w:r>
      <w:r w:rsidRPr="3E8D698D">
        <w:rPr>
          <w:rFonts w:ascii="Palatino Linotype" w:hAnsi="Palatino Linotype"/>
          <w:sz w:val="24"/>
          <w:szCs w:val="24"/>
        </w:rPr>
        <w:t xml:space="preserve">cross-platform driving. </w:t>
      </w:r>
    </w:p>
    <w:p w:rsidRPr="00C652CB" w:rsidR="00C86F1B" w:rsidP="00C86F1B" w:rsidRDefault="00C86F1B" w14:paraId="7E5AEBB8" w14:textId="4FC4967E">
      <w:pPr>
        <w:spacing w:after="240" w:line="276" w:lineRule="auto"/>
        <w:rPr>
          <w:rFonts w:ascii="Palatino Linotype" w:hAnsi="Palatino Linotype"/>
          <w:sz w:val="24"/>
          <w:szCs w:val="24"/>
        </w:rPr>
      </w:pPr>
      <w:r w:rsidRPr="3E8D698D">
        <w:rPr>
          <w:rFonts w:ascii="Palatino Linotype" w:hAnsi="Palatino Linotype"/>
          <w:sz w:val="24"/>
          <w:szCs w:val="24"/>
        </w:rPr>
        <w:t>The Commission must balance providing access to CMS incentive</w:t>
      </w:r>
      <w:r w:rsidRPr="3E8D698D" w:rsidR="00D47B59">
        <w:rPr>
          <w:rFonts w:ascii="Palatino Linotype" w:hAnsi="Palatino Linotype"/>
          <w:sz w:val="24"/>
          <w:szCs w:val="24"/>
        </w:rPr>
        <w:t>s</w:t>
      </w:r>
      <w:r w:rsidRPr="3E8D698D">
        <w:rPr>
          <w:rFonts w:ascii="Palatino Linotype" w:hAnsi="Palatino Linotype"/>
          <w:sz w:val="24"/>
          <w:szCs w:val="24"/>
        </w:rPr>
        <w:t xml:space="preserve"> for drivers primarily on the HopSkipDrive platform with </w:t>
      </w:r>
      <w:r w:rsidRPr="3E8D698D" w:rsidR="00542CB3">
        <w:rPr>
          <w:rFonts w:ascii="Palatino Linotype" w:hAnsi="Palatino Linotype"/>
          <w:sz w:val="24"/>
          <w:szCs w:val="24"/>
        </w:rPr>
        <w:t>expanding access to</w:t>
      </w:r>
      <w:r w:rsidRPr="3E8D698D">
        <w:rPr>
          <w:rFonts w:ascii="Palatino Linotype" w:hAnsi="Palatino Linotype"/>
          <w:sz w:val="24"/>
          <w:szCs w:val="24"/>
        </w:rPr>
        <w:t xml:space="preserve"> the CMS incentive to </w:t>
      </w:r>
      <w:r w:rsidRPr="3E8D698D" w:rsidR="00542CB3">
        <w:rPr>
          <w:rFonts w:ascii="Palatino Linotype" w:hAnsi="Palatino Linotype"/>
          <w:sz w:val="24"/>
          <w:szCs w:val="24"/>
        </w:rPr>
        <w:t>more</w:t>
      </w:r>
      <w:r w:rsidRPr="3E8D698D">
        <w:rPr>
          <w:rFonts w:ascii="Palatino Linotype" w:hAnsi="Palatino Linotype"/>
          <w:sz w:val="24"/>
          <w:szCs w:val="24"/>
        </w:rPr>
        <w:t xml:space="preserve"> drivers across all platforms, which could </w:t>
      </w:r>
      <w:r w:rsidRPr="3E8D698D" w:rsidR="001A47B1">
        <w:rPr>
          <w:rFonts w:ascii="Palatino Linotype" w:hAnsi="Palatino Linotype"/>
          <w:sz w:val="24"/>
          <w:szCs w:val="24"/>
        </w:rPr>
        <w:t xml:space="preserve">lead to </w:t>
      </w:r>
      <w:r w:rsidR="00C643E2">
        <w:rPr>
          <w:rFonts w:ascii="Palatino Linotype" w:hAnsi="Palatino Linotype"/>
          <w:sz w:val="24"/>
          <w:szCs w:val="24"/>
        </w:rPr>
        <w:t xml:space="preserve">an unreasonable </w:t>
      </w:r>
      <w:r w:rsidRPr="3E8D698D" w:rsidR="001A47B1">
        <w:rPr>
          <w:rFonts w:ascii="Palatino Linotype" w:hAnsi="Palatino Linotype"/>
          <w:sz w:val="24"/>
          <w:szCs w:val="24"/>
        </w:rPr>
        <w:t xml:space="preserve">per trip fee and </w:t>
      </w:r>
      <w:r w:rsidRPr="3E8D698D" w:rsidR="2E80BFA7">
        <w:rPr>
          <w:rFonts w:ascii="Palatino Linotype" w:hAnsi="Palatino Linotype"/>
          <w:sz w:val="24"/>
          <w:szCs w:val="24"/>
        </w:rPr>
        <w:t xml:space="preserve">increase costs of </w:t>
      </w:r>
      <w:r w:rsidRPr="3E8D698D" w:rsidR="00F41236">
        <w:rPr>
          <w:rFonts w:ascii="Palatino Linotype" w:hAnsi="Palatino Linotype"/>
          <w:sz w:val="24"/>
          <w:szCs w:val="24"/>
        </w:rPr>
        <w:t>the Drivers Assistance Program</w:t>
      </w:r>
      <w:r w:rsidRPr="3E8D698D">
        <w:rPr>
          <w:rFonts w:ascii="Palatino Linotype" w:hAnsi="Palatino Linotype"/>
          <w:sz w:val="24"/>
          <w:szCs w:val="24"/>
        </w:rPr>
        <w:t>. CPED</w:t>
      </w:r>
      <w:r w:rsidRPr="3E8D698D" w:rsidR="006F191D">
        <w:rPr>
          <w:rFonts w:ascii="Palatino Linotype" w:hAnsi="Palatino Linotype"/>
          <w:sz w:val="24"/>
          <w:szCs w:val="24"/>
        </w:rPr>
        <w:t>’s</w:t>
      </w:r>
      <w:r w:rsidRPr="3E8D698D">
        <w:rPr>
          <w:rFonts w:ascii="Palatino Linotype" w:hAnsi="Palatino Linotype"/>
          <w:sz w:val="24"/>
          <w:szCs w:val="24"/>
        </w:rPr>
        <w:t xml:space="preserve"> </w:t>
      </w:r>
      <w:r w:rsidRPr="3E8D698D" w:rsidR="00C97280">
        <w:rPr>
          <w:rFonts w:ascii="Palatino Linotype" w:hAnsi="Palatino Linotype"/>
          <w:sz w:val="24"/>
          <w:szCs w:val="24"/>
        </w:rPr>
        <w:t>analysis of</w:t>
      </w:r>
      <w:r w:rsidRPr="3E8D698D">
        <w:rPr>
          <w:rFonts w:ascii="Palatino Linotype" w:hAnsi="Palatino Linotype"/>
          <w:sz w:val="24"/>
          <w:szCs w:val="24"/>
        </w:rPr>
        <w:t xml:space="preserve"> CMS Annual Report data </w:t>
      </w:r>
      <w:r w:rsidRPr="3E8D698D" w:rsidR="00C97280">
        <w:rPr>
          <w:rFonts w:ascii="Palatino Linotype" w:hAnsi="Palatino Linotype"/>
          <w:sz w:val="24"/>
          <w:szCs w:val="24"/>
        </w:rPr>
        <w:t>indicates that</w:t>
      </w:r>
      <w:r w:rsidRPr="3E8D698D">
        <w:rPr>
          <w:rFonts w:ascii="Palatino Linotype" w:hAnsi="Palatino Linotype"/>
          <w:sz w:val="24"/>
          <w:szCs w:val="24"/>
        </w:rPr>
        <w:t xml:space="preserve"> cross-platform driving </w:t>
      </w:r>
      <w:r w:rsidRPr="3E8D698D" w:rsidR="005D05D9">
        <w:rPr>
          <w:rFonts w:ascii="Palatino Linotype" w:hAnsi="Palatino Linotype"/>
          <w:sz w:val="24"/>
          <w:szCs w:val="24"/>
        </w:rPr>
        <w:t>creates</w:t>
      </w:r>
      <w:r w:rsidRPr="3E8D698D" w:rsidR="00001733">
        <w:rPr>
          <w:rFonts w:ascii="Palatino Linotype" w:hAnsi="Palatino Linotype"/>
          <w:sz w:val="24"/>
          <w:szCs w:val="24"/>
        </w:rPr>
        <w:t xml:space="preserve"> reasonable</w:t>
      </w:r>
      <w:r w:rsidRPr="3E8D698D" w:rsidR="005D05D9">
        <w:rPr>
          <w:rFonts w:ascii="Palatino Linotype" w:hAnsi="Palatino Linotype"/>
          <w:sz w:val="24"/>
          <w:szCs w:val="24"/>
        </w:rPr>
        <w:t xml:space="preserve"> opportunities for</w:t>
      </w:r>
      <w:r w:rsidRPr="3E8D698D">
        <w:rPr>
          <w:rFonts w:ascii="Palatino Linotype" w:hAnsi="Palatino Linotype"/>
          <w:sz w:val="24"/>
          <w:szCs w:val="24"/>
        </w:rPr>
        <w:t xml:space="preserve"> drivers on HopSkipDrive who also drive for Uber and/or Lyft</w:t>
      </w:r>
      <w:r w:rsidRPr="3E8D698D" w:rsidR="00B852D4">
        <w:rPr>
          <w:rFonts w:ascii="Palatino Linotype" w:hAnsi="Palatino Linotype"/>
          <w:sz w:val="24"/>
          <w:szCs w:val="24"/>
        </w:rPr>
        <w:t xml:space="preserve"> to qualify for incentives</w:t>
      </w:r>
      <w:r w:rsidRPr="3E8D698D">
        <w:rPr>
          <w:rFonts w:ascii="Palatino Linotype" w:hAnsi="Palatino Linotype"/>
          <w:sz w:val="24"/>
          <w:szCs w:val="24"/>
        </w:rPr>
        <w:t>.</w:t>
      </w:r>
      <w:r w:rsidRPr="3E8D698D" w:rsidR="001C0A84">
        <w:rPr>
          <w:rFonts w:ascii="Palatino Linotype" w:hAnsi="Palatino Linotype"/>
          <w:sz w:val="24"/>
          <w:szCs w:val="24"/>
        </w:rPr>
        <w:t xml:space="preserve"> </w:t>
      </w:r>
      <w:r w:rsidR="00613088">
        <w:rPr>
          <w:rFonts w:ascii="Palatino Linotype" w:hAnsi="Palatino Linotype"/>
          <w:sz w:val="24"/>
          <w:szCs w:val="24"/>
        </w:rPr>
        <w:t>Further, t</w:t>
      </w:r>
      <w:r w:rsidRPr="3E8D698D" w:rsidR="006F4FD1">
        <w:rPr>
          <w:rFonts w:ascii="Palatino Linotype" w:hAnsi="Palatino Linotype"/>
          <w:sz w:val="24"/>
          <w:szCs w:val="24"/>
        </w:rPr>
        <w:t>he percentage of HopSkipDrive</w:t>
      </w:r>
      <w:r w:rsidRPr="3E8D698D" w:rsidR="00D60D59">
        <w:rPr>
          <w:rFonts w:ascii="Palatino Linotype" w:hAnsi="Palatino Linotype"/>
          <w:sz w:val="24"/>
          <w:szCs w:val="24"/>
        </w:rPr>
        <w:t xml:space="preserve"> drive</w:t>
      </w:r>
      <w:r w:rsidRPr="3E8D698D" w:rsidR="006F4FD1">
        <w:rPr>
          <w:rFonts w:ascii="Palatino Linotype" w:hAnsi="Palatino Linotype"/>
          <w:sz w:val="24"/>
          <w:szCs w:val="24"/>
        </w:rPr>
        <w:t>rs that would qualify exceeds the</w:t>
      </w:r>
      <w:r w:rsidRPr="3E8D698D" w:rsidR="00D60D59">
        <w:rPr>
          <w:rFonts w:ascii="Palatino Linotype" w:hAnsi="Palatino Linotype"/>
          <w:sz w:val="24"/>
          <w:szCs w:val="24"/>
        </w:rPr>
        <w:t xml:space="preserve"> </w:t>
      </w:r>
      <w:r w:rsidRPr="3E8D698D" w:rsidR="006F4FD1">
        <w:rPr>
          <w:rFonts w:ascii="Palatino Linotype" w:hAnsi="Palatino Linotype"/>
          <w:sz w:val="24"/>
          <w:szCs w:val="24"/>
        </w:rPr>
        <w:t xml:space="preserve">percentage </w:t>
      </w:r>
      <w:r w:rsidRPr="3E8D698D" w:rsidR="00D60D59">
        <w:rPr>
          <w:rFonts w:ascii="Palatino Linotype" w:hAnsi="Palatino Linotype"/>
          <w:sz w:val="24"/>
          <w:szCs w:val="24"/>
        </w:rPr>
        <w:t xml:space="preserve">of drivers who will access the incentive </w:t>
      </w:r>
      <w:r w:rsidRPr="3E8D698D" w:rsidR="10CF73FB">
        <w:rPr>
          <w:rFonts w:ascii="Palatino Linotype" w:hAnsi="Palatino Linotype"/>
          <w:sz w:val="24"/>
          <w:szCs w:val="24"/>
        </w:rPr>
        <w:t xml:space="preserve">proposed </w:t>
      </w:r>
      <w:r w:rsidRPr="3E8D698D" w:rsidR="00D60D59">
        <w:rPr>
          <w:rFonts w:ascii="Palatino Linotype" w:hAnsi="Palatino Linotype"/>
          <w:sz w:val="24"/>
          <w:szCs w:val="24"/>
        </w:rPr>
        <w:t>in HopSkipDrive’s Interim GHG Plan.</w:t>
      </w:r>
      <w:r w:rsidRPr="3E8D698D">
        <w:rPr>
          <w:rFonts w:ascii="Palatino Linotype" w:hAnsi="Palatino Linotype"/>
          <w:sz w:val="24"/>
          <w:szCs w:val="24"/>
        </w:rPr>
        <w:t xml:space="preserve">   </w:t>
      </w:r>
    </w:p>
    <w:p w:rsidRPr="00C652CB" w:rsidR="00C86F1B" w:rsidP="3E8D698D" w:rsidRDefault="00C86F1B" w14:paraId="0111F2CD" w14:textId="0A3F597A">
      <w:pPr>
        <w:spacing w:after="240" w:line="276" w:lineRule="auto"/>
        <w:rPr>
          <w:rFonts w:ascii="Palatino Linotype" w:hAnsi="Palatino Linotype"/>
          <w:sz w:val="24"/>
          <w:szCs w:val="24"/>
        </w:rPr>
      </w:pPr>
      <w:r w:rsidRPr="23BE7E22">
        <w:rPr>
          <w:rFonts w:ascii="Palatino Linotype" w:hAnsi="Palatino Linotype"/>
          <w:sz w:val="24"/>
          <w:szCs w:val="24"/>
        </w:rPr>
        <w:t>CPED’s analysis finds that setting a threshold of 4,500 trips across all platforms over the last 12-month period provide</w:t>
      </w:r>
      <w:r w:rsidRPr="23BE7E22" w:rsidR="00393402">
        <w:rPr>
          <w:rFonts w:ascii="Palatino Linotype" w:hAnsi="Palatino Linotype"/>
          <w:sz w:val="24"/>
          <w:szCs w:val="24"/>
        </w:rPr>
        <w:t>s</w:t>
      </w:r>
      <w:r w:rsidRPr="23BE7E22">
        <w:rPr>
          <w:rFonts w:ascii="Palatino Linotype" w:hAnsi="Palatino Linotype"/>
          <w:sz w:val="24"/>
          <w:szCs w:val="24"/>
        </w:rPr>
        <w:t xml:space="preserve"> </w:t>
      </w:r>
      <w:r w:rsidRPr="23BE7E22" w:rsidR="00001733">
        <w:rPr>
          <w:rFonts w:ascii="Palatino Linotype" w:hAnsi="Palatino Linotype"/>
          <w:sz w:val="24"/>
          <w:szCs w:val="24"/>
        </w:rPr>
        <w:t>a reasonable</w:t>
      </w:r>
      <w:r w:rsidRPr="23BE7E22">
        <w:rPr>
          <w:rFonts w:ascii="Palatino Linotype" w:hAnsi="Palatino Linotype"/>
          <w:sz w:val="24"/>
          <w:szCs w:val="24"/>
        </w:rPr>
        <w:t xml:space="preserve"> opportunity </w:t>
      </w:r>
      <w:r w:rsidRPr="23BE7E22" w:rsidR="00001733">
        <w:rPr>
          <w:rFonts w:ascii="Palatino Linotype" w:hAnsi="Palatino Linotype"/>
          <w:sz w:val="24"/>
          <w:szCs w:val="24"/>
        </w:rPr>
        <w:t>for</w:t>
      </w:r>
      <w:r w:rsidRPr="23BE7E22">
        <w:rPr>
          <w:rFonts w:ascii="Palatino Linotype" w:hAnsi="Palatino Linotype"/>
          <w:sz w:val="24"/>
          <w:szCs w:val="24"/>
        </w:rPr>
        <w:t xml:space="preserve"> HopSkipDrive drivers who also provide service through Uber and/or Lyft</w:t>
      </w:r>
      <w:r w:rsidRPr="23BE7E22" w:rsidR="00001733">
        <w:rPr>
          <w:rFonts w:ascii="Palatino Linotype" w:hAnsi="Palatino Linotype"/>
          <w:sz w:val="24"/>
          <w:szCs w:val="24"/>
        </w:rPr>
        <w:t xml:space="preserve"> to access CMS incentives</w:t>
      </w:r>
      <w:r w:rsidRPr="23BE7E22">
        <w:rPr>
          <w:rFonts w:ascii="Palatino Linotype" w:hAnsi="Palatino Linotype"/>
          <w:sz w:val="24"/>
          <w:szCs w:val="24"/>
        </w:rPr>
        <w:t xml:space="preserve">. The threshold allows for a percentage of drivers to access the incentive (based on trips provided) that </w:t>
      </w:r>
      <w:r w:rsidRPr="23BE7E22" w:rsidR="00D24393">
        <w:rPr>
          <w:rFonts w:ascii="Palatino Linotype" w:hAnsi="Palatino Linotype"/>
          <w:sz w:val="24"/>
          <w:szCs w:val="24"/>
        </w:rPr>
        <w:t>aligns</w:t>
      </w:r>
      <w:r w:rsidRPr="23BE7E22">
        <w:rPr>
          <w:rFonts w:ascii="Palatino Linotype" w:hAnsi="Palatino Linotype"/>
          <w:sz w:val="24"/>
          <w:szCs w:val="24"/>
        </w:rPr>
        <w:t xml:space="preserve"> with the estimates </w:t>
      </w:r>
      <w:proofErr w:type="gramStart"/>
      <w:r w:rsidRPr="23BE7E22">
        <w:rPr>
          <w:rFonts w:ascii="Palatino Linotype" w:hAnsi="Palatino Linotype"/>
          <w:sz w:val="24"/>
          <w:szCs w:val="24"/>
        </w:rPr>
        <w:t>provide</w:t>
      </w:r>
      <w:proofErr w:type="gramEnd"/>
      <w:r w:rsidRPr="23BE7E22">
        <w:rPr>
          <w:rFonts w:ascii="Palatino Linotype" w:hAnsi="Palatino Linotype"/>
          <w:sz w:val="24"/>
          <w:szCs w:val="24"/>
        </w:rPr>
        <w:t xml:space="preserve"> by all three companies for the percentage of drivers transitioning to ZEVs.</w:t>
      </w:r>
      <w:r w:rsidRPr="23BE7E22" w:rsidR="00950B4B">
        <w:rPr>
          <w:rFonts w:ascii="Palatino Linotype" w:hAnsi="Palatino Linotype"/>
          <w:sz w:val="24"/>
          <w:szCs w:val="24"/>
        </w:rPr>
        <w:t xml:space="preserve"> </w:t>
      </w:r>
      <w:r w:rsidR="000F5F54">
        <w:rPr>
          <w:rFonts w:ascii="Palatino Linotype" w:hAnsi="Palatino Linotype"/>
          <w:sz w:val="24"/>
          <w:szCs w:val="24"/>
        </w:rPr>
        <w:t>CPED</w:t>
      </w:r>
      <w:r w:rsidRPr="00D368E5" w:rsidR="00D368E5">
        <w:rPr>
          <w:rFonts w:ascii="Palatino Linotype" w:hAnsi="Palatino Linotype"/>
          <w:sz w:val="24"/>
          <w:szCs w:val="24"/>
        </w:rPr>
        <w:t xml:space="preserve"> staff analysis finds that drivers who are providing more than 4,500 trips per year drive on average 8.5 hours per day over five days per week</w:t>
      </w:r>
      <w:r w:rsidR="001B469B">
        <w:rPr>
          <w:rFonts w:ascii="Palatino Linotype" w:hAnsi="Palatino Linotype"/>
          <w:sz w:val="24"/>
          <w:szCs w:val="24"/>
        </w:rPr>
        <w:t xml:space="preserve">. </w:t>
      </w:r>
      <w:r w:rsidR="0050678D">
        <w:rPr>
          <w:rFonts w:ascii="Palatino Linotype" w:hAnsi="Palatino Linotype"/>
          <w:sz w:val="24"/>
          <w:szCs w:val="24"/>
        </w:rPr>
        <w:t>T</w:t>
      </w:r>
      <w:r w:rsidRPr="23BE7E22" w:rsidR="00950B4B">
        <w:rPr>
          <w:rFonts w:ascii="Palatino Linotype" w:hAnsi="Palatino Linotype"/>
          <w:sz w:val="24"/>
          <w:szCs w:val="24"/>
        </w:rPr>
        <w:t xml:space="preserve">argeting </w:t>
      </w:r>
      <w:r w:rsidR="0050678D">
        <w:rPr>
          <w:rFonts w:ascii="Palatino Linotype" w:hAnsi="Palatino Linotype"/>
          <w:sz w:val="24"/>
          <w:szCs w:val="24"/>
        </w:rPr>
        <w:t xml:space="preserve">these </w:t>
      </w:r>
      <w:r w:rsidRPr="23BE7E22" w:rsidR="00950B4B">
        <w:rPr>
          <w:rFonts w:ascii="Palatino Linotype" w:hAnsi="Palatino Linotype"/>
          <w:sz w:val="24"/>
          <w:szCs w:val="24"/>
        </w:rPr>
        <w:t>high-mileage, long-term drivers to transition earl</w:t>
      </w:r>
      <w:r w:rsidRPr="23BE7E22" w:rsidR="00203218">
        <w:rPr>
          <w:rFonts w:ascii="Palatino Linotype" w:hAnsi="Palatino Linotype"/>
          <w:sz w:val="24"/>
          <w:szCs w:val="24"/>
        </w:rPr>
        <w:t>y</w:t>
      </w:r>
      <w:r w:rsidRPr="23BE7E22" w:rsidR="00950B4B">
        <w:rPr>
          <w:rFonts w:ascii="Palatino Linotype" w:hAnsi="Palatino Linotype"/>
          <w:sz w:val="24"/>
          <w:szCs w:val="24"/>
        </w:rPr>
        <w:t xml:space="preserve"> helps CMS Regulated Entities to meet their annual targets and can make a larger impact on reducing GHG emissions.</w:t>
      </w:r>
      <w:r w:rsidRPr="23BE7E22">
        <w:rPr>
          <w:rFonts w:ascii="Palatino Linotype" w:hAnsi="Palatino Linotype"/>
          <w:sz w:val="24"/>
          <w:szCs w:val="24"/>
        </w:rPr>
        <w:t xml:space="preserve"> </w:t>
      </w:r>
      <w:r w:rsidRPr="23BE7E22" w:rsidR="00E52BE0">
        <w:rPr>
          <w:rFonts w:ascii="Palatino Linotype" w:hAnsi="Palatino Linotype"/>
          <w:sz w:val="24"/>
          <w:szCs w:val="24"/>
        </w:rPr>
        <w:t xml:space="preserve">As the program progresses, the CPUC will </w:t>
      </w:r>
      <w:r w:rsidRPr="23BE7E22" w:rsidR="6352A7BF">
        <w:rPr>
          <w:rFonts w:ascii="Palatino Linotype" w:hAnsi="Palatino Linotype"/>
          <w:sz w:val="24"/>
          <w:szCs w:val="24"/>
        </w:rPr>
        <w:t xml:space="preserve">monitor </w:t>
      </w:r>
      <w:r w:rsidRPr="23BE7E22" w:rsidR="00E52BE0">
        <w:rPr>
          <w:rFonts w:ascii="Palatino Linotype" w:hAnsi="Palatino Linotype"/>
          <w:sz w:val="24"/>
          <w:szCs w:val="24"/>
        </w:rPr>
        <w:t xml:space="preserve">feedback </w:t>
      </w:r>
      <w:r w:rsidRPr="23BE7E22" w:rsidR="00E52BE0">
        <w:rPr>
          <w:rFonts w:ascii="Palatino Linotype" w:hAnsi="Palatino Linotype"/>
          <w:sz w:val="24"/>
          <w:szCs w:val="24"/>
        </w:rPr>
        <w:lastRenderedPageBreak/>
        <w:t>from drivers and the Drivers Assistance Program, updated compliance data, and future GHG Plans</w:t>
      </w:r>
      <w:r w:rsidRPr="23BE7E22" w:rsidR="5E014E90">
        <w:rPr>
          <w:rFonts w:ascii="Palatino Linotype" w:hAnsi="Palatino Linotype"/>
          <w:sz w:val="24"/>
          <w:szCs w:val="24"/>
        </w:rPr>
        <w:t>, and consider updates to the trip threshold</w:t>
      </w:r>
      <w:r w:rsidRPr="23BE7E22" w:rsidR="00E52BE0">
        <w:rPr>
          <w:rFonts w:ascii="Palatino Linotype" w:hAnsi="Palatino Linotype"/>
          <w:sz w:val="24"/>
          <w:szCs w:val="24"/>
        </w:rPr>
        <w:t>.</w:t>
      </w:r>
    </w:p>
    <w:p w:rsidRPr="00C652CB" w:rsidR="00C86F1B" w:rsidP="00C86F1B" w:rsidRDefault="00C86F1B" w14:paraId="289C46D1" w14:textId="789723F2">
      <w:pPr>
        <w:spacing w:after="240" w:line="276" w:lineRule="auto"/>
        <w:rPr>
          <w:rFonts w:ascii="Palatino Linotype" w:hAnsi="Palatino Linotype"/>
          <w:sz w:val="24"/>
          <w:szCs w:val="24"/>
        </w:rPr>
      </w:pPr>
      <w:r w:rsidRPr="23BE7E22">
        <w:rPr>
          <w:rFonts w:ascii="Palatino Linotype" w:hAnsi="Palatino Linotype"/>
          <w:sz w:val="24"/>
          <w:szCs w:val="24"/>
        </w:rPr>
        <w:t xml:space="preserve">Therefore, this resolution establishes a minimum driving threshold across the three companies to be </w:t>
      </w:r>
      <w:r w:rsidRPr="23BE7E22">
        <w:rPr>
          <w:rFonts w:ascii="Palatino Linotype" w:hAnsi="Palatino Linotype"/>
          <w:b/>
          <w:bCs/>
          <w:sz w:val="24"/>
          <w:szCs w:val="24"/>
        </w:rPr>
        <w:t>4,500 trips</w:t>
      </w:r>
      <w:r w:rsidRPr="23BE7E22">
        <w:rPr>
          <w:rFonts w:ascii="Palatino Linotype" w:hAnsi="Palatino Linotype"/>
          <w:sz w:val="24"/>
          <w:szCs w:val="24"/>
        </w:rPr>
        <w:t xml:space="preserve"> within a 12-month period</w:t>
      </w:r>
      <w:r w:rsidR="00001485">
        <w:rPr>
          <w:rFonts w:ascii="Palatino Linotype" w:hAnsi="Palatino Linotype"/>
          <w:sz w:val="24"/>
          <w:szCs w:val="24"/>
        </w:rPr>
        <w:t>.</w:t>
      </w:r>
      <w:r w:rsidR="00001485">
        <w:rPr>
          <w:rStyle w:val="FootnoteReference"/>
          <w:rFonts w:ascii="Palatino Linotype" w:hAnsi="Palatino Linotype"/>
          <w:sz w:val="24"/>
          <w:szCs w:val="24"/>
        </w:rPr>
        <w:footnoteReference w:id="4"/>
      </w:r>
      <w:r w:rsidRPr="23BE7E22" w:rsidR="684EEC0A">
        <w:rPr>
          <w:rFonts w:ascii="Palatino Linotype" w:hAnsi="Palatino Linotype"/>
          <w:sz w:val="24"/>
          <w:szCs w:val="24"/>
        </w:rPr>
        <w:t xml:space="preserve"> </w:t>
      </w:r>
    </w:p>
    <w:p w:rsidRPr="00A60ADD" w:rsidR="00CF17DE" w:rsidRDefault="00CF17DE" w14:paraId="18822EA7" w14:textId="77777777">
      <w:pPr>
        <w:pStyle w:val="Heading1"/>
        <w:rPr>
          <w:rFonts w:ascii="Palatino Linotype" w:hAnsi="Palatino Linotype"/>
          <w:sz w:val="24"/>
          <w:szCs w:val="24"/>
        </w:rPr>
      </w:pPr>
      <w:r w:rsidRPr="00A60ADD">
        <w:rPr>
          <w:rFonts w:ascii="Palatino Linotype" w:hAnsi="Palatino Linotype"/>
          <w:sz w:val="24"/>
          <w:szCs w:val="24"/>
        </w:rPr>
        <w:t>Comments</w:t>
      </w:r>
    </w:p>
    <w:p w:rsidRPr="00C652CB" w:rsidR="00C51F69" w:rsidP="00AC77D3" w:rsidRDefault="00C51F69" w14:paraId="0AB87963" w14:textId="77777777">
      <w:pPr>
        <w:spacing w:after="240" w:line="276" w:lineRule="auto"/>
        <w:rPr>
          <w:rFonts w:ascii="Palatino Linotype" w:hAnsi="Palatino Linotype"/>
          <w:sz w:val="24"/>
          <w:szCs w:val="24"/>
        </w:rPr>
      </w:pPr>
      <w:r w:rsidRPr="00C652CB">
        <w:rPr>
          <w:rFonts w:ascii="Palatino Linotype" w:hAnsi="Palatino Linotype"/>
          <w:sz w:val="24"/>
          <w:szCs w:val="24"/>
        </w:rPr>
        <w:t>Public Utilities Code § 311(g)(1) provides that this resolution must be served on all parties and be subject to at least 30 days public review. Any comments are due within 20 days of the date of its mailing and publication on the Commission’s website and in accordance with any instructions accompanying the notice. Public Utilities Code § 311(g)(2) provides that this 30-day review period and 20-day comment period may be reduced or waived upon the stipulation of all parties in the proceeding.</w:t>
      </w:r>
    </w:p>
    <w:p w:rsidR="00CF17DE" w:rsidRDefault="00CF17DE" w14:paraId="554488A5" w14:textId="77777777">
      <w:pPr>
        <w:rPr>
          <w:rFonts w:ascii="Times New Roman" w:hAnsi="Times New Roman"/>
          <w:b/>
          <w:smallCaps/>
        </w:rPr>
      </w:pPr>
    </w:p>
    <w:p w:rsidRPr="00A60ADD" w:rsidR="00CF17DE" w:rsidRDefault="00CF17DE" w14:paraId="2D90B3E6" w14:textId="77777777">
      <w:pPr>
        <w:pStyle w:val="Heading1"/>
        <w:rPr>
          <w:rFonts w:ascii="Palatino Linotype" w:hAnsi="Palatino Linotype"/>
          <w:sz w:val="24"/>
          <w:szCs w:val="24"/>
        </w:rPr>
      </w:pPr>
      <w:r w:rsidRPr="00A60ADD">
        <w:rPr>
          <w:rFonts w:ascii="Palatino Linotype" w:hAnsi="Palatino Linotype"/>
          <w:sz w:val="24"/>
          <w:szCs w:val="24"/>
        </w:rPr>
        <w:t>Findings</w:t>
      </w:r>
    </w:p>
    <w:p w:rsidRPr="00F1204E" w:rsidR="00CF17DE" w:rsidRDefault="00CF17DE" w14:paraId="23524CEF" w14:textId="77777777">
      <w:pPr>
        <w:pStyle w:val="List"/>
        <w:ind w:left="0" w:firstLine="0"/>
      </w:pPr>
    </w:p>
    <w:p w:rsidRPr="00CB3DFF" w:rsidR="003E6DF2" w:rsidP="003E6DF2" w:rsidRDefault="003E6DF2" w14:paraId="58F98F2B" w14:textId="5FE95BF5">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D.24-03-001 directed</w:t>
      </w:r>
      <w:r w:rsidRPr="00CB3DFF" w:rsidR="006B5751">
        <w:rPr>
          <w:rFonts w:ascii="Palatino Linotype" w:hAnsi="Palatino Linotype"/>
          <w:sz w:val="24"/>
          <w:szCs w:val="24"/>
        </w:rPr>
        <w:t xml:space="preserve"> </w:t>
      </w:r>
      <w:r w:rsidRPr="00CB3DFF" w:rsidR="00EF7C40">
        <w:rPr>
          <w:rFonts w:ascii="Palatino Linotype" w:hAnsi="Palatino Linotype"/>
          <w:sz w:val="24"/>
          <w:szCs w:val="24"/>
        </w:rPr>
        <w:t>non-exempt CMS Regulated Entities</w:t>
      </w:r>
      <w:r w:rsidRPr="00CB3DFF">
        <w:rPr>
          <w:rFonts w:ascii="Palatino Linotype" w:hAnsi="Palatino Linotype"/>
          <w:sz w:val="24"/>
          <w:szCs w:val="24"/>
        </w:rPr>
        <w:t xml:space="preserve"> to file an Interim GHG Plan via a Tier 3 advice letter within 120 days of the effective date of the decision, by July 5, 2024.</w:t>
      </w:r>
      <w:r w:rsidRPr="00CB3DFF" w:rsidR="00CF17DE">
        <w:rPr>
          <w:rFonts w:ascii="Palatino Linotype" w:hAnsi="Palatino Linotype"/>
          <w:sz w:val="24"/>
          <w:szCs w:val="24"/>
        </w:rPr>
        <w:t xml:space="preserve">  </w:t>
      </w:r>
    </w:p>
    <w:p w:rsidRPr="00CB3DFF" w:rsidR="00CF17DE" w:rsidP="003E6DF2" w:rsidRDefault="00CF17DE" w14:paraId="275E2027" w14:textId="620445E0">
      <w:pPr>
        <w:spacing w:line="276" w:lineRule="auto"/>
        <w:ind w:left="420"/>
        <w:rPr>
          <w:rFonts w:ascii="Palatino Linotype" w:hAnsi="Palatino Linotype"/>
          <w:sz w:val="24"/>
          <w:szCs w:val="24"/>
        </w:rPr>
      </w:pPr>
      <w:r w:rsidRPr="00CB3DFF">
        <w:rPr>
          <w:rFonts w:ascii="Palatino Linotype" w:hAnsi="Palatino Linotype"/>
          <w:sz w:val="24"/>
          <w:szCs w:val="24"/>
        </w:rPr>
        <w:t xml:space="preserve"> </w:t>
      </w:r>
    </w:p>
    <w:p w:rsidRPr="00CB3DFF" w:rsidR="003E6DF2" w:rsidP="003E6DF2" w:rsidRDefault="003E6DF2" w14:paraId="35FF5221" w14:textId="0B316DBC">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 xml:space="preserve">On July </w:t>
      </w:r>
      <w:r w:rsidRPr="00CB3DFF" w:rsidR="00EF7C40">
        <w:rPr>
          <w:rFonts w:ascii="Palatino Linotype" w:hAnsi="Palatino Linotype"/>
          <w:sz w:val="24"/>
          <w:szCs w:val="24"/>
        </w:rPr>
        <w:t>5</w:t>
      </w:r>
      <w:r w:rsidRPr="00CB3DFF">
        <w:rPr>
          <w:rFonts w:ascii="Palatino Linotype" w:hAnsi="Palatino Linotype"/>
          <w:sz w:val="24"/>
          <w:szCs w:val="24"/>
        </w:rPr>
        <w:t xml:space="preserve">, 2024, </w:t>
      </w:r>
      <w:r w:rsidRPr="00CB3DFF" w:rsidR="00EF7C40">
        <w:rPr>
          <w:rFonts w:ascii="Palatino Linotype" w:hAnsi="Palatino Linotype"/>
          <w:sz w:val="24"/>
          <w:szCs w:val="24"/>
        </w:rPr>
        <w:t>Uber</w:t>
      </w:r>
      <w:r w:rsidRPr="00CB3DFF">
        <w:rPr>
          <w:rFonts w:ascii="Palatino Linotype" w:hAnsi="Palatino Linotype"/>
          <w:sz w:val="24"/>
          <w:szCs w:val="24"/>
        </w:rPr>
        <w:t xml:space="preserve"> filed Tier 3 Advice Letter </w:t>
      </w:r>
      <w:r w:rsidRPr="00CB3DFF" w:rsidR="006B5751">
        <w:rPr>
          <w:rFonts w:ascii="Palatino Linotype" w:hAnsi="Palatino Linotype"/>
          <w:sz w:val="24"/>
          <w:szCs w:val="24"/>
        </w:rPr>
        <w:t>2</w:t>
      </w:r>
      <w:r w:rsidRPr="00CB3DFF" w:rsidR="00EF7C40">
        <w:rPr>
          <w:rFonts w:ascii="Palatino Linotype" w:hAnsi="Palatino Linotype"/>
          <w:sz w:val="24"/>
          <w:szCs w:val="24"/>
        </w:rPr>
        <w:t>7</w:t>
      </w:r>
      <w:r w:rsidRPr="00CB3DFF">
        <w:rPr>
          <w:rFonts w:ascii="Palatino Linotype" w:hAnsi="Palatino Linotype"/>
          <w:sz w:val="24"/>
          <w:szCs w:val="24"/>
        </w:rPr>
        <w:t xml:space="preserve"> submitting the required Interim GHG Plan.</w:t>
      </w:r>
    </w:p>
    <w:p w:rsidRPr="00CB3DFF" w:rsidR="001E5709" w:rsidP="001E5709" w:rsidRDefault="001E5709" w14:paraId="21F217CB" w14:textId="77777777">
      <w:pPr>
        <w:pStyle w:val="ListParagraph"/>
        <w:rPr>
          <w:rFonts w:ascii="Palatino Linotype" w:hAnsi="Palatino Linotype"/>
        </w:rPr>
      </w:pPr>
    </w:p>
    <w:p w:rsidRPr="00CB3DFF" w:rsidR="001E5709" w:rsidP="003E6DF2" w:rsidRDefault="00ED2E69" w14:paraId="71DC0D2B" w14:textId="16DF292C">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Pursuant to D.24-03-001</w:t>
      </w:r>
      <w:r w:rsidRPr="00CB3DFF" w:rsidR="00B00A10">
        <w:rPr>
          <w:rFonts w:ascii="Palatino Linotype" w:hAnsi="Palatino Linotype"/>
          <w:sz w:val="24"/>
          <w:szCs w:val="24"/>
        </w:rPr>
        <w:t>,</w:t>
      </w:r>
      <w:r w:rsidRPr="00CB3DFF">
        <w:rPr>
          <w:rFonts w:ascii="Palatino Linotype" w:hAnsi="Palatino Linotype"/>
          <w:sz w:val="24"/>
          <w:szCs w:val="24"/>
        </w:rPr>
        <w:t xml:space="preserve"> CPED</w:t>
      </w:r>
      <w:r w:rsidRPr="00CB3DFF" w:rsidR="009D2F07">
        <w:rPr>
          <w:rFonts w:ascii="Palatino Linotype" w:hAnsi="Palatino Linotype"/>
          <w:sz w:val="24"/>
          <w:szCs w:val="24"/>
        </w:rPr>
        <w:t xml:space="preserve"> review</w:t>
      </w:r>
      <w:r w:rsidRPr="00CB3DFF" w:rsidR="00AF4BBB">
        <w:rPr>
          <w:rFonts w:ascii="Palatino Linotype" w:hAnsi="Palatino Linotype"/>
          <w:sz w:val="24"/>
          <w:szCs w:val="24"/>
        </w:rPr>
        <w:t>ed</w:t>
      </w:r>
      <w:r w:rsidRPr="00CB3DFF" w:rsidR="009D2F07">
        <w:rPr>
          <w:rFonts w:ascii="Palatino Linotype" w:hAnsi="Palatino Linotype"/>
          <w:sz w:val="24"/>
          <w:szCs w:val="24"/>
        </w:rPr>
        <w:t xml:space="preserve"> the Interim GHG Plan for </w:t>
      </w:r>
      <w:r w:rsidRPr="00CB3DFF" w:rsidR="00D42B36">
        <w:rPr>
          <w:rFonts w:ascii="Palatino Linotype" w:hAnsi="Palatino Linotype"/>
          <w:sz w:val="24"/>
          <w:szCs w:val="24"/>
        </w:rPr>
        <w:t xml:space="preserve">the following criteria: completeness, feasibility, and accuracy. Each element </w:t>
      </w:r>
      <w:r w:rsidR="00181036">
        <w:rPr>
          <w:rFonts w:ascii="Palatino Linotype" w:hAnsi="Palatino Linotype"/>
          <w:sz w:val="24"/>
          <w:szCs w:val="24"/>
        </w:rPr>
        <w:t>w</w:t>
      </w:r>
      <w:r w:rsidR="006547AE">
        <w:rPr>
          <w:rFonts w:ascii="Palatino Linotype" w:hAnsi="Palatino Linotype"/>
          <w:sz w:val="24"/>
          <w:szCs w:val="24"/>
        </w:rPr>
        <w:t>as</w:t>
      </w:r>
      <w:r w:rsidRPr="00CB3DFF" w:rsidR="00D42B36">
        <w:rPr>
          <w:rFonts w:ascii="Palatino Linotype" w:hAnsi="Palatino Linotype"/>
          <w:sz w:val="24"/>
          <w:szCs w:val="24"/>
        </w:rPr>
        <w:t xml:space="preserve"> scored as “exemplary</w:t>
      </w:r>
      <w:r w:rsidR="006547AE">
        <w:rPr>
          <w:rFonts w:ascii="Palatino Linotype" w:hAnsi="Palatino Linotype"/>
          <w:sz w:val="24"/>
          <w:szCs w:val="24"/>
        </w:rPr>
        <w:t>,</w:t>
      </w:r>
      <w:r w:rsidRPr="00CB3DFF" w:rsidR="00D42B36">
        <w:rPr>
          <w:rFonts w:ascii="Palatino Linotype" w:hAnsi="Palatino Linotype"/>
          <w:sz w:val="24"/>
          <w:szCs w:val="24"/>
        </w:rPr>
        <w:t>” “sufficient</w:t>
      </w:r>
      <w:r w:rsidR="006547AE">
        <w:rPr>
          <w:rFonts w:ascii="Palatino Linotype" w:hAnsi="Palatino Linotype"/>
          <w:sz w:val="24"/>
          <w:szCs w:val="24"/>
        </w:rPr>
        <w:t>,</w:t>
      </w:r>
      <w:r w:rsidRPr="00CB3DFF" w:rsidR="00D42B36">
        <w:rPr>
          <w:rFonts w:ascii="Palatino Linotype" w:hAnsi="Palatino Linotype"/>
          <w:sz w:val="24"/>
          <w:szCs w:val="24"/>
        </w:rPr>
        <w:t>” or “deficient.”</w:t>
      </w:r>
    </w:p>
    <w:p w:rsidRPr="00CB3DFF" w:rsidR="00D42B36" w:rsidP="00D42B36" w:rsidRDefault="00D42B36" w14:paraId="372EBC55" w14:textId="77777777">
      <w:pPr>
        <w:pStyle w:val="ListParagraph"/>
        <w:rPr>
          <w:rFonts w:ascii="Palatino Linotype" w:hAnsi="Palatino Linotype"/>
        </w:rPr>
      </w:pPr>
    </w:p>
    <w:p w:rsidRPr="00CB3DFF" w:rsidR="00D42B36" w:rsidP="003E6DF2" w:rsidRDefault="00B00A10" w14:paraId="3952C3CF" w14:textId="49903B44">
      <w:pPr>
        <w:numPr>
          <w:ilvl w:val="0"/>
          <w:numId w:val="4"/>
        </w:numPr>
        <w:spacing w:line="276" w:lineRule="auto"/>
        <w:rPr>
          <w:rFonts w:ascii="Palatino Linotype" w:hAnsi="Palatino Linotype"/>
          <w:sz w:val="24"/>
          <w:szCs w:val="24"/>
        </w:rPr>
      </w:pPr>
      <w:r w:rsidRPr="3E8D698D">
        <w:rPr>
          <w:rFonts w:ascii="Palatino Linotype" w:hAnsi="Palatino Linotype"/>
          <w:sz w:val="24"/>
          <w:szCs w:val="24"/>
        </w:rPr>
        <w:t xml:space="preserve">Pursuant to D.24-03-001, the Commission </w:t>
      </w:r>
      <w:r w:rsidRPr="3E8D698D" w:rsidR="1BE677F1">
        <w:rPr>
          <w:rFonts w:ascii="Palatino Linotype" w:hAnsi="Palatino Linotype"/>
          <w:sz w:val="24"/>
          <w:szCs w:val="24"/>
        </w:rPr>
        <w:t xml:space="preserve">must </w:t>
      </w:r>
      <w:r w:rsidRPr="3E8D698D" w:rsidR="002D27B6">
        <w:rPr>
          <w:rFonts w:ascii="Palatino Linotype" w:hAnsi="Palatino Linotype"/>
          <w:sz w:val="24"/>
          <w:szCs w:val="24"/>
        </w:rPr>
        <w:t xml:space="preserve">set a uniform statewide CMS Regulatory Fee (per Attachment D of D.24-03-001), Drivers Assistance Program </w:t>
      </w:r>
      <w:r w:rsidRPr="3E8D698D" w:rsidR="002D27B6">
        <w:rPr>
          <w:rFonts w:ascii="Palatino Linotype" w:hAnsi="Palatino Linotype"/>
          <w:sz w:val="24"/>
          <w:szCs w:val="24"/>
        </w:rPr>
        <w:lastRenderedPageBreak/>
        <w:t xml:space="preserve">Budget, and minimum trip threshold for LMI drivers to qualify for the CMS incentives informed by all CMS Regulated </w:t>
      </w:r>
      <w:proofErr w:type="gramStart"/>
      <w:r w:rsidRPr="3E8D698D" w:rsidR="002D27B6">
        <w:rPr>
          <w:rFonts w:ascii="Palatino Linotype" w:hAnsi="Palatino Linotype"/>
          <w:sz w:val="24"/>
          <w:szCs w:val="24"/>
        </w:rPr>
        <w:t>Entities’</w:t>
      </w:r>
      <w:proofErr w:type="gramEnd"/>
      <w:r w:rsidRPr="3E8D698D" w:rsidR="002D27B6">
        <w:rPr>
          <w:rFonts w:ascii="Palatino Linotype" w:hAnsi="Palatino Linotype"/>
          <w:sz w:val="24"/>
          <w:szCs w:val="24"/>
        </w:rPr>
        <w:t xml:space="preserve"> submitted GHG Plans.</w:t>
      </w:r>
    </w:p>
    <w:p w:rsidRPr="00CB3DFF" w:rsidR="002D27B6" w:rsidP="002D27B6" w:rsidRDefault="002D27B6" w14:paraId="3223AF1E" w14:textId="77777777">
      <w:pPr>
        <w:pStyle w:val="ListParagraph"/>
        <w:rPr>
          <w:rFonts w:ascii="Palatino Linotype" w:hAnsi="Palatino Linotype"/>
        </w:rPr>
      </w:pPr>
    </w:p>
    <w:p w:rsidRPr="00CB3DFF" w:rsidR="002D27B6" w:rsidP="003E6DF2" w:rsidRDefault="002D27B6" w14:paraId="6916FE39" w14:textId="03F602A2">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 xml:space="preserve">On </w:t>
      </w:r>
      <w:r w:rsidRPr="00CB3DFF" w:rsidR="00EF7C40">
        <w:rPr>
          <w:rFonts w:ascii="Palatino Linotype" w:hAnsi="Palatino Linotype"/>
          <w:sz w:val="24"/>
          <w:szCs w:val="24"/>
        </w:rPr>
        <w:t xml:space="preserve">July 3, </w:t>
      </w:r>
      <w:proofErr w:type="gramStart"/>
      <w:r w:rsidRPr="00CB3DFF" w:rsidR="00EF7C40">
        <w:rPr>
          <w:rFonts w:ascii="Palatino Linotype" w:hAnsi="Palatino Linotype"/>
          <w:sz w:val="24"/>
          <w:szCs w:val="24"/>
        </w:rPr>
        <w:t>2024</w:t>
      </w:r>
      <w:proofErr w:type="gramEnd"/>
      <w:r w:rsidRPr="00CB3DFF" w:rsidR="00EF7C40">
        <w:rPr>
          <w:rFonts w:ascii="Palatino Linotype" w:hAnsi="Palatino Linotype"/>
          <w:sz w:val="24"/>
          <w:szCs w:val="24"/>
        </w:rPr>
        <w:t xml:space="preserve"> and </w:t>
      </w:r>
      <w:r w:rsidRPr="00CB3DFF">
        <w:rPr>
          <w:rFonts w:ascii="Palatino Linotype" w:hAnsi="Palatino Linotype"/>
          <w:sz w:val="24"/>
          <w:szCs w:val="24"/>
        </w:rPr>
        <w:t xml:space="preserve">July 5, 2024, </w:t>
      </w:r>
      <w:r w:rsidRPr="00CB3DFF" w:rsidR="00EF7C40">
        <w:rPr>
          <w:rFonts w:ascii="Palatino Linotype" w:hAnsi="Palatino Linotype"/>
          <w:sz w:val="24"/>
          <w:szCs w:val="24"/>
        </w:rPr>
        <w:t xml:space="preserve">Lyft and </w:t>
      </w:r>
      <w:r w:rsidRPr="00CB3DFF" w:rsidR="006B5751">
        <w:rPr>
          <w:rFonts w:ascii="Palatino Linotype" w:hAnsi="Palatino Linotype"/>
          <w:sz w:val="24"/>
          <w:szCs w:val="24"/>
        </w:rPr>
        <w:t>HopSkipDrive</w:t>
      </w:r>
      <w:r w:rsidRPr="00CB3DFF" w:rsidR="00EF7C40">
        <w:rPr>
          <w:rFonts w:ascii="Palatino Linotype" w:hAnsi="Palatino Linotype"/>
          <w:sz w:val="24"/>
          <w:szCs w:val="24"/>
        </w:rPr>
        <w:t>, respectively,</w:t>
      </w:r>
      <w:r w:rsidRPr="00CB3DFF" w:rsidR="006B5751">
        <w:rPr>
          <w:rFonts w:ascii="Palatino Linotype" w:hAnsi="Palatino Linotype"/>
          <w:sz w:val="24"/>
          <w:szCs w:val="24"/>
        </w:rPr>
        <w:t xml:space="preserve"> </w:t>
      </w:r>
      <w:r w:rsidRPr="00CB3DFF">
        <w:rPr>
          <w:rFonts w:ascii="Palatino Linotype" w:hAnsi="Palatino Linotype"/>
          <w:sz w:val="24"/>
          <w:szCs w:val="24"/>
        </w:rPr>
        <w:t>submitted Interim GHG Plans via Tier 3 advice letters.</w:t>
      </w:r>
      <w:r w:rsidRPr="00CB3DFF" w:rsidR="00CD2740">
        <w:rPr>
          <w:rFonts w:ascii="Palatino Linotype" w:hAnsi="Palatino Linotype"/>
          <w:sz w:val="24"/>
          <w:szCs w:val="24"/>
        </w:rPr>
        <w:t xml:space="preserve"> </w:t>
      </w:r>
    </w:p>
    <w:p w:rsidRPr="00CB3DFF" w:rsidR="00CD2740" w:rsidP="00073122" w:rsidRDefault="00CD2740" w14:paraId="29D73B50" w14:textId="77777777">
      <w:pPr>
        <w:pStyle w:val="ListParagraph"/>
        <w:rPr>
          <w:rFonts w:ascii="Palatino Linotype" w:hAnsi="Palatino Linotype"/>
        </w:rPr>
      </w:pPr>
    </w:p>
    <w:p w:rsidRPr="00CB3DFF" w:rsidR="000541FF" w:rsidP="000541FF" w:rsidRDefault="000541FF" w14:paraId="2AAC94CE" w14:textId="176016FE">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 xml:space="preserve">On November 1, </w:t>
      </w:r>
      <w:proofErr w:type="gramStart"/>
      <w:r w:rsidRPr="00CB3DFF">
        <w:rPr>
          <w:rFonts w:ascii="Palatino Linotype" w:hAnsi="Palatino Linotype"/>
          <w:sz w:val="24"/>
          <w:szCs w:val="24"/>
        </w:rPr>
        <w:t>2024</w:t>
      </w:r>
      <w:proofErr w:type="gramEnd"/>
      <w:r w:rsidRPr="00CB3DFF">
        <w:rPr>
          <w:rFonts w:ascii="Palatino Linotype" w:hAnsi="Palatino Linotype"/>
          <w:sz w:val="24"/>
          <w:szCs w:val="24"/>
        </w:rPr>
        <w:t xml:space="preserve"> and December 6, 2024, HopSkipDrive and Lyft, respectively, filed supplemental Tier 3 advice letters providing additional Interim GHG Plan information. </w:t>
      </w:r>
    </w:p>
    <w:p w:rsidRPr="00CB3DFF" w:rsidR="00CC18F4" w:rsidP="00CC18F4" w:rsidRDefault="00CC18F4" w14:paraId="281CEA61" w14:textId="77777777">
      <w:pPr>
        <w:pStyle w:val="ListParagraph"/>
        <w:rPr>
          <w:rFonts w:ascii="Palatino Linotype" w:hAnsi="Palatino Linotype"/>
        </w:rPr>
      </w:pPr>
    </w:p>
    <w:p w:rsidRPr="00CB3DFF" w:rsidR="00CC18F4" w:rsidP="003E6DF2" w:rsidRDefault="00CC18F4" w14:paraId="5FE3255A" w14:textId="76303B77">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 xml:space="preserve">CMS Regulated Entities will submit a full GHG Plan </w:t>
      </w:r>
      <w:r w:rsidRPr="00CB3DFF" w:rsidR="00651709">
        <w:rPr>
          <w:rFonts w:ascii="Palatino Linotype" w:hAnsi="Palatino Linotype"/>
          <w:sz w:val="24"/>
          <w:szCs w:val="24"/>
        </w:rPr>
        <w:t>via a Tier 3 advice letter within 90 days of the effective date of a Phase 2 decision in the CMS proceeding.</w:t>
      </w:r>
    </w:p>
    <w:p w:rsidRPr="00CB3DFF" w:rsidR="00CF17DE" w:rsidRDefault="00CF17DE" w14:paraId="61043BE7" w14:textId="77777777">
      <w:pPr>
        <w:rPr>
          <w:rFonts w:ascii="Palatino Linotype" w:hAnsi="Palatino Linotype"/>
          <w:sz w:val="24"/>
          <w:szCs w:val="24"/>
        </w:rPr>
      </w:pPr>
    </w:p>
    <w:p w:rsidRPr="00CB3DFF" w:rsidR="00F1204E" w:rsidP="00073122" w:rsidRDefault="00EF7C40" w14:paraId="4C5DC8F8" w14:textId="209F9C64">
      <w:pPr>
        <w:numPr>
          <w:ilvl w:val="0"/>
          <w:numId w:val="4"/>
        </w:numPr>
        <w:spacing w:line="276" w:lineRule="auto"/>
        <w:rPr>
          <w:rFonts w:ascii="Palatino Linotype" w:hAnsi="Palatino Linotype"/>
          <w:sz w:val="24"/>
          <w:szCs w:val="24"/>
        </w:rPr>
      </w:pPr>
      <w:r w:rsidRPr="3E8D698D">
        <w:rPr>
          <w:rFonts w:ascii="Palatino Linotype" w:hAnsi="Palatino Linotype"/>
          <w:sz w:val="24"/>
          <w:szCs w:val="24"/>
        </w:rPr>
        <w:t>Uber</w:t>
      </w:r>
      <w:r w:rsidRPr="3E8D698D" w:rsidR="00651709">
        <w:rPr>
          <w:rFonts w:ascii="Palatino Linotype" w:hAnsi="Palatino Linotype"/>
          <w:sz w:val="24"/>
          <w:szCs w:val="24"/>
        </w:rPr>
        <w:t xml:space="preserve">’s Interim GHG Plan </w:t>
      </w:r>
      <w:r w:rsidRPr="3E8D698D" w:rsidR="62B8808C">
        <w:rPr>
          <w:rFonts w:ascii="Palatino Linotype" w:hAnsi="Palatino Linotype"/>
          <w:sz w:val="24"/>
          <w:szCs w:val="24"/>
        </w:rPr>
        <w:t>i</w:t>
      </w:r>
      <w:r w:rsidRPr="3E8D698D" w:rsidR="00651709">
        <w:rPr>
          <w:rFonts w:ascii="Palatino Linotype" w:hAnsi="Palatino Linotype"/>
          <w:sz w:val="24"/>
          <w:szCs w:val="24"/>
        </w:rPr>
        <w:t xml:space="preserve">s sufficient </w:t>
      </w:r>
      <w:r w:rsidRPr="3E8D698D" w:rsidR="78B49240">
        <w:rPr>
          <w:rFonts w:ascii="Palatino Linotype" w:hAnsi="Palatino Linotype"/>
          <w:sz w:val="24"/>
          <w:szCs w:val="24"/>
        </w:rPr>
        <w:t xml:space="preserve">in terms of completeness, feasibility, and </w:t>
      </w:r>
      <w:r w:rsidRPr="3E8D698D" w:rsidR="3F0D8312">
        <w:rPr>
          <w:rFonts w:ascii="Palatino Linotype" w:hAnsi="Palatino Linotype"/>
          <w:sz w:val="24"/>
          <w:szCs w:val="24"/>
        </w:rPr>
        <w:t xml:space="preserve">accuracy, </w:t>
      </w:r>
      <w:r w:rsidRPr="3E8D698D" w:rsidR="00651709">
        <w:rPr>
          <w:rFonts w:ascii="Palatino Linotype" w:hAnsi="Palatino Linotype"/>
          <w:sz w:val="24"/>
          <w:szCs w:val="24"/>
        </w:rPr>
        <w:t xml:space="preserve">per CPED review. </w:t>
      </w:r>
    </w:p>
    <w:p w:rsidRPr="00CB3DFF" w:rsidR="00AE4784" w:rsidP="00AE4784" w:rsidRDefault="00AE4784" w14:paraId="2BFB9D66" w14:textId="77777777">
      <w:pPr>
        <w:pStyle w:val="ListParagraph"/>
        <w:rPr>
          <w:rFonts w:ascii="Palatino Linotype" w:hAnsi="Palatino Linotype"/>
        </w:rPr>
      </w:pPr>
    </w:p>
    <w:p w:rsidRPr="00CB3DFF" w:rsidR="00AE4784" w:rsidRDefault="00AE4784" w14:paraId="6B22AAB4" w14:textId="2ACBC758">
      <w:pPr>
        <w:numPr>
          <w:ilvl w:val="0"/>
          <w:numId w:val="4"/>
        </w:numPr>
        <w:spacing w:line="276" w:lineRule="auto"/>
        <w:rPr>
          <w:rFonts w:ascii="Palatino Linotype" w:hAnsi="Palatino Linotype"/>
          <w:sz w:val="24"/>
          <w:szCs w:val="24"/>
        </w:rPr>
      </w:pPr>
      <w:r w:rsidRPr="00CB3DFF">
        <w:rPr>
          <w:rFonts w:ascii="Palatino Linotype" w:hAnsi="Palatino Linotype"/>
          <w:sz w:val="24"/>
          <w:szCs w:val="24"/>
        </w:rPr>
        <w:t>HopSkipDrive, Lyft, and Uber provided sufficient information for the Commission to set a uniform statewide CMS Regulatory Fee (per Attachment D of D.24-03-001), Drivers Assistance Program Budget, and minimum trip threshold for LMI drivers to qualify for the CMS incentives</w:t>
      </w:r>
      <w:r w:rsidRPr="00CB3DFF" w:rsidR="001F493C">
        <w:rPr>
          <w:rFonts w:ascii="Palatino Linotype" w:hAnsi="Palatino Linotype"/>
          <w:sz w:val="24"/>
          <w:szCs w:val="24"/>
        </w:rPr>
        <w:t>.</w:t>
      </w:r>
    </w:p>
    <w:p w:rsidRPr="00CB3DFF" w:rsidR="00A32152" w:rsidP="00A32152" w:rsidRDefault="00A32152" w14:paraId="777B6DBA" w14:textId="77777777">
      <w:pPr>
        <w:spacing w:line="276" w:lineRule="auto"/>
        <w:ind w:left="420"/>
        <w:rPr>
          <w:rFonts w:ascii="Palatino Linotype" w:hAnsi="Palatino Linotype"/>
          <w:sz w:val="24"/>
          <w:szCs w:val="24"/>
        </w:rPr>
      </w:pPr>
    </w:p>
    <w:p w:rsidRPr="00CB3DFF" w:rsidR="00A32152" w:rsidP="00A32152" w:rsidRDefault="00A32152" w14:paraId="2CBD5BE7" w14:textId="77D81FA3">
      <w:pPr>
        <w:numPr>
          <w:ilvl w:val="0"/>
          <w:numId w:val="4"/>
        </w:numPr>
        <w:spacing w:line="276" w:lineRule="auto"/>
        <w:rPr>
          <w:rFonts w:ascii="Palatino Linotype" w:hAnsi="Palatino Linotype"/>
          <w:sz w:val="24"/>
          <w:szCs w:val="24"/>
        </w:rPr>
      </w:pPr>
      <w:r w:rsidRPr="3E8D698D">
        <w:rPr>
          <w:rFonts w:ascii="Palatino Linotype" w:hAnsi="Palatino Linotype"/>
          <w:sz w:val="24"/>
          <w:szCs w:val="24"/>
        </w:rPr>
        <w:t>The minimum driving threshold account</w:t>
      </w:r>
      <w:r w:rsidRPr="3E8D698D" w:rsidR="4E25563D">
        <w:rPr>
          <w:rFonts w:ascii="Palatino Linotype" w:hAnsi="Palatino Linotype"/>
          <w:sz w:val="24"/>
          <w:szCs w:val="24"/>
        </w:rPr>
        <w:t>s</w:t>
      </w:r>
      <w:r w:rsidRPr="3E8D698D">
        <w:rPr>
          <w:rFonts w:ascii="Palatino Linotype" w:hAnsi="Palatino Linotype"/>
          <w:sz w:val="24"/>
          <w:szCs w:val="24"/>
        </w:rPr>
        <w:t xml:space="preserve"> for drivers’ trips across all eligible platforms.</w:t>
      </w:r>
    </w:p>
    <w:p w:rsidRPr="000E7D74" w:rsidR="00CF17DE" w:rsidRDefault="00CF17DE" w14:paraId="7A7AEE8C" w14:textId="77777777">
      <w:pPr>
        <w:rPr>
          <w:rFonts w:ascii="Palatino Linotype" w:hAnsi="Palatino Linotype"/>
          <w:b/>
        </w:rPr>
      </w:pPr>
    </w:p>
    <w:p w:rsidRPr="00A60ADD" w:rsidR="00CF17DE" w:rsidRDefault="00CF17DE" w14:paraId="591E64B3" w14:textId="77777777">
      <w:pPr>
        <w:pStyle w:val="Heading1"/>
        <w:rPr>
          <w:rFonts w:ascii="Palatino Linotype" w:hAnsi="Palatino Linotype"/>
          <w:sz w:val="24"/>
          <w:szCs w:val="24"/>
        </w:rPr>
      </w:pPr>
      <w:proofErr w:type="gramStart"/>
      <w:r w:rsidRPr="00A60ADD">
        <w:rPr>
          <w:rFonts w:ascii="Palatino Linotype" w:hAnsi="Palatino Linotype"/>
          <w:sz w:val="24"/>
          <w:szCs w:val="24"/>
        </w:rPr>
        <w:t>Therefore</w:t>
      </w:r>
      <w:proofErr w:type="gramEnd"/>
      <w:r w:rsidRPr="00A60ADD">
        <w:rPr>
          <w:rFonts w:ascii="Palatino Linotype" w:hAnsi="Palatino Linotype"/>
          <w:sz w:val="24"/>
          <w:szCs w:val="24"/>
        </w:rPr>
        <w:t xml:space="preserve"> it is ordered that:</w:t>
      </w:r>
    </w:p>
    <w:p w:rsidRPr="00F1204E" w:rsidR="00CF17DE" w:rsidRDefault="00CF17DE" w14:paraId="7E09F9D2" w14:textId="77777777">
      <w:pPr>
        <w:rPr>
          <w:rFonts w:ascii="Times New Roman" w:hAnsi="Times New Roman"/>
          <w:b/>
        </w:rPr>
      </w:pPr>
    </w:p>
    <w:p w:rsidRPr="00A42CA0" w:rsidR="00AA0F7F" w:rsidP="00AA0F7F" w:rsidRDefault="00AA0F7F" w14:paraId="0225B401" w14:textId="14DB197D">
      <w:pPr>
        <w:numPr>
          <w:ilvl w:val="0"/>
          <w:numId w:val="10"/>
        </w:numPr>
        <w:spacing w:line="276" w:lineRule="auto"/>
        <w:rPr>
          <w:rFonts w:ascii="Palatino Linotype" w:hAnsi="Palatino Linotype"/>
          <w:sz w:val="24"/>
          <w:szCs w:val="24"/>
        </w:rPr>
      </w:pPr>
      <w:r w:rsidRPr="00A42CA0">
        <w:rPr>
          <w:rFonts w:ascii="Palatino Linotype" w:hAnsi="Palatino Linotype"/>
          <w:sz w:val="24"/>
          <w:szCs w:val="24"/>
        </w:rPr>
        <w:t xml:space="preserve">Uber’s Interim GHG Plan </w:t>
      </w:r>
      <w:proofErr w:type="gramStart"/>
      <w:r w:rsidRPr="00A42CA0">
        <w:rPr>
          <w:rFonts w:ascii="Palatino Linotype" w:hAnsi="Palatino Linotype"/>
          <w:sz w:val="24"/>
          <w:szCs w:val="24"/>
        </w:rPr>
        <w:t>is</w:t>
      </w:r>
      <w:proofErr w:type="gramEnd"/>
      <w:r w:rsidRPr="00A42CA0">
        <w:rPr>
          <w:rFonts w:ascii="Palatino Linotype" w:hAnsi="Palatino Linotype"/>
          <w:sz w:val="24"/>
          <w:szCs w:val="24"/>
        </w:rPr>
        <w:t xml:space="preserve"> approved. </w:t>
      </w:r>
    </w:p>
    <w:p w:rsidRPr="00A42CA0" w:rsidR="00AA0F7F" w:rsidP="00AA0F7F" w:rsidRDefault="00AA0F7F" w14:paraId="2C20D204" w14:textId="77777777">
      <w:pPr>
        <w:spacing w:line="276" w:lineRule="auto"/>
        <w:ind w:left="420"/>
        <w:rPr>
          <w:rFonts w:ascii="Palatino Linotype" w:hAnsi="Palatino Linotype"/>
          <w:sz w:val="24"/>
          <w:szCs w:val="24"/>
        </w:rPr>
      </w:pPr>
    </w:p>
    <w:p w:rsidRPr="00A42CA0" w:rsidR="009E367E" w:rsidP="009E367E" w:rsidRDefault="008F6F32" w14:paraId="6ACDA679" w14:textId="711CA0E3">
      <w:pPr>
        <w:numPr>
          <w:ilvl w:val="0"/>
          <w:numId w:val="10"/>
        </w:numPr>
        <w:spacing w:line="276" w:lineRule="auto"/>
        <w:rPr>
          <w:rFonts w:ascii="Palatino Linotype" w:hAnsi="Palatino Linotype"/>
          <w:sz w:val="24"/>
          <w:szCs w:val="24"/>
        </w:rPr>
      </w:pPr>
      <w:r w:rsidRPr="3E8D698D">
        <w:rPr>
          <w:rFonts w:ascii="Palatino Linotype" w:hAnsi="Palatino Linotype"/>
          <w:sz w:val="24"/>
          <w:szCs w:val="24"/>
        </w:rPr>
        <w:t xml:space="preserve">The CMS Regulatory Fee is set to </w:t>
      </w:r>
      <w:r w:rsidR="00C64695">
        <w:rPr>
          <w:rFonts w:ascii="Palatino Linotype" w:hAnsi="Palatino Linotype"/>
          <w:sz w:val="24"/>
          <w:szCs w:val="24"/>
        </w:rPr>
        <w:t>$0.09</w:t>
      </w:r>
      <w:r w:rsidRPr="3E8D698D">
        <w:rPr>
          <w:rFonts w:ascii="Palatino Linotype" w:hAnsi="Palatino Linotype"/>
          <w:sz w:val="24"/>
          <w:szCs w:val="24"/>
        </w:rPr>
        <w:t xml:space="preserve"> per trip on all trips provided by HopSkipDrive, Lyft, and Uber. The CMS Regulated Entities </w:t>
      </w:r>
      <w:r w:rsidRPr="3E8D698D" w:rsidR="00E06D14">
        <w:rPr>
          <w:rFonts w:ascii="Palatino Linotype" w:hAnsi="Palatino Linotype"/>
          <w:sz w:val="24"/>
          <w:szCs w:val="24"/>
        </w:rPr>
        <w:t xml:space="preserve">shall follow the fee collection and submission requirements </w:t>
      </w:r>
      <w:proofErr w:type="gramStart"/>
      <w:r w:rsidRPr="3E8D698D" w:rsidR="00E06D14">
        <w:rPr>
          <w:rFonts w:ascii="Palatino Linotype" w:hAnsi="Palatino Linotype"/>
          <w:sz w:val="24"/>
          <w:szCs w:val="24"/>
        </w:rPr>
        <w:t>in</w:t>
      </w:r>
      <w:proofErr w:type="gramEnd"/>
      <w:r w:rsidRPr="3E8D698D" w:rsidR="00E06D14">
        <w:rPr>
          <w:rFonts w:ascii="Palatino Linotype" w:hAnsi="Palatino Linotype"/>
          <w:sz w:val="24"/>
          <w:szCs w:val="24"/>
        </w:rPr>
        <w:t xml:space="preserve"> D.24-03-001 starting the effective date of this resolution.</w:t>
      </w:r>
      <w:r w:rsidRPr="3E8D698D" w:rsidR="001F493C">
        <w:rPr>
          <w:rFonts w:ascii="Palatino Linotype" w:hAnsi="Palatino Linotype"/>
          <w:sz w:val="24"/>
          <w:szCs w:val="24"/>
        </w:rPr>
        <w:t xml:space="preserve"> The CMS Regulatory Fee will remain the same until </w:t>
      </w:r>
      <w:r w:rsidRPr="3E8D698D" w:rsidR="00E4273B">
        <w:rPr>
          <w:rFonts w:ascii="Palatino Linotype" w:hAnsi="Palatino Linotype"/>
          <w:sz w:val="24"/>
          <w:szCs w:val="24"/>
        </w:rPr>
        <w:t>further</w:t>
      </w:r>
      <w:r w:rsidRPr="3E8D698D" w:rsidR="001F493C">
        <w:rPr>
          <w:rFonts w:ascii="Palatino Linotype" w:hAnsi="Palatino Linotype"/>
          <w:sz w:val="24"/>
          <w:szCs w:val="24"/>
        </w:rPr>
        <w:t xml:space="preserve"> Commission action.</w:t>
      </w:r>
    </w:p>
    <w:p w:rsidRPr="00A42CA0" w:rsidR="009E367E" w:rsidP="009E367E" w:rsidRDefault="009E367E" w14:paraId="6E78612C" w14:textId="77777777">
      <w:pPr>
        <w:spacing w:line="276" w:lineRule="auto"/>
        <w:ind w:left="420"/>
        <w:rPr>
          <w:rFonts w:ascii="Palatino Linotype" w:hAnsi="Palatino Linotype"/>
          <w:sz w:val="24"/>
          <w:szCs w:val="24"/>
        </w:rPr>
      </w:pPr>
    </w:p>
    <w:p w:rsidRPr="00A42CA0" w:rsidR="009E367E" w:rsidP="009E367E" w:rsidRDefault="00EC73E6" w14:paraId="1B34C082" w14:textId="42EE177C">
      <w:pPr>
        <w:numPr>
          <w:ilvl w:val="0"/>
          <w:numId w:val="10"/>
        </w:numPr>
        <w:spacing w:line="276" w:lineRule="auto"/>
        <w:rPr>
          <w:rFonts w:ascii="Palatino Linotype" w:hAnsi="Palatino Linotype"/>
          <w:sz w:val="24"/>
          <w:szCs w:val="24"/>
        </w:rPr>
      </w:pPr>
      <w:r w:rsidRPr="3E8D698D">
        <w:rPr>
          <w:rFonts w:ascii="Palatino Linotype" w:hAnsi="Palatino Linotype"/>
          <w:sz w:val="24"/>
          <w:szCs w:val="24"/>
        </w:rPr>
        <w:lastRenderedPageBreak/>
        <w:t xml:space="preserve">The Drivers Assistance Program </w:t>
      </w:r>
      <w:r w:rsidRPr="3E8D698D" w:rsidR="00AE4784">
        <w:rPr>
          <w:rFonts w:ascii="Palatino Linotype" w:hAnsi="Palatino Linotype"/>
          <w:sz w:val="24"/>
          <w:szCs w:val="24"/>
        </w:rPr>
        <w:t xml:space="preserve">budget for 2025 shall be </w:t>
      </w:r>
      <w:r w:rsidR="00C64695">
        <w:rPr>
          <w:rFonts w:ascii="Palatino Linotype" w:hAnsi="Palatino Linotype"/>
          <w:sz w:val="24"/>
          <w:szCs w:val="24"/>
        </w:rPr>
        <w:t>$28</w:t>
      </w:r>
      <w:r w:rsidR="007B6882">
        <w:rPr>
          <w:rFonts w:ascii="Palatino Linotype" w:hAnsi="Palatino Linotype"/>
          <w:sz w:val="24"/>
          <w:szCs w:val="24"/>
        </w:rPr>
        <w:t>,872,576</w:t>
      </w:r>
      <w:r w:rsidRPr="3E8D698D" w:rsidR="522BF917">
        <w:rPr>
          <w:rFonts w:ascii="Palatino Linotype" w:hAnsi="Palatino Linotype"/>
          <w:sz w:val="24"/>
          <w:szCs w:val="24"/>
        </w:rPr>
        <w:t>,</w:t>
      </w:r>
      <w:r w:rsidRPr="3E8D698D" w:rsidR="001F493C">
        <w:rPr>
          <w:rFonts w:ascii="Palatino Linotype" w:hAnsi="Palatino Linotype"/>
          <w:sz w:val="24"/>
          <w:szCs w:val="24"/>
        </w:rPr>
        <w:t xml:space="preserve"> </w:t>
      </w:r>
      <w:r w:rsidRPr="3E8D698D" w:rsidR="42D9611B">
        <w:rPr>
          <w:rFonts w:ascii="Palatino Linotype" w:hAnsi="Palatino Linotype"/>
          <w:sz w:val="24"/>
          <w:szCs w:val="24"/>
        </w:rPr>
        <w:t xml:space="preserve">including </w:t>
      </w:r>
      <w:r w:rsidRPr="3E8D698D" w:rsidR="001F493C">
        <w:rPr>
          <w:rFonts w:ascii="Palatino Linotype" w:hAnsi="Palatino Linotype"/>
          <w:sz w:val="24"/>
          <w:szCs w:val="24"/>
        </w:rPr>
        <w:t>$2,000,000 for the Program Administrator</w:t>
      </w:r>
      <w:r w:rsidRPr="3E8D698D" w:rsidR="26DFC051">
        <w:rPr>
          <w:rFonts w:ascii="Palatino Linotype" w:hAnsi="Palatino Linotype"/>
          <w:sz w:val="24"/>
          <w:szCs w:val="24"/>
        </w:rPr>
        <w:t>,</w:t>
      </w:r>
      <w:r w:rsidRPr="3E8D698D" w:rsidR="001F493C">
        <w:rPr>
          <w:rFonts w:ascii="Palatino Linotype" w:hAnsi="Palatino Linotype"/>
          <w:sz w:val="24"/>
          <w:szCs w:val="24"/>
        </w:rPr>
        <w:t xml:space="preserve"> per D.24-03-001.</w:t>
      </w:r>
    </w:p>
    <w:p w:rsidRPr="00A42CA0" w:rsidR="001F493C" w:rsidP="001F493C" w:rsidRDefault="001F493C" w14:paraId="63AB00D4" w14:textId="77777777">
      <w:pPr>
        <w:pStyle w:val="ListParagraph"/>
        <w:rPr>
          <w:rFonts w:ascii="Palatino Linotype" w:hAnsi="Palatino Linotype"/>
        </w:rPr>
      </w:pPr>
    </w:p>
    <w:p w:rsidRPr="00A42CA0" w:rsidR="001F493C" w:rsidP="009E367E" w:rsidRDefault="001F493C" w14:paraId="23753CD2" w14:textId="09347E2C">
      <w:pPr>
        <w:numPr>
          <w:ilvl w:val="0"/>
          <w:numId w:val="10"/>
        </w:numPr>
        <w:spacing w:line="276" w:lineRule="auto"/>
        <w:rPr>
          <w:rFonts w:ascii="Palatino Linotype" w:hAnsi="Palatino Linotype"/>
          <w:sz w:val="24"/>
          <w:szCs w:val="24"/>
        </w:rPr>
      </w:pPr>
      <w:r w:rsidRPr="23BE7E22">
        <w:rPr>
          <w:rFonts w:ascii="Palatino Linotype" w:hAnsi="Palatino Linotype"/>
          <w:sz w:val="24"/>
          <w:szCs w:val="24"/>
        </w:rPr>
        <w:t xml:space="preserve">The minimum trip threshold for LMI drivers to qualify for CMS incentives is set to </w:t>
      </w:r>
      <w:r w:rsidRPr="23BE7E22" w:rsidR="009E6AF7">
        <w:rPr>
          <w:rFonts w:ascii="Palatino Linotype" w:hAnsi="Palatino Linotype"/>
          <w:sz w:val="24"/>
          <w:szCs w:val="24"/>
        </w:rPr>
        <w:t>4</w:t>
      </w:r>
      <w:r w:rsidRPr="23BE7E22">
        <w:rPr>
          <w:rFonts w:ascii="Palatino Linotype" w:hAnsi="Palatino Linotype"/>
          <w:sz w:val="24"/>
          <w:szCs w:val="24"/>
        </w:rPr>
        <w:t>,500 trips provided over the 12-month period</w:t>
      </w:r>
      <w:r w:rsidRPr="23BE7E22" w:rsidR="2858A0D7">
        <w:rPr>
          <w:rFonts w:ascii="Palatino Linotype" w:hAnsi="Palatino Linotype"/>
          <w:sz w:val="24"/>
          <w:szCs w:val="24"/>
        </w:rPr>
        <w:t xml:space="preserve"> </w:t>
      </w:r>
      <w:r w:rsidR="00C16AD0">
        <w:rPr>
          <w:rFonts w:ascii="Palatino Linotype" w:hAnsi="Palatino Linotype"/>
          <w:sz w:val="24"/>
          <w:szCs w:val="24"/>
        </w:rPr>
        <w:t>preceding a driver’s s</w:t>
      </w:r>
      <w:r w:rsidR="00382AB8">
        <w:rPr>
          <w:rFonts w:ascii="Palatino Linotype" w:hAnsi="Palatino Linotype"/>
          <w:sz w:val="24"/>
          <w:szCs w:val="24"/>
        </w:rPr>
        <w:t>ubmission of an application for the incentive</w:t>
      </w:r>
      <w:r w:rsidRPr="23BE7E22" w:rsidR="15F8A0FE">
        <w:rPr>
          <w:rFonts w:ascii="Palatino Linotype" w:hAnsi="Palatino Linotype"/>
          <w:sz w:val="24"/>
          <w:szCs w:val="24"/>
        </w:rPr>
        <w:t>, inclusive of trips provided on the HopSkipDrive, Lyft, and Uber platforms</w:t>
      </w:r>
      <w:r w:rsidRPr="23BE7E22">
        <w:rPr>
          <w:rFonts w:ascii="Palatino Linotype" w:hAnsi="Palatino Linotype"/>
          <w:sz w:val="24"/>
          <w:szCs w:val="24"/>
        </w:rPr>
        <w:t xml:space="preserve">. The minimum trip threshold will remain the same until </w:t>
      </w:r>
      <w:r w:rsidRPr="23BE7E22" w:rsidR="00E4273B">
        <w:rPr>
          <w:rFonts w:ascii="Palatino Linotype" w:hAnsi="Palatino Linotype"/>
          <w:sz w:val="24"/>
          <w:szCs w:val="24"/>
        </w:rPr>
        <w:t>further</w:t>
      </w:r>
      <w:r w:rsidRPr="23BE7E22">
        <w:rPr>
          <w:rFonts w:ascii="Palatino Linotype" w:hAnsi="Palatino Linotype"/>
          <w:sz w:val="24"/>
          <w:szCs w:val="24"/>
        </w:rPr>
        <w:t xml:space="preserve"> Commission</w:t>
      </w:r>
      <w:r w:rsidRPr="23BE7E22" w:rsidR="00E4273B">
        <w:rPr>
          <w:rFonts w:ascii="Palatino Linotype" w:hAnsi="Palatino Linotype"/>
          <w:sz w:val="24"/>
          <w:szCs w:val="24"/>
        </w:rPr>
        <w:t xml:space="preserve"> action.</w:t>
      </w:r>
      <w:r w:rsidRPr="23BE7E22">
        <w:rPr>
          <w:rFonts w:ascii="Palatino Linotype" w:hAnsi="Palatino Linotype"/>
          <w:sz w:val="24"/>
          <w:szCs w:val="24"/>
        </w:rPr>
        <w:t xml:space="preserve"> </w:t>
      </w:r>
    </w:p>
    <w:p w:rsidRPr="00F1204E" w:rsidR="00CF17DE" w:rsidRDefault="00CF17DE" w14:paraId="1CD97C63" w14:textId="77777777">
      <w:pPr>
        <w:tabs>
          <w:tab w:val="left" w:pos="720"/>
          <w:tab w:val="left" w:pos="1296"/>
          <w:tab w:val="left" w:pos="2016"/>
          <w:tab w:val="left" w:pos="2736"/>
          <w:tab w:val="left" w:pos="3456"/>
          <w:tab w:val="left" w:pos="4176"/>
          <w:tab w:val="left" w:pos="5760"/>
        </w:tabs>
        <w:rPr>
          <w:rFonts w:ascii="Times New Roman" w:hAnsi="Times New Roman"/>
        </w:rPr>
      </w:pPr>
    </w:p>
    <w:p w:rsidRPr="00E4273B" w:rsidR="00CF17DE" w:rsidRDefault="00CF17DE" w14:paraId="5E85B150"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r w:rsidRPr="00E4273B">
        <w:rPr>
          <w:rFonts w:ascii="Palatino Linotype" w:hAnsi="Palatino Linotype"/>
          <w:sz w:val="24"/>
          <w:szCs w:val="24"/>
        </w:rPr>
        <w:t>This Resolution is effective today.</w:t>
      </w:r>
    </w:p>
    <w:p w:rsidRPr="00E4273B" w:rsidR="00CF17DE" w:rsidRDefault="00CF17DE" w14:paraId="49F0319D"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Pr="00FE7725" w:rsidR="004543CF" w:rsidP="004543CF" w:rsidRDefault="004543CF" w14:paraId="06ACE39C" w14:textId="46E4EAD5">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Pr>
          <w:rFonts w:ascii="Palatino Linotype" w:hAnsi="Palatino Linotype" w:eastAsia="Palatino Linotype"/>
        </w:rPr>
        <w:tab/>
      </w:r>
      <w:r w:rsidRPr="00FE7725">
        <w:rPr>
          <w:rFonts w:ascii="Palatino Linotype" w:hAnsi="Palatino Linotype" w:eastAsia="Palatino Linotype"/>
          <w:sz w:val="24"/>
          <w:szCs w:val="24"/>
        </w:rPr>
        <w:t xml:space="preserve">Commissioner Signature blocks to be added </w:t>
      </w:r>
    </w:p>
    <w:p w:rsidRPr="00FE7725" w:rsidR="004543CF" w:rsidP="004543CF" w:rsidRDefault="004543CF" w14:paraId="31A49AE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FE7725">
        <w:rPr>
          <w:rFonts w:ascii="Palatino Linotype" w:hAnsi="Palatino Linotype" w:eastAsia="Palatino Linotype"/>
          <w:sz w:val="24"/>
          <w:szCs w:val="24"/>
        </w:rPr>
        <w:tab/>
      </w:r>
      <w:r w:rsidRPr="00FE7725">
        <w:rPr>
          <w:rFonts w:ascii="Palatino Linotype" w:hAnsi="Palatino Linotype" w:eastAsia="Palatino Linotype"/>
          <w:sz w:val="24"/>
          <w:szCs w:val="24"/>
        </w:rPr>
        <w:tab/>
      </w:r>
      <w:r w:rsidRPr="00FE7725">
        <w:rPr>
          <w:rFonts w:ascii="Palatino Linotype" w:hAnsi="Palatino Linotype" w:eastAsia="Palatino Linotype"/>
          <w:sz w:val="24"/>
          <w:szCs w:val="24"/>
        </w:rPr>
        <w:tab/>
      </w:r>
      <w:r w:rsidRPr="00FE7725">
        <w:rPr>
          <w:rFonts w:ascii="Palatino Linotype" w:hAnsi="Palatino Linotype" w:eastAsia="Palatino Linotype"/>
          <w:sz w:val="24"/>
          <w:szCs w:val="24"/>
        </w:rPr>
        <w:tab/>
      </w:r>
      <w:r w:rsidRPr="00FE7725">
        <w:rPr>
          <w:rFonts w:ascii="Palatino Linotype" w:hAnsi="Palatino Linotype" w:eastAsia="Palatino Linotype"/>
          <w:sz w:val="24"/>
          <w:szCs w:val="24"/>
        </w:rPr>
        <w:tab/>
      </w:r>
      <w:r w:rsidRPr="00FE7725">
        <w:rPr>
          <w:rFonts w:ascii="Palatino Linotype" w:hAnsi="Palatino Linotype" w:eastAsia="Palatino Linotype"/>
          <w:sz w:val="24"/>
          <w:szCs w:val="24"/>
        </w:rPr>
        <w:tab/>
        <w:t xml:space="preserve">upon adoption of the resolution </w:t>
      </w:r>
    </w:p>
    <w:p w:rsidR="004543CF" w:rsidP="004543CF" w:rsidRDefault="004543CF" w14:paraId="12D6A75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4543CF" w:rsidP="004543CF" w:rsidRDefault="004543CF" w14:paraId="4FDDB8C0"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004543CF" w:rsidP="004543CF" w:rsidRDefault="004543CF" w14:paraId="08056DED"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51493D" w:rsidR="004543CF" w:rsidP="004543CF" w:rsidRDefault="004543CF" w14:paraId="5356DE36" w14:textId="6782BC2A">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w:t>
      </w:r>
      <w:proofErr w:type="gramStart"/>
      <w:r w:rsidRPr="00D1339D">
        <w:rPr>
          <w:rFonts w:ascii="Palatino Linotype" w:hAnsi="Palatino Linotype"/>
        </w:rPr>
        <w:t xml:space="preserve">on </w:t>
      </w:r>
      <w:r w:rsidRPr="00D1339D" w:rsidR="00D1339D">
        <w:rPr>
          <w:rFonts w:ascii="Palatino Linotype" w:hAnsi="Palatino Linotype"/>
        </w:rPr>
        <w:t>__</w:t>
      </w:r>
      <w:proofErr w:type="gramEnd"/>
      <w:r w:rsidRPr="00D1339D" w:rsidR="00D1339D">
        <w:rPr>
          <w:rFonts w:ascii="Palatino Linotype" w:hAnsi="Palatino Linotype"/>
        </w:rPr>
        <w:t>__</w:t>
      </w:r>
      <w:r w:rsidR="00D1339D">
        <w:rPr>
          <w:rFonts w:ascii="Palatino Linotype" w:hAnsi="Palatino Linotype"/>
        </w:rPr>
        <w:t>_</w:t>
      </w:r>
      <w:r w:rsidRPr="00D1339D" w:rsidR="00D1339D">
        <w:rPr>
          <w:rFonts w:ascii="Palatino Linotype" w:hAnsi="Palatino Linotype"/>
        </w:rPr>
        <w:t>__</w:t>
      </w:r>
      <w:r w:rsidRPr="00D1339D">
        <w:rPr>
          <w:rFonts w:ascii="Palatino Linotype" w:hAnsi="Palatino Linotype"/>
        </w:rPr>
        <w:t>; the</w:t>
      </w:r>
      <w:r w:rsidRPr="0051493D">
        <w:rPr>
          <w:rFonts w:ascii="Palatino Linotype" w:hAnsi="Palatino Linotype"/>
        </w:rPr>
        <w:t xml:space="preserve"> following Commissioners voting favorably thereon:</w:t>
      </w:r>
    </w:p>
    <w:p w:rsidRPr="001942D0" w:rsidR="004543CF" w:rsidP="004543CF" w:rsidRDefault="004543CF" w14:paraId="46979189"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7F574A" w:rsidR="004543CF" w:rsidP="004543CF" w:rsidRDefault="004543CF" w14:paraId="3FB71F65"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7F574A" w:rsidR="00CF17DE" w:rsidP="004543CF" w:rsidRDefault="004543CF" w14:paraId="595CCF77" w14:textId="6F3C2B5F">
      <w:pPr>
        <w:rPr>
          <w:rFonts w:ascii="Palatino Linotype" w:hAnsi="Palatino Linotype"/>
          <w:sz w:val="24"/>
          <w:szCs w:val="24"/>
        </w:rPr>
      </w:pPr>
      <w:r w:rsidRPr="007F574A">
        <w:rPr>
          <w:rFonts w:ascii="Palatino Linotype" w:hAnsi="Palatino Linotype" w:eastAsia="Palatino Linotype"/>
          <w:sz w:val="24"/>
          <w:szCs w:val="24"/>
        </w:rPr>
        <w:t xml:space="preserve">Dated </w:t>
      </w:r>
      <w:r w:rsidRPr="007F574A">
        <w:rPr>
          <w:rFonts w:ascii="Palatino Linotype" w:hAnsi="Palatino Linotype" w:eastAsia="Palatino Linotype"/>
          <w:sz w:val="24"/>
          <w:szCs w:val="24"/>
          <w:u w:val="single"/>
        </w:rPr>
        <w:t xml:space="preserve">                                                                 </w:t>
      </w:r>
      <w:proofErr w:type="gramStart"/>
      <w:r w:rsidRPr="007F574A">
        <w:rPr>
          <w:rFonts w:ascii="Palatino Linotype" w:hAnsi="Palatino Linotype" w:eastAsia="Palatino Linotype"/>
          <w:sz w:val="24"/>
          <w:szCs w:val="24"/>
          <w:u w:val="single"/>
        </w:rPr>
        <w:t xml:space="preserve">  </w:t>
      </w:r>
      <w:r w:rsidRPr="007F574A">
        <w:rPr>
          <w:rFonts w:ascii="Palatino Linotype" w:hAnsi="Palatino Linotype" w:eastAsia="Palatino Linotype"/>
          <w:sz w:val="24"/>
          <w:szCs w:val="24"/>
        </w:rPr>
        <w:t>,</w:t>
      </w:r>
      <w:proofErr w:type="gramEnd"/>
      <w:r w:rsidRPr="007F574A">
        <w:rPr>
          <w:rFonts w:ascii="Palatino Linotype" w:hAnsi="Palatino Linotype" w:eastAsia="Palatino Linotype"/>
          <w:sz w:val="24"/>
          <w:szCs w:val="24"/>
        </w:rPr>
        <w:t xml:space="preserve"> at &lt;Voting meeting location&gt;, California</w:t>
      </w:r>
    </w:p>
    <w:sectPr w:rsidRPr="007F574A" w:rsidR="00CF17DE" w:rsidSect="001E51C4">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64D8" w14:textId="77777777" w:rsidR="00917A11" w:rsidRDefault="00917A11">
      <w:r>
        <w:separator/>
      </w:r>
    </w:p>
  </w:endnote>
  <w:endnote w:type="continuationSeparator" w:id="0">
    <w:p w14:paraId="6E12F658" w14:textId="77777777" w:rsidR="00917A11" w:rsidRDefault="00917A11">
      <w:r>
        <w:continuationSeparator/>
      </w:r>
    </w:p>
  </w:endnote>
  <w:endnote w:type="continuationNotice" w:id="1">
    <w:p w14:paraId="4CC2251C" w14:textId="77777777" w:rsidR="00917A11" w:rsidRDefault="0091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roman"/>
    <w:pitch w:val="variable"/>
    <w:sig w:usb0="20000A87" w:usb1="08000000" w:usb2="00000008" w:usb3="00000000" w:csb0="000001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66D7" w14:textId="77777777"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F1204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3AC7" w14:textId="0232DC47" w:rsidR="00CF17DE" w:rsidRDefault="00C93129" w:rsidP="00C93129">
    <w:pPr>
      <w:pStyle w:val="Footer"/>
      <w:tabs>
        <w:tab w:val="clear" w:pos="4320"/>
        <w:tab w:val="center" w:pos="4680"/>
      </w:tabs>
      <w:jc w:val="left"/>
    </w:pPr>
    <w:r w:rsidRPr="00C93129">
      <w:rPr>
        <w:rStyle w:val="PageNumber"/>
        <w:sz w:val="18"/>
        <w:szCs w:val="18"/>
      </w:rPr>
      <w:t>556525127</w:t>
    </w:r>
    <w:r>
      <w:rPr>
        <w:rStyle w:val="PageNumber"/>
      </w:rPr>
      <w:tab/>
    </w:r>
    <w:r w:rsidR="00CF17DE">
      <w:rPr>
        <w:rStyle w:val="PageNumber"/>
      </w:rPr>
      <w:fldChar w:fldCharType="begin"/>
    </w:r>
    <w:r w:rsidR="00CF17DE">
      <w:rPr>
        <w:rStyle w:val="PageNumber"/>
      </w:rPr>
      <w:instrText xml:space="preserve"> PAGE </w:instrText>
    </w:r>
    <w:r w:rsidR="00CF17DE">
      <w:rPr>
        <w:rStyle w:val="PageNumber"/>
      </w:rPr>
      <w:fldChar w:fldCharType="separate"/>
    </w:r>
    <w:r w:rsidR="00F1204E">
      <w:rPr>
        <w:rStyle w:val="PageNumber"/>
        <w:noProof/>
      </w:rPr>
      <w:t>1</w:t>
    </w:r>
    <w:r w:rsidR="00CF17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6C9A" w14:textId="77777777" w:rsidR="00917A11" w:rsidRDefault="00917A11">
      <w:r>
        <w:separator/>
      </w:r>
    </w:p>
  </w:footnote>
  <w:footnote w:type="continuationSeparator" w:id="0">
    <w:p w14:paraId="063C5C6C" w14:textId="77777777" w:rsidR="00917A11" w:rsidRDefault="00917A11">
      <w:r>
        <w:continuationSeparator/>
      </w:r>
    </w:p>
  </w:footnote>
  <w:footnote w:type="continuationNotice" w:id="1">
    <w:p w14:paraId="550FC9FB" w14:textId="77777777" w:rsidR="00917A11" w:rsidRDefault="00917A11">
      <w:pPr>
        <w:rPr>
          <w:sz w:val="22"/>
        </w:rPr>
      </w:pPr>
    </w:p>
    <w:p w14:paraId="59C48B9B" w14:textId="77777777" w:rsidR="00917A11" w:rsidRDefault="00917A11">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37CA5C85" w14:textId="6108484B" w:rsidR="004D3B24" w:rsidRPr="00A904E3" w:rsidRDefault="004D3B24" w:rsidP="00A904E3">
      <w:pPr>
        <w:pStyle w:val="FootnoteText"/>
        <w:numPr>
          <w:ilvl w:val="0"/>
          <w:numId w:val="0"/>
        </w:numPr>
        <w:rPr>
          <w:rFonts w:ascii="Palatino Linotype" w:hAnsi="Palatino Linotype"/>
          <w:sz w:val="20"/>
        </w:rPr>
      </w:pPr>
      <w:r w:rsidRPr="00A904E3">
        <w:rPr>
          <w:rStyle w:val="FootnoteReference"/>
          <w:rFonts w:ascii="Palatino Linotype" w:hAnsi="Palatino Linotype"/>
          <w:sz w:val="20"/>
        </w:rPr>
        <w:footnoteRef/>
      </w:r>
      <w:r w:rsidRPr="00A904E3">
        <w:rPr>
          <w:rFonts w:ascii="Palatino Linotype" w:hAnsi="Palatino Linotype"/>
          <w:sz w:val="20"/>
        </w:rPr>
        <w:t xml:space="preserve"> </w:t>
      </w:r>
      <w:r w:rsidR="000D106E" w:rsidRPr="00A904E3">
        <w:rPr>
          <w:rFonts w:ascii="Palatino Linotype" w:hAnsi="Palatino Linotype"/>
          <w:sz w:val="20"/>
          <w:lang w:val="en-ZW"/>
        </w:rPr>
        <w:t>CMS Interim GHG Plan Workshop</w:t>
      </w:r>
      <w:r w:rsidR="00270AF6" w:rsidRPr="00A904E3">
        <w:rPr>
          <w:rFonts w:ascii="Palatino Linotype" w:hAnsi="Palatino Linotype"/>
          <w:sz w:val="20"/>
          <w:lang w:val="en-ZW"/>
        </w:rPr>
        <w:t xml:space="preserve"> on August 8, 2024</w:t>
      </w:r>
      <w:r w:rsidR="00A904E3" w:rsidRPr="00A904E3">
        <w:rPr>
          <w:rFonts w:ascii="Palatino Linotype" w:hAnsi="Palatino Linotype"/>
          <w:sz w:val="20"/>
          <w:lang w:val="en-ZW"/>
        </w:rPr>
        <w:t>,</w:t>
      </w:r>
      <w:r w:rsidR="000D106E" w:rsidRPr="00A904E3">
        <w:rPr>
          <w:rFonts w:ascii="Palatino Linotype" w:hAnsi="Palatino Linotype"/>
          <w:sz w:val="20"/>
          <w:lang w:val="en-ZW"/>
        </w:rPr>
        <w:t xml:space="preserve"> links</w:t>
      </w:r>
      <w:r w:rsidR="00A904E3" w:rsidRPr="00A904E3">
        <w:rPr>
          <w:rFonts w:ascii="Palatino Linotype" w:hAnsi="Palatino Linotype"/>
          <w:sz w:val="20"/>
          <w:lang w:val="en-ZW"/>
        </w:rPr>
        <w:t xml:space="preserve"> to materials</w:t>
      </w:r>
      <w:r w:rsidR="000D106E" w:rsidRPr="00A904E3">
        <w:rPr>
          <w:rFonts w:ascii="Palatino Linotype" w:hAnsi="Palatino Linotype"/>
          <w:sz w:val="20"/>
          <w:lang w:val="en-ZW"/>
        </w:rPr>
        <w:t xml:space="preserve"> can be found here: https://www.cpuc.ca.gov/regulatory-services/licensing/transportation-licensing-and-analysis-branch/clean-miles-standard </w:t>
      </w:r>
    </w:p>
  </w:footnote>
  <w:footnote w:id="3">
    <w:p w14:paraId="40F739EC" w14:textId="1D9863DE" w:rsidR="004C5085" w:rsidRPr="004C5085" w:rsidRDefault="004C5085" w:rsidP="004C5085">
      <w:pPr>
        <w:pStyle w:val="FootnoteText"/>
        <w:numPr>
          <w:ilvl w:val="0"/>
          <w:numId w:val="0"/>
        </w:numPr>
        <w:rPr>
          <w:rFonts w:ascii="Palatino Linotype" w:hAnsi="Palatino Linotype"/>
          <w:sz w:val="20"/>
        </w:rPr>
      </w:pPr>
      <w:r w:rsidRPr="004C5085">
        <w:rPr>
          <w:rStyle w:val="FootnoteReference"/>
          <w:rFonts w:ascii="Palatino Linotype" w:hAnsi="Palatino Linotype"/>
          <w:sz w:val="20"/>
        </w:rPr>
        <w:footnoteRef/>
      </w:r>
      <w:r w:rsidRPr="004C5085">
        <w:rPr>
          <w:rFonts w:ascii="Palatino Linotype" w:hAnsi="Palatino Linotype"/>
          <w:sz w:val="20"/>
        </w:rPr>
        <w:t xml:space="preserve"> </w:t>
      </w:r>
      <w:r w:rsidRPr="004C5085">
        <w:rPr>
          <w:rFonts w:ascii="Palatino Linotype" w:hAnsi="Palatino Linotype"/>
          <w:sz w:val="20"/>
          <w:lang w:val="en-ZW"/>
        </w:rPr>
        <w:t>Per the CMS Phase 1 Decision, "</w:t>
      </w:r>
      <w:r w:rsidRPr="004C5085">
        <w:rPr>
          <w:rFonts w:ascii="Palatino Linotype" w:hAnsi="Palatino Linotype"/>
          <w:sz w:val="20"/>
        </w:rPr>
        <w:t>It is reasonable for the Commission’s staff to (a) approve increases to the CMS Regulatory Fee if necessary to timely collect the approved budget for the Drivers Assistance Program, or (b) approve reductions to the CMS Regulatory Fee after the Contracting Agent has reported to the Commission’s staff that it has collected over 120 percent of the approved annual budget for the Drivers Assistance Program during a given 12-month period."</w:t>
      </w:r>
    </w:p>
  </w:footnote>
  <w:footnote w:id="4">
    <w:p w14:paraId="67A12EB8" w14:textId="79DE1269" w:rsidR="00001485" w:rsidRPr="00001485" w:rsidRDefault="00001485" w:rsidP="00001485">
      <w:pPr>
        <w:pStyle w:val="FootnoteText"/>
        <w:numPr>
          <w:ilvl w:val="0"/>
          <w:numId w:val="0"/>
        </w:numPr>
        <w:rPr>
          <w:rFonts w:ascii="Palatino Linotype" w:hAnsi="Palatino Linotype"/>
          <w:sz w:val="20"/>
        </w:rPr>
      </w:pPr>
      <w:r w:rsidRPr="00001485">
        <w:rPr>
          <w:rStyle w:val="FootnoteReference"/>
          <w:rFonts w:ascii="Palatino Linotype" w:hAnsi="Palatino Linotype"/>
          <w:sz w:val="20"/>
        </w:rPr>
        <w:footnoteRef/>
      </w:r>
      <w:r w:rsidRPr="00001485">
        <w:rPr>
          <w:rFonts w:ascii="Palatino Linotype" w:hAnsi="Palatino Linotype"/>
          <w:sz w:val="20"/>
        </w:rPr>
        <w:t xml:space="preserve"> </w:t>
      </w:r>
      <w:r w:rsidRPr="00001485">
        <w:rPr>
          <w:rFonts w:ascii="Palatino Linotype" w:hAnsi="Palatino Linotype"/>
          <w:sz w:val="20"/>
          <w:lang w:val="en-ZW"/>
        </w:rPr>
        <w:t>Per the CMS Phase 1 Decision, "</w:t>
      </w:r>
      <w:r w:rsidRPr="00001485">
        <w:rPr>
          <w:rFonts w:ascii="Palatino Linotype" w:hAnsi="Palatino Linotype"/>
          <w:sz w:val="20"/>
        </w:rPr>
        <w:t>An eligible driver must meet the minimum driving threshold, measured by including trips for all CMS Regulated Entities over the previous 12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39D6" w14:textId="3534F75C" w:rsidR="00CF17DE" w:rsidRPr="00F244BE" w:rsidRDefault="004C0AED">
    <w:pPr>
      <w:pStyle w:val="Header"/>
      <w:tabs>
        <w:tab w:val="clear" w:pos="4320"/>
        <w:tab w:val="clear" w:pos="8640"/>
        <w:tab w:val="center" w:pos="4680"/>
        <w:tab w:val="right" w:pos="9180"/>
      </w:tabs>
      <w:rPr>
        <w:rFonts w:ascii="Palatino Linotype" w:hAnsi="Palatino Linotype"/>
        <w:sz w:val="23"/>
        <w:szCs w:val="23"/>
      </w:rPr>
    </w:pPr>
    <w:r w:rsidRPr="00F244BE">
      <w:rPr>
        <w:rFonts w:ascii="Palatino Linotype" w:hAnsi="Palatino Linotype"/>
        <w:sz w:val="23"/>
        <w:szCs w:val="23"/>
      </w:rPr>
      <w:t xml:space="preserve">Draft </w:t>
    </w:r>
    <w:r w:rsidR="00CF17DE" w:rsidRPr="00F244BE">
      <w:rPr>
        <w:rFonts w:ascii="Palatino Linotype" w:hAnsi="Palatino Linotype"/>
        <w:sz w:val="23"/>
        <w:szCs w:val="23"/>
      </w:rPr>
      <w:t xml:space="preserve">Resolution </w:t>
    </w:r>
    <w:r w:rsidR="00886314" w:rsidRPr="00F244BE">
      <w:rPr>
        <w:rFonts w:ascii="Palatino Linotype" w:hAnsi="Palatino Linotype"/>
        <w:sz w:val="23"/>
        <w:szCs w:val="23"/>
      </w:rPr>
      <w:t>T</w:t>
    </w:r>
    <w:r w:rsidR="00F1204E" w:rsidRPr="00F244BE">
      <w:rPr>
        <w:rFonts w:ascii="Palatino Linotype" w:hAnsi="Palatino Linotype"/>
        <w:sz w:val="23"/>
        <w:szCs w:val="23"/>
      </w:rPr>
      <w:t>L-</w:t>
    </w:r>
    <w:r w:rsidR="00743E87" w:rsidRPr="00F244BE">
      <w:rPr>
        <w:rFonts w:ascii="Palatino Linotype" w:hAnsi="Palatino Linotype"/>
        <w:sz w:val="23"/>
        <w:szCs w:val="23"/>
      </w:rPr>
      <w:t>19152</w:t>
    </w:r>
    <w:r w:rsidR="00CF17DE" w:rsidRPr="00F244BE">
      <w:rPr>
        <w:rFonts w:ascii="Palatino Linotype" w:hAnsi="Palatino Linotype"/>
        <w:sz w:val="23"/>
        <w:szCs w:val="23"/>
      </w:rPr>
      <w:t xml:space="preserve"> </w:t>
    </w:r>
    <w:r w:rsidR="00CF17DE" w:rsidRPr="00F244BE">
      <w:rPr>
        <w:rFonts w:ascii="Palatino Linotype" w:hAnsi="Palatino Linotype"/>
        <w:sz w:val="23"/>
        <w:szCs w:val="23"/>
      </w:rPr>
      <w:tab/>
    </w:r>
    <w:r w:rsidR="00CF17DE" w:rsidRPr="00F244BE">
      <w:rPr>
        <w:rFonts w:ascii="Palatino Linotype" w:hAnsi="Palatino Linotype"/>
        <w:sz w:val="23"/>
        <w:szCs w:val="23"/>
      </w:rPr>
      <w:tab/>
    </w:r>
    <w:r w:rsidRPr="00F244BE">
      <w:rPr>
        <w:rFonts w:ascii="Palatino Linotype" w:hAnsi="Palatino Linotype"/>
        <w:sz w:val="23"/>
        <w:szCs w:val="23"/>
      </w:rPr>
      <w:t>Agenda ID#</w:t>
    </w:r>
    <w:r w:rsidR="001E51C4">
      <w:rPr>
        <w:rFonts w:ascii="Palatino Linotype" w:hAnsi="Palatino Linotype"/>
        <w:sz w:val="23"/>
        <w:szCs w:val="23"/>
      </w:rPr>
      <w:t xml:space="preserve"> 2</w:t>
    </w:r>
    <w:r w:rsidR="00296D32">
      <w:rPr>
        <w:rFonts w:ascii="Palatino Linotype" w:hAnsi="Palatino Linotype"/>
        <w:sz w:val="23"/>
        <w:szCs w:val="23"/>
      </w:rPr>
      <w:t>3302</w:t>
    </w:r>
  </w:p>
  <w:p w14:paraId="3F55493B" w14:textId="764855AE" w:rsidR="00886314" w:rsidRPr="00F244BE" w:rsidRDefault="00886314">
    <w:pPr>
      <w:pStyle w:val="Header"/>
      <w:tabs>
        <w:tab w:val="clear" w:pos="4320"/>
        <w:tab w:val="clear" w:pos="8640"/>
        <w:tab w:val="center" w:pos="4680"/>
        <w:tab w:val="right" w:pos="9180"/>
      </w:tabs>
      <w:rPr>
        <w:rFonts w:ascii="Palatino Linotype" w:hAnsi="Palatino Linotype"/>
        <w:sz w:val="23"/>
        <w:szCs w:val="23"/>
      </w:rPr>
    </w:pPr>
    <w:r w:rsidRPr="00F244BE">
      <w:rPr>
        <w:rFonts w:ascii="Palatino Linotype" w:hAnsi="Palatino Linotype"/>
        <w:sz w:val="23"/>
        <w:szCs w:val="23"/>
      </w:rPr>
      <w:t>CPED/</w:t>
    </w:r>
    <w:r w:rsidR="00743E87" w:rsidRPr="00F244BE">
      <w:rPr>
        <w:rFonts w:ascii="Palatino Linotype" w:hAnsi="Palatino Linotype"/>
        <w:sz w:val="23"/>
        <w:szCs w:val="23"/>
      </w:rPr>
      <w:t>SSI</w:t>
    </w:r>
  </w:p>
  <w:p w14:paraId="2466E91D" w14:textId="77777777" w:rsidR="00F1204E" w:rsidRPr="00A85091" w:rsidRDefault="00F1204E" w:rsidP="00A85091">
    <w:pPr>
      <w:pStyle w:val="Header"/>
      <w:jc w:val="center"/>
      <w:rPr>
        <w:rFonts w:ascii="Helvetica" w:hAnsi="Helvetica" w:cs="Helvetica"/>
        <w:b/>
        <w:bCs/>
        <w:sz w:val="2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FA53" w14:textId="5AC49F31" w:rsidR="00CF17DE" w:rsidRPr="008134BB" w:rsidRDefault="00CF17DE">
    <w:pPr>
      <w:pStyle w:val="Header"/>
      <w:rPr>
        <w:rFonts w:ascii="Helvetica" w:hAnsi="Helvetica"/>
        <w:b/>
        <w:sz w:val="22"/>
        <w:szCs w:val="22"/>
      </w:rPr>
    </w:pPr>
    <w:r w:rsidRPr="008134BB">
      <w:rPr>
        <w:b/>
        <w:sz w:val="22"/>
        <w:szCs w:val="22"/>
      </w:rPr>
      <w:tab/>
    </w:r>
    <w:r w:rsidRPr="008134BB">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256A180E"/>
    <w:multiLevelType w:val="singleLevel"/>
    <w:tmpl w:val="B4D29030"/>
    <w:lvl w:ilvl="0">
      <w:start w:val="1"/>
      <w:numFmt w:val="decimal"/>
      <w:lvlText w:val="%1."/>
      <w:lvlJc w:val="left"/>
      <w:pPr>
        <w:tabs>
          <w:tab w:val="num" w:pos="420"/>
        </w:tabs>
        <w:ind w:left="420" w:hanging="420"/>
      </w:pPr>
      <w:rPr>
        <w:rFonts w:hint="default"/>
      </w:rPr>
    </w:lvl>
  </w:abstractNum>
  <w:abstractNum w:abstractNumId="4" w15:restartNumberingAfterBreak="0">
    <w:nsid w:val="297B0A0B"/>
    <w:multiLevelType w:val="hybridMultilevel"/>
    <w:tmpl w:val="9ED4C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56074"/>
    <w:multiLevelType w:val="hybridMultilevel"/>
    <w:tmpl w:val="349A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7455F52"/>
    <w:multiLevelType w:val="hybridMultilevel"/>
    <w:tmpl w:val="1B501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7EDD2B85"/>
    <w:multiLevelType w:val="singleLevel"/>
    <w:tmpl w:val="B4D29030"/>
    <w:lvl w:ilvl="0">
      <w:start w:val="1"/>
      <w:numFmt w:val="decimal"/>
      <w:lvlText w:val="%1."/>
      <w:lvlJc w:val="left"/>
      <w:pPr>
        <w:tabs>
          <w:tab w:val="num" w:pos="420"/>
        </w:tabs>
        <w:ind w:left="420" w:hanging="420"/>
      </w:pPr>
      <w:rPr>
        <w:rFonts w:hint="default"/>
      </w:rPr>
    </w:lvl>
  </w:abstractNum>
  <w:num w:numId="1" w16cid:durableId="1663780222">
    <w:abstractNumId w:val="0"/>
  </w:num>
  <w:num w:numId="2" w16cid:durableId="631639148">
    <w:abstractNumId w:val="6"/>
  </w:num>
  <w:num w:numId="3" w16cid:durableId="469370684">
    <w:abstractNumId w:val="2"/>
  </w:num>
  <w:num w:numId="4" w16cid:durableId="1601058715">
    <w:abstractNumId w:val="8"/>
  </w:num>
  <w:num w:numId="5" w16cid:durableId="588470856">
    <w:abstractNumId w:val="1"/>
  </w:num>
  <w:num w:numId="6" w16cid:durableId="1672099784">
    <w:abstractNumId w:val="5"/>
  </w:num>
  <w:num w:numId="7" w16cid:durableId="187835892">
    <w:abstractNumId w:val="4"/>
  </w:num>
  <w:num w:numId="8" w16cid:durableId="1716925811">
    <w:abstractNumId w:val="7"/>
  </w:num>
  <w:num w:numId="9" w16cid:durableId="333455349">
    <w:abstractNumId w:val="3"/>
  </w:num>
  <w:num w:numId="10" w16cid:durableId="125062477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663"/>
    <w:rsid w:val="00001485"/>
    <w:rsid w:val="00001733"/>
    <w:rsid w:val="0000691C"/>
    <w:rsid w:val="000069D6"/>
    <w:rsid w:val="00014665"/>
    <w:rsid w:val="00035204"/>
    <w:rsid w:val="0003538B"/>
    <w:rsid w:val="00040440"/>
    <w:rsid w:val="000429B7"/>
    <w:rsid w:val="00044B0E"/>
    <w:rsid w:val="0004617A"/>
    <w:rsid w:val="000541FF"/>
    <w:rsid w:val="00054BAF"/>
    <w:rsid w:val="00055208"/>
    <w:rsid w:val="00057F79"/>
    <w:rsid w:val="00073122"/>
    <w:rsid w:val="000751F8"/>
    <w:rsid w:val="00076E40"/>
    <w:rsid w:val="00090B4B"/>
    <w:rsid w:val="00092FE1"/>
    <w:rsid w:val="000A182D"/>
    <w:rsid w:val="000B3EAE"/>
    <w:rsid w:val="000B5D11"/>
    <w:rsid w:val="000B6A61"/>
    <w:rsid w:val="000B6B7A"/>
    <w:rsid w:val="000C4C19"/>
    <w:rsid w:val="000D106E"/>
    <w:rsid w:val="000E4B4E"/>
    <w:rsid w:val="000E6167"/>
    <w:rsid w:val="000E7604"/>
    <w:rsid w:val="000E7D74"/>
    <w:rsid w:val="000F5F54"/>
    <w:rsid w:val="00111494"/>
    <w:rsid w:val="00116E59"/>
    <w:rsid w:val="0013142C"/>
    <w:rsid w:val="00134ED8"/>
    <w:rsid w:val="00141200"/>
    <w:rsid w:val="0015234F"/>
    <w:rsid w:val="00163A7C"/>
    <w:rsid w:val="00163B07"/>
    <w:rsid w:val="0017108F"/>
    <w:rsid w:val="00174D0D"/>
    <w:rsid w:val="00181036"/>
    <w:rsid w:val="001839F9"/>
    <w:rsid w:val="00187260"/>
    <w:rsid w:val="001875B9"/>
    <w:rsid w:val="001913F7"/>
    <w:rsid w:val="001923F7"/>
    <w:rsid w:val="00192ECA"/>
    <w:rsid w:val="00192F8A"/>
    <w:rsid w:val="00195A7C"/>
    <w:rsid w:val="00196B6D"/>
    <w:rsid w:val="00197491"/>
    <w:rsid w:val="001A0F22"/>
    <w:rsid w:val="001A47B1"/>
    <w:rsid w:val="001B1C1F"/>
    <w:rsid w:val="001B469B"/>
    <w:rsid w:val="001B5835"/>
    <w:rsid w:val="001C0A84"/>
    <w:rsid w:val="001D164A"/>
    <w:rsid w:val="001D2177"/>
    <w:rsid w:val="001D31BF"/>
    <w:rsid w:val="001E51C4"/>
    <w:rsid w:val="001E5709"/>
    <w:rsid w:val="001F06CA"/>
    <w:rsid w:val="001F1BBC"/>
    <w:rsid w:val="001F396A"/>
    <w:rsid w:val="001F493C"/>
    <w:rsid w:val="001F69C8"/>
    <w:rsid w:val="001F6ED0"/>
    <w:rsid w:val="00203218"/>
    <w:rsid w:val="00205C9B"/>
    <w:rsid w:val="002153C3"/>
    <w:rsid w:val="00216B28"/>
    <w:rsid w:val="00224DF3"/>
    <w:rsid w:val="00225C0A"/>
    <w:rsid w:val="0022669E"/>
    <w:rsid w:val="00234CDD"/>
    <w:rsid w:val="00245F74"/>
    <w:rsid w:val="002552FF"/>
    <w:rsid w:val="00265CCB"/>
    <w:rsid w:val="00270AF6"/>
    <w:rsid w:val="00272673"/>
    <w:rsid w:val="0027659B"/>
    <w:rsid w:val="00277EA7"/>
    <w:rsid w:val="0028073B"/>
    <w:rsid w:val="00281C66"/>
    <w:rsid w:val="0028298F"/>
    <w:rsid w:val="002830F1"/>
    <w:rsid w:val="00290074"/>
    <w:rsid w:val="00296D32"/>
    <w:rsid w:val="002A20F3"/>
    <w:rsid w:val="002C1838"/>
    <w:rsid w:val="002C3B81"/>
    <w:rsid w:val="002D142A"/>
    <w:rsid w:val="002D27B6"/>
    <w:rsid w:val="002E3064"/>
    <w:rsid w:val="002E6A72"/>
    <w:rsid w:val="002F03C4"/>
    <w:rsid w:val="002F06C7"/>
    <w:rsid w:val="00301EC7"/>
    <w:rsid w:val="0030749A"/>
    <w:rsid w:val="00316D2A"/>
    <w:rsid w:val="00317B7D"/>
    <w:rsid w:val="00322821"/>
    <w:rsid w:val="00322826"/>
    <w:rsid w:val="00324D6F"/>
    <w:rsid w:val="00327030"/>
    <w:rsid w:val="00332BA0"/>
    <w:rsid w:val="00357934"/>
    <w:rsid w:val="00360565"/>
    <w:rsid w:val="00367BC7"/>
    <w:rsid w:val="003747C9"/>
    <w:rsid w:val="00374FF9"/>
    <w:rsid w:val="00380E99"/>
    <w:rsid w:val="0038232A"/>
    <w:rsid w:val="00382AB8"/>
    <w:rsid w:val="00385374"/>
    <w:rsid w:val="00386CD2"/>
    <w:rsid w:val="003915D2"/>
    <w:rsid w:val="00393291"/>
    <w:rsid w:val="00393402"/>
    <w:rsid w:val="003B78B5"/>
    <w:rsid w:val="003D23D3"/>
    <w:rsid w:val="003D278B"/>
    <w:rsid w:val="003D6CA9"/>
    <w:rsid w:val="003E4DF2"/>
    <w:rsid w:val="003E6DF2"/>
    <w:rsid w:val="00400F6B"/>
    <w:rsid w:val="00404881"/>
    <w:rsid w:val="00404B38"/>
    <w:rsid w:val="0041016D"/>
    <w:rsid w:val="0041329A"/>
    <w:rsid w:val="00413A6F"/>
    <w:rsid w:val="004141E3"/>
    <w:rsid w:val="0042598D"/>
    <w:rsid w:val="00431EF2"/>
    <w:rsid w:val="004367AD"/>
    <w:rsid w:val="00436D19"/>
    <w:rsid w:val="00437230"/>
    <w:rsid w:val="004402F2"/>
    <w:rsid w:val="00440AB7"/>
    <w:rsid w:val="00443967"/>
    <w:rsid w:val="004463DE"/>
    <w:rsid w:val="00447558"/>
    <w:rsid w:val="0045212C"/>
    <w:rsid w:val="00452687"/>
    <w:rsid w:val="004543CF"/>
    <w:rsid w:val="00470B9B"/>
    <w:rsid w:val="00471805"/>
    <w:rsid w:val="004848B3"/>
    <w:rsid w:val="00487C55"/>
    <w:rsid w:val="004905D3"/>
    <w:rsid w:val="00492228"/>
    <w:rsid w:val="004A2A8D"/>
    <w:rsid w:val="004B1636"/>
    <w:rsid w:val="004B4960"/>
    <w:rsid w:val="004B74FE"/>
    <w:rsid w:val="004C0AED"/>
    <w:rsid w:val="004C2381"/>
    <w:rsid w:val="004C5085"/>
    <w:rsid w:val="004D3B24"/>
    <w:rsid w:val="004D3F72"/>
    <w:rsid w:val="004D5299"/>
    <w:rsid w:val="004E0FC1"/>
    <w:rsid w:val="004E4F37"/>
    <w:rsid w:val="004E7265"/>
    <w:rsid w:val="004E7616"/>
    <w:rsid w:val="004E7651"/>
    <w:rsid w:val="004F018E"/>
    <w:rsid w:val="004F1D47"/>
    <w:rsid w:val="004F67BF"/>
    <w:rsid w:val="0050678D"/>
    <w:rsid w:val="00507286"/>
    <w:rsid w:val="0051276A"/>
    <w:rsid w:val="00512E21"/>
    <w:rsid w:val="00515A1C"/>
    <w:rsid w:val="00524240"/>
    <w:rsid w:val="00524F3F"/>
    <w:rsid w:val="00524F43"/>
    <w:rsid w:val="00526265"/>
    <w:rsid w:val="00537C54"/>
    <w:rsid w:val="0054229C"/>
    <w:rsid w:val="00542CB3"/>
    <w:rsid w:val="005458BB"/>
    <w:rsid w:val="00546CA9"/>
    <w:rsid w:val="00550C26"/>
    <w:rsid w:val="00550F66"/>
    <w:rsid w:val="00551233"/>
    <w:rsid w:val="00552881"/>
    <w:rsid w:val="00555D4C"/>
    <w:rsid w:val="00564CE7"/>
    <w:rsid w:val="0056690F"/>
    <w:rsid w:val="00573B66"/>
    <w:rsid w:val="00576819"/>
    <w:rsid w:val="00582DC0"/>
    <w:rsid w:val="00591D2A"/>
    <w:rsid w:val="00593807"/>
    <w:rsid w:val="00595272"/>
    <w:rsid w:val="00596E91"/>
    <w:rsid w:val="005A0EC3"/>
    <w:rsid w:val="005A10E7"/>
    <w:rsid w:val="005A213E"/>
    <w:rsid w:val="005A78A9"/>
    <w:rsid w:val="005B3B6C"/>
    <w:rsid w:val="005C3CEC"/>
    <w:rsid w:val="005C5377"/>
    <w:rsid w:val="005C68FE"/>
    <w:rsid w:val="005C79CD"/>
    <w:rsid w:val="005C79FA"/>
    <w:rsid w:val="005D05D9"/>
    <w:rsid w:val="005D15BC"/>
    <w:rsid w:val="005E269A"/>
    <w:rsid w:val="005E395E"/>
    <w:rsid w:val="005F053B"/>
    <w:rsid w:val="005F2E53"/>
    <w:rsid w:val="005F5DEA"/>
    <w:rsid w:val="005F66AB"/>
    <w:rsid w:val="00604341"/>
    <w:rsid w:val="006051FC"/>
    <w:rsid w:val="00611E6F"/>
    <w:rsid w:val="00613088"/>
    <w:rsid w:val="00613350"/>
    <w:rsid w:val="00615DDF"/>
    <w:rsid w:val="0061619A"/>
    <w:rsid w:val="006166D7"/>
    <w:rsid w:val="00616E9F"/>
    <w:rsid w:val="006224CD"/>
    <w:rsid w:val="006400D6"/>
    <w:rsid w:val="0064032F"/>
    <w:rsid w:val="0064163A"/>
    <w:rsid w:val="00642339"/>
    <w:rsid w:val="00642646"/>
    <w:rsid w:val="006509AE"/>
    <w:rsid w:val="00650E2C"/>
    <w:rsid w:val="00651709"/>
    <w:rsid w:val="006547AE"/>
    <w:rsid w:val="0065485C"/>
    <w:rsid w:val="006571A7"/>
    <w:rsid w:val="006608D6"/>
    <w:rsid w:val="006635EA"/>
    <w:rsid w:val="006636B3"/>
    <w:rsid w:val="0066647A"/>
    <w:rsid w:val="00673A54"/>
    <w:rsid w:val="006842CA"/>
    <w:rsid w:val="00691CD2"/>
    <w:rsid w:val="006955CD"/>
    <w:rsid w:val="006A56E0"/>
    <w:rsid w:val="006A745D"/>
    <w:rsid w:val="006B5751"/>
    <w:rsid w:val="006B7161"/>
    <w:rsid w:val="006C0119"/>
    <w:rsid w:val="006C2D08"/>
    <w:rsid w:val="006C4A78"/>
    <w:rsid w:val="006C4AF5"/>
    <w:rsid w:val="006C6FD3"/>
    <w:rsid w:val="006E164E"/>
    <w:rsid w:val="006E79B3"/>
    <w:rsid w:val="006F113B"/>
    <w:rsid w:val="006F191D"/>
    <w:rsid w:val="006F1D54"/>
    <w:rsid w:val="006F2398"/>
    <w:rsid w:val="006F4FD1"/>
    <w:rsid w:val="0071767B"/>
    <w:rsid w:val="00721937"/>
    <w:rsid w:val="0072287D"/>
    <w:rsid w:val="00722D8E"/>
    <w:rsid w:val="00735BA1"/>
    <w:rsid w:val="00741448"/>
    <w:rsid w:val="00743E87"/>
    <w:rsid w:val="007507AA"/>
    <w:rsid w:val="007508A1"/>
    <w:rsid w:val="007510F5"/>
    <w:rsid w:val="00756B4C"/>
    <w:rsid w:val="00760682"/>
    <w:rsid w:val="007648D9"/>
    <w:rsid w:val="0077113F"/>
    <w:rsid w:val="0078179F"/>
    <w:rsid w:val="00794858"/>
    <w:rsid w:val="007A281A"/>
    <w:rsid w:val="007A5636"/>
    <w:rsid w:val="007B200C"/>
    <w:rsid w:val="007B6882"/>
    <w:rsid w:val="007C6201"/>
    <w:rsid w:val="007E3E63"/>
    <w:rsid w:val="007E4F01"/>
    <w:rsid w:val="007E7CD4"/>
    <w:rsid w:val="007F574A"/>
    <w:rsid w:val="007F69D9"/>
    <w:rsid w:val="00801D70"/>
    <w:rsid w:val="00803622"/>
    <w:rsid w:val="0080748E"/>
    <w:rsid w:val="00807FAD"/>
    <w:rsid w:val="00811736"/>
    <w:rsid w:val="00811DEA"/>
    <w:rsid w:val="008134BB"/>
    <w:rsid w:val="0081457F"/>
    <w:rsid w:val="00824252"/>
    <w:rsid w:val="00830739"/>
    <w:rsid w:val="00830A65"/>
    <w:rsid w:val="00846670"/>
    <w:rsid w:val="00855DAF"/>
    <w:rsid w:val="008564FF"/>
    <w:rsid w:val="008601D3"/>
    <w:rsid w:val="0086448F"/>
    <w:rsid w:val="00864787"/>
    <w:rsid w:val="00865F18"/>
    <w:rsid w:val="00870F5E"/>
    <w:rsid w:val="008737A8"/>
    <w:rsid w:val="008752F2"/>
    <w:rsid w:val="00876676"/>
    <w:rsid w:val="0087674D"/>
    <w:rsid w:val="008858B9"/>
    <w:rsid w:val="00885C15"/>
    <w:rsid w:val="00886314"/>
    <w:rsid w:val="00887AE7"/>
    <w:rsid w:val="008973BC"/>
    <w:rsid w:val="00897DCE"/>
    <w:rsid w:val="008A124F"/>
    <w:rsid w:val="008B014B"/>
    <w:rsid w:val="008B0462"/>
    <w:rsid w:val="008B6A38"/>
    <w:rsid w:val="008C0883"/>
    <w:rsid w:val="008C1260"/>
    <w:rsid w:val="008C4680"/>
    <w:rsid w:val="008C47AD"/>
    <w:rsid w:val="008C6538"/>
    <w:rsid w:val="008C6645"/>
    <w:rsid w:val="008C6C5F"/>
    <w:rsid w:val="008C7311"/>
    <w:rsid w:val="008D013F"/>
    <w:rsid w:val="008D0406"/>
    <w:rsid w:val="008D0F83"/>
    <w:rsid w:val="008D14FA"/>
    <w:rsid w:val="008D22FA"/>
    <w:rsid w:val="008E2FA5"/>
    <w:rsid w:val="008E64D0"/>
    <w:rsid w:val="008F0C4F"/>
    <w:rsid w:val="008F4389"/>
    <w:rsid w:val="008F678B"/>
    <w:rsid w:val="008F6F32"/>
    <w:rsid w:val="0090221E"/>
    <w:rsid w:val="0091608C"/>
    <w:rsid w:val="009168FD"/>
    <w:rsid w:val="00917A11"/>
    <w:rsid w:val="00921BB6"/>
    <w:rsid w:val="0094014E"/>
    <w:rsid w:val="00950B4B"/>
    <w:rsid w:val="009651D5"/>
    <w:rsid w:val="00971560"/>
    <w:rsid w:val="00975D7D"/>
    <w:rsid w:val="00977A72"/>
    <w:rsid w:val="009815E8"/>
    <w:rsid w:val="0098736C"/>
    <w:rsid w:val="00991762"/>
    <w:rsid w:val="00991E2F"/>
    <w:rsid w:val="0099468E"/>
    <w:rsid w:val="009A13AA"/>
    <w:rsid w:val="009A3C1E"/>
    <w:rsid w:val="009A7861"/>
    <w:rsid w:val="009B2ACA"/>
    <w:rsid w:val="009B4DFF"/>
    <w:rsid w:val="009B4FF6"/>
    <w:rsid w:val="009C15C7"/>
    <w:rsid w:val="009C1E91"/>
    <w:rsid w:val="009C3878"/>
    <w:rsid w:val="009C68C9"/>
    <w:rsid w:val="009C6B21"/>
    <w:rsid w:val="009C79F7"/>
    <w:rsid w:val="009D2F07"/>
    <w:rsid w:val="009E367E"/>
    <w:rsid w:val="009E6AF7"/>
    <w:rsid w:val="009F3AFF"/>
    <w:rsid w:val="009F4481"/>
    <w:rsid w:val="009F6448"/>
    <w:rsid w:val="00A175EE"/>
    <w:rsid w:val="00A20AA7"/>
    <w:rsid w:val="00A218B6"/>
    <w:rsid w:val="00A26C25"/>
    <w:rsid w:val="00A31273"/>
    <w:rsid w:val="00A32152"/>
    <w:rsid w:val="00A33CE8"/>
    <w:rsid w:val="00A345DA"/>
    <w:rsid w:val="00A36F8F"/>
    <w:rsid w:val="00A37AED"/>
    <w:rsid w:val="00A42288"/>
    <w:rsid w:val="00A42CA0"/>
    <w:rsid w:val="00A4524F"/>
    <w:rsid w:val="00A501FD"/>
    <w:rsid w:val="00A54275"/>
    <w:rsid w:val="00A54E6A"/>
    <w:rsid w:val="00A60ADD"/>
    <w:rsid w:val="00A65B0C"/>
    <w:rsid w:val="00A66256"/>
    <w:rsid w:val="00A721AC"/>
    <w:rsid w:val="00A723F4"/>
    <w:rsid w:val="00A73EA2"/>
    <w:rsid w:val="00A80FF6"/>
    <w:rsid w:val="00A84763"/>
    <w:rsid w:val="00A85091"/>
    <w:rsid w:val="00A86DD3"/>
    <w:rsid w:val="00A904E3"/>
    <w:rsid w:val="00A91EA9"/>
    <w:rsid w:val="00A93850"/>
    <w:rsid w:val="00A9665A"/>
    <w:rsid w:val="00AA0F7F"/>
    <w:rsid w:val="00AA741F"/>
    <w:rsid w:val="00AC2CAE"/>
    <w:rsid w:val="00AC624E"/>
    <w:rsid w:val="00AC77D3"/>
    <w:rsid w:val="00AD3354"/>
    <w:rsid w:val="00AE0381"/>
    <w:rsid w:val="00AE0805"/>
    <w:rsid w:val="00AE14C2"/>
    <w:rsid w:val="00AE4784"/>
    <w:rsid w:val="00AF1159"/>
    <w:rsid w:val="00AF1DF6"/>
    <w:rsid w:val="00AF4BBB"/>
    <w:rsid w:val="00B00A10"/>
    <w:rsid w:val="00B01ECD"/>
    <w:rsid w:val="00B0322B"/>
    <w:rsid w:val="00B05E61"/>
    <w:rsid w:val="00B104B0"/>
    <w:rsid w:val="00B1454F"/>
    <w:rsid w:val="00B17C06"/>
    <w:rsid w:val="00B219B6"/>
    <w:rsid w:val="00B22667"/>
    <w:rsid w:val="00B259F9"/>
    <w:rsid w:val="00B26E41"/>
    <w:rsid w:val="00B27A23"/>
    <w:rsid w:val="00B3052A"/>
    <w:rsid w:val="00B33FA9"/>
    <w:rsid w:val="00B37C93"/>
    <w:rsid w:val="00B41242"/>
    <w:rsid w:val="00B43F2F"/>
    <w:rsid w:val="00B458D3"/>
    <w:rsid w:val="00B472C2"/>
    <w:rsid w:val="00B539B7"/>
    <w:rsid w:val="00B541F3"/>
    <w:rsid w:val="00B61FF6"/>
    <w:rsid w:val="00B67126"/>
    <w:rsid w:val="00B7396A"/>
    <w:rsid w:val="00B82487"/>
    <w:rsid w:val="00B8282C"/>
    <w:rsid w:val="00B85298"/>
    <w:rsid w:val="00B852D4"/>
    <w:rsid w:val="00B86020"/>
    <w:rsid w:val="00B9166E"/>
    <w:rsid w:val="00B934EE"/>
    <w:rsid w:val="00B94256"/>
    <w:rsid w:val="00BA4909"/>
    <w:rsid w:val="00BB4077"/>
    <w:rsid w:val="00BB5AA3"/>
    <w:rsid w:val="00BB7997"/>
    <w:rsid w:val="00BC4FF6"/>
    <w:rsid w:val="00BC744A"/>
    <w:rsid w:val="00BD2D17"/>
    <w:rsid w:val="00BE3DAE"/>
    <w:rsid w:val="00BE4BA6"/>
    <w:rsid w:val="00C010FD"/>
    <w:rsid w:val="00C022D5"/>
    <w:rsid w:val="00C1521C"/>
    <w:rsid w:val="00C1599E"/>
    <w:rsid w:val="00C16AD0"/>
    <w:rsid w:val="00C16E64"/>
    <w:rsid w:val="00C250B1"/>
    <w:rsid w:val="00C25191"/>
    <w:rsid w:val="00C26EF5"/>
    <w:rsid w:val="00C27E55"/>
    <w:rsid w:val="00C32537"/>
    <w:rsid w:val="00C355E7"/>
    <w:rsid w:val="00C3795C"/>
    <w:rsid w:val="00C420CF"/>
    <w:rsid w:val="00C44975"/>
    <w:rsid w:val="00C452B0"/>
    <w:rsid w:val="00C51F69"/>
    <w:rsid w:val="00C5574A"/>
    <w:rsid w:val="00C643E2"/>
    <w:rsid w:val="00C64695"/>
    <w:rsid w:val="00C652CB"/>
    <w:rsid w:val="00C71E06"/>
    <w:rsid w:val="00C80386"/>
    <w:rsid w:val="00C80427"/>
    <w:rsid w:val="00C80BB6"/>
    <w:rsid w:val="00C83EF8"/>
    <w:rsid w:val="00C84A03"/>
    <w:rsid w:val="00C864E6"/>
    <w:rsid w:val="00C86F1B"/>
    <w:rsid w:val="00C91480"/>
    <w:rsid w:val="00C93129"/>
    <w:rsid w:val="00C97280"/>
    <w:rsid w:val="00CA11D7"/>
    <w:rsid w:val="00CA1C22"/>
    <w:rsid w:val="00CA4E7C"/>
    <w:rsid w:val="00CB3DFF"/>
    <w:rsid w:val="00CC18F4"/>
    <w:rsid w:val="00CC27F0"/>
    <w:rsid w:val="00CC407E"/>
    <w:rsid w:val="00CC529A"/>
    <w:rsid w:val="00CC5591"/>
    <w:rsid w:val="00CD1FAF"/>
    <w:rsid w:val="00CD2740"/>
    <w:rsid w:val="00CD2D68"/>
    <w:rsid w:val="00CD311E"/>
    <w:rsid w:val="00CD56E4"/>
    <w:rsid w:val="00CD67CA"/>
    <w:rsid w:val="00CD7A5F"/>
    <w:rsid w:val="00CE0F67"/>
    <w:rsid w:val="00CE4ECC"/>
    <w:rsid w:val="00CE52B7"/>
    <w:rsid w:val="00CE5E77"/>
    <w:rsid w:val="00CF17DE"/>
    <w:rsid w:val="00CF1EF5"/>
    <w:rsid w:val="00CF50BD"/>
    <w:rsid w:val="00CF6197"/>
    <w:rsid w:val="00D1012A"/>
    <w:rsid w:val="00D1339D"/>
    <w:rsid w:val="00D13F1D"/>
    <w:rsid w:val="00D1467F"/>
    <w:rsid w:val="00D14EB9"/>
    <w:rsid w:val="00D169FC"/>
    <w:rsid w:val="00D2175C"/>
    <w:rsid w:val="00D24393"/>
    <w:rsid w:val="00D26AA6"/>
    <w:rsid w:val="00D3271E"/>
    <w:rsid w:val="00D349DA"/>
    <w:rsid w:val="00D34DB1"/>
    <w:rsid w:val="00D368E5"/>
    <w:rsid w:val="00D42B36"/>
    <w:rsid w:val="00D42B83"/>
    <w:rsid w:val="00D43877"/>
    <w:rsid w:val="00D46555"/>
    <w:rsid w:val="00D47B59"/>
    <w:rsid w:val="00D47CA1"/>
    <w:rsid w:val="00D47F82"/>
    <w:rsid w:val="00D47FCA"/>
    <w:rsid w:val="00D53B69"/>
    <w:rsid w:val="00D5590B"/>
    <w:rsid w:val="00D60D59"/>
    <w:rsid w:val="00D620E5"/>
    <w:rsid w:val="00D6231F"/>
    <w:rsid w:val="00D63AD2"/>
    <w:rsid w:val="00D75E24"/>
    <w:rsid w:val="00D831C9"/>
    <w:rsid w:val="00D86343"/>
    <w:rsid w:val="00D90DB9"/>
    <w:rsid w:val="00D919F6"/>
    <w:rsid w:val="00D936F6"/>
    <w:rsid w:val="00D93FFA"/>
    <w:rsid w:val="00D9707B"/>
    <w:rsid w:val="00D97A43"/>
    <w:rsid w:val="00DA0FFE"/>
    <w:rsid w:val="00DA7628"/>
    <w:rsid w:val="00DB341E"/>
    <w:rsid w:val="00DB6F2C"/>
    <w:rsid w:val="00DC1AB5"/>
    <w:rsid w:val="00DC701F"/>
    <w:rsid w:val="00DD169E"/>
    <w:rsid w:val="00DD23B9"/>
    <w:rsid w:val="00DD2A03"/>
    <w:rsid w:val="00DD305F"/>
    <w:rsid w:val="00DD360C"/>
    <w:rsid w:val="00DD457D"/>
    <w:rsid w:val="00DD52D9"/>
    <w:rsid w:val="00DF558C"/>
    <w:rsid w:val="00DF7435"/>
    <w:rsid w:val="00E03C33"/>
    <w:rsid w:val="00E06D14"/>
    <w:rsid w:val="00E25C78"/>
    <w:rsid w:val="00E3241C"/>
    <w:rsid w:val="00E4273B"/>
    <w:rsid w:val="00E52BE0"/>
    <w:rsid w:val="00E63410"/>
    <w:rsid w:val="00E86722"/>
    <w:rsid w:val="00E9190F"/>
    <w:rsid w:val="00E96D23"/>
    <w:rsid w:val="00EA6164"/>
    <w:rsid w:val="00EB59C7"/>
    <w:rsid w:val="00EB7C58"/>
    <w:rsid w:val="00EC73E6"/>
    <w:rsid w:val="00ED2E69"/>
    <w:rsid w:val="00EE04CF"/>
    <w:rsid w:val="00EE4CB1"/>
    <w:rsid w:val="00EE636D"/>
    <w:rsid w:val="00EE6631"/>
    <w:rsid w:val="00EE7D0F"/>
    <w:rsid w:val="00EF003F"/>
    <w:rsid w:val="00EF1D60"/>
    <w:rsid w:val="00EF42D5"/>
    <w:rsid w:val="00EF5964"/>
    <w:rsid w:val="00EF6BBE"/>
    <w:rsid w:val="00EF6F3B"/>
    <w:rsid w:val="00EF75A7"/>
    <w:rsid w:val="00EF7C40"/>
    <w:rsid w:val="00F04687"/>
    <w:rsid w:val="00F04CEA"/>
    <w:rsid w:val="00F1204E"/>
    <w:rsid w:val="00F244BE"/>
    <w:rsid w:val="00F24F52"/>
    <w:rsid w:val="00F41236"/>
    <w:rsid w:val="00F441F4"/>
    <w:rsid w:val="00F6057D"/>
    <w:rsid w:val="00F6073D"/>
    <w:rsid w:val="00F74A9E"/>
    <w:rsid w:val="00F775F2"/>
    <w:rsid w:val="00F85AF6"/>
    <w:rsid w:val="00F87DE4"/>
    <w:rsid w:val="00F95D87"/>
    <w:rsid w:val="00F97C48"/>
    <w:rsid w:val="00FA2C0C"/>
    <w:rsid w:val="00FA62A7"/>
    <w:rsid w:val="00FB0BAA"/>
    <w:rsid w:val="00FC4B2F"/>
    <w:rsid w:val="00FC557A"/>
    <w:rsid w:val="00FD2FDD"/>
    <w:rsid w:val="00FE12AB"/>
    <w:rsid w:val="00FE1722"/>
    <w:rsid w:val="00FE6CAC"/>
    <w:rsid w:val="00FE7725"/>
    <w:rsid w:val="00FF118F"/>
    <w:rsid w:val="00FF1770"/>
    <w:rsid w:val="00FF205B"/>
    <w:rsid w:val="00FF6323"/>
    <w:rsid w:val="03B9D52B"/>
    <w:rsid w:val="04030986"/>
    <w:rsid w:val="0426D837"/>
    <w:rsid w:val="056A0A67"/>
    <w:rsid w:val="05BD1896"/>
    <w:rsid w:val="06A5E48A"/>
    <w:rsid w:val="06A97D9F"/>
    <w:rsid w:val="0829B0D8"/>
    <w:rsid w:val="0876A0B5"/>
    <w:rsid w:val="08D3EAF7"/>
    <w:rsid w:val="0A201F93"/>
    <w:rsid w:val="0A9D249F"/>
    <w:rsid w:val="0AEC3795"/>
    <w:rsid w:val="0B2EE0F8"/>
    <w:rsid w:val="0B6DC503"/>
    <w:rsid w:val="0BD82B97"/>
    <w:rsid w:val="0E339E34"/>
    <w:rsid w:val="10CF73FB"/>
    <w:rsid w:val="12A36208"/>
    <w:rsid w:val="137A910C"/>
    <w:rsid w:val="15BD1473"/>
    <w:rsid w:val="15F8A0FE"/>
    <w:rsid w:val="1823246B"/>
    <w:rsid w:val="186E54DE"/>
    <w:rsid w:val="188DF85D"/>
    <w:rsid w:val="191D5AC4"/>
    <w:rsid w:val="1B1859F6"/>
    <w:rsid w:val="1B6D08BB"/>
    <w:rsid w:val="1BB5334E"/>
    <w:rsid w:val="1BE677F1"/>
    <w:rsid w:val="21EAF567"/>
    <w:rsid w:val="226DC0D7"/>
    <w:rsid w:val="22905EE9"/>
    <w:rsid w:val="22A9A53E"/>
    <w:rsid w:val="23BE7E22"/>
    <w:rsid w:val="23D3C2AC"/>
    <w:rsid w:val="2448565F"/>
    <w:rsid w:val="24CAE66F"/>
    <w:rsid w:val="26DFC051"/>
    <w:rsid w:val="27FBFCFC"/>
    <w:rsid w:val="2858A0D7"/>
    <w:rsid w:val="28768DE6"/>
    <w:rsid w:val="2BA1B940"/>
    <w:rsid w:val="2C657D3C"/>
    <w:rsid w:val="2C68BFD9"/>
    <w:rsid w:val="2D5DCC0D"/>
    <w:rsid w:val="2E80BFA7"/>
    <w:rsid w:val="2F6BF324"/>
    <w:rsid w:val="302EAC3D"/>
    <w:rsid w:val="3092137C"/>
    <w:rsid w:val="3096AFA8"/>
    <w:rsid w:val="30B71307"/>
    <w:rsid w:val="30E5CBDF"/>
    <w:rsid w:val="31DEB201"/>
    <w:rsid w:val="31FDCC0B"/>
    <w:rsid w:val="331834EF"/>
    <w:rsid w:val="33E9F211"/>
    <w:rsid w:val="35980DF6"/>
    <w:rsid w:val="35A89966"/>
    <w:rsid w:val="36ACD81F"/>
    <w:rsid w:val="38149D9A"/>
    <w:rsid w:val="38B850EC"/>
    <w:rsid w:val="3968B853"/>
    <w:rsid w:val="39AF67D3"/>
    <w:rsid w:val="39D63EE4"/>
    <w:rsid w:val="3A76547B"/>
    <w:rsid w:val="3B3951DE"/>
    <w:rsid w:val="3BD8CF82"/>
    <w:rsid w:val="3C60959E"/>
    <w:rsid w:val="3DCB9C2A"/>
    <w:rsid w:val="3E540E2D"/>
    <w:rsid w:val="3E6BF2F4"/>
    <w:rsid w:val="3E8D698D"/>
    <w:rsid w:val="3EE394EE"/>
    <w:rsid w:val="3F0D8312"/>
    <w:rsid w:val="3FF38355"/>
    <w:rsid w:val="4145C35E"/>
    <w:rsid w:val="41DA68D0"/>
    <w:rsid w:val="4228FF94"/>
    <w:rsid w:val="424FED15"/>
    <w:rsid w:val="42D9611B"/>
    <w:rsid w:val="43005A56"/>
    <w:rsid w:val="45043640"/>
    <w:rsid w:val="4626B342"/>
    <w:rsid w:val="4707E019"/>
    <w:rsid w:val="4756A898"/>
    <w:rsid w:val="497D7E59"/>
    <w:rsid w:val="4AC1468F"/>
    <w:rsid w:val="4AC23BBA"/>
    <w:rsid w:val="4C7C40D0"/>
    <w:rsid w:val="4D4EE061"/>
    <w:rsid w:val="4E25563D"/>
    <w:rsid w:val="4EE2B5DE"/>
    <w:rsid w:val="4F033627"/>
    <w:rsid w:val="4F127C6C"/>
    <w:rsid w:val="5098F956"/>
    <w:rsid w:val="511C8D2A"/>
    <w:rsid w:val="522BF917"/>
    <w:rsid w:val="52A4F1A7"/>
    <w:rsid w:val="53AF5087"/>
    <w:rsid w:val="544A305A"/>
    <w:rsid w:val="5550354D"/>
    <w:rsid w:val="565E9C06"/>
    <w:rsid w:val="5826001D"/>
    <w:rsid w:val="58CB7711"/>
    <w:rsid w:val="598485C6"/>
    <w:rsid w:val="5B24D5FE"/>
    <w:rsid w:val="5B3EFC33"/>
    <w:rsid w:val="5BAB297F"/>
    <w:rsid w:val="5DFBC716"/>
    <w:rsid w:val="5E014E90"/>
    <w:rsid w:val="5F86EDC5"/>
    <w:rsid w:val="5FF881C6"/>
    <w:rsid w:val="62B8808C"/>
    <w:rsid w:val="6352A7BF"/>
    <w:rsid w:val="64CA188B"/>
    <w:rsid w:val="674B9CBC"/>
    <w:rsid w:val="684EEC0A"/>
    <w:rsid w:val="68829AD1"/>
    <w:rsid w:val="688E5F3B"/>
    <w:rsid w:val="690411BC"/>
    <w:rsid w:val="691FA9DD"/>
    <w:rsid w:val="6A58B104"/>
    <w:rsid w:val="6A73F922"/>
    <w:rsid w:val="6AB13608"/>
    <w:rsid w:val="6AEF69C4"/>
    <w:rsid w:val="6BB08BA2"/>
    <w:rsid w:val="6BD7F6A0"/>
    <w:rsid w:val="6C0EB054"/>
    <w:rsid w:val="6DBDD8EA"/>
    <w:rsid w:val="6EB30F8C"/>
    <w:rsid w:val="6EFBD844"/>
    <w:rsid w:val="70B375D7"/>
    <w:rsid w:val="7308BD66"/>
    <w:rsid w:val="73E2EFE6"/>
    <w:rsid w:val="743D1E45"/>
    <w:rsid w:val="7443FF92"/>
    <w:rsid w:val="749901BB"/>
    <w:rsid w:val="77F1231C"/>
    <w:rsid w:val="78B49240"/>
    <w:rsid w:val="78FDD190"/>
    <w:rsid w:val="79CA8210"/>
    <w:rsid w:val="7C829AB0"/>
    <w:rsid w:val="7E4CD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6EEFA"/>
  <w15:docId w15:val="{EAE1893E-A92D-4A3A-A66E-539F1E030BE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basedOn w:val="DefaultParagraphFont"/>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basedOn w:val="DefaultParagraphFont"/>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E96D23"/>
    <w:pPr>
      <w:ind w:left="720"/>
      <w:contextualSpacing/>
    </w:pPr>
    <w:rPr>
      <w:rFonts w:ascii="Times New Roman" w:hAnsi="Times New Roman"/>
      <w:sz w:val="24"/>
      <w:szCs w:val="24"/>
      <w:lang w:eastAsia="zh-TW"/>
    </w:rPr>
  </w:style>
  <w:style w:type="character" w:styleId="Hyperlink">
    <w:name w:val="Hyperlink"/>
    <w:rsid w:val="00FE1722"/>
    <w:rPr>
      <w:color w:val="0000FF"/>
      <w:u w:val="single"/>
    </w:rPr>
  </w:style>
  <w:style w:type="character" w:styleId="CommentReference">
    <w:name w:val="annotation reference"/>
    <w:unhideWhenUsed/>
    <w:rsid w:val="00FE1722"/>
    <w:rPr>
      <w:sz w:val="16"/>
      <w:szCs w:val="16"/>
    </w:rPr>
  </w:style>
  <w:style w:type="paragraph" w:styleId="CommentText">
    <w:name w:val="annotation text"/>
    <w:basedOn w:val="Normal"/>
    <w:link w:val="CommentTextChar"/>
    <w:unhideWhenUsed/>
    <w:rsid w:val="00FE1722"/>
    <w:rPr>
      <w:rFonts w:ascii="Times New Roman" w:hAnsi="Times New Roman"/>
      <w:sz w:val="20"/>
      <w:lang w:eastAsia="zh-TW"/>
    </w:rPr>
  </w:style>
  <w:style w:type="character" w:customStyle="1" w:styleId="CommentTextChar">
    <w:name w:val="Comment Text Char"/>
    <w:basedOn w:val="DefaultParagraphFont"/>
    <w:link w:val="CommentText"/>
    <w:rsid w:val="00FE1722"/>
    <w:rPr>
      <w:lang w:eastAsia="zh-TW"/>
    </w:rPr>
  </w:style>
  <w:style w:type="table" w:styleId="TableGrid">
    <w:name w:val="Table Grid"/>
    <w:basedOn w:val="TableNormal"/>
    <w:rsid w:val="00FE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54BAF"/>
    <w:rPr>
      <w:rFonts w:ascii="Palatino" w:hAnsi="Palatino"/>
      <w:b/>
      <w:bCs/>
      <w:lang w:eastAsia="en-US"/>
    </w:rPr>
  </w:style>
  <w:style w:type="character" w:customStyle="1" w:styleId="CommentSubjectChar">
    <w:name w:val="Comment Subject Char"/>
    <w:basedOn w:val="CommentTextChar"/>
    <w:link w:val="CommentSubject"/>
    <w:rsid w:val="00054BAF"/>
    <w:rPr>
      <w:rFonts w:ascii="Palatino" w:hAnsi="Palatino"/>
      <w:b/>
      <w:bCs/>
      <w:lang w:eastAsia="zh-TW"/>
    </w:rPr>
  </w:style>
  <w:style w:type="character" w:styleId="UnresolvedMention">
    <w:name w:val="Unresolved Mention"/>
    <w:basedOn w:val="DefaultParagraphFont"/>
    <w:uiPriority w:val="99"/>
    <w:semiHidden/>
    <w:unhideWhenUsed/>
    <w:rsid w:val="00054BAF"/>
    <w:rPr>
      <w:color w:val="605E5C"/>
      <w:shd w:val="clear" w:color="auto" w:fill="E1DFDD"/>
    </w:rPr>
  </w:style>
  <w:style w:type="paragraph" w:styleId="Revision">
    <w:name w:val="Revision"/>
    <w:hidden/>
    <w:uiPriority w:val="99"/>
    <w:semiHidden/>
    <w:rsid w:val="005E395E"/>
    <w:rPr>
      <w:rFonts w:ascii="Palatino" w:hAnsi="Palatino"/>
      <w:sz w:val="26"/>
    </w:rPr>
  </w:style>
  <w:style w:type="character" w:styleId="Mention">
    <w:name w:val="Mention"/>
    <w:basedOn w:val="DefaultParagraphFont"/>
    <w:uiPriority w:val="99"/>
    <w:unhideWhenUsed/>
    <w:rsid w:val="000E7604"/>
    <w:rPr>
      <w:color w:val="2B579A"/>
      <w:shd w:val="clear" w:color="auto" w:fill="E1DFDD"/>
    </w:rPr>
  </w:style>
  <w:style w:type="paragraph" w:customStyle="1" w:styleId="10sp0">
    <w:name w:val="_1.0sp 0&quot;"/>
    <w:basedOn w:val="Normal"/>
    <w:rsid w:val="004543CF"/>
    <w:pPr>
      <w:suppressAutoHyphens/>
      <w:spacing w:after="2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99958">
      <w:bodyDiv w:val="1"/>
      <w:marLeft w:val="0"/>
      <w:marRight w:val="0"/>
      <w:marTop w:val="0"/>
      <w:marBottom w:val="0"/>
      <w:divBdr>
        <w:top w:val="none" w:sz="0" w:space="0" w:color="auto"/>
        <w:left w:val="none" w:sz="0" w:space="0" w:color="auto"/>
        <w:bottom w:val="none" w:sz="0" w:space="0" w:color="auto"/>
        <w:right w:val="none" w:sz="0" w:space="0" w:color="auto"/>
      </w:divBdr>
    </w:div>
    <w:div w:id="7844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29a6da-8b1a-40b7-a185-7bea214921fb" xsi:nil="true"/>
    <lcf76f155ced4ddcb4097134ff3c332f xmlns="1e087460-8a4e-4a1e-9048-d472bf9cd9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B458A0129F724487676CA2BA64DF26" ma:contentTypeVersion="17" ma:contentTypeDescription="Create a new document." ma:contentTypeScope="" ma:versionID="7c736bebf7442a04d80ca57f3e74e4e1">
  <xsd:schema xmlns:xsd="http://www.w3.org/2001/XMLSchema" xmlns:xs="http://www.w3.org/2001/XMLSchema" xmlns:p="http://schemas.microsoft.com/office/2006/metadata/properties" xmlns:ns2="1e087460-8a4e-4a1e-9048-d472bf9cd9b3" xmlns:ns3="7c29a6da-8b1a-40b7-a185-7bea214921fb" targetNamespace="http://schemas.microsoft.com/office/2006/metadata/properties" ma:root="true" ma:fieldsID="22311c0a4cd44d3ee49ec26cc4bf9783" ns2:_="" ns3:_="">
    <xsd:import namespace="1e087460-8a4e-4a1e-9048-d472bf9cd9b3"/>
    <xsd:import namespace="7c29a6da-8b1a-40b7-a185-7bea214921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87460-8a4e-4a1e-9048-d472bf9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9a6da-8b1a-40b7-a185-7bea21492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5c5a637-5c79-4b53-8998-4c7c8419a9c4}" ma:internalName="TaxCatchAll" ma:showField="CatchAllData" ma:web="7c29a6da-8b1a-40b7-a185-7bea21492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26079-9B65-4F67-BF91-1A1F9060988E}">
  <ds:schemaRefs>
    <ds:schemaRef ds:uri="http://schemas.microsoft.com/office/2006/metadata/properties"/>
    <ds:schemaRef ds:uri="http://schemas.microsoft.com/office/infopath/2007/PartnerControls"/>
    <ds:schemaRef ds:uri="7c29a6da-8b1a-40b7-a185-7bea214921fb"/>
    <ds:schemaRef ds:uri="1e087460-8a4e-4a1e-9048-d472bf9cd9b3"/>
  </ds:schemaRefs>
</ds:datastoreItem>
</file>

<file path=customXml/itemProps2.xml><?xml version="1.0" encoding="utf-8"?>
<ds:datastoreItem xmlns:ds="http://schemas.openxmlformats.org/officeDocument/2006/customXml" ds:itemID="{EE0400C1-4682-47C5-8085-2E66A197824F}">
  <ds:schemaRefs>
    <ds:schemaRef ds:uri="http://schemas.openxmlformats.org/officeDocument/2006/bibliography"/>
  </ds:schemaRefs>
</ds:datastoreItem>
</file>

<file path=customXml/itemProps3.xml><?xml version="1.0" encoding="utf-8"?>
<ds:datastoreItem xmlns:ds="http://schemas.openxmlformats.org/officeDocument/2006/customXml" ds:itemID="{CE4B449B-A3A3-45DA-867C-28932E85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87460-8a4e-4a1e-9048-d472bf9cd9b3"/>
    <ds:schemaRef ds:uri="7c29a6da-8b1a-40b7-a185-7bea21492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3D713-08C6-45EB-B2D9-D3040D6160A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2840</ap:Words>
  <ap:Characters>14570</ap:Characters>
  <ap:Application>Microsoft Office Word</ap:Application>
  <ap:DocSecurity>0</ap:DocSecurity>
  <ap:Lines>416</ap:Lines>
  <ap:Paragraphs>151</ap:Paragraphs>
  <ap:ScaleCrop>false</ap:ScaleCrop>
  <ap:Manager/>
  <ap:Company/>
  <ap:LinksUpToDate>false</ap:LinksUpToDate>
  <ap:CharactersWithSpaces>17259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2000-06-01T18:55:00Z</cp:lastPrinted>
  <dcterms:created xsi:type="dcterms:W3CDTF">2025-02-07T09:22:24Z</dcterms:created>
  <dcterms:modified xsi:type="dcterms:W3CDTF">2025-02-07T09:22:24Z</dcterms:modified>
</cp:coreProperties>
</file>