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6528" w:rsidP="00743E64" w:rsidRDefault="00D86528" w14:paraId="1642349F" w14:textId="77777777">
      <w:pPr>
        <w:pStyle w:val="titlebar"/>
        <w:rPr>
          <w:rFonts w:cs="Helvetica"/>
          <w:szCs w:val="26"/>
        </w:rPr>
      </w:pPr>
      <w:r w:rsidRPr="00743E64">
        <w:rPr>
          <w:rFonts w:cs="Helvetica"/>
          <w:szCs w:val="26"/>
        </w:rPr>
        <w:t>PUBLIC UTILITIES COMMISSION OF THE STATE OF CALIFORNIA</w:t>
      </w:r>
    </w:p>
    <w:p w:rsidRPr="00743E64" w:rsidR="000E38B8" w:rsidP="00743E64" w:rsidRDefault="000E38B8" w14:paraId="3CDF84FB" w14:textId="77777777">
      <w:pPr>
        <w:pStyle w:val="titlebar"/>
        <w:rPr>
          <w:rFonts w:cs="Helvetica"/>
          <w:szCs w:val="26"/>
        </w:rPr>
      </w:pPr>
    </w:p>
    <w:p w:rsidRPr="00743E64" w:rsidR="00D86528" w:rsidP="000E38B8" w:rsidRDefault="000E38B8" w14:paraId="04E97788" w14:textId="610A23B7">
      <w:pPr>
        <w:pStyle w:val="titlebar"/>
        <w:tabs>
          <w:tab w:val="left" w:pos="8295"/>
        </w:tabs>
        <w:jc w:val="left"/>
        <w:rPr>
          <w:rFonts w:ascii="Palatino Linotype" w:hAnsi="Palatino Linotype"/>
          <w:sz w:val="24"/>
          <w:szCs w:val="24"/>
        </w:rPr>
      </w:pPr>
      <w:r>
        <w:rPr>
          <w:rFonts w:ascii="Palatino Linotype" w:hAnsi="Palatino Linotype"/>
          <w:sz w:val="24"/>
          <w:szCs w:val="24"/>
        </w:rPr>
        <w:t xml:space="preserve">                                                                                                                            Item# 15 (Rev.1)</w:t>
      </w:r>
    </w:p>
    <w:p w:rsidRPr="00743E64" w:rsidR="00D86528" w:rsidP="007401F2" w:rsidRDefault="00D86528" w14:paraId="0B9B3FA0" w14:textId="7A752C0E">
      <w:pPr>
        <w:suppressAutoHyphens/>
        <w:rPr>
          <w:rFonts w:ascii="Palatino Linotype" w:hAnsi="Palatino Linotype"/>
          <w:b/>
          <w:sz w:val="24"/>
          <w:szCs w:val="24"/>
        </w:rPr>
      </w:pP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t xml:space="preserve">     </w:t>
      </w:r>
      <w:r w:rsidR="007401F2">
        <w:rPr>
          <w:rFonts w:ascii="Palatino Linotype" w:hAnsi="Palatino Linotype"/>
          <w:sz w:val="24"/>
          <w:szCs w:val="24"/>
        </w:rPr>
        <w:t xml:space="preserve">  </w:t>
      </w:r>
      <w:r w:rsidRPr="00743E64">
        <w:rPr>
          <w:rFonts w:ascii="Palatino Linotype" w:hAnsi="Palatino Linotype"/>
          <w:sz w:val="24"/>
          <w:szCs w:val="24"/>
        </w:rPr>
        <w:t xml:space="preserve"> </w:t>
      </w:r>
      <w:r w:rsidRPr="00743E64" w:rsidR="00743E64">
        <w:rPr>
          <w:rFonts w:ascii="Palatino Linotype" w:hAnsi="Palatino Linotype"/>
          <w:sz w:val="24"/>
          <w:szCs w:val="24"/>
        </w:rPr>
        <w:t xml:space="preserve">   </w:t>
      </w:r>
      <w:r w:rsidRPr="00743E64">
        <w:rPr>
          <w:rFonts w:ascii="Palatino Linotype" w:hAnsi="Palatino Linotype"/>
          <w:sz w:val="24"/>
          <w:szCs w:val="24"/>
        </w:rPr>
        <w:t xml:space="preserve">  </w:t>
      </w:r>
      <w:r w:rsidRPr="00743E64">
        <w:rPr>
          <w:rFonts w:ascii="Palatino Linotype" w:hAnsi="Palatino Linotype"/>
          <w:b/>
          <w:sz w:val="24"/>
          <w:szCs w:val="24"/>
        </w:rPr>
        <w:t xml:space="preserve">Agenda ID# </w:t>
      </w:r>
      <w:r w:rsidRPr="007401F2" w:rsidR="007401F2">
        <w:rPr>
          <w:rFonts w:ascii="Palatino Linotype" w:hAnsi="Palatino Linotype"/>
          <w:b/>
          <w:bCs/>
          <w:sz w:val="24"/>
          <w:szCs w:val="24"/>
        </w:rPr>
        <w:t>23267</w:t>
      </w:r>
    </w:p>
    <w:p w:rsidRPr="00743E64" w:rsidR="00D86528" w:rsidP="1D3DD59E" w:rsidRDefault="47AE86EC" w14:paraId="5DE49ED6" w14:textId="7B42C70E">
      <w:pPr>
        <w:rPr>
          <w:rFonts w:ascii="Palatino Linotype" w:hAnsi="Palatino Linotype"/>
          <w:b/>
          <w:bCs/>
          <w:sz w:val="24"/>
          <w:szCs w:val="24"/>
          <w:highlight w:val="yellow"/>
        </w:rPr>
      </w:pPr>
      <w:r w:rsidRPr="00743E64">
        <w:rPr>
          <w:rFonts w:ascii="Palatino Linotype" w:hAnsi="Palatino Linotype"/>
          <w:b/>
          <w:bCs/>
          <w:sz w:val="24"/>
          <w:szCs w:val="24"/>
        </w:rPr>
        <w:t>ENERGY DIVISION</w:t>
      </w:r>
      <w:r w:rsidRPr="00743E64" w:rsidR="00D86528">
        <w:rPr>
          <w:rFonts w:ascii="Palatino Linotype" w:hAnsi="Palatino Linotype"/>
          <w:sz w:val="24"/>
          <w:szCs w:val="24"/>
        </w:rPr>
        <w:tab/>
      </w:r>
      <w:r w:rsidRPr="00743E64" w:rsidR="00D86528">
        <w:rPr>
          <w:rFonts w:ascii="Palatino Linotype" w:hAnsi="Palatino Linotype"/>
          <w:sz w:val="24"/>
          <w:szCs w:val="24"/>
        </w:rPr>
        <w:tab/>
      </w:r>
      <w:r w:rsidRPr="00743E64" w:rsidR="00D86528">
        <w:rPr>
          <w:rFonts w:ascii="Palatino Linotype" w:hAnsi="Palatino Linotype"/>
          <w:sz w:val="24"/>
          <w:szCs w:val="24"/>
        </w:rPr>
        <w:tab/>
      </w:r>
      <w:r w:rsidRPr="00743E64" w:rsidR="00D86528">
        <w:rPr>
          <w:rFonts w:ascii="Palatino Linotype" w:hAnsi="Palatino Linotype"/>
          <w:sz w:val="24"/>
          <w:szCs w:val="24"/>
        </w:rPr>
        <w:tab/>
      </w:r>
      <w:r w:rsidRPr="00743E64" w:rsidR="00D86528">
        <w:rPr>
          <w:rFonts w:ascii="Palatino Linotype" w:hAnsi="Palatino Linotype"/>
          <w:sz w:val="24"/>
          <w:szCs w:val="24"/>
        </w:rPr>
        <w:tab/>
      </w:r>
      <w:r w:rsidRPr="00743E64">
        <w:rPr>
          <w:rFonts w:ascii="Palatino Linotype" w:hAnsi="Palatino Linotype"/>
          <w:b/>
          <w:bCs/>
          <w:sz w:val="24"/>
          <w:szCs w:val="24"/>
        </w:rPr>
        <w:t xml:space="preserve"> </w:t>
      </w:r>
      <w:r w:rsidRPr="00743E64" w:rsidR="00D86528">
        <w:rPr>
          <w:rFonts w:ascii="Palatino Linotype" w:hAnsi="Palatino Linotype"/>
          <w:sz w:val="24"/>
          <w:szCs w:val="24"/>
        </w:rPr>
        <w:tab/>
      </w:r>
      <w:r w:rsidRPr="00743E64">
        <w:rPr>
          <w:rFonts w:ascii="Palatino Linotype" w:hAnsi="Palatino Linotype"/>
          <w:b/>
          <w:bCs/>
          <w:sz w:val="24"/>
          <w:szCs w:val="24"/>
        </w:rPr>
        <w:t xml:space="preserve"> </w:t>
      </w:r>
      <w:r w:rsidRPr="00743E64" w:rsidR="4FC36E90">
        <w:rPr>
          <w:rFonts w:ascii="Palatino Linotype" w:hAnsi="Palatino Linotype"/>
          <w:b/>
          <w:bCs/>
          <w:sz w:val="24"/>
          <w:szCs w:val="24"/>
        </w:rPr>
        <w:t xml:space="preserve">     </w:t>
      </w:r>
      <w:r w:rsidRPr="00743E64">
        <w:rPr>
          <w:rFonts w:ascii="Palatino Linotype" w:hAnsi="Palatino Linotype"/>
          <w:b/>
          <w:bCs/>
          <w:sz w:val="24"/>
          <w:szCs w:val="24"/>
        </w:rPr>
        <w:t xml:space="preserve">RESOLUTION </w:t>
      </w:r>
      <w:r w:rsidRPr="00743E64" w:rsidR="4D259F71">
        <w:rPr>
          <w:rFonts w:ascii="Palatino Linotype" w:hAnsi="Palatino Linotype"/>
          <w:b/>
          <w:bCs/>
          <w:sz w:val="24"/>
          <w:szCs w:val="24"/>
        </w:rPr>
        <w:t>E-5370</w:t>
      </w:r>
    </w:p>
    <w:p w:rsidRPr="00743E64" w:rsidR="00D86528" w:rsidP="1D3DD59E" w:rsidRDefault="47AE86EC" w14:paraId="26AE5D0C" w14:textId="0FF4B6A3">
      <w:pPr>
        <w:tabs>
          <w:tab w:val="right" w:pos="8910"/>
        </w:tabs>
        <w:ind w:left="1440" w:firstLine="720"/>
        <w:rPr>
          <w:rFonts w:ascii="Palatino Linotype" w:hAnsi="Palatino Linotype"/>
          <w:b/>
          <w:bCs/>
          <w:sz w:val="24"/>
          <w:szCs w:val="24"/>
          <w:highlight w:val="yellow"/>
        </w:rPr>
      </w:pPr>
      <w:r w:rsidRPr="00743E64">
        <w:rPr>
          <w:rFonts w:ascii="Palatino Linotype" w:hAnsi="Palatino Linotype"/>
          <w:b/>
          <w:bCs/>
          <w:sz w:val="24"/>
          <w:szCs w:val="24"/>
        </w:rPr>
        <w:t xml:space="preserve">                                                                                 </w:t>
      </w:r>
      <w:r w:rsidRPr="00743E64" w:rsidR="00E07B12">
        <w:rPr>
          <w:rFonts w:ascii="Palatino Linotype" w:hAnsi="Palatino Linotype"/>
          <w:b/>
          <w:bCs/>
          <w:sz w:val="24"/>
          <w:szCs w:val="24"/>
        </w:rPr>
        <w:t xml:space="preserve">      </w:t>
      </w:r>
      <w:r w:rsidRPr="00743E64" w:rsidR="63B88037">
        <w:rPr>
          <w:rFonts w:ascii="Palatino Linotype" w:hAnsi="Palatino Linotype"/>
          <w:b/>
          <w:bCs/>
          <w:sz w:val="24"/>
          <w:szCs w:val="24"/>
        </w:rPr>
        <w:t>February 20, 2025</w:t>
      </w:r>
    </w:p>
    <w:p w:rsidRPr="00743E64" w:rsidR="00D86528" w:rsidP="00D86528" w:rsidRDefault="00D86528" w14:paraId="0A345F04" w14:textId="77777777">
      <w:pPr>
        <w:pStyle w:val="mainex"/>
        <w:jc w:val="left"/>
        <w:rPr>
          <w:rFonts w:ascii="Palatino Linotype" w:hAnsi="Palatino Linotype"/>
          <w:sz w:val="24"/>
          <w:szCs w:val="24"/>
          <w:u w:val="single"/>
        </w:rPr>
      </w:pPr>
      <w:bookmarkStart w:name="_Ref404993683" w:id="0"/>
    </w:p>
    <w:p w:rsidRPr="00743E64" w:rsidR="00D86528" w:rsidP="00D86528" w:rsidRDefault="00D86528" w14:paraId="162DE523" w14:textId="77777777">
      <w:pPr>
        <w:pStyle w:val="mainex"/>
        <w:jc w:val="left"/>
        <w:rPr>
          <w:rFonts w:ascii="Palatino Linotype" w:hAnsi="Palatino Linotype"/>
          <w:sz w:val="24"/>
          <w:szCs w:val="24"/>
          <w:u w:val="single"/>
        </w:rPr>
      </w:pPr>
    </w:p>
    <w:p w:rsidRPr="00743E64" w:rsidR="1FFD33F8" w:rsidP="63635751" w:rsidRDefault="1FFD33F8" w14:paraId="6616EE14" w14:textId="21FA3AE2">
      <w:pPr>
        <w:pStyle w:val="mainex"/>
        <w:rPr>
          <w:rFonts w:cs="Helvetica"/>
          <w:szCs w:val="26"/>
        </w:rPr>
      </w:pPr>
      <w:r w:rsidRPr="00743E64">
        <w:rPr>
          <w:rFonts w:cs="Helvetica"/>
          <w:szCs w:val="26"/>
          <w:u w:val="single"/>
        </w:rPr>
        <w:t>REDACTED</w:t>
      </w:r>
    </w:p>
    <w:p w:rsidRPr="00743E64" w:rsidR="00D86528" w:rsidP="00D86528" w:rsidRDefault="00D86528" w14:paraId="79BC2A88" w14:textId="10B64C6C">
      <w:pPr>
        <w:pStyle w:val="mainex"/>
        <w:rPr>
          <w:rFonts w:cs="Helvetica"/>
          <w:szCs w:val="26"/>
          <w:u w:val="single"/>
        </w:rPr>
      </w:pPr>
      <w:r w:rsidRPr="00743E64">
        <w:rPr>
          <w:rFonts w:cs="Helvetica"/>
          <w:szCs w:val="26"/>
          <w:u w:val="single"/>
        </w:rPr>
        <w:t>RESOLUTION</w:t>
      </w:r>
    </w:p>
    <w:p w:rsidRPr="00743E64" w:rsidR="00D86528" w:rsidP="00D86528" w:rsidRDefault="00D86528" w14:paraId="42B893CD" w14:textId="77777777">
      <w:pPr>
        <w:rPr>
          <w:rFonts w:ascii="Palatino Linotype" w:hAnsi="Palatino Linotype"/>
          <w:sz w:val="24"/>
          <w:szCs w:val="24"/>
        </w:rPr>
      </w:pPr>
    </w:p>
    <w:p w:rsidRPr="001B3426" w:rsidR="00A23384" w:rsidP="00A23384" w:rsidRDefault="00A23384" w14:paraId="3606426A" w14:textId="77777777">
      <w:pPr>
        <w:pStyle w:val="Res-Caption"/>
        <w:rPr>
          <w:rFonts w:ascii="Palatino Linotype" w:hAnsi="Palatino Linotype"/>
          <w:sz w:val="24"/>
          <w:szCs w:val="24"/>
        </w:rPr>
      </w:pPr>
      <w:r w:rsidRPr="001B3426">
        <w:rPr>
          <w:rFonts w:ascii="Palatino Linotype" w:hAnsi="Palatino Linotype"/>
          <w:sz w:val="24"/>
          <w:szCs w:val="24"/>
        </w:rPr>
        <w:t>Resolution E-</w:t>
      </w:r>
      <w:r w:rsidRPr="00957797">
        <w:rPr>
          <w:rFonts w:ascii="Palatino Linotype" w:hAnsi="Palatino Linotype"/>
          <w:b/>
          <w:sz w:val="24"/>
          <w:szCs w:val="24"/>
        </w:rPr>
        <w:t>5370</w:t>
      </w:r>
      <w:r w:rsidRPr="001B3426">
        <w:rPr>
          <w:rFonts w:ascii="Palatino Linotype" w:hAnsi="Palatino Linotype"/>
          <w:sz w:val="24"/>
          <w:szCs w:val="24"/>
        </w:rPr>
        <w:t xml:space="preserve">. </w:t>
      </w:r>
      <w:r>
        <w:rPr>
          <w:rFonts w:ascii="Palatino Linotype" w:hAnsi="Palatino Linotype"/>
          <w:sz w:val="24"/>
          <w:szCs w:val="24"/>
        </w:rPr>
        <w:t>Pacific Gas and Electric Company</w:t>
      </w:r>
      <w:r w:rsidRPr="001B3426">
        <w:rPr>
          <w:rFonts w:ascii="Palatino Linotype" w:hAnsi="Palatino Linotype"/>
          <w:sz w:val="24"/>
          <w:szCs w:val="24"/>
        </w:rPr>
        <w:t xml:space="preserve"> requests approval of </w:t>
      </w:r>
      <w:r>
        <w:rPr>
          <w:rFonts w:ascii="Palatino Linotype" w:hAnsi="Palatino Linotype"/>
          <w:sz w:val="24"/>
          <w:szCs w:val="24"/>
        </w:rPr>
        <w:t xml:space="preserve">Mid-Term Reliability Renewable Resource Contracts. </w:t>
      </w:r>
    </w:p>
    <w:p w:rsidRPr="001B3426" w:rsidR="00A23384" w:rsidP="00A23384" w:rsidRDefault="00A23384" w14:paraId="292EAEC8" w14:textId="77777777">
      <w:pPr>
        <w:pStyle w:val="Res-Caption"/>
        <w:rPr>
          <w:rFonts w:ascii="Palatino Linotype" w:hAnsi="Palatino Linotype"/>
          <w:sz w:val="24"/>
          <w:szCs w:val="24"/>
        </w:rPr>
      </w:pPr>
    </w:p>
    <w:p w:rsidRPr="001B3426" w:rsidR="00A23384" w:rsidP="00A23384" w:rsidRDefault="00A23384" w14:paraId="7EF3F310" w14:textId="77777777">
      <w:pPr>
        <w:pStyle w:val="Res-Caption"/>
        <w:rPr>
          <w:rFonts w:ascii="Palatino Linotype" w:hAnsi="Palatino Linotype"/>
          <w:sz w:val="24"/>
          <w:szCs w:val="24"/>
        </w:rPr>
      </w:pPr>
      <w:r w:rsidRPr="001B3426">
        <w:rPr>
          <w:rFonts w:ascii="Palatino Linotype" w:hAnsi="Palatino Linotype"/>
          <w:sz w:val="24"/>
          <w:szCs w:val="24"/>
        </w:rPr>
        <w:t xml:space="preserve">PROPOSED OUTCOME: </w:t>
      </w:r>
    </w:p>
    <w:p w:rsidRPr="001B3426" w:rsidR="00A23384" w:rsidP="00A23384" w:rsidRDefault="00A23384" w14:paraId="6FC0A6CB" w14:textId="77777777">
      <w:pPr>
        <w:pStyle w:val="Res-Caption"/>
        <w:numPr>
          <w:ilvl w:val="0"/>
          <w:numId w:val="3"/>
        </w:numPr>
        <w:rPr>
          <w:rFonts w:ascii="Palatino Linotype" w:hAnsi="Palatino Linotype"/>
          <w:sz w:val="24"/>
          <w:szCs w:val="24"/>
        </w:rPr>
      </w:pPr>
      <w:r w:rsidRPr="7A58DD7C">
        <w:rPr>
          <w:rFonts w:ascii="Palatino Linotype" w:hAnsi="Palatino Linotype"/>
          <w:sz w:val="24"/>
          <w:szCs w:val="24"/>
        </w:rPr>
        <w:t>Approves four Pacific Gas and Electric Company Mid-Term Reliability renewable resource contracts and related costs.  The power purchase agreements are approved without modification.</w:t>
      </w:r>
    </w:p>
    <w:p w:rsidRPr="001B3426" w:rsidR="00A23384" w:rsidP="00A23384" w:rsidRDefault="00A23384" w14:paraId="4CCBAEDC" w14:textId="77777777">
      <w:pPr>
        <w:pStyle w:val="Res-Caption"/>
        <w:ind w:left="1440"/>
        <w:rPr>
          <w:rFonts w:ascii="Palatino Linotype" w:hAnsi="Palatino Linotype"/>
          <w:sz w:val="24"/>
          <w:szCs w:val="24"/>
        </w:rPr>
      </w:pPr>
    </w:p>
    <w:p w:rsidRPr="001B3426" w:rsidR="00A23384" w:rsidP="00A23384" w:rsidRDefault="00A23384" w14:paraId="3D00042A" w14:textId="77777777">
      <w:pPr>
        <w:pStyle w:val="Res-Caption"/>
        <w:rPr>
          <w:rFonts w:ascii="Palatino Linotype" w:hAnsi="Palatino Linotype"/>
          <w:sz w:val="24"/>
          <w:szCs w:val="24"/>
        </w:rPr>
      </w:pPr>
      <w:r w:rsidRPr="001B3426">
        <w:rPr>
          <w:rFonts w:ascii="Palatino Linotype" w:hAnsi="Palatino Linotype"/>
          <w:sz w:val="24"/>
          <w:szCs w:val="24"/>
        </w:rPr>
        <w:t>SAFETY CONSIDERATIONS:</w:t>
      </w:r>
    </w:p>
    <w:p w:rsidRPr="00A11F12" w:rsidR="00A23384" w:rsidP="00A23384" w:rsidRDefault="00A23384" w14:paraId="44AC9BB8" w14:textId="77777777">
      <w:pPr>
        <w:pStyle w:val="Res-Caption"/>
        <w:numPr>
          <w:ilvl w:val="0"/>
          <w:numId w:val="2"/>
        </w:numPr>
        <w:rPr>
          <w:rFonts w:ascii="Palatino Linotype" w:hAnsi="Palatino Linotype"/>
          <w:sz w:val="24"/>
          <w:szCs w:val="24"/>
        </w:rPr>
      </w:pPr>
      <w:r w:rsidRPr="00A11F12">
        <w:rPr>
          <w:rFonts w:ascii="Palatino Linotype" w:hAnsi="Palatino Linotype"/>
          <w:sz w:val="24"/>
          <w:szCs w:val="24"/>
        </w:rPr>
        <w:t>The</w:t>
      </w:r>
      <w:r>
        <w:rPr>
          <w:rFonts w:ascii="Palatino Linotype" w:hAnsi="Palatino Linotype"/>
          <w:sz w:val="24"/>
          <w:szCs w:val="24"/>
        </w:rPr>
        <w:t xml:space="preserve"> projects will be owned, constructed, and operated by a third party. The</w:t>
      </w:r>
      <w:r w:rsidRPr="00A11F12">
        <w:rPr>
          <w:rFonts w:ascii="Palatino Linotype" w:hAnsi="Palatino Linotype"/>
          <w:sz w:val="24"/>
          <w:szCs w:val="24"/>
        </w:rPr>
        <w:t xml:space="preserve"> </w:t>
      </w:r>
      <w:r>
        <w:rPr>
          <w:rFonts w:ascii="Palatino Linotype" w:hAnsi="Palatino Linotype"/>
          <w:sz w:val="24"/>
          <w:szCs w:val="24"/>
        </w:rPr>
        <w:t xml:space="preserve">sellers </w:t>
      </w:r>
      <w:r w:rsidRPr="00A11F12">
        <w:rPr>
          <w:rFonts w:ascii="Palatino Linotype" w:hAnsi="Palatino Linotype"/>
          <w:sz w:val="24"/>
          <w:szCs w:val="24"/>
        </w:rPr>
        <w:t xml:space="preserve">of the projects are responsible for the safe construction and operation of their facilities in compliance with </w:t>
      </w:r>
      <w:r>
        <w:rPr>
          <w:rFonts w:ascii="Palatino Linotype" w:hAnsi="Palatino Linotype"/>
          <w:sz w:val="24"/>
          <w:szCs w:val="24"/>
        </w:rPr>
        <w:t>standards for electrical practices and</w:t>
      </w:r>
      <w:r w:rsidRPr="00A11F12">
        <w:rPr>
          <w:rFonts w:ascii="Palatino Linotype" w:hAnsi="Palatino Linotype"/>
          <w:sz w:val="24"/>
          <w:szCs w:val="24"/>
        </w:rPr>
        <w:t xml:space="preserve"> all applicable laws, including</w:t>
      </w:r>
      <w:r>
        <w:rPr>
          <w:rFonts w:ascii="Palatino Linotype" w:hAnsi="Palatino Linotype"/>
          <w:sz w:val="24"/>
          <w:szCs w:val="24"/>
        </w:rPr>
        <w:t xml:space="preserve"> </w:t>
      </w:r>
      <w:r w:rsidRPr="00A11F12">
        <w:rPr>
          <w:rFonts w:ascii="Palatino Linotype" w:hAnsi="Palatino Linotype"/>
          <w:sz w:val="24"/>
          <w:szCs w:val="24"/>
        </w:rPr>
        <w:t>safety regulations</w:t>
      </w:r>
      <w:r>
        <w:rPr>
          <w:rFonts w:ascii="Palatino Linotype" w:hAnsi="Palatino Linotype"/>
          <w:sz w:val="24"/>
          <w:szCs w:val="24"/>
        </w:rPr>
        <w:t>.</w:t>
      </w:r>
    </w:p>
    <w:p w:rsidR="00A23384" w:rsidP="00A23384" w:rsidRDefault="00A23384" w14:paraId="2CDEC13B" w14:textId="77777777">
      <w:pPr>
        <w:pStyle w:val="Res-Caption"/>
        <w:numPr>
          <w:ilvl w:val="0"/>
          <w:numId w:val="2"/>
        </w:numPr>
        <w:rPr>
          <w:rFonts w:ascii="Palatino Linotype" w:hAnsi="Palatino Linotype"/>
          <w:sz w:val="24"/>
          <w:szCs w:val="24"/>
        </w:rPr>
      </w:pPr>
      <w:r>
        <w:rPr>
          <w:rFonts w:ascii="Palatino Linotype" w:hAnsi="Palatino Linotype"/>
          <w:sz w:val="24"/>
          <w:szCs w:val="24"/>
        </w:rPr>
        <w:t>S</w:t>
      </w:r>
      <w:r w:rsidRPr="0026325E">
        <w:rPr>
          <w:rFonts w:ascii="Palatino Linotype" w:hAnsi="Palatino Linotype"/>
          <w:sz w:val="24"/>
          <w:szCs w:val="24"/>
        </w:rPr>
        <w:t>eller is required to have a project safety pla</w:t>
      </w:r>
      <w:r>
        <w:rPr>
          <w:rFonts w:ascii="Palatino Linotype" w:hAnsi="Palatino Linotype"/>
          <w:sz w:val="24"/>
          <w:szCs w:val="24"/>
        </w:rPr>
        <w:t xml:space="preserve">n </w:t>
      </w:r>
      <w:r w:rsidRPr="0026325E">
        <w:rPr>
          <w:rFonts w:ascii="Palatino Linotype" w:hAnsi="Palatino Linotype"/>
          <w:sz w:val="24"/>
          <w:szCs w:val="24"/>
        </w:rPr>
        <w:t>that demonstrates responsible safety management during all</w:t>
      </w:r>
      <w:r>
        <w:rPr>
          <w:rFonts w:ascii="Palatino Linotype" w:hAnsi="Palatino Linotype"/>
          <w:sz w:val="24"/>
          <w:szCs w:val="24"/>
        </w:rPr>
        <w:t xml:space="preserve"> lifecycle</w:t>
      </w:r>
      <w:r w:rsidRPr="0026325E">
        <w:rPr>
          <w:rFonts w:ascii="Palatino Linotype" w:hAnsi="Palatino Linotype"/>
          <w:sz w:val="24"/>
          <w:szCs w:val="24"/>
        </w:rPr>
        <w:t xml:space="preserve"> phases</w:t>
      </w:r>
      <w:r>
        <w:rPr>
          <w:rFonts w:ascii="Palatino Linotype" w:hAnsi="Palatino Linotype"/>
          <w:sz w:val="24"/>
          <w:szCs w:val="24"/>
        </w:rPr>
        <w:t>,</w:t>
      </w:r>
      <w:r w:rsidRPr="0026325E">
        <w:rPr>
          <w:rFonts w:ascii="Palatino Linotype" w:hAnsi="Palatino Linotype"/>
          <w:sz w:val="24"/>
          <w:szCs w:val="24"/>
        </w:rPr>
        <w:t xml:space="preserve"> referenc</w:t>
      </w:r>
      <w:r>
        <w:rPr>
          <w:rFonts w:ascii="Palatino Linotype" w:hAnsi="Palatino Linotype"/>
          <w:sz w:val="24"/>
          <w:szCs w:val="24"/>
        </w:rPr>
        <w:t>ing</w:t>
      </w:r>
      <w:r w:rsidRPr="0026325E">
        <w:rPr>
          <w:rFonts w:ascii="Palatino Linotype" w:hAnsi="Palatino Linotype"/>
          <w:sz w:val="24"/>
          <w:szCs w:val="24"/>
        </w:rPr>
        <w:t xml:space="preserve"> applicable safety-related codes and standards</w:t>
      </w:r>
      <w:r w:rsidRPr="00CD5997">
        <w:rPr>
          <w:rFonts w:ascii="Palatino Linotype" w:hAnsi="Palatino Linotype"/>
          <w:sz w:val="24"/>
          <w:szCs w:val="24"/>
        </w:rPr>
        <w:t xml:space="preserve"> </w:t>
      </w:r>
      <w:r w:rsidRPr="0026325E">
        <w:rPr>
          <w:rFonts w:ascii="Palatino Linotype" w:hAnsi="Palatino Linotype"/>
          <w:sz w:val="24"/>
          <w:szCs w:val="24"/>
        </w:rPr>
        <w:t xml:space="preserve">and </w:t>
      </w:r>
      <w:r>
        <w:rPr>
          <w:rFonts w:ascii="Palatino Linotype" w:hAnsi="Palatino Linotype"/>
          <w:sz w:val="24"/>
          <w:szCs w:val="24"/>
        </w:rPr>
        <w:t>its own</w:t>
      </w:r>
      <w:r w:rsidRPr="0026325E">
        <w:rPr>
          <w:rFonts w:ascii="Palatino Linotype" w:hAnsi="Palatino Linotype"/>
          <w:sz w:val="24"/>
          <w:szCs w:val="24"/>
        </w:rPr>
        <w:t xml:space="preserve"> safety programs and policies</w:t>
      </w:r>
      <w:r>
        <w:rPr>
          <w:rFonts w:ascii="Palatino Linotype" w:hAnsi="Palatino Linotype"/>
          <w:sz w:val="24"/>
          <w:szCs w:val="24"/>
        </w:rPr>
        <w:t xml:space="preserve">, and </w:t>
      </w:r>
      <w:r w:rsidRPr="0026325E">
        <w:rPr>
          <w:rFonts w:ascii="Palatino Linotype" w:hAnsi="Palatino Linotype"/>
          <w:sz w:val="24"/>
          <w:szCs w:val="24"/>
        </w:rPr>
        <w:t>describ</w:t>
      </w:r>
      <w:r>
        <w:rPr>
          <w:rFonts w:ascii="Palatino Linotype" w:hAnsi="Palatino Linotype"/>
          <w:sz w:val="24"/>
          <w:szCs w:val="24"/>
        </w:rPr>
        <w:t>ing</w:t>
      </w:r>
      <w:r w:rsidRPr="0026325E">
        <w:rPr>
          <w:rFonts w:ascii="Palatino Linotype" w:hAnsi="Palatino Linotype"/>
          <w:sz w:val="24"/>
          <w:szCs w:val="24"/>
        </w:rPr>
        <w:t xml:space="preserve"> the project design and key safety-related systems</w:t>
      </w:r>
      <w:r>
        <w:rPr>
          <w:rFonts w:ascii="Palatino Linotype" w:hAnsi="Palatino Linotype"/>
          <w:sz w:val="24"/>
          <w:szCs w:val="24"/>
        </w:rPr>
        <w:t xml:space="preserve">, including </w:t>
      </w:r>
      <w:r w:rsidRPr="0026325E">
        <w:rPr>
          <w:rFonts w:ascii="Palatino Linotype" w:hAnsi="Palatino Linotype"/>
          <w:sz w:val="24"/>
          <w:szCs w:val="24"/>
        </w:rPr>
        <w:t>potential hazards and risk mitigations</w:t>
      </w:r>
      <w:r>
        <w:rPr>
          <w:rFonts w:ascii="Palatino Linotype" w:hAnsi="Palatino Linotype"/>
          <w:sz w:val="24"/>
          <w:szCs w:val="24"/>
        </w:rPr>
        <w:t>/</w:t>
      </w:r>
      <w:r w:rsidRPr="0026325E">
        <w:rPr>
          <w:rFonts w:ascii="Palatino Linotype" w:hAnsi="Palatino Linotype"/>
          <w:sz w:val="24"/>
          <w:szCs w:val="24"/>
        </w:rPr>
        <w:t xml:space="preserve">safeguards. </w:t>
      </w:r>
      <w:r>
        <w:rPr>
          <w:rFonts w:ascii="Palatino Linotype" w:hAnsi="Palatino Linotype"/>
          <w:sz w:val="24"/>
          <w:szCs w:val="24"/>
        </w:rPr>
        <w:t>T</w:t>
      </w:r>
      <w:r w:rsidRPr="0026325E">
        <w:rPr>
          <w:rFonts w:ascii="Palatino Linotype" w:hAnsi="Palatino Linotype"/>
          <w:sz w:val="24"/>
          <w:szCs w:val="24"/>
        </w:rPr>
        <w:t>he seller is required to demonstrate and enforce its contractors’ and subcontractors’ compliance with the safety requirements.</w:t>
      </w:r>
    </w:p>
    <w:p w:rsidRPr="001B3426" w:rsidR="00A23384" w:rsidP="00A23384" w:rsidRDefault="00A23384" w14:paraId="78A7B0AC" w14:textId="77777777">
      <w:pPr>
        <w:pStyle w:val="Res-Caption"/>
        <w:ind w:left="1440"/>
        <w:rPr>
          <w:rFonts w:ascii="Palatino Linotype" w:hAnsi="Palatino Linotype"/>
          <w:sz w:val="24"/>
          <w:szCs w:val="24"/>
        </w:rPr>
      </w:pPr>
    </w:p>
    <w:p w:rsidRPr="001B3426" w:rsidR="00A23384" w:rsidP="00A23384" w:rsidRDefault="00A23384" w14:paraId="5431B82F" w14:textId="77777777">
      <w:pPr>
        <w:pStyle w:val="Res-Caption"/>
        <w:rPr>
          <w:rFonts w:ascii="Palatino Linotype" w:hAnsi="Palatino Linotype"/>
          <w:sz w:val="24"/>
          <w:szCs w:val="24"/>
        </w:rPr>
      </w:pPr>
      <w:r w:rsidRPr="001B3426">
        <w:rPr>
          <w:rFonts w:ascii="Palatino Linotype" w:hAnsi="Palatino Linotype"/>
          <w:sz w:val="24"/>
          <w:szCs w:val="24"/>
        </w:rPr>
        <w:t xml:space="preserve">ESTIMATED COST:  </w:t>
      </w:r>
    </w:p>
    <w:p w:rsidRPr="001B3426" w:rsidR="00A23384" w:rsidP="00A23384" w:rsidRDefault="00A23384" w14:paraId="1273CD1A" w14:textId="77777777">
      <w:pPr>
        <w:pStyle w:val="Res-Caption"/>
        <w:numPr>
          <w:ilvl w:val="0"/>
          <w:numId w:val="2"/>
        </w:numPr>
        <w:rPr>
          <w:rFonts w:ascii="Palatino Linotype" w:hAnsi="Palatino Linotype"/>
          <w:sz w:val="24"/>
          <w:szCs w:val="24"/>
        </w:rPr>
      </w:pPr>
      <w:r>
        <w:rPr>
          <w:rFonts w:ascii="Palatino Linotype" w:hAnsi="Palatino Linotype"/>
          <w:sz w:val="24"/>
          <w:szCs w:val="24"/>
        </w:rPr>
        <w:t xml:space="preserve">Contract costs are confidential </w:t>
      </w:r>
      <w:proofErr w:type="gramStart"/>
      <w:r>
        <w:rPr>
          <w:rFonts w:ascii="Palatino Linotype" w:hAnsi="Palatino Linotype"/>
          <w:sz w:val="24"/>
          <w:szCs w:val="24"/>
        </w:rPr>
        <w:t>at this time</w:t>
      </w:r>
      <w:proofErr w:type="gramEnd"/>
      <w:r>
        <w:rPr>
          <w:rFonts w:ascii="Palatino Linotype" w:hAnsi="Palatino Linotype"/>
          <w:sz w:val="24"/>
          <w:szCs w:val="24"/>
        </w:rPr>
        <w:t>.</w:t>
      </w:r>
    </w:p>
    <w:p w:rsidRPr="001B3426" w:rsidR="00A23384" w:rsidP="00A23384" w:rsidRDefault="00A23384" w14:paraId="7F9012BE" w14:textId="77777777">
      <w:pPr>
        <w:pStyle w:val="Res-Caption"/>
        <w:ind w:left="0"/>
        <w:rPr>
          <w:rFonts w:ascii="Palatino Linotype" w:hAnsi="Palatino Linotype"/>
          <w:sz w:val="24"/>
          <w:szCs w:val="24"/>
        </w:rPr>
      </w:pPr>
    </w:p>
    <w:p w:rsidRPr="001B3426" w:rsidR="00A23384" w:rsidP="00A23384" w:rsidRDefault="00A23384" w14:paraId="552BFAFC" w14:textId="77777777">
      <w:pPr>
        <w:pStyle w:val="Res-Caption"/>
        <w:rPr>
          <w:rFonts w:ascii="Palatino Linotype" w:hAnsi="Palatino Linotype"/>
          <w:sz w:val="24"/>
          <w:szCs w:val="24"/>
        </w:rPr>
      </w:pPr>
      <w:r w:rsidRPr="001B3426">
        <w:rPr>
          <w:rFonts w:ascii="Palatino Linotype" w:hAnsi="Palatino Linotype"/>
          <w:sz w:val="24"/>
          <w:szCs w:val="24"/>
        </w:rPr>
        <w:t xml:space="preserve">By Advice Letter </w:t>
      </w:r>
      <w:r>
        <w:rPr>
          <w:rFonts w:ascii="Palatino Linotype" w:hAnsi="Palatino Linotype"/>
          <w:sz w:val="24"/>
          <w:szCs w:val="24"/>
        </w:rPr>
        <w:t>7356</w:t>
      </w:r>
      <w:r w:rsidRPr="001B3426">
        <w:rPr>
          <w:rFonts w:ascii="Palatino Linotype" w:hAnsi="Palatino Linotype"/>
          <w:sz w:val="24"/>
          <w:szCs w:val="24"/>
        </w:rPr>
        <w:t xml:space="preserve">-E, filed on </w:t>
      </w:r>
      <w:r>
        <w:rPr>
          <w:rFonts w:ascii="Palatino Linotype" w:hAnsi="Palatino Linotype"/>
          <w:sz w:val="24"/>
          <w:szCs w:val="24"/>
        </w:rPr>
        <w:t>September 9</w:t>
      </w:r>
      <w:r w:rsidRPr="001B3426">
        <w:rPr>
          <w:rFonts w:ascii="Palatino Linotype" w:hAnsi="Palatino Linotype"/>
          <w:sz w:val="24"/>
          <w:szCs w:val="24"/>
        </w:rPr>
        <w:t>, 202</w:t>
      </w:r>
      <w:r>
        <w:rPr>
          <w:rFonts w:ascii="Palatino Linotype" w:hAnsi="Palatino Linotype"/>
          <w:sz w:val="24"/>
          <w:szCs w:val="24"/>
        </w:rPr>
        <w:t>4</w:t>
      </w:r>
      <w:r w:rsidRPr="001B3426">
        <w:rPr>
          <w:rFonts w:ascii="Palatino Linotype" w:hAnsi="Palatino Linotype"/>
          <w:sz w:val="24"/>
          <w:szCs w:val="24"/>
        </w:rPr>
        <w:t xml:space="preserve">.  </w:t>
      </w:r>
    </w:p>
    <w:p w:rsidRPr="00743E64" w:rsidR="00D86528" w:rsidP="00ED746F" w:rsidRDefault="00D86528" w14:paraId="7631CAC6" w14:textId="77777777">
      <w:pPr>
        <w:pStyle w:val="Res-Caption"/>
        <w:ind w:left="0"/>
        <w:rPr>
          <w:rFonts w:ascii="Palatino Linotype" w:hAnsi="Palatino Linotype"/>
          <w:sz w:val="24"/>
          <w:szCs w:val="24"/>
        </w:rPr>
      </w:pPr>
    </w:p>
    <w:p w:rsidRPr="00743E64" w:rsidR="00D86528" w:rsidP="00D86528" w:rsidRDefault="00D86528" w14:paraId="6F3D02F7" w14:textId="77777777">
      <w:pPr>
        <w:rPr>
          <w:rFonts w:ascii="Palatino Linotype" w:hAnsi="Palatino Linotype"/>
          <w:sz w:val="24"/>
          <w:szCs w:val="24"/>
        </w:rPr>
      </w:pPr>
      <w:r w:rsidRPr="00743E64">
        <w:rPr>
          <w:rFonts w:ascii="Palatino Linotype" w:hAnsi="Palatino Linotype"/>
          <w:sz w:val="24"/>
          <w:szCs w:val="24"/>
        </w:rPr>
        <w:t>__________________________________________________________</w:t>
      </w:r>
    </w:p>
    <w:p w:rsidRPr="00743E64" w:rsidR="00B27894" w:rsidP="00B40C6E" w:rsidRDefault="00D86528" w14:paraId="11151AEC" w14:textId="4AD6D1BA">
      <w:pPr>
        <w:pStyle w:val="Heading1"/>
        <w:rPr>
          <w:rFonts w:ascii="Palatino Linotype" w:hAnsi="Palatino Linotype"/>
          <w:sz w:val="24"/>
          <w:szCs w:val="24"/>
        </w:rPr>
      </w:pPr>
      <w:r w:rsidRPr="00743E64">
        <w:rPr>
          <w:rFonts w:ascii="Palatino Linotype" w:hAnsi="Palatino Linotype"/>
          <w:sz w:val="24"/>
          <w:szCs w:val="24"/>
        </w:rPr>
        <w:lastRenderedPageBreak/>
        <w:t>Summary</w:t>
      </w:r>
      <w:bookmarkEnd w:id="0"/>
    </w:p>
    <w:p w:rsidR="00D86528" w:rsidP="00D86528" w:rsidRDefault="00B27894" w14:paraId="17A3E4B4" w14:textId="6F6BC6E2">
      <w:pPr>
        <w:rPr>
          <w:rFonts w:ascii="Palatino Linotype" w:hAnsi="Palatino Linotype"/>
          <w:sz w:val="24"/>
          <w:szCs w:val="24"/>
        </w:rPr>
      </w:pPr>
      <w:r w:rsidRPr="00743E64">
        <w:rPr>
          <w:rFonts w:ascii="Palatino Linotype" w:hAnsi="Palatino Linotype" w:cs="Palatino Linotype" w:eastAsiaTheme="minorEastAsia"/>
          <w:color w:val="000000" w:themeColor="text1"/>
          <w:sz w:val="24"/>
          <w:szCs w:val="24"/>
        </w:rPr>
        <w:t>This Resolution approves f</w:t>
      </w:r>
      <w:r w:rsidRPr="00743E64" w:rsidR="00963DBC">
        <w:rPr>
          <w:rFonts w:ascii="Palatino Linotype" w:hAnsi="Palatino Linotype" w:cs="Palatino Linotype" w:eastAsiaTheme="minorEastAsia"/>
          <w:color w:val="000000" w:themeColor="text1"/>
          <w:sz w:val="24"/>
          <w:szCs w:val="24"/>
        </w:rPr>
        <w:t>our</w:t>
      </w:r>
      <w:r w:rsidRPr="00743E64">
        <w:rPr>
          <w:rFonts w:ascii="Palatino Linotype" w:hAnsi="Palatino Linotype" w:cs="Palatino Linotype" w:eastAsiaTheme="minorEastAsia"/>
          <w:color w:val="000000" w:themeColor="text1"/>
          <w:sz w:val="24"/>
          <w:szCs w:val="24"/>
        </w:rPr>
        <w:t xml:space="preserve"> </w:t>
      </w:r>
      <w:r w:rsidRPr="00743E64" w:rsidR="645C29B6">
        <w:rPr>
          <w:rFonts w:ascii="Palatino Linotype" w:hAnsi="Palatino Linotype" w:cs="Palatino Linotype" w:eastAsiaTheme="minorEastAsia"/>
          <w:color w:val="000000" w:themeColor="text1"/>
          <w:sz w:val="24"/>
          <w:szCs w:val="24"/>
        </w:rPr>
        <w:t>M</w:t>
      </w:r>
      <w:r w:rsidRPr="00743E64">
        <w:rPr>
          <w:rFonts w:ascii="Palatino Linotype" w:hAnsi="Palatino Linotype" w:cs="Palatino Linotype" w:eastAsiaTheme="minorEastAsia"/>
          <w:color w:val="000000" w:themeColor="text1"/>
          <w:sz w:val="24"/>
          <w:szCs w:val="24"/>
        </w:rPr>
        <w:t>id-</w:t>
      </w:r>
      <w:r w:rsidRPr="00743E64" w:rsidR="677B580D">
        <w:rPr>
          <w:rFonts w:ascii="Palatino Linotype" w:hAnsi="Palatino Linotype" w:cs="Palatino Linotype" w:eastAsiaTheme="minorEastAsia"/>
          <w:color w:val="000000" w:themeColor="text1"/>
          <w:sz w:val="24"/>
          <w:szCs w:val="24"/>
        </w:rPr>
        <w:t>T</w:t>
      </w:r>
      <w:r w:rsidRPr="00743E64">
        <w:rPr>
          <w:rFonts w:ascii="Palatino Linotype" w:hAnsi="Palatino Linotype" w:cs="Palatino Linotype" w:eastAsiaTheme="minorEastAsia"/>
          <w:color w:val="000000" w:themeColor="text1"/>
          <w:sz w:val="24"/>
          <w:szCs w:val="24"/>
        </w:rPr>
        <w:t xml:space="preserve">erm reliability (MTR) contracts for </w:t>
      </w:r>
      <w:r w:rsidRPr="00743E64" w:rsidR="00363CCD">
        <w:rPr>
          <w:rFonts w:ascii="Palatino Linotype" w:hAnsi="Palatino Linotype" w:cs="Palatino Linotype" w:eastAsiaTheme="minorEastAsia"/>
          <w:color w:val="000000" w:themeColor="text1"/>
          <w:sz w:val="24"/>
          <w:szCs w:val="24"/>
        </w:rPr>
        <w:t xml:space="preserve">a total of 750 megawatts (MW) of </w:t>
      </w:r>
      <w:r w:rsidRPr="00743E64" w:rsidR="006E76A3">
        <w:rPr>
          <w:rFonts w:ascii="Palatino Linotype" w:hAnsi="Palatino Linotype" w:cs="Palatino Linotype" w:eastAsiaTheme="minorEastAsia"/>
          <w:color w:val="000000" w:themeColor="text1"/>
          <w:sz w:val="24"/>
          <w:szCs w:val="24"/>
        </w:rPr>
        <w:t>solar photovoltaic</w:t>
      </w:r>
      <w:r w:rsidRPr="00743E64" w:rsidR="001A2E4C">
        <w:rPr>
          <w:rFonts w:ascii="Palatino Linotype" w:hAnsi="Palatino Linotype" w:cs="Palatino Linotype" w:eastAsiaTheme="minorEastAsia"/>
          <w:color w:val="000000" w:themeColor="text1"/>
          <w:sz w:val="24"/>
          <w:szCs w:val="24"/>
        </w:rPr>
        <w:t xml:space="preserve"> (PV) nameplate capacity</w:t>
      </w:r>
      <w:r w:rsidRPr="00743E64" w:rsidR="006E76A3">
        <w:rPr>
          <w:rFonts w:ascii="Palatino Linotype" w:hAnsi="Palatino Linotype" w:cs="Palatino Linotype" w:eastAsiaTheme="minorEastAsia"/>
          <w:color w:val="000000" w:themeColor="text1"/>
          <w:sz w:val="24"/>
          <w:szCs w:val="24"/>
        </w:rPr>
        <w:t xml:space="preserve"> </w:t>
      </w:r>
      <w:r w:rsidRPr="00743E64" w:rsidR="00363CCD">
        <w:rPr>
          <w:rFonts w:ascii="Palatino Linotype" w:hAnsi="Palatino Linotype" w:cs="Palatino Linotype" w:eastAsiaTheme="minorEastAsia"/>
          <w:color w:val="000000" w:themeColor="text1"/>
          <w:sz w:val="24"/>
          <w:szCs w:val="24"/>
        </w:rPr>
        <w:t xml:space="preserve">and </w:t>
      </w:r>
      <w:r w:rsidRPr="00743E64" w:rsidR="00490F75">
        <w:rPr>
          <w:rFonts w:ascii="Palatino Linotype" w:hAnsi="Palatino Linotype" w:cs="Palatino Linotype" w:eastAsiaTheme="minorEastAsia"/>
          <w:color w:val="000000" w:themeColor="text1"/>
          <w:sz w:val="24"/>
          <w:szCs w:val="24"/>
        </w:rPr>
        <w:t>578.7</w:t>
      </w:r>
      <w:r w:rsidRPr="00743E64" w:rsidR="00363CCD">
        <w:rPr>
          <w:rFonts w:ascii="Palatino Linotype" w:hAnsi="Palatino Linotype" w:cs="Palatino Linotype" w:eastAsiaTheme="minorEastAsia"/>
          <w:color w:val="000000" w:themeColor="text1"/>
          <w:sz w:val="24"/>
          <w:szCs w:val="24"/>
        </w:rPr>
        <w:t xml:space="preserve"> </w:t>
      </w:r>
      <w:r w:rsidRPr="00743E64">
        <w:rPr>
          <w:rFonts w:ascii="Palatino Linotype" w:hAnsi="Palatino Linotype" w:cs="Palatino Linotype" w:eastAsiaTheme="minorEastAsia"/>
          <w:color w:val="000000" w:themeColor="text1"/>
          <w:sz w:val="24"/>
          <w:szCs w:val="24"/>
        </w:rPr>
        <w:t xml:space="preserve">MW of </w:t>
      </w:r>
      <w:r w:rsidRPr="00743E64" w:rsidR="001A2E4C">
        <w:rPr>
          <w:rFonts w:ascii="Palatino Linotype" w:hAnsi="Palatino Linotype" w:cs="Palatino Linotype" w:eastAsiaTheme="minorEastAsia"/>
          <w:color w:val="000000" w:themeColor="text1"/>
          <w:sz w:val="24"/>
          <w:szCs w:val="24"/>
        </w:rPr>
        <w:t xml:space="preserve">battery energy storage system (ESS or BESS) </w:t>
      </w:r>
      <w:r w:rsidRPr="00743E64">
        <w:rPr>
          <w:rFonts w:ascii="Palatino Linotype" w:hAnsi="Palatino Linotype" w:cs="Palatino Linotype" w:eastAsiaTheme="minorEastAsia"/>
          <w:color w:val="000000" w:themeColor="text1"/>
          <w:sz w:val="24"/>
          <w:szCs w:val="24"/>
        </w:rPr>
        <w:t xml:space="preserve">nameplate capacity. </w:t>
      </w:r>
      <w:r w:rsidRPr="00743E64" w:rsidR="00963DBC">
        <w:rPr>
          <w:rFonts w:ascii="Palatino Linotype" w:hAnsi="Palatino Linotype" w:cs="Palatino Linotype" w:eastAsiaTheme="minorEastAsia"/>
          <w:color w:val="000000" w:themeColor="text1"/>
          <w:sz w:val="24"/>
          <w:szCs w:val="24"/>
        </w:rPr>
        <w:t>Pacific Gas and Electric Company</w:t>
      </w:r>
      <w:r w:rsidRPr="00743E64" w:rsidR="001A6C8F">
        <w:rPr>
          <w:rFonts w:ascii="Palatino Linotype" w:hAnsi="Palatino Linotype" w:cs="Palatino Linotype" w:eastAsiaTheme="minorEastAsia"/>
          <w:color w:val="000000" w:themeColor="text1"/>
          <w:sz w:val="24"/>
          <w:szCs w:val="24"/>
        </w:rPr>
        <w:t xml:space="preserve"> </w:t>
      </w:r>
      <w:r w:rsidRPr="00743E64">
        <w:rPr>
          <w:rFonts w:ascii="Palatino Linotype" w:hAnsi="Palatino Linotype" w:cs="Palatino Linotype" w:eastAsiaTheme="minorEastAsia"/>
          <w:color w:val="000000" w:themeColor="text1"/>
          <w:sz w:val="24"/>
          <w:szCs w:val="24"/>
        </w:rPr>
        <w:t>(</w:t>
      </w:r>
      <w:r w:rsidRPr="00743E64" w:rsidR="00963DBC">
        <w:rPr>
          <w:rFonts w:ascii="Palatino Linotype" w:hAnsi="Palatino Linotype" w:cs="Palatino Linotype" w:eastAsiaTheme="minorEastAsia"/>
          <w:color w:val="000000" w:themeColor="text1"/>
          <w:sz w:val="24"/>
          <w:szCs w:val="24"/>
        </w:rPr>
        <w:t>PG&amp;E</w:t>
      </w:r>
      <w:r w:rsidRPr="00743E64">
        <w:rPr>
          <w:rFonts w:ascii="Palatino Linotype" w:hAnsi="Palatino Linotype" w:cs="Palatino Linotype" w:eastAsiaTheme="minorEastAsia"/>
          <w:color w:val="000000" w:themeColor="text1"/>
          <w:sz w:val="24"/>
          <w:szCs w:val="24"/>
        </w:rPr>
        <w:t xml:space="preserve">) </w:t>
      </w:r>
      <w:r w:rsidRPr="00743E64" w:rsidR="00561107">
        <w:rPr>
          <w:rFonts w:ascii="Palatino Linotype" w:hAnsi="Palatino Linotype" w:cs="Palatino Linotype" w:eastAsiaTheme="minorEastAsia"/>
          <w:color w:val="000000" w:themeColor="text1"/>
          <w:sz w:val="24"/>
          <w:szCs w:val="24"/>
        </w:rPr>
        <w:t xml:space="preserve">contracted </w:t>
      </w:r>
      <w:r w:rsidRPr="00743E64" w:rsidR="00B077D4">
        <w:rPr>
          <w:rFonts w:ascii="Palatino Linotype" w:hAnsi="Palatino Linotype" w:cs="Palatino Linotype" w:eastAsiaTheme="minorEastAsia"/>
          <w:color w:val="000000" w:themeColor="text1"/>
          <w:sz w:val="24"/>
          <w:szCs w:val="24"/>
        </w:rPr>
        <w:t>these resources to help meet its MTR requirements</w:t>
      </w:r>
      <w:r w:rsidRPr="00743E64" w:rsidR="007006C2">
        <w:rPr>
          <w:rFonts w:ascii="Palatino Linotype" w:hAnsi="Palatino Linotype" w:cs="Palatino Linotype" w:eastAsiaTheme="minorEastAsia"/>
          <w:color w:val="000000" w:themeColor="text1"/>
          <w:sz w:val="24"/>
          <w:szCs w:val="24"/>
        </w:rPr>
        <w:t xml:space="preserve"> (</w:t>
      </w:r>
      <w:r w:rsidRPr="00743E64" w:rsidR="007450C7">
        <w:rPr>
          <w:rFonts w:ascii="Palatino Linotype" w:hAnsi="Palatino Linotype" w:cs="Palatino Linotype" w:eastAsiaTheme="minorEastAsia"/>
          <w:color w:val="000000" w:themeColor="text1"/>
          <w:sz w:val="24"/>
          <w:szCs w:val="24"/>
        </w:rPr>
        <w:t>full summary of contract terms found in Confidential Appendix A)</w:t>
      </w:r>
      <w:r w:rsidRPr="00743E64" w:rsidR="00B077D4">
        <w:rPr>
          <w:rFonts w:ascii="Palatino Linotype" w:hAnsi="Palatino Linotype" w:cs="Palatino Linotype" w:eastAsiaTheme="minorEastAsia"/>
          <w:color w:val="000000" w:themeColor="text1"/>
          <w:sz w:val="24"/>
          <w:szCs w:val="24"/>
        </w:rPr>
        <w:t>.</w:t>
      </w:r>
      <w:r w:rsidRPr="00743E64" w:rsidR="00B077D4">
        <w:rPr>
          <w:rFonts w:ascii="Palatino Linotype" w:hAnsi="Palatino Linotype"/>
          <w:sz w:val="24"/>
          <w:szCs w:val="24"/>
        </w:rPr>
        <w:t xml:space="preserve"> </w:t>
      </w:r>
      <w:r w:rsidRPr="00743E64" w:rsidR="00617F5E">
        <w:rPr>
          <w:rFonts w:ascii="Palatino Linotype" w:hAnsi="Palatino Linotype"/>
          <w:sz w:val="24"/>
          <w:szCs w:val="24"/>
        </w:rPr>
        <w:t xml:space="preserve">The contracts for which </w:t>
      </w:r>
      <w:r w:rsidRPr="00743E64" w:rsidR="00D804EF">
        <w:rPr>
          <w:rFonts w:ascii="Palatino Linotype" w:hAnsi="Palatino Linotype"/>
          <w:sz w:val="24"/>
          <w:szCs w:val="24"/>
        </w:rPr>
        <w:t>PG&amp;E</w:t>
      </w:r>
      <w:r w:rsidRPr="00743E64" w:rsidR="00617F5E">
        <w:rPr>
          <w:rFonts w:ascii="Palatino Linotype" w:hAnsi="Palatino Linotype"/>
          <w:sz w:val="24"/>
          <w:szCs w:val="24"/>
        </w:rPr>
        <w:t xml:space="preserve"> seeks approval in Advice Letter (AL) </w:t>
      </w:r>
      <w:r w:rsidRPr="00743E64" w:rsidR="00D804EF">
        <w:rPr>
          <w:rFonts w:ascii="Palatino Linotype" w:hAnsi="Palatino Linotype"/>
          <w:sz w:val="24"/>
          <w:szCs w:val="24"/>
        </w:rPr>
        <w:t>7356</w:t>
      </w:r>
      <w:r w:rsidRPr="00743E64" w:rsidR="00617F5E">
        <w:rPr>
          <w:rFonts w:ascii="Palatino Linotype" w:hAnsi="Palatino Linotype"/>
          <w:sz w:val="24"/>
          <w:szCs w:val="24"/>
        </w:rPr>
        <w:t>-E are summarized in the table below:</w:t>
      </w:r>
    </w:p>
    <w:tbl>
      <w:tblPr>
        <w:tblStyle w:val="TableGrid"/>
        <w:tblW w:w="9360" w:type="dxa"/>
        <w:tblInd w:w="-5" w:type="dxa"/>
        <w:tblLayout w:type="fixed"/>
        <w:tblLook w:val="04A0" w:firstRow="1" w:lastRow="0" w:firstColumn="1" w:lastColumn="0" w:noHBand="0" w:noVBand="1"/>
      </w:tblPr>
      <w:tblGrid>
        <w:gridCol w:w="1440"/>
        <w:gridCol w:w="1350"/>
        <w:gridCol w:w="1221"/>
        <w:gridCol w:w="1337"/>
        <w:gridCol w:w="1337"/>
        <w:gridCol w:w="1337"/>
        <w:gridCol w:w="1338"/>
      </w:tblGrid>
      <w:tr w:rsidRPr="00743E64" w:rsidR="009E4519" w:rsidTr="00A86ED0" w14:paraId="6C04C1AB" w14:textId="77777777">
        <w:trPr>
          <w:trHeight w:val="720"/>
        </w:trPr>
        <w:tc>
          <w:tcPr>
            <w:tcW w:w="1440" w:type="dxa"/>
            <w:shd w:val="clear" w:color="auto" w:fill="auto"/>
            <w:vAlign w:val="center"/>
          </w:tcPr>
          <w:p w:rsidRPr="00743E64" w:rsidR="009E4519" w:rsidP="11609C62" w:rsidRDefault="009E4519" w14:paraId="51491EC1" w14:textId="78E82000">
            <w:pPr>
              <w:keepNext/>
              <w:keepLines/>
              <w:spacing w:after="120"/>
              <w:jc w:val="center"/>
              <w:rPr>
                <w:rFonts w:ascii="Palatino Linotype" w:hAnsi="Palatino Linotype"/>
                <w:b/>
                <w:sz w:val="24"/>
                <w:szCs w:val="24"/>
              </w:rPr>
            </w:pPr>
            <w:r w:rsidRPr="00743E64">
              <w:rPr>
                <w:rFonts w:ascii="Palatino Linotype" w:hAnsi="Palatino Linotype"/>
                <w:b/>
                <w:sz w:val="24"/>
                <w:szCs w:val="24"/>
              </w:rPr>
              <w:lastRenderedPageBreak/>
              <w:t>Seller/Parent Company</w:t>
            </w:r>
          </w:p>
        </w:tc>
        <w:tc>
          <w:tcPr>
            <w:tcW w:w="1350" w:type="dxa"/>
            <w:shd w:val="clear" w:color="auto" w:fill="auto"/>
            <w:vAlign w:val="center"/>
          </w:tcPr>
          <w:p w:rsidRPr="00743E64" w:rsidR="009E4519" w:rsidP="11609C62" w:rsidRDefault="009E4519" w14:paraId="7D2DBE9B" w14:textId="29C013D1">
            <w:pPr>
              <w:keepNext/>
              <w:keepLines/>
              <w:spacing w:after="120"/>
              <w:jc w:val="center"/>
              <w:rPr>
                <w:rFonts w:ascii="Palatino Linotype" w:hAnsi="Palatino Linotype"/>
                <w:b/>
                <w:sz w:val="24"/>
                <w:szCs w:val="24"/>
              </w:rPr>
            </w:pPr>
            <w:r w:rsidRPr="00743E64">
              <w:rPr>
                <w:rFonts w:ascii="Palatino Linotype" w:hAnsi="Palatino Linotype"/>
                <w:b/>
                <w:sz w:val="24"/>
                <w:szCs w:val="24"/>
              </w:rPr>
              <w:t>Resource Type</w:t>
            </w:r>
          </w:p>
        </w:tc>
        <w:tc>
          <w:tcPr>
            <w:tcW w:w="1221" w:type="dxa"/>
            <w:shd w:val="clear" w:color="auto" w:fill="auto"/>
            <w:vAlign w:val="center"/>
          </w:tcPr>
          <w:p w:rsidRPr="00743E64" w:rsidR="009E4519" w:rsidP="11609C62" w:rsidRDefault="009E4519" w14:paraId="5EF6411C" w14:textId="0A20C00C">
            <w:pPr>
              <w:keepNext/>
              <w:keepLines/>
              <w:spacing w:after="120"/>
              <w:jc w:val="center"/>
              <w:rPr>
                <w:rFonts w:ascii="Palatino Linotype" w:hAnsi="Palatino Linotype"/>
                <w:b/>
                <w:sz w:val="24"/>
                <w:szCs w:val="24"/>
              </w:rPr>
            </w:pPr>
            <w:r w:rsidRPr="00743E64">
              <w:rPr>
                <w:rFonts w:ascii="Palatino Linotype" w:hAnsi="Palatino Linotype"/>
                <w:b/>
                <w:sz w:val="24"/>
                <w:szCs w:val="24"/>
              </w:rPr>
              <w:t>Contract Type</w:t>
            </w:r>
          </w:p>
        </w:tc>
        <w:tc>
          <w:tcPr>
            <w:tcW w:w="1337" w:type="dxa"/>
          </w:tcPr>
          <w:p w:rsidRPr="00743E64" w:rsidR="009E4519" w:rsidP="11609C62" w:rsidRDefault="001A2E4C" w14:paraId="4209835B" w14:textId="6FAD3B02">
            <w:pPr>
              <w:keepNext/>
              <w:keepLines/>
              <w:spacing w:after="120"/>
              <w:jc w:val="center"/>
              <w:rPr>
                <w:rFonts w:ascii="Palatino Linotype" w:hAnsi="Palatino Linotype"/>
                <w:b/>
                <w:sz w:val="24"/>
                <w:szCs w:val="24"/>
              </w:rPr>
            </w:pPr>
            <w:r w:rsidRPr="00743E64">
              <w:rPr>
                <w:rFonts w:ascii="Palatino Linotype" w:hAnsi="Palatino Linotype"/>
                <w:b/>
                <w:sz w:val="24"/>
                <w:szCs w:val="24"/>
              </w:rPr>
              <w:t xml:space="preserve">Solar PV Nameplate </w:t>
            </w:r>
            <w:r w:rsidRPr="00743E64" w:rsidR="00DA6E9B">
              <w:rPr>
                <w:rFonts w:ascii="Palatino Linotype" w:hAnsi="Palatino Linotype"/>
                <w:b/>
                <w:sz w:val="24"/>
                <w:szCs w:val="24"/>
              </w:rPr>
              <w:t xml:space="preserve">(MW) </w:t>
            </w:r>
          </w:p>
        </w:tc>
        <w:tc>
          <w:tcPr>
            <w:tcW w:w="1337" w:type="dxa"/>
            <w:vAlign w:val="center"/>
          </w:tcPr>
          <w:p w:rsidRPr="00743E64" w:rsidR="009E4519" w:rsidP="11609C62" w:rsidRDefault="0054237A" w14:paraId="5C38C42A" w14:textId="449B4BC4">
            <w:pPr>
              <w:keepNext/>
              <w:keepLines/>
              <w:spacing w:after="120"/>
              <w:jc w:val="center"/>
              <w:rPr>
                <w:rFonts w:ascii="Palatino Linotype" w:hAnsi="Palatino Linotype"/>
                <w:b/>
                <w:sz w:val="24"/>
                <w:szCs w:val="24"/>
              </w:rPr>
            </w:pPr>
            <w:r w:rsidRPr="00743E64">
              <w:rPr>
                <w:rFonts w:ascii="Palatino Linotype" w:hAnsi="Palatino Linotype"/>
                <w:b/>
                <w:sz w:val="24"/>
                <w:szCs w:val="24"/>
              </w:rPr>
              <w:t xml:space="preserve">Storage </w:t>
            </w:r>
            <w:r w:rsidRPr="00743E64" w:rsidR="001A2E4C">
              <w:rPr>
                <w:rFonts w:ascii="Palatino Linotype" w:hAnsi="Palatino Linotype"/>
                <w:b/>
                <w:sz w:val="24"/>
                <w:szCs w:val="24"/>
              </w:rPr>
              <w:t xml:space="preserve">Nameplate </w:t>
            </w:r>
            <w:r w:rsidRPr="00743E64">
              <w:rPr>
                <w:rFonts w:ascii="Palatino Linotype" w:hAnsi="Palatino Linotype"/>
                <w:b/>
                <w:sz w:val="24"/>
                <w:szCs w:val="24"/>
              </w:rPr>
              <w:t>(MW)</w:t>
            </w:r>
          </w:p>
        </w:tc>
        <w:tc>
          <w:tcPr>
            <w:tcW w:w="1337" w:type="dxa"/>
            <w:shd w:val="clear" w:color="auto" w:fill="auto"/>
            <w:vAlign w:val="center"/>
          </w:tcPr>
          <w:p w:rsidRPr="00743E64" w:rsidR="009E4519" w:rsidP="11609C62" w:rsidRDefault="009E4519" w14:paraId="282CB24E" w14:textId="5ADC9B25">
            <w:pPr>
              <w:keepNext/>
              <w:keepLines/>
              <w:spacing w:after="120"/>
              <w:jc w:val="center"/>
              <w:rPr>
                <w:rFonts w:ascii="Palatino Linotype" w:hAnsi="Palatino Linotype"/>
                <w:b/>
                <w:sz w:val="24"/>
                <w:szCs w:val="24"/>
              </w:rPr>
            </w:pPr>
            <w:r w:rsidRPr="00743E64">
              <w:rPr>
                <w:rFonts w:ascii="Palatino Linotype" w:hAnsi="Palatino Linotype"/>
                <w:b/>
                <w:sz w:val="24"/>
                <w:szCs w:val="24"/>
              </w:rPr>
              <w:t>Contract Term</w:t>
            </w:r>
          </w:p>
        </w:tc>
        <w:tc>
          <w:tcPr>
            <w:tcW w:w="1338" w:type="dxa"/>
            <w:shd w:val="clear" w:color="auto" w:fill="auto"/>
            <w:vAlign w:val="center"/>
          </w:tcPr>
          <w:p w:rsidRPr="00743E64" w:rsidR="009E4519" w:rsidP="11609C62" w:rsidRDefault="009E4519" w14:paraId="55C119B9" w14:textId="6B8528DD">
            <w:pPr>
              <w:keepNext/>
              <w:keepLines/>
              <w:spacing w:after="120"/>
              <w:jc w:val="center"/>
              <w:rPr>
                <w:rFonts w:ascii="Palatino Linotype" w:hAnsi="Palatino Linotype"/>
                <w:b/>
                <w:sz w:val="24"/>
                <w:szCs w:val="24"/>
              </w:rPr>
            </w:pPr>
            <w:r w:rsidRPr="00743E64">
              <w:rPr>
                <w:rFonts w:ascii="Palatino Linotype" w:hAnsi="Palatino Linotype"/>
                <w:b/>
                <w:sz w:val="24"/>
                <w:szCs w:val="24"/>
              </w:rPr>
              <w:t>Initial Delivery Date</w:t>
            </w:r>
          </w:p>
        </w:tc>
      </w:tr>
      <w:tr w:rsidRPr="00743E64" w:rsidR="00DB1815" w14:paraId="4CC5E63E" w14:textId="77777777">
        <w:trPr>
          <w:trHeight w:val="1298"/>
        </w:trPr>
        <w:tc>
          <w:tcPr>
            <w:tcW w:w="1440" w:type="dxa"/>
            <w:vAlign w:val="center"/>
          </w:tcPr>
          <w:p w:rsidRPr="00743E64" w:rsidR="00E00E43" w:rsidP="11609C62" w:rsidRDefault="00873B6C" w14:paraId="0D86B9CE" w14:textId="4A381361">
            <w:pPr>
              <w:keepNext/>
              <w:keepLines/>
              <w:spacing w:after="120"/>
              <w:jc w:val="center"/>
              <w:rPr>
                <w:rFonts w:ascii="Palatino Linotype" w:hAnsi="Palatino Linotype"/>
                <w:sz w:val="24"/>
                <w:szCs w:val="24"/>
              </w:rPr>
            </w:pPr>
            <w:r w:rsidRPr="00743E64">
              <w:rPr>
                <w:rFonts w:ascii="Palatino Linotype" w:hAnsi="Palatino Linotype"/>
                <w:sz w:val="24"/>
                <w:szCs w:val="24"/>
              </w:rPr>
              <w:t xml:space="preserve">Atlas North 1 Project, </w:t>
            </w:r>
            <w:r w:rsidRPr="00743E64" w:rsidR="00DB1815">
              <w:rPr>
                <w:rFonts w:ascii="Palatino Linotype" w:hAnsi="Palatino Linotype"/>
                <w:sz w:val="24"/>
                <w:szCs w:val="24"/>
              </w:rPr>
              <w:t xml:space="preserve">Atlas Solar </w:t>
            </w:r>
            <w:r w:rsidRPr="00743E64" w:rsidR="00BE675A">
              <w:rPr>
                <w:rFonts w:ascii="Palatino Linotype" w:hAnsi="Palatino Linotype"/>
                <w:sz w:val="24"/>
                <w:szCs w:val="24"/>
              </w:rPr>
              <w:t>XII</w:t>
            </w:r>
            <w:r w:rsidRPr="00743E64" w:rsidR="00DB1815">
              <w:rPr>
                <w:rFonts w:ascii="Palatino Linotype" w:hAnsi="Palatino Linotype"/>
                <w:sz w:val="24"/>
                <w:szCs w:val="24"/>
              </w:rPr>
              <w:t xml:space="preserve">, LLC </w:t>
            </w:r>
          </w:p>
        </w:tc>
        <w:tc>
          <w:tcPr>
            <w:tcW w:w="1350" w:type="dxa"/>
            <w:vAlign w:val="center"/>
          </w:tcPr>
          <w:p w:rsidRPr="00743E64" w:rsidR="00DB1815" w:rsidP="11609C62" w:rsidRDefault="00DB1815" w14:paraId="0492D0E8" w14:textId="32314379">
            <w:pPr>
              <w:keepNext/>
              <w:keepLines/>
              <w:spacing w:after="120"/>
              <w:jc w:val="center"/>
              <w:rPr>
                <w:rFonts w:ascii="Palatino Linotype" w:hAnsi="Palatino Linotype"/>
                <w:sz w:val="24"/>
                <w:szCs w:val="24"/>
              </w:rPr>
            </w:pPr>
            <w:r w:rsidRPr="00743E64">
              <w:rPr>
                <w:rFonts w:ascii="Palatino Linotype" w:hAnsi="Palatino Linotype"/>
                <w:sz w:val="24"/>
                <w:szCs w:val="24"/>
              </w:rPr>
              <w:t>Solar PV</w:t>
            </w:r>
            <w:r w:rsidRPr="00743E64" w:rsidR="00945A68">
              <w:rPr>
                <w:rFonts w:ascii="Palatino Linotype" w:hAnsi="Palatino Linotype"/>
                <w:sz w:val="24"/>
                <w:szCs w:val="24"/>
              </w:rPr>
              <w:t xml:space="preserve"> &amp; Lithium-ion battery storage</w:t>
            </w:r>
          </w:p>
        </w:tc>
        <w:tc>
          <w:tcPr>
            <w:tcW w:w="1221" w:type="dxa"/>
            <w:vAlign w:val="center"/>
          </w:tcPr>
          <w:p w:rsidRPr="00743E64" w:rsidR="00DB1815" w:rsidP="11609C62" w:rsidRDefault="00945A68" w14:paraId="0F65092F" w14:textId="0C32D784">
            <w:pPr>
              <w:keepNext/>
              <w:keepLines/>
              <w:spacing w:after="120"/>
              <w:jc w:val="center"/>
              <w:rPr>
                <w:rFonts w:ascii="Palatino Linotype" w:hAnsi="Palatino Linotype"/>
                <w:sz w:val="24"/>
                <w:szCs w:val="24"/>
              </w:rPr>
            </w:pPr>
            <w:r w:rsidRPr="00743E64">
              <w:rPr>
                <w:rFonts w:ascii="Palatino Linotype" w:hAnsi="Palatino Linotype"/>
                <w:sz w:val="24"/>
                <w:szCs w:val="24"/>
              </w:rPr>
              <w:t xml:space="preserve">Co-located </w:t>
            </w:r>
            <w:r w:rsidRPr="00743E64" w:rsidR="00DB1815">
              <w:rPr>
                <w:rFonts w:ascii="Palatino Linotype" w:hAnsi="Palatino Linotype"/>
                <w:sz w:val="24"/>
                <w:szCs w:val="24"/>
              </w:rPr>
              <w:t xml:space="preserve">RPS-Eligible Energy </w:t>
            </w:r>
            <w:r w:rsidRPr="00743E64" w:rsidR="002130F0">
              <w:rPr>
                <w:rFonts w:ascii="Palatino Linotype" w:hAnsi="Palatino Linotype"/>
                <w:sz w:val="24"/>
                <w:szCs w:val="24"/>
              </w:rPr>
              <w:t>+ Storage Resource</w:t>
            </w:r>
          </w:p>
        </w:tc>
        <w:tc>
          <w:tcPr>
            <w:tcW w:w="1337" w:type="dxa"/>
            <w:vAlign w:val="center"/>
          </w:tcPr>
          <w:p w:rsidRPr="00743E64" w:rsidR="00DB1815" w:rsidP="11609C62" w:rsidRDefault="0054237A" w14:paraId="00B2E7B9" w14:textId="3A575C7F">
            <w:pPr>
              <w:keepNext/>
              <w:keepLines/>
              <w:spacing w:after="120"/>
              <w:jc w:val="center"/>
              <w:rPr>
                <w:rFonts w:ascii="Palatino Linotype" w:hAnsi="Palatino Linotype"/>
                <w:sz w:val="24"/>
                <w:szCs w:val="24"/>
              </w:rPr>
            </w:pPr>
            <w:r w:rsidRPr="00743E64">
              <w:rPr>
                <w:rFonts w:ascii="Palatino Linotype" w:hAnsi="Palatino Linotype"/>
                <w:sz w:val="24"/>
                <w:szCs w:val="24"/>
              </w:rPr>
              <w:t>375</w:t>
            </w:r>
          </w:p>
        </w:tc>
        <w:tc>
          <w:tcPr>
            <w:tcW w:w="1337" w:type="dxa"/>
            <w:vAlign w:val="center"/>
          </w:tcPr>
          <w:p w:rsidRPr="00743E64" w:rsidR="00DB1815" w:rsidP="11609C62" w:rsidRDefault="0054237A" w14:paraId="255ACFB5" w14:textId="6BDC5A8B">
            <w:pPr>
              <w:keepNext/>
              <w:keepLines/>
              <w:spacing w:after="120"/>
              <w:jc w:val="center"/>
              <w:rPr>
                <w:rFonts w:ascii="Palatino Linotype" w:hAnsi="Palatino Linotype"/>
                <w:sz w:val="24"/>
                <w:szCs w:val="24"/>
              </w:rPr>
            </w:pPr>
            <w:r w:rsidRPr="00743E64">
              <w:rPr>
                <w:rFonts w:ascii="Palatino Linotype" w:hAnsi="Palatino Linotype"/>
                <w:sz w:val="24"/>
                <w:szCs w:val="24"/>
              </w:rPr>
              <w:t>225</w:t>
            </w:r>
          </w:p>
        </w:tc>
        <w:tc>
          <w:tcPr>
            <w:tcW w:w="1337" w:type="dxa"/>
            <w:vAlign w:val="center"/>
          </w:tcPr>
          <w:p w:rsidRPr="00743E64" w:rsidR="00DB1815" w:rsidP="11609C62" w:rsidRDefault="00DB1815" w14:paraId="321E0CB1" w14:textId="11A9DD40">
            <w:pPr>
              <w:keepNext/>
              <w:keepLines/>
              <w:spacing w:after="120"/>
              <w:jc w:val="center"/>
              <w:rPr>
                <w:rFonts w:ascii="Palatino Linotype" w:hAnsi="Palatino Linotype"/>
                <w:sz w:val="24"/>
                <w:szCs w:val="24"/>
              </w:rPr>
            </w:pPr>
            <w:r w:rsidRPr="00743E64">
              <w:rPr>
                <w:rFonts w:ascii="Palatino Linotype" w:hAnsi="Palatino Linotype"/>
                <w:sz w:val="24"/>
                <w:szCs w:val="24"/>
              </w:rPr>
              <w:t>15</w:t>
            </w:r>
          </w:p>
        </w:tc>
        <w:tc>
          <w:tcPr>
            <w:tcW w:w="1338" w:type="dxa"/>
            <w:vAlign w:val="center"/>
          </w:tcPr>
          <w:p w:rsidRPr="00743E64" w:rsidR="00DB1815" w:rsidP="11609C62" w:rsidRDefault="0054237A" w14:paraId="45D9BA1E" w14:textId="23B04804">
            <w:pPr>
              <w:keepNext/>
              <w:keepLines/>
              <w:spacing w:after="120"/>
              <w:jc w:val="center"/>
              <w:rPr>
                <w:rFonts w:ascii="Palatino Linotype" w:hAnsi="Palatino Linotype"/>
                <w:sz w:val="24"/>
                <w:szCs w:val="24"/>
              </w:rPr>
            </w:pPr>
            <w:r w:rsidRPr="00743E64">
              <w:rPr>
                <w:rFonts w:ascii="Palatino Linotype" w:hAnsi="Palatino Linotype"/>
                <w:sz w:val="24"/>
                <w:szCs w:val="24"/>
              </w:rPr>
              <w:t>12/</w:t>
            </w:r>
            <w:r w:rsidRPr="00743E64" w:rsidR="00256FED">
              <w:rPr>
                <w:rFonts w:ascii="Palatino Linotype" w:hAnsi="Palatino Linotype"/>
                <w:sz w:val="24"/>
                <w:szCs w:val="24"/>
              </w:rPr>
              <w:t>0</w:t>
            </w:r>
            <w:r w:rsidRPr="00743E64">
              <w:rPr>
                <w:rFonts w:ascii="Palatino Linotype" w:hAnsi="Palatino Linotype"/>
                <w:sz w:val="24"/>
                <w:szCs w:val="24"/>
              </w:rPr>
              <w:t>1/2027</w:t>
            </w:r>
          </w:p>
        </w:tc>
      </w:tr>
      <w:tr w:rsidRPr="00743E64" w:rsidR="00256FED" w14:paraId="4EB7DFA8" w14:textId="77777777">
        <w:trPr>
          <w:trHeight w:val="1298"/>
        </w:trPr>
        <w:tc>
          <w:tcPr>
            <w:tcW w:w="1440" w:type="dxa"/>
            <w:vAlign w:val="center"/>
          </w:tcPr>
          <w:p w:rsidRPr="00743E64" w:rsidR="00E00E43" w:rsidP="11609C62" w:rsidRDefault="00A90FA5" w14:paraId="5C68AA9E" w14:textId="649BB78C">
            <w:pPr>
              <w:keepNext/>
              <w:keepLines/>
              <w:spacing w:after="120"/>
              <w:jc w:val="center"/>
              <w:rPr>
                <w:rFonts w:ascii="Palatino Linotype" w:hAnsi="Palatino Linotype"/>
                <w:sz w:val="24"/>
                <w:szCs w:val="24"/>
              </w:rPr>
            </w:pPr>
            <w:r w:rsidRPr="00743E64">
              <w:rPr>
                <w:rFonts w:ascii="Palatino Linotype" w:hAnsi="Palatino Linotype"/>
                <w:sz w:val="24"/>
                <w:szCs w:val="24"/>
              </w:rPr>
              <w:t>Atlas North 2 Project, Atlas Solar XIII, LLC</w:t>
            </w:r>
          </w:p>
        </w:tc>
        <w:tc>
          <w:tcPr>
            <w:tcW w:w="1350" w:type="dxa"/>
            <w:vAlign w:val="center"/>
          </w:tcPr>
          <w:p w:rsidRPr="00743E64" w:rsidR="00256FED" w:rsidP="11609C62" w:rsidRDefault="00256FED" w14:paraId="366649B0" w14:textId="72C4916C">
            <w:pPr>
              <w:keepNext/>
              <w:keepLines/>
              <w:spacing w:after="120"/>
              <w:jc w:val="center"/>
              <w:rPr>
                <w:rFonts w:ascii="Palatino Linotype" w:hAnsi="Palatino Linotype"/>
                <w:sz w:val="24"/>
                <w:szCs w:val="24"/>
              </w:rPr>
            </w:pPr>
            <w:r w:rsidRPr="00743E64">
              <w:rPr>
                <w:rFonts w:ascii="Palatino Linotype" w:hAnsi="Palatino Linotype"/>
                <w:sz w:val="24"/>
                <w:szCs w:val="24"/>
              </w:rPr>
              <w:t>Solar PV &amp; Lithium-ion battery storage</w:t>
            </w:r>
          </w:p>
        </w:tc>
        <w:tc>
          <w:tcPr>
            <w:tcW w:w="1221" w:type="dxa"/>
            <w:vAlign w:val="center"/>
          </w:tcPr>
          <w:p w:rsidRPr="00743E64" w:rsidR="00256FED" w:rsidP="11609C62" w:rsidRDefault="00256FED" w14:paraId="0D25BA0F" w14:textId="24C6DFC5">
            <w:pPr>
              <w:keepNext/>
              <w:keepLines/>
              <w:spacing w:after="120"/>
              <w:jc w:val="center"/>
              <w:rPr>
                <w:rFonts w:ascii="Palatino Linotype" w:hAnsi="Palatino Linotype"/>
                <w:sz w:val="24"/>
                <w:szCs w:val="24"/>
              </w:rPr>
            </w:pPr>
            <w:r w:rsidRPr="00743E64">
              <w:rPr>
                <w:rFonts w:ascii="Palatino Linotype" w:hAnsi="Palatino Linotype"/>
                <w:sz w:val="24"/>
                <w:szCs w:val="24"/>
              </w:rPr>
              <w:t>Co-located RPS-Eligible Energy + Storage Resource</w:t>
            </w:r>
          </w:p>
        </w:tc>
        <w:tc>
          <w:tcPr>
            <w:tcW w:w="1337" w:type="dxa"/>
            <w:vAlign w:val="center"/>
          </w:tcPr>
          <w:p w:rsidRPr="00743E64" w:rsidR="00256FED" w:rsidP="11609C62" w:rsidRDefault="00256FED" w14:paraId="7B5F921C" w14:textId="6CF7605B">
            <w:pPr>
              <w:keepNext/>
              <w:keepLines/>
              <w:spacing w:after="120"/>
              <w:jc w:val="center"/>
              <w:rPr>
                <w:rFonts w:ascii="Palatino Linotype" w:hAnsi="Palatino Linotype"/>
                <w:sz w:val="24"/>
                <w:szCs w:val="24"/>
              </w:rPr>
            </w:pPr>
            <w:r w:rsidRPr="00743E64">
              <w:rPr>
                <w:rFonts w:ascii="Palatino Linotype" w:hAnsi="Palatino Linotype"/>
                <w:sz w:val="24"/>
                <w:szCs w:val="24"/>
              </w:rPr>
              <w:t>375</w:t>
            </w:r>
          </w:p>
        </w:tc>
        <w:tc>
          <w:tcPr>
            <w:tcW w:w="1337" w:type="dxa"/>
            <w:vAlign w:val="center"/>
          </w:tcPr>
          <w:p w:rsidRPr="00743E64" w:rsidR="00256FED" w:rsidP="11609C62" w:rsidRDefault="00256FED" w14:paraId="57C732D8" w14:textId="622D0B21">
            <w:pPr>
              <w:keepNext/>
              <w:keepLines/>
              <w:spacing w:after="120"/>
              <w:jc w:val="center"/>
              <w:rPr>
                <w:rFonts w:ascii="Palatino Linotype" w:hAnsi="Palatino Linotype"/>
                <w:sz w:val="24"/>
                <w:szCs w:val="24"/>
              </w:rPr>
            </w:pPr>
            <w:r w:rsidRPr="00743E64">
              <w:rPr>
                <w:rFonts w:ascii="Palatino Linotype" w:hAnsi="Palatino Linotype"/>
                <w:sz w:val="24"/>
                <w:szCs w:val="24"/>
              </w:rPr>
              <w:t>225</w:t>
            </w:r>
          </w:p>
        </w:tc>
        <w:tc>
          <w:tcPr>
            <w:tcW w:w="1337" w:type="dxa"/>
            <w:vAlign w:val="center"/>
          </w:tcPr>
          <w:p w:rsidRPr="00743E64" w:rsidR="00256FED" w:rsidP="11609C62" w:rsidRDefault="00256FED" w14:paraId="1C753303" w14:textId="23023901">
            <w:pPr>
              <w:keepNext/>
              <w:keepLines/>
              <w:spacing w:after="120"/>
              <w:jc w:val="center"/>
              <w:rPr>
                <w:rFonts w:ascii="Palatino Linotype" w:hAnsi="Palatino Linotype"/>
                <w:sz w:val="24"/>
                <w:szCs w:val="24"/>
              </w:rPr>
            </w:pPr>
            <w:r w:rsidRPr="00743E64">
              <w:rPr>
                <w:rFonts w:ascii="Palatino Linotype" w:hAnsi="Palatino Linotype"/>
                <w:sz w:val="24"/>
                <w:szCs w:val="24"/>
              </w:rPr>
              <w:t>15</w:t>
            </w:r>
          </w:p>
        </w:tc>
        <w:tc>
          <w:tcPr>
            <w:tcW w:w="1338" w:type="dxa"/>
            <w:vAlign w:val="center"/>
          </w:tcPr>
          <w:p w:rsidRPr="00743E64" w:rsidR="00256FED" w:rsidP="11609C62" w:rsidRDefault="00256FED" w14:paraId="5732B0DD" w14:textId="02BE734B">
            <w:pPr>
              <w:keepNext/>
              <w:keepLines/>
              <w:spacing w:after="120"/>
              <w:jc w:val="center"/>
              <w:rPr>
                <w:rFonts w:ascii="Palatino Linotype" w:hAnsi="Palatino Linotype"/>
                <w:sz w:val="24"/>
                <w:szCs w:val="24"/>
              </w:rPr>
            </w:pPr>
            <w:r w:rsidRPr="00743E64">
              <w:rPr>
                <w:rFonts w:ascii="Palatino Linotype" w:hAnsi="Palatino Linotype"/>
                <w:sz w:val="24"/>
                <w:szCs w:val="24"/>
              </w:rPr>
              <w:t>12/01/2027</w:t>
            </w:r>
          </w:p>
        </w:tc>
      </w:tr>
      <w:tr w:rsidRPr="00743E64" w:rsidR="009E4519" w:rsidTr="00664C2F" w14:paraId="098A11B2" w14:textId="77777777">
        <w:trPr>
          <w:trHeight w:val="1298"/>
        </w:trPr>
        <w:tc>
          <w:tcPr>
            <w:tcW w:w="1440" w:type="dxa"/>
            <w:vAlign w:val="center"/>
          </w:tcPr>
          <w:p w:rsidRPr="00743E64" w:rsidR="00E00E43" w:rsidP="11609C62" w:rsidRDefault="008226FD" w14:paraId="7A499780" w14:textId="10B8770C">
            <w:pPr>
              <w:keepNext/>
              <w:keepLines/>
              <w:spacing w:after="120"/>
              <w:jc w:val="center"/>
              <w:rPr>
                <w:rFonts w:ascii="Palatino Linotype" w:hAnsi="Palatino Linotype"/>
                <w:sz w:val="24"/>
                <w:szCs w:val="24"/>
              </w:rPr>
            </w:pPr>
            <w:bookmarkStart w:name="_Hlk182901091" w:id="1"/>
            <w:r w:rsidRPr="00743E64">
              <w:rPr>
                <w:rFonts w:ascii="Palatino Linotype" w:hAnsi="Palatino Linotype"/>
                <w:sz w:val="24"/>
                <w:szCs w:val="24"/>
              </w:rPr>
              <w:t>Lockhart CL E</w:t>
            </w:r>
            <w:r w:rsidRPr="00743E64" w:rsidR="0026325E">
              <w:rPr>
                <w:rFonts w:ascii="Palatino Linotype" w:hAnsi="Palatino Linotype"/>
                <w:sz w:val="24"/>
                <w:szCs w:val="24"/>
              </w:rPr>
              <w:t>nergy Storage System (E</w:t>
            </w:r>
            <w:r w:rsidRPr="00743E64">
              <w:rPr>
                <w:rFonts w:ascii="Palatino Linotype" w:hAnsi="Palatino Linotype"/>
                <w:sz w:val="24"/>
                <w:szCs w:val="24"/>
              </w:rPr>
              <w:t>SS</w:t>
            </w:r>
            <w:r w:rsidRPr="00743E64" w:rsidR="0026325E">
              <w:rPr>
                <w:rFonts w:ascii="Palatino Linotype" w:hAnsi="Palatino Linotype"/>
                <w:sz w:val="24"/>
                <w:szCs w:val="24"/>
              </w:rPr>
              <w:t>)</w:t>
            </w:r>
            <w:r w:rsidRPr="00743E64">
              <w:rPr>
                <w:rFonts w:ascii="Palatino Linotype" w:hAnsi="Palatino Linotype"/>
                <w:sz w:val="24"/>
                <w:szCs w:val="24"/>
              </w:rPr>
              <w:t xml:space="preserve"> IA</w:t>
            </w:r>
            <w:bookmarkEnd w:id="1"/>
            <w:r w:rsidRPr="00743E64" w:rsidR="009E4519">
              <w:rPr>
                <w:rFonts w:ascii="Palatino Linotype" w:hAnsi="Palatino Linotype"/>
                <w:sz w:val="24"/>
                <w:szCs w:val="24"/>
              </w:rPr>
              <w:t xml:space="preserve">, LLC / </w:t>
            </w:r>
            <w:r w:rsidRPr="00743E64">
              <w:rPr>
                <w:rFonts w:ascii="Palatino Linotype" w:hAnsi="Palatino Linotype"/>
                <w:sz w:val="24"/>
                <w:szCs w:val="24"/>
              </w:rPr>
              <w:t>Terra</w:t>
            </w:r>
            <w:r w:rsidRPr="00743E64" w:rsidR="007358AB">
              <w:rPr>
                <w:rFonts w:ascii="Palatino Linotype" w:hAnsi="Palatino Linotype"/>
                <w:sz w:val="24"/>
                <w:szCs w:val="24"/>
              </w:rPr>
              <w:t>-</w:t>
            </w:r>
            <w:r w:rsidRPr="00743E64">
              <w:rPr>
                <w:rFonts w:ascii="Palatino Linotype" w:hAnsi="Palatino Linotype"/>
                <w:sz w:val="24"/>
                <w:szCs w:val="24"/>
              </w:rPr>
              <w:t>Gen</w:t>
            </w:r>
            <w:r w:rsidRPr="00743E64" w:rsidR="009E4519">
              <w:rPr>
                <w:rFonts w:ascii="Palatino Linotype" w:hAnsi="Palatino Linotype"/>
                <w:sz w:val="24"/>
                <w:szCs w:val="24"/>
              </w:rPr>
              <w:t xml:space="preserve"> LLC</w:t>
            </w:r>
          </w:p>
        </w:tc>
        <w:tc>
          <w:tcPr>
            <w:tcW w:w="1350" w:type="dxa"/>
            <w:vAlign w:val="center"/>
          </w:tcPr>
          <w:p w:rsidRPr="00743E64" w:rsidR="009E4519" w:rsidP="11609C62" w:rsidRDefault="003B0DA7" w14:paraId="7445F1CC" w14:textId="674179DA">
            <w:pPr>
              <w:keepNext/>
              <w:keepLines/>
              <w:spacing w:after="120"/>
              <w:jc w:val="center"/>
              <w:rPr>
                <w:rFonts w:ascii="Palatino Linotype" w:hAnsi="Palatino Linotype"/>
                <w:sz w:val="24"/>
                <w:szCs w:val="24"/>
              </w:rPr>
            </w:pPr>
            <w:r w:rsidRPr="00743E64">
              <w:rPr>
                <w:rFonts w:ascii="Palatino Linotype" w:hAnsi="Palatino Linotype"/>
                <w:sz w:val="24"/>
                <w:szCs w:val="24"/>
              </w:rPr>
              <w:t>Lithium-ion battery storage</w:t>
            </w:r>
          </w:p>
        </w:tc>
        <w:tc>
          <w:tcPr>
            <w:tcW w:w="1221" w:type="dxa"/>
            <w:vAlign w:val="center"/>
          </w:tcPr>
          <w:p w:rsidRPr="00743E64" w:rsidR="009E4519" w:rsidP="11609C62" w:rsidRDefault="003B0DA7" w14:paraId="3A5A1951" w14:textId="3491950D">
            <w:pPr>
              <w:keepNext/>
              <w:keepLines/>
              <w:spacing w:after="120"/>
              <w:jc w:val="center"/>
              <w:rPr>
                <w:rFonts w:ascii="Palatino Linotype" w:hAnsi="Palatino Linotype"/>
                <w:sz w:val="24"/>
                <w:szCs w:val="24"/>
              </w:rPr>
            </w:pPr>
            <w:r w:rsidRPr="00743E64">
              <w:rPr>
                <w:rFonts w:ascii="Palatino Linotype" w:hAnsi="Palatino Linotype"/>
                <w:sz w:val="24"/>
                <w:szCs w:val="24"/>
              </w:rPr>
              <w:t>R</w:t>
            </w:r>
            <w:r w:rsidRPr="00743E64" w:rsidR="0074353A">
              <w:rPr>
                <w:rFonts w:ascii="Palatino Linotype" w:hAnsi="Palatino Linotype"/>
                <w:sz w:val="24"/>
                <w:szCs w:val="24"/>
              </w:rPr>
              <w:t xml:space="preserve">esource </w:t>
            </w:r>
            <w:r w:rsidRPr="00743E64">
              <w:rPr>
                <w:rFonts w:ascii="Palatino Linotype" w:hAnsi="Palatino Linotype"/>
                <w:sz w:val="24"/>
                <w:szCs w:val="24"/>
              </w:rPr>
              <w:t>A</w:t>
            </w:r>
            <w:r w:rsidRPr="00743E64" w:rsidR="0074353A">
              <w:rPr>
                <w:rFonts w:ascii="Palatino Linotype" w:hAnsi="Palatino Linotype"/>
                <w:sz w:val="24"/>
                <w:szCs w:val="24"/>
              </w:rPr>
              <w:t>dequacy (RA)</w:t>
            </w:r>
            <w:r w:rsidRPr="00743E64">
              <w:rPr>
                <w:rFonts w:ascii="Palatino Linotype" w:hAnsi="Palatino Linotype"/>
                <w:sz w:val="24"/>
                <w:szCs w:val="24"/>
              </w:rPr>
              <w:t xml:space="preserve"> Agreement with Energy Settlement</w:t>
            </w:r>
          </w:p>
        </w:tc>
        <w:tc>
          <w:tcPr>
            <w:tcW w:w="1337" w:type="dxa"/>
            <w:vAlign w:val="center"/>
          </w:tcPr>
          <w:p w:rsidRPr="00743E64" w:rsidR="009E4519" w:rsidP="11609C62" w:rsidRDefault="00CC573F" w14:paraId="2D8A1C28" w14:textId="078D684A">
            <w:pPr>
              <w:keepNext/>
              <w:keepLines/>
              <w:spacing w:after="120"/>
              <w:jc w:val="center"/>
              <w:rPr>
                <w:rFonts w:ascii="Palatino Linotype" w:hAnsi="Palatino Linotype"/>
                <w:sz w:val="24"/>
                <w:szCs w:val="24"/>
              </w:rPr>
            </w:pPr>
            <w:r w:rsidRPr="00743E64">
              <w:rPr>
                <w:rFonts w:ascii="Palatino Linotype" w:hAnsi="Palatino Linotype"/>
                <w:sz w:val="24"/>
                <w:szCs w:val="24"/>
              </w:rPr>
              <w:t>N/A</w:t>
            </w:r>
          </w:p>
        </w:tc>
        <w:tc>
          <w:tcPr>
            <w:tcW w:w="1337" w:type="dxa"/>
            <w:vAlign w:val="center"/>
          </w:tcPr>
          <w:p w:rsidRPr="00743E64" w:rsidR="00DE7A4B" w:rsidP="11609C62" w:rsidRDefault="005345AC" w14:paraId="53D7B5DF" w14:textId="26654935">
            <w:pPr>
              <w:keepNext/>
              <w:keepLines/>
              <w:spacing w:after="120"/>
              <w:jc w:val="center"/>
              <w:rPr>
                <w:rFonts w:ascii="Palatino Linotype" w:hAnsi="Palatino Linotype"/>
                <w:sz w:val="24"/>
                <w:szCs w:val="24"/>
              </w:rPr>
            </w:pPr>
            <w:r w:rsidRPr="00743E64">
              <w:rPr>
                <w:rFonts w:ascii="Palatino Linotype" w:hAnsi="Palatino Linotype"/>
                <w:sz w:val="24"/>
                <w:szCs w:val="24"/>
              </w:rPr>
              <w:t>69</w:t>
            </w:r>
          </w:p>
        </w:tc>
        <w:tc>
          <w:tcPr>
            <w:tcW w:w="1337" w:type="dxa"/>
            <w:vAlign w:val="center"/>
          </w:tcPr>
          <w:p w:rsidRPr="00743E64" w:rsidR="009E4519" w:rsidP="11609C62" w:rsidRDefault="009E4519" w14:paraId="2666FB4E" w14:textId="6F561104">
            <w:pPr>
              <w:keepNext/>
              <w:keepLines/>
              <w:spacing w:after="120"/>
              <w:jc w:val="center"/>
              <w:rPr>
                <w:rFonts w:ascii="Palatino Linotype" w:hAnsi="Palatino Linotype"/>
                <w:sz w:val="24"/>
                <w:szCs w:val="24"/>
              </w:rPr>
            </w:pPr>
            <w:r w:rsidRPr="00743E64">
              <w:rPr>
                <w:rFonts w:ascii="Palatino Linotype" w:hAnsi="Palatino Linotype"/>
                <w:sz w:val="24"/>
                <w:szCs w:val="24"/>
              </w:rPr>
              <w:t>15</w:t>
            </w:r>
          </w:p>
        </w:tc>
        <w:tc>
          <w:tcPr>
            <w:tcW w:w="1338" w:type="dxa"/>
            <w:vAlign w:val="center"/>
          </w:tcPr>
          <w:p w:rsidRPr="00743E64" w:rsidR="009E4519" w:rsidP="11609C62" w:rsidRDefault="009E4519" w14:paraId="57C3B1D5" w14:textId="756DB344">
            <w:pPr>
              <w:keepNext/>
              <w:keepLines/>
              <w:spacing w:after="120"/>
              <w:jc w:val="center"/>
              <w:rPr>
                <w:rFonts w:ascii="Palatino Linotype" w:hAnsi="Palatino Linotype"/>
                <w:sz w:val="24"/>
                <w:szCs w:val="24"/>
              </w:rPr>
            </w:pPr>
            <w:r w:rsidRPr="00743E64">
              <w:rPr>
                <w:rFonts w:ascii="Palatino Linotype" w:hAnsi="Palatino Linotype"/>
                <w:sz w:val="24"/>
                <w:szCs w:val="24"/>
              </w:rPr>
              <w:t>0</w:t>
            </w:r>
            <w:r w:rsidRPr="00743E64" w:rsidR="005345AC">
              <w:rPr>
                <w:rFonts w:ascii="Palatino Linotype" w:hAnsi="Palatino Linotype"/>
                <w:sz w:val="24"/>
                <w:szCs w:val="24"/>
              </w:rPr>
              <w:t>6</w:t>
            </w:r>
            <w:r w:rsidRPr="00743E64">
              <w:rPr>
                <w:rFonts w:ascii="Palatino Linotype" w:hAnsi="Palatino Linotype"/>
                <w:sz w:val="24"/>
                <w:szCs w:val="24"/>
              </w:rPr>
              <w:t>/01/2026</w:t>
            </w:r>
          </w:p>
        </w:tc>
      </w:tr>
      <w:tr w:rsidRPr="00743E64" w:rsidR="009E4519" w:rsidTr="00664C2F" w14:paraId="5A0714AC" w14:textId="77777777">
        <w:trPr>
          <w:trHeight w:val="827"/>
        </w:trPr>
        <w:tc>
          <w:tcPr>
            <w:tcW w:w="1440" w:type="dxa"/>
            <w:vAlign w:val="center"/>
          </w:tcPr>
          <w:p w:rsidRPr="00743E64" w:rsidR="00E00E43" w:rsidP="11609C62" w:rsidRDefault="00CC573F" w14:paraId="360AD381" w14:textId="2914E687">
            <w:pPr>
              <w:keepNext/>
              <w:keepLines/>
              <w:spacing w:after="120"/>
              <w:jc w:val="center"/>
              <w:rPr>
                <w:rFonts w:ascii="Palatino Linotype" w:hAnsi="Palatino Linotype"/>
                <w:sz w:val="24"/>
                <w:szCs w:val="24"/>
              </w:rPr>
            </w:pPr>
            <w:r w:rsidRPr="00743E64">
              <w:rPr>
                <w:rFonts w:ascii="Palatino Linotype" w:hAnsi="Palatino Linotype"/>
                <w:sz w:val="24"/>
                <w:szCs w:val="24"/>
              </w:rPr>
              <w:t>Lockhart CL ESS IIA, LLC / Terra</w:t>
            </w:r>
            <w:r w:rsidRPr="00743E64" w:rsidR="007358AB">
              <w:rPr>
                <w:rFonts w:ascii="Palatino Linotype" w:hAnsi="Palatino Linotype"/>
                <w:sz w:val="24"/>
                <w:szCs w:val="24"/>
              </w:rPr>
              <w:t>-</w:t>
            </w:r>
            <w:r w:rsidRPr="00743E64">
              <w:rPr>
                <w:rFonts w:ascii="Palatino Linotype" w:hAnsi="Palatino Linotype"/>
                <w:sz w:val="24"/>
                <w:szCs w:val="24"/>
              </w:rPr>
              <w:t>Gen LLC</w:t>
            </w:r>
          </w:p>
        </w:tc>
        <w:tc>
          <w:tcPr>
            <w:tcW w:w="1350" w:type="dxa"/>
            <w:vAlign w:val="center"/>
          </w:tcPr>
          <w:p w:rsidRPr="00743E64" w:rsidR="009E4519" w:rsidP="11609C62" w:rsidRDefault="003B0DA7" w14:paraId="5860C285" w14:textId="71F1D94D">
            <w:pPr>
              <w:keepNext/>
              <w:keepLines/>
              <w:spacing w:after="120"/>
              <w:jc w:val="center"/>
              <w:rPr>
                <w:rFonts w:ascii="Palatino Linotype" w:hAnsi="Palatino Linotype"/>
                <w:sz w:val="24"/>
                <w:szCs w:val="24"/>
              </w:rPr>
            </w:pPr>
            <w:r w:rsidRPr="00743E64">
              <w:rPr>
                <w:rFonts w:ascii="Palatino Linotype" w:hAnsi="Palatino Linotype"/>
                <w:sz w:val="24"/>
                <w:szCs w:val="24"/>
              </w:rPr>
              <w:t>Lithium-ion battery storage</w:t>
            </w:r>
          </w:p>
        </w:tc>
        <w:tc>
          <w:tcPr>
            <w:tcW w:w="1221" w:type="dxa"/>
            <w:vAlign w:val="center"/>
          </w:tcPr>
          <w:p w:rsidRPr="00743E64" w:rsidR="009E4519" w:rsidP="11609C62" w:rsidRDefault="0074353A" w14:paraId="13134D2C" w14:textId="3ED1D4E3">
            <w:pPr>
              <w:keepNext/>
              <w:keepLines/>
              <w:spacing w:after="120"/>
              <w:jc w:val="center"/>
              <w:rPr>
                <w:rFonts w:ascii="Palatino Linotype" w:hAnsi="Palatino Linotype"/>
                <w:sz w:val="24"/>
                <w:szCs w:val="24"/>
              </w:rPr>
            </w:pPr>
            <w:r w:rsidRPr="00743E64">
              <w:rPr>
                <w:rFonts w:ascii="Palatino Linotype" w:hAnsi="Palatino Linotype"/>
                <w:sz w:val="24"/>
                <w:szCs w:val="24"/>
              </w:rPr>
              <w:t xml:space="preserve">Resource Adequacy (RA) </w:t>
            </w:r>
            <w:r w:rsidRPr="00743E64" w:rsidR="003B0DA7">
              <w:rPr>
                <w:rFonts w:ascii="Palatino Linotype" w:hAnsi="Palatino Linotype"/>
                <w:sz w:val="24"/>
                <w:szCs w:val="24"/>
              </w:rPr>
              <w:t>Agreement with Energy Settlement</w:t>
            </w:r>
          </w:p>
        </w:tc>
        <w:tc>
          <w:tcPr>
            <w:tcW w:w="1337" w:type="dxa"/>
            <w:vAlign w:val="center"/>
          </w:tcPr>
          <w:p w:rsidRPr="00743E64" w:rsidR="009E4519" w:rsidP="11609C62" w:rsidRDefault="00CC573F" w14:paraId="66845731" w14:textId="0A3D2351">
            <w:pPr>
              <w:keepNext/>
              <w:keepLines/>
              <w:spacing w:after="120"/>
              <w:jc w:val="center"/>
              <w:rPr>
                <w:rFonts w:ascii="Palatino Linotype" w:hAnsi="Palatino Linotype"/>
                <w:sz w:val="24"/>
                <w:szCs w:val="24"/>
              </w:rPr>
            </w:pPr>
            <w:r w:rsidRPr="00743E64">
              <w:rPr>
                <w:rFonts w:ascii="Palatino Linotype" w:hAnsi="Palatino Linotype"/>
                <w:sz w:val="24"/>
                <w:szCs w:val="24"/>
              </w:rPr>
              <w:t>N/A</w:t>
            </w:r>
          </w:p>
        </w:tc>
        <w:tc>
          <w:tcPr>
            <w:tcW w:w="1337" w:type="dxa"/>
            <w:vAlign w:val="center"/>
          </w:tcPr>
          <w:p w:rsidRPr="00743E64" w:rsidR="00DE7A4B" w:rsidP="11609C62" w:rsidRDefault="005345AC" w14:paraId="03FAF37B" w14:textId="6235654D">
            <w:pPr>
              <w:keepNext/>
              <w:keepLines/>
              <w:spacing w:after="120"/>
              <w:jc w:val="center"/>
              <w:rPr>
                <w:rFonts w:ascii="Palatino Linotype" w:hAnsi="Palatino Linotype"/>
                <w:sz w:val="24"/>
                <w:szCs w:val="24"/>
              </w:rPr>
            </w:pPr>
            <w:r w:rsidRPr="00743E64">
              <w:rPr>
                <w:rFonts w:ascii="Palatino Linotype" w:hAnsi="Palatino Linotype"/>
                <w:sz w:val="24"/>
                <w:szCs w:val="24"/>
              </w:rPr>
              <w:t>59.7</w:t>
            </w:r>
          </w:p>
        </w:tc>
        <w:tc>
          <w:tcPr>
            <w:tcW w:w="1337" w:type="dxa"/>
            <w:vAlign w:val="center"/>
          </w:tcPr>
          <w:p w:rsidRPr="00743E64" w:rsidR="009E4519" w:rsidP="11609C62" w:rsidRDefault="009E4519" w14:paraId="7E11D434" w14:textId="348F995A">
            <w:pPr>
              <w:keepNext/>
              <w:keepLines/>
              <w:spacing w:after="120"/>
              <w:jc w:val="center"/>
              <w:rPr>
                <w:rFonts w:ascii="Palatino Linotype" w:hAnsi="Palatino Linotype"/>
                <w:sz w:val="24"/>
                <w:szCs w:val="24"/>
              </w:rPr>
            </w:pPr>
            <w:r w:rsidRPr="00743E64">
              <w:rPr>
                <w:rFonts w:ascii="Palatino Linotype" w:hAnsi="Palatino Linotype"/>
                <w:sz w:val="24"/>
                <w:szCs w:val="24"/>
              </w:rPr>
              <w:t>15</w:t>
            </w:r>
          </w:p>
        </w:tc>
        <w:tc>
          <w:tcPr>
            <w:tcW w:w="1338" w:type="dxa"/>
            <w:vAlign w:val="center"/>
          </w:tcPr>
          <w:p w:rsidRPr="00743E64" w:rsidR="009E4519" w:rsidP="11609C62" w:rsidRDefault="009E4519" w14:paraId="0D06D431" w14:textId="2342723C">
            <w:pPr>
              <w:keepNext/>
              <w:keepLines/>
              <w:spacing w:after="120"/>
              <w:jc w:val="center"/>
              <w:rPr>
                <w:rFonts w:ascii="Palatino Linotype" w:hAnsi="Palatino Linotype"/>
                <w:sz w:val="24"/>
                <w:szCs w:val="24"/>
              </w:rPr>
            </w:pPr>
            <w:r w:rsidRPr="00743E64">
              <w:rPr>
                <w:rFonts w:ascii="Palatino Linotype" w:hAnsi="Palatino Linotype"/>
                <w:sz w:val="24"/>
                <w:szCs w:val="24"/>
              </w:rPr>
              <w:t>06/01/2026</w:t>
            </w:r>
          </w:p>
        </w:tc>
      </w:tr>
    </w:tbl>
    <w:p w:rsidRPr="00743E64" w:rsidR="00D90BFF" w:rsidP="00D90BFF" w:rsidRDefault="00D90BFF" w14:paraId="4574902C" w14:textId="77777777">
      <w:pPr>
        <w:rPr>
          <w:rFonts w:ascii="Palatino Linotype" w:hAnsi="Palatino Linotype"/>
          <w:sz w:val="24"/>
          <w:szCs w:val="24"/>
        </w:rPr>
      </w:pPr>
    </w:p>
    <w:p w:rsidRPr="00743E64" w:rsidR="00D90BFF" w:rsidP="001A2E4C" w:rsidRDefault="001124DA" w14:paraId="23CBB9BC" w14:textId="30053486">
      <w:pPr>
        <w:rPr>
          <w:rFonts w:ascii="Palatino Linotype" w:hAnsi="Palatino Linotype"/>
          <w:sz w:val="24"/>
          <w:szCs w:val="24"/>
        </w:rPr>
      </w:pPr>
      <w:proofErr w:type="gramStart"/>
      <w:r w:rsidRPr="00743E64">
        <w:rPr>
          <w:rFonts w:ascii="Palatino Linotype" w:hAnsi="Palatino Linotype"/>
          <w:sz w:val="24"/>
          <w:szCs w:val="24"/>
        </w:rPr>
        <w:t xml:space="preserve">The </w:t>
      </w:r>
      <w:r w:rsidRPr="00743E64" w:rsidR="00D90BFF">
        <w:rPr>
          <w:rFonts w:ascii="Palatino Linotype" w:hAnsi="Palatino Linotype"/>
          <w:sz w:val="24"/>
          <w:szCs w:val="24"/>
        </w:rPr>
        <w:t>Atlas</w:t>
      </w:r>
      <w:proofErr w:type="gramEnd"/>
      <w:r w:rsidRPr="00743E64" w:rsidR="00D90BFF">
        <w:rPr>
          <w:rFonts w:ascii="Palatino Linotype" w:hAnsi="Palatino Linotype"/>
          <w:sz w:val="24"/>
          <w:szCs w:val="24"/>
        </w:rPr>
        <w:t xml:space="preserve"> </w:t>
      </w:r>
      <w:r w:rsidRPr="00743E64" w:rsidR="00157599">
        <w:rPr>
          <w:rFonts w:ascii="Palatino Linotype" w:hAnsi="Palatino Linotype"/>
          <w:sz w:val="24"/>
          <w:szCs w:val="24"/>
        </w:rPr>
        <w:t>North 1 and</w:t>
      </w:r>
      <w:r w:rsidRPr="00743E64" w:rsidR="00D90BFF">
        <w:rPr>
          <w:rFonts w:ascii="Palatino Linotype" w:hAnsi="Palatino Linotype"/>
          <w:sz w:val="24"/>
          <w:szCs w:val="24"/>
        </w:rPr>
        <w:t xml:space="preserve"> Atlas </w:t>
      </w:r>
      <w:r w:rsidRPr="00743E64" w:rsidR="00157599">
        <w:rPr>
          <w:rFonts w:ascii="Palatino Linotype" w:hAnsi="Palatino Linotype"/>
          <w:sz w:val="24"/>
          <w:szCs w:val="24"/>
        </w:rPr>
        <w:t>North 2</w:t>
      </w:r>
      <w:r w:rsidRPr="00743E64" w:rsidR="00D90BFF">
        <w:rPr>
          <w:rFonts w:ascii="Palatino Linotype" w:hAnsi="Palatino Linotype"/>
          <w:sz w:val="24"/>
          <w:szCs w:val="24"/>
        </w:rPr>
        <w:t xml:space="preserve"> (Atlas) </w:t>
      </w:r>
      <w:r w:rsidRPr="00743E64" w:rsidR="00D85A5D">
        <w:rPr>
          <w:rFonts w:ascii="Palatino Linotype" w:hAnsi="Palatino Linotype"/>
          <w:sz w:val="24"/>
          <w:szCs w:val="24"/>
        </w:rPr>
        <w:t xml:space="preserve">contracts </w:t>
      </w:r>
      <w:r w:rsidRPr="00743E64" w:rsidR="00D90BFF">
        <w:rPr>
          <w:rFonts w:ascii="Palatino Linotype" w:hAnsi="Palatino Linotype"/>
          <w:sz w:val="24"/>
          <w:szCs w:val="24"/>
        </w:rPr>
        <w:t>a</w:t>
      </w:r>
      <w:r w:rsidRPr="00743E64" w:rsidR="00157599">
        <w:rPr>
          <w:rFonts w:ascii="Palatino Linotype" w:hAnsi="Palatino Linotype"/>
          <w:sz w:val="24"/>
          <w:szCs w:val="24"/>
        </w:rPr>
        <w:t>re</w:t>
      </w:r>
      <w:r w:rsidRPr="00743E64" w:rsidR="001A2E4C">
        <w:rPr>
          <w:rFonts w:ascii="Palatino Linotype" w:hAnsi="Palatino Linotype"/>
          <w:sz w:val="24"/>
          <w:szCs w:val="24"/>
        </w:rPr>
        <w:t xml:space="preserve"> for two co-located projects being</w:t>
      </w:r>
      <w:r w:rsidRPr="00743E64" w:rsidR="00D90BFF">
        <w:rPr>
          <w:rFonts w:ascii="Palatino Linotype" w:hAnsi="Palatino Linotype"/>
          <w:sz w:val="24"/>
          <w:szCs w:val="24"/>
        </w:rPr>
        <w:t xml:space="preserve"> developed by </w:t>
      </w:r>
      <w:r w:rsidRPr="00743E64" w:rsidR="00E721D0">
        <w:rPr>
          <w:rFonts w:ascii="Palatino Linotype" w:hAnsi="Palatino Linotype"/>
          <w:sz w:val="24"/>
          <w:szCs w:val="24"/>
        </w:rPr>
        <w:t xml:space="preserve">174 </w:t>
      </w:r>
      <w:r w:rsidRPr="00743E64" w:rsidR="00D90BFF">
        <w:rPr>
          <w:rFonts w:ascii="Palatino Linotype" w:hAnsi="Palatino Linotype"/>
          <w:sz w:val="24"/>
          <w:szCs w:val="24"/>
        </w:rPr>
        <w:t>Power Global, LLC</w:t>
      </w:r>
      <w:r w:rsidRPr="00743E64" w:rsidR="001A2E4C">
        <w:rPr>
          <w:rFonts w:ascii="Palatino Linotype" w:hAnsi="Palatino Linotype"/>
          <w:sz w:val="24"/>
          <w:szCs w:val="24"/>
        </w:rPr>
        <w:t>.</w:t>
      </w:r>
      <w:r w:rsidRPr="00743E64" w:rsidR="00D90BFF">
        <w:rPr>
          <w:rFonts w:ascii="Palatino Linotype" w:hAnsi="Palatino Linotype"/>
          <w:sz w:val="24"/>
          <w:szCs w:val="24"/>
        </w:rPr>
        <w:t xml:space="preserve"> </w:t>
      </w:r>
      <w:r w:rsidRPr="00743E64" w:rsidR="001A2E4C">
        <w:rPr>
          <w:rFonts w:ascii="Palatino Linotype" w:hAnsi="Palatino Linotype"/>
          <w:sz w:val="24"/>
          <w:szCs w:val="24"/>
        </w:rPr>
        <w:t>B</w:t>
      </w:r>
      <w:r w:rsidRPr="00743E64" w:rsidR="00CA69BE">
        <w:rPr>
          <w:rFonts w:ascii="Palatino Linotype" w:hAnsi="Palatino Linotype"/>
          <w:sz w:val="24"/>
          <w:szCs w:val="24"/>
        </w:rPr>
        <w:t xml:space="preserve">oth </w:t>
      </w:r>
      <w:r w:rsidRPr="00743E64" w:rsidR="001A2E4C">
        <w:rPr>
          <w:rFonts w:ascii="Palatino Linotype" w:hAnsi="Palatino Linotype"/>
          <w:sz w:val="24"/>
          <w:szCs w:val="24"/>
        </w:rPr>
        <w:t xml:space="preserve">projects are </w:t>
      </w:r>
      <w:r w:rsidRPr="00743E64" w:rsidR="00CA69BE">
        <w:rPr>
          <w:rFonts w:ascii="Palatino Linotype" w:hAnsi="Palatino Linotype"/>
          <w:sz w:val="24"/>
          <w:szCs w:val="24"/>
        </w:rPr>
        <w:t>transmission-connected co-located</w:t>
      </w:r>
      <w:r w:rsidRPr="00743E64" w:rsidR="00D90BFF">
        <w:rPr>
          <w:rFonts w:ascii="Palatino Linotype" w:hAnsi="Palatino Linotype"/>
          <w:sz w:val="24"/>
          <w:szCs w:val="24"/>
        </w:rPr>
        <w:t xml:space="preserve"> </w:t>
      </w:r>
      <w:r w:rsidRPr="00743E64" w:rsidR="0011384F">
        <w:rPr>
          <w:rFonts w:ascii="Palatino Linotype" w:hAnsi="Palatino Linotype"/>
          <w:sz w:val="24"/>
          <w:szCs w:val="24"/>
        </w:rPr>
        <w:t>375</w:t>
      </w:r>
      <w:r w:rsidRPr="00743E64" w:rsidR="00D90BFF">
        <w:rPr>
          <w:rFonts w:ascii="Palatino Linotype" w:hAnsi="Palatino Linotype"/>
          <w:sz w:val="24"/>
          <w:szCs w:val="24"/>
        </w:rPr>
        <w:t xml:space="preserve"> MW solar </w:t>
      </w:r>
      <w:r w:rsidRPr="00743E64" w:rsidR="001A2E4C">
        <w:rPr>
          <w:rFonts w:ascii="Palatino Linotype" w:hAnsi="Palatino Linotype"/>
          <w:sz w:val="24"/>
          <w:szCs w:val="24"/>
        </w:rPr>
        <w:t xml:space="preserve">PV </w:t>
      </w:r>
      <w:r w:rsidRPr="00743E64" w:rsidR="00CA69BE">
        <w:rPr>
          <w:rFonts w:ascii="Palatino Linotype" w:hAnsi="Palatino Linotype"/>
          <w:sz w:val="24"/>
          <w:szCs w:val="24"/>
        </w:rPr>
        <w:t>and 225 MW</w:t>
      </w:r>
      <w:r w:rsidRPr="00743E64" w:rsidR="00D90BFF">
        <w:rPr>
          <w:rFonts w:ascii="Palatino Linotype" w:hAnsi="Palatino Linotype"/>
          <w:sz w:val="24"/>
          <w:szCs w:val="24"/>
        </w:rPr>
        <w:t xml:space="preserve"> </w:t>
      </w:r>
      <w:r w:rsidRPr="00743E64" w:rsidR="0051297B">
        <w:rPr>
          <w:rFonts w:ascii="Palatino Linotype" w:hAnsi="Palatino Linotype"/>
          <w:sz w:val="24"/>
          <w:szCs w:val="24"/>
        </w:rPr>
        <w:t xml:space="preserve">four-hour duration lithium-ion battery </w:t>
      </w:r>
      <w:r w:rsidRPr="00743E64" w:rsidR="0051297B">
        <w:rPr>
          <w:rFonts w:ascii="Palatino Linotype" w:hAnsi="Palatino Linotype"/>
          <w:sz w:val="24"/>
          <w:szCs w:val="24"/>
        </w:rPr>
        <w:lastRenderedPageBreak/>
        <w:t>storage facilities.</w:t>
      </w:r>
      <w:r w:rsidRPr="00743E64">
        <w:rPr>
          <w:rFonts w:ascii="Palatino Linotype" w:hAnsi="Palatino Linotype"/>
          <w:sz w:val="24"/>
          <w:szCs w:val="24"/>
          <w:vertAlign w:val="superscript"/>
        </w:rPr>
        <w:footnoteReference w:id="2"/>
      </w:r>
      <w:r w:rsidRPr="00743E64" w:rsidR="0051297B">
        <w:rPr>
          <w:rFonts w:ascii="Palatino Linotype" w:hAnsi="Palatino Linotype"/>
          <w:sz w:val="24"/>
          <w:szCs w:val="24"/>
        </w:rPr>
        <w:t xml:space="preserve"> </w:t>
      </w:r>
      <w:r w:rsidRPr="00743E64" w:rsidR="00F610D5">
        <w:rPr>
          <w:rFonts w:ascii="Palatino Linotype" w:hAnsi="Palatino Linotype"/>
          <w:sz w:val="24"/>
          <w:szCs w:val="24"/>
        </w:rPr>
        <w:t xml:space="preserve">The </w:t>
      </w:r>
      <w:r w:rsidRPr="00743E64" w:rsidR="005D3D7C">
        <w:rPr>
          <w:rFonts w:ascii="Palatino Linotype" w:hAnsi="Palatino Linotype"/>
          <w:sz w:val="24"/>
          <w:szCs w:val="24"/>
        </w:rPr>
        <w:t xml:space="preserve">Lockhart CL ESS IA and Lockhart CL ESS IIA (Lockhart) </w:t>
      </w:r>
      <w:r w:rsidRPr="00743E64" w:rsidR="00D85A5D">
        <w:rPr>
          <w:rFonts w:ascii="Palatino Linotype" w:hAnsi="Palatino Linotype"/>
          <w:sz w:val="24"/>
          <w:szCs w:val="24"/>
        </w:rPr>
        <w:t xml:space="preserve">contracts </w:t>
      </w:r>
      <w:r w:rsidRPr="00743E64" w:rsidR="005D3D7C">
        <w:rPr>
          <w:rFonts w:ascii="Palatino Linotype" w:hAnsi="Palatino Linotype"/>
          <w:sz w:val="24"/>
          <w:szCs w:val="24"/>
        </w:rPr>
        <w:t xml:space="preserve">are </w:t>
      </w:r>
      <w:r w:rsidRPr="00743E64" w:rsidR="001A2E4C">
        <w:rPr>
          <w:rFonts w:ascii="Palatino Linotype" w:hAnsi="Palatino Linotype"/>
          <w:sz w:val="24"/>
          <w:szCs w:val="24"/>
        </w:rPr>
        <w:t xml:space="preserve">being </w:t>
      </w:r>
      <w:r w:rsidRPr="00743E64" w:rsidR="002E5E44">
        <w:rPr>
          <w:rFonts w:ascii="Palatino Linotype" w:hAnsi="Palatino Linotype"/>
          <w:sz w:val="24"/>
          <w:szCs w:val="24"/>
        </w:rPr>
        <w:t>developed by Terra</w:t>
      </w:r>
      <w:r w:rsidRPr="00743E64" w:rsidR="007358AB">
        <w:rPr>
          <w:rFonts w:ascii="Palatino Linotype" w:hAnsi="Palatino Linotype"/>
          <w:sz w:val="24"/>
          <w:szCs w:val="24"/>
        </w:rPr>
        <w:t>-</w:t>
      </w:r>
      <w:r w:rsidRPr="00743E64" w:rsidR="002E5E44">
        <w:rPr>
          <w:rFonts w:ascii="Palatino Linotype" w:hAnsi="Palatino Linotype"/>
          <w:sz w:val="24"/>
          <w:szCs w:val="24"/>
        </w:rPr>
        <w:t xml:space="preserve">Gen, LLC, and are both </w:t>
      </w:r>
      <w:r w:rsidRPr="00743E64" w:rsidR="00F10306">
        <w:rPr>
          <w:rFonts w:ascii="Palatino Linotype" w:hAnsi="Palatino Linotype"/>
          <w:sz w:val="24"/>
          <w:szCs w:val="24"/>
        </w:rPr>
        <w:t xml:space="preserve">transmission-connected co-located </w:t>
      </w:r>
      <w:r w:rsidRPr="00743E64" w:rsidR="00A76FE1">
        <w:rPr>
          <w:rFonts w:ascii="Palatino Linotype" w:hAnsi="Palatino Linotype"/>
          <w:sz w:val="24"/>
          <w:szCs w:val="24"/>
        </w:rPr>
        <w:t xml:space="preserve">four-hour duration lithium-ion battery storage facility projects </w:t>
      </w:r>
      <w:r w:rsidRPr="00743E64" w:rsidR="001A2E4C">
        <w:rPr>
          <w:rFonts w:ascii="Palatino Linotype" w:hAnsi="Palatino Linotype"/>
          <w:sz w:val="24"/>
          <w:szCs w:val="24"/>
        </w:rPr>
        <w:t xml:space="preserve">providing </w:t>
      </w:r>
      <w:r w:rsidR="00743E64">
        <w:rPr>
          <w:rFonts w:ascii="Palatino Linotype" w:hAnsi="Palatino Linotype"/>
          <w:sz w:val="24"/>
          <w:szCs w:val="24"/>
        </w:rPr>
        <w:br/>
      </w:r>
      <w:r w:rsidRPr="00743E64" w:rsidR="00FD717B">
        <w:rPr>
          <w:rFonts w:ascii="Palatino Linotype" w:hAnsi="Palatino Linotype"/>
          <w:sz w:val="24"/>
          <w:szCs w:val="24"/>
        </w:rPr>
        <w:t xml:space="preserve">69 MW and 59.7 MW </w:t>
      </w:r>
      <w:r w:rsidRPr="00743E64" w:rsidR="001A2E4C">
        <w:rPr>
          <w:rFonts w:ascii="Palatino Linotype" w:hAnsi="Palatino Linotype"/>
          <w:sz w:val="24"/>
          <w:szCs w:val="24"/>
        </w:rPr>
        <w:t>of</w:t>
      </w:r>
      <w:r w:rsidRPr="00743E64" w:rsidR="00FD717B">
        <w:rPr>
          <w:rFonts w:ascii="Palatino Linotype" w:hAnsi="Palatino Linotype"/>
          <w:sz w:val="24"/>
          <w:szCs w:val="24"/>
        </w:rPr>
        <w:t xml:space="preserve"> nameplate capacity</w:t>
      </w:r>
      <w:r w:rsidRPr="00743E64" w:rsidR="0065329C">
        <w:rPr>
          <w:rFonts w:ascii="Palatino Linotype" w:hAnsi="Palatino Linotype"/>
          <w:sz w:val="24"/>
          <w:szCs w:val="24"/>
        </w:rPr>
        <w:t xml:space="preserve"> storage</w:t>
      </w:r>
      <w:r w:rsidRPr="00743E64" w:rsidR="00FD717B">
        <w:rPr>
          <w:rFonts w:ascii="Palatino Linotype" w:hAnsi="Palatino Linotype"/>
          <w:sz w:val="24"/>
          <w:szCs w:val="24"/>
        </w:rPr>
        <w:t>, respectively.</w:t>
      </w:r>
      <w:r w:rsidRPr="00743E64" w:rsidR="00816360">
        <w:rPr>
          <w:rFonts w:ascii="Palatino Linotype" w:hAnsi="Palatino Linotype"/>
          <w:sz w:val="24"/>
          <w:szCs w:val="24"/>
        </w:rPr>
        <w:t xml:space="preserve"> The Atlas and Lockhart </w:t>
      </w:r>
      <w:r w:rsidRPr="00743E64" w:rsidR="00E33339">
        <w:rPr>
          <w:rFonts w:ascii="Palatino Linotype" w:hAnsi="Palatino Linotype"/>
          <w:sz w:val="24"/>
          <w:szCs w:val="24"/>
        </w:rPr>
        <w:t>C</w:t>
      </w:r>
      <w:r w:rsidRPr="00743E64" w:rsidR="00816360">
        <w:rPr>
          <w:rFonts w:ascii="Palatino Linotype" w:hAnsi="Palatino Linotype"/>
          <w:sz w:val="24"/>
          <w:szCs w:val="24"/>
        </w:rPr>
        <w:t xml:space="preserve">ontracts </w:t>
      </w:r>
      <w:r w:rsidRPr="00743E64" w:rsidR="00A82CE1">
        <w:rPr>
          <w:rFonts w:ascii="Palatino Linotype" w:hAnsi="Palatino Linotype"/>
          <w:sz w:val="24"/>
          <w:szCs w:val="24"/>
        </w:rPr>
        <w:t xml:space="preserve">were </w:t>
      </w:r>
      <w:r w:rsidRPr="00743E64" w:rsidR="00816360">
        <w:rPr>
          <w:rFonts w:ascii="Palatino Linotype" w:hAnsi="Palatino Linotype"/>
          <w:sz w:val="24"/>
          <w:szCs w:val="24"/>
        </w:rPr>
        <w:t>procured to meet PG&amp;E’s R</w:t>
      </w:r>
      <w:r w:rsidRPr="00743E64" w:rsidR="00E36685">
        <w:rPr>
          <w:rFonts w:ascii="Palatino Linotype" w:hAnsi="Palatino Linotype"/>
          <w:sz w:val="24"/>
          <w:szCs w:val="24"/>
        </w:rPr>
        <w:t>enewables Portfolio Standard (RPS)</w:t>
      </w:r>
      <w:r w:rsidRPr="00743E64" w:rsidR="00816360">
        <w:rPr>
          <w:rFonts w:ascii="Palatino Linotype" w:hAnsi="Palatino Linotype"/>
          <w:sz w:val="24"/>
          <w:szCs w:val="24"/>
        </w:rPr>
        <w:t xml:space="preserve"> and </w:t>
      </w:r>
      <w:r w:rsidRPr="00743E64" w:rsidR="0026325E">
        <w:rPr>
          <w:rFonts w:ascii="Palatino Linotype" w:hAnsi="Palatino Linotype"/>
          <w:sz w:val="24"/>
          <w:szCs w:val="24"/>
        </w:rPr>
        <w:t>MTR</w:t>
      </w:r>
      <w:r w:rsidRPr="00743E64" w:rsidR="00E36685">
        <w:rPr>
          <w:rFonts w:ascii="Palatino Linotype" w:hAnsi="Palatino Linotype"/>
          <w:sz w:val="24"/>
          <w:szCs w:val="24"/>
        </w:rPr>
        <w:t xml:space="preserve"> </w:t>
      </w:r>
      <w:r w:rsidRPr="00743E64" w:rsidR="00816360">
        <w:rPr>
          <w:rFonts w:ascii="Palatino Linotype" w:hAnsi="Palatino Linotype"/>
          <w:sz w:val="24"/>
          <w:szCs w:val="24"/>
        </w:rPr>
        <w:t>compliance obligations.</w:t>
      </w:r>
    </w:p>
    <w:p w:rsidRPr="00743E64" w:rsidR="00D90BFF" w:rsidP="00D90BFF" w:rsidRDefault="00D90BFF" w14:paraId="59A11B4A" w14:textId="77777777">
      <w:pPr>
        <w:rPr>
          <w:rFonts w:ascii="Palatino Linotype" w:hAnsi="Palatino Linotype"/>
          <w:sz w:val="24"/>
          <w:szCs w:val="24"/>
        </w:rPr>
      </w:pPr>
    </w:p>
    <w:p w:rsidR="00743E64" w:rsidP="00D90BFF" w:rsidRDefault="00D90BFF" w14:paraId="2DFC8B7C" w14:textId="77777777">
      <w:pPr>
        <w:rPr>
          <w:rFonts w:ascii="Palatino Linotype" w:hAnsi="Palatino Linotype"/>
          <w:sz w:val="24"/>
          <w:szCs w:val="24"/>
        </w:rPr>
      </w:pPr>
      <w:r w:rsidRPr="00743E64">
        <w:rPr>
          <w:rFonts w:ascii="Palatino Linotype" w:hAnsi="Palatino Linotype"/>
          <w:sz w:val="24"/>
          <w:szCs w:val="24"/>
        </w:rPr>
        <w:t xml:space="preserve">In accordance with </w:t>
      </w:r>
      <w:r w:rsidRPr="00743E64" w:rsidR="00087D3A">
        <w:rPr>
          <w:rFonts w:ascii="Palatino Linotype" w:hAnsi="Palatino Linotype"/>
          <w:sz w:val="24"/>
          <w:szCs w:val="24"/>
        </w:rPr>
        <w:t>Decision (D.) 21-06-035</w:t>
      </w:r>
      <w:r w:rsidRPr="00743E64" w:rsidR="006E3359">
        <w:rPr>
          <w:rFonts w:ascii="Palatino Linotype" w:hAnsi="Palatino Linotype"/>
          <w:sz w:val="24"/>
          <w:szCs w:val="24"/>
        </w:rPr>
        <w:t xml:space="preserve"> and D.23-02-040</w:t>
      </w:r>
      <w:r w:rsidRPr="00743E64">
        <w:rPr>
          <w:rFonts w:ascii="Palatino Linotype" w:hAnsi="Palatino Linotype"/>
          <w:sz w:val="24"/>
          <w:szCs w:val="24"/>
        </w:rPr>
        <w:t xml:space="preserve">, </w:t>
      </w:r>
      <w:r w:rsidRPr="00743E64" w:rsidR="007276D8">
        <w:rPr>
          <w:rFonts w:ascii="Palatino Linotype" w:hAnsi="Palatino Linotype"/>
          <w:sz w:val="24"/>
          <w:szCs w:val="24"/>
        </w:rPr>
        <w:t>PG&amp;E</w:t>
      </w:r>
      <w:r w:rsidRPr="00743E64">
        <w:rPr>
          <w:rFonts w:ascii="Palatino Linotype" w:hAnsi="Palatino Linotype"/>
          <w:sz w:val="24"/>
          <w:szCs w:val="24"/>
        </w:rPr>
        <w:t xml:space="preserve"> proposes to allocate the costs associated with</w:t>
      </w:r>
      <w:r w:rsidRPr="00743E64" w:rsidR="00087D3A">
        <w:rPr>
          <w:rFonts w:ascii="Palatino Linotype" w:hAnsi="Palatino Linotype"/>
          <w:sz w:val="24"/>
          <w:szCs w:val="24"/>
        </w:rPr>
        <w:t xml:space="preserve"> </w:t>
      </w:r>
      <w:r w:rsidRPr="00743E64">
        <w:rPr>
          <w:rFonts w:ascii="Palatino Linotype" w:hAnsi="Palatino Linotype"/>
          <w:sz w:val="24"/>
          <w:szCs w:val="24"/>
        </w:rPr>
        <w:t xml:space="preserve">the </w:t>
      </w:r>
      <w:r w:rsidRPr="00743E64" w:rsidR="00E33339">
        <w:rPr>
          <w:rFonts w:ascii="Palatino Linotype" w:hAnsi="Palatino Linotype"/>
          <w:sz w:val="24"/>
          <w:szCs w:val="24"/>
        </w:rPr>
        <w:t>Atlas and Lockhart</w:t>
      </w:r>
      <w:r w:rsidRPr="00743E64">
        <w:rPr>
          <w:rFonts w:ascii="Palatino Linotype" w:hAnsi="Palatino Linotype"/>
          <w:sz w:val="24"/>
          <w:szCs w:val="24"/>
        </w:rPr>
        <w:t xml:space="preserve"> Contracts to applicable customers, which includes bundled service customers and departing load customers with 2021 </w:t>
      </w:r>
      <w:r w:rsidRPr="00743E64" w:rsidR="00F36578">
        <w:rPr>
          <w:rFonts w:ascii="Palatino Linotype" w:hAnsi="Palatino Linotype"/>
          <w:sz w:val="24"/>
          <w:szCs w:val="24"/>
        </w:rPr>
        <w:t xml:space="preserve">and 2023 </w:t>
      </w:r>
      <w:r w:rsidRPr="00743E64">
        <w:rPr>
          <w:rFonts w:ascii="Palatino Linotype" w:hAnsi="Palatino Linotype"/>
          <w:sz w:val="24"/>
          <w:szCs w:val="24"/>
        </w:rPr>
        <w:t>vintage cost responsibility, using the Portfolio Allocation Balancing Account (PABA)</w:t>
      </w:r>
      <w:r w:rsidRPr="00743E64" w:rsidR="00F760E9">
        <w:rPr>
          <w:rFonts w:ascii="Palatino Linotype" w:hAnsi="Palatino Linotype"/>
          <w:sz w:val="24"/>
          <w:szCs w:val="24"/>
        </w:rPr>
        <w:t xml:space="preserve">. </w:t>
      </w:r>
      <w:r w:rsidRPr="00743E64" w:rsidR="009D6252">
        <w:rPr>
          <w:rFonts w:ascii="Palatino Linotype" w:hAnsi="Palatino Linotype"/>
          <w:sz w:val="24"/>
          <w:szCs w:val="24"/>
        </w:rPr>
        <w:t xml:space="preserve">The </w:t>
      </w:r>
      <w:r w:rsidRPr="00743E64" w:rsidR="00DE0356">
        <w:rPr>
          <w:rFonts w:ascii="Palatino Linotype" w:hAnsi="Palatino Linotype"/>
          <w:sz w:val="24"/>
          <w:szCs w:val="24"/>
        </w:rPr>
        <w:t>costs associated with the</w:t>
      </w:r>
      <w:r w:rsidRPr="00743E64" w:rsidR="001C0DBD">
        <w:rPr>
          <w:rFonts w:ascii="Palatino Linotype" w:hAnsi="Palatino Linotype"/>
          <w:sz w:val="24"/>
          <w:szCs w:val="24"/>
        </w:rPr>
        <w:t>se</w:t>
      </w:r>
      <w:r w:rsidRPr="00743E64" w:rsidR="00DE0356">
        <w:rPr>
          <w:rFonts w:ascii="Palatino Linotype" w:hAnsi="Palatino Linotype"/>
          <w:sz w:val="24"/>
          <w:szCs w:val="24"/>
        </w:rPr>
        <w:t xml:space="preserve"> Agreements</w:t>
      </w:r>
      <w:r w:rsidRPr="00743E64" w:rsidR="001C0DBD">
        <w:rPr>
          <w:rFonts w:ascii="Palatino Linotype" w:hAnsi="Palatino Linotype"/>
          <w:sz w:val="24"/>
          <w:szCs w:val="24"/>
        </w:rPr>
        <w:t xml:space="preserve"> </w:t>
      </w:r>
      <w:r w:rsidRPr="00743E64" w:rsidR="00DE0356">
        <w:rPr>
          <w:rFonts w:ascii="Palatino Linotype" w:hAnsi="Palatino Linotype"/>
          <w:sz w:val="24"/>
          <w:szCs w:val="24"/>
        </w:rPr>
        <w:t xml:space="preserve">are </w:t>
      </w:r>
      <w:r w:rsidRPr="00743E64" w:rsidR="00CF1391">
        <w:rPr>
          <w:rFonts w:ascii="Palatino Linotype" w:hAnsi="Palatino Linotype"/>
          <w:sz w:val="24"/>
          <w:szCs w:val="24"/>
        </w:rPr>
        <w:t>P</w:t>
      </w:r>
      <w:r w:rsidRPr="00743E64" w:rsidR="00DE0356">
        <w:rPr>
          <w:rFonts w:ascii="Palatino Linotype" w:hAnsi="Palatino Linotype"/>
          <w:sz w:val="24"/>
          <w:szCs w:val="24"/>
        </w:rPr>
        <w:t xml:space="preserve">ower </w:t>
      </w:r>
      <w:r w:rsidRPr="00743E64" w:rsidR="00CF1391">
        <w:rPr>
          <w:rFonts w:ascii="Palatino Linotype" w:hAnsi="Palatino Linotype"/>
          <w:sz w:val="24"/>
          <w:szCs w:val="24"/>
        </w:rPr>
        <w:t>C</w:t>
      </w:r>
      <w:r w:rsidRPr="00743E64" w:rsidR="00DE0356">
        <w:rPr>
          <w:rFonts w:ascii="Palatino Linotype" w:hAnsi="Palatino Linotype"/>
          <w:sz w:val="24"/>
          <w:szCs w:val="24"/>
        </w:rPr>
        <w:t xml:space="preserve">harge </w:t>
      </w:r>
      <w:r w:rsidRPr="00743E64" w:rsidR="00CF1391">
        <w:rPr>
          <w:rFonts w:ascii="Palatino Linotype" w:hAnsi="Palatino Linotype"/>
          <w:sz w:val="24"/>
          <w:szCs w:val="24"/>
        </w:rPr>
        <w:t>I</w:t>
      </w:r>
      <w:r w:rsidRPr="00743E64" w:rsidR="00DE0356">
        <w:rPr>
          <w:rFonts w:ascii="Palatino Linotype" w:hAnsi="Palatino Linotype"/>
          <w:sz w:val="24"/>
          <w:szCs w:val="24"/>
        </w:rPr>
        <w:t xml:space="preserve">ndifference </w:t>
      </w:r>
      <w:r w:rsidRPr="00743E64" w:rsidR="00CF1391">
        <w:rPr>
          <w:rFonts w:ascii="Palatino Linotype" w:hAnsi="Palatino Linotype"/>
          <w:sz w:val="24"/>
          <w:szCs w:val="24"/>
        </w:rPr>
        <w:t>A</w:t>
      </w:r>
      <w:r w:rsidRPr="00743E64" w:rsidR="00DE0356">
        <w:rPr>
          <w:rFonts w:ascii="Palatino Linotype" w:hAnsi="Palatino Linotype"/>
          <w:sz w:val="24"/>
          <w:szCs w:val="24"/>
        </w:rPr>
        <w:t xml:space="preserve">djustment (PCIA)-eligible with an assigned vintage of 2021 for purposes of </w:t>
      </w:r>
    </w:p>
    <w:p w:rsidRPr="00743E64" w:rsidR="00D90BFF" w:rsidP="00D90BFF" w:rsidRDefault="00DE0356" w14:paraId="794C06D2" w14:textId="52BCBF1D">
      <w:pPr>
        <w:rPr>
          <w:rFonts w:ascii="Palatino Linotype" w:hAnsi="Palatino Linotype"/>
          <w:sz w:val="24"/>
          <w:szCs w:val="24"/>
        </w:rPr>
      </w:pPr>
      <w:r w:rsidRPr="00743E64">
        <w:rPr>
          <w:rFonts w:ascii="Palatino Linotype" w:hAnsi="Palatino Linotype"/>
          <w:sz w:val="24"/>
          <w:szCs w:val="24"/>
        </w:rPr>
        <w:t>D.21-06-035 procurement requirements and vintage of 2023 for purposes of D.23-02-040 procurement requirements for the duration of their term</w:t>
      </w:r>
      <w:r w:rsidRPr="00743E64" w:rsidR="00E71F50">
        <w:rPr>
          <w:rFonts w:ascii="Palatino Linotype" w:hAnsi="Palatino Linotype"/>
          <w:sz w:val="24"/>
          <w:szCs w:val="24"/>
        </w:rPr>
        <w:t>. Therefore</w:t>
      </w:r>
      <w:r w:rsidRPr="00743E64" w:rsidR="00C53C27">
        <w:rPr>
          <w:rFonts w:ascii="Palatino Linotype" w:hAnsi="Palatino Linotype"/>
          <w:sz w:val="24"/>
          <w:szCs w:val="24"/>
        </w:rPr>
        <w:t>,</w:t>
      </w:r>
      <w:r w:rsidRPr="00743E64" w:rsidR="005C45A0">
        <w:rPr>
          <w:rFonts w:ascii="Palatino Linotype" w:hAnsi="Palatino Linotype"/>
          <w:sz w:val="24"/>
          <w:szCs w:val="24"/>
        </w:rPr>
        <w:t xml:space="preserve"> </w:t>
      </w:r>
      <w:r w:rsidRPr="00743E64" w:rsidR="00D90BFF">
        <w:rPr>
          <w:rFonts w:ascii="Palatino Linotype" w:hAnsi="Palatino Linotype"/>
          <w:sz w:val="24"/>
          <w:szCs w:val="24"/>
        </w:rPr>
        <w:t xml:space="preserve">costs associated with procurement complying with </w:t>
      </w:r>
      <w:r w:rsidRPr="00743E64" w:rsidR="005C45A0">
        <w:rPr>
          <w:rFonts w:ascii="Palatino Linotype" w:hAnsi="Palatino Linotype"/>
          <w:sz w:val="24"/>
          <w:szCs w:val="24"/>
        </w:rPr>
        <w:t>the</w:t>
      </w:r>
      <w:r w:rsidRPr="00743E64" w:rsidR="001A2E4C">
        <w:rPr>
          <w:rFonts w:ascii="Palatino Linotype" w:hAnsi="Palatino Linotype"/>
          <w:sz w:val="24"/>
          <w:szCs w:val="24"/>
        </w:rPr>
        <w:t>se</w:t>
      </w:r>
      <w:r w:rsidRPr="00743E64" w:rsidR="005C45A0">
        <w:rPr>
          <w:rFonts w:ascii="Palatino Linotype" w:hAnsi="Palatino Linotype"/>
          <w:sz w:val="24"/>
          <w:szCs w:val="24"/>
        </w:rPr>
        <w:t xml:space="preserve"> Decision</w:t>
      </w:r>
      <w:r w:rsidRPr="00743E64" w:rsidR="001A2E4C">
        <w:rPr>
          <w:rFonts w:ascii="Palatino Linotype" w:hAnsi="Palatino Linotype"/>
          <w:sz w:val="24"/>
          <w:szCs w:val="24"/>
        </w:rPr>
        <w:t>s</w:t>
      </w:r>
      <w:r w:rsidRPr="00743E64" w:rsidR="005C45A0">
        <w:rPr>
          <w:rFonts w:ascii="Palatino Linotype" w:hAnsi="Palatino Linotype"/>
          <w:sz w:val="24"/>
          <w:szCs w:val="24"/>
        </w:rPr>
        <w:t xml:space="preserve"> </w:t>
      </w:r>
      <w:r w:rsidRPr="00743E64" w:rsidR="00D90BFF">
        <w:rPr>
          <w:rFonts w:ascii="Palatino Linotype" w:hAnsi="Palatino Linotype"/>
          <w:sz w:val="24"/>
          <w:szCs w:val="24"/>
        </w:rPr>
        <w:t xml:space="preserve">will be recovered from applicable customers through the 2021 </w:t>
      </w:r>
      <w:r w:rsidRPr="00743E64" w:rsidR="001A2E4C">
        <w:rPr>
          <w:rFonts w:ascii="Palatino Linotype" w:hAnsi="Palatino Linotype"/>
          <w:sz w:val="24"/>
          <w:szCs w:val="24"/>
        </w:rPr>
        <w:t xml:space="preserve">and 2023 </w:t>
      </w:r>
      <w:r w:rsidRPr="00743E64" w:rsidR="00D90BFF">
        <w:rPr>
          <w:rFonts w:ascii="Palatino Linotype" w:hAnsi="Palatino Linotype"/>
          <w:sz w:val="24"/>
          <w:szCs w:val="24"/>
        </w:rPr>
        <w:t xml:space="preserve">vintage sub-account of the PABA </w:t>
      </w:r>
      <w:r w:rsidRPr="00743E64" w:rsidR="00DE3B05">
        <w:rPr>
          <w:rFonts w:ascii="Palatino Linotype" w:hAnsi="Palatino Linotype"/>
          <w:sz w:val="24"/>
          <w:szCs w:val="24"/>
        </w:rPr>
        <w:t>and shall</w:t>
      </w:r>
      <w:r w:rsidRPr="00743E64" w:rsidR="008200E1">
        <w:rPr>
          <w:rFonts w:ascii="Palatino Linotype" w:hAnsi="Palatino Linotype"/>
          <w:sz w:val="24"/>
          <w:szCs w:val="24"/>
        </w:rPr>
        <w:t xml:space="preserve"> be net of any CAISO charges and market </w:t>
      </w:r>
      <w:r w:rsidRPr="00743E64" w:rsidR="00DE3B05">
        <w:rPr>
          <w:rFonts w:ascii="Palatino Linotype" w:hAnsi="Palatino Linotype"/>
          <w:sz w:val="24"/>
          <w:szCs w:val="24"/>
        </w:rPr>
        <w:t>revenues</w:t>
      </w:r>
      <w:r w:rsidRPr="00743E64" w:rsidR="008200E1">
        <w:rPr>
          <w:rFonts w:ascii="Palatino Linotype" w:hAnsi="Palatino Linotype"/>
          <w:sz w:val="24"/>
          <w:szCs w:val="24"/>
        </w:rPr>
        <w:t xml:space="preserve">, and net of any </w:t>
      </w:r>
      <w:r w:rsidRPr="00743E64" w:rsidR="001A2E4C">
        <w:rPr>
          <w:rFonts w:ascii="Palatino Linotype" w:hAnsi="Palatino Linotype"/>
          <w:sz w:val="24"/>
          <w:szCs w:val="24"/>
        </w:rPr>
        <w:t xml:space="preserve">retained </w:t>
      </w:r>
      <w:r w:rsidRPr="00743E64" w:rsidR="0074353A">
        <w:rPr>
          <w:rFonts w:ascii="Palatino Linotype" w:hAnsi="Palatino Linotype"/>
          <w:sz w:val="24"/>
          <w:szCs w:val="24"/>
        </w:rPr>
        <w:t xml:space="preserve">Resource Adequacy (RA) </w:t>
      </w:r>
      <w:r w:rsidRPr="00743E64" w:rsidR="00DE3B05">
        <w:rPr>
          <w:rFonts w:ascii="Palatino Linotype" w:hAnsi="Palatino Linotype"/>
          <w:sz w:val="24"/>
          <w:szCs w:val="24"/>
        </w:rPr>
        <w:t>capacity value for bundled service customers</w:t>
      </w:r>
      <w:r w:rsidRPr="00743E64" w:rsidR="00D90BFF">
        <w:rPr>
          <w:rFonts w:ascii="Palatino Linotype" w:hAnsi="Palatino Linotype"/>
          <w:sz w:val="24"/>
          <w:szCs w:val="24"/>
        </w:rPr>
        <w:t>.</w:t>
      </w:r>
    </w:p>
    <w:p w:rsidRPr="00743E64" w:rsidR="00D90BFF" w:rsidP="00D86528" w:rsidRDefault="00D90BFF" w14:paraId="5F7956AD" w14:textId="77777777">
      <w:pPr>
        <w:rPr>
          <w:rFonts w:ascii="Palatino Linotype" w:hAnsi="Palatino Linotype"/>
          <w:b/>
          <w:sz w:val="24"/>
          <w:szCs w:val="24"/>
        </w:rPr>
      </w:pPr>
    </w:p>
    <w:p w:rsidRPr="00743E64" w:rsidR="00D86528" w:rsidP="00D86528" w:rsidRDefault="00D86528" w14:paraId="370992D4" w14:textId="77777777">
      <w:pPr>
        <w:pStyle w:val="Heading1"/>
        <w:rPr>
          <w:rFonts w:ascii="Palatino Linotype" w:hAnsi="Palatino Linotype"/>
          <w:sz w:val="24"/>
          <w:szCs w:val="24"/>
        </w:rPr>
      </w:pPr>
      <w:r w:rsidRPr="00743E64">
        <w:rPr>
          <w:rFonts w:ascii="Palatino Linotype" w:hAnsi="Palatino Linotype"/>
          <w:sz w:val="24"/>
          <w:szCs w:val="24"/>
        </w:rPr>
        <w:t>Background</w:t>
      </w:r>
    </w:p>
    <w:p w:rsidRPr="00743E64" w:rsidR="00992F4A" w:rsidP="00975B7B" w:rsidRDefault="00B21041" w14:paraId="357507A0" w14:textId="740B1EC3">
      <w:pPr>
        <w:rPr>
          <w:rFonts w:ascii="Palatino Linotype" w:hAnsi="Palatino Linotype"/>
          <w:b/>
          <w:bCs/>
          <w:sz w:val="24"/>
          <w:szCs w:val="24"/>
        </w:rPr>
      </w:pPr>
      <w:r w:rsidRPr="00743E64">
        <w:rPr>
          <w:rFonts w:ascii="Palatino Linotype" w:hAnsi="Palatino Linotype"/>
          <w:b/>
          <w:bCs/>
          <w:sz w:val="24"/>
          <w:szCs w:val="24"/>
        </w:rPr>
        <w:t>Overview o</w:t>
      </w:r>
      <w:r w:rsidRPr="00743E64" w:rsidR="007E5B97">
        <w:rPr>
          <w:rFonts w:ascii="Palatino Linotype" w:hAnsi="Palatino Linotype"/>
          <w:b/>
          <w:bCs/>
          <w:sz w:val="24"/>
          <w:szCs w:val="24"/>
        </w:rPr>
        <w:t>f</w:t>
      </w:r>
      <w:r w:rsidRPr="00743E64">
        <w:rPr>
          <w:rFonts w:ascii="Palatino Linotype" w:hAnsi="Palatino Linotype"/>
          <w:b/>
          <w:bCs/>
          <w:sz w:val="24"/>
          <w:szCs w:val="24"/>
        </w:rPr>
        <w:t xml:space="preserve"> </w:t>
      </w:r>
      <w:r w:rsidRPr="00743E64" w:rsidR="00992F4A">
        <w:rPr>
          <w:rFonts w:ascii="Palatino Linotype" w:hAnsi="Palatino Linotype"/>
          <w:b/>
          <w:bCs/>
          <w:sz w:val="24"/>
          <w:szCs w:val="24"/>
        </w:rPr>
        <w:t xml:space="preserve">Integrated Resource Planning </w:t>
      </w:r>
      <w:r w:rsidRPr="00743E64" w:rsidR="00D06438">
        <w:rPr>
          <w:rFonts w:ascii="Palatino Linotype" w:hAnsi="Palatino Linotype"/>
          <w:b/>
          <w:bCs/>
          <w:sz w:val="24"/>
          <w:szCs w:val="24"/>
        </w:rPr>
        <w:t xml:space="preserve">(IRP) </w:t>
      </w:r>
      <w:r w:rsidRPr="00743E64" w:rsidR="00992F4A">
        <w:rPr>
          <w:rFonts w:ascii="Palatino Linotype" w:hAnsi="Palatino Linotype"/>
          <w:b/>
          <w:bCs/>
          <w:sz w:val="24"/>
          <w:szCs w:val="24"/>
        </w:rPr>
        <w:t>/ Mid-Term Reliability</w:t>
      </w:r>
      <w:r w:rsidRPr="00743E64">
        <w:rPr>
          <w:rFonts w:ascii="Palatino Linotype" w:hAnsi="Palatino Linotype"/>
          <w:b/>
          <w:bCs/>
          <w:sz w:val="24"/>
          <w:szCs w:val="24"/>
        </w:rPr>
        <w:t xml:space="preserve"> Requirements</w:t>
      </w:r>
    </w:p>
    <w:p w:rsidRPr="00743E64" w:rsidR="00D86528" w:rsidP="6E89BDD7" w:rsidRDefault="531A222D" w14:paraId="2E0E0CD0" w14:textId="4B378AB6">
      <w:pPr>
        <w:rPr>
          <w:rFonts w:ascii="Palatino Linotype" w:hAnsi="Palatino Linotype"/>
          <w:sz w:val="24"/>
          <w:szCs w:val="24"/>
        </w:rPr>
      </w:pPr>
      <w:r w:rsidRPr="00743E64">
        <w:rPr>
          <w:rFonts w:ascii="Palatino Linotype" w:hAnsi="Palatino Linotype"/>
          <w:sz w:val="24"/>
          <w:szCs w:val="24"/>
        </w:rPr>
        <w:t xml:space="preserve">The IRP proceeding (R.20-05-003) is an “umbrella” planning proceeding to consider </w:t>
      </w:r>
      <w:proofErr w:type="gramStart"/>
      <w:r w:rsidRPr="00743E64">
        <w:rPr>
          <w:rFonts w:ascii="Palatino Linotype" w:hAnsi="Palatino Linotype"/>
          <w:sz w:val="24"/>
          <w:szCs w:val="24"/>
        </w:rPr>
        <w:t>all of</w:t>
      </w:r>
      <w:proofErr w:type="gramEnd"/>
      <w:r w:rsidRPr="00743E64">
        <w:rPr>
          <w:rFonts w:ascii="Palatino Linotype" w:hAnsi="Palatino Linotype"/>
          <w:sz w:val="24"/>
          <w:szCs w:val="24"/>
        </w:rPr>
        <w:t xml:space="preserve"> the Commission’s electric procurement policies and programs and ensure California has a safe, reliable, and cost-effective electricity supply. The IRP proceeding is also the Commission’s primary venue for implementation of the Senate Bill (SB) 350 requirements related to</w:t>
      </w:r>
      <w:r w:rsidRPr="00743E64" w:rsidR="797869C7">
        <w:rPr>
          <w:rFonts w:ascii="Palatino Linotype" w:hAnsi="Palatino Linotype"/>
          <w:sz w:val="24"/>
          <w:szCs w:val="24"/>
        </w:rPr>
        <w:t xml:space="preserve"> </w:t>
      </w:r>
      <w:r w:rsidRPr="00743E64">
        <w:rPr>
          <w:rFonts w:ascii="Palatino Linotype" w:hAnsi="Palatino Linotype"/>
          <w:sz w:val="24"/>
          <w:szCs w:val="24"/>
        </w:rPr>
        <w:t xml:space="preserve">IRP (Public Utilities Code Sections 454.51 and 454.52). It combines </w:t>
      </w:r>
      <w:proofErr w:type="gramStart"/>
      <w:r w:rsidRPr="00743E64">
        <w:rPr>
          <w:rFonts w:ascii="Palatino Linotype" w:hAnsi="Palatino Linotype"/>
          <w:sz w:val="24"/>
          <w:szCs w:val="24"/>
        </w:rPr>
        <w:t>a system</w:t>
      </w:r>
      <w:proofErr w:type="gramEnd"/>
      <w:r w:rsidRPr="00743E64">
        <w:rPr>
          <w:rFonts w:ascii="Palatino Linotype" w:hAnsi="Palatino Linotype"/>
          <w:sz w:val="24"/>
          <w:szCs w:val="24"/>
        </w:rPr>
        <w:t xml:space="preserve"> needs determination with a cost minimization modeling process for integrated resource planning that will ensure that load-serving entities (LSEs) meet system needs and GHG targets that allow the electricity sector to contribute to California’s economy-wide greenhouse gas emissions reduction goals.  </w:t>
      </w:r>
    </w:p>
    <w:p w:rsidRPr="00743E64" w:rsidR="00D86528" w:rsidP="6E89BDD7" w:rsidRDefault="00D86528" w14:paraId="53F4A416" w14:textId="047EE524">
      <w:pPr>
        <w:rPr>
          <w:rFonts w:ascii="Palatino Linotype" w:hAnsi="Palatino Linotype"/>
          <w:sz w:val="24"/>
          <w:szCs w:val="24"/>
        </w:rPr>
      </w:pPr>
    </w:p>
    <w:p w:rsidRPr="00743E64" w:rsidR="00D86528" w:rsidP="10D2E2E4" w:rsidRDefault="1968784D" w14:paraId="4FC883DC" w14:textId="4C7FE69E">
      <w:pPr>
        <w:rPr>
          <w:rFonts w:ascii="Palatino Linotype" w:hAnsi="Palatino Linotype"/>
          <w:sz w:val="24"/>
          <w:szCs w:val="24"/>
        </w:rPr>
      </w:pPr>
      <w:r w:rsidRPr="00743E64">
        <w:rPr>
          <w:rFonts w:ascii="Palatino Linotype" w:hAnsi="Palatino Linotype"/>
          <w:sz w:val="24"/>
          <w:szCs w:val="24"/>
        </w:rPr>
        <w:lastRenderedPageBreak/>
        <w:t xml:space="preserve">Within the IRP proceeding, </w:t>
      </w:r>
      <w:r w:rsidRPr="00743E64" w:rsidR="00D719BA">
        <w:rPr>
          <w:rFonts w:ascii="Palatino Linotype" w:hAnsi="Palatino Linotype"/>
          <w:sz w:val="24"/>
          <w:szCs w:val="24"/>
        </w:rPr>
        <w:t xml:space="preserve">Decision (D.) 21-06-035 </w:t>
      </w:r>
      <w:r w:rsidRPr="00743E64" w:rsidR="001323C7">
        <w:rPr>
          <w:rFonts w:ascii="Palatino Linotype" w:hAnsi="Palatino Linotype"/>
          <w:sz w:val="24"/>
          <w:szCs w:val="24"/>
        </w:rPr>
        <w:t xml:space="preserve">requires </w:t>
      </w:r>
      <w:r w:rsidRPr="00743E64" w:rsidR="00D719BA">
        <w:rPr>
          <w:rFonts w:ascii="Palatino Linotype" w:hAnsi="Palatino Linotype"/>
          <w:sz w:val="24"/>
          <w:szCs w:val="24"/>
        </w:rPr>
        <w:t>load serving entities (LSEs) to procure at least their share of 11,500 MW of September net qualifying capacity (NQC)</w:t>
      </w:r>
      <w:r w:rsidRPr="00743E64" w:rsidR="001A2E4C">
        <w:rPr>
          <w:rStyle w:val="FootnoteReference"/>
          <w:rFonts w:ascii="Palatino Linotype" w:hAnsi="Palatino Linotype"/>
          <w:sz w:val="24"/>
          <w:szCs w:val="24"/>
        </w:rPr>
        <w:footnoteReference w:id="3"/>
      </w:r>
      <w:r w:rsidRPr="00743E64" w:rsidR="00D719BA">
        <w:rPr>
          <w:rFonts w:ascii="Palatino Linotype" w:hAnsi="Palatino Linotype"/>
          <w:sz w:val="24"/>
          <w:szCs w:val="24"/>
        </w:rPr>
        <w:t xml:space="preserve">, with at least 2,000 MW online by August 1, 2023; an additional 6,000 MW online by June 1, 2024; an additional 1,500 MW online by June 1, 2025; and an additional 2,000 MW of long lead time resources online by June 1, 2026, for </w:t>
      </w:r>
      <w:r w:rsidRPr="00743E64" w:rsidR="00E47279">
        <w:rPr>
          <w:rFonts w:ascii="Palatino Linotype" w:hAnsi="Palatino Linotype"/>
          <w:sz w:val="24"/>
          <w:szCs w:val="24"/>
        </w:rPr>
        <w:t>MTR</w:t>
      </w:r>
      <w:r w:rsidRPr="00743E64" w:rsidR="00D719BA">
        <w:rPr>
          <w:rFonts w:ascii="Palatino Linotype" w:hAnsi="Palatino Linotype"/>
          <w:sz w:val="24"/>
          <w:szCs w:val="24"/>
        </w:rPr>
        <w:t xml:space="preserve"> purposes. </w:t>
      </w:r>
      <w:r w:rsidR="00743E64">
        <w:rPr>
          <w:rFonts w:ascii="Palatino Linotype" w:hAnsi="Palatino Linotype"/>
          <w:sz w:val="24"/>
          <w:szCs w:val="24"/>
        </w:rPr>
        <w:br/>
      </w:r>
      <w:r w:rsidRPr="00743E64" w:rsidR="00F1286A">
        <w:rPr>
          <w:rFonts w:ascii="Palatino Linotype" w:hAnsi="Palatino Linotype"/>
          <w:sz w:val="24"/>
          <w:szCs w:val="24"/>
        </w:rPr>
        <w:t>D.21-06-035 also requires that o</w:t>
      </w:r>
      <w:r w:rsidRPr="00743E64" w:rsidR="0084390F">
        <w:rPr>
          <w:rFonts w:ascii="Palatino Linotype" w:hAnsi="Palatino Linotype"/>
          <w:sz w:val="24"/>
          <w:szCs w:val="24"/>
        </w:rPr>
        <w:t xml:space="preserve">f the 11,500 MW NQC required, </w:t>
      </w:r>
      <w:r w:rsidRPr="00743E64" w:rsidR="00975B7B">
        <w:rPr>
          <w:rFonts w:ascii="Palatino Linotype" w:hAnsi="Palatino Linotype"/>
          <w:sz w:val="24"/>
          <w:szCs w:val="24"/>
        </w:rPr>
        <w:t xml:space="preserve">at least 2,500 MW </w:t>
      </w:r>
      <w:r w:rsidRPr="00743E64" w:rsidR="0010106D">
        <w:rPr>
          <w:rFonts w:ascii="Palatino Linotype" w:hAnsi="Palatino Linotype"/>
          <w:sz w:val="24"/>
          <w:szCs w:val="24"/>
        </w:rPr>
        <w:t xml:space="preserve">must be </w:t>
      </w:r>
      <w:r w:rsidRPr="00743E64" w:rsidR="00975B7B">
        <w:rPr>
          <w:rFonts w:ascii="Palatino Linotype" w:hAnsi="Palatino Linotype"/>
          <w:sz w:val="24"/>
          <w:szCs w:val="24"/>
        </w:rPr>
        <w:t xml:space="preserve">from </w:t>
      </w:r>
      <w:r w:rsidRPr="00743E64" w:rsidR="00AE30D0">
        <w:rPr>
          <w:rFonts w:ascii="Palatino Linotype" w:hAnsi="Palatino Linotype"/>
          <w:sz w:val="24"/>
          <w:szCs w:val="24"/>
        </w:rPr>
        <w:t>firm zero-emitting</w:t>
      </w:r>
      <w:r w:rsidRPr="00743E64" w:rsidR="008D142E">
        <w:rPr>
          <w:rFonts w:ascii="Palatino Linotype" w:hAnsi="Palatino Linotype"/>
          <w:sz w:val="24"/>
          <w:szCs w:val="24"/>
        </w:rPr>
        <w:t xml:space="preserve"> </w:t>
      </w:r>
      <w:r w:rsidRPr="00743E64" w:rsidR="00975B7B">
        <w:rPr>
          <w:rFonts w:ascii="Palatino Linotype" w:hAnsi="Palatino Linotype"/>
          <w:sz w:val="24"/>
          <w:szCs w:val="24"/>
        </w:rPr>
        <w:t>generation paired with storage, or demand response resources by 2025</w:t>
      </w:r>
      <w:r w:rsidRPr="00743E64" w:rsidR="00B62BC1">
        <w:rPr>
          <w:rFonts w:ascii="Palatino Linotype" w:hAnsi="Palatino Linotype"/>
          <w:sz w:val="24"/>
          <w:szCs w:val="24"/>
        </w:rPr>
        <w:t xml:space="preserve"> to replace Diablo Canyon </w:t>
      </w:r>
      <w:proofErr w:type="gramStart"/>
      <w:r w:rsidRPr="00743E64" w:rsidR="00B62BC1">
        <w:rPr>
          <w:rFonts w:ascii="Palatino Linotype" w:hAnsi="Palatino Linotype"/>
          <w:sz w:val="24"/>
          <w:szCs w:val="24"/>
        </w:rPr>
        <w:t>Nuclear Power</w:t>
      </w:r>
      <w:proofErr w:type="gramEnd"/>
      <w:r w:rsidRPr="00743E64" w:rsidR="00B62BC1">
        <w:rPr>
          <w:rFonts w:ascii="Palatino Linotype" w:hAnsi="Palatino Linotype"/>
          <w:sz w:val="24"/>
          <w:szCs w:val="24"/>
        </w:rPr>
        <w:t xml:space="preserve"> Plant</w:t>
      </w:r>
      <w:r w:rsidRPr="00743E64" w:rsidR="00EF6716">
        <w:rPr>
          <w:rFonts w:ascii="Palatino Linotype" w:hAnsi="Palatino Linotype"/>
          <w:sz w:val="24"/>
          <w:szCs w:val="24"/>
        </w:rPr>
        <w:t xml:space="preserve"> (Diablo Canyon Replacement </w:t>
      </w:r>
      <w:r w:rsidRPr="00743E64" w:rsidR="001241B5">
        <w:rPr>
          <w:rFonts w:ascii="Palatino Linotype" w:hAnsi="Palatino Linotype"/>
          <w:sz w:val="24"/>
          <w:szCs w:val="24"/>
        </w:rPr>
        <w:t>[</w:t>
      </w:r>
      <w:r w:rsidRPr="00743E64" w:rsidR="00EF6716">
        <w:rPr>
          <w:rFonts w:ascii="Palatino Linotype" w:hAnsi="Palatino Linotype"/>
          <w:sz w:val="24"/>
          <w:szCs w:val="24"/>
        </w:rPr>
        <w:t>DCR</w:t>
      </w:r>
      <w:r w:rsidRPr="00743E64" w:rsidR="001241B5">
        <w:rPr>
          <w:rFonts w:ascii="Palatino Linotype" w:hAnsi="Palatino Linotype"/>
          <w:sz w:val="24"/>
          <w:szCs w:val="24"/>
        </w:rPr>
        <w:t>]</w:t>
      </w:r>
      <w:r w:rsidRPr="00743E64" w:rsidR="00EF6716">
        <w:rPr>
          <w:rFonts w:ascii="Palatino Linotype" w:hAnsi="Palatino Linotype"/>
          <w:sz w:val="24"/>
          <w:szCs w:val="24"/>
        </w:rPr>
        <w:t xml:space="preserve"> procurement)</w:t>
      </w:r>
      <w:r w:rsidRPr="00743E64" w:rsidR="00975B7B">
        <w:rPr>
          <w:rFonts w:ascii="Palatino Linotype" w:hAnsi="Palatino Linotype"/>
          <w:sz w:val="24"/>
          <w:szCs w:val="24"/>
        </w:rPr>
        <w:t>.</w:t>
      </w:r>
    </w:p>
    <w:p w:rsidRPr="00743E64" w:rsidR="00D719BA" w:rsidP="00D86528" w:rsidRDefault="00D719BA" w14:paraId="2318D507" w14:textId="77777777">
      <w:pPr>
        <w:rPr>
          <w:rFonts w:ascii="Palatino Linotype" w:hAnsi="Palatino Linotype"/>
          <w:sz w:val="24"/>
          <w:szCs w:val="24"/>
        </w:rPr>
      </w:pPr>
    </w:p>
    <w:p w:rsidRPr="00743E64" w:rsidR="00B21041" w:rsidP="00B21041" w:rsidRDefault="00B21041" w14:paraId="12F17A9A" w14:textId="74681B4A">
      <w:pPr>
        <w:rPr>
          <w:rFonts w:ascii="Palatino Linotype" w:hAnsi="Palatino Linotype"/>
          <w:sz w:val="24"/>
          <w:szCs w:val="24"/>
        </w:rPr>
      </w:pPr>
      <w:r w:rsidRPr="00743E64">
        <w:rPr>
          <w:rFonts w:ascii="Palatino Linotype" w:hAnsi="Palatino Linotype"/>
          <w:sz w:val="24"/>
          <w:szCs w:val="24"/>
        </w:rPr>
        <w:t>D.23-02-040</w:t>
      </w:r>
      <w:r w:rsidRPr="00743E64" w:rsidR="001323C7">
        <w:rPr>
          <w:rFonts w:ascii="Palatino Linotype" w:hAnsi="Palatino Linotype"/>
          <w:sz w:val="24"/>
          <w:szCs w:val="24"/>
        </w:rPr>
        <w:t>, adopted</w:t>
      </w:r>
      <w:r w:rsidRPr="00743E64">
        <w:rPr>
          <w:rFonts w:ascii="Palatino Linotype" w:hAnsi="Palatino Linotype"/>
          <w:sz w:val="24"/>
          <w:szCs w:val="24"/>
        </w:rPr>
        <w:t xml:space="preserve"> on February 28, 2023</w:t>
      </w:r>
      <w:r w:rsidRPr="00743E64" w:rsidR="001A2E4C">
        <w:rPr>
          <w:rFonts w:ascii="Palatino Linotype" w:hAnsi="Palatino Linotype"/>
          <w:sz w:val="24"/>
          <w:szCs w:val="24"/>
        </w:rPr>
        <w:t>,</w:t>
      </w:r>
      <w:r w:rsidRPr="00743E64">
        <w:rPr>
          <w:rFonts w:ascii="Palatino Linotype" w:hAnsi="Palatino Linotype"/>
          <w:sz w:val="24"/>
          <w:szCs w:val="24"/>
        </w:rPr>
        <w:t xml:space="preserve"> </w:t>
      </w:r>
      <w:r w:rsidRPr="00743E64" w:rsidR="001323C7">
        <w:rPr>
          <w:rFonts w:ascii="Palatino Linotype" w:hAnsi="Palatino Linotype"/>
          <w:sz w:val="24"/>
          <w:szCs w:val="24"/>
        </w:rPr>
        <w:t>orders</w:t>
      </w:r>
      <w:r w:rsidRPr="00743E64">
        <w:rPr>
          <w:rFonts w:ascii="Palatino Linotype" w:hAnsi="Palatino Linotype"/>
          <w:sz w:val="24"/>
          <w:szCs w:val="24"/>
        </w:rPr>
        <w:t xml:space="preserve"> supplemental MTR procurement of 2,000 MW </w:t>
      </w:r>
      <w:r w:rsidRPr="00743E64" w:rsidR="000E7201">
        <w:rPr>
          <w:rFonts w:ascii="Palatino Linotype" w:hAnsi="Palatino Linotype"/>
          <w:sz w:val="24"/>
          <w:szCs w:val="24"/>
        </w:rPr>
        <w:t xml:space="preserve">NQC </w:t>
      </w:r>
      <w:r w:rsidRPr="00743E64">
        <w:rPr>
          <w:rFonts w:ascii="Palatino Linotype" w:hAnsi="Palatino Linotype"/>
          <w:sz w:val="24"/>
          <w:szCs w:val="24"/>
        </w:rPr>
        <w:t xml:space="preserve">for 2026 and 2,000 MW </w:t>
      </w:r>
      <w:r w:rsidRPr="00743E64" w:rsidR="000E7201">
        <w:rPr>
          <w:rFonts w:ascii="Palatino Linotype" w:hAnsi="Palatino Linotype"/>
          <w:sz w:val="24"/>
          <w:szCs w:val="24"/>
        </w:rPr>
        <w:t xml:space="preserve">NQC </w:t>
      </w:r>
      <w:r w:rsidRPr="00743E64">
        <w:rPr>
          <w:rFonts w:ascii="Palatino Linotype" w:hAnsi="Palatino Linotype"/>
          <w:sz w:val="24"/>
          <w:szCs w:val="24"/>
        </w:rPr>
        <w:t xml:space="preserve">for 2027, and </w:t>
      </w:r>
      <w:r w:rsidRPr="00743E64" w:rsidR="001323C7">
        <w:rPr>
          <w:rFonts w:ascii="Palatino Linotype" w:hAnsi="Palatino Linotype"/>
          <w:sz w:val="24"/>
          <w:szCs w:val="24"/>
        </w:rPr>
        <w:t>revised</w:t>
      </w:r>
      <w:r w:rsidRPr="00743E64">
        <w:rPr>
          <w:rFonts w:ascii="Palatino Linotype" w:hAnsi="Palatino Linotype"/>
          <w:sz w:val="24"/>
          <w:szCs w:val="24"/>
        </w:rPr>
        <w:t xml:space="preserve"> the online date for </w:t>
      </w:r>
      <w:r w:rsidRPr="00743E64" w:rsidR="00E04172">
        <w:rPr>
          <w:rFonts w:ascii="Palatino Linotype" w:hAnsi="Palatino Linotype"/>
          <w:sz w:val="24"/>
          <w:szCs w:val="24"/>
        </w:rPr>
        <w:t>Long Lead Time (</w:t>
      </w:r>
      <w:r w:rsidRPr="00743E64">
        <w:rPr>
          <w:rFonts w:ascii="Palatino Linotype" w:hAnsi="Palatino Linotype"/>
          <w:sz w:val="24"/>
          <w:szCs w:val="24"/>
        </w:rPr>
        <w:t>LLT</w:t>
      </w:r>
      <w:r w:rsidRPr="00743E64" w:rsidR="00E04172">
        <w:rPr>
          <w:rFonts w:ascii="Palatino Linotype" w:hAnsi="Palatino Linotype"/>
          <w:sz w:val="24"/>
          <w:szCs w:val="24"/>
        </w:rPr>
        <w:t>)</w:t>
      </w:r>
      <w:r w:rsidRPr="00743E64">
        <w:rPr>
          <w:rFonts w:ascii="Palatino Linotype" w:hAnsi="Palatino Linotype"/>
          <w:sz w:val="24"/>
          <w:szCs w:val="24"/>
        </w:rPr>
        <w:t xml:space="preserve"> resources from June 1, </w:t>
      </w:r>
      <w:proofErr w:type="gramStart"/>
      <w:r w:rsidRPr="00743E64">
        <w:rPr>
          <w:rFonts w:ascii="Palatino Linotype" w:hAnsi="Palatino Linotype"/>
          <w:sz w:val="24"/>
          <w:szCs w:val="24"/>
        </w:rPr>
        <w:t>2026</w:t>
      </w:r>
      <w:proofErr w:type="gramEnd"/>
      <w:r w:rsidRPr="00743E64">
        <w:rPr>
          <w:rFonts w:ascii="Palatino Linotype" w:hAnsi="Palatino Linotype"/>
          <w:sz w:val="24"/>
          <w:szCs w:val="24"/>
        </w:rPr>
        <w:t xml:space="preserve"> to June 1, 2028. With the mutually agreed-upon reallocations and the additional MTR procurement ordered </w:t>
      </w:r>
      <w:proofErr w:type="gramStart"/>
      <w:r w:rsidRPr="00743E64">
        <w:rPr>
          <w:rFonts w:ascii="Palatino Linotype" w:hAnsi="Palatino Linotype"/>
          <w:sz w:val="24"/>
          <w:szCs w:val="24"/>
        </w:rPr>
        <w:t>in</w:t>
      </w:r>
      <w:proofErr w:type="gramEnd"/>
      <w:r w:rsidRPr="00743E64">
        <w:rPr>
          <w:rFonts w:ascii="Palatino Linotype" w:hAnsi="Palatino Linotype"/>
          <w:sz w:val="24"/>
          <w:szCs w:val="24"/>
        </w:rPr>
        <w:t xml:space="preserve"> D.23-02-040, </w:t>
      </w:r>
      <w:r w:rsidRPr="00743E64" w:rsidR="000D09DA">
        <w:rPr>
          <w:rFonts w:ascii="Palatino Linotype" w:hAnsi="Palatino Linotype"/>
          <w:sz w:val="24"/>
          <w:szCs w:val="24"/>
        </w:rPr>
        <w:t>PG&amp;E</w:t>
      </w:r>
      <w:r w:rsidRPr="00743E64">
        <w:rPr>
          <w:rFonts w:ascii="Palatino Linotype" w:hAnsi="Palatino Linotype"/>
          <w:sz w:val="24"/>
          <w:szCs w:val="24"/>
        </w:rPr>
        <w:t>’s annual share of the MTR procurement requirements are as follows:</w:t>
      </w:r>
    </w:p>
    <w:p w:rsidRPr="00743E64" w:rsidR="00B21041" w:rsidP="00B21041" w:rsidRDefault="00B21041" w14:paraId="54F914B3" w14:textId="77777777">
      <w:pPr>
        <w:rPr>
          <w:rFonts w:ascii="Palatino Linotype" w:hAnsi="Palatino Linotype"/>
          <w:sz w:val="24"/>
          <w:szCs w:val="24"/>
        </w:rPr>
      </w:pPr>
    </w:p>
    <w:tbl>
      <w:tblPr>
        <w:tblStyle w:val="TableGrid"/>
        <w:tblW w:w="0" w:type="auto"/>
        <w:tblLook w:val="04A0" w:firstRow="1" w:lastRow="0" w:firstColumn="1" w:lastColumn="0" w:noHBand="0" w:noVBand="1"/>
      </w:tblPr>
      <w:tblGrid>
        <w:gridCol w:w="2695"/>
        <w:gridCol w:w="950"/>
        <w:gridCol w:w="951"/>
        <w:gridCol w:w="951"/>
        <w:gridCol w:w="950"/>
        <w:gridCol w:w="951"/>
        <w:gridCol w:w="951"/>
        <w:gridCol w:w="951"/>
      </w:tblGrid>
      <w:tr w:rsidRPr="00743E64" w:rsidR="00B21041" w:rsidTr="022286BC" w14:paraId="656E2F8F" w14:textId="77777777">
        <w:tc>
          <w:tcPr>
            <w:tcW w:w="9350" w:type="dxa"/>
            <w:gridSpan w:val="8"/>
          </w:tcPr>
          <w:p w:rsidRPr="00743E64" w:rsidR="00B21041" w:rsidP="11609C62" w:rsidRDefault="00B21041" w14:paraId="729BFE0D" w14:textId="3701BB54">
            <w:pPr>
              <w:keepNext/>
              <w:keepLines/>
              <w:jc w:val="center"/>
              <w:rPr>
                <w:rFonts w:ascii="Palatino Linotype" w:hAnsi="Palatino Linotype"/>
                <w:b/>
                <w:bCs/>
                <w:sz w:val="24"/>
                <w:szCs w:val="24"/>
              </w:rPr>
            </w:pPr>
            <w:bookmarkStart w:name="_Hlk187045049" w:id="2"/>
            <w:r w:rsidRPr="00743E64">
              <w:rPr>
                <w:rFonts w:ascii="Palatino Linotype" w:hAnsi="Palatino Linotype"/>
                <w:b/>
                <w:bCs/>
                <w:sz w:val="24"/>
                <w:szCs w:val="24"/>
              </w:rPr>
              <w:t xml:space="preserve">Table 1: </w:t>
            </w:r>
            <w:r w:rsidRPr="00743E64" w:rsidR="003A1A16">
              <w:rPr>
                <w:rFonts w:ascii="Palatino Linotype" w:hAnsi="Palatino Linotype"/>
                <w:b/>
                <w:bCs/>
                <w:sz w:val="24"/>
                <w:szCs w:val="24"/>
              </w:rPr>
              <w:t>PG&amp;E</w:t>
            </w:r>
            <w:r w:rsidRPr="00743E64">
              <w:rPr>
                <w:rFonts w:ascii="Palatino Linotype" w:hAnsi="Palatino Linotype"/>
                <w:b/>
                <w:bCs/>
                <w:sz w:val="24"/>
                <w:szCs w:val="24"/>
              </w:rPr>
              <w:t xml:space="preserve"> Annual MTR Procurement Requirements</w:t>
            </w:r>
            <w:r w:rsidRPr="00743E64" w:rsidR="00984E84">
              <w:rPr>
                <w:rFonts w:ascii="Palatino Linotype" w:hAnsi="Palatino Linotype"/>
                <w:b/>
                <w:bCs/>
                <w:sz w:val="24"/>
                <w:szCs w:val="24"/>
              </w:rPr>
              <w:t xml:space="preserve"> (MW NQC)</w:t>
            </w:r>
          </w:p>
        </w:tc>
      </w:tr>
      <w:tr w:rsidRPr="00743E64" w:rsidR="00B21041" w:rsidTr="022286BC" w14:paraId="3E12CC91" w14:textId="77777777">
        <w:tc>
          <w:tcPr>
            <w:tcW w:w="2695" w:type="dxa"/>
          </w:tcPr>
          <w:p w:rsidRPr="00743E64" w:rsidR="00B21041" w:rsidP="11609C62" w:rsidRDefault="00B21041" w14:paraId="4F235E16" w14:textId="77777777">
            <w:pPr>
              <w:keepNext/>
              <w:keepLines/>
              <w:rPr>
                <w:rFonts w:ascii="Palatino Linotype" w:hAnsi="Palatino Linotype"/>
                <w:b/>
                <w:bCs/>
                <w:sz w:val="24"/>
                <w:szCs w:val="24"/>
              </w:rPr>
            </w:pPr>
          </w:p>
        </w:tc>
        <w:tc>
          <w:tcPr>
            <w:tcW w:w="950" w:type="dxa"/>
          </w:tcPr>
          <w:p w:rsidRPr="00743E64" w:rsidR="00B21041" w:rsidP="11609C62" w:rsidRDefault="00B21041" w14:paraId="1ADD435E"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2023</w:t>
            </w:r>
          </w:p>
        </w:tc>
        <w:tc>
          <w:tcPr>
            <w:tcW w:w="951" w:type="dxa"/>
          </w:tcPr>
          <w:p w:rsidRPr="00743E64" w:rsidR="00B21041" w:rsidP="11609C62" w:rsidRDefault="00B21041" w14:paraId="356E2AAA"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2024</w:t>
            </w:r>
          </w:p>
        </w:tc>
        <w:tc>
          <w:tcPr>
            <w:tcW w:w="951" w:type="dxa"/>
          </w:tcPr>
          <w:p w:rsidRPr="00743E64" w:rsidR="00B21041" w:rsidP="11609C62" w:rsidRDefault="00B21041" w14:paraId="5E679A77"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2025</w:t>
            </w:r>
          </w:p>
        </w:tc>
        <w:tc>
          <w:tcPr>
            <w:tcW w:w="950" w:type="dxa"/>
          </w:tcPr>
          <w:p w:rsidRPr="00743E64" w:rsidR="00B21041" w:rsidP="11609C62" w:rsidRDefault="00B21041" w14:paraId="479DB7D9"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2026</w:t>
            </w:r>
          </w:p>
        </w:tc>
        <w:tc>
          <w:tcPr>
            <w:tcW w:w="951" w:type="dxa"/>
          </w:tcPr>
          <w:p w:rsidRPr="00743E64" w:rsidR="00B21041" w:rsidP="11609C62" w:rsidRDefault="00B21041" w14:paraId="08A2D9E6"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2027</w:t>
            </w:r>
          </w:p>
        </w:tc>
        <w:tc>
          <w:tcPr>
            <w:tcW w:w="951" w:type="dxa"/>
          </w:tcPr>
          <w:p w:rsidRPr="00743E64" w:rsidR="00B21041" w:rsidP="11609C62" w:rsidRDefault="00B21041" w14:paraId="6A8E0CC4"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2028</w:t>
            </w:r>
          </w:p>
        </w:tc>
        <w:tc>
          <w:tcPr>
            <w:tcW w:w="951" w:type="dxa"/>
          </w:tcPr>
          <w:p w:rsidRPr="00743E64" w:rsidR="00B21041" w:rsidP="11609C62" w:rsidRDefault="00B21041" w14:paraId="668CAE97"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Total</w:t>
            </w:r>
          </w:p>
        </w:tc>
      </w:tr>
      <w:tr w:rsidRPr="00743E64" w:rsidR="00B21041" w:rsidTr="022286BC" w14:paraId="3ACF46E0" w14:textId="77777777">
        <w:tc>
          <w:tcPr>
            <w:tcW w:w="2695" w:type="dxa"/>
          </w:tcPr>
          <w:p w:rsidRPr="00743E64" w:rsidR="00B21041" w:rsidP="11609C62" w:rsidRDefault="00DE571D" w14:paraId="723EBE39" w14:textId="3D74748F">
            <w:pPr>
              <w:keepNext/>
              <w:keepLines/>
              <w:rPr>
                <w:rFonts w:ascii="Palatino Linotype" w:hAnsi="Palatino Linotype"/>
                <w:b/>
                <w:bCs/>
                <w:sz w:val="24"/>
                <w:szCs w:val="24"/>
              </w:rPr>
            </w:pPr>
            <w:r w:rsidRPr="00743E64">
              <w:rPr>
                <w:rFonts w:ascii="Palatino Linotype" w:hAnsi="Palatino Linotype"/>
                <w:b/>
                <w:bCs/>
                <w:sz w:val="24"/>
                <w:szCs w:val="24"/>
              </w:rPr>
              <w:t xml:space="preserve">General </w:t>
            </w:r>
            <w:r w:rsidRPr="00743E64" w:rsidR="00B21041">
              <w:rPr>
                <w:rFonts w:ascii="Palatino Linotype" w:hAnsi="Palatino Linotype"/>
                <w:b/>
                <w:bCs/>
                <w:sz w:val="24"/>
                <w:szCs w:val="24"/>
              </w:rPr>
              <w:t>MTR Capacity</w:t>
            </w:r>
          </w:p>
        </w:tc>
        <w:tc>
          <w:tcPr>
            <w:tcW w:w="950" w:type="dxa"/>
          </w:tcPr>
          <w:p w:rsidRPr="00743E64" w:rsidR="00B21041" w:rsidP="11609C62" w:rsidRDefault="00DE571D" w14:paraId="6C1491F5" w14:textId="3274CB42">
            <w:pPr>
              <w:keepNext/>
              <w:keepLines/>
              <w:jc w:val="center"/>
              <w:rPr>
                <w:rFonts w:ascii="Palatino Linotype" w:hAnsi="Palatino Linotype"/>
                <w:sz w:val="24"/>
                <w:szCs w:val="24"/>
              </w:rPr>
            </w:pPr>
            <w:r w:rsidRPr="00743E64">
              <w:rPr>
                <w:rFonts w:ascii="Palatino Linotype" w:hAnsi="Palatino Linotype"/>
                <w:sz w:val="24"/>
                <w:szCs w:val="24"/>
              </w:rPr>
              <w:t>400</w:t>
            </w:r>
          </w:p>
        </w:tc>
        <w:tc>
          <w:tcPr>
            <w:tcW w:w="951" w:type="dxa"/>
          </w:tcPr>
          <w:p w:rsidRPr="00743E64" w:rsidR="00B21041" w:rsidP="11609C62" w:rsidRDefault="00DE571D" w14:paraId="6C304A94" w14:textId="75E5B245">
            <w:pPr>
              <w:keepNext/>
              <w:keepLines/>
              <w:jc w:val="center"/>
              <w:rPr>
                <w:rFonts w:ascii="Palatino Linotype" w:hAnsi="Palatino Linotype"/>
                <w:sz w:val="24"/>
                <w:szCs w:val="24"/>
              </w:rPr>
            </w:pPr>
            <w:r w:rsidRPr="00743E64">
              <w:rPr>
                <w:rFonts w:ascii="Palatino Linotype" w:hAnsi="Palatino Linotype"/>
                <w:sz w:val="24"/>
                <w:szCs w:val="24"/>
              </w:rPr>
              <w:t>1201</w:t>
            </w:r>
          </w:p>
        </w:tc>
        <w:tc>
          <w:tcPr>
            <w:tcW w:w="951" w:type="dxa"/>
          </w:tcPr>
          <w:p w:rsidRPr="00743E64" w:rsidR="00B21041" w:rsidP="11609C62" w:rsidRDefault="00DE571D" w14:paraId="13AA033C" w14:textId="06A8050D">
            <w:pPr>
              <w:keepNext/>
              <w:keepLines/>
              <w:jc w:val="center"/>
              <w:rPr>
                <w:rFonts w:ascii="Palatino Linotype" w:hAnsi="Palatino Linotype"/>
                <w:sz w:val="24"/>
                <w:szCs w:val="24"/>
              </w:rPr>
            </w:pPr>
            <w:r w:rsidRPr="00743E64">
              <w:rPr>
                <w:rFonts w:ascii="Palatino Linotype" w:hAnsi="Palatino Linotype"/>
                <w:sz w:val="24"/>
                <w:szCs w:val="24"/>
              </w:rPr>
              <w:t>300</w:t>
            </w:r>
          </w:p>
        </w:tc>
        <w:tc>
          <w:tcPr>
            <w:tcW w:w="950" w:type="dxa"/>
          </w:tcPr>
          <w:p w:rsidRPr="00743E64" w:rsidR="00B21041" w:rsidP="11609C62" w:rsidRDefault="00BD1726" w14:paraId="7C4AC4D3" w14:textId="48237629">
            <w:pPr>
              <w:keepNext/>
              <w:keepLines/>
              <w:jc w:val="center"/>
              <w:rPr>
                <w:rFonts w:ascii="Palatino Linotype" w:hAnsi="Palatino Linotype"/>
                <w:sz w:val="24"/>
                <w:szCs w:val="24"/>
              </w:rPr>
            </w:pPr>
            <w:r w:rsidRPr="00743E64">
              <w:rPr>
                <w:rFonts w:ascii="Palatino Linotype" w:hAnsi="Palatino Linotype"/>
                <w:sz w:val="24"/>
                <w:szCs w:val="24"/>
              </w:rPr>
              <w:t>388</w:t>
            </w:r>
          </w:p>
        </w:tc>
        <w:tc>
          <w:tcPr>
            <w:tcW w:w="951" w:type="dxa"/>
          </w:tcPr>
          <w:p w:rsidRPr="00743E64" w:rsidR="00B21041" w:rsidP="11609C62" w:rsidRDefault="00BD1726" w14:paraId="5B6DBD0D" w14:textId="78C62CDF">
            <w:pPr>
              <w:keepNext/>
              <w:keepLines/>
              <w:jc w:val="center"/>
              <w:rPr>
                <w:rFonts w:ascii="Palatino Linotype" w:hAnsi="Palatino Linotype"/>
                <w:sz w:val="24"/>
                <w:szCs w:val="24"/>
              </w:rPr>
            </w:pPr>
            <w:r w:rsidRPr="00743E64">
              <w:rPr>
                <w:rFonts w:ascii="Palatino Linotype" w:hAnsi="Palatino Linotype"/>
                <w:sz w:val="24"/>
                <w:szCs w:val="24"/>
              </w:rPr>
              <w:t>388</w:t>
            </w:r>
          </w:p>
        </w:tc>
        <w:tc>
          <w:tcPr>
            <w:tcW w:w="951" w:type="dxa"/>
          </w:tcPr>
          <w:p w:rsidRPr="00743E64" w:rsidR="00B21041" w:rsidP="11609C62" w:rsidRDefault="00B21041" w14:paraId="1BFA72DE" w14:textId="77777777">
            <w:pPr>
              <w:keepNext/>
              <w:keepLines/>
              <w:jc w:val="center"/>
              <w:rPr>
                <w:rFonts w:ascii="Palatino Linotype" w:hAnsi="Palatino Linotype"/>
                <w:sz w:val="24"/>
                <w:szCs w:val="24"/>
              </w:rPr>
            </w:pPr>
          </w:p>
        </w:tc>
        <w:tc>
          <w:tcPr>
            <w:tcW w:w="951" w:type="dxa"/>
          </w:tcPr>
          <w:p w:rsidRPr="00743E64" w:rsidR="00B21041" w:rsidP="11609C62" w:rsidRDefault="00BD1726" w14:paraId="72156BA3" w14:textId="66E47B03">
            <w:pPr>
              <w:keepNext/>
              <w:keepLines/>
              <w:jc w:val="center"/>
              <w:rPr>
                <w:rFonts w:ascii="Palatino Linotype" w:hAnsi="Palatino Linotype"/>
                <w:sz w:val="24"/>
                <w:szCs w:val="24"/>
              </w:rPr>
            </w:pPr>
            <w:r w:rsidRPr="00743E64">
              <w:rPr>
                <w:rFonts w:ascii="Palatino Linotype" w:hAnsi="Palatino Linotype"/>
                <w:sz w:val="24"/>
                <w:szCs w:val="24"/>
              </w:rPr>
              <w:t>2677</w:t>
            </w:r>
          </w:p>
        </w:tc>
      </w:tr>
      <w:tr w:rsidRPr="00743E64" w:rsidR="00B21041" w:rsidTr="022286BC" w14:paraId="46961AE6" w14:textId="77777777">
        <w:tc>
          <w:tcPr>
            <w:tcW w:w="2695" w:type="dxa"/>
          </w:tcPr>
          <w:p w:rsidRPr="00743E64" w:rsidR="00B21041" w:rsidP="11609C62" w:rsidRDefault="168E76D2" w14:paraId="3CDEC030" w14:textId="02BD6BCA">
            <w:pPr>
              <w:keepNext/>
              <w:keepLines/>
              <w:rPr>
                <w:rFonts w:ascii="Palatino Linotype" w:hAnsi="Palatino Linotype"/>
                <w:b/>
                <w:bCs/>
                <w:sz w:val="24"/>
                <w:szCs w:val="24"/>
              </w:rPr>
            </w:pPr>
            <w:r w:rsidRPr="00743E64">
              <w:rPr>
                <w:rFonts w:ascii="Palatino Linotype" w:hAnsi="Palatino Linotype"/>
                <w:b/>
                <w:bCs/>
                <w:sz w:val="24"/>
                <w:szCs w:val="24"/>
              </w:rPr>
              <w:t>Minimum firm Zero-Emitting Capacity (DCR Capacity and Energy)</w:t>
            </w:r>
          </w:p>
        </w:tc>
        <w:tc>
          <w:tcPr>
            <w:tcW w:w="2852" w:type="dxa"/>
            <w:gridSpan w:val="3"/>
            <w:vAlign w:val="center"/>
          </w:tcPr>
          <w:p w:rsidRPr="00743E64" w:rsidR="00B21041" w:rsidP="11609C62" w:rsidRDefault="00BD1726" w14:paraId="487FCFD9" w14:textId="35B49AF2">
            <w:pPr>
              <w:keepNext/>
              <w:keepLines/>
              <w:jc w:val="center"/>
              <w:rPr>
                <w:rFonts w:ascii="Palatino Linotype" w:hAnsi="Palatino Linotype"/>
                <w:sz w:val="24"/>
                <w:szCs w:val="24"/>
              </w:rPr>
            </w:pPr>
            <w:r w:rsidRPr="00743E64">
              <w:rPr>
                <w:rFonts w:ascii="Palatino Linotype" w:hAnsi="Palatino Linotype"/>
                <w:sz w:val="24"/>
                <w:szCs w:val="24"/>
              </w:rPr>
              <w:t>500</w:t>
            </w:r>
            <w:r w:rsidRPr="00743E64" w:rsidR="00B21041">
              <w:rPr>
                <w:rFonts w:ascii="Palatino Linotype" w:hAnsi="Palatino Linotype"/>
                <w:sz w:val="24"/>
                <w:szCs w:val="24"/>
              </w:rPr>
              <w:t xml:space="preserve"> total</w:t>
            </w:r>
          </w:p>
        </w:tc>
        <w:tc>
          <w:tcPr>
            <w:tcW w:w="950" w:type="dxa"/>
          </w:tcPr>
          <w:p w:rsidRPr="00743E64" w:rsidR="00B21041" w:rsidP="11609C62" w:rsidRDefault="00B21041" w14:paraId="6A558C93" w14:textId="77777777">
            <w:pPr>
              <w:keepNext/>
              <w:keepLines/>
              <w:jc w:val="center"/>
              <w:rPr>
                <w:rFonts w:ascii="Palatino Linotype" w:hAnsi="Palatino Linotype"/>
                <w:sz w:val="24"/>
                <w:szCs w:val="24"/>
              </w:rPr>
            </w:pPr>
          </w:p>
        </w:tc>
        <w:tc>
          <w:tcPr>
            <w:tcW w:w="951" w:type="dxa"/>
          </w:tcPr>
          <w:p w:rsidRPr="00743E64" w:rsidR="00B21041" w:rsidP="11609C62" w:rsidRDefault="00B21041" w14:paraId="6EFECDF3" w14:textId="77777777">
            <w:pPr>
              <w:keepNext/>
              <w:keepLines/>
              <w:jc w:val="center"/>
              <w:rPr>
                <w:rFonts w:ascii="Palatino Linotype" w:hAnsi="Palatino Linotype"/>
                <w:sz w:val="24"/>
                <w:szCs w:val="24"/>
              </w:rPr>
            </w:pPr>
          </w:p>
        </w:tc>
        <w:tc>
          <w:tcPr>
            <w:tcW w:w="951" w:type="dxa"/>
          </w:tcPr>
          <w:p w:rsidRPr="00743E64" w:rsidR="00B21041" w:rsidP="11609C62" w:rsidRDefault="00B21041" w14:paraId="402FC85B" w14:textId="77777777">
            <w:pPr>
              <w:keepNext/>
              <w:keepLines/>
              <w:jc w:val="center"/>
              <w:rPr>
                <w:rFonts w:ascii="Palatino Linotype" w:hAnsi="Palatino Linotype"/>
                <w:sz w:val="24"/>
                <w:szCs w:val="24"/>
              </w:rPr>
            </w:pPr>
          </w:p>
        </w:tc>
        <w:tc>
          <w:tcPr>
            <w:tcW w:w="951" w:type="dxa"/>
            <w:vAlign w:val="center"/>
          </w:tcPr>
          <w:p w:rsidRPr="00743E64" w:rsidR="00B21041" w:rsidP="11609C62" w:rsidRDefault="00B21041" w14:paraId="04262640" w14:textId="01D8F187">
            <w:pPr>
              <w:keepNext/>
              <w:keepLines/>
              <w:jc w:val="center"/>
              <w:rPr>
                <w:rFonts w:ascii="Palatino Linotype" w:hAnsi="Palatino Linotype"/>
                <w:sz w:val="24"/>
                <w:szCs w:val="24"/>
              </w:rPr>
            </w:pPr>
          </w:p>
        </w:tc>
      </w:tr>
      <w:tr w:rsidRPr="00743E64" w:rsidR="00B21041" w:rsidTr="022286BC" w14:paraId="597B0148" w14:textId="77777777">
        <w:tc>
          <w:tcPr>
            <w:tcW w:w="2695" w:type="dxa"/>
          </w:tcPr>
          <w:p w:rsidRPr="00743E64" w:rsidR="00B21041" w:rsidP="11609C62" w:rsidRDefault="04AC9077" w14:paraId="0792C57F" w14:textId="13810974">
            <w:pPr>
              <w:keepNext/>
              <w:keepLines/>
              <w:rPr>
                <w:rFonts w:ascii="Palatino Linotype" w:hAnsi="Palatino Linotype"/>
                <w:b/>
                <w:bCs/>
                <w:sz w:val="24"/>
                <w:szCs w:val="24"/>
              </w:rPr>
            </w:pPr>
            <w:r w:rsidRPr="00743E64">
              <w:rPr>
                <w:rFonts w:ascii="Palatino Linotype" w:hAnsi="Palatino Linotype"/>
                <w:b/>
                <w:bCs/>
                <w:sz w:val="24"/>
                <w:szCs w:val="24"/>
              </w:rPr>
              <w:t xml:space="preserve">Long-Duration Storage (8+ hours) </w:t>
            </w:r>
            <w:r w:rsidRPr="00743E64" w:rsidR="008C19C9">
              <w:rPr>
                <w:rStyle w:val="FootnoteReference"/>
                <w:rFonts w:ascii="Palatino Linotype" w:hAnsi="Palatino Linotype"/>
                <w:b/>
                <w:bCs/>
                <w:sz w:val="24"/>
                <w:szCs w:val="24"/>
              </w:rPr>
              <w:footnoteReference w:id="4"/>
            </w:r>
          </w:p>
        </w:tc>
        <w:tc>
          <w:tcPr>
            <w:tcW w:w="950" w:type="dxa"/>
          </w:tcPr>
          <w:p w:rsidRPr="00743E64" w:rsidR="00B21041" w:rsidP="11609C62" w:rsidRDefault="00B21041" w14:paraId="24AF47BE" w14:textId="77777777">
            <w:pPr>
              <w:keepNext/>
              <w:keepLines/>
              <w:jc w:val="center"/>
              <w:rPr>
                <w:rFonts w:ascii="Palatino Linotype" w:hAnsi="Palatino Linotype"/>
                <w:sz w:val="24"/>
                <w:szCs w:val="24"/>
              </w:rPr>
            </w:pPr>
          </w:p>
        </w:tc>
        <w:tc>
          <w:tcPr>
            <w:tcW w:w="951" w:type="dxa"/>
          </w:tcPr>
          <w:p w:rsidRPr="00743E64" w:rsidR="00B21041" w:rsidP="11609C62" w:rsidRDefault="00B21041" w14:paraId="73601D1C" w14:textId="77777777">
            <w:pPr>
              <w:keepNext/>
              <w:keepLines/>
              <w:jc w:val="center"/>
              <w:rPr>
                <w:rFonts w:ascii="Palatino Linotype" w:hAnsi="Palatino Linotype"/>
                <w:sz w:val="24"/>
                <w:szCs w:val="24"/>
              </w:rPr>
            </w:pPr>
          </w:p>
        </w:tc>
        <w:tc>
          <w:tcPr>
            <w:tcW w:w="951" w:type="dxa"/>
          </w:tcPr>
          <w:p w:rsidRPr="00743E64" w:rsidR="00B21041" w:rsidP="11609C62" w:rsidRDefault="00B21041" w14:paraId="4949BA40" w14:textId="77777777">
            <w:pPr>
              <w:keepNext/>
              <w:keepLines/>
              <w:jc w:val="center"/>
              <w:rPr>
                <w:rFonts w:ascii="Palatino Linotype" w:hAnsi="Palatino Linotype"/>
                <w:sz w:val="24"/>
                <w:szCs w:val="24"/>
              </w:rPr>
            </w:pPr>
          </w:p>
        </w:tc>
        <w:tc>
          <w:tcPr>
            <w:tcW w:w="950" w:type="dxa"/>
          </w:tcPr>
          <w:p w:rsidRPr="00743E64" w:rsidR="00B21041" w:rsidP="11609C62" w:rsidRDefault="00B21041" w14:paraId="2C7B057D" w14:textId="77777777">
            <w:pPr>
              <w:keepNext/>
              <w:keepLines/>
              <w:jc w:val="center"/>
              <w:rPr>
                <w:rFonts w:ascii="Palatino Linotype" w:hAnsi="Palatino Linotype"/>
                <w:sz w:val="24"/>
                <w:szCs w:val="24"/>
              </w:rPr>
            </w:pPr>
          </w:p>
        </w:tc>
        <w:tc>
          <w:tcPr>
            <w:tcW w:w="951" w:type="dxa"/>
          </w:tcPr>
          <w:p w:rsidRPr="00743E64" w:rsidR="00B21041" w:rsidP="11609C62" w:rsidRDefault="00B21041" w14:paraId="068E56E5" w14:textId="77777777">
            <w:pPr>
              <w:keepNext/>
              <w:keepLines/>
              <w:jc w:val="center"/>
              <w:rPr>
                <w:rFonts w:ascii="Palatino Linotype" w:hAnsi="Palatino Linotype"/>
                <w:sz w:val="24"/>
                <w:szCs w:val="24"/>
              </w:rPr>
            </w:pPr>
          </w:p>
        </w:tc>
        <w:tc>
          <w:tcPr>
            <w:tcW w:w="951" w:type="dxa"/>
            <w:vAlign w:val="center"/>
          </w:tcPr>
          <w:p w:rsidRPr="00743E64" w:rsidR="00B21041" w:rsidP="11609C62" w:rsidRDefault="00BD1726" w14:paraId="1DA83170" w14:textId="737CD4CA">
            <w:pPr>
              <w:keepNext/>
              <w:keepLines/>
              <w:jc w:val="center"/>
              <w:rPr>
                <w:rFonts w:ascii="Palatino Linotype" w:hAnsi="Palatino Linotype"/>
                <w:sz w:val="24"/>
                <w:szCs w:val="24"/>
              </w:rPr>
            </w:pPr>
            <w:r w:rsidRPr="00743E64">
              <w:rPr>
                <w:rFonts w:ascii="Palatino Linotype" w:hAnsi="Palatino Linotype"/>
                <w:sz w:val="24"/>
                <w:szCs w:val="24"/>
              </w:rPr>
              <w:t>200</w:t>
            </w:r>
          </w:p>
        </w:tc>
        <w:tc>
          <w:tcPr>
            <w:tcW w:w="951" w:type="dxa"/>
            <w:vAlign w:val="center"/>
          </w:tcPr>
          <w:p w:rsidRPr="00743E64" w:rsidR="00B21041" w:rsidP="11609C62" w:rsidRDefault="00BD1726" w14:paraId="587D4989" w14:textId="1C579A0E">
            <w:pPr>
              <w:keepNext/>
              <w:keepLines/>
              <w:jc w:val="center"/>
              <w:rPr>
                <w:rFonts w:ascii="Palatino Linotype" w:hAnsi="Palatino Linotype"/>
                <w:sz w:val="24"/>
                <w:szCs w:val="24"/>
              </w:rPr>
            </w:pPr>
            <w:r w:rsidRPr="00743E64">
              <w:rPr>
                <w:rFonts w:ascii="Palatino Linotype" w:hAnsi="Palatino Linotype"/>
                <w:sz w:val="24"/>
                <w:szCs w:val="24"/>
              </w:rPr>
              <w:t>200</w:t>
            </w:r>
          </w:p>
        </w:tc>
      </w:tr>
      <w:tr w:rsidRPr="00743E64" w:rsidR="00B21041" w:rsidTr="022286BC" w14:paraId="3DB051FC" w14:textId="77777777">
        <w:tc>
          <w:tcPr>
            <w:tcW w:w="2695" w:type="dxa"/>
          </w:tcPr>
          <w:p w:rsidRPr="00743E64" w:rsidR="00B21041" w:rsidP="11609C62" w:rsidRDefault="4E012F27" w14:paraId="5EED124D" w14:textId="7A9A76D3">
            <w:pPr>
              <w:keepNext/>
              <w:keepLines/>
              <w:rPr>
                <w:rFonts w:ascii="Palatino Linotype" w:hAnsi="Palatino Linotype"/>
                <w:b/>
                <w:bCs/>
                <w:sz w:val="24"/>
                <w:szCs w:val="24"/>
                <w:vertAlign w:val="superscript"/>
              </w:rPr>
            </w:pPr>
            <w:r w:rsidRPr="00743E64">
              <w:rPr>
                <w:rFonts w:ascii="Palatino Linotype" w:hAnsi="Palatino Linotype"/>
                <w:b/>
                <w:bCs/>
                <w:sz w:val="24"/>
                <w:szCs w:val="24"/>
              </w:rPr>
              <w:t>Firm Zero-Emitting Generation Paired with Storage, or Demand Response Resources</w:t>
            </w:r>
            <w:r w:rsidRPr="00743E64" w:rsidR="56C18267">
              <w:rPr>
                <w:rFonts w:ascii="Palatino Linotype" w:hAnsi="Palatino Linotype"/>
                <w:b/>
                <w:bCs/>
                <w:sz w:val="24"/>
                <w:szCs w:val="24"/>
                <w:vertAlign w:val="superscript"/>
              </w:rPr>
              <w:t>2</w:t>
            </w:r>
          </w:p>
        </w:tc>
        <w:tc>
          <w:tcPr>
            <w:tcW w:w="950" w:type="dxa"/>
          </w:tcPr>
          <w:p w:rsidRPr="00743E64" w:rsidR="00B21041" w:rsidP="11609C62" w:rsidRDefault="00B21041" w14:paraId="47E40A6F" w14:textId="77777777">
            <w:pPr>
              <w:keepNext/>
              <w:keepLines/>
              <w:jc w:val="center"/>
              <w:rPr>
                <w:rFonts w:ascii="Palatino Linotype" w:hAnsi="Palatino Linotype"/>
                <w:sz w:val="24"/>
                <w:szCs w:val="24"/>
              </w:rPr>
            </w:pPr>
          </w:p>
        </w:tc>
        <w:tc>
          <w:tcPr>
            <w:tcW w:w="951" w:type="dxa"/>
          </w:tcPr>
          <w:p w:rsidRPr="00743E64" w:rsidR="00B21041" w:rsidP="11609C62" w:rsidRDefault="00B21041" w14:paraId="127124D6" w14:textId="77777777">
            <w:pPr>
              <w:keepNext/>
              <w:keepLines/>
              <w:jc w:val="center"/>
              <w:rPr>
                <w:rFonts w:ascii="Palatino Linotype" w:hAnsi="Palatino Linotype"/>
                <w:sz w:val="24"/>
                <w:szCs w:val="24"/>
              </w:rPr>
            </w:pPr>
          </w:p>
        </w:tc>
        <w:tc>
          <w:tcPr>
            <w:tcW w:w="951" w:type="dxa"/>
          </w:tcPr>
          <w:p w:rsidRPr="00743E64" w:rsidR="00B21041" w:rsidP="11609C62" w:rsidRDefault="00B21041" w14:paraId="199ED76C" w14:textId="77777777">
            <w:pPr>
              <w:keepNext/>
              <w:keepLines/>
              <w:jc w:val="center"/>
              <w:rPr>
                <w:rFonts w:ascii="Palatino Linotype" w:hAnsi="Palatino Linotype"/>
                <w:sz w:val="24"/>
                <w:szCs w:val="24"/>
              </w:rPr>
            </w:pPr>
          </w:p>
        </w:tc>
        <w:tc>
          <w:tcPr>
            <w:tcW w:w="950" w:type="dxa"/>
          </w:tcPr>
          <w:p w:rsidRPr="00743E64" w:rsidR="00B21041" w:rsidP="11609C62" w:rsidRDefault="00B21041" w14:paraId="7DBB0E1E" w14:textId="77777777">
            <w:pPr>
              <w:keepNext/>
              <w:keepLines/>
              <w:jc w:val="center"/>
              <w:rPr>
                <w:rFonts w:ascii="Palatino Linotype" w:hAnsi="Palatino Linotype"/>
                <w:sz w:val="24"/>
                <w:szCs w:val="24"/>
              </w:rPr>
            </w:pPr>
          </w:p>
        </w:tc>
        <w:tc>
          <w:tcPr>
            <w:tcW w:w="951" w:type="dxa"/>
          </w:tcPr>
          <w:p w:rsidRPr="00743E64" w:rsidR="00B21041" w:rsidP="11609C62" w:rsidRDefault="00B21041" w14:paraId="0C198478" w14:textId="77777777">
            <w:pPr>
              <w:keepNext/>
              <w:keepLines/>
              <w:jc w:val="center"/>
              <w:rPr>
                <w:rFonts w:ascii="Palatino Linotype" w:hAnsi="Palatino Linotype"/>
                <w:sz w:val="24"/>
                <w:szCs w:val="24"/>
              </w:rPr>
            </w:pPr>
          </w:p>
        </w:tc>
        <w:tc>
          <w:tcPr>
            <w:tcW w:w="951" w:type="dxa"/>
          </w:tcPr>
          <w:p w:rsidRPr="00743E64" w:rsidR="00B21041" w:rsidP="11609C62" w:rsidRDefault="00BD1726" w14:paraId="49FBB4E7" w14:textId="72986752">
            <w:pPr>
              <w:keepNext/>
              <w:keepLines/>
              <w:jc w:val="center"/>
              <w:rPr>
                <w:rFonts w:ascii="Palatino Linotype" w:hAnsi="Palatino Linotype"/>
                <w:sz w:val="24"/>
                <w:szCs w:val="24"/>
              </w:rPr>
            </w:pPr>
            <w:r w:rsidRPr="00743E64">
              <w:rPr>
                <w:rFonts w:ascii="Palatino Linotype" w:hAnsi="Palatino Linotype"/>
                <w:sz w:val="24"/>
                <w:szCs w:val="24"/>
              </w:rPr>
              <w:t>200</w:t>
            </w:r>
          </w:p>
        </w:tc>
        <w:tc>
          <w:tcPr>
            <w:tcW w:w="951" w:type="dxa"/>
          </w:tcPr>
          <w:p w:rsidRPr="00743E64" w:rsidR="00B21041" w:rsidP="11609C62" w:rsidRDefault="00BD1726" w14:paraId="5857DC6E" w14:textId="4F6EA3EE">
            <w:pPr>
              <w:keepNext/>
              <w:keepLines/>
              <w:jc w:val="center"/>
              <w:rPr>
                <w:rFonts w:ascii="Palatino Linotype" w:hAnsi="Palatino Linotype"/>
                <w:sz w:val="24"/>
                <w:szCs w:val="24"/>
              </w:rPr>
            </w:pPr>
            <w:r w:rsidRPr="00743E64">
              <w:rPr>
                <w:rFonts w:ascii="Palatino Linotype" w:hAnsi="Palatino Linotype"/>
                <w:sz w:val="24"/>
                <w:szCs w:val="24"/>
              </w:rPr>
              <w:t>200</w:t>
            </w:r>
          </w:p>
        </w:tc>
      </w:tr>
      <w:tr w:rsidRPr="00743E64" w:rsidR="00B21041" w:rsidTr="022286BC" w14:paraId="0843B477" w14:textId="77777777">
        <w:tc>
          <w:tcPr>
            <w:tcW w:w="2695" w:type="dxa"/>
          </w:tcPr>
          <w:p w:rsidRPr="00743E64" w:rsidR="00B21041" w:rsidP="11609C62" w:rsidRDefault="00B21041" w14:paraId="30460B36" w14:textId="77777777">
            <w:pPr>
              <w:keepNext/>
              <w:keepLines/>
              <w:rPr>
                <w:rFonts w:ascii="Palatino Linotype" w:hAnsi="Palatino Linotype"/>
                <w:b/>
                <w:bCs/>
                <w:sz w:val="24"/>
                <w:szCs w:val="24"/>
              </w:rPr>
            </w:pPr>
            <w:r w:rsidRPr="00743E64">
              <w:rPr>
                <w:rFonts w:ascii="Palatino Linotype" w:hAnsi="Palatino Linotype"/>
                <w:b/>
                <w:bCs/>
                <w:sz w:val="24"/>
                <w:szCs w:val="24"/>
              </w:rPr>
              <w:t>Total Need</w:t>
            </w:r>
          </w:p>
        </w:tc>
        <w:tc>
          <w:tcPr>
            <w:tcW w:w="950" w:type="dxa"/>
          </w:tcPr>
          <w:p w:rsidRPr="00743E64" w:rsidR="00B21041" w:rsidP="11609C62" w:rsidRDefault="00BD1726" w14:paraId="0A28E838" w14:textId="5AF9E435">
            <w:pPr>
              <w:keepNext/>
              <w:keepLines/>
              <w:jc w:val="center"/>
              <w:rPr>
                <w:rFonts w:ascii="Palatino Linotype" w:hAnsi="Palatino Linotype"/>
                <w:b/>
                <w:bCs/>
                <w:sz w:val="24"/>
                <w:szCs w:val="24"/>
              </w:rPr>
            </w:pPr>
            <w:r w:rsidRPr="00743E64">
              <w:rPr>
                <w:rFonts w:ascii="Palatino Linotype" w:hAnsi="Palatino Linotype"/>
                <w:b/>
                <w:bCs/>
                <w:sz w:val="24"/>
                <w:szCs w:val="24"/>
              </w:rPr>
              <w:t>400</w:t>
            </w:r>
          </w:p>
        </w:tc>
        <w:tc>
          <w:tcPr>
            <w:tcW w:w="951" w:type="dxa"/>
          </w:tcPr>
          <w:p w:rsidRPr="00743E64" w:rsidR="00B21041" w:rsidP="11609C62" w:rsidRDefault="0015717C" w14:paraId="5E615866" w14:textId="66B5BFB6">
            <w:pPr>
              <w:keepNext/>
              <w:keepLines/>
              <w:jc w:val="center"/>
              <w:rPr>
                <w:rFonts w:ascii="Palatino Linotype" w:hAnsi="Palatino Linotype"/>
                <w:b/>
                <w:bCs/>
                <w:sz w:val="24"/>
                <w:szCs w:val="24"/>
              </w:rPr>
            </w:pPr>
            <w:r w:rsidRPr="00743E64">
              <w:rPr>
                <w:rFonts w:ascii="Palatino Linotype" w:hAnsi="Palatino Linotype"/>
                <w:b/>
                <w:bCs/>
                <w:sz w:val="24"/>
                <w:szCs w:val="24"/>
              </w:rPr>
              <w:t>1201</w:t>
            </w:r>
          </w:p>
        </w:tc>
        <w:tc>
          <w:tcPr>
            <w:tcW w:w="951" w:type="dxa"/>
          </w:tcPr>
          <w:p w:rsidRPr="00743E64" w:rsidR="00B21041" w:rsidP="11609C62" w:rsidRDefault="0015717C" w14:paraId="578939C3" w14:textId="43900F9A">
            <w:pPr>
              <w:keepNext/>
              <w:keepLines/>
              <w:jc w:val="center"/>
              <w:rPr>
                <w:rFonts w:ascii="Palatino Linotype" w:hAnsi="Palatino Linotype"/>
                <w:b/>
                <w:bCs/>
                <w:sz w:val="24"/>
                <w:szCs w:val="24"/>
              </w:rPr>
            </w:pPr>
            <w:r w:rsidRPr="00743E64">
              <w:rPr>
                <w:rFonts w:ascii="Palatino Linotype" w:hAnsi="Palatino Linotype"/>
                <w:b/>
                <w:bCs/>
                <w:sz w:val="24"/>
                <w:szCs w:val="24"/>
              </w:rPr>
              <w:t>300</w:t>
            </w:r>
          </w:p>
        </w:tc>
        <w:tc>
          <w:tcPr>
            <w:tcW w:w="950" w:type="dxa"/>
          </w:tcPr>
          <w:p w:rsidRPr="00743E64" w:rsidR="00B21041" w:rsidP="11609C62" w:rsidRDefault="0015717C" w14:paraId="4679DF95" w14:textId="68B4285A">
            <w:pPr>
              <w:keepNext/>
              <w:keepLines/>
              <w:jc w:val="center"/>
              <w:rPr>
                <w:rFonts w:ascii="Palatino Linotype" w:hAnsi="Palatino Linotype"/>
                <w:b/>
                <w:bCs/>
                <w:sz w:val="24"/>
                <w:szCs w:val="24"/>
              </w:rPr>
            </w:pPr>
            <w:r w:rsidRPr="00743E64">
              <w:rPr>
                <w:rFonts w:ascii="Palatino Linotype" w:hAnsi="Palatino Linotype"/>
                <w:b/>
                <w:bCs/>
                <w:sz w:val="24"/>
                <w:szCs w:val="24"/>
              </w:rPr>
              <w:t>388</w:t>
            </w:r>
          </w:p>
        </w:tc>
        <w:tc>
          <w:tcPr>
            <w:tcW w:w="951" w:type="dxa"/>
          </w:tcPr>
          <w:p w:rsidRPr="00743E64" w:rsidR="00B21041" w:rsidP="11609C62" w:rsidRDefault="0015717C" w14:paraId="4C8326A1" w14:textId="5A6685CA">
            <w:pPr>
              <w:keepNext/>
              <w:keepLines/>
              <w:jc w:val="center"/>
              <w:rPr>
                <w:rFonts w:ascii="Palatino Linotype" w:hAnsi="Palatino Linotype"/>
                <w:b/>
                <w:bCs/>
                <w:sz w:val="24"/>
                <w:szCs w:val="24"/>
              </w:rPr>
            </w:pPr>
            <w:r w:rsidRPr="00743E64">
              <w:rPr>
                <w:rFonts w:ascii="Palatino Linotype" w:hAnsi="Palatino Linotype"/>
                <w:b/>
                <w:bCs/>
                <w:sz w:val="24"/>
                <w:szCs w:val="24"/>
              </w:rPr>
              <w:t>388</w:t>
            </w:r>
          </w:p>
        </w:tc>
        <w:tc>
          <w:tcPr>
            <w:tcW w:w="951" w:type="dxa"/>
          </w:tcPr>
          <w:p w:rsidRPr="00743E64" w:rsidR="00B21041" w:rsidP="11609C62" w:rsidRDefault="0015717C" w14:paraId="5E6DBD9C" w14:textId="2AD2CD07">
            <w:pPr>
              <w:keepNext/>
              <w:keepLines/>
              <w:jc w:val="center"/>
              <w:rPr>
                <w:rFonts w:ascii="Palatino Linotype" w:hAnsi="Palatino Linotype"/>
                <w:b/>
                <w:bCs/>
                <w:sz w:val="24"/>
                <w:szCs w:val="24"/>
              </w:rPr>
            </w:pPr>
            <w:r w:rsidRPr="00743E64">
              <w:rPr>
                <w:rFonts w:ascii="Palatino Linotype" w:hAnsi="Palatino Linotype"/>
                <w:b/>
                <w:bCs/>
                <w:sz w:val="24"/>
                <w:szCs w:val="24"/>
              </w:rPr>
              <w:t>400</w:t>
            </w:r>
          </w:p>
        </w:tc>
        <w:tc>
          <w:tcPr>
            <w:tcW w:w="951" w:type="dxa"/>
          </w:tcPr>
          <w:p w:rsidRPr="00743E64" w:rsidR="00B21041" w:rsidP="11609C62" w:rsidRDefault="0015717C" w14:paraId="331002AF" w14:textId="7780A7DF">
            <w:pPr>
              <w:keepNext/>
              <w:keepLines/>
              <w:jc w:val="center"/>
              <w:rPr>
                <w:rFonts w:ascii="Palatino Linotype" w:hAnsi="Palatino Linotype"/>
                <w:b/>
                <w:bCs/>
                <w:sz w:val="24"/>
                <w:szCs w:val="24"/>
              </w:rPr>
            </w:pPr>
            <w:r w:rsidRPr="00743E64">
              <w:rPr>
                <w:rFonts w:ascii="Palatino Linotype" w:hAnsi="Palatino Linotype"/>
                <w:b/>
                <w:bCs/>
                <w:sz w:val="24"/>
                <w:szCs w:val="24"/>
              </w:rPr>
              <w:t>3077</w:t>
            </w:r>
          </w:p>
        </w:tc>
      </w:tr>
      <w:bookmarkEnd w:id="2"/>
    </w:tbl>
    <w:p w:rsidRPr="00743E64" w:rsidR="00B21041" w:rsidP="00D86528" w:rsidRDefault="00B21041" w14:paraId="3DE3DBC0" w14:textId="77777777">
      <w:pPr>
        <w:rPr>
          <w:rFonts w:ascii="Palatino Linotype" w:hAnsi="Palatino Linotype"/>
          <w:sz w:val="24"/>
          <w:szCs w:val="24"/>
        </w:rPr>
      </w:pPr>
    </w:p>
    <w:p w:rsidRPr="00743E64" w:rsidR="00332282" w:rsidP="00992F4A" w:rsidRDefault="00332282" w14:paraId="22A76F4E" w14:textId="3CC21677">
      <w:pPr>
        <w:rPr>
          <w:rFonts w:ascii="Palatino Linotype" w:hAnsi="Palatino Linotype"/>
          <w:sz w:val="24"/>
          <w:szCs w:val="24"/>
        </w:rPr>
      </w:pPr>
      <w:r w:rsidRPr="00743E64">
        <w:rPr>
          <w:rFonts w:ascii="Palatino Linotype" w:hAnsi="Palatino Linotype"/>
          <w:sz w:val="24"/>
          <w:szCs w:val="24"/>
        </w:rPr>
        <w:lastRenderedPageBreak/>
        <w:t>On February 15, 2024, the CPUC adopted D.24-02-047, modifying the procurement deadlines outlined in the two MTR Decisions. Specifically, D.24-02-047 allows for an extension of the D.23-02-040 2028 deadline to procure LLT resources, when certain conditions are met by an LSE.</w:t>
      </w:r>
      <w:r w:rsidRPr="00743E64">
        <w:rPr>
          <w:rStyle w:val="FootnoteReference"/>
          <w:rFonts w:ascii="Palatino Linotype" w:hAnsi="Palatino Linotype"/>
          <w:sz w:val="24"/>
          <w:szCs w:val="24"/>
        </w:rPr>
        <w:footnoteReference w:id="5"/>
      </w:r>
      <w:r w:rsidRPr="00743E64">
        <w:rPr>
          <w:rFonts w:ascii="Palatino Linotype" w:hAnsi="Palatino Linotype"/>
          <w:sz w:val="24"/>
          <w:szCs w:val="24"/>
        </w:rPr>
        <w:t xml:space="preserve"> Under this decision, LSEs that require an extension to </w:t>
      </w:r>
      <w:r w:rsidRPr="00743E64" w:rsidR="001A2E4C">
        <w:rPr>
          <w:rFonts w:ascii="Palatino Linotype" w:hAnsi="Palatino Linotype"/>
          <w:sz w:val="24"/>
          <w:szCs w:val="24"/>
        </w:rPr>
        <w:t>the June 1, 2028</w:t>
      </w:r>
      <w:r w:rsidRPr="00743E64" w:rsidR="001A4D4D">
        <w:rPr>
          <w:rFonts w:ascii="Palatino Linotype" w:hAnsi="Palatino Linotype"/>
          <w:sz w:val="24"/>
          <w:szCs w:val="24"/>
        </w:rPr>
        <w:t xml:space="preserve"> </w:t>
      </w:r>
      <w:r w:rsidRPr="00743E64">
        <w:rPr>
          <w:rFonts w:ascii="Palatino Linotype" w:hAnsi="Palatino Linotype"/>
          <w:sz w:val="24"/>
          <w:szCs w:val="24"/>
        </w:rPr>
        <w:t>LLT resource</w:t>
      </w:r>
      <w:r w:rsidRPr="00743E64" w:rsidR="001A2E4C">
        <w:rPr>
          <w:rFonts w:ascii="Palatino Linotype" w:hAnsi="Palatino Linotype"/>
          <w:sz w:val="24"/>
          <w:szCs w:val="24"/>
        </w:rPr>
        <w:t xml:space="preserve"> </w:t>
      </w:r>
      <w:r w:rsidRPr="00743E64">
        <w:rPr>
          <w:rFonts w:ascii="Palatino Linotype" w:hAnsi="Palatino Linotype"/>
          <w:sz w:val="24"/>
          <w:szCs w:val="24"/>
        </w:rPr>
        <w:t xml:space="preserve">deadline must procure generic capacity to cover the shortfall, and still bring online LLT resources by no later than June 1, 2031. </w:t>
      </w:r>
    </w:p>
    <w:p w:rsidRPr="00743E64" w:rsidR="00332282" w:rsidP="00992F4A" w:rsidRDefault="00332282" w14:paraId="3A41E043" w14:textId="77777777">
      <w:pPr>
        <w:rPr>
          <w:rFonts w:ascii="Palatino Linotype" w:hAnsi="Palatino Linotype"/>
          <w:b/>
          <w:sz w:val="24"/>
          <w:szCs w:val="24"/>
        </w:rPr>
      </w:pPr>
    </w:p>
    <w:p w:rsidRPr="00743E64" w:rsidR="00992F4A" w:rsidP="00992F4A" w:rsidRDefault="00B21041" w14:paraId="25F9736C" w14:textId="5F563399">
      <w:pPr>
        <w:rPr>
          <w:rFonts w:ascii="Palatino Linotype" w:hAnsi="Palatino Linotype"/>
          <w:sz w:val="24"/>
          <w:szCs w:val="24"/>
        </w:rPr>
      </w:pPr>
      <w:r w:rsidRPr="00743E64">
        <w:rPr>
          <w:rFonts w:ascii="Palatino Linotype" w:hAnsi="Palatino Linotype"/>
          <w:b/>
          <w:sz w:val="24"/>
          <w:szCs w:val="24"/>
        </w:rPr>
        <w:t>Overview of t</w:t>
      </w:r>
      <w:r w:rsidRPr="00743E64" w:rsidR="00992F4A">
        <w:rPr>
          <w:rFonts w:ascii="Palatino Linotype" w:hAnsi="Palatino Linotype"/>
          <w:b/>
          <w:sz w:val="24"/>
          <w:szCs w:val="24"/>
        </w:rPr>
        <w:t>he Renewable Portfolio Standard (RPS) Program</w:t>
      </w:r>
      <w:r w:rsidRPr="00743E64">
        <w:rPr>
          <w:rFonts w:ascii="Palatino Linotype" w:hAnsi="Palatino Linotype"/>
          <w:b/>
          <w:sz w:val="24"/>
          <w:szCs w:val="24"/>
        </w:rPr>
        <w:t xml:space="preserve"> Requirements</w:t>
      </w:r>
    </w:p>
    <w:p w:rsidRPr="00743E64" w:rsidR="00992F4A" w:rsidP="00992F4A" w:rsidRDefault="00992F4A" w14:paraId="743CFC35" w14:textId="139560D1">
      <w:pPr>
        <w:rPr>
          <w:rFonts w:ascii="Palatino Linotype" w:hAnsi="Palatino Linotype"/>
          <w:color w:val="4472C4" w:themeColor="accent1"/>
          <w:sz w:val="24"/>
          <w:szCs w:val="24"/>
        </w:rPr>
      </w:pPr>
      <w:r w:rsidRPr="00743E64">
        <w:rPr>
          <w:rFonts w:ascii="Palatino Linotype" w:hAnsi="Palatino Linotype"/>
          <w:sz w:val="24"/>
          <w:szCs w:val="24"/>
        </w:rPr>
        <w:t>The California RPS program was established by Senate Bill (SB) 1078, and has been subsequently modified by SB 107, SB 1036, SB 2 (1X), SB 350 and SB 100.</w:t>
      </w:r>
      <w:r w:rsidRPr="00743E64">
        <w:rPr>
          <w:rFonts w:ascii="Palatino Linotype" w:hAnsi="Palatino Linotype"/>
          <w:sz w:val="24"/>
          <w:szCs w:val="24"/>
          <w:vertAlign w:val="superscript"/>
        </w:rPr>
        <w:footnoteReference w:id="6"/>
      </w:r>
      <w:r w:rsidRPr="00743E64">
        <w:rPr>
          <w:rFonts w:ascii="Palatino Linotype" w:hAnsi="Palatino Linotype"/>
          <w:sz w:val="24"/>
          <w:szCs w:val="24"/>
        </w:rPr>
        <w:t xml:space="preserve">  The RPS program is codified in Public Utilities Code Sections 399.11-399.3</w:t>
      </w:r>
      <w:r w:rsidRPr="00743E64" w:rsidR="00B21041">
        <w:rPr>
          <w:rFonts w:ascii="Palatino Linotype" w:hAnsi="Palatino Linotype"/>
          <w:sz w:val="24"/>
          <w:szCs w:val="24"/>
        </w:rPr>
        <w:t>3</w:t>
      </w:r>
      <w:r w:rsidRPr="00743E64">
        <w:rPr>
          <w:rFonts w:ascii="Palatino Linotype" w:hAnsi="Palatino Linotype"/>
          <w:sz w:val="24"/>
          <w:szCs w:val="24"/>
        </w:rPr>
        <w:t>.</w:t>
      </w:r>
      <w:r w:rsidRPr="00743E64">
        <w:rPr>
          <w:rFonts w:ascii="Palatino Linotype" w:hAnsi="Palatino Linotype"/>
          <w:sz w:val="24"/>
          <w:szCs w:val="24"/>
          <w:vertAlign w:val="superscript"/>
        </w:rPr>
        <w:footnoteReference w:id="7"/>
      </w:r>
      <w:r w:rsidRPr="00743E64">
        <w:rPr>
          <w:rFonts w:ascii="Palatino Linotype" w:hAnsi="Palatino Linotype"/>
          <w:sz w:val="24"/>
          <w:szCs w:val="24"/>
        </w:rPr>
        <w:t xml:space="preserve">  </w:t>
      </w:r>
    </w:p>
    <w:p w:rsidRPr="00743E64" w:rsidR="00992F4A" w:rsidP="00992F4A" w:rsidRDefault="00992F4A" w14:paraId="62A46195" w14:textId="77777777">
      <w:pPr>
        <w:rPr>
          <w:rFonts w:ascii="Palatino Linotype" w:hAnsi="Palatino Linotype"/>
          <w:color w:val="4472C4" w:themeColor="accent1"/>
          <w:sz w:val="24"/>
          <w:szCs w:val="24"/>
        </w:rPr>
      </w:pPr>
    </w:p>
    <w:p w:rsidRPr="00743E64" w:rsidR="00992F4A" w:rsidP="00992F4A" w:rsidRDefault="00992F4A" w14:paraId="5740735C" w14:textId="642A3B4E">
      <w:pPr>
        <w:rPr>
          <w:rFonts w:ascii="Palatino Linotype" w:hAnsi="Palatino Linotype"/>
          <w:sz w:val="24"/>
          <w:szCs w:val="24"/>
        </w:rPr>
      </w:pPr>
      <w:r w:rsidRPr="00743E64">
        <w:rPr>
          <w:rFonts w:ascii="Palatino Linotype" w:hAnsi="Palatino Linotype"/>
          <w:sz w:val="24"/>
          <w:szCs w:val="24"/>
        </w:rPr>
        <w:t xml:space="preserve">The RPS program administered by the </w:t>
      </w:r>
      <w:r w:rsidRPr="00743E64" w:rsidR="008A50EF">
        <w:rPr>
          <w:rFonts w:ascii="Palatino Linotype" w:hAnsi="Palatino Linotype"/>
          <w:sz w:val="24"/>
          <w:szCs w:val="24"/>
        </w:rPr>
        <w:t>CPUC</w:t>
      </w:r>
      <w:r w:rsidRPr="00743E64">
        <w:rPr>
          <w:rFonts w:ascii="Palatino Linotype" w:hAnsi="Palatino Linotype"/>
          <w:sz w:val="24"/>
          <w:szCs w:val="24"/>
        </w:rPr>
        <w:t xml:space="preserve"> requires each retail seller to procure eligible renewable energy resources so that the amount of electricity generated from eligible renewable resources equals 60 percent of retail sales by December 31, 2030.</w:t>
      </w:r>
      <w:r w:rsidRPr="00743E64">
        <w:rPr>
          <w:rFonts w:ascii="Palatino Linotype" w:hAnsi="Palatino Linotype"/>
          <w:sz w:val="24"/>
          <w:szCs w:val="24"/>
          <w:vertAlign w:val="superscript"/>
        </w:rPr>
        <w:footnoteReference w:id="8"/>
      </w:r>
    </w:p>
    <w:p w:rsidRPr="00743E64" w:rsidR="00992F4A" w:rsidP="00992F4A" w:rsidRDefault="00992F4A" w14:paraId="5E966F48" w14:textId="77777777">
      <w:pPr>
        <w:rPr>
          <w:rFonts w:ascii="Palatino Linotype" w:hAnsi="Palatino Linotype"/>
          <w:sz w:val="24"/>
          <w:szCs w:val="24"/>
        </w:rPr>
      </w:pPr>
    </w:p>
    <w:p w:rsidRPr="00743E64" w:rsidR="00992F4A" w:rsidP="00992F4A" w:rsidRDefault="00992F4A" w14:paraId="4853A47E" w14:textId="2DE721E2">
      <w:pPr>
        <w:rPr>
          <w:rFonts w:ascii="Palatino Linotype" w:hAnsi="Palatino Linotype"/>
          <w:sz w:val="24"/>
          <w:szCs w:val="24"/>
        </w:rPr>
      </w:pPr>
      <w:r w:rsidRPr="00743E64">
        <w:rPr>
          <w:rFonts w:ascii="Palatino Linotype" w:hAnsi="Palatino Linotype"/>
          <w:sz w:val="24"/>
          <w:szCs w:val="24"/>
        </w:rPr>
        <w:t xml:space="preserve">Additional background information about the </w:t>
      </w:r>
      <w:r w:rsidRPr="00743E64" w:rsidR="008A50EF">
        <w:rPr>
          <w:rFonts w:ascii="Palatino Linotype" w:hAnsi="Palatino Linotype"/>
          <w:sz w:val="24"/>
          <w:szCs w:val="24"/>
        </w:rPr>
        <w:t>CPUC’s</w:t>
      </w:r>
      <w:r w:rsidRPr="00743E64">
        <w:rPr>
          <w:rFonts w:ascii="Palatino Linotype" w:hAnsi="Palatino Linotype"/>
          <w:sz w:val="24"/>
          <w:szCs w:val="24"/>
        </w:rPr>
        <w:t xml:space="preserve"> RPS </w:t>
      </w:r>
      <w:proofErr w:type="gramStart"/>
      <w:r w:rsidRPr="00743E64">
        <w:rPr>
          <w:rFonts w:ascii="Palatino Linotype" w:hAnsi="Palatino Linotype"/>
          <w:sz w:val="24"/>
          <w:szCs w:val="24"/>
        </w:rPr>
        <w:t>Program,</w:t>
      </w:r>
      <w:proofErr w:type="gramEnd"/>
      <w:r w:rsidRPr="00743E64">
        <w:rPr>
          <w:rFonts w:ascii="Palatino Linotype" w:hAnsi="Palatino Linotype"/>
          <w:sz w:val="24"/>
          <w:szCs w:val="24"/>
        </w:rPr>
        <w:t xml:space="preserve"> is available at </w:t>
      </w:r>
      <w:hyperlink w:history="1" r:id="rId11">
        <w:r w:rsidRPr="00743E64">
          <w:rPr>
            <w:rStyle w:val="Hyperlink"/>
            <w:rFonts w:ascii="Palatino Linotype" w:hAnsi="Palatino Linotype"/>
            <w:bCs/>
            <w:sz w:val="24"/>
            <w:szCs w:val="24"/>
          </w:rPr>
          <w:t>http://www.cpuc.ca.gov/PUC/energy/Renewables/overview.htm</w:t>
        </w:r>
      </w:hyperlink>
      <w:r w:rsidRPr="00743E64" w:rsidR="008F3267">
        <w:rPr>
          <w:rStyle w:val="Hyperlink"/>
          <w:rFonts w:ascii="Palatino Linotype" w:hAnsi="Palatino Linotype"/>
          <w:bCs/>
          <w:color w:val="auto"/>
          <w:sz w:val="24"/>
          <w:szCs w:val="24"/>
        </w:rPr>
        <w:t>.</w:t>
      </w:r>
    </w:p>
    <w:p w:rsidRPr="00743E64" w:rsidR="00992F4A" w:rsidP="00D86528" w:rsidRDefault="00992F4A" w14:paraId="45F398B6" w14:textId="77777777">
      <w:pPr>
        <w:rPr>
          <w:rFonts w:ascii="Palatino Linotype" w:hAnsi="Palatino Linotype"/>
          <w:sz w:val="24"/>
          <w:szCs w:val="24"/>
        </w:rPr>
      </w:pPr>
    </w:p>
    <w:p w:rsidRPr="00743E64" w:rsidR="00F3496D" w:rsidP="00D86528" w:rsidRDefault="00416107" w14:paraId="7F85CE12" w14:textId="5B1C6E78">
      <w:pPr>
        <w:rPr>
          <w:rFonts w:ascii="Palatino Linotype" w:hAnsi="Palatino Linotype"/>
          <w:b/>
          <w:bCs/>
          <w:sz w:val="24"/>
          <w:szCs w:val="24"/>
        </w:rPr>
      </w:pPr>
      <w:r w:rsidRPr="00743E64">
        <w:rPr>
          <w:rFonts w:ascii="Palatino Linotype" w:hAnsi="Palatino Linotype"/>
          <w:b/>
          <w:bCs/>
          <w:sz w:val="24"/>
          <w:szCs w:val="24"/>
        </w:rPr>
        <w:t xml:space="preserve">Solicitation of </w:t>
      </w:r>
      <w:r w:rsidRPr="00743E64" w:rsidR="00546C01">
        <w:rPr>
          <w:rFonts w:ascii="Palatino Linotype" w:hAnsi="Palatino Linotype"/>
          <w:b/>
          <w:bCs/>
          <w:sz w:val="24"/>
          <w:szCs w:val="24"/>
        </w:rPr>
        <w:t xml:space="preserve">the </w:t>
      </w:r>
      <w:r w:rsidRPr="00743E64">
        <w:rPr>
          <w:rFonts w:ascii="Palatino Linotype" w:hAnsi="Palatino Linotype"/>
          <w:b/>
          <w:bCs/>
          <w:sz w:val="24"/>
          <w:szCs w:val="24"/>
        </w:rPr>
        <w:t>MTR Contracts</w:t>
      </w:r>
    </w:p>
    <w:p w:rsidRPr="00743E64" w:rsidR="00205E01" w:rsidP="00D86528" w:rsidRDefault="00205E01" w14:paraId="74952FED" w14:textId="166FE1E4">
      <w:pPr>
        <w:rPr>
          <w:rFonts w:ascii="Palatino Linotype" w:hAnsi="Palatino Linotype"/>
          <w:sz w:val="24"/>
          <w:szCs w:val="24"/>
        </w:rPr>
      </w:pPr>
      <w:r w:rsidRPr="00743E64">
        <w:rPr>
          <w:rFonts w:ascii="Palatino Linotype" w:hAnsi="Palatino Linotype"/>
          <w:sz w:val="24"/>
          <w:szCs w:val="24"/>
        </w:rPr>
        <w:t>On Ju</w:t>
      </w:r>
      <w:r w:rsidRPr="00743E64" w:rsidR="00960867">
        <w:rPr>
          <w:rFonts w:ascii="Palatino Linotype" w:hAnsi="Palatino Linotype"/>
          <w:sz w:val="24"/>
          <w:szCs w:val="24"/>
        </w:rPr>
        <w:t>ne 18</w:t>
      </w:r>
      <w:r w:rsidRPr="00743E64">
        <w:rPr>
          <w:rFonts w:ascii="Palatino Linotype" w:hAnsi="Palatino Linotype"/>
          <w:sz w:val="24"/>
          <w:szCs w:val="24"/>
        </w:rPr>
        <w:t xml:space="preserve">, 2021, </w:t>
      </w:r>
      <w:r w:rsidRPr="00743E64" w:rsidR="00E92975">
        <w:rPr>
          <w:rFonts w:ascii="Palatino Linotype" w:hAnsi="Palatino Linotype"/>
          <w:sz w:val="24"/>
          <w:szCs w:val="24"/>
        </w:rPr>
        <w:t>PG&amp;E</w:t>
      </w:r>
      <w:r w:rsidRPr="00743E64">
        <w:rPr>
          <w:rFonts w:ascii="Palatino Linotype" w:hAnsi="Palatino Linotype"/>
          <w:sz w:val="24"/>
          <w:szCs w:val="24"/>
        </w:rPr>
        <w:t xml:space="preserve"> launched Phase 1 of its Mid-Term Reliability Request for Offers (MTRRFO) for incremental resources that could come online in the 2023-2024 timeframe. </w:t>
      </w:r>
      <w:r w:rsidRPr="00743E64" w:rsidR="000401EA">
        <w:rPr>
          <w:rFonts w:ascii="Palatino Linotype" w:hAnsi="Palatino Linotype"/>
          <w:sz w:val="24"/>
          <w:szCs w:val="24"/>
        </w:rPr>
        <w:t xml:space="preserve">As a result of this MTRRFO, </w:t>
      </w:r>
      <w:r w:rsidRPr="00743E64" w:rsidR="00833160">
        <w:rPr>
          <w:rFonts w:ascii="Palatino Linotype" w:hAnsi="Palatino Linotype"/>
          <w:sz w:val="24"/>
          <w:szCs w:val="24"/>
        </w:rPr>
        <w:t>PG&amp;E</w:t>
      </w:r>
      <w:r w:rsidRPr="00743E64" w:rsidR="000401EA">
        <w:rPr>
          <w:rFonts w:ascii="Palatino Linotype" w:hAnsi="Palatino Linotype"/>
          <w:sz w:val="24"/>
          <w:szCs w:val="24"/>
        </w:rPr>
        <w:t xml:space="preserve"> </w:t>
      </w:r>
      <w:r w:rsidRPr="00743E64" w:rsidR="00693579">
        <w:rPr>
          <w:rFonts w:ascii="Palatino Linotype" w:hAnsi="Palatino Linotype"/>
          <w:sz w:val="24"/>
          <w:szCs w:val="24"/>
        </w:rPr>
        <w:t xml:space="preserve">submitted </w:t>
      </w:r>
      <w:r w:rsidRPr="00743E64" w:rsidR="0018003C">
        <w:rPr>
          <w:rFonts w:ascii="Palatino Linotype" w:hAnsi="Palatino Linotype"/>
          <w:sz w:val="24"/>
          <w:szCs w:val="24"/>
        </w:rPr>
        <w:t>one</w:t>
      </w:r>
      <w:r w:rsidRPr="00743E64" w:rsidR="00693579">
        <w:rPr>
          <w:rFonts w:ascii="Palatino Linotype" w:hAnsi="Palatino Linotype"/>
          <w:sz w:val="24"/>
          <w:szCs w:val="24"/>
        </w:rPr>
        <w:t xml:space="preserve"> advice letter for the approval of </w:t>
      </w:r>
      <w:r w:rsidRPr="00743E64" w:rsidR="0018003C">
        <w:rPr>
          <w:rFonts w:ascii="Palatino Linotype" w:hAnsi="Palatino Linotype"/>
          <w:sz w:val="24"/>
          <w:szCs w:val="24"/>
        </w:rPr>
        <w:t>nine</w:t>
      </w:r>
      <w:r w:rsidRPr="00743E64" w:rsidR="00693579">
        <w:rPr>
          <w:rFonts w:ascii="Palatino Linotype" w:hAnsi="Palatino Linotype"/>
          <w:sz w:val="24"/>
          <w:szCs w:val="24"/>
        </w:rPr>
        <w:t xml:space="preserve"> contracts</w:t>
      </w:r>
      <w:r w:rsidRPr="00743E64" w:rsidR="00B94921">
        <w:rPr>
          <w:rFonts w:ascii="Palatino Linotype" w:hAnsi="Palatino Linotype"/>
          <w:sz w:val="24"/>
          <w:szCs w:val="24"/>
        </w:rPr>
        <w:t xml:space="preserve">, which </w:t>
      </w:r>
      <w:r w:rsidRPr="00743E64" w:rsidR="002C6182">
        <w:rPr>
          <w:rFonts w:ascii="Palatino Linotype" w:hAnsi="Palatino Linotype"/>
          <w:sz w:val="24"/>
          <w:szCs w:val="24"/>
        </w:rPr>
        <w:t>was</w:t>
      </w:r>
      <w:r w:rsidRPr="00743E64" w:rsidR="00B94921">
        <w:rPr>
          <w:rFonts w:ascii="Palatino Linotype" w:hAnsi="Palatino Linotype"/>
          <w:sz w:val="24"/>
          <w:szCs w:val="24"/>
        </w:rPr>
        <w:t xml:space="preserve"> approved by the Commission</w:t>
      </w:r>
      <w:r w:rsidRPr="00743E64" w:rsidR="00A9341D">
        <w:rPr>
          <w:rFonts w:ascii="Palatino Linotype" w:hAnsi="Palatino Linotype"/>
          <w:sz w:val="24"/>
          <w:szCs w:val="24"/>
        </w:rPr>
        <w:t xml:space="preserve"> </w:t>
      </w:r>
      <w:r w:rsidRPr="00743E64" w:rsidR="002C6182">
        <w:rPr>
          <w:rFonts w:ascii="Palatino Linotype" w:hAnsi="Palatino Linotype"/>
          <w:sz w:val="24"/>
          <w:szCs w:val="24"/>
        </w:rPr>
        <w:t>on April 21, 2022</w:t>
      </w:r>
      <w:r w:rsidRPr="00743E64" w:rsidR="00B94921">
        <w:rPr>
          <w:rFonts w:ascii="Palatino Linotype" w:hAnsi="Palatino Linotype"/>
          <w:sz w:val="24"/>
          <w:szCs w:val="24"/>
        </w:rPr>
        <w:t>.</w:t>
      </w:r>
      <w:r w:rsidRPr="00743E64" w:rsidR="002F5C04">
        <w:rPr>
          <w:rStyle w:val="FootnoteReference"/>
          <w:rFonts w:ascii="Palatino Linotype" w:hAnsi="Palatino Linotype"/>
          <w:sz w:val="24"/>
          <w:szCs w:val="24"/>
        </w:rPr>
        <w:footnoteReference w:id="9"/>
      </w:r>
      <w:r w:rsidRPr="00743E64" w:rsidR="00B94921">
        <w:rPr>
          <w:rFonts w:ascii="Palatino Linotype" w:hAnsi="Palatino Linotype"/>
          <w:sz w:val="24"/>
          <w:szCs w:val="24"/>
        </w:rPr>
        <w:t xml:space="preserve"> </w:t>
      </w:r>
    </w:p>
    <w:p w:rsidRPr="00743E64" w:rsidR="00DF3076" w:rsidP="00D86528" w:rsidRDefault="00DF3076" w14:paraId="36C42015" w14:textId="77777777">
      <w:pPr>
        <w:rPr>
          <w:rFonts w:ascii="Palatino Linotype" w:hAnsi="Palatino Linotype"/>
          <w:sz w:val="24"/>
          <w:szCs w:val="24"/>
        </w:rPr>
      </w:pPr>
    </w:p>
    <w:p w:rsidRPr="00743E64" w:rsidR="00A22EB8" w:rsidP="00A22EB8" w:rsidRDefault="00A22EB8" w14:paraId="73057FD6" w14:textId="72DB0256">
      <w:pPr>
        <w:rPr>
          <w:rFonts w:ascii="Palatino Linotype" w:hAnsi="Palatino Linotype"/>
          <w:sz w:val="24"/>
          <w:szCs w:val="24"/>
        </w:rPr>
      </w:pPr>
      <w:r w:rsidRPr="00743E64">
        <w:rPr>
          <w:rFonts w:ascii="Palatino Linotype" w:hAnsi="Palatino Linotype"/>
          <w:sz w:val="24"/>
          <w:szCs w:val="24"/>
        </w:rPr>
        <w:t xml:space="preserve">On </w:t>
      </w:r>
      <w:r w:rsidRPr="00743E64" w:rsidR="00100E6A">
        <w:rPr>
          <w:rFonts w:ascii="Palatino Linotype" w:hAnsi="Palatino Linotype"/>
          <w:sz w:val="24"/>
          <w:szCs w:val="24"/>
        </w:rPr>
        <w:t>April 15</w:t>
      </w:r>
      <w:r w:rsidRPr="00743E64">
        <w:rPr>
          <w:rFonts w:ascii="Palatino Linotype" w:hAnsi="Palatino Linotype"/>
          <w:sz w:val="24"/>
          <w:szCs w:val="24"/>
        </w:rPr>
        <w:t>, 2022</w:t>
      </w:r>
      <w:r w:rsidRPr="00743E64" w:rsidR="00131E12">
        <w:rPr>
          <w:rFonts w:ascii="Palatino Linotype" w:hAnsi="Palatino Linotype"/>
          <w:sz w:val="24"/>
          <w:szCs w:val="24"/>
        </w:rPr>
        <w:t xml:space="preserve">, </w:t>
      </w:r>
      <w:r w:rsidRPr="00743E64" w:rsidR="00100E6A">
        <w:rPr>
          <w:rFonts w:ascii="Palatino Linotype" w:hAnsi="Palatino Linotype"/>
          <w:sz w:val="24"/>
          <w:szCs w:val="24"/>
        </w:rPr>
        <w:t>PG&amp;E</w:t>
      </w:r>
      <w:r w:rsidRPr="00743E64">
        <w:rPr>
          <w:rFonts w:ascii="Palatino Linotype" w:hAnsi="Palatino Linotype"/>
          <w:sz w:val="24"/>
          <w:szCs w:val="24"/>
        </w:rPr>
        <w:t xml:space="preserve"> launched Phase 2 of its MTRRFO for</w:t>
      </w:r>
      <w:r w:rsidRPr="00743E64" w:rsidR="00131E12">
        <w:rPr>
          <w:rFonts w:ascii="Palatino Linotype" w:hAnsi="Palatino Linotype"/>
          <w:sz w:val="24"/>
          <w:szCs w:val="24"/>
        </w:rPr>
        <w:t xml:space="preserve"> </w:t>
      </w:r>
      <w:r w:rsidRPr="00743E64">
        <w:rPr>
          <w:rFonts w:ascii="Palatino Linotype" w:hAnsi="Palatino Linotype"/>
          <w:sz w:val="24"/>
          <w:szCs w:val="24"/>
        </w:rPr>
        <w:t xml:space="preserve">incremental resources </w:t>
      </w:r>
      <w:r w:rsidRPr="00743E64" w:rsidR="002E3365">
        <w:rPr>
          <w:rFonts w:ascii="Palatino Linotype" w:hAnsi="Palatino Linotype"/>
          <w:sz w:val="24"/>
          <w:szCs w:val="24"/>
        </w:rPr>
        <w:t>that would help them meet its procurement requirements.</w:t>
      </w:r>
      <w:r w:rsidRPr="00743E64" w:rsidR="00F41938">
        <w:rPr>
          <w:rFonts w:ascii="Palatino Linotype" w:hAnsi="Palatino Linotype"/>
          <w:sz w:val="24"/>
          <w:szCs w:val="24"/>
        </w:rPr>
        <w:t xml:space="preserve"> </w:t>
      </w:r>
      <w:r w:rsidRPr="00743E64" w:rsidR="00682268">
        <w:rPr>
          <w:rFonts w:ascii="Palatino Linotype" w:hAnsi="Palatino Linotype"/>
          <w:sz w:val="24"/>
          <w:szCs w:val="24"/>
        </w:rPr>
        <w:t xml:space="preserve">As a result of this MTRRFO, </w:t>
      </w:r>
      <w:r w:rsidRPr="00743E64" w:rsidR="00682268">
        <w:rPr>
          <w:rFonts w:ascii="Palatino Linotype" w:hAnsi="Palatino Linotype"/>
          <w:sz w:val="24"/>
          <w:szCs w:val="24"/>
        </w:rPr>
        <w:lastRenderedPageBreak/>
        <w:t xml:space="preserve">PG&amp;E submitted three advice letters for the approval of </w:t>
      </w:r>
      <w:r w:rsidRPr="00743E64" w:rsidR="00664D97">
        <w:rPr>
          <w:rFonts w:ascii="Palatino Linotype" w:hAnsi="Palatino Linotype"/>
          <w:sz w:val="24"/>
          <w:szCs w:val="24"/>
        </w:rPr>
        <w:t>four total</w:t>
      </w:r>
      <w:r w:rsidRPr="00743E64" w:rsidR="00682268">
        <w:rPr>
          <w:rFonts w:ascii="Palatino Linotype" w:hAnsi="Palatino Linotype"/>
          <w:sz w:val="24"/>
          <w:szCs w:val="24"/>
        </w:rPr>
        <w:t xml:space="preserve"> contracts, which </w:t>
      </w:r>
      <w:proofErr w:type="gramStart"/>
      <w:r w:rsidRPr="00743E64" w:rsidR="00682268">
        <w:rPr>
          <w:rFonts w:ascii="Palatino Linotype" w:hAnsi="Palatino Linotype"/>
          <w:sz w:val="24"/>
          <w:szCs w:val="24"/>
        </w:rPr>
        <w:t>was</w:t>
      </w:r>
      <w:proofErr w:type="gramEnd"/>
      <w:r w:rsidRPr="00743E64" w:rsidR="00682268">
        <w:rPr>
          <w:rFonts w:ascii="Palatino Linotype" w:hAnsi="Palatino Linotype"/>
          <w:sz w:val="24"/>
          <w:szCs w:val="24"/>
        </w:rPr>
        <w:t xml:space="preserve"> approved by the Commission </w:t>
      </w:r>
      <w:r w:rsidRPr="00743E64" w:rsidR="00664D97">
        <w:rPr>
          <w:rFonts w:ascii="Palatino Linotype" w:hAnsi="Palatino Linotype"/>
          <w:sz w:val="24"/>
          <w:szCs w:val="24"/>
        </w:rPr>
        <w:t>via Resolutions E-5262, E-5263, and E-5297</w:t>
      </w:r>
      <w:r w:rsidRPr="00743E64" w:rsidR="00682268">
        <w:rPr>
          <w:rFonts w:ascii="Palatino Linotype" w:hAnsi="Palatino Linotype"/>
          <w:sz w:val="24"/>
          <w:szCs w:val="24"/>
        </w:rPr>
        <w:t>.</w:t>
      </w:r>
    </w:p>
    <w:p w:rsidRPr="00743E64" w:rsidR="00D46B2E" w:rsidP="00A80C67" w:rsidRDefault="00D46B2E" w14:paraId="4BB1D10A" w14:textId="77777777">
      <w:pPr>
        <w:rPr>
          <w:rFonts w:ascii="Palatino Linotype" w:hAnsi="Palatino Linotype"/>
          <w:sz w:val="24"/>
          <w:szCs w:val="24"/>
        </w:rPr>
      </w:pPr>
    </w:p>
    <w:p w:rsidRPr="00743E64" w:rsidR="00A80C67" w:rsidP="00A80C67" w:rsidRDefault="00A80C67" w14:paraId="4D73C89A" w14:textId="16422E29">
      <w:pPr>
        <w:rPr>
          <w:rFonts w:ascii="Palatino Linotype" w:hAnsi="Palatino Linotype"/>
          <w:sz w:val="24"/>
          <w:szCs w:val="24"/>
        </w:rPr>
      </w:pPr>
      <w:r w:rsidRPr="00743E64">
        <w:rPr>
          <w:rFonts w:ascii="Palatino Linotype" w:hAnsi="Palatino Linotype"/>
          <w:sz w:val="24"/>
          <w:szCs w:val="24"/>
        </w:rPr>
        <w:t xml:space="preserve">On February </w:t>
      </w:r>
      <w:r w:rsidRPr="00743E64" w:rsidR="008C13AD">
        <w:rPr>
          <w:rFonts w:ascii="Palatino Linotype" w:hAnsi="Palatino Linotype"/>
          <w:sz w:val="24"/>
          <w:szCs w:val="24"/>
        </w:rPr>
        <w:t>7</w:t>
      </w:r>
      <w:r w:rsidRPr="00743E64">
        <w:rPr>
          <w:rFonts w:ascii="Palatino Linotype" w:hAnsi="Palatino Linotype"/>
          <w:sz w:val="24"/>
          <w:szCs w:val="24"/>
        </w:rPr>
        <w:t xml:space="preserve">, 2023, </w:t>
      </w:r>
      <w:r w:rsidRPr="00743E64" w:rsidR="008C13AD">
        <w:rPr>
          <w:rFonts w:ascii="Palatino Linotype" w:hAnsi="Palatino Linotype"/>
          <w:sz w:val="24"/>
          <w:szCs w:val="24"/>
        </w:rPr>
        <w:t>PG&amp;E</w:t>
      </w:r>
      <w:r w:rsidRPr="00743E64">
        <w:rPr>
          <w:rFonts w:ascii="Palatino Linotype" w:hAnsi="Palatino Linotype"/>
          <w:sz w:val="24"/>
          <w:szCs w:val="24"/>
        </w:rPr>
        <w:t xml:space="preserve"> launched Phase 3 of its MTRRFO for supplemental</w:t>
      </w:r>
    </w:p>
    <w:p w:rsidRPr="00743E64" w:rsidR="00CB667A" w:rsidP="00D86528" w:rsidRDefault="00A80C67" w14:paraId="26D2F663" w14:textId="7B95CBB5">
      <w:pPr>
        <w:rPr>
          <w:rFonts w:ascii="Palatino Linotype" w:hAnsi="Palatino Linotype"/>
          <w:sz w:val="24"/>
          <w:szCs w:val="24"/>
        </w:rPr>
      </w:pPr>
      <w:r w:rsidRPr="00743E64">
        <w:rPr>
          <w:rFonts w:ascii="Palatino Linotype" w:hAnsi="Palatino Linotype"/>
          <w:sz w:val="24"/>
          <w:szCs w:val="24"/>
        </w:rPr>
        <w:t xml:space="preserve">incremental </w:t>
      </w:r>
      <w:r w:rsidRPr="00743E64" w:rsidR="007F3D68">
        <w:rPr>
          <w:rFonts w:ascii="Palatino Linotype" w:hAnsi="Palatino Linotype"/>
          <w:sz w:val="24"/>
          <w:szCs w:val="24"/>
        </w:rPr>
        <w:t>NQC</w:t>
      </w:r>
      <w:r w:rsidRPr="00743E64" w:rsidR="002A7C10">
        <w:rPr>
          <w:rFonts w:ascii="Palatino Linotype" w:hAnsi="Palatino Linotype"/>
          <w:sz w:val="24"/>
          <w:szCs w:val="24"/>
        </w:rPr>
        <w:t xml:space="preserve"> </w:t>
      </w:r>
      <w:r w:rsidRPr="00743E64">
        <w:rPr>
          <w:rFonts w:ascii="Palatino Linotype" w:hAnsi="Palatino Linotype"/>
          <w:sz w:val="24"/>
          <w:szCs w:val="24"/>
        </w:rPr>
        <w:t xml:space="preserve">resources to come online </w:t>
      </w:r>
      <w:r w:rsidRPr="00743E64" w:rsidR="00A74D14">
        <w:rPr>
          <w:rFonts w:ascii="Palatino Linotype" w:hAnsi="Palatino Linotype"/>
          <w:sz w:val="24"/>
          <w:szCs w:val="24"/>
        </w:rPr>
        <w:t>between 202</w:t>
      </w:r>
      <w:r w:rsidRPr="00743E64" w:rsidR="006831B9">
        <w:rPr>
          <w:rFonts w:ascii="Palatino Linotype" w:hAnsi="Palatino Linotype"/>
          <w:sz w:val="24"/>
          <w:szCs w:val="24"/>
        </w:rPr>
        <w:t>4</w:t>
      </w:r>
      <w:r w:rsidRPr="00743E64">
        <w:rPr>
          <w:rFonts w:ascii="Palatino Linotype" w:hAnsi="Palatino Linotype"/>
          <w:sz w:val="24"/>
          <w:szCs w:val="24"/>
        </w:rPr>
        <w:t xml:space="preserve"> and 20</w:t>
      </w:r>
      <w:r w:rsidRPr="00743E64" w:rsidR="00A74D14">
        <w:rPr>
          <w:rFonts w:ascii="Palatino Linotype" w:hAnsi="Palatino Linotype"/>
          <w:sz w:val="24"/>
          <w:szCs w:val="24"/>
        </w:rPr>
        <w:t>30</w:t>
      </w:r>
      <w:r w:rsidRPr="00743E64" w:rsidR="00AF4EE0">
        <w:rPr>
          <w:rFonts w:ascii="Palatino Linotype" w:hAnsi="Palatino Linotype"/>
          <w:sz w:val="24"/>
          <w:szCs w:val="24"/>
        </w:rPr>
        <w:t xml:space="preserve"> to qualify for the various </w:t>
      </w:r>
      <w:r w:rsidRPr="00743E64" w:rsidR="00373527">
        <w:rPr>
          <w:rFonts w:ascii="Palatino Linotype" w:hAnsi="Palatino Linotype"/>
          <w:sz w:val="24"/>
          <w:szCs w:val="24"/>
        </w:rPr>
        <w:t xml:space="preserve">procurement categories outlined in </w:t>
      </w:r>
      <w:r w:rsidRPr="00743E64" w:rsidR="002F66A8">
        <w:rPr>
          <w:rFonts w:ascii="Palatino Linotype" w:hAnsi="Palatino Linotype"/>
          <w:sz w:val="24"/>
          <w:szCs w:val="24"/>
        </w:rPr>
        <w:t>D.21-0</w:t>
      </w:r>
      <w:r w:rsidRPr="00743E64" w:rsidR="003318C6">
        <w:rPr>
          <w:rFonts w:ascii="Palatino Linotype" w:hAnsi="Palatino Linotype"/>
          <w:sz w:val="24"/>
          <w:szCs w:val="24"/>
        </w:rPr>
        <w:t xml:space="preserve">6-035 and </w:t>
      </w:r>
      <w:r w:rsidRPr="00743E64" w:rsidR="00D46B2E">
        <w:rPr>
          <w:rFonts w:ascii="Palatino Linotype" w:hAnsi="Palatino Linotype"/>
          <w:sz w:val="24"/>
          <w:szCs w:val="24"/>
        </w:rPr>
        <w:t>the</w:t>
      </w:r>
      <w:r w:rsidRPr="00743E64" w:rsidR="005D3A38">
        <w:rPr>
          <w:rFonts w:ascii="Palatino Linotype" w:hAnsi="Palatino Linotype"/>
          <w:sz w:val="24"/>
          <w:szCs w:val="24"/>
        </w:rPr>
        <w:t xml:space="preserve"> then</w:t>
      </w:r>
      <w:r w:rsidRPr="00743E64" w:rsidR="00D46B2E">
        <w:rPr>
          <w:rFonts w:ascii="Palatino Linotype" w:hAnsi="Palatino Linotype"/>
          <w:sz w:val="24"/>
          <w:szCs w:val="24"/>
        </w:rPr>
        <w:t xml:space="preserve"> likely implementation of </w:t>
      </w:r>
      <w:r w:rsidRPr="00743E64">
        <w:rPr>
          <w:rFonts w:ascii="Palatino Linotype" w:hAnsi="Palatino Linotype"/>
          <w:sz w:val="24"/>
          <w:szCs w:val="24"/>
        </w:rPr>
        <w:t>D.23-02-040</w:t>
      </w:r>
      <w:r w:rsidRPr="00743E64" w:rsidR="00AA5694">
        <w:rPr>
          <w:rFonts w:ascii="Palatino Linotype" w:hAnsi="Palatino Linotype"/>
          <w:sz w:val="24"/>
          <w:szCs w:val="24"/>
        </w:rPr>
        <w:t xml:space="preserve">. </w:t>
      </w:r>
      <w:r w:rsidRPr="00743E64" w:rsidR="000E0430">
        <w:rPr>
          <w:rFonts w:ascii="Palatino Linotype" w:hAnsi="Palatino Linotype"/>
          <w:sz w:val="24"/>
          <w:szCs w:val="24"/>
        </w:rPr>
        <w:t xml:space="preserve">Phase 3 </w:t>
      </w:r>
      <w:r w:rsidRPr="00743E64" w:rsidR="00DE4A43">
        <w:rPr>
          <w:rFonts w:ascii="Palatino Linotype" w:hAnsi="Palatino Linotype"/>
          <w:sz w:val="24"/>
          <w:szCs w:val="24"/>
        </w:rPr>
        <w:t xml:space="preserve">solicited </w:t>
      </w:r>
      <w:r w:rsidRPr="00743E64" w:rsidR="003C7F70">
        <w:rPr>
          <w:rFonts w:ascii="Palatino Linotype" w:hAnsi="Palatino Linotype"/>
          <w:sz w:val="24"/>
          <w:szCs w:val="24"/>
        </w:rPr>
        <w:t xml:space="preserve">zero-emitting </w:t>
      </w:r>
      <w:r w:rsidRPr="00743E64" w:rsidR="00DE4A43">
        <w:rPr>
          <w:rFonts w:ascii="Palatino Linotype" w:hAnsi="Palatino Linotype"/>
          <w:sz w:val="24"/>
          <w:szCs w:val="24"/>
        </w:rPr>
        <w:t xml:space="preserve">resources eligible to meet its </w:t>
      </w:r>
      <w:r w:rsidRPr="00743E64" w:rsidR="00561BEE">
        <w:rPr>
          <w:rFonts w:ascii="Palatino Linotype" w:hAnsi="Palatino Linotype"/>
          <w:sz w:val="24"/>
          <w:szCs w:val="24"/>
        </w:rPr>
        <w:t>DCR</w:t>
      </w:r>
      <w:r w:rsidRPr="00743E64" w:rsidR="001A2E4C">
        <w:rPr>
          <w:rFonts w:ascii="Palatino Linotype" w:hAnsi="Palatino Linotype"/>
          <w:sz w:val="24"/>
          <w:szCs w:val="24"/>
        </w:rPr>
        <w:t xml:space="preserve"> </w:t>
      </w:r>
      <w:r w:rsidRPr="00743E64" w:rsidR="00DE4A43">
        <w:rPr>
          <w:rFonts w:ascii="Palatino Linotype" w:hAnsi="Palatino Linotype"/>
          <w:sz w:val="24"/>
          <w:szCs w:val="24"/>
        </w:rPr>
        <w:t xml:space="preserve">requirement, </w:t>
      </w:r>
      <w:r w:rsidRPr="00743E64" w:rsidR="00C8343D">
        <w:rPr>
          <w:rFonts w:ascii="Palatino Linotype" w:hAnsi="Palatino Linotype"/>
          <w:sz w:val="24"/>
          <w:szCs w:val="24"/>
        </w:rPr>
        <w:t xml:space="preserve">such as standalone RPS, standalone storage, hybrid, and </w:t>
      </w:r>
      <w:r w:rsidR="00743E64">
        <w:rPr>
          <w:rFonts w:ascii="Palatino Linotype" w:hAnsi="Palatino Linotype"/>
          <w:sz w:val="24"/>
          <w:szCs w:val="24"/>
        </w:rPr>
        <w:br/>
      </w:r>
      <w:r w:rsidRPr="00743E64" w:rsidR="00C8343D">
        <w:rPr>
          <w:rFonts w:ascii="Palatino Linotype" w:hAnsi="Palatino Linotype"/>
          <w:sz w:val="24"/>
          <w:szCs w:val="24"/>
        </w:rPr>
        <w:t>co-located RPS and storage resources</w:t>
      </w:r>
      <w:r w:rsidRPr="00743E64" w:rsidR="00DE4A43">
        <w:rPr>
          <w:rFonts w:ascii="Palatino Linotype" w:hAnsi="Palatino Linotype"/>
          <w:sz w:val="24"/>
          <w:szCs w:val="24"/>
        </w:rPr>
        <w:t xml:space="preserve">, </w:t>
      </w:r>
      <w:r w:rsidRPr="00743E64" w:rsidR="0072793A">
        <w:rPr>
          <w:rFonts w:ascii="Palatino Linotype" w:hAnsi="Palatino Linotype"/>
          <w:sz w:val="24"/>
          <w:szCs w:val="24"/>
        </w:rPr>
        <w:t xml:space="preserve">as well as </w:t>
      </w:r>
      <w:r w:rsidRPr="00743E64" w:rsidR="00DE4A43">
        <w:rPr>
          <w:rFonts w:ascii="Palatino Linotype" w:hAnsi="Palatino Linotype"/>
          <w:sz w:val="24"/>
          <w:szCs w:val="24"/>
        </w:rPr>
        <w:t xml:space="preserve">RPS contracts for </w:t>
      </w:r>
      <w:r w:rsidRPr="00743E64" w:rsidR="00AE30D0">
        <w:rPr>
          <w:rFonts w:ascii="Palatino Linotype" w:hAnsi="Palatino Linotype"/>
          <w:sz w:val="24"/>
          <w:szCs w:val="24"/>
        </w:rPr>
        <w:t>firm zero-emitting</w:t>
      </w:r>
      <w:r w:rsidRPr="00743E64" w:rsidR="003A33F9">
        <w:rPr>
          <w:rFonts w:ascii="Palatino Linotype" w:hAnsi="Palatino Linotype"/>
          <w:sz w:val="24"/>
          <w:szCs w:val="24"/>
        </w:rPr>
        <w:t xml:space="preserve"> resources. </w:t>
      </w:r>
      <w:r w:rsidRPr="00743E64" w:rsidR="00971A8E">
        <w:rPr>
          <w:rFonts w:ascii="Palatino Linotype" w:hAnsi="Palatino Linotype"/>
          <w:sz w:val="24"/>
          <w:szCs w:val="24"/>
        </w:rPr>
        <w:t xml:space="preserve">As a result of this MTRRFO, PG&amp;E submitted three advice letters for the approval of </w:t>
      </w:r>
      <w:r w:rsidRPr="00743E64" w:rsidR="00221AB0">
        <w:rPr>
          <w:rFonts w:ascii="Palatino Linotype" w:hAnsi="Palatino Linotype"/>
          <w:sz w:val="24"/>
          <w:szCs w:val="24"/>
        </w:rPr>
        <w:t xml:space="preserve">seven </w:t>
      </w:r>
      <w:r w:rsidRPr="00743E64" w:rsidR="00971A8E">
        <w:rPr>
          <w:rFonts w:ascii="Palatino Linotype" w:hAnsi="Palatino Linotype"/>
          <w:sz w:val="24"/>
          <w:szCs w:val="24"/>
        </w:rPr>
        <w:t xml:space="preserve">contracts, </w:t>
      </w:r>
      <w:r w:rsidRPr="00743E64" w:rsidR="00221AB0">
        <w:rPr>
          <w:rFonts w:ascii="Palatino Linotype" w:hAnsi="Palatino Linotype"/>
          <w:sz w:val="24"/>
          <w:szCs w:val="24"/>
        </w:rPr>
        <w:t>including t</w:t>
      </w:r>
      <w:r w:rsidRPr="00743E64" w:rsidR="00550925">
        <w:rPr>
          <w:rFonts w:ascii="Palatino Linotype" w:hAnsi="Palatino Linotype"/>
          <w:sz w:val="24"/>
          <w:szCs w:val="24"/>
        </w:rPr>
        <w:t xml:space="preserve">he herein MTR Contracts presented in </w:t>
      </w:r>
      <w:r w:rsidR="00743E64">
        <w:rPr>
          <w:rFonts w:ascii="Palatino Linotype" w:hAnsi="Palatino Linotype"/>
          <w:sz w:val="24"/>
          <w:szCs w:val="24"/>
        </w:rPr>
        <w:br/>
      </w:r>
      <w:r w:rsidRPr="00743E64" w:rsidR="00550925">
        <w:rPr>
          <w:rFonts w:ascii="Palatino Linotype" w:hAnsi="Palatino Linotype"/>
          <w:sz w:val="24"/>
          <w:szCs w:val="24"/>
        </w:rPr>
        <w:t>AL 7356-E.</w:t>
      </w:r>
      <w:r w:rsidRPr="00743E64" w:rsidR="00DA3C87">
        <w:rPr>
          <w:rStyle w:val="FootnoteReference"/>
          <w:rFonts w:ascii="Palatino Linotype" w:hAnsi="Palatino Linotype"/>
          <w:sz w:val="24"/>
          <w:szCs w:val="24"/>
        </w:rPr>
        <w:footnoteReference w:id="10"/>
      </w:r>
      <w:r w:rsidRPr="00743E64" w:rsidR="00B037B9">
        <w:rPr>
          <w:rFonts w:ascii="Palatino Linotype" w:hAnsi="Palatino Linotype"/>
          <w:sz w:val="24"/>
          <w:szCs w:val="24"/>
        </w:rPr>
        <w:t xml:space="preserve"> </w:t>
      </w:r>
    </w:p>
    <w:p w:rsidRPr="00743E64" w:rsidR="0043798A" w:rsidP="00D86528" w:rsidRDefault="0043798A" w14:paraId="0C0AD970" w14:textId="77777777">
      <w:pPr>
        <w:rPr>
          <w:rFonts w:ascii="Palatino Linotype" w:hAnsi="Palatino Linotype"/>
          <w:sz w:val="24"/>
          <w:szCs w:val="24"/>
        </w:rPr>
      </w:pPr>
    </w:p>
    <w:p w:rsidRPr="00743E64" w:rsidR="0043798A" w:rsidP="0043798A" w:rsidRDefault="0043798A" w14:paraId="4D0367E9" w14:textId="452E6BFD">
      <w:pPr>
        <w:rPr>
          <w:rFonts w:ascii="Palatino Linotype" w:hAnsi="Palatino Linotype"/>
          <w:sz w:val="24"/>
          <w:szCs w:val="24"/>
        </w:rPr>
      </w:pPr>
      <w:r w:rsidRPr="00743E64">
        <w:rPr>
          <w:rFonts w:ascii="Palatino Linotype" w:hAnsi="Palatino Linotype"/>
          <w:sz w:val="24"/>
          <w:szCs w:val="24"/>
        </w:rPr>
        <w:t xml:space="preserve">To evaluate its Phase 3 MTR offers, </w:t>
      </w:r>
      <w:r w:rsidRPr="00743E64" w:rsidR="002361E0">
        <w:rPr>
          <w:rFonts w:ascii="Palatino Linotype" w:hAnsi="Palatino Linotype"/>
          <w:sz w:val="24"/>
          <w:szCs w:val="24"/>
        </w:rPr>
        <w:t>PG&amp;E</w:t>
      </w:r>
      <w:r w:rsidRPr="00743E64">
        <w:rPr>
          <w:rFonts w:ascii="Palatino Linotype" w:hAnsi="Palatino Linotype"/>
          <w:sz w:val="24"/>
          <w:szCs w:val="24"/>
        </w:rPr>
        <w:t xml:space="preserve"> </w:t>
      </w:r>
      <w:r w:rsidRPr="00743E64" w:rsidR="002947F8">
        <w:rPr>
          <w:rFonts w:ascii="Palatino Linotype" w:hAnsi="Palatino Linotype"/>
          <w:sz w:val="24"/>
          <w:szCs w:val="24"/>
        </w:rPr>
        <w:t xml:space="preserve">performed a </w:t>
      </w:r>
      <w:r w:rsidRPr="00743E64" w:rsidR="00514768">
        <w:rPr>
          <w:rFonts w:ascii="Palatino Linotype" w:hAnsi="Palatino Linotype"/>
          <w:sz w:val="24"/>
          <w:szCs w:val="24"/>
        </w:rPr>
        <w:t xml:space="preserve">Least-Cost Best-Fit (LCBF) </w:t>
      </w:r>
      <w:r w:rsidRPr="00743E64" w:rsidR="002947F8">
        <w:rPr>
          <w:rFonts w:ascii="Palatino Linotype" w:hAnsi="Palatino Linotype"/>
          <w:sz w:val="24"/>
          <w:szCs w:val="24"/>
        </w:rPr>
        <w:t xml:space="preserve">quantitative </w:t>
      </w:r>
      <w:r w:rsidRPr="00743E64" w:rsidR="005D7906">
        <w:rPr>
          <w:rFonts w:ascii="Palatino Linotype" w:hAnsi="Palatino Linotype"/>
          <w:sz w:val="24"/>
          <w:szCs w:val="24"/>
        </w:rPr>
        <w:t>analysis</w:t>
      </w:r>
      <w:r w:rsidRPr="00743E64" w:rsidR="002947F8">
        <w:rPr>
          <w:rFonts w:ascii="Palatino Linotype" w:hAnsi="Palatino Linotype"/>
          <w:sz w:val="24"/>
          <w:szCs w:val="24"/>
        </w:rPr>
        <w:t xml:space="preserve"> of conforming offers based on</w:t>
      </w:r>
      <w:r w:rsidRPr="00743E64">
        <w:rPr>
          <w:rFonts w:ascii="Palatino Linotype" w:hAnsi="Palatino Linotype"/>
          <w:sz w:val="24"/>
          <w:szCs w:val="24"/>
        </w:rPr>
        <w:t xml:space="preserve"> </w:t>
      </w:r>
      <w:r w:rsidRPr="00743E64" w:rsidR="00B77C4D">
        <w:rPr>
          <w:rFonts w:ascii="Palatino Linotype" w:hAnsi="Palatino Linotype"/>
          <w:sz w:val="24"/>
          <w:szCs w:val="24"/>
        </w:rPr>
        <w:t xml:space="preserve">consideration of </w:t>
      </w:r>
      <w:r w:rsidRPr="00743E64" w:rsidR="009343D8">
        <w:rPr>
          <w:rFonts w:ascii="Palatino Linotype" w:hAnsi="Palatino Linotype"/>
          <w:sz w:val="24"/>
          <w:szCs w:val="24"/>
        </w:rPr>
        <w:t xml:space="preserve">each offer’s </w:t>
      </w:r>
      <w:r w:rsidRPr="00743E64">
        <w:rPr>
          <w:rFonts w:ascii="Palatino Linotype" w:hAnsi="Palatino Linotype"/>
          <w:sz w:val="24"/>
          <w:szCs w:val="24"/>
        </w:rPr>
        <w:t xml:space="preserve">Net </w:t>
      </w:r>
      <w:r w:rsidRPr="00743E64" w:rsidR="009343D8">
        <w:rPr>
          <w:rFonts w:ascii="Palatino Linotype" w:hAnsi="Palatino Linotype"/>
          <w:sz w:val="24"/>
          <w:szCs w:val="24"/>
        </w:rPr>
        <w:t>Market</w:t>
      </w:r>
      <w:r w:rsidRPr="00743E64">
        <w:rPr>
          <w:rFonts w:ascii="Palatino Linotype" w:hAnsi="Palatino Linotype"/>
          <w:sz w:val="24"/>
          <w:szCs w:val="24"/>
        </w:rPr>
        <w:t xml:space="preserve"> Value (N</w:t>
      </w:r>
      <w:r w:rsidRPr="00743E64" w:rsidR="009343D8">
        <w:rPr>
          <w:rFonts w:ascii="Palatino Linotype" w:hAnsi="Palatino Linotype"/>
          <w:sz w:val="24"/>
          <w:szCs w:val="24"/>
        </w:rPr>
        <w:t>M</w:t>
      </w:r>
      <w:r w:rsidRPr="00743E64">
        <w:rPr>
          <w:rFonts w:ascii="Palatino Linotype" w:hAnsi="Palatino Linotype"/>
          <w:sz w:val="24"/>
          <w:szCs w:val="24"/>
        </w:rPr>
        <w:t>V)</w:t>
      </w:r>
      <w:r w:rsidRPr="00743E64" w:rsidR="008A5E8E">
        <w:rPr>
          <w:rFonts w:ascii="Palatino Linotype" w:hAnsi="Palatino Linotype"/>
          <w:sz w:val="24"/>
          <w:szCs w:val="24"/>
        </w:rPr>
        <w:t xml:space="preserve"> and other qua</w:t>
      </w:r>
      <w:r w:rsidRPr="00743E64">
        <w:rPr>
          <w:rFonts w:ascii="Palatino Linotype" w:hAnsi="Palatino Linotype"/>
          <w:sz w:val="24"/>
          <w:szCs w:val="24"/>
        </w:rPr>
        <w:t>litative factors.</w:t>
      </w:r>
      <w:r w:rsidRPr="00743E64" w:rsidR="00636EC7">
        <w:rPr>
          <w:rStyle w:val="FootnoteReference"/>
          <w:rFonts w:ascii="Palatino Linotype" w:hAnsi="Palatino Linotype"/>
          <w:sz w:val="24"/>
          <w:szCs w:val="24"/>
        </w:rPr>
        <w:t xml:space="preserve"> </w:t>
      </w:r>
      <w:r w:rsidRPr="00743E64" w:rsidR="00636EC7">
        <w:rPr>
          <w:rStyle w:val="FootnoteReference"/>
          <w:rFonts w:ascii="Palatino Linotype" w:hAnsi="Palatino Linotype"/>
          <w:sz w:val="24"/>
          <w:szCs w:val="24"/>
        </w:rPr>
        <w:footnoteReference w:id="11"/>
      </w:r>
      <w:r w:rsidRPr="00743E64">
        <w:rPr>
          <w:rFonts w:ascii="Palatino Linotype" w:hAnsi="Palatino Linotype"/>
          <w:sz w:val="24"/>
          <w:szCs w:val="24"/>
        </w:rPr>
        <w:t xml:space="preserve"> The conformance screen required resources to meet D.21-06-035 </w:t>
      </w:r>
      <w:r w:rsidRPr="00743E64" w:rsidR="001E1764">
        <w:rPr>
          <w:rFonts w:ascii="Palatino Linotype" w:hAnsi="Palatino Linotype"/>
          <w:sz w:val="24"/>
          <w:szCs w:val="24"/>
        </w:rPr>
        <w:t xml:space="preserve">and D.23-02-040 </w:t>
      </w:r>
      <w:r w:rsidRPr="00743E64">
        <w:rPr>
          <w:rFonts w:ascii="Palatino Linotype" w:hAnsi="Palatino Linotype"/>
          <w:sz w:val="24"/>
          <w:szCs w:val="24"/>
        </w:rPr>
        <w:t>requirements and other project variability criteria. The N</w:t>
      </w:r>
      <w:r w:rsidRPr="00743E64" w:rsidR="005D7906">
        <w:rPr>
          <w:rFonts w:ascii="Palatino Linotype" w:hAnsi="Palatino Linotype"/>
          <w:sz w:val="24"/>
          <w:szCs w:val="24"/>
        </w:rPr>
        <w:t>M</w:t>
      </w:r>
      <w:r w:rsidRPr="00743E64">
        <w:rPr>
          <w:rFonts w:ascii="Palatino Linotype" w:hAnsi="Palatino Linotype"/>
          <w:sz w:val="24"/>
          <w:szCs w:val="24"/>
        </w:rPr>
        <w:t>V calculations were based on a cost/benefit analysis, where</w:t>
      </w:r>
      <w:r w:rsidRPr="00743E64" w:rsidR="00B134A3">
        <w:rPr>
          <w:rFonts w:ascii="Palatino Linotype" w:hAnsi="Palatino Linotype"/>
          <w:sz w:val="24"/>
          <w:szCs w:val="24"/>
        </w:rPr>
        <w:t xml:space="preserve"> the</w:t>
      </w:r>
      <w:r w:rsidRPr="00743E64">
        <w:rPr>
          <w:rFonts w:ascii="Palatino Linotype" w:hAnsi="Palatino Linotype"/>
          <w:sz w:val="24"/>
          <w:szCs w:val="24"/>
        </w:rPr>
        <w:t xml:space="preserve"> benefits </w:t>
      </w:r>
      <w:r w:rsidRPr="00743E64" w:rsidR="00B134A3">
        <w:rPr>
          <w:rFonts w:ascii="Palatino Linotype" w:hAnsi="Palatino Linotype"/>
          <w:sz w:val="24"/>
          <w:szCs w:val="24"/>
        </w:rPr>
        <w:t>consisted of capacity value, energy value, and green attributes</w:t>
      </w:r>
      <w:r w:rsidRPr="00743E64" w:rsidR="00101BE3">
        <w:rPr>
          <w:rFonts w:ascii="Palatino Linotype" w:hAnsi="Palatino Linotype"/>
          <w:sz w:val="24"/>
          <w:szCs w:val="24"/>
        </w:rPr>
        <w:t xml:space="preserve"> as indicated by each agreement or term sheet</w:t>
      </w:r>
      <w:r w:rsidRPr="00743E64">
        <w:rPr>
          <w:rFonts w:ascii="Palatino Linotype" w:hAnsi="Palatino Linotype"/>
          <w:sz w:val="24"/>
          <w:szCs w:val="24"/>
        </w:rPr>
        <w:t xml:space="preserve">. The </w:t>
      </w:r>
      <w:r w:rsidRPr="00743E64" w:rsidR="005F0540">
        <w:rPr>
          <w:rFonts w:ascii="Palatino Linotype" w:hAnsi="Palatino Linotype"/>
          <w:sz w:val="24"/>
          <w:szCs w:val="24"/>
        </w:rPr>
        <w:t>N</w:t>
      </w:r>
      <w:r w:rsidRPr="00743E64" w:rsidR="007A7F9A">
        <w:rPr>
          <w:rFonts w:ascii="Palatino Linotype" w:hAnsi="Palatino Linotype"/>
          <w:sz w:val="24"/>
          <w:szCs w:val="24"/>
        </w:rPr>
        <w:t>M</w:t>
      </w:r>
      <w:r w:rsidRPr="00743E64" w:rsidR="005F0540">
        <w:rPr>
          <w:rFonts w:ascii="Palatino Linotype" w:hAnsi="Palatino Linotype"/>
          <w:sz w:val="24"/>
          <w:szCs w:val="24"/>
        </w:rPr>
        <w:t>V</w:t>
      </w:r>
      <w:r w:rsidRPr="00743E64">
        <w:rPr>
          <w:rFonts w:ascii="Palatino Linotype" w:hAnsi="Palatino Linotype"/>
          <w:sz w:val="24"/>
          <w:szCs w:val="24"/>
        </w:rPr>
        <w:t xml:space="preserve"> costs </w:t>
      </w:r>
      <w:r w:rsidRPr="00743E64" w:rsidR="007A7F9A">
        <w:rPr>
          <w:rFonts w:ascii="Palatino Linotype" w:hAnsi="Palatino Linotype"/>
          <w:sz w:val="24"/>
          <w:szCs w:val="24"/>
        </w:rPr>
        <w:t>consisted of contract fixed cost, variable cost, and transmission network upgrade cost</w:t>
      </w:r>
      <w:r w:rsidRPr="00743E64">
        <w:rPr>
          <w:rFonts w:ascii="Palatino Linotype" w:hAnsi="Palatino Linotype"/>
          <w:sz w:val="24"/>
          <w:szCs w:val="24"/>
        </w:rPr>
        <w:t>.</w:t>
      </w:r>
      <w:r w:rsidRPr="00743E64" w:rsidR="00C44C73">
        <w:rPr>
          <w:rFonts w:ascii="Palatino Linotype" w:hAnsi="Palatino Linotype"/>
          <w:sz w:val="24"/>
          <w:szCs w:val="24"/>
        </w:rPr>
        <w:t xml:space="preserve"> The NMV analysis also included the consideration of added project features</w:t>
      </w:r>
      <w:r w:rsidRPr="00743E64" w:rsidR="001E2D87">
        <w:rPr>
          <w:rFonts w:ascii="Palatino Linotype" w:hAnsi="Palatino Linotype"/>
          <w:sz w:val="24"/>
          <w:szCs w:val="24"/>
        </w:rPr>
        <w:t>, which ultimately created an Adjusted NMV</w:t>
      </w:r>
      <w:r w:rsidRPr="00743E64" w:rsidR="00613628">
        <w:rPr>
          <w:rFonts w:ascii="Palatino Linotype" w:hAnsi="Palatino Linotype"/>
          <w:sz w:val="24"/>
          <w:szCs w:val="24"/>
        </w:rPr>
        <w:t>.</w:t>
      </w:r>
      <w:r w:rsidRPr="00743E64" w:rsidR="00B32E56">
        <w:rPr>
          <w:rStyle w:val="FootnoteReference"/>
          <w:rFonts w:ascii="Palatino Linotype" w:hAnsi="Palatino Linotype"/>
          <w:sz w:val="24"/>
          <w:szCs w:val="24"/>
        </w:rPr>
        <w:footnoteReference w:id="12"/>
      </w:r>
      <w:r w:rsidRPr="00743E64">
        <w:rPr>
          <w:rFonts w:ascii="Palatino Linotype" w:hAnsi="Palatino Linotype"/>
          <w:sz w:val="24"/>
          <w:szCs w:val="24"/>
        </w:rPr>
        <w:t xml:space="preserve"> </w:t>
      </w:r>
      <w:r w:rsidRPr="00743E64" w:rsidR="00975A3E">
        <w:rPr>
          <w:rFonts w:ascii="Palatino Linotype" w:hAnsi="Palatino Linotype"/>
          <w:sz w:val="24"/>
          <w:szCs w:val="24"/>
        </w:rPr>
        <w:t xml:space="preserve">After the </w:t>
      </w:r>
      <w:r w:rsidRPr="00743E64" w:rsidR="001E2D87">
        <w:rPr>
          <w:rFonts w:ascii="Palatino Linotype" w:hAnsi="Palatino Linotype"/>
          <w:sz w:val="24"/>
          <w:szCs w:val="24"/>
        </w:rPr>
        <w:t xml:space="preserve">Adjusted </w:t>
      </w:r>
      <w:r w:rsidRPr="00743E64" w:rsidR="00975A3E">
        <w:rPr>
          <w:rFonts w:ascii="Palatino Linotype" w:hAnsi="Palatino Linotype"/>
          <w:sz w:val="24"/>
          <w:szCs w:val="24"/>
        </w:rPr>
        <w:t>N</w:t>
      </w:r>
      <w:r w:rsidRPr="00743E64" w:rsidR="001E2D87">
        <w:rPr>
          <w:rFonts w:ascii="Palatino Linotype" w:hAnsi="Palatino Linotype"/>
          <w:sz w:val="24"/>
          <w:szCs w:val="24"/>
        </w:rPr>
        <w:t>M</w:t>
      </w:r>
      <w:r w:rsidRPr="00743E64" w:rsidR="00975A3E">
        <w:rPr>
          <w:rFonts w:ascii="Palatino Linotype" w:hAnsi="Palatino Linotype"/>
          <w:sz w:val="24"/>
          <w:szCs w:val="24"/>
        </w:rPr>
        <w:t>V was c</w:t>
      </w:r>
      <w:r w:rsidRPr="00743E64" w:rsidR="001E2D87">
        <w:rPr>
          <w:rFonts w:ascii="Palatino Linotype" w:hAnsi="Palatino Linotype"/>
          <w:sz w:val="24"/>
          <w:szCs w:val="24"/>
        </w:rPr>
        <w:t>alculated</w:t>
      </w:r>
      <w:r w:rsidRPr="00743E64" w:rsidR="00975A3E">
        <w:rPr>
          <w:rFonts w:ascii="Palatino Linotype" w:hAnsi="Palatino Linotype"/>
          <w:sz w:val="24"/>
          <w:szCs w:val="24"/>
        </w:rPr>
        <w:t xml:space="preserve">, </w:t>
      </w:r>
      <w:r w:rsidRPr="00743E64" w:rsidR="004037F2">
        <w:rPr>
          <w:rFonts w:ascii="Palatino Linotype" w:hAnsi="Palatino Linotype"/>
          <w:sz w:val="24"/>
          <w:szCs w:val="24"/>
        </w:rPr>
        <w:t>PG&amp;E shortlisted the viable projects and began negotiation</w:t>
      </w:r>
      <w:r w:rsidRPr="00743E64" w:rsidR="007200A3">
        <w:rPr>
          <w:rFonts w:ascii="Palatino Linotype" w:hAnsi="Palatino Linotype"/>
          <w:sz w:val="24"/>
          <w:szCs w:val="24"/>
        </w:rPr>
        <w:t>s</w:t>
      </w:r>
      <w:r w:rsidRPr="00743E64" w:rsidR="004037F2">
        <w:rPr>
          <w:rFonts w:ascii="Palatino Linotype" w:hAnsi="Palatino Linotype"/>
          <w:sz w:val="24"/>
          <w:szCs w:val="24"/>
        </w:rPr>
        <w:t xml:space="preserve"> with relevant counterparties</w:t>
      </w:r>
      <w:r w:rsidRPr="00743E64" w:rsidR="00D105A0">
        <w:rPr>
          <w:rFonts w:ascii="Palatino Linotype" w:hAnsi="Palatino Linotype"/>
          <w:sz w:val="24"/>
          <w:szCs w:val="24"/>
        </w:rPr>
        <w:t xml:space="preserve"> whose contract terms met the procurement requirements outlined in </w:t>
      </w:r>
      <w:r w:rsidRPr="00743E64" w:rsidR="00847800">
        <w:rPr>
          <w:rFonts w:ascii="Palatino Linotype" w:hAnsi="Palatino Linotype"/>
          <w:sz w:val="24"/>
          <w:szCs w:val="24"/>
        </w:rPr>
        <w:t>D.21-06-035</w:t>
      </w:r>
      <w:r w:rsidRPr="00743E64" w:rsidR="007200A3">
        <w:rPr>
          <w:rFonts w:ascii="Palatino Linotype" w:hAnsi="Palatino Linotype"/>
          <w:sz w:val="24"/>
          <w:szCs w:val="24"/>
        </w:rPr>
        <w:t xml:space="preserve"> and</w:t>
      </w:r>
      <w:r w:rsidRPr="00743E64" w:rsidR="00B9305B">
        <w:rPr>
          <w:rFonts w:ascii="Palatino Linotype" w:hAnsi="Palatino Linotype"/>
          <w:sz w:val="24"/>
          <w:szCs w:val="24"/>
        </w:rPr>
        <w:t xml:space="preserve"> D.</w:t>
      </w:r>
      <w:r w:rsidRPr="00743E64" w:rsidR="0065172C">
        <w:rPr>
          <w:rFonts w:ascii="Palatino Linotype" w:hAnsi="Palatino Linotype"/>
          <w:sz w:val="24"/>
          <w:szCs w:val="24"/>
        </w:rPr>
        <w:t>23-02-040</w:t>
      </w:r>
      <w:r w:rsidRPr="00743E64" w:rsidR="003826C8">
        <w:rPr>
          <w:rFonts w:ascii="Palatino Linotype" w:hAnsi="Palatino Linotype"/>
          <w:sz w:val="24"/>
          <w:szCs w:val="24"/>
        </w:rPr>
        <w:t>.</w:t>
      </w:r>
    </w:p>
    <w:p w:rsidRPr="00743E64" w:rsidR="00E231BF" w:rsidP="00D86528" w:rsidRDefault="00E231BF" w14:paraId="581FBC38" w14:textId="2D3B3EED">
      <w:pPr>
        <w:rPr>
          <w:rFonts w:ascii="Palatino Linotype" w:hAnsi="Palatino Linotype"/>
          <w:sz w:val="24"/>
          <w:szCs w:val="24"/>
        </w:rPr>
      </w:pPr>
    </w:p>
    <w:p w:rsidRPr="00743E64" w:rsidR="00D86528" w:rsidP="00D86528" w:rsidRDefault="00D86528" w14:paraId="28039E54" w14:textId="77777777">
      <w:pPr>
        <w:pStyle w:val="Heading1"/>
        <w:rPr>
          <w:rFonts w:ascii="Palatino Linotype" w:hAnsi="Palatino Linotype"/>
          <w:sz w:val="24"/>
          <w:szCs w:val="24"/>
        </w:rPr>
      </w:pPr>
      <w:r w:rsidRPr="00743E64">
        <w:rPr>
          <w:rFonts w:ascii="Palatino Linotype" w:hAnsi="Palatino Linotype"/>
          <w:sz w:val="24"/>
          <w:szCs w:val="24"/>
        </w:rPr>
        <w:t>Notice</w:t>
      </w:r>
    </w:p>
    <w:p w:rsidRPr="00743E64" w:rsidR="00D86528" w:rsidP="00D86528" w:rsidRDefault="007200A3" w14:paraId="2DDDB803" w14:textId="3CB4D55E">
      <w:pPr>
        <w:rPr>
          <w:rFonts w:ascii="Palatino Linotype" w:hAnsi="Palatino Linotype"/>
          <w:sz w:val="24"/>
          <w:szCs w:val="24"/>
        </w:rPr>
      </w:pPr>
      <w:r w:rsidRPr="00743E64">
        <w:rPr>
          <w:rFonts w:ascii="Palatino Linotype" w:hAnsi="Palatino Linotype"/>
          <w:sz w:val="24"/>
          <w:szCs w:val="24"/>
        </w:rPr>
        <w:t>P</w:t>
      </w:r>
      <w:r w:rsidRPr="00743E64" w:rsidR="00334690">
        <w:rPr>
          <w:rFonts w:ascii="Palatino Linotype" w:hAnsi="Palatino Linotype"/>
          <w:sz w:val="24"/>
          <w:szCs w:val="24"/>
        </w:rPr>
        <w:t>G&amp;E</w:t>
      </w:r>
      <w:r w:rsidRPr="00743E64">
        <w:rPr>
          <w:rFonts w:ascii="Palatino Linotype" w:hAnsi="Palatino Linotype"/>
          <w:sz w:val="24"/>
          <w:szCs w:val="24"/>
        </w:rPr>
        <w:t xml:space="preserve"> </w:t>
      </w:r>
      <w:r w:rsidRPr="00743E64" w:rsidR="00D86528">
        <w:rPr>
          <w:rFonts w:ascii="Palatino Linotype" w:hAnsi="Palatino Linotype"/>
          <w:sz w:val="24"/>
          <w:szCs w:val="24"/>
        </w:rPr>
        <w:t>states that a copy of Advice Letter</w:t>
      </w:r>
      <w:r w:rsidRPr="00743E64">
        <w:rPr>
          <w:rFonts w:ascii="Palatino Linotype" w:hAnsi="Palatino Linotype"/>
          <w:sz w:val="24"/>
          <w:szCs w:val="24"/>
        </w:rPr>
        <w:t xml:space="preserve"> 7356</w:t>
      </w:r>
      <w:r w:rsidRPr="00743E64" w:rsidR="00D86528">
        <w:rPr>
          <w:rFonts w:ascii="Palatino Linotype" w:hAnsi="Palatino Linotype"/>
          <w:sz w:val="24"/>
          <w:szCs w:val="24"/>
        </w:rPr>
        <w:t xml:space="preserve">-E was mailed and distributed to the </w:t>
      </w:r>
      <w:r w:rsidR="00743E64">
        <w:rPr>
          <w:rFonts w:ascii="Palatino Linotype" w:hAnsi="Palatino Linotype"/>
          <w:sz w:val="24"/>
          <w:szCs w:val="24"/>
        </w:rPr>
        <w:br/>
      </w:r>
      <w:r w:rsidRPr="00743E64" w:rsidR="001705E5">
        <w:rPr>
          <w:rFonts w:ascii="Palatino Linotype" w:hAnsi="Palatino Linotype"/>
          <w:sz w:val="24"/>
          <w:szCs w:val="24"/>
        </w:rPr>
        <w:t>R.20-05-003</w:t>
      </w:r>
      <w:r w:rsidRPr="00743E64" w:rsidR="00F33210">
        <w:rPr>
          <w:rFonts w:ascii="Palatino Linotype" w:hAnsi="Palatino Linotype"/>
          <w:sz w:val="24"/>
          <w:szCs w:val="24"/>
        </w:rPr>
        <w:t xml:space="preserve"> </w:t>
      </w:r>
      <w:r w:rsidRPr="00743E64" w:rsidR="00D86528">
        <w:rPr>
          <w:rFonts w:ascii="Palatino Linotype" w:hAnsi="Palatino Linotype"/>
          <w:sz w:val="24"/>
          <w:szCs w:val="24"/>
        </w:rPr>
        <w:t xml:space="preserve">service list in accordance with Section 4 of General Order 96-B. </w:t>
      </w:r>
    </w:p>
    <w:p w:rsidRPr="00743E64" w:rsidR="00D86528" w:rsidP="00D86528" w:rsidRDefault="00D86528" w14:paraId="2DE9157F" w14:textId="77777777">
      <w:pPr>
        <w:pStyle w:val="Heading1"/>
        <w:rPr>
          <w:rFonts w:ascii="Palatino Linotype" w:hAnsi="Palatino Linotype"/>
          <w:sz w:val="24"/>
          <w:szCs w:val="24"/>
        </w:rPr>
      </w:pPr>
      <w:r w:rsidRPr="00743E64">
        <w:rPr>
          <w:rFonts w:ascii="Palatino Linotype" w:hAnsi="Palatino Linotype"/>
          <w:sz w:val="24"/>
          <w:szCs w:val="24"/>
        </w:rPr>
        <w:lastRenderedPageBreak/>
        <w:t>Protests</w:t>
      </w:r>
    </w:p>
    <w:p w:rsidRPr="00743E64" w:rsidR="008404FD" w:rsidP="008404FD" w:rsidRDefault="008404FD" w14:paraId="3B22AFD3" w14:textId="23EBC523">
      <w:pPr>
        <w:rPr>
          <w:rFonts w:ascii="Palatino Linotype" w:hAnsi="Palatino Linotype" w:cs="Segoe UI"/>
          <w:sz w:val="24"/>
          <w:szCs w:val="24"/>
        </w:rPr>
      </w:pPr>
      <w:r w:rsidRPr="00743E64">
        <w:rPr>
          <w:rFonts w:ascii="Palatino Linotype" w:hAnsi="Palatino Linotype" w:cs="Segoe UI"/>
          <w:sz w:val="24"/>
          <w:szCs w:val="24"/>
        </w:rPr>
        <w:t xml:space="preserve">Advice Letter </w:t>
      </w:r>
      <w:r w:rsidRPr="00743E64" w:rsidR="00A1668A">
        <w:rPr>
          <w:rFonts w:ascii="Palatino Linotype" w:hAnsi="Palatino Linotype" w:cs="Segoe UI"/>
          <w:sz w:val="24"/>
          <w:szCs w:val="24"/>
        </w:rPr>
        <w:t>7356</w:t>
      </w:r>
      <w:r w:rsidRPr="00743E64">
        <w:rPr>
          <w:rFonts w:ascii="Palatino Linotype" w:hAnsi="Palatino Linotype" w:cs="Segoe UI"/>
          <w:sz w:val="24"/>
          <w:szCs w:val="24"/>
        </w:rPr>
        <w:t xml:space="preserve">-E was not protested.  </w:t>
      </w:r>
    </w:p>
    <w:p w:rsidRPr="00743E64" w:rsidR="00310345" w:rsidP="00063AB1" w:rsidRDefault="00310345" w14:paraId="2DA0B546" w14:textId="77777777">
      <w:pPr>
        <w:rPr>
          <w:rFonts w:ascii="Palatino Linotype" w:hAnsi="Palatino Linotype"/>
          <w:i/>
          <w:iCs/>
          <w:sz w:val="24"/>
          <w:szCs w:val="24"/>
        </w:rPr>
      </w:pPr>
    </w:p>
    <w:p w:rsidRPr="00743E64" w:rsidR="00D86528" w:rsidP="00D86528" w:rsidRDefault="00251290" w14:paraId="790F0C43" w14:textId="1AE53C37">
      <w:pPr>
        <w:pStyle w:val="Heading1"/>
        <w:rPr>
          <w:rFonts w:ascii="Palatino Linotype" w:hAnsi="Palatino Linotype"/>
          <w:sz w:val="24"/>
          <w:szCs w:val="24"/>
        </w:rPr>
      </w:pPr>
      <w:r w:rsidRPr="00743E64">
        <w:rPr>
          <w:rFonts w:ascii="Palatino Linotype" w:hAnsi="Palatino Linotype"/>
          <w:b w:val="0"/>
          <w:caps w:val="0"/>
          <w:kern w:val="0"/>
          <w:sz w:val="24"/>
          <w:szCs w:val="24"/>
          <w:u w:val="none"/>
        </w:rPr>
        <w:t xml:space="preserve"> </w:t>
      </w:r>
      <w:r w:rsidRPr="00743E64" w:rsidR="00D86528">
        <w:rPr>
          <w:rFonts w:ascii="Palatino Linotype" w:hAnsi="Palatino Linotype"/>
          <w:sz w:val="24"/>
          <w:szCs w:val="24"/>
        </w:rPr>
        <w:t>Discussion</w:t>
      </w:r>
    </w:p>
    <w:p w:rsidRPr="00743E64" w:rsidR="00D86528" w:rsidP="00D86528" w:rsidRDefault="00745D2B" w14:paraId="51565A7A" w14:textId="49B6336D">
      <w:pPr>
        <w:rPr>
          <w:rFonts w:ascii="Palatino Linotype" w:hAnsi="Palatino Linotype"/>
          <w:b/>
          <w:sz w:val="24"/>
          <w:szCs w:val="24"/>
        </w:rPr>
      </w:pPr>
      <w:r w:rsidRPr="00743E64">
        <w:rPr>
          <w:rFonts w:ascii="Palatino Linotype" w:hAnsi="Palatino Linotype"/>
          <w:b/>
          <w:sz w:val="24"/>
          <w:szCs w:val="24"/>
        </w:rPr>
        <w:t>PG&amp;E</w:t>
      </w:r>
      <w:r w:rsidRPr="00743E64" w:rsidR="00D86528">
        <w:rPr>
          <w:rFonts w:ascii="Palatino Linotype" w:hAnsi="Palatino Linotype"/>
          <w:b/>
          <w:sz w:val="24"/>
          <w:szCs w:val="24"/>
        </w:rPr>
        <w:t xml:space="preserve"> requests approval of </w:t>
      </w:r>
      <w:r w:rsidRPr="00743E64" w:rsidR="008F7A2A">
        <w:rPr>
          <w:rFonts w:ascii="Palatino Linotype" w:hAnsi="Palatino Linotype"/>
          <w:b/>
          <w:sz w:val="24"/>
          <w:szCs w:val="24"/>
        </w:rPr>
        <w:t>f</w:t>
      </w:r>
      <w:r w:rsidRPr="00743E64">
        <w:rPr>
          <w:rFonts w:ascii="Palatino Linotype" w:hAnsi="Palatino Linotype"/>
          <w:b/>
          <w:sz w:val="24"/>
          <w:szCs w:val="24"/>
        </w:rPr>
        <w:t>our</w:t>
      </w:r>
      <w:r w:rsidRPr="00743E64" w:rsidR="00FF1F7D">
        <w:rPr>
          <w:rFonts w:ascii="Palatino Linotype" w:hAnsi="Palatino Linotype"/>
          <w:b/>
          <w:sz w:val="24"/>
          <w:szCs w:val="24"/>
        </w:rPr>
        <w:t xml:space="preserve"> contracts for</w:t>
      </w:r>
      <w:r w:rsidRPr="00743E64" w:rsidR="008F7A2A">
        <w:rPr>
          <w:rFonts w:ascii="Palatino Linotype" w:hAnsi="Palatino Linotype"/>
          <w:b/>
          <w:sz w:val="24"/>
          <w:szCs w:val="24"/>
        </w:rPr>
        <w:t xml:space="preserve"> Mid-Term Reliability </w:t>
      </w:r>
      <w:r w:rsidRPr="00743E64">
        <w:rPr>
          <w:rFonts w:ascii="Palatino Linotype" w:hAnsi="Palatino Linotype"/>
          <w:b/>
          <w:sz w:val="24"/>
          <w:szCs w:val="24"/>
        </w:rPr>
        <w:t>Procurement</w:t>
      </w:r>
      <w:r w:rsidRPr="00743E64" w:rsidR="00C26809">
        <w:rPr>
          <w:rFonts w:ascii="Palatino Linotype" w:hAnsi="Palatino Linotype"/>
          <w:b/>
          <w:sz w:val="24"/>
          <w:szCs w:val="24"/>
        </w:rPr>
        <w:t xml:space="preserve"> compliance</w:t>
      </w:r>
      <w:r w:rsidRPr="00743E64" w:rsidR="000457E2">
        <w:rPr>
          <w:rFonts w:ascii="Palatino Linotype" w:hAnsi="Palatino Linotype"/>
          <w:b/>
          <w:sz w:val="24"/>
          <w:szCs w:val="24"/>
        </w:rPr>
        <w:t>.</w:t>
      </w:r>
    </w:p>
    <w:p w:rsidRPr="00743E64" w:rsidR="00D86528" w:rsidP="00D86528" w:rsidRDefault="00D86528" w14:paraId="78D9E923" w14:textId="77777777">
      <w:pPr>
        <w:rPr>
          <w:rFonts w:ascii="Palatino Linotype" w:hAnsi="Palatino Linotype"/>
          <w:sz w:val="24"/>
          <w:szCs w:val="24"/>
        </w:rPr>
      </w:pPr>
    </w:p>
    <w:p w:rsidRPr="00743E64" w:rsidR="00D86528" w:rsidP="00CD2E2B" w:rsidRDefault="00745D2B" w14:paraId="5AD1D65B" w14:textId="006A3F4F">
      <w:pPr>
        <w:rPr>
          <w:rFonts w:ascii="Palatino Linotype" w:hAnsi="Palatino Linotype"/>
          <w:sz w:val="24"/>
          <w:szCs w:val="24"/>
        </w:rPr>
      </w:pPr>
      <w:r w:rsidRPr="00743E64">
        <w:rPr>
          <w:rFonts w:ascii="Palatino Linotype" w:hAnsi="Palatino Linotype"/>
          <w:sz w:val="24"/>
          <w:szCs w:val="24"/>
        </w:rPr>
        <w:t xml:space="preserve">On February 7, 2023, PG&amp;E launched Phase 3 of its MTRRFO </w:t>
      </w:r>
      <w:r w:rsidRPr="00743E64" w:rsidR="00471CF8">
        <w:rPr>
          <w:rFonts w:ascii="Palatino Linotype" w:hAnsi="Palatino Linotype"/>
          <w:sz w:val="24"/>
          <w:szCs w:val="24"/>
        </w:rPr>
        <w:t xml:space="preserve">for incremental resources </w:t>
      </w:r>
      <w:r w:rsidRPr="00743E64" w:rsidR="000F2055">
        <w:rPr>
          <w:rFonts w:ascii="Palatino Linotype" w:hAnsi="Palatino Linotype"/>
          <w:sz w:val="24"/>
          <w:szCs w:val="24"/>
        </w:rPr>
        <w:t>with initial deliver</w:t>
      </w:r>
      <w:r w:rsidRPr="00743E64" w:rsidR="00B9100C">
        <w:rPr>
          <w:rFonts w:ascii="Palatino Linotype" w:hAnsi="Palatino Linotype"/>
          <w:sz w:val="24"/>
          <w:szCs w:val="24"/>
        </w:rPr>
        <w:t>ies beginning in June 2024 through June 2030</w:t>
      </w:r>
      <w:r w:rsidRPr="00743E64" w:rsidR="00471CF8">
        <w:rPr>
          <w:rFonts w:ascii="Palatino Linotype" w:hAnsi="Palatino Linotype"/>
          <w:sz w:val="24"/>
          <w:szCs w:val="24"/>
        </w:rPr>
        <w:t xml:space="preserve">. </w:t>
      </w:r>
      <w:r w:rsidRPr="00743E64">
        <w:rPr>
          <w:rFonts w:ascii="Palatino Linotype" w:hAnsi="Palatino Linotype"/>
          <w:sz w:val="24"/>
          <w:szCs w:val="24"/>
        </w:rPr>
        <w:t>PG&amp;E</w:t>
      </w:r>
      <w:r w:rsidRPr="00743E64" w:rsidR="00C33A3F">
        <w:rPr>
          <w:rFonts w:ascii="Palatino Linotype" w:hAnsi="Palatino Linotype"/>
          <w:sz w:val="24"/>
          <w:szCs w:val="24"/>
        </w:rPr>
        <w:t xml:space="preserve">’s </w:t>
      </w:r>
      <w:r w:rsidRPr="00743E64" w:rsidR="00CD2E2B">
        <w:rPr>
          <w:rFonts w:ascii="Palatino Linotype" w:hAnsi="Palatino Linotype"/>
          <w:sz w:val="24"/>
          <w:szCs w:val="24"/>
        </w:rPr>
        <w:t xml:space="preserve">Phase 3 </w:t>
      </w:r>
      <w:r w:rsidRPr="00743E64" w:rsidR="00C33A3F">
        <w:rPr>
          <w:rFonts w:ascii="Palatino Linotype" w:hAnsi="Palatino Linotype"/>
          <w:sz w:val="24"/>
          <w:szCs w:val="24"/>
        </w:rPr>
        <w:t xml:space="preserve">MTRRFO </w:t>
      </w:r>
      <w:r w:rsidRPr="00743E64" w:rsidR="00CD2E2B">
        <w:rPr>
          <w:rFonts w:ascii="Palatino Linotype" w:hAnsi="Palatino Linotype"/>
          <w:sz w:val="24"/>
          <w:szCs w:val="24"/>
        </w:rPr>
        <w:t xml:space="preserve">sought incremental zero-emitting resources or resources that otherwise meet RPS eligibility requirements that provide RA benefits or otherwise contribute to </w:t>
      </w:r>
      <w:r w:rsidR="00743E64">
        <w:rPr>
          <w:rFonts w:ascii="Palatino Linotype" w:hAnsi="Palatino Linotype"/>
          <w:sz w:val="24"/>
          <w:szCs w:val="24"/>
        </w:rPr>
        <w:br/>
      </w:r>
      <w:r w:rsidRPr="00743E64" w:rsidR="001C0A26">
        <w:rPr>
          <w:rFonts w:ascii="Palatino Linotype" w:hAnsi="Palatino Linotype"/>
          <w:sz w:val="24"/>
          <w:szCs w:val="24"/>
        </w:rPr>
        <w:t>PG&amp;E</w:t>
      </w:r>
      <w:r w:rsidRPr="00743E64" w:rsidR="00CD2E2B">
        <w:rPr>
          <w:rFonts w:ascii="Palatino Linotype" w:hAnsi="Palatino Linotype"/>
          <w:sz w:val="24"/>
          <w:szCs w:val="24"/>
        </w:rPr>
        <w:t>’s MTR procurement requirements.</w:t>
      </w:r>
      <w:r w:rsidRPr="00743E64" w:rsidR="00C33A3F">
        <w:rPr>
          <w:rFonts w:ascii="Palatino Linotype" w:hAnsi="Palatino Linotype"/>
          <w:sz w:val="24"/>
          <w:szCs w:val="24"/>
        </w:rPr>
        <w:t xml:space="preserve"> </w:t>
      </w:r>
      <w:r w:rsidRPr="00743E64" w:rsidR="00D86528">
        <w:rPr>
          <w:rFonts w:ascii="Palatino Linotype" w:hAnsi="Palatino Linotype"/>
          <w:sz w:val="24"/>
          <w:szCs w:val="24"/>
        </w:rPr>
        <w:t xml:space="preserve">On </w:t>
      </w:r>
      <w:r w:rsidRPr="00743E64">
        <w:rPr>
          <w:rFonts w:ascii="Palatino Linotype" w:hAnsi="Palatino Linotype"/>
          <w:sz w:val="24"/>
          <w:szCs w:val="24"/>
        </w:rPr>
        <w:t>September 9</w:t>
      </w:r>
      <w:r w:rsidRPr="00743E64" w:rsidR="00D86528">
        <w:rPr>
          <w:rFonts w:ascii="Palatino Linotype" w:hAnsi="Palatino Linotype"/>
          <w:sz w:val="24"/>
          <w:szCs w:val="24"/>
        </w:rPr>
        <w:t>, 202</w:t>
      </w:r>
      <w:r w:rsidRPr="00743E64" w:rsidR="00C30D57">
        <w:rPr>
          <w:rFonts w:ascii="Palatino Linotype" w:hAnsi="Palatino Linotype"/>
          <w:sz w:val="24"/>
          <w:szCs w:val="24"/>
        </w:rPr>
        <w:t>4</w:t>
      </w:r>
      <w:r w:rsidRPr="00743E64" w:rsidR="00D86528">
        <w:rPr>
          <w:rFonts w:ascii="Palatino Linotype" w:hAnsi="Palatino Linotype"/>
          <w:sz w:val="24"/>
          <w:szCs w:val="24"/>
        </w:rPr>
        <w:t xml:space="preserve">, </w:t>
      </w:r>
      <w:r w:rsidRPr="00743E64">
        <w:rPr>
          <w:rFonts w:ascii="Palatino Linotype" w:hAnsi="Palatino Linotype"/>
          <w:sz w:val="24"/>
          <w:szCs w:val="24"/>
        </w:rPr>
        <w:t>PG&amp;E</w:t>
      </w:r>
      <w:r w:rsidRPr="00743E64" w:rsidR="00D86528">
        <w:rPr>
          <w:rFonts w:ascii="Palatino Linotype" w:hAnsi="Palatino Linotype"/>
          <w:sz w:val="24"/>
          <w:szCs w:val="24"/>
        </w:rPr>
        <w:t xml:space="preserve"> filed AL </w:t>
      </w:r>
      <w:r w:rsidRPr="00743E64">
        <w:rPr>
          <w:rFonts w:ascii="Palatino Linotype" w:hAnsi="Palatino Linotype"/>
          <w:sz w:val="24"/>
          <w:szCs w:val="24"/>
        </w:rPr>
        <w:t>7356</w:t>
      </w:r>
      <w:r w:rsidRPr="00743E64" w:rsidR="00D86528">
        <w:rPr>
          <w:rFonts w:ascii="Palatino Linotype" w:hAnsi="Palatino Linotype"/>
          <w:sz w:val="24"/>
          <w:szCs w:val="24"/>
        </w:rPr>
        <w:t xml:space="preserve">-E requesting approval of </w:t>
      </w:r>
      <w:r w:rsidRPr="00743E64" w:rsidR="009A7D7D">
        <w:rPr>
          <w:rFonts w:ascii="Palatino Linotype" w:hAnsi="Palatino Linotype"/>
          <w:sz w:val="24"/>
          <w:szCs w:val="24"/>
        </w:rPr>
        <w:t>the MTR Contracts for renewable resources</w:t>
      </w:r>
      <w:r w:rsidRPr="00743E64" w:rsidR="0045225C">
        <w:rPr>
          <w:rFonts w:ascii="Palatino Linotype" w:hAnsi="Palatino Linotype"/>
          <w:sz w:val="24"/>
          <w:szCs w:val="24"/>
        </w:rPr>
        <w:t xml:space="preserve"> or otherwise </w:t>
      </w:r>
      <w:proofErr w:type="gramStart"/>
      <w:r w:rsidRPr="00743E64" w:rsidR="0045225C">
        <w:rPr>
          <w:rFonts w:ascii="Palatino Linotype" w:hAnsi="Palatino Linotype"/>
          <w:sz w:val="24"/>
          <w:szCs w:val="24"/>
        </w:rPr>
        <w:t>long term</w:t>
      </w:r>
      <w:proofErr w:type="gramEnd"/>
      <w:r w:rsidRPr="00743E64" w:rsidR="0045225C">
        <w:rPr>
          <w:rFonts w:ascii="Palatino Linotype" w:hAnsi="Palatino Linotype"/>
          <w:sz w:val="24"/>
          <w:szCs w:val="24"/>
        </w:rPr>
        <w:t xml:space="preserve"> resource adequacy with energy settlement,</w:t>
      </w:r>
      <w:r w:rsidRPr="00743E64" w:rsidR="009A7D7D">
        <w:rPr>
          <w:rFonts w:ascii="Palatino Linotype" w:hAnsi="Palatino Linotype"/>
          <w:sz w:val="24"/>
          <w:szCs w:val="24"/>
        </w:rPr>
        <w:t xml:space="preserve"> procured as a result of </w:t>
      </w:r>
      <w:r w:rsidRPr="00743E64" w:rsidR="0045225C">
        <w:rPr>
          <w:rFonts w:ascii="Palatino Linotype" w:hAnsi="Palatino Linotype"/>
          <w:sz w:val="24"/>
          <w:szCs w:val="24"/>
        </w:rPr>
        <w:t xml:space="preserve">PG&amp;E’s </w:t>
      </w:r>
      <w:r w:rsidRPr="00743E64" w:rsidR="009A7D7D">
        <w:rPr>
          <w:rFonts w:ascii="Palatino Linotype" w:hAnsi="Palatino Linotype"/>
          <w:sz w:val="24"/>
          <w:szCs w:val="24"/>
        </w:rPr>
        <w:t xml:space="preserve">Phase 3 MTRRFO. </w:t>
      </w:r>
    </w:p>
    <w:p w:rsidRPr="00743E64" w:rsidR="00D86528" w:rsidP="00D86528" w:rsidRDefault="00D86528" w14:paraId="7C9F6644" w14:textId="77777777">
      <w:pPr>
        <w:rPr>
          <w:rFonts w:ascii="Palatino Linotype" w:hAnsi="Palatino Linotype"/>
          <w:sz w:val="24"/>
          <w:szCs w:val="24"/>
          <w:highlight w:val="yellow"/>
        </w:rPr>
      </w:pPr>
    </w:p>
    <w:p w:rsidRPr="00743E64" w:rsidR="00D86528" w:rsidP="00D86528" w:rsidRDefault="00DD1A03" w14:paraId="0A23492D" w14:textId="20906E63">
      <w:pPr>
        <w:keepNext/>
        <w:rPr>
          <w:rFonts w:ascii="Palatino Linotype" w:hAnsi="Palatino Linotype"/>
          <w:b/>
          <w:sz w:val="24"/>
          <w:szCs w:val="24"/>
        </w:rPr>
      </w:pPr>
      <w:r w:rsidRPr="00743E64">
        <w:rPr>
          <w:rFonts w:ascii="Palatino Linotype" w:hAnsi="Palatino Linotype"/>
          <w:b/>
          <w:sz w:val="24"/>
          <w:szCs w:val="24"/>
        </w:rPr>
        <w:t>PG&amp;E</w:t>
      </w:r>
      <w:r w:rsidRPr="00743E64" w:rsidR="00D86528">
        <w:rPr>
          <w:rFonts w:ascii="Palatino Linotype" w:hAnsi="Palatino Linotype"/>
          <w:b/>
          <w:sz w:val="24"/>
          <w:szCs w:val="24"/>
        </w:rPr>
        <w:t xml:space="preserve"> requests</w:t>
      </w:r>
      <w:r w:rsidRPr="00743E64" w:rsidR="00C322BA">
        <w:rPr>
          <w:rFonts w:ascii="Palatino Linotype" w:hAnsi="Palatino Linotype"/>
          <w:b/>
          <w:sz w:val="24"/>
          <w:szCs w:val="24"/>
        </w:rPr>
        <w:t xml:space="preserve"> in AL </w:t>
      </w:r>
      <w:r w:rsidRPr="00743E64">
        <w:rPr>
          <w:rFonts w:ascii="Palatino Linotype" w:hAnsi="Palatino Linotype"/>
          <w:b/>
          <w:sz w:val="24"/>
          <w:szCs w:val="24"/>
        </w:rPr>
        <w:t>7356</w:t>
      </w:r>
      <w:r w:rsidRPr="00743E64" w:rsidR="00C322BA">
        <w:rPr>
          <w:rFonts w:ascii="Palatino Linotype" w:hAnsi="Palatino Linotype"/>
          <w:b/>
          <w:sz w:val="24"/>
          <w:szCs w:val="24"/>
        </w:rPr>
        <w:t>-E</w:t>
      </w:r>
      <w:r w:rsidRPr="00743E64" w:rsidR="00D86528">
        <w:rPr>
          <w:rFonts w:ascii="Palatino Linotype" w:hAnsi="Palatino Linotype"/>
          <w:b/>
          <w:sz w:val="24"/>
          <w:szCs w:val="24"/>
        </w:rPr>
        <w:t xml:space="preserve"> that the Commission issue a resolution that:</w:t>
      </w:r>
    </w:p>
    <w:p w:rsidRPr="00743E64" w:rsidR="00D86528" w:rsidP="00D86528" w:rsidRDefault="00D86528" w14:paraId="06BAEA3D" w14:textId="77777777">
      <w:pPr>
        <w:keepNext/>
        <w:rPr>
          <w:rFonts w:ascii="Palatino Linotype" w:hAnsi="Palatino Linotype"/>
          <w:b/>
          <w:sz w:val="24"/>
          <w:szCs w:val="24"/>
          <w:highlight w:val="yellow"/>
        </w:rPr>
      </w:pPr>
    </w:p>
    <w:p w:rsidRPr="00743E64" w:rsidR="00D86528" w:rsidP="00D86528" w:rsidRDefault="00D86528" w14:paraId="4BB8E40D" w14:textId="5DF99C3E">
      <w:pPr>
        <w:pStyle w:val="ListParagraph"/>
        <w:numPr>
          <w:ilvl w:val="0"/>
          <w:numId w:val="4"/>
        </w:numPr>
        <w:rPr>
          <w:rFonts w:ascii="Palatino Linotype" w:hAnsi="Palatino Linotype"/>
          <w:sz w:val="24"/>
          <w:szCs w:val="24"/>
        </w:rPr>
      </w:pPr>
      <w:r w:rsidRPr="00743E64">
        <w:rPr>
          <w:rFonts w:ascii="Palatino Linotype" w:hAnsi="Palatino Linotype"/>
          <w:sz w:val="24"/>
          <w:szCs w:val="24"/>
        </w:rPr>
        <w:t xml:space="preserve">Approves the </w:t>
      </w:r>
      <w:r w:rsidRPr="00743E64" w:rsidR="00DC30FB">
        <w:rPr>
          <w:rFonts w:ascii="Palatino Linotype" w:hAnsi="Palatino Linotype"/>
          <w:sz w:val="24"/>
          <w:szCs w:val="24"/>
        </w:rPr>
        <w:t xml:space="preserve">Mid-Term Reliability Contracts in their </w:t>
      </w:r>
      <w:proofErr w:type="gramStart"/>
      <w:r w:rsidRPr="00743E64" w:rsidR="00DC30FB">
        <w:rPr>
          <w:rFonts w:ascii="Palatino Linotype" w:hAnsi="Palatino Linotype"/>
          <w:sz w:val="24"/>
          <w:szCs w:val="24"/>
        </w:rPr>
        <w:t>entirety</w:t>
      </w:r>
      <w:r w:rsidRPr="00743E64">
        <w:rPr>
          <w:rFonts w:ascii="Palatino Linotype" w:hAnsi="Palatino Linotype"/>
          <w:sz w:val="24"/>
          <w:szCs w:val="24"/>
        </w:rPr>
        <w:t>;</w:t>
      </w:r>
      <w:proofErr w:type="gramEnd"/>
    </w:p>
    <w:p w:rsidRPr="00743E64" w:rsidR="00D86528" w:rsidP="00D86528" w:rsidRDefault="00D86528" w14:paraId="0F11A1EA" w14:textId="77777777">
      <w:pPr>
        <w:pStyle w:val="ListParagraph"/>
        <w:rPr>
          <w:rFonts w:ascii="Palatino Linotype" w:hAnsi="Palatino Linotype"/>
          <w:sz w:val="24"/>
          <w:szCs w:val="24"/>
        </w:rPr>
      </w:pPr>
    </w:p>
    <w:p w:rsidRPr="00743E64" w:rsidR="00D86528" w:rsidP="00D86528" w:rsidRDefault="00D86528" w14:paraId="327D43A8" w14:textId="35876FE5">
      <w:pPr>
        <w:pStyle w:val="ListParagraph"/>
        <w:numPr>
          <w:ilvl w:val="0"/>
          <w:numId w:val="4"/>
        </w:numPr>
        <w:rPr>
          <w:rFonts w:ascii="Palatino Linotype" w:hAnsi="Palatino Linotype"/>
          <w:sz w:val="24"/>
          <w:szCs w:val="24"/>
        </w:rPr>
      </w:pPr>
      <w:r w:rsidRPr="00743E64">
        <w:rPr>
          <w:rFonts w:ascii="Palatino Linotype" w:hAnsi="Palatino Linotype"/>
          <w:sz w:val="24"/>
          <w:szCs w:val="24"/>
        </w:rPr>
        <w:t xml:space="preserve">Finds that the </w:t>
      </w:r>
      <w:r w:rsidRPr="00743E64" w:rsidR="00DC30FB">
        <w:rPr>
          <w:rFonts w:ascii="Palatino Linotype" w:hAnsi="Palatino Linotype"/>
          <w:sz w:val="24"/>
          <w:szCs w:val="24"/>
        </w:rPr>
        <w:t xml:space="preserve">Mid-Term Reliability Contracts are consistent with the </w:t>
      </w:r>
      <w:r w:rsidRPr="00743E64" w:rsidR="00C26809">
        <w:rPr>
          <w:rFonts w:ascii="Palatino Linotype" w:hAnsi="Palatino Linotype"/>
          <w:sz w:val="24"/>
          <w:szCs w:val="24"/>
        </w:rPr>
        <w:t xml:space="preserve">relevant CPUC </w:t>
      </w:r>
      <w:proofErr w:type="gramStart"/>
      <w:r w:rsidRPr="00743E64" w:rsidR="00DC30FB">
        <w:rPr>
          <w:rFonts w:ascii="Palatino Linotype" w:hAnsi="Palatino Linotype"/>
          <w:sz w:val="24"/>
          <w:szCs w:val="24"/>
        </w:rPr>
        <w:t>Decisions</w:t>
      </w:r>
      <w:r w:rsidRPr="00743E64">
        <w:rPr>
          <w:rFonts w:ascii="Palatino Linotype" w:hAnsi="Palatino Linotype"/>
          <w:sz w:val="24"/>
          <w:szCs w:val="24"/>
        </w:rPr>
        <w:t>;</w:t>
      </w:r>
      <w:proofErr w:type="gramEnd"/>
    </w:p>
    <w:p w:rsidRPr="00743E64" w:rsidR="00D54858" w:rsidP="00D54858" w:rsidRDefault="00D54858" w14:paraId="17075723" w14:textId="77777777">
      <w:pPr>
        <w:pStyle w:val="ListParagraph"/>
        <w:rPr>
          <w:rFonts w:ascii="Palatino Linotype" w:hAnsi="Palatino Linotype"/>
          <w:sz w:val="24"/>
          <w:szCs w:val="24"/>
        </w:rPr>
      </w:pPr>
    </w:p>
    <w:p w:rsidRPr="00743E64" w:rsidR="00D54858" w:rsidP="00D54858" w:rsidRDefault="00D54858" w14:paraId="09DDA4C9" w14:textId="591913E0">
      <w:pPr>
        <w:pStyle w:val="ListParagraph"/>
        <w:numPr>
          <w:ilvl w:val="0"/>
          <w:numId w:val="4"/>
        </w:numPr>
        <w:rPr>
          <w:rFonts w:ascii="Palatino Linotype" w:hAnsi="Palatino Linotype"/>
          <w:sz w:val="24"/>
          <w:szCs w:val="24"/>
        </w:rPr>
      </w:pPr>
      <w:r w:rsidRPr="00743E64">
        <w:rPr>
          <w:rFonts w:ascii="Palatino Linotype" w:hAnsi="Palatino Linotype"/>
          <w:sz w:val="24"/>
          <w:szCs w:val="24"/>
        </w:rPr>
        <w:t xml:space="preserve">Finds that the Mid-Term Reliability Contracts satisfy the procurement requirements for </w:t>
      </w:r>
      <w:r w:rsidRPr="00743E64" w:rsidR="00F43D13">
        <w:rPr>
          <w:rFonts w:ascii="Palatino Linotype" w:hAnsi="Palatino Linotype"/>
          <w:sz w:val="24"/>
          <w:szCs w:val="24"/>
        </w:rPr>
        <w:t xml:space="preserve">net qualifying capacity </w:t>
      </w:r>
      <w:r w:rsidRPr="00743E64">
        <w:rPr>
          <w:rFonts w:ascii="Palatino Linotype" w:hAnsi="Palatino Linotype"/>
          <w:sz w:val="24"/>
          <w:szCs w:val="24"/>
        </w:rPr>
        <w:t>outlined in the Decisions, provided that PG&amp;E complies with all relevant O</w:t>
      </w:r>
      <w:r w:rsidRPr="00743E64" w:rsidR="00C7515F">
        <w:rPr>
          <w:rFonts w:ascii="Palatino Linotype" w:hAnsi="Palatino Linotype"/>
          <w:sz w:val="24"/>
          <w:szCs w:val="24"/>
        </w:rPr>
        <w:t>rdering Paragraph</w:t>
      </w:r>
      <w:r w:rsidRPr="00743E64">
        <w:rPr>
          <w:rFonts w:ascii="Palatino Linotype" w:hAnsi="Palatino Linotype"/>
          <w:sz w:val="24"/>
          <w:szCs w:val="24"/>
        </w:rPr>
        <w:t>s in D.23-02-</w:t>
      </w:r>
      <w:proofErr w:type="gramStart"/>
      <w:r w:rsidRPr="00743E64">
        <w:rPr>
          <w:rFonts w:ascii="Palatino Linotype" w:hAnsi="Palatino Linotype"/>
          <w:sz w:val="24"/>
          <w:szCs w:val="24"/>
        </w:rPr>
        <w:t>040;</w:t>
      </w:r>
      <w:proofErr w:type="gramEnd"/>
    </w:p>
    <w:p w:rsidRPr="00743E64" w:rsidR="00D86528" w:rsidP="00D86528" w:rsidRDefault="00D86528" w14:paraId="0A995FF9" w14:textId="77777777">
      <w:pPr>
        <w:pStyle w:val="ListParagraph"/>
        <w:rPr>
          <w:rFonts w:ascii="Palatino Linotype" w:hAnsi="Palatino Linotype"/>
          <w:sz w:val="24"/>
          <w:szCs w:val="24"/>
        </w:rPr>
      </w:pPr>
    </w:p>
    <w:p w:rsidRPr="00743E64" w:rsidR="00AA474C" w:rsidRDefault="00AA474C" w14:paraId="67C687C8" w14:textId="2D23E58F">
      <w:pPr>
        <w:pStyle w:val="ListParagraph"/>
        <w:numPr>
          <w:ilvl w:val="0"/>
          <w:numId w:val="4"/>
        </w:numPr>
        <w:rPr>
          <w:rFonts w:ascii="Palatino Linotype" w:hAnsi="Palatino Linotype"/>
          <w:sz w:val="24"/>
          <w:szCs w:val="24"/>
        </w:rPr>
      </w:pPr>
      <w:r w:rsidRPr="00743E64">
        <w:rPr>
          <w:rFonts w:ascii="Palatino Linotype" w:hAnsi="Palatino Linotype"/>
          <w:sz w:val="24"/>
          <w:szCs w:val="24"/>
        </w:rPr>
        <w:t xml:space="preserve">Finds that any procurement pursuant to the </w:t>
      </w:r>
      <w:r w:rsidRPr="00743E64" w:rsidR="00F928B2">
        <w:rPr>
          <w:rFonts w:ascii="Palatino Linotype" w:hAnsi="Palatino Linotype"/>
          <w:sz w:val="24"/>
          <w:szCs w:val="24"/>
        </w:rPr>
        <w:t>Atlas Contracts</w:t>
      </w:r>
      <w:r w:rsidRPr="00743E64">
        <w:rPr>
          <w:rFonts w:ascii="Palatino Linotype" w:hAnsi="Palatino Linotype"/>
          <w:sz w:val="24"/>
          <w:szCs w:val="24"/>
        </w:rPr>
        <w:t xml:space="preserve"> is procurement from eligible renewable energy resources for purposes of determining </w:t>
      </w:r>
      <w:r w:rsidRPr="00743E64" w:rsidR="00F928B2">
        <w:rPr>
          <w:rFonts w:ascii="Palatino Linotype" w:hAnsi="Palatino Linotype"/>
          <w:sz w:val="24"/>
          <w:szCs w:val="24"/>
        </w:rPr>
        <w:t>PG&amp;E</w:t>
      </w:r>
      <w:r w:rsidRPr="00743E64">
        <w:rPr>
          <w:rFonts w:ascii="Palatino Linotype" w:hAnsi="Palatino Linotype"/>
          <w:sz w:val="24"/>
          <w:szCs w:val="24"/>
        </w:rPr>
        <w:t xml:space="preserve">’s compliance with any obligation that it may have to procure eligible renewable energy resources pursuant to the California Renewable Portfolio Standard (Public Utilities Code Section 399.11 et seq.) or other applicable </w:t>
      </w:r>
      <w:proofErr w:type="gramStart"/>
      <w:r w:rsidRPr="00743E64">
        <w:rPr>
          <w:rFonts w:ascii="Palatino Linotype" w:hAnsi="Palatino Linotype"/>
          <w:sz w:val="24"/>
          <w:szCs w:val="24"/>
        </w:rPr>
        <w:t>law;</w:t>
      </w:r>
      <w:proofErr w:type="gramEnd"/>
    </w:p>
    <w:p w:rsidRPr="00743E64" w:rsidR="00421013" w:rsidP="00210DC3" w:rsidRDefault="00421013" w14:paraId="450248F7" w14:textId="77777777">
      <w:pPr>
        <w:rPr>
          <w:rFonts w:ascii="Palatino Linotype" w:hAnsi="Palatino Linotype"/>
          <w:sz w:val="24"/>
          <w:szCs w:val="24"/>
        </w:rPr>
      </w:pPr>
    </w:p>
    <w:p w:rsidRPr="00743E64" w:rsidR="00DD075A" w:rsidP="00D86528" w:rsidRDefault="00D86528" w14:paraId="0ACF909B" w14:textId="3A9F47E8">
      <w:pPr>
        <w:pStyle w:val="ListParagraph"/>
        <w:numPr>
          <w:ilvl w:val="0"/>
          <w:numId w:val="4"/>
        </w:numPr>
        <w:rPr>
          <w:rFonts w:ascii="Palatino Linotype" w:hAnsi="Palatino Linotype"/>
          <w:sz w:val="24"/>
          <w:szCs w:val="24"/>
        </w:rPr>
      </w:pPr>
      <w:r w:rsidRPr="00743E64">
        <w:rPr>
          <w:rFonts w:ascii="Palatino Linotype" w:hAnsi="Palatino Linotype"/>
          <w:sz w:val="24"/>
          <w:szCs w:val="24"/>
        </w:rPr>
        <w:t xml:space="preserve">Finds </w:t>
      </w:r>
      <w:r w:rsidRPr="00743E64" w:rsidR="000C2C5A">
        <w:rPr>
          <w:rFonts w:ascii="Palatino Linotype" w:hAnsi="Palatino Linotype"/>
          <w:sz w:val="24"/>
          <w:szCs w:val="24"/>
        </w:rPr>
        <w:t xml:space="preserve">that </w:t>
      </w:r>
      <w:r w:rsidRPr="00743E64" w:rsidR="008F4453">
        <w:rPr>
          <w:rFonts w:ascii="Palatino Linotype" w:hAnsi="Palatino Linotype"/>
          <w:sz w:val="24"/>
          <w:szCs w:val="24"/>
        </w:rPr>
        <w:t>the Atlas Contracts</w:t>
      </w:r>
      <w:r w:rsidRPr="00743E64" w:rsidR="00DD075A">
        <w:rPr>
          <w:rFonts w:ascii="Palatino Linotype" w:hAnsi="Palatino Linotype"/>
          <w:sz w:val="24"/>
          <w:szCs w:val="24"/>
        </w:rPr>
        <w:t xml:space="preserve"> are consistent with </w:t>
      </w:r>
      <w:r w:rsidRPr="00743E64" w:rsidR="008F4453">
        <w:rPr>
          <w:rFonts w:ascii="Palatino Linotype" w:hAnsi="Palatino Linotype"/>
          <w:sz w:val="24"/>
          <w:szCs w:val="24"/>
        </w:rPr>
        <w:t>PG&amp;</w:t>
      </w:r>
      <w:r w:rsidRPr="00743E64" w:rsidR="00DD075A">
        <w:rPr>
          <w:rFonts w:ascii="Palatino Linotype" w:hAnsi="Palatino Linotype"/>
          <w:sz w:val="24"/>
          <w:szCs w:val="24"/>
        </w:rPr>
        <w:t>E’s 2023 R</w:t>
      </w:r>
      <w:r w:rsidRPr="00743E64" w:rsidR="00254FF3">
        <w:rPr>
          <w:rFonts w:ascii="Palatino Linotype" w:hAnsi="Palatino Linotype"/>
          <w:sz w:val="24"/>
          <w:szCs w:val="24"/>
        </w:rPr>
        <w:t xml:space="preserve">enewable </w:t>
      </w:r>
      <w:r w:rsidRPr="00743E64" w:rsidR="00DD075A">
        <w:rPr>
          <w:rFonts w:ascii="Palatino Linotype" w:hAnsi="Palatino Linotype"/>
          <w:sz w:val="24"/>
          <w:szCs w:val="24"/>
        </w:rPr>
        <w:t>P</w:t>
      </w:r>
      <w:r w:rsidRPr="00743E64" w:rsidR="00254FF3">
        <w:rPr>
          <w:rFonts w:ascii="Palatino Linotype" w:hAnsi="Palatino Linotype"/>
          <w:sz w:val="24"/>
          <w:szCs w:val="24"/>
        </w:rPr>
        <w:t xml:space="preserve">ortfolio </w:t>
      </w:r>
      <w:r w:rsidRPr="00743E64" w:rsidR="00DD075A">
        <w:rPr>
          <w:rFonts w:ascii="Palatino Linotype" w:hAnsi="Palatino Linotype"/>
          <w:sz w:val="24"/>
          <w:szCs w:val="24"/>
        </w:rPr>
        <w:t>S</w:t>
      </w:r>
      <w:r w:rsidRPr="00743E64" w:rsidR="00254FF3">
        <w:rPr>
          <w:rFonts w:ascii="Palatino Linotype" w:hAnsi="Palatino Linotype"/>
          <w:sz w:val="24"/>
          <w:szCs w:val="24"/>
        </w:rPr>
        <w:t>tandard</w:t>
      </w:r>
      <w:r w:rsidRPr="00743E64" w:rsidR="00DD075A">
        <w:rPr>
          <w:rFonts w:ascii="Palatino Linotype" w:hAnsi="Palatino Linotype"/>
          <w:sz w:val="24"/>
          <w:szCs w:val="24"/>
        </w:rPr>
        <w:t xml:space="preserve"> Procurement </w:t>
      </w:r>
      <w:proofErr w:type="gramStart"/>
      <w:r w:rsidRPr="00743E64" w:rsidR="00DD075A">
        <w:rPr>
          <w:rFonts w:ascii="Palatino Linotype" w:hAnsi="Palatino Linotype"/>
          <w:sz w:val="24"/>
          <w:szCs w:val="24"/>
        </w:rPr>
        <w:t>Plan;</w:t>
      </w:r>
      <w:proofErr w:type="gramEnd"/>
    </w:p>
    <w:p w:rsidRPr="00743E64" w:rsidR="00DD075A" w:rsidP="00DD075A" w:rsidRDefault="00DD075A" w14:paraId="57EB33E5" w14:textId="77777777">
      <w:pPr>
        <w:pStyle w:val="ListParagraph"/>
        <w:rPr>
          <w:rFonts w:ascii="Palatino Linotype" w:hAnsi="Palatino Linotype"/>
          <w:sz w:val="24"/>
          <w:szCs w:val="24"/>
        </w:rPr>
      </w:pPr>
    </w:p>
    <w:p w:rsidRPr="00743E64" w:rsidR="00184D28" w:rsidP="00D86528" w:rsidRDefault="00DD075A" w14:paraId="57C2346D" w14:textId="0B9C2FFF">
      <w:pPr>
        <w:pStyle w:val="ListParagraph"/>
        <w:numPr>
          <w:ilvl w:val="0"/>
          <w:numId w:val="4"/>
        </w:numPr>
        <w:rPr>
          <w:rFonts w:ascii="Palatino Linotype" w:hAnsi="Palatino Linotype"/>
          <w:sz w:val="24"/>
          <w:szCs w:val="24"/>
        </w:rPr>
      </w:pPr>
      <w:r w:rsidRPr="00743E64">
        <w:rPr>
          <w:rFonts w:ascii="Palatino Linotype" w:hAnsi="Palatino Linotype"/>
          <w:sz w:val="24"/>
          <w:szCs w:val="24"/>
        </w:rPr>
        <w:lastRenderedPageBreak/>
        <w:t xml:space="preserve">Finds that the </w:t>
      </w:r>
      <w:r w:rsidRPr="00743E64" w:rsidR="0099055A">
        <w:rPr>
          <w:rFonts w:ascii="Palatino Linotype" w:hAnsi="Palatino Linotype"/>
          <w:sz w:val="24"/>
          <w:szCs w:val="24"/>
        </w:rPr>
        <w:t>Atlas contracts are not a form of covered procurement subject to the E</w:t>
      </w:r>
      <w:r w:rsidRPr="00743E64" w:rsidR="00A90647">
        <w:rPr>
          <w:rFonts w:ascii="Palatino Linotype" w:hAnsi="Palatino Linotype"/>
          <w:sz w:val="24"/>
          <w:szCs w:val="24"/>
        </w:rPr>
        <w:t xml:space="preserve">missions </w:t>
      </w:r>
      <w:r w:rsidRPr="00743E64" w:rsidR="0099055A">
        <w:rPr>
          <w:rFonts w:ascii="Palatino Linotype" w:hAnsi="Palatino Linotype"/>
          <w:sz w:val="24"/>
          <w:szCs w:val="24"/>
        </w:rPr>
        <w:t>P</w:t>
      </w:r>
      <w:r w:rsidRPr="00743E64" w:rsidR="00A90647">
        <w:rPr>
          <w:rFonts w:ascii="Palatino Linotype" w:hAnsi="Palatino Linotype"/>
          <w:sz w:val="24"/>
          <w:szCs w:val="24"/>
        </w:rPr>
        <w:t xml:space="preserve">erformance </w:t>
      </w:r>
      <w:r w:rsidRPr="00743E64" w:rsidR="0099055A">
        <w:rPr>
          <w:rFonts w:ascii="Palatino Linotype" w:hAnsi="Palatino Linotype"/>
          <w:sz w:val="24"/>
          <w:szCs w:val="24"/>
        </w:rPr>
        <w:t>S</w:t>
      </w:r>
      <w:r w:rsidRPr="00743E64" w:rsidR="00A90647">
        <w:rPr>
          <w:rFonts w:ascii="Palatino Linotype" w:hAnsi="Palatino Linotype"/>
          <w:sz w:val="24"/>
          <w:szCs w:val="24"/>
        </w:rPr>
        <w:t>tandard</w:t>
      </w:r>
      <w:r w:rsidRPr="00743E64" w:rsidR="00603454">
        <w:rPr>
          <w:rFonts w:ascii="Palatino Linotype" w:hAnsi="Palatino Linotype"/>
          <w:sz w:val="24"/>
          <w:szCs w:val="24"/>
        </w:rPr>
        <w:t xml:space="preserve"> (EPS)</w:t>
      </w:r>
      <w:r w:rsidRPr="00743E64" w:rsidR="0099055A">
        <w:rPr>
          <w:rFonts w:ascii="Palatino Linotype" w:hAnsi="Palatino Linotype"/>
          <w:sz w:val="24"/>
          <w:szCs w:val="24"/>
        </w:rPr>
        <w:t xml:space="preserve">, because the generating facilities have expected capacity factors of less than </w:t>
      </w:r>
      <w:proofErr w:type="gramStart"/>
      <w:r w:rsidRPr="00743E64" w:rsidR="00983DD9">
        <w:rPr>
          <w:rFonts w:ascii="Palatino Linotype" w:hAnsi="Palatino Linotype"/>
          <w:sz w:val="24"/>
          <w:szCs w:val="24"/>
        </w:rPr>
        <w:t>60%;</w:t>
      </w:r>
      <w:proofErr w:type="gramEnd"/>
      <w:r w:rsidRPr="00743E64" w:rsidR="00983DD9">
        <w:rPr>
          <w:rFonts w:ascii="Palatino Linotype" w:hAnsi="Palatino Linotype"/>
          <w:sz w:val="24"/>
          <w:szCs w:val="24"/>
        </w:rPr>
        <w:t xml:space="preserve"> </w:t>
      </w:r>
    </w:p>
    <w:p w:rsidRPr="00743E64" w:rsidR="00EA6A49" w:rsidP="1ABC74B0" w:rsidRDefault="00EA6A49" w14:paraId="5000358E" w14:textId="7EEA861C">
      <w:pPr>
        <w:rPr>
          <w:rFonts w:ascii="Palatino Linotype" w:hAnsi="Palatino Linotype"/>
          <w:sz w:val="24"/>
          <w:szCs w:val="24"/>
        </w:rPr>
      </w:pPr>
    </w:p>
    <w:p w:rsidRPr="00743E64" w:rsidR="00EA6A49" w:rsidP="00D86528" w:rsidRDefault="00983E5E" w14:paraId="3D7F1973" w14:textId="02896CA3">
      <w:pPr>
        <w:pStyle w:val="ListParagraph"/>
        <w:numPr>
          <w:ilvl w:val="0"/>
          <w:numId w:val="4"/>
        </w:numPr>
        <w:rPr>
          <w:rFonts w:ascii="Palatino Linotype" w:hAnsi="Palatino Linotype"/>
          <w:sz w:val="24"/>
          <w:szCs w:val="24"/>
        </w:rPr>
      </w:pPr>
      <w:r w:rsidRPr="00743E64">
        <w:rPr>
          <w:rFonts w:ascii="Palatino Linotype" w:hAnsi="Palatino Linotype"/>
          <w:sz w:val="24"/>
          <w:szCs w:val="24"/>
        </w:rPr>
        <w:t xml:space="preserve">Finds that the deliveries from the </w:t>
      </w:r>
      <w:r w:rsidRPr="00743E64" w:rsidR="00806FB2">
        <w:rPr>
          <w:rFonts w:ascii="Palatino Linotype" w:hAnsi="Palatino Linotype"/>
          <w:sz w:val="24"/>
          <w:szCs w:val="24"/>
        </w:rPr>
        <w:t>Atlas Contracts</w:t>
      </w:r>
      <w:r w:rsidRPr="00743E64" w:rsidR="00BA49B1">
        <w:rPr>
          <w:rFonts w:ascii="Palatino Linotype" w:hAnsi="Palatino Linotype"/>
          <w:sz w:val="24"/>
          <w:szCs w:val="24"/>
        </w:rPr>
        <w:t xml:space="preserve"> shall be categorized as procurement under the portfolio content category in Public Utilities Code Section 399.16(b)(1)(A)</w:t>
      </w:r>
      <w:r w:rsidRPr="00743E64" w:rsidR="00A929C8">
        <w:rPr>
          <w:rFonts w:ascii="Palatino Linotype" w:hAnsi="Palatino Linotype"/>
          <w:sz w:val="24"/>
          <w:szCs w:val="24"/>
        </w:rPr>
        <w:t xml:space="preserve"> or Section 399.16(b)(1)(B), subject to the Commission’s after-the-fact verification that all applicable criteria have been </w:t>
      </w:r>
      <w:proofErr w:type="gramStart"/>
      <w:r w:rsidRPr="00743E64" w:rsidR="00A929C8">
        <w:rPr>
          <w:rFonts w:ascii="Palatino Linotype" w:hAnsi="Palatino Linotype"/>
          <w:sz w:val="24"/>
          <w:szCs w:val="24"/>
        </w:rPr>
        <w:t>met;</w:t>
      </w:r>
      <w:proofErr w:type="gramEnd"/>
    </w:p>
    <w:p w:rsidRPr="00743E64" w:rsidR="00A929C8" w:rsidP="00A929C8" w:rsidRDefault="00A929C8" w14:paraId="658569D5" w14:textId="77777777">
      <w:pPr>
        <w:pStyle w:val="ListParagraph"/>
        <w:rPr>
          <w:rFonts w:ascii="Palatino Linotype" w:hAnsi="Palatino Linotype"/>
          <w:sz w:val="24"/>
          <w:szCs w:val="24"/>
        </w:rPr>
      </w:pPr>
    </w:p>
    <w:p w:rsidRPr="00743E64" w:rsidR="00A929C8" w:rsidP="00D86528" w:rsidRDefault="00A929C8" w14:paraId="3D684E02" w14:textId="0B1ED332">
      <w:pPr>
        <w:pStyle w:val="ListParagraph"/>
        <w:numPr>
          <w:ilvl w:val="0"/>
          <w:numId w:val="4"/>
        </w:numPr>
        <w:rPr>
          <w:rFonts w:ascii="Palatino Linotype" w:hAnsi="Palatino Linotype"/>
          <w:sz w:val="24"/>
          <w:szCs w:val="24"/>
        </w:rPr>
      </w:pPr>
      <w:r w:rsidRPr="00743E64">
        <w:rPr>
          <w:rFonts w:ascii="Palatino Linotype" w:hAnsi="Palatino Linotype"/>
          <w:sz w:val="24"/>
          <w:szCs w:val="24"/>
        </w:rPr>
        <w:t>Finds that the Mid-Term Reliability Contracts</w:t>
      </w:r>
      <w:r w:rsidRPr="00743E64" w:rsidR="00FC7C8B">
        <w:rPr>
          <w:rFonts w:ascii="Palatino Linotype" w:hAnsi="Palatino Linotype"/>
          <w:sz w:val="24"/>
          <w:szCs w:val="24"/>
        </w:rPr>
        <w:t xml:space="preserve"> and </w:t>
      </w:r>
      <w:r w:rsidRPr="00743E64" w:rsidR="00EE1242">
        <w:rPr>
          <w:rFonts w:ascii="Palatino Linotype" w:hAnsi="Palatino Linotype"/>
          <w:sz w:val="24"/>
          <w:szCs w:val="24"/>
        </w:rPr>
        <w:t>PG&amp;E</w:t>
      </w:r>
      <w:r w:rsidRPr="00743E64" w:rsidR="00FC7C8B">
        <w:rPr>
          <w:rFonts w:ascii="Palatino Linotype" w:hAnsi="Palatino Linotype"/>
          <w:sz w:val="24"/>
          <w:szCs w:val="24"/>
        </w:rPr>
        <w:t xml:space="preserve">’s entry into them are reasonable and prudent for all purposes, and that any payments to be made by </w:t>
      </w:r>
      <w:r w:rsidRPr="00743E64" w:rsidR="00411C6E">
        <w:rPr>
          <w:rFonts w:ascii="Palatino Linotype" w:hAnsi="Palatino Linotype"/>
          <w:sz w:val="24"/>
          <w:szCs w:val="24"/>
        </w:rPr>
        <w:t>PG&amp;E</w:t>
      </w:r>
      <w:r w:rsidRPr="00743E64" w:rsidR="00FC7C8B">
        <w:rPr>
          <w:rFonts w:ascii="Palatino Linotype" w:hAnsi="Palatino Linotype"/>
          <w:sz w:val="24"/>
          <w:szCs w:val="24"/>
        </w:rPr>
        <w:t xml:space="preserve"> pursuant to the Mid-Term Reliability </w:t>
      </w:r>
      <w:r w:rsidRPr="00743E64" w:rsidR="00B457DC">
        <w:rPr>
          <w:rFonts w:ascii="Palatino Linotype" w:hAnsi="Palatino Linotype"/>
          <w:sz w:val="24"/>
          <w:szCs w:val="24"/>
        </w:rPr>
        <w:t xml:space="preserve">Contracts, are recoverable in full by </w:t>
      </w:r>
      <w:r w:rsidRPr="00743E64" w:rsidR="00411C6E">
        <w:rPr>
          <w:rFonts w:ascii="Palatino Linotype" w:hAnsi="Palatino Linotype"/>
          <w:sz w:val="24"/>
          <w:szCs w:val="24"/>
        </w:rPr>
        <w:t>PG&amp;E</w:t>
      </w:r>
      <w:r w:rsidRPr="00743E64" w:rsidR="00B457DC">
        <w:rPr>
          <w:rFonts w:ascii="Palatino Linotype" w:hAnsi="Palatino Linotype"/>
          <w:sz w:val="24"/>
          <w:szCs w:val="24"/>
        </w:rPr>
        <w:t xml:space="preserve"> through the </w:t>
      </w:r>
      <w:r w:rsidRPr="00743E64" w:rsidR="00FB1E48">
        <w:rPr>
          <w:rFonts w:ascii="Palatino Linotype" w:hAnsi="Palatino Linotype"/>
          <w:sz w:val="24"/>
          <w:szCs w:val="24"/>
        </w:rPr>
        <w:t>PABA</w:t>
      </w:r>
      <w:r w:rsidRPr="00743E64" w:rsidR="00B457DC">
        <w:rPr>
          <w:rFonts w:ascii="Palatino Linotype" w:hAnsi="Palatino Linotype"/>
          <w:sz w:val="24"/>
          <w:szCs w:val="24"/>
        </w:rPr>
        <w:t xml:space="preserve">, subject only to </w:t>
      </w:r>
      <w:r w:rsidRPr="00743E64" w:rsidR="00411C6E">
        <w:rPr>
          <w:rFonts w:ascii="Palatino Linotype" w:hAnsi="Palatino Linotype"/>
          <w:sz w:val="24"/>
          <w:szCs w:val="24"/>
        </w:rPr>
        <w:t>PG&amp;E</w:t>
      </w:r>
      <w:r w:rsidRPr="00743E64" w:rsidR="00B457DC">
        <w:rPr>
          <w:rFonts w:ascii="Palatino Linotype" w:hAnsi="Palatino Linotype"/>
          <w:sz w:val="24"/>
          <w:szCs w:val="24"/>
        </w:rPr>
        <w:t xml:space="preserve">’s prudent administration of the MTR </w:t>
      </w:r>
      <w:proofErr w:type="gramStart"/>
      <w:r w:rsidRPr="00743E64" w:rsidR="00B457DC">
        <w:rPr>
          <w:rFonts w:ascii="Palatino Linotype" w:hAnsi="Palatino Linotype"/>
          <w:sz w:val="24"/>
          <w:szCs w:val="24"/>
        </w:rPr>
        <w:t>Contracts;</w:t>
      </w:r>
      <w:proofErr w:type="gramEnd"/>
    </w:p>
    <w:p w:rsidRPr="00743E64" w:rsidR="00B457DC" w:rsidP="00B457DC" w:rsidRDefault="00B457DC" w14:paraId="5346CDCE" w14:textId="77777777">
      <w:pPr>
        <w:pStyle w:val="ListParagraph"/>
        <w:rPr>
          <w:rFonts w:ascii="Palatino Linotype" w:hAnsi="Palatino Linotype"/>
          <w:sz w:val="24"/>
          <w:szCs w:val="24"/>
        </w:rPr>
      </w:pPr>
    </w:p>
    <w:p w:rsidRPr="00743E64" w:rsidR="005271F6" w:rsidP="00AC43FF" w:rsidRDefault="000E09EF" w14:paraId="392E5F14" w14:textId="38C31248">
      <w:pPr>
        <w:pStyle w:val="ListParagraph"/>
        <w:numPr>
          <w:ilvl w:val="0"/>
          <w:numId w:val="4"/>
        </w:numPr>
        <w:rPr>
          <w:rFonts w:ascii="Palatino Linotype" w:hAnsi="Palatino Linotype"/>
          <w:sz w:val="24"/>
          <w:szCs w:val="24"/>
        </w:rPr>
      </w:pPr>
      <w:r w:rsidRPr="00743E64">
        <w:rPr>
          <w:rFonts w:ascii="Palatino Linotype" w:hAnsi="Palatino Linotype"/>
          <w:sz w:val="24"/>
          <w:szCs w:val="24"/>
        </w:rPr>
        <w:t>Finds that all procurement and administrative costs, as provided by Public Utilities Code Section 399.13(g), associated with the Mid-Term Reliability Contracts shall be recoverable in rates</w:t>
      </w:r>
      <w:r w:rsidRPr="00743E64" w:rsidR="005271F6">
        <w:rPr>
          <w:rFonts w:ascii="Palatino Linotype" w:hAnsi="Palatino Linotype"/>
          <w:sz w:val="24"/>
          <w:szCs w:val="24"/>
        </w:rPr>
        <w:t>.</w:t>
      </w:r>
    </w:p>
    <w:p w:rsidRPr="00743E64" w:rsidR="00D86528" w:rsidP="1ABC74B0" w:rsidRDefault="00D86528" w14:paraId="40326759" w14:textId="77777777">
      <w:pPr>
        <w:rPr>
          <w:rFonts w:ascii="Palatino Linotype" w:hAnsi="Palatino Linotype"/>
          <w:b/>
          <w:bCs/>
          <w:sz w:val="24"/>
          <w:szCs w:val="24"/>
        </w:rPr>
      </w:pPr>
      <w:r w:rsidRPr="00743E64">
        <w:rPr>
          <w:rFonts w:ascii="Palatino Linotype" w:hAnsi="Palatino Linotype"/>
          <w:b/>
          <w:bCs/>
          <w:sz w:val="24"/>
          <w:szCs w:val="24"/>
        </w:rPr>
        <w:t xml:space="preserve"> </w:t>
      </w:r>
    </w:p>
    <w:p w:rsidRPr="00743E64" w:rsidR="00D86528" w:rsidP="00D86528" w:rsidRDefault="00D86528" w14:paraId="68B39B8B" w14:textId="1A61534F">
      <w:pPr>
        <w:rPr>
          <w:rFonts w:ascii="Palatino Linotype" w:hAnsi="Palatino Linotype"/>
          <w:b/>
          <w:bCs/>
          <w:sz w:val="24"/>
          <w:szCs w:val="24"/>
        </w:rPr>
      </w:pPr>
      <w:r w:rsidRPr="00743E64">
        <w:rPr>
          <w:rFonts w:ascii="Palatino Linotype" w:hAnsi="Palatino Linotype"/>
          <w:b/>
          <w:bCs/>
          <w:sz w:val="24"/>
          <w:szCs w:val="24"/>
        </w:rPr>
        <w:t xml:space="preserve">Energy Division evaluated the </w:t>
      </w:r>
      <w:r w:rsidRPr="00743E64" w:rsidR="00567BD8">
        <w:rPr>
          <w:rFonts w:ascii="Palatino Linotype" w:hAnsi="Palatino Linotype"/>
          <w:b/>
          <w:sz w:val="24"/>
          <w:szCs w:val="24"/>
        </w:rPr>
        <w:t>Mid-Term Reliability Contracts</w:t>
      </w:r>
      <w:r w:rsidRPr="00743E64">
        <w:rPr>
          <w:rFonts w:ascii="Palatino Linotype" w:hAnsi="Palatino Linotype"/>
          <w:b/>
          <w:sz w:val="24"/>
          <w:szCs w:val="24"/>
        </w:rPr>
        <w:t xml:space="preserve"> </w:t>
      </w:r>
      <w:r w:rsidRPr="00743E64">
        <w:rPr>
          <w:rFonts w:ascii="Palatino Linotype" w:hAnsi="Palatino Linotype"/>
          <w:b/>
          <w:bCs/>
          <w:sz w:val="24"/>
          <w:szCs w:val="24"/>
        </w:rPr>
        <w:t>based on the following criteria:</w:t>
      </w:r>
    </w:p>
    <w:p w:rsidRPr="00743E64" w:rsidR="00D86528" w:rsidP="00D86528" w:rsidRDefault="00D86528" w14:paraId="4D631802" w14:textId="77777777">
      <w:pPr>
        <w:rPr>
          <w:rFonts w:ascii="Palatino Linotype" w:hAnsi="Palatino Linotype"/>
          <w:b/>
          <w:bCs/>
          <w:sz w:val="24"/>
          <w:szCs w:val="24"/>
          <w:highlight w:val="yellow"/>
        </w:rPr>
      </w:pPr>
    </w:p>
    <w:p w:rsidRPr="00743E64" w:rsidR="00D86528" w:rsidP="00D86528" w:rsidRDefault="00D86528" w14:paraId="6D9CEFDF" w14:textId="75BE3C1B">
      <w:pPr>
        <w:pStyle w:val="ListParagraph"/>
        <w:numPr>
          <w:ilvl w:val="0"/>
          <w:numId w:val="5"/>
        </w:numPr>
        <w:rPr>
          <w:rFonts w:ascii="Palatino Linotype" w:hAnsi="Palatino Linotype"/>
          <w:sz w:val="24"/>
          <w:szCs w:val="24"/>
        </w:rPr>
      </w:pPr>
      <w:bookmarkStart w:name="_Hlk5701985" w:id="3"/>
      <w:r w:rsidRPr="00743E64">
        <w:rPr>
          <w:rFonts w:ascii="Palatino Linotype" w:hAnsi="Palatino Linotype"/>
          <w:sz w:val="24"/>
          <w:szCs w:val="24"/>
        </w:rPr>
        <w:t>Consistency with D.</w:t>
      </w:r>
      <w:r w:rsidRPr="00743E64" w:rsidR="00DB0035">
        <w:rPr>
          <w:rFonts w:ascii="Palatino Linotype" w:hAnsi="Palatino Linotype"/>
          <w:sz w:val="24"/>
          <w:szCs w:val="24"/>
        </w:rPr>
        <w:t>21-06-035 and D.23-02-</w:t>
      </w:r>
      <w:proofErr w:type="gramStart"/>
      <w:r w:rsidRPr="00743E64" w:rsidR="00DB0035">
        <w:rPr>
          <w:rFonts w:ascii="Palatino Linotype" w:hAnsi="Palatino Linotype"/>
          <w:sz w:val="24"/>
          <w:szCs w:val="24"/>
        </w:rPr>
        <w:t>040</w:t>
      </w:r>
      <w:r w:rsidRPr="00743E64">
        <w:rPr>
          <w:rFonts w:ascii="Palatino Linotype" w:hAnsi="Palatino Linotype"/>
          <w:sz w:val="24"/>
          <w:szCs w:val="24"/>
        </w:rPr>
        <w:t>;</w:t>
      </w:r>
      <w:proofErr w:type="gramEnd"/>
    </w:p>
    <w:p w:rsidRPr="00743E64" w:rsidR="00D86528" w:rsidP="00D86528" w:rsidRDefault="00D86528" w14:paraId="38AB3479" w14:textId="3207A717">
      <w:pPr>
        <w:pStyle w:val="ListParagraph"/>
        <w:numPr>
          <w:ilvl w:val="0"/>
          <w:numId w:val="5"/>
        </w:numPr>
        <w:rPr>
          <w:rFonts w:ascii="Palatino Linotype" w:hAnsi="Palatino Linotype"/>
          <w:sz w:val="24"/>
          <w:szCs w:val="24"/>
        </w:rPr>
      </w:pPr>
      <w:proofErr w:type="gramStart"/>
      <w:r w:rsidRPr="00743E64">
        <w:rPr>
          <w:rFonts w:ascii="Palatino Linotype" w:hAnsi="Palatino Linotype"/>
          <w:sz w:val="24"/>
          <w:szCs w:val="24"/>
        </w:rPr>
        <w:t>Consistency</w:t>
      </w:r>
      <w:proofErr w:type="gramEnd"/>
      <w:r w:rsidRPr="00743E64">
        <w:rPr>
          <w:rFonts w:ascii="Palatino Linotype" w:hAnsi="Palatino Linotype"/>
          <w:sz w:val="24"/>
          <w:szCs w:val="24"/>
        </w:rPr>
        <w:t xml:space="preserve"> with </w:t>
      </w:r>
      <w:r w:rsidRPr="00743E64" w:rsidR="008018A0">
        <w:rPr>
          <w:rFonts w:ascii="Palatino Linotype" w:hAnsi="Palatino Linotype"/>
          <w:sz w:val="24"/>
          <w:szCs w:val="24"/>
        </w:rPr>
        <w:t>PG&amp;E</w:t>
      </w:r>
      <w:r w:rsidRPr="00743E64">
        <w:rPr>
          <w:rFonts w:ascii="Palatino Linotype" w:hAnsi="Palatino Linotype"/>
          <w:sz w:val="24"/>
          <w:szCs w:val="24"/>
        </w:rPr>
        <w:t>’s 202</w:t>
      </w:r>
      <w:r w:rsidRPr="00743E64" w:rsidR="009938B1">
        <w:rPr>
          <w:rFonts w:ascii="Palatino Linotype" w:hAnsi="Palatino Linotype"/>
          <w:sz w:val="24"/>
          <w:szCs w:val="24"/>
        </w:rPr>
        <w:t>3</w:t>
      </w:r>
      <w:r w:rsidRPr="00743E64">
        <w:rPr>
          <w:rFonts w:ascii="Palatino Linotype" w:hAnsi="Palatino Linotype"/>
          <w:sz w:val="24"/>
          <w:szCs w:val="24"/>
        </w:rPr>
        <w:t xml:space="preserve"> R</w:t>
      </w:r>
      <w:r w:rsidRPr="00743E64" w:rsidR="009938B1">
        <w:rPr>
          <w:rFonts w:ascii="Palatino Linotype" w:hAnsi="Palatino Linotype"/>
          <w:sz w:val="24"/>
          <w:szCs w:val="24"/>
        </w:rPr>
        <w:t xml:space="preserve">enewable </w:t>
      </w:r>
      <w:r w:rsidRPr="00743E64">
        <w:rPr>
          <w:rFonts w:ascii="Palatino Linotype" w:hAnsi="Palatino Linotype"/>
          <w:sz w:val="24"/>
          <w:szCs w:val="24"/>
        </w:rPr>
        <w:t>P</w:t>
      </w:r>
      <w:r w:rsidRPr="00743E64" w:rsidR="009938B1">
        <w:rPr>
          <w:rFonts w:ascii="Palatino Linotype" w:hAnsi="Palatino Linotype"/>
          <w:sz w:val="24"/>
          <w:szCs w:val="24"/>
        </w:rPr>
        <w:t xml:space="preserve">ortfolio </w:t>
      </w:r>
      <w:r w:rsidRPr="00743E64">
        <w:rPr>
          <w:rFonts w:ascii="Palatino Linotype" w:hAnsi="Palatino Linotype"/>
          <w:sz w:val="24"/>
          <w:szCs w:val="24"/>
        </w:rPr>
        <w:t>S</w:t>
      </w:r>
      <w:r w:rsidRPr="00743E64" w:rsidR="009938B1">
        <w:rPr>
          <w:rFonts w:ascii="Palatino Linotype" w:hAnsi="Palatino Linotype"/>
          <w:sz w:val="24"/>
          <w:szCs w:val="24"/>
        </w:rPr>
        <w:t>tandard</w:t>
      </w:r>
      <w:r w:rsidRPr="00743E64">
        <w:rPr>
          <w:rFonts w:ascii="Palatino Linotype" w:hAnsi="Palatino Linotype"/>
          <w:sz w:val="24"/>
          <w:szCs w:val="24"/>
        </w:rPr>
        <w:t xml:space="preserve"> Procurement </w:t>
      </w:r>
      <w:proofErr w:type="gramStart"/>
      <w:r w:rsidRPr="00743E64">
        <w:rPr>
          <w:rFonts w:ascii="Palatino Linotype" w:hAnsi="Palatino Linotype"/>
          <w:sz w:val="24"/>
          <w:szCs w:val="24"/>
        </w:rPr>
        <w:t>Plan;</w:t>
      </w:r>
      <w:proofErr w:type="gramEnd"/>
    </w:p>
    <w:p w:rsidRPr="00743E64" w:rsidR="004411FB" w:rsidP="00F24356" w:rsidRDefault="004411FB" w14:paraId="141965A7" w14:textId="77777777">
      <w:pPr>
        <w:pStyle w:val="ListParagraph"/>
        <w:numPr>
          <w:ilvl w:val="0"/>
          <w:numId w:val="5"/>
        </w:numPr>
        <w:rPr>
          <w:rFonts w:ascii="Palatino Linotype" w:hAnsi="Palatino Linotype"/>
          <w:sz w:val="24"/>
          <w:szCs w:val="24"/>
        </w:rPr>
      </w:pPr>
      <w:r w:rsidRPr="00743E64" w:rsidDel="004411FB">
        <w:rPr>
          <w:rFonts w:ascii="Palatino Linotype" w:hAnsi="Palatino Linotype"/>
          <w:sz w:val="24"/>
          <w:szCs w:val="24"/>
        </w:rPr>
        <w:t xml:space="preserve">Procurement Methodology, Evaluation, and Cost </w:t>
      </w:r>
      <w:proofErr w:type="gramStart"/>
      <w:r w:rsidRPr="00743E64" w:rsidDel="004411FB">
        <w:rPr>
          <w:rFonts w:ascii="Palatino Linotype" w:hAnsi="Palatino Linotype"/>
          <w:sz w:val="24"/>
          <w:szCs w:val="24"/>
        </w:rPr>
        <w:t>Reasonableness;</w:t>
      </w:r>
      <w:proofErr w:type="gramEnd"/>
      <w:r w:rsidRPr="00743E64" w:rsidDel="004411FB">
        <w:rPr>
          <w:rFonts w:ascii="Palatino Linotype" w:hAnsi="Palatino Linotype"/>
          <w:sz w:val="24"/>
          <w:szCs w:val="24"/>
        </w:rPr>
        <w:t xml:space="preserve"> </w:t>
      </w:r>
    </w:p>
    <w:p w:rsidRPr="00743E64" w:rsidR="00C322BA" w:rsidP="00F24356" w:rsidRDefault="008D018B" w14:paraId="03182E97" w14:textId="026F8D3D">
      <w:pPr>
        <w:pStyle w:val="ListParagraph"/>
        <w:numPr>
          <w:ilvl w:val="0"/>
          <w:numId w:val="5"/>
        </w:numPr>
        <w:rPr>
          <w:rFonts w:ascii="Palatino Linotype" w:hAnsi="Palatino Linotype"/>
          <w:sz w:val="24"/>
          <w:szCs w:val="24"/>
        </w:rPr>
      </w:pPr>
      <w:r w:rsidRPr="00743E64">
        <w:rPr>
          <w:rFonts w:ascii="Palatino Linotype" w:hAnsi="Palatino Linotype"/>
          <w:sz w:val="24"/>
          <w:szCs w:val="24"/>
        </w:rPr>
        <w:t xml:space="preserve">RPS Eligibility and CPUC </w:t>
      </w:r>
      <w:proofErr w:type="gramStart"/>
      <w:r w:rsidRPr="00743E64">
        <w:rPr>
          <w:rFonts w:ascii="Palatino Linotype" w:hAnsi="Palatino Linotype"/>
          <w:sz w:val="24"/>
          <w:szCs w:val="24"/>
        </w:rPr>
        <w:t>Approval;</w:t>
      </w:r>
      <w:proofErr w:type="gramEnd"/>
    </w:p>
    <w:p w:rsidRPr="00743E64" w:rsidR="3A231F8E" w:rsidP="1ABC74B0" w:rsidRDefault="3A231F8E" w14:paraId="7B1C05F9" w14:textId="45963F99">
      <w:pPr>
        <w:pStyle w:val="ListParagraph"/>
        <w:numPr>
          <w:ilvl w:val="0"/>
          <w:numId w:val="5"/>
        </w:numPr>
        <w:rPr>
          <w:rFonts w:ascii="Palatino Linotype" w:hAnsi="Palatino Linotype"/>
          <w:sz w:val="24"/>
          <w:szCs w:val="24"/>
        </w:rPr>
      </w:pPr>
      <w:proofErr w:type="gramStart"/>
      <w:r w:rsidRPr="00743E64">
        <w:rPr>
          <w:rFonts w:ascii="Palatino Linotype" w:hAnsi="Palatino Linotype"/>
          <w:sz w:val="24"/>
          <w:szCs w:val="24"/>
        </w:rPr>
        <w:t>Consistency</w:t>
      </w:r>
      <w:proofErr w:type="gramEnd"/>
      <w:r w:rsidRPr="00743E64">
        <w:rPr>
          <w:rFonts w:ascii="Palatino Linotype" w:hAnsi="Palatino Linotype"/>
          <w:sz w:val="24"/>
          <w:szCs w:val="24"/>
        </w:rPr>
        <w:t xml:space="preserve"> with RPS standard terms and conditions (STC</w:t>
      </w:r>
      <w:proofErr w:type="gramStart"/>
      <w:r w:rsidRPr="00743E64">
        <w:rPr>
          <w:rFonts w:ascii="Palatino Linotype" w:hAnsi="Palatino Linotype"/>
          <w:sz w:val="24"/>
          <w:szCs w:val="24"/>
        </w:rPr>
        <w:t>);</w:t>
      </w:r>
      <w:proofErr w:type="gramEnd"/>
    </w:p>
    <w:p w:rsidRPr="00743E64" w:rsidR="004411FB" w:rsidP="007E5B97" w:rsidRDefault="004411FB" w14:paraId="372EC729" w14:textId="77777777">
      <w:pPr>
        <w:pStyle w:val="ListParagraph"/>
        <w:numPr>
          <w:ilvl w:val="0"/>
          <w:numId w:val="5"/>
        </w:numPr>
        <w:rPr>
          <w:rFonts w:ascii="Palatino Linotype" w:hAnsi="Palatino Linotype"/>
          <w:sz w:val="24"/>
          <w:szCs w:val="24"/>
        </w:rPr>
      </w:pPr>
      <w:proofErr w:type="gramStart"/>
      <w:r w:rsidRPr="00743E64">
        <w:rPr>
          <w:rFonts w:ascii="Palatino Linotype" w:hAnsi="Palatino Linotype"/>
          <w:sz w:val="24"/>
          <w:szCs w:val="24"/>
        </w:rPr>
        <w:t>Consistency</w:t>
      </w:r>
      <w:proofErr w:type="gramEnd"/>
      <w:r w:rsidRPr="00743E64">
        <w:rPr>
          <w:rFonts w:ascii="Palatino Linotype" w:hAnsi="Palatino Linotype"/>
          <w:sz w:val="24"/>
          <w:szCs w:val="24"/>
        </w:rPr>
        <w:t xml:space="preserve"> with Portfolio Content Categories </w:t>
      </w:r>
      <w:proofErr w:type="gramStart"/>
      <w:r w:rsidRPr="00743E64">
        <w:rPr>
          <w:rFonts w:ascii="Palatino Linotype" w:hAnsi="Palatino Linotype"/>
          <w:sz w:val="24"/>
          <w:szCs w:val="24"/>
        </w:rPr>
        <w:t>Requirements;</w:t>
      </w:r>
      <w:proofErr w:type="gramEnd"/>
    </w:p>
    <w:p w:rsidRPr="00743E64" w:rsidR="004411FB" w:rsidP="007E5B97" w:rsidRDefault="004411FB" w14:paraId="189B33A2" w14:textId="77777777">
      <w:pPr>
        <w:pStyle w:val="ListParagraph"/>
        <w:numPr>
          <w:ilvl w:val="0"/>
          <w:numId w:val="5"/>
        </w:numPr>
        <w:rPr>
          <w:rFonts w:ascii="Palatino Linotype" w:hAnsi="Palatino Linotype"/>
          <w:sz w:val="24"/>
          <w:szCs w:val="24"/>
        </w:rPr>
      </w:pPr>
      <w:proofErr w:type="gramStart"/>
      <w:r w:rsidRPr="00743E64">
        <w:rPr>
          <w:rFonts w:ascii="Palatino Linotype" w:hAnsi="Palatino Linotype"/>
          <w:sz w:val="24"/>
          <w:szCs w:val="24"/>
        </w:rPr>
        <w:t>Consistency</w:t>
      </w:r>
      <w:proofErr w:type="gramEnd"/>
      <w:r w:rsidRPr="00743E64">
        <w:rPr>
          <w:rFonts w:ascii="Palatino Linotype" w:hAnsi="Palatino Linotype"/>
          <w:sz w:val="24"/>
          <w:szCs w:val="24"/>
        </w:rPr>
        <w:t xml:space="preserve"> with the Long-Term Contracting </w:t>
      </w:r>
      <w:proofErr w:type="gramStart"/>
      <w:r w:rsidRPr="00743E64">
        <w:rPr>
          <w:rFonts w:ascii="Palatino Linotype" w:hAnsi="Palatino Linotype"/>
          <w:sz w:val="24"/>
          <w:szCs w:val="24"/>
        </w:rPr>
        <w:t>Requirement;</w:t>
      </w:r>
      <w:proofErr w:type="gramEnd"/>
      <w:r w:rsidRPr="00743E64">
        <w:rPr>
          <w:rFonts w:ascii="Palatino Linotype" w:hAnsi="Palatino Linotype"/>
          <w:sz w:val="24"/>
          <w:szCs w:val="24"/>
        </w:rPr>
        <w:t xml:space="preserve"> </w:t>
      </w:r>
    </w:p>
    <w:p w:rsidRPr="00743E64" w:rsidR="004411FB" w:rsidP="007E5B97" w:rsidRDefault="00FB1E48" w14:paraId="1518891F" w14:textId="27ADEC7B">
      <w:pPr>
        <w:pStyle w:val="ListParagraph"/>
        <w:numPr>
          <w:ilvl w:val="0"/>
          <w:numId w:val="5"/>
        </w:numPr>
        <w:rPr>
          <w:rFonts w:ascii="Palatino Linotype" w:hAnsi="Palatino Linotype"/>
          <w:sz w:val="24"/>
          <w:szCs w:val="24"/>
        </w:rPr>
      </w:pPr>
      <w:r w:rsidRPr="00743E64">
        <w:rPr>
          <w:rFonts w:ascii="Palatino Linotype" w:hAnsi="Palatino Linotype"/>
          <w:sz w:val="24"/>
          <w:szCs w:val="24"/>
        </w:rPr>
        <w:t xml:space="preserve">Consistency with </w:t>
      </w:r>
      <w:r w:rsidRPr="00743E64" w:rsidR="004411FB">
        <w:rPr>
          <w:rFonts w:ascii="Palatino Linotype" w:hAnsi="Palatino Linotype"/>
          <w:sz w:val="24"/>
          <w:szCs w:val="24"/>
        </w:rPr>
        <w:t xml:space="preserve">Disadvantaged Community </w:t>
      </w:r>
      <w:proofErr w:type="gramStart"/>
      <w:r w:rsidRPr="00743E64" w:rsidR="004411FB">
        <w:rPr>
          <w:rFonts w:ascii="Palatino Linotype" w:hAnsi="Palatino Linotype"/>
          <w:sz w:val="24"/>
          <w:szCs w:val="24"/>
        </w:rPr>
        <w:t>Goals;</w:t>
      </w:r>
      <w:proofErr w:type="gramEnd"/>
    </w:p>
    <w:p w:rsidRPr="00743E64" w:rsidR="004411FB" w:rsidP="007E5B97" w:rsidRDefault="00FB1E48" w14:paraId="695137BC" w14:textId="287EB8E6">
      <w:pPr>
        <w:pStyle w:val="ListParagraph"/>
        <w:numPr>
          <w:ilvl w:val="0"/>
          <w:numId w:val="5"/>
        </w:numPr>
        <w:rPr>
          <w:rFonts w:ascii="Palatino Linotype" w:hAnsi="Palatino Linotype"/>
          <w:sz w:val="24"/>
          <w:szCs w:val="24"/>
        </w:rPr>
      </w:pPr>
      <w:r w:rsidRPr="00743E64">
        <w:rPr>
          <w:rFonts w:ascii="Palatino Linotype" w:hAnsi="Palatino Linotype"/>
          <w:sz w:val="24"/>
          <w:szCs w:val="24"/>
        </w:rPr>
        <w:t xml:space="preserve">Use of </w:t>
      </w:r>
      <w:r w:rsidRPr="00743E64" w:rsidR="004411FB">
        <w:rPr>
          <w:rFonts w:ascii="Palatino Linotype" w:hAnsi="Palatino Linotype"/>
          <w:sz w:val="24"/>
          <w:szCs w:val="24"/>
        </w:rPr>
        <w:t xml:space="preserve">Independent Evaluator </w:t>
      </w:r>
      <w:proofErr w:type="gramStart"/>
      <w:r w:rsidRPr="00743E64" w:rsidR="004411FB">
        <w:rPr>
          <w:rFonts w:ascii="Palatino Linotype" w:hAnsi="Palatino Linotype"/>
          <w:sz w:val="24"/>
          <w:szCs w:val="24"/>
        </w:rPr>
        <w:t>Review;</w:t>
      </w:r>
      <w:proofErr w:type="gramEnd"/>
    </w:p>
    <w:p w:rsidRPr="00743E64" w:rsidR="004411FB" w:rsidP="004411FB" w:rsidRDefault="004411FB" w14:paraId="3C5080A3" w14:textId="77777777">
      <w:pPr>
        <w:pStyle w:val="ListParagraph"/>
        <w:numPr>
          <w:ilvl w:val="0"/>
          <w:numId w:val="5"/>
        </w:numPr>
        <w:rPr>
          <w:rFonts w:ascii="Palatino Linotype" w:hAnsi="Palatino Linotype"/>
          <w:sz w:val="24"/>
          <w:szCs w:val="24"/>
        </w:rPr>
      </w:pPr>
      <w:r w:rsidRPr="00743E64">
        <w:rPr>
          <w:rFonts w:ascii="Palatino Linotype" w:hAnsi="Palatino Linotype"/>
          <w:sz w:val="24"/>
          <w:szCs w:val="24"/>
        </w:rPr>
        <w:t>Procurement Review Group Participation</w:t>
      </w:r>
    </w:p>
    <w:p w:rsidRPr="00743E64" w:rsidR="00F24356" w:rsidP="004411FB" w:rsidRDefault="00F24356" w14:paraId="6D1A3B50" w14:textId="283484B9">
      <w:pPr>
        <w:pStyle w:val="ListParagraph"/>
        <w:numPr>
          <w:ilvl w:val="0"/>
          <w:numId w:val="5"/>
        </w:numPr>
        <w:rPr>
          <w:rFonts w:ascii="Palatino Linotype" w:hAnsi="Palatino Linotype"/>
          <w:sz w:val="24"/>
          <w:szCs w:val="24"/>
        </w:rPr>
      </w:pPr>
      <w:r w:rsidRPr="00743E64">
        <w:rPr>
          <w:rFonts w:ascii="Palatino Linotype" w:hAnsi="Palatino Linotype"/>
          <w:sz w:val="24"/>
          <w:szCs w:val="24"/>
        </w:rPr>
        <w:t>Compliance with the Interim Greenhouse Gas Emissions Performance Standard</w:t>
      </w:r>
      <w:r w:rsidRPr="00743E64" w:rsidR="007850B0">
        <w:rPr>
          <w:rFonts w:ascii="Palatino Linotype" w:hAnsi="Palatino Linotype"/>
          <w:sz w:val="24"/>
          <w:szCs w:val="24"/>
        </w:rPr>
        <w:t>;</w:t>
      </w:r>
      <w:r w:rsidRPr="00743E64" w:rsidR="000668AB">
        <w:rPr>
          <w:rFonts w:ascii="Palatino Linotype" w:hAnsi="Palatino Linotype"/>
          <w:sz w:val="24"/>
          <w:szCs w:val="24"/>
        </w:rPr>
        <w:t xml:space="preserve"> and</w:t>
      </w:r>
    </w:p>
    <w:p w:rsidRPr="00743E64" w:rsidR="00D86528" w:rsidDel="004411FB" w:rsidP="00D86528" w:rsidRDefault="007850B0" w14:paraId="3F811B24" w14:textId="2487051B">
      <w:pPr>
        <w:pStyle w:val="ListParagraph"/>
        <w:numPr>
          <w:ilvl w:val="0"/>
          <w:numId w:val="5"/>
        </w:numPr>
        <w:rPr>
          <w:rFonts w:ascii="Palatino Linotype" w:hAnsi="Palatino Linotype"/>
          <w:sz w:val="24"/>
          <w:szCs w:val="24"/>
        </w:rPr>
      </w:pPr>
      <w:r w:rsidRPr="00743E64" w:rsidDel="004411FB">
        <w:rPr>
          <w:rFonts w:ascii="Palatino Linotype" w:hAnsi="Palatino Linotype"/>
          <w:sz w:val="24"/>
          <w:szCs w:val="24"/>
        </w:rPr>
        <w:t>Cost Recovery.</w:t>
      </w:r>
    </w:p>
    <w:bookmarkEnd w:id="3"/>
    <w:p w:rsidR="00D86528" w:rsidP="00D86528" w:rsidRDefault="00D86528" w14:paraId="1FD110F1" w14:textId="77777777">
      <w:pPr>
        <w:rPr>
          <w:rFonts w:ascii="Palatino Linotype" w:hAnsi="Palatino Linotype"/>
          <w:sz w:val="24"/>
          <w:szCs w:val="24"/>
          <w:highlight w:val="yellow"/>
        </w:rPr>
      </w:pPr>
    </w:p>
    <w:p w:rsidR="00743E64" w:rsidP="00D86528" w:rsidRDefault="00743E64" w14:paraId="5BF24E52" w14:textId="77777777">
      <w:pPr>
        <w:rPr>
          <w:rFonts w:ascii="Palatino Linotype" w:hAnsi="Palatino Linotype"/>
          <w:sz w:val="24"/>
          <w:szCs w:val="24"/>
          <w:highlight w:val="yellow"/>
        </w:rPr>
      </w:pPr>
    </w:p>
    <w:p w:rsidR="004E65BA" w:rsidP="00D86528" w:rsidRDefault="004E65BA" w14:paraId="0ED79DEA" w14:textId="77777777">
      <w:pPr>
        <w:rPr>
          <w:rFonts w:ascii="Palatino Linotype" w:hAnsi="Palatino Linotype"/>
          <w:sz w:val="24"/>
          <w:szCs w:val="24"/>
          <w:highlight w:val="yellow"/>
        </w:rPr>
      </w:pPr>
    </w:p>
    <w:p w:rsidRPr="00743E64" w:rsidR="00743E64" w:rsidP="00D86528" w:rsidRDefault="00743E64" w14:paraId="7948E946" w14:textId="77777777">
      <w:pPr>
        <w:rPr>
          <w:rFonts w:ascii="Palatino Linotype" w:hAnsi="Palatino Linotype"/>
          <w:sz w:val="24"/>
          <w:szCs w:val="24"/>
          <w:highlight w:val="yellow"/>
        </w:rPr>
      </w:pPr>
    </w:p>
    <w:p w:rsidRPr="00743E64" w:rsidR="00D86528" w:rsidP="00D86528" w:rsidRDefault="007850B0" w14:paraId="0154BDBC" w14:textId="28276CCE">
      <w:pPr>
        <w:rPr>
          <w:rFonts w:ascii="Palatino Linotype" w:hAnsi="Palatino Linotype"/>
          <w:b/>
          <w:sz w:val="24"/>
          <w:szCs w:val="24"/>
        </w:rPr>
      </w:pPr>
      <w:bookmarkStart w:name="_Hlk160452563" w:id="4"/>
      <w:r w:rsidRPr="00743E64">
        <w:rPr>
          <w:rFonts w:ascii="Palatino Linotype" w:hAnsi="Palatino Linotype"/>
          <w:b/>
          <w:sz w:val="24"/>
          <w:szCs w:val="24"/>
        </w:rPr>
        <w:lastRenderedPageBreak/>
        <w:t>Consistency with D.21-06-035 and D.23-02-040</w:t>
      </w:r>
      <w:bookmarkEnd w:id="4"/>
    </w:p>
    <w:p w:rsidRPr="00743E64" w:rsidR="003F3DDF" w:rsidP="003F3DDF" w:rsidRDefault="003F3DDF" w14:paraId="0E62AAFA" w14:textId="1570EFE0">
      <w:pPr>
        <w:autoSpaceDE w:val="0"/>
        <w:autoSpaceDN w:val="0"/>
        <w:adjustRightInd w:val="0"/>
        <w:rPr>
          <w:rFonts w:ascii="Palatino Linotype" w:hAnsi="Palatino Linotype" w:cs="Palatino Linotype" w:eastAsiaTheme="minorHAnsi"/>
          <w:color w:val="000000"/>
          <w:sz w:val="24"/>
          <w:szCs w:val="24"/>
        </w:rPr>
      </w:pPr>
      <w:r w:rsidRPr="00743E64">
        <w:rPr>
          <w:rFonts w:ascii="Palatino Linotype" w:hAnsi="Palatino Linotype" w:cs="Palatino Linotype" w:eastAsiaTheme="minorHAnsi"/>
          <w:color w:val="000000"/>
          <w:sz w:val="24"/>
          <w:szCs w:val="24"/>
        </w:rPr>
        <w:t xml:space="preserve">We find that </w:t>
      </w:r>
      <w:r w:rsidRPr="00743E64" w:rsidR="009D7000">
        <w:rPr>
          <w:rFonts w:ascii="Palatino Linotype" w:hAnsi="Palatino Linotype" w:cs="Palatino Linotype" w:eastAsiaTheme="minorHAnsi"/>
          <w:color w:val="000000"/>
          <w:sz w:val="24"/>
          <w:szCs w:val="24"/>
        </w:rPr>
        <w:t>PG&amp;E</w:t>
      </w:r>
      <w:r w:rsidRPr="00743E64">
        <w:rPr>
          <w:rFonts w:ascii="Palatino Linotype" w:hAnsi="Palatino Linotype" w:cs="Palatino Linotype" w:eastAsiaTheme="minorHAnsi"/>
          <w:color w:val="000000"/>
          <w:sz w:val="24"/>
          <w:szCs w:val="24"/>
        </w:rPr>
        <w:t xml:space="preserve"> AL </w:t>
      </w:r>
      <w:r w:rsidRPr="00743E64" w:rsidR="009D7000">
        <w:rPr>
          <w:rFonts w:ascii="Palatino Linotype" w:hAnsi="Palatino Linotype" w:cs="Palatino Linotype" w:eastAsiaTheme="minorHAnsi"/>
          <w:color w:val="000000"/>
          <w:sz w:val="24"/>
          <w:szCs w:val="24"/>
        </w:rPr>
        <w:t>7356</w:t>
      </w:r>
      <w:r w:rsidRPr="00743E64">
        <w:rPr>
          <w:rFonts w:ascii="Palatino Linotype" w:hAnsi="Palatino Linotype" w:cs="Palatino Linotype" w:eastAsiaTheme="minorHAnsi"/>
          <w:color w:val="000000"/>
          <w:sz w:val="24"/>
          <w:szCs w:val="24"/>
        </w:rPr>
        <w:t>-E</w:t>
      </w:r>
      <w:r w:rsidRPr="00743E64" w:rsidR="00E26288">
        <w:rPr>
          <w:rFonts w:ascii="Palatino Linotype" w:hAnsi="Palatino Linotype" w:cs="Palatino Linotype" w:eastAsiaTheme="minorHAnsi"/>
          <w:color w:val="000000"/>
          <w:sz w:val="24"/>
          <w:szCs w:val="24"/>
        </w:rPr>
        <w:t xml:space="preserve"> is consistent</w:t>
      </w:r>
      <w:r w:rsidRPr="00743E64">
        <w:rPr>
          <w:rFonts w:ascii="Palatino Linotype" w:hAnsi="Palatino Linotype" w:cs="Palatino Linotype" w:eastAsiaTheme="minorHAnsi"/>
          <w:color w:val="000000"/>
          <w:sz w:val="24"/>
          <w:szCs w:val="24"/>
        </w:rPr>
        <w:t xml:space="preserve"> with D.21-06-035</w:t>
      </w:r>
      <w:r w:rsidRPr="00743E64" w:rsidR="00E26288">
        <w:rPr>
          <w:rFonts w:ascii="Palatino Linotype" w:hAnsi="Palatino Linotype" w:cs="Palatino Linotype" w:eastAsiaTheme="minorHAnsi"/>
          <w:color w:val="000000"/>
          <w:sz w:val="24"/>
          <w:szCs w:val="24"/>
        </w:rPr>
        <w:t xml:space="preserve">, as modified by </w:t>
      </w:r>
      <w:r w:rsidR="00743E64">
        <w:rPr>
          <w:rFonts w:ascii="Palatino Linotype" w:hAnsi="Palatino Linotype" w:cs="Palatino Linotype" w:eastAsiaTheme="minorHAnsi"/>
          <w:color w:val="000000"/>
          <w:sz w:val="24"/>
          <w:szCs w:val="24"/>
        </w:rPr>
        <w:br/>
      </w:r>
      <w:r w:rsidRPr="00743E64" w:rsidR="00E26288">
        <w:rPr>
          <w:rFonts w:ascii="Palatino Linotype" w:hAnsi="Palatino Linotype" w:cs="Palatino Linotype" w:eastAsiaTheme="minorHAnsi"/>
          <w:color w:val="000000"/>
          <w:sz w:val="24"/>
          <w:szCs w:val="24"/>
        </w:rPr>
        <w:t>D.23-02-040.</w:t>
      </w:r>
    </w:p>
    <w:p w:rsidRPr="00743E64" w:rsidR="003F3DDF" w:rsidP="003F3DDF" w:rsidRDefault="003F3DDF" w14:paraId="1DCFD0FA" w14:textId="77777777">
      <w:pPr>
        <w:autoSpaceDE w:val="0"/>
        <w:autoSpaceDN w:val="0"/>
        <w:adjustRightInd w:val="0"/>
        <w:rPr>
          <w:rFonts w:ascii="Palatino Linotype" w:hAnsi="Palatino Linotype" w:cs="Palatino Linotype" w:eastAsiaTheme="minorHAnsi"/>
          <w:color w:val="000000"/>
          <w:sz w:val="24"/>
          <w:szCs w:val="24"/>
        </w:rPr>
      </w:pPr>
    </w:p>
    <w:p w:rsidRPr="00743E64" w:rsidR="0059245C" w:rsidP="5B7093E0" w:rsidRDefault="00E67C1F" w14:paraId="57E921DE" w14:textId="28AF171A">
      <w:pPr>
        <w:pStyle w:val="FootnoteText"/>
        <w:rPr>
          <w:rFonts w:ascii="Palatino Linotype" w:hAnsi="Palatino Linotype" w:cs="Palatino Linotype" w:eastAsiaTheme="minorEastAsia"/>
          <w:color w:val="000000"/>
          <w:sz w:val="24"/>
          <w:szCs w:val="24"/>
        </w:rPr>
      </w:pPr>
      <w:r w:rsidRPr="00743E64">
        <w:rPr>
          <w:rFonts w:ascii="Palatino Linotype" w:hAnsi="Palatino Linotype" w:cs="Palatino Linotype" w:eastAsiaTheme="minorEastAsia"/>
          <w:color w:val="000000" w:themeColor="text1"/>
          <w:sz w:val="24"/>
          <w:szCs w:val="24"/>
        </w:rPr>
        <w:t>Ordering Paragraph (OP) 6</w:t>
      </w:r>
      <w:r w:rsidRPr="00743E64" w:rsidR="368BBD63">
        <w:rPr>
          <w:rFonts w:ascii="Palatino Linotype" w:hAnsi="Palatino Linotype" w:cs="Palatino Linotype" w:eastAsiaTheme="minorEastAsia"/>
          <w:color w:val="000000" w:themeColor="text1"/>
          <w:sz w:val="24"/>
          <w:szCs w:val="24"/>
        </w:rPr>
        <w:t xml:space="preserve"> of</w:t>
      </w:r>
      <w:r w:rsidRPr="00743E64">
        <w:rPr>
          <w:rFonts w:ascii="Palatino Linotype" w:hAnsi="Palatino Linotype" w:cs="Palatino Linotype" w:eastAsiaTheme="minorEastAsia"/>
          <w:color w:val="000000" w:themeColor="text1"/>
          <w:sz w:val="24"/>
          <w:szCs w:val="24"/>
        </w:rPr>
        <w:t xml:space="preserve"> </w:t>
      </w:r>
      <w:r w:rsidRPr="00743E64" w:rsidR="00E144CE">
        <w:rPr>
          <w:rFonts w:ascii="Palatino Linotype" w:hAnsi="Palatino Linotype" w:cs="Palatino Linotype" w:eastAsiaTheme="minorEastAsia"/>
          <w:color w:val="000000" w:themeColor="text1"/>
          <w:sz w:val="24"/>
          <w:szCs w:val="24"/>
        </w:rPr>
        <w:t>D.21-06-035</w:t>
      </w:r>
      <w:r w:rsidRPr="00743E64" w:rsidR="00213507">
        <w:rPr>
          <w:rFonts w:ascii="Palatino Linotype" w:hAnsi="Palatino Linotype" w:cs="Palatino Linotype" w:eastAsiaTheme="minorEastAsia"/>
          <w:color w:val="000000" w:themeColor="text1"/>
          <w:sz w:val="24"/>
          <w:szCs w:val="24"/>
        </w:rPr>
        <w:t xml:space="preserve"> </w:t>
      </w:r>
      <w:r w:rsidRPr="00743E64" w:rsidR="00E144CE">
        <w:rPr>
          <w:rFonts w:ascii="Palatino Linotype" w:hAnsi="Palatino Linotype" w:cs="Palatino Linotype" w:eastAsiaTheme="minorEastAsia"/>
          <w:color w:val="000000" w:themeColor="text1"/>
          <w:sz w:val="24"/>
          <w:szCs w:val="24"/>
        </w:rPr>
        <w:t>requires</w:t>
      </w:r>
      <w:r w:rsidRPr="00743E64" w:rsidR="00B57628">
        <w:rPr>
          <w:rFonts w:ascii="Palatino Linotype" w:hAnsi="Palatino Linotype" w:cs="Palatino Linotype" w:eastAsiaTheme="minorEastAsia"/>
          <w:color w:val="000000" w:themeColor="text1"/>
          <w:sz w:val="24"/>
          <w:szCs w:val="24"/>
        </w:rPr>
        <w:t xml:space="preserve"> </w:t>
      </w:r>
      <w:r w:rsidRPr="00743E64" w:rsidR="005E6067">
        <w:rPr>
          <w:rFonts w:ascii="Palatino Linotype" w:hAnsi="Palatino Linotype" w:cs="Palatino Linotype" w:eastAsiaTheme="minorEastAsia"/>
          <w:color w:val="000000" w:themeColor="text1"/>
          <w:sz w:val="24"/>
          <w:szCs w:val="24"/>
        </w:rPr>
        <w:t xml:space="preserve">PG&amp;E to procure at least 2,302 MWs of </w:t>
      </w:r>
      <w:r w:rsidRPr="00743E64" w:rsidR="001A2E4C">
        <w:rPr>
          <w:rFonts w:ascii="Palatino Linotype" w:hAnsi="Palatino Linotype" w:cs="Palatino Linotype" w:eastAsiaTheme="minorEastAsia"/>
          <w:color w:val="000000" w:themeColor="text1"/>
          <w:sz w:val="24"/>
          <w:szCs w:val="24"/>
        </w:rPr>
        <w:t xml:space="preserve">incremental September marginal ELCC </w:t>
      </w:r>
      <w:r w:rsidRPr="00743E64" w:rsidR="00205AD9">
        <w:rPr>
          <w:rFonts w:ascii="Palatino Linotype" w:hAnsi="Palatino Linotype" w:cs="Palatino Linotype" w:eastAsiaTheme="minorEastAsia"/>
          <w:color w:val="000000" w:themeColor="text1"/>
          <w:sz w:val="24"/>
          <w:szCs w:val="24"/>
        </w:rPr>
        <w:t xml:space="preserve">NQC. </w:t>
      </w:r>
      <w:r w:rsidRPr="00743E64" w:rsidR="001A2E4C">
        <w:rPr>
          <w:rFonts w:ascii="Palatino Linotype" w:hAnsi="Palatino Linotype" w:cs="Palatino Linotype" w:eastAsiaTheme="minorEastAsia"/>
          <w:color w:val="000000" w:themeColor="text1"/>
          <w:sz w:val="24"/>
          <w:szCs w:val="24"/>
        </w:rPr>
        <w:t xml:space="preserve">Of this total requirement 500 MW must come from firm </w:t>
      </w:r>
      <w:r w:rsidRPr="00743E64" w:rsidR="00213507">
        <w:rPr>
          <w:rFonts w:ascii="Palatino Linotype" w:hAnsi="Palatino Linotype" w:cs="Palatino Linotype" w:eastAsiaTheme="minorEastAsia"/>
          <w:color w:val="000000" w:themeColor="text1"/>
          <w:sz w:val="24"/>
          <w:szCs w:val="24"/>
        </w:rPr>
        <w:t xml:space="preserve">zero-emitting </w:t>
      </w:r>
      <w:r w:rsidRPr="00743E64" w:rsidR="001A2E4C">
        <w:rPr>
          <w:rFonts w:ascii="Palatino Linotype" w:hAnsi="Palatino Linotype" w:cs="Palatino Linotype" w:eastAsiaTheme="minorEastAsia"/>
          <w:color w:val="000000" w:themeColor="text1"/>
          <w:sz w:val="24"/>
          <w:szCs w:val="24"/>
        </w:rPr>
        <w:t xml:space="preserve">generation </w:t>
      </w:r>
      <w:r w:rsidRPr="00743E64" w:rsidR="00213507">
        <w:rPr>
          <w:rFonts w:ascii="Palatino Linotype" w:hAnsi="Palatino Linotype" w:cs="Palatino Linotype" w:eastAsiaTheme="minorEastAsia"/>
          <w:color w:val="000000" w:themeColor="text1"/>
          <w:sz w:val="24"/>
          <w:szCs w:val="24"/>
        </w:rPr>
        <w:t>resources</w:t>
      </w:r>
      <w:r w:rsidRPr="00743E64" w:rsidR="001A2E4C">
        <w:rPr>
          <w:rFonts w:ascii="Palatino Linotype" w:hAnsi="Palatino Linotype" w:cs="Palatino Linotype" w:eastAsiaTheme="minorEastAsia"/>
          <w:color w:val="000000" w:themeColor="text1"/>
          <w:sz w:val="24"/>
          <w:szCs w:val="24"/>
        </w:rPr>
        <w:t xml:space="preserve"> paired with storage or demand response resources.</w:t>
      </w:r>
      <w:r w:rsidRPr="00743E64" w:rsidR="001A4D4D">
        <w:rPr>
          <w:rFonts w:ascii="Palatino Linotype" w:hAnsi="Palatino Linotype" w:cs="Palatino Linotype" w:eastAsiaTheme="minorEastAsia"/>
          <w:color w:val="000000" w:themeColor="text1"/>
          <w:sz w:val="24"/>
          <w:szCs w:val="24"/>
        </w:rPr>
        <w:t xml:space="preserve"> </w:t>
      </w:r>
      <w:r w:rsidRPr="00743E64" w:rsidR="00B670BE">
        <w:rPr>
          <w:rFonts w:ascii="Palatino Linotype" w:hAnsi="Palatino Linotype" w:cs="Palatino Linotype" w:eastAsiaTheme="minorEastAsia"/>
          <w:color w:val="000000" w:themeColor="text1"/>
          <w:sz w:val="24"/>
          <w:szCs w:val="24"/>
        </w:rPr>
        <w:t>In accordance with OP 6 of D.21-06</w:t>
      </w:r>
      <w:r w:rsidRPr="00743E64" w:rsidR="009A191D">
        <w:rPr>
          <w:rFonts w:ascii="Palatino Linotype" w:hAnsi="Palatino Linotype" w:cs="Palatino Linotype" w:eastAsiaTheme="minorEastAsia"/>
          <w:color w:val="000000" w:themeColor="text1"/>
          <w:sz w:val="24"/>
          <w:szCs w:val="24"/>
        </w:rPr>
        <w:t>-035, t</w:t>
      </w:r>
      <w:r w:rsidRPr="00743E64" w:rsidR="00457A36">
        <w:rPr>
          <w:rFonts w:ascii="Palatino Linotype" w:hAnsi="Palatino Linotype" w:cs="Palatino Linotype" w:eastAsiaTheme="minorEastAsia"/>
          <w:color w:val="000000" w:themeColor="text1"/>
          <w:sz w:val="24"/>
          <w:szCs w:val="24"/>
        </w:rPr>
        <w:t>he</w:t>
      </w:r>
      <w:r w:rsidRPr="00743E64" w:rsidR="00A13775">
        <w:rPr>
          <w:rFonts w:ascii="Palatino Linotype" w:hAnsi="Palatino Linotype" w:cs="Palatino Linotype" w:eastAsiaTheme="minorEastAsia"/>
          <w:color w:val="000000" w:themeColor="text1"/>
          <w:sz w:val="24"/>
          <w:szCs w:val="24"/>
        </w:rPr>
        <w:t xml:space="preserve"> </w:t>
      </w:r>
      <w:r w:rsidRPr="00743E64" w:rsidR="00665628">
        <w:rPr>
          <w:rFonts w:ascii="Palatino Linotype" w:hAnsi="Palatino Linotype" w:cs="Palatino Linotype" w:eastAsiaTheme="minorEastAsia"/>
          <w:color w:val="000000" w:themeColor="text1"/>
          <w:sz w:val="24"/>
          <w:szCs w:val="24"/>
        </w:rPr>
        <w:t>Atlas</w:t>
      </w:r>
      <w:r w:rsidRPr="00743E64" w:rsidR="0037770A">
        <w:rPr>
          <w:rFonts w:ascii="Palatino Linotype" w:hAnsi="Palatino Linotype" w:cs="Palatino Linotype" w:eastAsiaTheme="minorEastAsia"/>
          <w:color w:val="000000" w:themeColor="text1"/>
          <w:sz w:val="24"/>
          <w:szCs w:val="24"/>
        </w:rPr>
        <w:t xml:space="preserve"> contracts </w:t>
      </w:r>
      <w:r w:rsidRPr="00743E64" w:rsidR="00B670BE">
        <w:rPr>
          <w:rFonts w:ascii="Palatino Linotype" w:hAnsi="Palatino Linotype" w:cs="Palatino Linotype" w:eastAsiaTheme="minorEastAsia"/>
          <w:color w:val="000000" w:themeColor="text1"/>
          <w:sz w:val="24"/>
          <w:szCs w:val="24"/>
        </w:rPr>
        <w:t xml:space="preserve">include a generation </w:t>
      </w:r>
      <w:r w:rsidRPr="00743E64" w:rsidR="009A191D">
        <w:rPr>
          <w:rFonts w:ascii="Palatino Linotype" w:hAnsi="Palatino Linotype" w:cs="Palatino Linotype" w:eastAsiaTheme="minorEastAsia"/>
          <w:color w:val="000000" w:themeColor="text1"/>
          <w:sz w:val="24"/>
          <w:szCs w:val="24"/>
        </w:rPr>
        <w:t xml:space="preserve">resource paired with </w:t>
      </w:r>
      <w:proofErr w:type="gramStart"/>
      <w:r w:rsidRPr="00743E64" w:rsidR="009A191D">
        <w:rPr>
          <w:rFonts w:ascii="Palatino Linotype" w:hAnsi="Palatino Linotype" w:cs="Palatino Linotype" w:eastAsiaTheme="minorEastAsia"/>
          <w:color w:val="000000" w:themeColor="text1"/>
          <w:sz w:val="24"/>
          <w:szCs w:val="24"/>
        </w:rPr>
        <w:t>storage</w:t>
      </w:r>
      <w:r w:rsidRPr="00743E64" w:rsidR="00285C3F">
        <w:rPr>
          <w:rFonts w:ascii="Palatino Linotype" w:hAnsi="Palatino Linotype" w:cs="Palatino Linotype" w:eastAsiaTheme="minorEastAsia"/>
          <w:color w:val="000000" w:themeColor="text1"/>
          <w:sz w:val="24"/>
          <w:szCs w:val="24"/>
        </w:rPr>
        <w:t>, and</w:t>
      </w:r>
      <w:proofErr w:type="gramEnd"/>
      <w:r w:rsidRPr="00743E64" w:rsidR="00774B6C">
        <w:rPr>
          <w:rFonts w:ascii="Palatino Linotype" w:hAnsi="Palatino Linotype" w:cs="Palatino Linotype" w:eastAsiaTheme="minorEastAsia"/>
          <w:color w:val="000000" w:themeColor="text1"/>
          <w:sz w:val="24"/>
          <w:szCs w:val="24"/>
        </w:rPr>
        <w:t xml:space="preserve"> therefore</w:t>
      </w:r>
      <w:r w:rsidRPr="00743E64" w:rsidR="00285C3F">
        <w:rPr>
          <w:rFonts w:ascii="Palatino Linotype" w:hAnsi="Palatino Linotype" w:cs="Palatino Linotype" w:eastAsiaTheme="minorEastAsia"/>
          <w:color w:val="000000" w:themeColor="text1"/>
          <w:sz w:val="24"/>
          <w:szCs w:val="24"/>
        </w:rPr>
        <w:t xml:space="preserve"> </w:t>
      </w:r>
      <w:r w:rsidRPr="00743E64" w:rsidR="00407E11">
        <w:rPr>
          <w:rFonts w:ascii="Palatino Linotype" w:hAnsi="Palatino Linotype" w:cs="Palatino Linotype" w:eastAsiaTheme="minorEastAsia"/>
          <w:color w:val="000000" w:themeColor="text1"/>
          <w:sz w:val="24"/>
          <w:szCs w:val="24"/>
        </w:rPr>
        <w:t>may</w:t>
      </w:r>
      <w:r w:rsidRPr="00743E64" w:rsidR="0037770A">
        <w:rPr>
          <w:rFonts w:ascii="Palatino Linotype" w:hAnsi="Palatino Linotype" w:cs="Palatino Linotype" w:eastAsiaTheme="minorEastAsia"/>
          <w:color w:val="000000" w:themeColor="text1"/>
          <w:sz w:val="24"/>
          <w:szCs w:val="24"/>
        </w:rPr>
        <w:t xml:space="preserve"> contribute toward </w:t>
      </w:r>
      <w:r w:rsidR="00743E64">
        <w:rPr>
          <w:rFonts w:ascii="Palatino Linotype" w:hAnsi="Palatino Linotype" w:cs="Palatino Linotype" w:eastAsiaTheme="minorEastAsia"/>
          <w:color w:val="000000" w:themeColor="text1"/>
          <w:sz w:val="24"/>
          <w:szCs w:val="24"/>
        </w:rPr>
        <w:br/>
      </w:r>
      <w:r w:rsidRPr="00743E64" w:rsidR="00285C3F">
        <w:rPr>
          <w:rFonts w:ascii="Palatino Linotype" w:hAnsi="Palatino Linotype" w:cs="Palatino Linotype" w:eastAsiaTheme="minorEastAsia"/>
          <w:color w:val="000000" w:themeColor="text1"/>
          <w:sz w:val="24"/>
          <w:szCs w:val="24"/>
        </w:rPr>
        <w:t>PG&amp;</w:t>
      </w:r>
      <w:r w:rsidRPr="00743E64" w:rsidR="0037770A">
        <w:rPr>
          <w:rFonts w:ascii="Palatino Linotype" w:hAnsi="Palatino Linotype" w:cs="Palatino Linotype" w:eastAsiaTheme="minorEastAsia"/>
          <w:color w:val="000000" w:themeColor="text1"/>
          <w:sz w:val="24"/>
          <w:szCs w:val="24"/>
        </w:rPr>
        <w:t xml:space="preserve">E’s </w:t>
      </w:r>
      <w:r w:rsidRPr="00743E64" w:rsidR="0095421D">
        <w:rPr>
          <w:rFonts w:ascii="Palatino Linotype" w:hAnsi="Palatino Linotype"/>
          <w:sz w:val="24"/>
          <w:szCs w:val="24"/>
        </w:rPr>
        <w:t>DCR</w:t>
      </w:r>
      <w:r w:rsidRPr="00743E64" w:rsidR="006752FF">
        <w:rPr>
          <w:rFonts w:ascii="Palatino Linotype" w:hAnsi="Palatino Linotype"/>
          <w:sz w:val="24"/>
          <w:szCs w:val="24"/>
        </w:rPr>
        <w:t xml:space="preserve"> </w:t>
      </w:r>
      <w:r w:rsidRPr="00743E64" w:rsidR="007946B2">
        <w:rPr>
          <w:rFonts w:ascii="Palatino Linotype" w:hAnsi="Palatino Linotype" w:cs="Palatino Linotype" w:eastAsiaTheme="minorEastAsia"/>
          <w:color w:val="000000" w:themeColor="text1"/>
          <w:sz w:val="24"/>
          <w:szCs w:val="24"/>
        </w:rPr>
        <w:t xml:space="preserve">requirement. </w:t>
      </w:r>
    </w:p>
    <w:p w:rsidRPr="00743E64" w:rsidR="0059245C" w:rsidP="003F3DDF" w:rsidRDefault="0059245C" w14:paraId="166BB432" w14:textId="77777777">
      <w:pPr>
        <w:autoSpaceDE w:val="0"/>
        <w:autoSpaceDN w:val="0"/>
        <w:adjustRightInd w:val="0"/>
        <w:rPr>
          <w:rFonts w:ascii="Palatino Linotype" w:hAnsi="Palatino Linotype" w:cs="Palatino Linotype" w:eastAsiaTheme="minorHAnsi"/>
          <w:color w:val="000000"/>
          <w:sz w:val="24"/>
          <w:szCs w:val="24"/>
        </w:rPr>
      </w:pPr>
    </w:p>
    <w:p w:rsidRPr="00743E64" w:rsidR="00A13775" w:rsidP="003F3DDF" w:rsidRDefault="000E09C4" w14:paraId="42AE79D1" w14:textId="62A7CB10">
      <w:pPr>
        <w:autoSpaceDE w:val="0"/>
        <w:autoSpaceDN w:val="0"/>
        <w:adjustRightInd w:val="0"/>
        <w:rPr>
          <w:rFonts w:ascii="Palatino Linotype" w:hAnsi="Palatino Linotype" w:cs="Palatino Linotype" w:eastAsiaTheme="minorHAnsi"/>
          <w:color w:val="000000"/>
          <w:sz w:val="24"/>
          <w:szCs w:val="24"/>
        </w:rPr>
      </w:pPr>
      <w:r w:rsidRPr="00743E64">
        <w:rPr>
          <w:rFonts w:ascii="Palatino Linotype" w:hAnsi="Palatino Linotype" w:cs="Palatino Linotype" w:eastAsiaTheme="minorHAnsi"/>
          <w:color w:val="000000"/>
          <w:sz w:val="24"/>
          <w:szCs w:val="24"/>
        </w:rPr>
        <w:t xml:space="preserve">The </w:t>
      </w:r>
      <w:r w:rsidRPr="00743E64" w:rsidR="00BE2088">
        <w:rPr>
          <w:rFonts w:ascii="Palatino Linotype" w:hAnsi="Palatino Linotype" w:cs="Palatino Linotype" w:eastAsiaTheme="minorHAnsi"/>
          <w:color w:val="000000"/>
          <w:sz w:val="24"/>
          <w:szCs w:val="24"/>
        </w:rPr>
        <w:t>Lockhart</w:t>
      </w:r>
      <w:r w:rsidRPr="00743E64">
        <w:rPr>
          <w:rFonts w:ascii="Palatino Linotype" w:hAnsi="Palatino Linotype" w:cs="Palatino Linotype" w:eastAsiaTheme="minorHAnsi"/>
          <w:color w:val="000000"/>
          <w:sz w:val="24"/>
          <w:szCs w:val="24"/>
        </w:rPr>
        <w:t xml:space="preserve"> contracts </w:t>
      </w:r>
      <w:r w:rsidRPr="00743E64" w:rsidR="002570B7">
        <w:rPr>
          <w:rFonts w:ascii="Palatino Linotype" w:hAnsi="Palatino Linotype" w:cs="Palatino Linotype" w:eastAsiaTheme="minorHAnsi"/>
          <w:color w:val="000000"/>
          <w:sz w:val="24"/>
          <w:szCs w:val="24"/>
        </w:rPr>
        <w:t xml:space="preserve">are </w:t>
      </w:r>
      <w:r w:rsidRPr="00743E64" w:rsidR="008B177D">
        <w:rPr>
          <w:rFonts w:ascii="Palatino Linotype" w:hAnsi="Palatino Linotype" w:cs="Palatino Linotype" w:eastAsiaTheme="minorHAnsi"/>
          <w:color w:val="000000"/>
          <w:sz w:val="24"/>
          <w:szCs w:val="24"/>
        </w:rPr>
        <w:t xml:space="preserve">for </w:t>
      </w:r>
      <w:r w:rsidRPr="00743E64" w:rsidR="00CF459D">
        <w:rPr>
          <w:rFonts w:ascii="Palatino Linotype" w:hAnsi="Palatino Linotype" w:cs="Palatino Linotype" w:eastAsiaTheme="minorHAnsi"/>
          <w:color w:val="000000"/>
          <w:sz w:val="24"/>
          <w:szCs w:val="24"/>
        </w:rPr>
        <w:t>storage-only</w:t>
      </w:r>
      <w:r w:rsidRPr="00743E64" w:rsidR="0012279B">
        <w:rPr>
          <w:rFonts w:ascii="Palatino Linotype" w:hAnsi="Palatino Linotype" w:cs="Palatino Linotype" w:eastAsiaTheme="minorHAnsi"/>
          <w:color w:val="000000"/>
          <w:sz w:val="24"/>
          <w:szCs w:val="24"/>
        </w:rPr>
        <w:t xml:space="preserve"> </w:t>
      </w:r>
      <w:r w:rsidRPr="00743E64" w:rsidR="008B177D">
        <w:rPr>
          <w:rFonts w:ascii="Palatino Linotype" w:hAnsi="Palatino Linotype" w:cs="Palatino Linotype" w:eastAsiaTheme="minorHAnsi"/>
          <w:color w:val="000000"/>
          <w:sz w:val="24"/>
          <w:szCs w:val="24"/>
        </w:rPr>
        <w:t>resource</w:t>
      </w:r>
      <w:r w:rsidRPr="00743E64" w:rsidR="0012279B">
        <w:rPr>
          <w:rFonts w:ascii="Palatino Linotype" w:hAnsi="Palatino Linotype" w:cs="Palatino Linotype" w:eastAsiaTheme="minorHAnsi"/>
          <w:color w:val="000000"/>
          <w:sz w:val="24"/>
          <w:szCs w:val="24"/>
        </w:rPr>
        <w:t xml:space="preserve">s that are </w:t>
      </w:r>
      <w:r w:rsidRPr="00743E64" w:rsidR="002570B7">
        <w:rPr>
          <w:rFonts w:ascii="Palatino Linotype" w:hAnsi="Palatino Linotype" w:cs="Palatino Linotype" w:eastAsiaTheme="minorHAnsi"/>
          <w:color w:val="000000"/>
          <w:sz w:val="24"/>
          <w:szCs w:val="24"/>
        </w:rPr>
        <w:t xml:space="preserve">expected to help </w:t>
      </w:r>
      <w:r w:rsidRPr="00743E64" w:rsidR="00CF459D">
        <w:rPr>
          <w:rFonts w:ascii="Palatino Linotype" w:hAnsi="Palatino Linotype" w:cs="Palatino Linotype" w:eastAsiaTheme="minorHAnsi"/>
          <w:color w:val="000000"/>
          <w:sz w:val="24"/>
          <w:szCs w:val="24"/>
        </w:rPr>
        <w:t>PG&amp;E</w:t>
      </w:r>
      <w:r w:rsidRPr="00743E64" w:rsidR="00A545FE">
        <w:rPr>
          <w:rFonts w:ascii="Palatino Linotype" w:hAnsi="Palatino Linotype" w:cs="Palatino Linotype" w:eastAsiaTheme="minorHAnsi"/>
          <w:color w:val="000000"/>
          <w:sz w:val="24"/>
          <w:szCs w:val="24"/>
        </w:rPr>
        <w:t xml:space="preserve"> meet it</w:t>
      </w:r>
      <w:r w:rsidRPr="00743E64" w:rsidR="006E4CF0">
        <w:rPr>
          <w:rFonts w:ascii="Palatino Linotype" w:hAnsi="Palatino Linotype" w:cs="Palatino Linotype" w:eastAsiaTheme="minorHAnsi"/>
          <w:color w:val="000000"/>
          <w:sz w:val="24"/>
          <w:szCs w:val="24"/>
        </w:rPr>
        <w:t xml:space="preserve">s </w:t>
      </w:r>
      <w:r w:rsidRPr="00743E64" w:rsidR="001A2E4C">
        <w:rPr>
          <w:rFonts w:ascii="Palatino Linotype" w:hAnsi="Palatino Linotype" w:cs="Palatino Linotype" w:eastAsiaTheme="minorHAnsi"/>
          <w:color w:val="000000"/>
          <w:sz w:val="24"/>
          <w:szCs w:val="24"/>
        </w:rPr>
        <w:t xml:space="preserve">general </w:t>
      </w:r>
      <w:r w:rsidRPr="00743E64" w:rsidR="006E4CF0">
        <w:rPr>
          <w:rFonts w:ascii="Palatino Linotype" w:hAnsi="Palatino Linotype" w:cs="Palatino Linotype" w:eastAsiaTheme="minorHAnsi"/>
          <w:color w:val="000000"/>
          <w:sz w:val="24"/>
          <w:szCs w:val="24"/>
        </w:rPr>
        <w:t>MTR</w:t>
      </w:r>
      <w:r w:rsidRPr="00743E64" w:rsidR="00276B4B">
        <w:rPr>
          <w:rFonts w:ascii="Palatino Linotype" w:hAnsi="Palatino Linotype" w:cs="Palatino Linotype" w:eastAsiaTheme="minorHAnsi"/>
          <w:color w:val="000000"/>
          <w:sz w:val="24"/>
          <w:szCs w:val="24"/>
        </w:rPr>
        <w:t xml:space="preserve"> requirement</w:t>
      </w:r>
      <w:r w:rsidRPr="00743E64" w:rsidR="00597AD3">
        <w:rPr>
          <w:rFonts w:ascii="Palatino Linotype" w:hAnsi="Palatino Linotype" w:cs="Palatino Linotype" w:eastAsiaTheme="minorHAnsi"/>
          <w:color w:val="000000"/>
          <w:sz w:val="24"/>
          <w:szCs w:val="24"/>
        </w:rPr>
        <w:t>s</w:t>
      </w:r>
      <w:r w:rsidRPr="00743E64" w:rsidR="00CC2DEC">
        <w:rPr>
          <w:rFonts w:ascii="Palatino Linotype" w:hAnsi="Palatino Linotype" w:cs="Palatino Linotype" w:eastAsiaTheme="minorHAnsi"/>
          <w:color w:val="000000"/>
          <w:sz w:val="24"/>
          <w:szCs w:val="24"/>
        </w:rPr>
        <w:t>.</w:t>
      </w:r>
      <w:r w:rsidRPr="00743E64" w:rsidR="004C1EED">
        <w:rPr>
          <w:rFonts w:ascii="Palatino Linotype" w:hAnsi="Palatino Linotype" w:cs="Palatino Linotype" w:eastAsiaTheme="minorHAnsi"/>
          <w:color w:val="000000"/>
          <w:sz w:val="24"/>
          <w:szCs w:val="24"/>
        </w:rPr>
        <w:t xml:space="preserve"> T</w:t>
      </w:r>
      <w:r w:rsidRPr="00743E64" w:rsidR="00E52E0A">
        <w:rPr>
          <w:rFonts w:ascii="Palatino Linotype" w:hAnsi="Palatino Linotype" w:cs="Palatino Linotype" w:eastAsiaTheme="minorHAnsi"/>
          <w:color w:val="000000"/>
          <w:sz w:val="24"/>
          <w:szCs w:val="24"/>
        </w:rPr>
        <w:t xml:space="preserve">he </w:t>
      </w:r>
      <w:r w:rsidRPr="00743E64" w:rsidR="001A2E4C">
        <w:rPr>
          <w:rFonts w:ascii="Palatino Linotype" w:hAnsi="Palatino Linotype" w:cs="Palatino Linotype" w:eastAsiaTheme="minorHAnsi"/>
          <w:color w:val="000000"/>
          <w:sz w:val="24"/>
          <w:szCs w:val="24"/>
        </w:rPr>
        <w:t xml:space="preserve">Lockhart </w:t>
      </w:r>
      <w:r w:rsidRPr="00743E64" w:rsidR="00E52E0A">
        <w:rPr>
          <w:rFonts w:ascii="Palatino Linotype" w:hAnsi="Palatino Linotype" w:cs="Palatino Linotype" w:eastAsiaTheme="minorHAnsi"/>
          <w:color w:val="000000"/>
          <w:sz w:val="24"/>
          <w:szCs w:val="24"/>
        </w:rPr>
        <w:t>contract</w:t>
      </w:r>
      <w:r w:rsidRPr="00743E64" w:rsidR="00F8299D">
        <w:rPr>
          <w:rFonts w:ascii="Palatino Linotype" w:hAnsi="Palatino Linotype" w:cs="Palatino Linotype" w:eastAsiaTheme="minorHAnsi"/>
          <w:color w:val="000000"/>
          <w:sz w:val="24"/>
          <w:szCs w:val="24"/>
        </w:rPr>
        <w:t>s</w:t>
      </w:r>
      <w:r w:rsidRPr="00743E64" w:rsidR="00E52E0A">
        <w:rPr>
          <w:rFonts w:ascii="Palatino Linotype" w:hAnsi="Palatino Linotype" w:cs="Palatino Linotype" w:eastAsiaTheme="minorHAnsi"/>
          <w:color w:val="000000"/>
          <w:sz w:val="24"/>
          <w:szCs w:val="24"/>
        </w:rPr>
        <w:t xml:space="preserve"> may be used to satisfy the </w:t>
      </w:r>
      <w:r w:rsidRPr="00743E64" w:rsidR="001A4D4D">
        <w:rPr>
          <w:rFonts w:ascii="Palatino Linotype" w:hAnsi="Palatino Linotype" w:cs="Palatino Linotype" w:eastAsiaTheme="minorHAnsi"/>
          <w:color w:val="000000"/>
          <w:sz w:val="24"/>
          <w:szCs w:val="24"/>
        </w:rPr>
        <w:t>Diablo Canyon Replacement requirement a</w:t>
      </w:r>
      <w:r w:rsidRPr="00743E64" w:rsidR="008B177D">
        <w:rPr>
          <w:rFonts w:ascii="Palatino Linotype" w:hAnsi="Palatino Linotype" w:cs="Palatino Linotype" w:eastAsiaTheme="minorHAnsi"/>
          <w:color w:val="000000"/>
          <w:sz w:val="24"/>
          <w:szCs w:val="24"/>
        </w:rPr>
        <w:t>dopted in D.21-06-035</w:t>
      </w:r>
      <w:r w:rsidRPr="00743E64" w:rsidR="00E52E0A">
        <w:rPr>
          <w:rFonts w:ascii="Palatino Linotype" w:hAnsi="Palatino Linotype" w:cs="Palatino Linotype" w:eastAsiaTheme="minorHAnsi"/>
          <w:color w:val="000000"/>
          <w:sz w:val="24"/>
          <w:szCs w:val="24"/>
        </w:rPr>
        <w:t xml:space="preserve"> if </w:t>
      </w:r>
      <w:r w:rsidRPr="00743E64" w:rsidR="00302C60">
        <w:rPr>
          <w:rFonts w:ascii="Palatino Linotype" w:hAnsi="Palatino Linotype" w:cs="Palatino Linotype" w:eastAsiaTheme="minorHAnsi"/>
          <w:color w:val="000000"/>
          <w:sz w:val="24"/>
          <w:szCs w:val="24"/>
        </w:rPr>
        <w:t>PG&amp;E</w:t>
      </w:r>
      <w:r w:rsidRPr="00743E64" w:rsidR="00A30ED8">
        <w:rPr>
          <w:rFonts w:ascii="Palatino Linotype" w:hAnsi="Palatino Linotype" w:cs="Palatino Linotype" w:eastAsiaTheme="minorHAnsi"/>
          <w:color w:val="000000"/>
          <w:sz w:val="24"/>
          <w:szCs w:val="24"/>
        </w:rPr>
        <w:t xml:space="preserve"> is able to pair the </w:t>
      </w:r>
      <w:r w:rsidRPr="00743E64" w:rsidR="00F86A8B">
        <w:rPr>
          <w:rFonts w:ascii="Palatino Linotype" w:hAnsi="Palatino Linotype" w:cs="Palatino Linotype" w:eastAsiaTheme="minorHAnsi"/>
          <w:color w:val="000000"/>
          <w:sz w:val="24"/>
          <w:szCs w:val="24"/>
        </w:rPr>
        <w:t>energy</w:t>
      </w:r>
      <w:r w:rsidRPr="00743E64" w:rsidR="00A30ED8">
        <w:rPr>
          <w:rFonts w:ascii="Palatino Linotype" w:hAnsi="Palatino Linotype" w:cs="Palatino Linotype" w:eastAsiaTheme="minorHAnsi"/>
          <w:color w:val="000000"/>
          <w:sz w:val="24"/>
          <w:szCs w:val="24"/>
        </w:rPr>
        <w:t xml:space="preserve"> </w:t>
      </w:r>
      <w:r w:rsidRPr="00743E64" w:rsidR="001F43A1">
        <w:rPr>
          <w:rFonts w:ascii="Palatino Linotype" w:hAnsi="Palatino Linotype" w:cs="Palatino Linotype" w:eastAsiaTheme="minorHAnsi"/>
          <w:color w:val="000000"/>
          <w:sz w:val="24"/>
          <w:szCs w:val="24"/>
        </w:rPr>
        <w:t>storage</w:t>
      </w:r>
      <w:r w:rsidRPr="00743E64" w:rsidR="00167714">
        <w:rPr>
          <w:rFonts w:ascii="Palatino Linotype" w:hAnsi="Palatino Linotype" w:cs="Palatino Linotype" w:eastAsiaTheme="minorHAnsi"/>
          <w:color w:val="000000"/>
          <w:sz w:val="24"/>
          <w:szCs w:val="24"/>
        </w:rPr>
        <w:t xml:space="preserve"> resources</w:t>
      </w:r>
      <w:r w:rsidRPr="00743E64" w:rsidR="00302C60">
        <w:rPr>
          <w:rFonts w:ascii="Palatino Linotype" w:hAnsi="Palatino Linotype" w:cs="Palatino Linotype" w:eastAsiaTheme="minorHAnsi"/>
          <w:color w:val="000000"/>
          <w:sz w:val="24"/>
          <w:szCs w:val="24"/>
        </w:rPr>
        <w:t xml:space="preserve"> with eligible generation</w:t>
      </w:r>
      <w:r w:rsidRPr="00743E64" w:rsidR="001F43A1">
        <w:rPr>
          <w:rFonts w:ascii="Palatino Linotype" w:hAnsi="Palatino Linotype" w:cs="Palatino Linotype" w:eastAsiaTheme="minorHAnsi"/>
          <w:color w:val="000000"/>
          <w:sz w:val="24"/>
          <w:szCs w:val="24"/>
        </w:rPr>
        <w:t xml:space="preserve">. </w:t>
      </w:r>
    </w:p>
    <w:p w:rsidRPr="00743E64" w:rsidR="004F5085" w:rsidP="003F3DDF" w:rsidRDefault="004F5085" w14:paraId="403AAFC6" w14:textId="77777777">
      <w:pPr>
        <w:autoSpaceDE w:val="0"/>
        <w:autoSpaceDN w:val="0"/>
        <w:adjustRightInd w:val="0"/>
        <w:rPr>
          <w:rFonts w:ascii="Palatino Linotype" w:hAnsi="Palatino Linotype" w:cs="Palatino Linotype" w:eastAsiaTheme="minorHAnsi"/>
          <w:color w:val="000000"/>
          <w:sz w:val="24"/>
          <w:szCs w:val="24"/>
        </w:rPr>
      </w:pPr>
    </w:p>
    <w:p w:rsidRPr="00743E64" w:rsidR="004F5085" w:rsidP="003F3DDF" w:rsidRDefault="004F5085" w14:paraId="1D9AF87B" w14:textId="60161929">
      <w:pPr>
        <w:autoSpaceDE w:val="0"/>
        <w:autoSpaceDN w:val="0"/>
        <w:adjustRightInd w:val="0"/>
        <w:rPr>
          <w:rFonts w:ascii="Palatino Linotype" w:hAnsi="Palatino Linotype" w:cs="Palatino Linotype" w:eastAsiaTheme="minorHAnsi"/>
          <w:color w:val="000000"/>
          <w:sz w:val="24"/>
          <w:szCs w:val="24"/>
        </w:rPr>
      </w:pPr>
      <w:r w:rsidRPr="00743E64">
        <w:rPr>
          <w:rFonts w:ascii="Palatino Linotype" w:hAnsi="Palatino Linotype" w:cs="Palatino Linotype" w:eastAsiaTheme="minorHAnsi"/>
          <w:color w:val="000000"/>
          <w:sz w:val="24"/>
          <w:szCs w:val="24"/>
        </w:rPr>
        <w:t xml:space="preserve">The MTR contracts </w:t>
      </w:r>
      <w:r w:rsidRPr="00743E64" w:rsidR="00D075BE">
        <w:rPr>
          <w:rFonts w:ascii="Palatino Linotype" w:hAnsi="Palatino Linotype" w:cs="Palatino Linotype" w:eastAsiaTheme="minorHAnsi"/>
          <w:color w:val="000000"/>
          <w:sz w:val="24"/>
          <w:szCs w:val="24"/>
        </w:rPr>
        <w:t xml:space="preserve">also </w:t>
      </w:r>
      <w:r w:rsidRPr="00743E64" w:rsidR="002B4490">
        <w:rPr>
          <w:rFonts w:ascii="Palatino Linotype" w:hAnsi="Palatino Linotype" w:cs="Palatino Linotype" w:eastAsiaTheme="minorHAnsi"/>
          <w:color w:val="000000"/>
          <w:sz w:val="24"/>
          <w:szCs w:val="24"/>
        </w:rPr>
        <w:t xml:space="preserve">appear to </w:t>
      </w:r>
      <w:r w:rsidRPr="00743E64" w:rsidR="00D075BE">
        <w:rPr>
          <w:rFonts w:ascii="Palatino Linotype" w:hAnsi="Palatino Linotype" w:cs="Palatino Linotype" w:eastAsiaTheme="minorHAnsi"/>
          <w:color w:val="000000"/>
          <w:sz w:val="24"/>
          <w:szCs w:val="24"/>
        </w:rPr>
        <w:t xml:space="preserve">meet </w:t>
      </w:r>
      <w:r w:rsidRPr="00743E64" w:rsidR="00324529">
        <w:rPr>
          <w:rFonts w:ascii="Palatino Linotype" w:hAnsi="Palatino Linotype" w:cs="Palatino Linotype" w:eastAsiaTheme="minorHAnsi"/>
          <w:color w:val="000000"/>
          <w:sz w:val="24"/>
          <w:szCs w:val="24"/>
        </w:rPr>
        <w:t xml:space="preserve">the general capacity </w:t>
      </w:r>
      <w:r w:rsidRPr="00743E64" w:rsidR="00CE2EF8">
        <w:rPr>
          <w:rFonts w:ascii="Palatino Linotype" w:hAnsi="Palatino Linotype" w:cs="Palatino Linotype" w:eastAsiaTheme="minorHAnsi"/>
          <w:color w:val="000000"/>
          <w:sz w:val="24"/>
          <w:szCs w:val="24"/>
        </w:rPr>
        <w:t xml:space="preserve">requirements </w:t>
      </w:r>
      <w:r w:rsidRPr="00743E64" w:rsidR="00D075BE">
        <w:rPr>
          <w:rFonts w:ascii="Palatino Linotype" w:hAnsi="Palatino Linotype" w:cs="Palatino Linotype" w:eastAsiaTheme="minorHAnsi"/>
          <w:color w:val="000000"/>
          <w:sz w:val="24"/>
          <w:szCs w:val="24"/>
        </w:rPr>
        <w:t xml:space="preserve">of </w:t>
      </w:r>
      <w:r w:rsidR="00743E64">
        <w:rPr>
          <w:rFonts w:ascii="Palatino Linotype" w:hAnsi="Palatino Linotype" w:cs="Palatino Linotype" w:eastAsiaTheme="minorHAnsi"/>
          <w:color w:val="000000"/>
          <w:sz w:val="24"/>
          <w:szCs w:val="24"/>
        </w:rPr>
        <w:br/>
      </w:r>
      <w:r w:rsidRPr="00743E64" w:rsidR="00D075BE">
        <w:rPr>
          <w:rFonts w:ascii="Palatino Linotype" w:hAnsi="Palatino Linotype" w:cs="Palatino Linotype" w:eastAsiaTheme="minorHAnsi"/>
          <w:color w:val="000000"/>
          <w:sz w:val="24"/>
          <w:szCs w:val="24"/>
        </w:rPr>
        <w:t xml:space="preserve">D.21-06-035 and D.23-02-040, </w:t>
      </w:r>
      <w:r w:rsidRPr="00743E64" w:rsidR="00CE2EF8">
        <w:rPr>
          <w:rFonts w:ascii="Palatino Linotype" w:hAnsi="Palatino Linotype" w:cs="Palatino Linotype" w:eastAsiaTheme="minorHAnsi"/>
          <w:color w:val="000000"/>
          <w:sz w:val="24"/>
          <w:szCs w:val="24"/>
        </w:rPr>
        <w:t xml:space="preserve">which </w:t>
      </w:r>
      <w:r w:rsidRPr="00743E64" w:rsidR="00A46D96">
        <w:rPr>
          <w:rFonts w:ascii="Palatino Linotype" w:hAnsi="Palatino Linotype" w:cs="Palatino Linotype" w:eastAsiaTheme="minorHAnsi"/>
          <w:color w:val="000000"/>
          <w:sz w:val="24"/>
          <w:szCs w:val="24"/>
        </w:rPr>
        <w:t xml:space="preserve">dictate that all </w:t>
      </w:r>
      <w:r w:rsidRPr="00743E64" w:rsidR="001A2E4C">
        <w:rPr>
          <w:rFonts w:ascii="Palatino Linotype" w:hAnsi="Palatino Linotype" w:cs="Palatino Linotype" w:eastAsiaTheme="minorHAnsi"/>
          <w:color w:val="000000"/>
          <w:sz w:val="24"/>
          <w:szCs w:val="24"/>
        </w:rPr>
        <w:t xml:space="preserve">resources </w:t>
      </w:r>
      <w:r w:rsidRPr="00743E64" w:rsidR="00A46D96">
        <w:rPr>
          <w:rFonts w:ascii="Palatino Linotype" w:hAnsi="Palatino Linotype" w:cs="Palatino Linotype" w:eastAsiaTheme="minorHAnsi"/>
          <w:color w:val="000000"/>
          <w:sz w:val="24"/>
          <w:szCs w:val="24"/>
        </w:rPr>
        <w:t xml:space="preserve">used for compliance with the decisions must </w:t>
      </w:r>
      <w:r w:rsidRPr="00743E64" w:rsidR="00AA6F68">
        <w:rPr>
          <w:rFonts w:ascii="Palatino Linotype" w:hAnsi="Palatino Linotype" w:cs="Palatino Linotype" w:eastAsiaTheme="minorHAnsi"/>
          <w:color w:val="000000"/>
          <w:sz w:val="24"/>
          <w:szCs w:val="24"/>
        </w:rPr>
        <w:t>be</w:t>
      </w:r>
      <w:r w:rsidRPr="00743E64" w:rsidR="00BC3665">
        <w:rPr>
          <w:rFonts w:ascii="Palatino Linotype" w:hAnsi="Palatino Linotype" w:cs="Palatino Linotype" w:eastAsiaTheme="minorHAnsi"/>
          <w:color w:val="000000"/>
          <w:sz w:val="24"/>
          <w:szCs w:val="24"/>
        </w:rPr>
        <w:t xml:space="preserve"> associated with a new resource, or an expansion of a</w:t>
      </w:r>
      <w:r w:rsidRPr="00743E64" w:rsidR="00EC72DD">
        <w:rPr>
          <w:rFonts w:ascii="Palatino Linotype" w:hAnsi="Palatino Linotype" w:cs="Palatino Linotype" w:eastAsiaTheme="minorHAnsi"/>
          <w:color w:val="000000"/>
          <w:sz w:val="24"/>
          <w:szCs w:val="24"/>
        </w:rPr>
        <w:t>n existing resource, and</w:t>
      </w:r>
      <w:r w:rsidRPr="00743E64" w:rsidR="00D90BE5">
        <w:rPr>
          <w:rFonts w:ascii="Palatino Linotype" w:hAnsi="Palatino Linotype" w:cs="Palatino Linotype" w:eastAsiaTheme="minorHAnsi"/>
          <w:color w:val="000000"/>
          <w:sz w:val="24"/>
          <w:szCs w:val="24"/>
        </w:rPr>
        <w:t xml:space="preserve"> that they</w:t>
      </w:r>
      <w:r w:rsidRPr="00743E64" w:rsidR="00AA6F68">
        <w:rPr>
          <w:rFonts w:ascii="Palatino Linotype" w:hAnsi="Palatino Linotype" w:cs="Palatino Linotype" w:eastAsiaTheme="minorHAnsi"/>
          <w:color w:val="000000"/>
          <w:sz w:val="24"/>
          <w:szCs w:val="24"/>
        </w:rPr>
        <w:t xml:space="preserve"> are</w:t>
      </w:r>
      <w:r w:rsidRPr="00743E64" w:rsidR="00EC72DD">
        <w:rPr>
          <w:rFonts w:ascii="Palatino Linotype" w:hAnsi="Palatino Linotype" w:cs="Palatino Linotype" w:eastAsiaTheme="minorHAnsi"/>
          <w:color w:val="000000"/>
          <w:sz w:val="24"/>
          <w:szCs w:val="24"/>
        </w:rPr>
        <w:t xml:space="preserve"> under a long-term contract of at least ten years.</w:t>
      </w:r>
      <w:r w:rsidRPr="00743E64" w:rsidR="00516E9E">
        <w:rPr>
          <w:rFonts w:ascii="Palatino Linotype" w:hAnsi="Palatino Linotype" w:cs="Palatino Linotype" w:eastAsiaTheme="minorHAnsi"/>
          <w:color w:val="000000"/>
          <w:sz w:val="24"/>
          <w:szCs w:val="24"/>
        </w:rPr>
        <w:t xml:space="preserve"> </w:t>
      </w:r>
      <w:r w:rsidRPr="00743E64" w:rsidR="00C32DE3">
        <w:rPr>
          <w:rFonts w:ascii="Palatino Linotype" w:hAnsi="Palatino Linotype" w:cs="Palatino Linotype" w:eastAsiaTheme="minorHAnsi"/>
          <w:color w:val="000000"/>
          <w:sz w:val="24"/>
          <w:szCs w:val="24"/>
        </w:rPr>
        <w:t xml:space="preserve">Final verification of specific resource eligibility for specific procurement categories is done via the IRP compliance process. </w:t>
      </w:r>
    </w:p>
    <w:p w:rsidRPr="00743E64" w:rsidR="003F3DDF" w:rsidP="003F3DDF" w:rsidRDefault="003F3DDF" w14:paraId="7954AB74" w14:textId="77777777">
      <w:pPr>
        <w:rPr>
          <w:rFonts w:ascii="Palatino Linotype" w:hAnsi="Palatino Linotype"/>
          <w:b/>
          <w:sz w:val="24"/>
          <w:szCs w:val="24"/>
          <w:highlight w:val="yellow"/>
        </w:rPr>
      </w:pPr>
    </w:p>
    <w:p w:rsidRPr="00743E64" w:rsidR="007850B0" w:rsidP="007850B0" w:rsidRDefault="007850B0" w14:paraId="6E6D4AA7" w14:textId="6BC4A247">
      <w:pPr>
        <w:spacing w:after="240"/>
        <w:rPr>
          <w:rFonts w:ascii="Palatino Linotype" w:hAnsi="Palatino Linotype"/>
          <w:b/>
          <w:sz w:val="24"/>
          <w:szCs w:val="24"/>
        </w:rPr>
      </w:pPr>
      <w:proofErr w:type="gramStart"/>
      <w:r w:rsidRPr="00743E64">
        <w:rPr>
          <w:rFonts w:ascii="Palatino Linotype" w:hAnsi="Palatino Linotype"/>
          <w:b/>
          <w:sz w:val="24"/>
          <w:szCs w:val="24"/>
        </w:rPr>
        <w:t>Consistency</w:t>
      </w:r>
      <w:proofErr w:type="gramEnd"/>
      <w:r w:rsidRPr="00743E64">
        <w:rPr>
          <w:rFonts w:ascii="Palatino Linotype" w:hAnsi="Palatino Linotype"/>
          <w:b/>
          <w:sz w:val="24"/>
          <w:szCs w:val="24"/>
        </w:rPr>
        <w:t xml:space="preserve"> with </w:t>
      </w:r>
      <w:r w:rsidRPr="00743E64" w:rsidR="00BE6546">
        <w:rPr>
          <w:rFonts w:ascii="Palatino Linotype" w:hAnsi="Palatino Linotype"/>
          <w:b/>
          <w:sz w:val="24"/>
          <w:szCs w:val="24"/>
        </w:rPr>
        <w:t>PG&amp;E</w:t>
      </w:r>
      <w:r w:rsidRPr="00743E64">
        <w:rPr>
          <w:rFonts w:ascii="Palatino Linotype" w:hAnsi="Palatino Linotype"/>
          <w:b/>
          <w:sz w:val="24"/>
          <w:szCs w:val="24"/>
        </w:rPr>
        <w:t>’s 2023 Renewable Portfolio Standard Procurement Plan</w:t>
      </w:r>
    </w:p>
    <w:p w:rsidRPr="00743E64" w:rsidR="00D86528" w:rsidP="00D86528" w:rsidRDefault="00D86528" w14:paraId="6794911B" w14:textId="4AD01622">
      <w:pPr>
        <w:rPr>
          <w:rFonts w:ascii="Palatino Linotype" w:hAnsi="Palatino Linotype"/>
          <w:sz w:val="24"/>
          <w:szCs w:val="24"/>
        </w:rPr>
      </w:pPr>
      <w:r w:rsidRPr="00743E64">
        <w:rPr>
          <w:rFonts w:ascii="Palatino Linotype" w:hAnsi="Palatino Linotype"/>
          <w:sz w:val="24"/>
          <w:szCs w:val="24"/>
        </w:rPr>
        <w:t xml:space="preserve">Pursuant to statute, </w:t>
      </w:r>
      <w:r w:rsidRPr="00743E64" w:rsidR="00BE6546">
        <w:rPr>
          <w:rFonts w:ascii="Palatino Linotype" w:hAnsi="Palatino Linotype"/>
          <w:sz w:val="24"/>
          <w:szCs w:val="24"/>
        </w:rPr>
        <w:t>PG&amp;E</w:t>
      </w:r>
      <w:r w:rsidRPr="00743E64">
        <w:rPr>
          <w:rFonts w:ascii="Palatino Linotype" w:hAnsi="Palatino Linotype"/>
          <w:sz w:val="24"/>
          <w:szCs w:val="24"/>
        </w:rPr>
        <w:t>’s RPS Procurement Plan (</w:t>
      </w:r>
      <w:r w:rsidRPr="00743E64" w:rsidR="008F1A6D">
        <w:rPr>
          <w:rFonts w:ascii="Palatino Linotype" w:hAnsi="Palatino Linotype"/>
          <w:sz w:val="24"/>
          <w:szCs w:val="24"/>
        </w:rPr>
        <w:t xml:space="preserve">RPS </w:t>
      </w:r>
      <w:r w:rsidRPr="00743E64">
        <w:rPr>
          <w:rFonts w:ascii="Palatino Linotype" w:hAnsi="Palatino Linotype"/>
          <w:sz w:val="24"/>
          <w:szCs w:val="24"/>
        </w:rPr>
        <w:t>Plan) includes an assessment of RPS supply and demand to determine the optimal mix of renewable generation resources; description of existing RPS portfolio; description of potential RPS compliance delays; status update of projects within its RPS portfolio; an assessment of the project failure and delay risk within its RPS portfolio; and bid solicitation protocol setting forth the need for renewable generation of various operational characteristics.</w:t>
      </w:r>
      <w:r w:rsidRPr="00743E64">
        <w:rPr>
          <w:rStyle w:val="FootnoteReference"/>
          <w:rFonts w:ascii="Palatino Linotype" w:hAnsi="Palatino Linotype"/>
          <w:sz w:val="24"/>
          <w:szCs w:val="24"/>
        </w:rPr>
        <w:footnoteReference w:id="13"/>
      </w:r>
      <w:r w:rsidRPr="00743E64">
        <w:rPr>
          <w:rFonts w:ascii="Palatino Linotype" w:hAnsi="Palatino Linotype"/>
          <w:sz w:val="24"/>
          <w:szCs w:val="24"/>
        </w:rPr>
        <w:t xml:space="preserve"> </w:t>
      </w:r>
      <w:r w:rsidR="00743E64">
        <w:rPr>
          <w:rFonts w:ascii="Palatino Linotype" w:hAnsi="Palatino Linotype"/>
          <w:sz w:val="24"/>
          <w:szCs w:val="24"/>
        </w:rPr>
        <w:br/>
      </w:r>
      <w:r w:rsidRPr="00743E64">
        <w:rPr>
          <w:rFonts w:ascii="Palatino Linotype" w:hAnsi="Palatino Linotype"/>
          <w:sz w:val="24"/>
          <w:szCs w:val="24"/>
        </w:rPr>
        <w:t>California’s RPS statute also requires that the Commission review the results of a renewable energy resource solicitation submitted for approval by a utility.</w:t>
      </w:r>
      <w:r w:rsidRPr="00743E64">
        <w:rPr>
          <w:rStyle w:val="FootnoteReference"/>
          <w:rFonts w:ascii="Palatino Linotype" w:hAnsi="Palatino Linotype"/>
          <w:sz w:val="24"/>
          <w:szCs w:val="24"/>
        </w:rPr>
        <w:footnoteReference w:id="14"/>
      </w:r>
      <w:r w:rsidRPr="00743E64">
        <w:rPr>
          <w:rFonts w:ascii="Palatino Linotype" w:hAnsi="Palatino Linotype"/>
          <w:sz w:val="24"/>
          <w:szCs w:val="24"/>
        </w:rPr>
        <w:t xml:space="preserve"> The Commission reviews the results to verify that the utility conducted its solicitation according to its </w:t>
      </w:r>
      <w:r w:rsidRPr="00743E64">
        <w:rPr>
          <w:rFonts w:ascii="Palatino Linotype" w:hAnsi="Palatino Linotype"/>
          <w:sz w:val="24"/>
          <w:szCs w:val="24"/>
        </w:rPr>
        <w:br/>
        <w:t xml:space="preserve">Commission-approved procurement plan. </w:t>
      </w:r>
    </w:p>
    <w:p w:rsidRPr="00743E64" w:rsidR="00D86528" w:rsidP="00F70EE4" w:rsidRDefault="00D86528" w14:paraId="5A2783DA" w14:textId="682421A8">
      <w:pPr>
        <w:rPr>
          <w:rFonts w:ascii="Palatino Linotype" w:hAnsi="Palatino Linotype"/>
          <w:sz w:val="24"/>
          <w:szCs w:val="24"/>
        </w:rPr>
      </w:pPr>
      <w:r w:rsidRPr="00743E64">
        <w:rPr>
          <w:rFonts w:ascii="Palatino Linotype" w:hAnsi="Palatino Linotype"/>
          <w:sz w:val="24"/>
          <w:szCs w:val="24"/>
        </w:rPr>
        <w:lastRenderedPageBreak/>
        <w:t xml:space="preserve">In </w:t>
      </w:r>
      <w:r w:rsidRPr="00743E64" w:rsidR="00416179">
        <w:rPr>
          <w:rFonts w:ascii="Palatino Linotype" w:hAnsi="Palatino Linotype"/>
          <w:sz w:val="24"/>
          <w:szCs w:val="24"/>
        </w:rPr>
        <w:t>PG&amp;</w:t>
      </w:r>
      <w:r w:rsidRPr="00743E64">
        <w:rPr>
          <w:rFonts w:ascii="Palatino Linotype" w:hAnsi="Palatino Linotype"/>
          <w:sz w:val="24"/>
          <w:szCs w:val="24"/>
        </w:rPr>
        <w:t>E’s 202</w:t>
      </w:r>
      <w:r w:rsidRPr="00743E64" w:rsidR="00AC4E9E">
        <w:rPr>
          <w:rFonts w:ascii="Palatino Linotype" w:hAnsi="Palatino Linotype"/>
          <w:sz w:val="24"/>
          <w:szCs w:val="24"/>
        </w:rPr>
        <w:t>3</w:t>
      </w:r>
      <w:r w:rsidRPr="00743E64" w:rsidR="00D333E5">
        <w:rPr>
          <w:rFonts w:ascii="Palatino Linotype" w:hAnsi="Palatino Linotype"/>
          <w:sz w:val="24"/>
          <w:szCs w:val="24"/>
        </w:rPr>
        <w:t xml:space="preserve"> </w:t>
      </w:r>
      <w:r w:rsidRPr="00743E64" w:rsidR="00DF5083">
        <w:rPr>
          <w:rFonts w:ascii="Palatino Linotype" w:hAnsi="Palatino Linotype"/>
          <w:sz w:val="24"/>
          <w:szCs w:val="24"/>
        </w:rPr>
        <w:t>Final</w:t>
      </w:r>
      <w:r w:rsidRPr="00743E64">
        <w:rPr>
          <w:rFonts w:ascii="Palatino Linotype" w:hAnsi="Palatino Linotype"/>
          <w:sz w:val="24"/>
          <w:szCs w:val="24"/>
        </w:rPr>
        <w:t xml:space="preserve"> RPS Plan, </w:t>
      </w:r>
      <w:r w:rsidRPr="00743E64" w:rsidR="00086C08">
        <w:rPr>
          <w:rFonts w:ascii="Palatino Linotype" w:hAnsi="Palatino Linotype"/>
          <w:sz w:val="24"/>
          <w:szCs w:val="24"/>
        </w:rPr>
        <w:t>PG&amp;</w:t>
      </w:r>
      <w:r w:rsidRPr="00743E64">
        <w:rPr>
          <w:rFonts w:ascii="Palatino Linotype" w:hAnsi="Palatino Linotype"/>
          <w:sz w:val="24"/>
          <w:szCs w:val="24"/>
        </w:rPr>
        <w:t xml:space="preserve">E </w:t>
      </w:r>
      <w:r w:rsidRPr="00743E64" w:rsidR="00D333E5">
        <w:rPr>
          <w:rFonts w:ascii="Palatino Linotype" w:hAnsi="Palatino Linotype"/>
          <w:sz w:val="24"/>
          <w:szCs w:val="24"/>
        </w:rPr>
        <w:t xml:space="preserve">showed </w:t>
      </w:r>
      <w:r w:rsidRPr="00743E64" w:rsidR="00E1213F">
        <w:rPr>
          <w:rFonts w:ascii="Palatino Linotype" w:hAnsi="Palatino Linotype"/>
          <w:sz w:val="24"/>
          <w:szCs w:val="24"/>
        </w:rPr>
        <w:t>that it has sufficient RPS bank volume to meet its near-term RPS compliance needs</w:t>
      </w:r>
      <w:r w:rsidRPr="00743E64" w:rsidR="35560CB2">
        <w:rPr>
          <w:rFonts w:ascii="Palatino Linotype" w:hAnsi="Palatino Linotype"/>
          <w:sz w:val="24"/>
          <w:szCs w:val="24"/>
        </w:rPr>
        <w:t>.</w:t>
      </w:r>
      <w:r w:rsidRPr="00743E64" w:rsidR="193DE40B">
        <w:rPr>
          <w:rFonts w:ascii="Palatino Linotype" w:hAnsi="Palatino Linotype"/>
          <w:sz w:val="24"/>
          <w:szCs w:val="24"/>
        </w:rPr>
        <w:t xml:space="preserve"> </w:t>
      </w:r>
      <w:r w:rsidRPr="00743E64" w:rsidR="0B75ABD8">
        <w:rPr>
          <w:rFonts w:ascii="Palatino Linotype" w:hAnsi="Palatino Linotype"/>
          <w:sz w:val="24"/>
          <w:szCs w:val="24"/>
        </w:rPr>
        <w:t>H</w:t>
      </w:r>
      <w:r w:rsidRPr="00743E64" w:rsidR="002461DF">
        <w:rPr>
          <w:rFonts w:ascii="Palatino Linotype" w:hAnsi="Palatino Linotype"/>
          <w:sz w:val="24"/>
          <w:szCs w:val="24"/>
        </w:rPr>
        <w:t>owever, it noted that</w:t>
      </w:r>
      <w:r w:rsidRPr="00743E64" w:rsidR="00A4311A">
        <w:rPr>
          <w:rFonts w:ascii="Palatino Linotype" w:hAnsi="Palatino Linotype"/>
          <w:sz w:val="24"/>
          <w:szCs w:val="24"/>
        </w:rPr>
        <w:t xml:space="preserve"> incremental </w:t>
      </w:r>
      <w:r w:rsidRPr="00743E64" w:rsidR="00A643D9">
        <w:rPr>
          <w:rFonts w:ascii="Palatino Linotype" w:hAnsi="Palatino Linotype"/>
          <w:sz w:val="24"/>
          <w:szCs w:val="24"/>
        </w:rPr>
        <w:t>RPS</w:t>
      </w:r>
      <w:r w:rsidRPr="00743E64" w:rsidR="001F2160">
        <w:rPr>
          <w:rFonts w:ascii="Palatino Linotype" w:hAnsi="Palatino Linotype"/>
          <w:sz w:val="24"/>
          <w:szCs w:val="24"/>
        </w:rPr>
        <w:t xml:space="preserve"> procurement would be used to contribute to meeting </w:t>
      </w:r>
      <w:r w:rsidRPr="00743E64" w:rsidR="002461DF">
        <w:rPr>
          <w:rFonts w:ascii="Palatino Linotype" w:hAnsi="Palatino Linotype"/>
          <w:sz w:val="24"/>
          <w:szCs w:val="24"/>
        </w:rPr>
        <w:t>long term</w:t>
      </w:r>
      <w:r w:rsidRPr="00743E64" w:rsidR="001F2160">
        <w:rPr>
          <w:rFonts w:ascii="Palatino Linotype" w:hAnsi="Palatino Linotype"/>
          <w:sz w:val="24"/>
          <w:szCs w:val="24"/>
        </w:rPr>
        <w:t xml:space="preserve"> RPS procurement </w:t>
      </w:r>
      <w:r w:rsidRPr="00743E64" w:rsidR="00A643D9">
        <w:rPr>
          <w:rFonts w:ascii="Palatino Linotype" w:hAnsi="Palatino Linotype"/>
          <w:sz w:val="24"/>
          <w:szCs w:val="24"/>
        </w:rPr>
        <w:t>obligations</w:t>
      </w:r>
      <w:r w:rsidRPr="00743E64" w:rsidR="001F2160">
        <w:rPr>
          <w:rFonts w:ascii="Palatino Linotype" w:hAnsi="Palatino Linotype"/>
          <w:sz w:val="24"/>
          <w:szCs w:val="24"/>
        </w:rPr>
        <w:t>.</w:t>
      </w:r>
      <w:r w:rsidRPr="00743E64" w:rsidR="00E03D16">
        <w:rPr>
          <w:rStyle w:val="FootnoteReference"/>
          <w:rFonts w:ascii="Palatino Linotype" w:hAnsi="Palatino Linotype"/>
          <w:sz w:val="24"/>
          <w:szCs w:val="24"/>
        </w:rPr>
        <w:footnoteReference w:id="15"/>
      </w:r>
      <w:r w:rsidRPr="00743E64" w:rsidR="001F2160">
        <w:rPr>
          <w:rFonts w:ascii="Palatino Linotype" w:hAnsi="Palatino Linotype"/>
          <w:sz w:val="24"/>
          <w:szCs w:val="24"/>
        </w:rPr>
        <w:t xml:space="preserve"> </w:t>
      </w:r>
      <w:r w:rsidRPr="00743E64" w:rsidR="001C6887">
        <w:rPr>
          <w:rFonts w:ascii="Palatino Linotype" w:hAnsi="Palatino Linotype"/>
          <w:sz w:val="24"/>
          <w:szCs w:val="24"/>
        </w:rPr>
        <w:t xml:space="preserve">Additionally, within its </w:t>
      </w:r>
      <w:r w:rsidRPr="00743E64" w:rsidR="002079FE">
        <w:rPr>
          <w:rFonts w:ascii="Palatino Linotype" w:hAnsi="Palatino Linotype"/>
          <w:sz w:val="24"/>
          <w:szCs w:val="24"/>
        </w:rPr>
        <w:t xml:space="preserve">2023 </w:t>
      </w:r>
      <w:r w:rsidRPr="00743E64" w:rsidR="00DF5083">
        <w:rPr>
          <w:rFonts w:ascii="Palatino Linotype" w:hAnsi="Palatino Linotype"/>
          <w:sz w:val="24"/>
          <w:szCs w:val="24"/>
        </w:rPr>
        <w:t>Final</w:t>
      </w:r>
      <w:r w:rsidRPr="00743E64" w:rsidR="00DD4098">
        <w:rPr>
          <w:rFonts w:ascii="Palatino Linotype" w:hAnsi="Palatino Linotype"/>
          <w:sz w:val="24"/>
          <w:szCs w:val="24"/>
        </w:rPr>
        <w:t xml:space="preserve"> RPS Plan, </w:t>
      </w:r>
      <w:r w:rsidRPr="00743E64" w:rsidR="00145648">
        <w:rPr>
          <w:rFonts w:ascii="Palatino Linotype" w:hAnsi="Palatino Linotype"/>
          <w:sz w:val="24"/>
          <w:szCs w:val="24"/>
        </w:rPr>
        <w:t>PG&amp;</w:t>
      </w:r>
      <w:r w:rsidRPr="00743E64" w:rsidR="00DD4098">
        <w:rPr>
          <w:rFonts w:ascii="Palatino Linotype" w:hAnsi="Palatino Linotype"/>
          <w:sz w:val="24"/>
          <w:szCs w:val="24"/>
        </w:rPr>
        <w:t xml:space="preserve">E noted that they plan to </w:t>
      </w:r>
      <w:r w:rsidRPr="00743E64" w:rsidR="00AD0898">
        <w:rPr>
          <w:rFonts w:ascii="Palatino Linotype" w:hAnsi="Palatino Linotype"/>
          <w:sz w:val="24"/>
          <w:szCs w:val="24"/>
        </w:rPr>
        <w:t xml:space="preserve">procure long-term contracts to meet </w:t>
      </w:r>
      <w:r w:rsidRPr="00743E64" w:rsidR="0026325E">
        <w:rPr>
          <w:rFonts w:ascii="Palatino Linotype" w:hAnsi="Palatino Linotype"/>
          <w:sz w:val="24"/>
          <w:szCs w:val="24"/>
        </w:rPr>
        <w:t>MTR</w:t>
      </w:r>
      <w:r w:rsidRPr="00743E64" w:rsidR="00AD0898">
        <w:rPr>
          <w:rFonts w:ascii="Palatino Linotype" w:hAnsi="Palatino Linotype"/>
          <w:sz w:val="24"/>
          <w:szCs w:val="24"/>
        </w:rPr>
        <w:t xml:space="preserve"> targets as required under </w:t>
      </w:r>
      <w:r w:rsidRPr="00743E64" w:rsidR="00FA2E64">
        <w:rPr>
          <w:rFonts w:ascii="Palatino Linotype" w:hAnsi="Palatino Linotype"/>
          <w:sz w:val="24"/>
          <w:szCs w:val="24"/>
        </w:rPr>
        <w:t xml:space="preserve">D.21-06-35 and D.23-02-040 </w:t>
      </w:r>
      <w:r w:rsidRPr="00743E64" w:rsidR="00F70EE4">
        <w:rPr>
          <w:rFonts w:ascii="Palatino Linotype" w:hAnsi="Palatino Linotype"/>
          <w:sz w:val="24"/>
          <w:szCs w:val="24"/>
        </w:rPr>
        <w:t>to ensure compliance with its RPS obligations.</w:t>
      </w:r>
      <w:r w:rsidRPr="00743E64" w:rsidR="00284425">
        <w:rPr>
          <w:rStyle w:val="FootnoteReference"/>
          <w:rFonts w:ascii="Palatino Linotype" w:hAnsi="Palatino Linotype"/>
          <w:sz w:val="24"/>
          <w:szCs w:val="24"/>
        </w:rPr>
        <w:footnoteReference w:id="16"/>
      </w:r>
      <w:r w:rsidRPr="00743E64" w:rsidR="00DD4098">
        <w:rPr>
          <w:rFonts w:ascii="Palatino Linotype" w:hAnsi="Palatino Linotype"/>
          <w:sz w:val="24"/>
          <w:szCs w:val="24"/>
        </w:rPr>
        <w:t xml:space="preserve"> </w:t>
      </w:r>
    </w:p>
    <w:p w:rsidRPr="00743E64" w:rsidR="00284425" w:rsidP="00F70EE4" w:rsidRDefault="00284425" w14:paraId="72D855DE" w14:textId="77777777">
      <w:pPr>
        <w:rPr>
          <w:rFonts w:ascii="Palatino Linotype" w:hAnsi="Palatino Linotype"/>
          <w:sz w:val="24"/>
          <w:szCs w:val="24"/>
        </w:rPr>
      </w:pPr>
    </w:p>
    <w:p w:rsidRPr="00743E64" w:rsidR="00D86528" w:rsidP="00D86528" w:rsidRDefault="00D57B40" w14:paraId="38FA22C7" w14:textId="2BEDE0D5">
      <w:pPr>
        <w:rPr>
          <w:rFonts w:ascii="Palatino Linotype" w:hAnsi="Palatino Linotype"/>
          <w:sz w:val="24"/>
          <w:szCs w:val="24"/>
        </w:rPr>
      </w:pPr>
      <w:r w:rsidRPr="00743E64">
        <w:rPr>
          <w:rFonts w:ascii="Palatino Linotype" w:hAnsi="Palatino Linotype"/>
          <w:sz w:val="24"/>
          <w:szCs w:val="24"/>
        </w:rPr>
        <w:t>The</w:t>
      </w:r>
      <w:r w:rsidRPr="00743E64" w:rsidR="000D6AD2">
        <w:rPr>
          <w:rFonts w:ascii="Palatino Linotype" w:hAnsi="Palatino Linotype"/>
          <w:sz w:val="24"/>
          <w:szCs w:val="24"/>
        </w:rPr>
        <w:t>refore, the</w:t>
      </w:r>
      <w:r w:rsidRPr="00743E64">
        <w:rPr>
          <w:rFonts w:ascii="Palatino Linotype" w:hAnsi="Palatino Linotype"/>
          <w:sz w:val="24"/>
          <w:szCs w:val="24"/>
        </w:rPr>
        <w:t xml:space="preserve"> procurement facilitated by the</w:t>
      </w:r>
      <w:r w:rsidRPr="00743E64" w:rsidR="00F75E7C">
        <w:rPr>
          <w:rFonts w:ascii="Palatino Linotype" w:hAnsi="Palatino Linotype"/>
          <w:sz w:val="24"/>
          <w:szCs w:val="24"/>
        </w:rPr>
        <w:t xml:space="preserve"> MTR contracts</w:t>
      </w:r>
      <w:r w:rsidRPr="00743E64" w:rsidR="00D86528">
        <w:rPr>
          <w:rFonts w:ascii="Palatino Linotype" w:hAnsi="Palatino Linotype"/>
          <w:sz w:val="24"/>
          <w:szCs w:val="24"/>
        </w:rPr>
        <w:t xml:space="preserve"> is consistent with </w:t>
      </w:r>
      <w:r w:rsidR="00743E64">
        <w:rPr>
          <w:rFonts w:ascii="Palatino Linotype" w:hAnsi="Palatino Linotype"/>
          <w:sz w:val="24"/>
          <w:szCs w:val="24"/>
        </w:rPr>
        <w:br/>
      </w:r>
      <w:r w:rsidRPr="00743E64" w:rsidR="00B873AF">
        <w:rPr>
          <w:rFonts w:ascii="Palatino Linotype" w:hAnsi="Palatino Linotype"/>
          <w:sz w:val="24"/>
          <w:szCs w:val="24"/>
        </w:rPr>
        <w:t>PG&amp;</w:t>
      </w:r>
      <w:r w:rsidRPr="00743E64" w:rsidR="00D86528">
        <w:rPr>
          <w:rFonts w:ascii="Palatino Linotype" w:hAnsi="Palatino Linotype"/>
          <w:sz w:val="24"/>
          <w:szCs w:val="24"/>
        </w:rPr>
        <w:t>E’s renewable resource needs as identified in its 202</w:t>
      </w:r>
      <w:r w:rsidRPr="00743E64" w:rsidR="00F75E7C">
        <w:rPr>
          <w:rFonts w:ascii="Palatino Linotype" w:hAnsi="Palatino Linotype"/>
          <w:sz w:val="24"/>
          <w:szCs w:val="24"/>
        </w:rPr>
        <w:t xml:space="preserve">3 </w:t>
      </w:r>
      <w:r w:rsidRPr="00743E64" w:rsidR="00B873AF">
        <w:rPr>
          <w:rFonts w:ascii="Palatino Linotype" w:hAnsi="Palatino Linotype"/>
          <w:sz w:val="24"/>
          <w:szCs w:val="24"/>
        </w:rPr>
        <w:t>Final</w:t>
      </w:r>
      <w:r w:rsidRPr="00743E64" w:rsidR="00D86528">
        <w:rPr>
          <w:rFonts w:ascii="Palatino Linotype" w:hAnsi="Palatino Linotype"/>
          <w:sz w:val="24"/>
          <w:szCs w:val="24"/>
        </w:rPr>
        <w:t xml:space="preserve"> RPS Plan. </w:t>
      </w:r>
    </w:p>
    <w:p w:rsidRPr="00743E64" w:rsidR="00D86528" w:rsidP="00D86528" w:rsidRDefault="00D86528" w14:paraId="6F150B4D" w14:textId="77777777">
      <w:pPr>
        <w:rPr>
          <w:rFonts w:ascii="Palatino Linotype" w:hAnsi="Palatino Linotype"/>
          <w:b/>
          <w:sz w:val="24"/>
          <w:szCs w:val="24"/>
        </w:rPr>
      </w:pPr>
    </w:p>
    <w:p w:rsidRPr="00743E64" w:rsidR="00E144CE" w:rsidP="00E144CE" w:rsidRDefault="00E144CE" w14:paraId="4C628496" w14:textId="77777777">
      <w:pPr>
        <w:spacing w:after="240"/>
        <w:rPr>
          <w:rFonts w:ascii="Palatino Linotype" w:hAnsi="Palatino Linotype"/>
          <w:b/>
          <w:sz w:val="24"/>
          <w:szCs w:val="24"/>
        </w:rPr>
      </w:pPr>
      <w:r w:rsidRPr="00743E64">
        <w:rPr>
          <w:rFonts w:ascii="Palatino Linotype" w:hAnsi="Palatino Linotype"/>
          <w:b/>
          <w:sz w:val="24"/>
          <w:szCs w:val="24"/>
        </w:rPr>
        <w:t>Procurement Methodology, Evaluation, and Cost Reasonableness</w:t>
      </w:r>
    </w:p>
    <w:p w:rsidRPr="00743E64" w:rsidR="00E144CE" w:rsidP="00E144CE" w:rsidRDefault="00A24947" w14:paraId="7A853E23" w14:textId="613FD43E">
      <w:pPr>
        <w:rPr>
          <w:rFonts w:ascii="Palatino Linotype" w:hAnsi="Palatino Linotype"/>
          <w:sz w:val="24"/>
          <w:szCs w:val="24"/>
        </w:rPr>
      </w:pPr>
      <w:r w:rsidRPr="00743E64">
        <w:rPr>
          <w:rFonts w:ascii="Palatino Linotype" w:hAnsi="Palatino Linotype"/>
          <w:sz w:val="24"/>
          <w:szCs w:val="24"/>
        </w:rPr>
        <w:t>PG&amp;E</w:t>
      </w:r>
      <w:r w:rsidRPr="00743E64" w:rsidR="00E144CE">
        <w:rPr>
          <w:rFonts w:ascii="Palatino Linotype" w:hAnsi="Palatino Linotype"/>
          <w:sz w:val="24"/>
          <w:szCs w:val="24"/>
        </w:rPr>
        <w:t xml:space="preserve"> launched Phase </w:t>
      </w:r>
      <w:r w:rsidRPr="00743E64" w:rsidR="00DA323D">
        <w:rPr>
          <w:rFonts w:ascii="Palatino Linotype" w:hAnsi="Palatino Linotype"/>
          <w:sz w:val="24"/>
          <w:szCs w:val="24"/>
        </w:rPr>
        <w:t>3</w:t>
      </w:r>
      <w:r w:rsidRPr="00743E64" w:rsidR="00E144CE">
        <w:rPr>
          <w:rFonts w:ascii="Palatino Linotype" w:hAnsi="Palatino Linotype"/>
          <w:sz w:val="24"/>
          <w:szCs w:val="24"/>
        </w:rPr>
        <w:t xml:space="preserve"> of its MTRRFO on </w:t>
      </w:r>
      <w:r w:rsidRPr="00743E64" w:rsidR="00752D41">
        <w:rPr>
          <w:rFonts w:ascii="Palatino Linotype" w:hAnsi="Palatino Linotype"/>
          <w:sz w:val="24"/>
          <w:szCs w:val="24"/>
        </w:rPr>
        <w:t xml:space="preserve">February 7, </w:t>
      </w:r>
      <w:proofErr w:type="gramStart"/>
      <w:r w:rsidRPr="00743E64" w:rsidR="00752D41">
        <w:rPr>
          <w:rFonts w:ascii="Palatino Linotype" w:hAnsi="Palatino Linotype"/>
          <w:sz w:val="24"/>
          <w:szCs w:val="24"/>
        </w:rPr>
        <w:t>2023</w:t>
      </w:r>
      <w:proofErr w:type="gramEnd"/>
      <w:r w:rsidRPr="00743E64" w:rsidR="00E144CE">
        <w:rPr>
          <w:rFonts w:ascii="Palatino Linotype" w:hAnsi="Palatino Linotype"/>
          <w:sz w:val="24"/>
          <w:szCs w:val="24"/>
        </w:rPr>
        <w:t xml:space="preserve"> to solicit offers for supplemental incremental </w:t>
      </w:r>
      <w:r w:rsidRPr="00743E64" w:rsidR="003A17E9">
        <w:rPr>
          <w:rFonts w:ascii="Palatino Linotype" w:hAnsi="Palatino Linotype"/>
          <w:sz w:val="24"/>
          <w:szCs w:val="24"/>
        </w:rPr>
        <w:t>NQC</w:t>
      </w:r>
      <w:r w:rsidRPr="00743E64" w:rsidR="00E144CE">
        <w:rPr>
          <w:rFonts w:ascii="Palatino Linotype" w:hAnsi="Palatino Linotype"/>
          <w:sz w:val="24"/>
          <w:szCs w:val="24"/>
        </w:rPr>
        <w:t xml:space="preserve"> resources that can meet its MTR procurement requirements </w:t>
      </w:r>
      <w:r w:rsidRPr="00743E64" w:rsidR="0029394A">
        <w:rPr>
          <w:rFonts w:ascii="Palatino Linotype" w:hAnsi="Palatino Linotype"/>
          <w:sz w:val="24"/>
          <w:szCs w:val="24"/>
        </w:rPr>
        <w:t>between 2024 and 2030</w:t>
      </w:r>
      <w:r w:rsidRPr="00743E64" w:rsidR="00E144CE">
        <w:rPr>
          <w:rFonts w:ascii="Palatino Linotype" w:hAnsi="Palatino Linotype"/>
          <w:sz w:val="24"/>
          <w:szCs w:val="24"/>
        </w:rPr>
        <w:t>.</w:t>
      </w:r>
      <w:r w:rsidRPr="00743E64" w:rsidR="001A2E4C">
        <w:rPr>
          <w:rFonts w:ascii="Palatino Linotype" w:hAnsi="Palatino Linotype" w:cs="Palatino Linotype" w:eastAsiaTheme="minorHAnsi"/>
          <w:sz w:val="24"/>
          <w:szCs w:val="24"/>
        </w:rPr>
        <w:t xml:space="preserve"> PG&amp;E retained the Merrimack Energy Group, Inc. (Merrimack) as the Independent Evaluator (IE) its MTR solicitation efforts.</w:t>
      </w:r>
    </w:p>
    <w:p w:rsidRPr="00743E64" w:rsidR="00E144CE" w:rsidP="00E144CE" w:rsidRDefault="00E144CE" w14:paraId="64ADC823" w14:textId="77777777">
      <w:pPr>
        <w:rPr>
          <w:rFonts w:ascii="Palatino Linotype" w:hAnsi="Palatino Linotype"/>
          <w:sz w:val="24"/>
          <w:szCs w:val="24"/>
        </w:rPr>
      </w:pPr>
    </w:p>
    <w:p w:rsidRPr="00743E64" w:rsidR="00E144CE" w:rsidP="00E144CE" w:rsidRDefault="00E144CE" w14:paraId="79E3D7A1" w14:textId="5FD713FC">
      <w:pPr>
        <w:pStyle w:val="Default"/>
        <w:rPr>
          <w:rFonts w:ascii="Palatino Linotype" w:hAnsi="Palatino Linotype" w:cs="Palatino Linotype" w:eastAsiaTheme="minorHAnsi"/>
        </w:rPr>
      </w:pPr>
      <w:r w:rsidRPr="00743E64">
        <w:rPr>
          <w:rFonts w:ascii="Palatino Linotype" w:hAnsi="Palatino Linotype" w:cs="Palatino Linotype" w:eastAsiaTheme="minorHAnsi"/>
        </w:rPr>
        <w:t xml:space="preserve">In the </w:t>
      </w:r>
      <w:r w:rsidRPr="00743E64" w:rsidR="001A2E4C">
        <w:rPr>
          <w:rFonts w:ascii="Palatino Linotype" w:hAnsi="Palatino Linotype" w:cs="Palatino Linotype" w:eastAsiaTheme="minorHAnsi"/>
        </w:rPr>
        <w:t xml:space="preserve">IE </w:t>
      </w:r>
      <w:r w:rsidRPr="00743E64">
        <w:rPr>
          <w:rFonts w:ascii="Palatino Linotype" w:hAnsi="Palatino Linotype" w:cs="Palatino Linotype" w:eastAsiaTheme="minorHAnsi"/>
        </w:rPr>
        <w:t>Report</w:t>
      </w:r>
      <w:r w:rsidRPr="00743E64" w:rsidR="001A2E4C">
        <w:rPr>
          <w:rFonts w:ascii="Palatino Linotype" w:hAnsi="Palatino Linotype" w:cs="Palatino Linotype" w:eastAsiaTheme="minorHAnsi"/>
        </w:rPr>
        <w:t>,</w:t>
      </w:r>
      <w:r w:rsidRPr="00743E64">
        <w:rPr>
          <w:rFonts w:ascii="Palatino Linotype" w:hAnsi="Palatino Linotype" w:cs="Palatino Linotype" w:eastAsiaTheme="minorHAnsi"/>
        </w:rPr>
        <w:t xml:space="preserve"> attached to AL </w:t>
      </w:r>
      <w:r w:rsidRPr="00743E64" w:rsidR="00F73052">
        <w:rPr>
          <w:rFonts w:ascii="Palatino Linotype" w:hAnsi="Palatino Linotype" w:cs="Palatino Linotype" w:eastAsiaTheme="minorHAnsi"/>
        </w:rPr>
        <w:t>7356</w:t>
      </w:r>
      <w:r w:rsidRPr="00743E64">
        <w:rPr>
          <w:rFonts w:ascii="Palatino Linotype" w:hAnsi="Palatino Linotype" w:cs="Palatino Linotype" w:eastAsiaTheme="minorHAnsi"/>
        </w:rPr>
        <w:t xml:space="preserve">-E, </w:t>
      </w:r>
      <w:r w:rsidRPr="00743E64" w:rsidR="00F73052">
        <w:rPr>
          <w:rFonts w:ascii="Palatino Linotype" w:hAnsi="Palatino Linotype" w:cs="Palatino Linotype" w:eastAsiaTheme="minorHAnsi"/>
        </w:rPr>
        <w:t xml:space="preserve">Merrimack </w:t>
      </w:r>
      <w:r w:rsidRPr="00743E64">
        <w:rPr>
          <w:rFonts w:ascii="Palatino Linotype" w:hAnsi="Palatino Linotype" w:cs="Palatino Linotype" w:eastAsiaTheme="minorHAnsi"/>
        </w:rPr>
        <w:t xml:space="preserve">provides an evaluation of </w:t>
      </w:r>
      <w:r w:rsidR="00743E64">
        <w:rPr>
          <w:rFonts w:ascii="Palatino Linotype" w:hAnsi="Palatino Linotype" w:cs="Palatino Linotype" w:eastAsiaTheme="minorHAnsi"/>
        </w:rPr>
        <w:br/>
      </w:r>
      <w:r w:rsidRPr="00743E64" w:rsidR="00CE7C27">
        <w:rPr>
          <w:rFonts w:ascii="Palatino Linotype" w:hAnsi="Palatino Linotype" w:cs="Palatino Linotype" w:eastAsiaTheme="minorHAnsi"/>
        </w:rPr>
        <w:t>PG&amp;E</w:t>
      </w:r>
      <w:r w:rsidRPr="00743E64">
        <w:rPr>
          <w:rFonts w:ascii="Palatino Linotype" w:hAnsi="Palatino Linotype" w:cs="Palatino Linotype" w:eastAsiaTheme="minorHAnsi"/>
        </w:rPr>
        <w:t>’s outreach efforts, LCBF methodology design, shortlist, and project negotiations</w:t>
      </w:r>
      <w:r w:rsidRPr="00743E64" w:rsidR="007D22F4">
        <w:rPr>
          <w:rFonts w:ascii="Palatino Linotype" w:hAnsi="Palatino Linotype" w:cs="Palatino Linotype" w:eastAsiaTheme="minorHAnsi"/>
        </w:rPr>
        <w:t>.</w:t>
      </w:r>
      <w:r w:rsidRPr="00743E64">
        <w:rPr>
          <w:rFonts w:ascii="Palatino Linotype" w:hAnsi="Palatino Linotype" w:cs="Palatino Linotype" w:eastAsiaTheme="minorHAnsi"/>
        </w:rPr>
        <w:t xml:space="preserve"> </w:t>
      </w:r>
      <w:r w:rsidRPr="00743E64" w:rsidR="003343E5">
        <w:rPr>
          <w:rFonts w:ascii="Palatino Linotype" w:hAnsi="Palatino Linotype" w:cs="Palatino Linotype" w:eastAsiaTheme="minorHAnsi"/>
        </w:rPr>
        <w:t xml:space="preserve">In the IE Report, </w:t>
      </w:r>
      <w:r w:rsidRPr="00743E64" w:rsidR="00D7037E">
        <w:rPr>
          <w:rFonts w:ascii="Palatino Linotype" w:hAnsi="Palatino Linotype" w:cs="Palatino Linotype" w:eastAsiaTheme="minorHAnsi"/>
        </w:rPr>
        <w:t>Merrimack’s</w:t>
      </w:r>
      <w:r w:rsidRPr="00743E64" w:rsidR="00E30734">
        <w:rPr>
          <w:rFonts w:ascii="Palatino Linotype" w:hAnsi="Palatino Linotype" w:cs="Palatino Linotype" w:eastAsiaTheme="minorHAnsi"/>
        </w:rPr>
        <w:t xml:space="preserve"> </w:t>
      </w:r>
      <w:r w:rsidRPr="00743E64" w:rsidR="008202AC">
        <w:rPr>
          <w:rFonts w:ascii="Palatino Linotype" w:hAnsi="Palatino Linotype" w:cs="Palatino Linotype" w:eastAsiaTheme="minorHAnsi"/>
        </w:rPr>
        <w:t>professional opinion</w:t>
      </w:r>
      <w:r w:rsidRPr="00743E64" w:rsidR="00E30734">
        <w:rPr>
          <w:rFonts w:ascii="Palatino Linotype" w:hAnsi="Palatino Linotype" w:cs="Palatino Linotype" w:eastAsiaTheme="minorHAnsi"/>
        </w:rPr>
        <w:t xml:space="preserve"> about these components of Phase 3 of the MTRRFO con</w:t>
      </w:r>
      <w:r w:rsidRPr="00743E64" w:rsidR="0004250A">
        <w:rPr>
          <w:rFonts w:ascii="Palatino Linotype" w:hAnsi="Palatino Linotype" w:cs="Palatino Linotype" w:eastAsiaTheme="minorHAnsi"/>
        </w:rPr>
        <w:t xml:space="preserve">curred with </w:t>
      </w:r>
      <w:r w:rsidRPr="00743E64" w:rsidR="00CE7C27">
        <w:rPr>
          <w:rFonts w:ascii="Palatino Linotype" w:hAnsi="Palatino Linotype" w:cs="Palatino Linotype" w:eastAsiaTheme="minorHAnsi"/>
        </w:rPr>
        <w:t>PG&amp;E</w:t>
      </w:r>
      <w:r w:rsidRPr="00743E64" w:rsidR="0004250A">
        <w:rPr>
          <w:rFonts w:ascii="Palatino Linotype" w:hAnsi="Palatino Linotype" w:cs="Palatino Linotype" w:eastAsiaTheme="minorHAnsi"/>
        </w:rPr>
        <w:t xml:space="preserve">’s. </w:t>
      </w:r>
      <w:r w:rsidRPr="00743E64" w:rsidR="00CE7C27">
        <w:rPr>
          <w:rFonts w:ascii="Palatino Linotype" w:hAnsi="Palatino Linotype" w:cs="Palatino Linotype" w:eastAsiaTheme="minorHAnsi"/>
        </w:rPr>
        <w:t>Merrimack</w:t>
      </w:r>
      <w:r w:rsidRPr="00743E64" w:rsidR="0004250A">
        <w:rPr>
          <w:rFonts w:ascii="Palatino Linotype" w:hAnsi="Palatino Linotype" w:cs="Palatino Linotype" w:eastAsiaTheme="minorHAnsi"/>
        </w:rPr>
        <w:t xml:space="preserve"> </w:t>
      </w:r>
      <w:r w:rsidRPr="00743E64" w:rsidR="00083A4D">
        <w:rPr>
          <w:rFonts w:ascii="Palatino Linotype" w:hAnsi="Palatino Linotype" w:cs="Palatino Linotype" w:eastAsiaTheme="minorHAnsi"/>
        </w:rPr>
        <w:t>describes</w:t>
      </w:r>
      <w:r w:rsidRPr="00743E64" w:rsidR="00571741">
        <w:rPr>
          <w:rFonts w:ascii="Palatino Linotype" w:hAnsi="Palatino Linotype" w:cs="Palatino Linotype" w:eastAsiaTheme="minorHAnsi"/>
        </w:rPr>
        <w:t xml:space="preserve"> P&amp;GE’s</w:t>
      </w:r>
      <w:r w:rsidRPr="00743E64" w:rsidR="00F42A6B">
        <w:rPr>
          <w:rFonts w:ascii="Palatino Linotype" w:hAnsi="Palatino Linotype" w:cs="Palatino Linotype" w:eastAsiaTheme="minorHAnsi"/>
        </w:rPr>
        <w:t xml:space="preserve"> methodology, evaluation, and cost of the projects</w:t>
      </w:r>
      <w:r w:rsidRPr="00743E64">
        <w:rPr>
          <w:rFonts w:ascii="Palatino Linotype" w:hAnsi="Palatino Linotype" w:cs="Palatino Linotype" w:eastAsiaTheme="minorHAnsi"/>
        </w:rPr>
        <w:t xml:space="preserve"> </w:t>
      </w:r>
      <w:r w:rsidRPr="00743E64" w:rsidR="00571741">
        <w:rPr>
          <w:rFonts w:ascii="Palatino Linotype" w:hAnsi="Palatino Linotype" w:cs="Palatino Linotype" w:eastAsiaTheme="minorHAnsi"/>
        </w:rPr>
        <w:t xml:space="preserve">as clear, </w:t>
      </w:r>
      <w:r w:rsidRPr="00743E64" w:rsidR="00525FE7">
        <w:rPr>
          <w:rFonts w:ascii="Palatino Linotype" w:hAnsi="Palatino Linotype" w:cs="Palatino Linotype" w:eastAsiaTheme="minorHAnsi"/>
        </w:rPr>
        <w:t xml:space="preserve">consistent, </w:t>
      </w:r>
      <w:r w:rsidRPr="00743E64" w:rsidR="000A4CC0">
        <w:rPr>
          <w:rFonts w:ascii="Palatino Linotype" w:hAnsi="Palatino Linotype" w:cs="Palatino Linotype" w:eastAsiaTheme="minorHAnsi"/>
        </w:rPr>
        <w:t>and fair</w:t>
      </w:r>
      <w:r w:rsidRPr="00743E64" w:rsidR="005A14CF">
        <w:rPr>
          <w:rFonts w:ascii="Palatino Linotype" w:hAnsi="Palatino Linotype" w:cs="Palatino Linotype" w:eastAsiaTheme="minorHAnsi"/>
        </w:rPr>
        <w:t>.</w:t>
      </w:r>
      <w:r w:rsidRPr="00743E64">
        <w:rPr>
          <w:rFonts w:ascii="Palatino Linotype" w:hAnsi="Palatino Linotype" w:cs="Palatino Linotype" w:eastAsiaTheme="minorHAnsi"/>
        </w:rPr>
        <w:t xml:space="preserve"> </w:t>
      </w:r>
    </w:p>
    <w:p w:rsidRPr="00743E64" w:rsidR="00E144CE" w:rsidP="00E144CE" w:rsidRDefault="00E144CE" w14:paraId="34D4316D" w14:textId="77777777">
      <w:pPr>
        <w:pStyle w:val="Default"/>
        <w:rPr>
          <w:rFonts w:ascii="Palatino Linotype" w:hAnsi="Palatino Linotype" w:cs="Palatino Linotype" w:eastAsiaTheme="minorHAnsi"/>
        </w:rPr>
      </w:pPr>
    </w:p>
    <w:p w:rsidRPr="00743E64" w:rsidR="00E144CE" w:rsidP="38225FA0" w:rsidRDefault="00E144CE" w14:paraId="4C38D2AF" w14:textId="62328E92">
      <w:pPr>
        <w:autoSpaceDE w:val="0"/>
        <w:autoSpaceDN w:val="0"/>
        <w:adjustRightInd w:val="0"/>
        <w:rPr>
          <w:rFonts w:ascii="Palatino Linotype" w:hAnsi="Palatino Linotype" w:cs="Palatino Linotype" w:eastAsiaTheme="minorEastAsia"/>
          <w:color w:val="000000"/>
          <w:sz w:val="24"/>
          <w:szCs w:val="24"/>
        </w:rPr>
      </w:pPr>
      <w:r w:rsidRPr="00743E64">
        <w:rPr>
          <w:rFonts w:ascii="Palatino Linotype" w:hAnsi="Palatino Linotype" w:cs="Palatino Linotype" w:eastAsiaTheme="minorEastAsia"/>
          <w:color w:val="000000" w:themeColor="text1"/>
          <w:sz w:val="24"/>
          <w:szCs w:val="24"/>
        </w:rPr>
        <w:t xml:space="preserve">Staff have reviewed </w:t>
      </w:r>
      <w:r w:rsidRPr="00743E64" w:rsidR="697E99B0">
        <w:rPr>
          <w:rFonts w:ascii="Palatino Linotype" w:hAnsi="Palatino Linotype" w:cs="Palatino Linotype" w:eastAsiaTheme="minorEastAsia"/>
          <w:color w:val="000000" w:themeColor="text1"/>
          <w:sz w:val="24"/>
          <w:szCs w:val="24"/>
        </w:rPr>
        <w:t>PG&amp;E</w:t>
      </w:r>
      <w:r w:rsidRPr="00743E64">
        <w:rPr>
          <w:rFonts w:ascii="Palatino Linotype" w:hAnsi="Palatino Linotype" w:cs="Palatino Linotype" w:eastAsiaTheme="minorEastAsia"/>
          <w:color w:val="000000" w:themeColor="text1"/>
          <w:sz w:val="24"/>
          <w:szCs w:val="24"/>
        </w:rPr>
        <w:t xml:space="preserve">’s MTRRFO evaluation methodology and the IE </w:t>
      </w:r>
      <w:proofErr w:type="gramStart"/>
      <w:r w:rsidRPr="00743E64">
        <w:rPr>
          <w:rFonts w:ascii="Palatino Linotype" w:hAnsi="Palatino Linotype" w:cs="Palatino Linotype" w:eastAsiaTheme="minorEastAsia"/>
          <w:color w:val="000000" w:themeColor="text1"/>
          <w:sz w:val="24"/>
          <w:szCs w:val="24"/>
        </w:rPr>
        <w:t>Report, and</w:t>
      </w:r>
      <w:proofErr w:type="gramEnd"/>
      <w:r w:rsidRPr="00743E64">
        <w:rPr>
          <w:rFonts w:ascii="Palatino Linotype" w:hAnsi="Palatino Linotype" w:cs="Palatino Linotype" w:eastAsiaTheme="minorEastAsia"/>
          <w:color w:val="000000" w:themeColor="text1"/>
          <w:sz w:val="24"/>
          <w:szCs w:val="24"/>
        </w:rPr>
        <w:t xml:space="preserve"> agree with</w:t>
      </w:r>
      <w:r w:rsidRPr="00743E64" w:rsidR="5CA13062">
        <w:rPr>
          <w:rFonts w:ascii="Palatino Linotype" w:hAnsi="Palatino Linotype" w:cs="Palatino Linotype" w:eastAsiaTheme="minorEastAsia"/>
          <w:color w:val="000000" w:themeColor="text1"/>
          <w:sz w:val="24"/>
          <w:szCs w:val="24"/>
        </w:rPr>
        <w:t xml:space="preserve"> </w:t>
      </w:r>
      <w:r w:rsidRPr="00743E64" w:rsidR="697E99B0">
        <w:rPr>
          <w:rFonts w:ascii="Palatino Linotype" w:hAnsi="Palatino Linotype" w:cs="Palatino Linotype" w:eastAsiaTheme="minorEastAsia"/>
          <w:color w:val="000000" w:themeColor="text1"/>
          <w:sz w:val="24"/>
          <w:szCs w:val="24"/>
        </w:rPr>
        <w:t>PG&amp;E</w:t>
      </w:r>
      <w:r w:rsidRPr="00743E64" w:rsidR="3205826F">
        <w:rPr>
          <w:rFonts w:ascii="Palatino Linotype" w:hAnsi="Palatino Linotype" w:cs="Palatino Linotype" w:eastAsiaTheme="minorEastAsia"/>
          <w:color w:val="000000" w:themeColor="text1"/>
          <w:sz w:val="24"/>
          <w:szCs w:val="24"/>
        </w:rPr>
        <w:t>’s</w:t>
      </w:r>
      <w:r w:rsidRPr="00743E64" w:rsidR="5CA13062">
        <w:rPr>
          <w:rFonts w:ascii="Palatino Linotype" w:hAnsi="Palatino Linotype" w:cs="Palatino Linotype" w:eastAsiaTheme="minorEastAsia"/>
          <w:color w:val="000000" w:themeColor="text1"/>
          <w:sz w:val="24"/>
          <w:szCs w:val="24"/>
        </w:rPr>
        <w:t xml:space="preserve"> and</w:t>
      </w:r>
      <w:r w:rsidRPr="00743E64">
        <w:rPr>
          <w:rFonts w:ascii="Palatino Linotype" w:hAnsi="Palatino Linotype" w:cs="Palatino Linotype" w:eastAsiaTheme="minorEastAsia"/>
          <w:color w:val="000000" w:themeColor="text1"/>
          <w:sz w:val="24"/>
          <w:szCs w:val="24"/>
        </w:rPr>
        <w:t xml:space="preserve"> </w:t>
      </w:r>
      <w:r w:rsidRPr="00743E64" w:rsidR="697E99B0">
        <w:rPr>
          <w:rFonts w:ascii="Palatino Linotype" w:hAnsi="Palatino Linotype" w:cs="Palatino Linotype" w:eastAsiaTheme="minorEastAsia"/>
          <w:color w:val="000000" w:themeColor="text1"/>
          <w:sz w:val="24"/>
          <w:szCs w:val="24"/>
        </w:rPr>
        <w:t>Merrimack</w:t>
      </w:r>
      <w:r w:rsidRPr="00743E64" w:rsidR="001A2E4C">
        <w:rPr>
          <w:rFonts w:ascii="Palatino Linotype" w:hAnsi="Palatino Linotype" w:cs="Palatino Linotype" w:eastAsiaTheme="minorEastAsia"/>
          <w:color w:val="000000" w:themeColor="text1"/>
          <w:sz w:val="24"/>
          <w:szCs w:val="24"/>
        </w:rPr>
        <w:t>’s</w:t>
      </w:r>
      <w:r w:rsidRPr="00743E64" w:rsidR="697E99B0">
        <w:rPr>
          <w:rFonts w:ascii="Palatino Linotype" w:hAnsi="Palatino Linotype" w:cs="Palatino Linotype" w:eastAsiaTheme="minorEastAsia"/>
          <w:color w:val="000000" w:themeColor="text1"/>
          <w:sz w:val="24"/>
          <w:szCs w:val="24"/>
        </w:rPr>
        <w:t xml:space="preserve"> </w:t>
      </w:r>
      <w:r w:rsidRPr="00743E64">
        <w:rPr>
          <w:rFonts w:ascii="Palatino Linotype" w:hAnsi="Palatino Linotype" w:cs="Palatino Linotype" w:eastAsiaTheme="minorEastAsia"/>
          <w:color w:val="000000" w:themeColor="text1"/>
          <w:sz w:val="24"/>
          <w:szCs w:val="24"/>
        </w:rPr>
        <w:t>finding</w:t>
      </w:r>
      <w:r w:rsidRPr="00743E64" w:rsidR="3205826F">
        <w:rPr>
          <w:rFonts w:ascii="Palatino Linotype" w:hAnsi="Palatino Linotype" w:cs="Palatino Linotype" w:eastAsiaTheme="minorEastAsia"/>
          <w:color w:val="000000" w:themeColor="text1"/>
          <w:sz w:val="24"/>
          <w:szCs w:val="24"/>
        </w:rPr>
        <w:t>s</w:t>
      </w:r>
      <w:r w:rsidRPr="00743E64">
        <w:rPr>
          <w:rFonts w:ascii="Palatino Linotype" w:hAnsi="Palatino Linotype" w:cs="Palatino Linotype" w:eastAsiaTheme="minorEastAsia"/>
          <w:color w:val="000000" w:themeColor="text1"/>
          <w:sz w:val="24"/>
          <w:szCs w:val="24"/>
        </w:rPr>
        <w:t xml:space="preserve"> that </w:t>
      </w:r>
      <w:r w:rsidRPr="00743E64" w:rsidR="697E99B0">
        <w:rPr>
          <w:rFonts w:ascii="Palatino Linotype" w:hAnsi="Palatino Linotype" w:cs="Palatino Linotype" w:eastAsiaTheme="minorEastAsia"/>
          <w:color w:val="000000" w:themeColor="text1"/>
          <w:sz w:val="24"/>
          <w:szCs w:val="24"/>
        </w:rPr>
        <w:t>PG&amp;E</w:t>
      </w:r>
      <w:r w:rsidRPr="00743E64">
        <w:rPr>
          <w:rFonts w:ascii="Palatino Linotype" w:hAnsi="Palatino Linotype" w:cs="Palatino Linotype" w:eastAsiaTheme="minorEastAsia"/>
          <w:color w:val="000000" w:themeColor="text1"/>
          <w:sz w:val="24"/>
          <w:szCs w:val="24"/>
        </w:rPr>
        <w:t xml:space="preserve"> selected the most appropriate offers</w:t>
      </w:r>
      <w:r w:rsidRPr="00743E64" w:rsidR="4C93D799">
        <w:rPr>
          <w:rFonts w:ascii="Palatino Linotype" w:hAnsi="Palatino Linotype" w:cs="Palatino Linotype" w:eastAsiaTheme="minorEastAsia"/>
          <w:color w:val="000000" w:themeColor="text1"/>
          <w:sz w:val="24"/>
          <w:szCs w:val="24"/>
        </w:rPr>
        <w:t xml:space="preserve"> that were among the </w:t>
      </w:r>
      <w:r w:rsidRPr="00743E64" w:rsidR="7FDF7110">
        <w:rPr>
          <w:rFonts w:ascii="Palatino Linotype" w:hAnsi="Palatino Linotype" w:cs="Palatino Linotype" w:eastAsiaTheme="minorEastAsia"/>
          <w:color w:val="000000" w:themeColor="text1"/>
          <w:sz w:val="24"/>
          <w:szCs w:val="24"/>
        </w:rPr>
        <w:t>lowest prices</w:t>
      </w:r>
      <w:r w:rsidRPr="00743E64">
        <w:rPr>
          <w:rFonts w:ascii="Palatino Linotype" w:hAnsi="Palatino Linotype" w:cs="Palatino Linotype" w:eastAsiaTheme="minorEastAsia"/>
          <w:color w:val="000000" w:themeColor="text1"/>
          <w:sz w:val="24"/>
          <w:szCs w:val="24"/>
        </w:rPr>
        <w:t xml:space="preserve"> on the table at the time of Phase 3 of its MTRRFO</w:t>
      </w:r>
      <w:r w:rsidRPr="00743E64" w:rsidR="197D3293">
        <w:rPr>
          <w:rFonts w:ascii="Palatino Linotype" w:hAnsi="Palatino Linotype" w:cs="Palatino Linotype" w:eastAsiaTheme="minorEastAsia"/>
          <w:color w:val="000000" w:themeColor="text1"/>
          <w:sz w:val="24"/>
          <w:szCs w:val="24"/>
        </w:rPr>
        <w:t>.</w:t>
      </w:r>
      <w:r w:rsidRPr="00743E64" w:rsidR="6C1B7A78">
        <w:rPr>
          <w:rFonts w:ascii="Palatino Linotype" w:hAnsi="Palatino Linotype" w:cs="Palatino Linotype" w:eastAsiaTheme="minorEastAsia"/>
          <w:color w:val="000000" w:themeColor="text1"/>
          <w:sz w:val="24"/>
          <w:szCs w:val="24"/>
        </w:rPr>
        <w:t xml:space="preserve"> </w:t>
      </w:r>
      <w:r w:rsidRPr="00743E64" w:rsidR="197D3293">
        <w:rPr>
          <w:rFonts w:ascii="Palatino Linotype" w:hAnsi="Palatino Linotype" w:cs="Palatino Linotype" w:eastAsiaTheme="minorEastAsia"/>
          <w:color w:val="000000" w:themeColor="text1"/>
          <w:sz w:val="24"/>
          <w:szCs w:val="24"/>
        </w:rPr>
        <w:t>For a</w:t>
      </w:r>
      <w:r w:rsidRPr="00743E64" w:rsidR="0D2967F1">
        <w:rPr>
          <w:rFonts w:ascii="Palatino Linotype" w:hAnsi="Palatino Linotype" w:cs="Palatino Linotype" w:eastAsiaTheme="minorEastAsia"/>
          <w:color w:val="000000" w:themeColor="text1"/>
          <w:sz w:val="24"/>
          <w:szCs w:val="24"/>
        </w:rPr>
        <w:t>n in-depth</w:t>
      </w:r>
      <w:r w:rsidRPr="00743E64" w:rsidR="197D3293">
        <w:rPr>
          <w:rFonts w:ascii="Palatino Linotype" w:hAnsi="Palatino Linotype" w:cs="Palatino Linotype" w:eastAsiaTheme="minorEastAsia"/>
          <w:color w:val="000000" w:themeColor="text1"/>
          <w:sz w:val="24"/>
          <w:szCs w:val="24"/>
        </w:rPr>
        <w:t xml:space="preserve"> </w:t>
      </w:r>
      <w:r w:rsidRPr="00743E64" w:rsidR="0D2967F1">
        <w:rPr>
          <w:rFonts w:ascii="Palatino Linotype" w:hAnsi="Palatino Linotype" w:cs="Palatino Linotype" w:eastAsiaTheme="minorEastAsia"/>
          <w:color w:val="000000" w:themeColor="text1"/>
          <w:sz w:val="24"/>
          <w:szCs w:val="24"/>
        </w:rPr>
        <w:t xml:space="preserve">solicitation and </w:t>
      </w:r>
      <w:r w:rsidRPr="00743E64" w:rsidR="197D3293">
        <w:rPr>
          <w:rFonts w:ascii="Palatino Linotype" w:hAnsi="Palatino Linotype" w:cs="Palatino Linotype" w:eastAsiaTheme="minorEastAsia"/>
          <w:color w:val="000000" w:themeColor="text1"/>
          <w:sz w:val="24"/>
          <w:szCs w:val="24"/>
        </w:rPr>
        <w:t xml:space="preserve">cost reasonableness review, see </w:t>
      </w:r>
      <w:r w:rsidRPr="00743E64" w:rsidR="26976D24">
        <w:rPr>
          <w:rFonts w:ascii="Palatino Linotype" w:hAnsi="Palatino Linotype" w:cs="Palatino Linotype" w:eastAsiaTheme="minorEastAsia"/>
          <w:color w:val="000000" w:themeColor="text1"/>
          <w:sz w:val="24"/>
          <w:szCs w:val="24"/>
        </w:rPr>
        <w:t>Confidential Appendix B</w:t>
      </w:r>
      <w:r w:rsidRPr="00743E64">
        <w:rPr>
          <w:rFonts w:ascii="Palatino Linotype" w:hAnsi="Palatino Linotype" w:cs="Palatino Linotype" w:eastAsiaTheme="minorEastAsia"/>
          <w:color w:val="000000" w:themeColor="text1"/>
          <w:sz w:val="24"/>
          <w:szCs w:val="24"/>
        </w:rPr>
        <w:t>.</w:t>
      </w:r>
    </w:p>
    <w:p w:rsidRPr="00743E64" w:rsidR="1D3DD59E" w:rsidP="1D3DD59E" w:rsidRDefault="1D3DD59E" w14:paraId="0FF9813E" w14:textId="39065229">
      <w:pPr>
        <w:rPr>
          <w:rFonts w:ascii="Palatino Linotype" w:hAnsi="Palatino Linotype" w:cs="Palatino Linotype" w:eastAsiaTheme="minorEastAsia"/>
          <w:color w:val="000000" w:themeColor="text1"/>
          <w:sz w:val="24"/>
          <w:szCs w:val="24"/>
        </w:rPr>
      </w:pPr>
    </w:p>
    <w:p w:rsidRPr="00743E64" w:rsidR="008D018B" w:rsidP="008D018B" w:rsidRDefault="008D018B" w14:paraId="2A457F7E" w14:textId="77777777">
      <w:pPr>
        <w:spacing w:after="120"/>
        <w:rPr>
          <w:rFonts w:ascii="Palatino Linotype" w:hAnsi="Palatino Linotype"/>
          <w:b/>
          <w:sz w:val="24"/>
          <w:szCs w:val="24"/>
        </w:rPr>
      </w:pPr>
      <w:r w:rsidRPr="00743E64">
        <w:rPr>
          <w:rFonts w:ascii="Palatino Linotype" w:hAnsi="Palatino Linotype"/>
          <w:b/>
          <w:sz w:val="24"/>
          <w:szCs w:val="24"/>
        </w:rPr>
        <w:t xml:space="preserve">RPS Eligibility and CPUC Approval </w:t>
      </w:r>
    </w:p>
    <w:p w:rsidRPr="00743E64" w:rsidR="008D018B" w:rsidP="008D018B" w:rsidRDefault="008D018B" w14:paraId="4738C3CA" w14:textId="19FF6E3A">
      <w:pPr>
        <w:rPr>
          <w:rFonts w:ascii="Palatino Linotype" w:hAnsi="Palatino Linotype"/>
          <w:sz w:val="24"/>
          <w:szCs w:val="24"/>
        </w:rPr>
      </w:pPr>
      <w:r w:rsidRPr="00743E64">
        <w:rPr>
          <w:rFonts w:ascii="Palatino Linotype" w:hAnsi="Palatino Linotype"/>
          <w:sz w:val="24"/>
          <w:szCs w:val="24"/>
        </w:rPr>
        <w:t xml:space="preserve">Pursuant to Section 399.13, the </w:t>
      </w:r>
      <w:r w:rsidRPr="00743E64" w:rsidR="006C6C60">
        <w:rPr>
          <w:rFonts w:ascii="Palatino Linotype" w:hAnsi="Palatino Linotype"/>
          <w:sz w:val="24"/>
          <w:szCs w:val="24"/>
        </w:rPr>
        <w:t>California Energy Commission (</w:t>
      </w:r>
      <w:r w:rsidRPr="00743E64">
        <w:rPr>
          <w:rFonts w:ascii="Palatino Linotype" w:hAnsi="Palatino Linotype"/>
          <w:sz w:val="24"/>
          <w:szCs w:val="24"/>
        </w:rPr>
        <w:t>CEC</w:t>
      </w:r>
      <w:r w:rsidRPr="00743E64" w:rsidR="006C6C60">
        <w:rPr>
          <w:rFonts w:ascii="Palatino Linotype" w:hAnsi="Palatino Linotype"/>
          <w:sz w:val="24"/>
          <w:szCs w:val="24"/>
        </w:rPr>
        <w:t>)</w:t>
      </w:r>
      <w:r w:rsidRPr="00743E64">
        <w:rPr>
          <w:rFonts w:ascii="Palatino Linotype" w:hAnsi="Palatino Linotype"/>
          <w:sz w:val="24"/>
          <w:szCs w:val="24"/>
        </w:rPr>
        <w:t xml:space="preserve"> certifies eligible renewable energy resources.  Generation from a resource that is not CEC-certified cannot be used to meet RPS requirements.  To ensure that only CEC-certified energy is procured under a Commission-approved RPS contract, the Commission has required standard and non-modifiable “eligibility” language in all RPS contracts.  That language requires a seller to warrant that the project qualifies and is certified by the CEC as an </w:t>
      </w:r>
      <w:r w:rsidRPr="00743E64">
        <w:rPr>
          <w:rFonts w:ascii="Palatino Linotype" w:hAnsi="Palatino Linotype"/>
          <w:sz w:val="24"/>
          <w:szCs w:val="24"/>
        </w:rPr>
        <w:lastRenderedPageBreak/>
        <w:t>“eligible renewable energy resource,” that the project’s output delivered to the buyer qualifies under the requirements of the RPS, and that the seller uses commercially reasonable efforts to maintain eligibility should there be a change in law affecting eligibility.</w:t>
      </w:r>
      <w:r w:rsidRPr="00743E64">
        <w:rPr>
          <w:rStyle w:val="FootnoteReference"/>
          <w:rFonts w:ascii="Palatino Linotype" w:hAnsi="Palatino Linotype"/>
          <w:sz w:val="24"/>
          <w:szCs w:val="24"/>
        </w:rPr>
        <w:footnoteReference w:id="17"/>
      </w:r>
      <w:r w:rsidRPr="00743E64">
        <w:rPr>
          <w:rFonts w:ascii="Palatino Linotype" w:hAnsi="Palatino Linotype"/>
          <w:sz w:val="24"/>
          <w:szCs w:val="24"/>
        </w:rPr>
        <w:t xml:space="preserve"> </w:t>
      </w:r>
    </w:p>
    <w:p w:rsidRPr="00743E64" w:rsidR="008D018B" w:rsidP="008D018B" w:rsidRDefault="008D018B" w14:paraId="67BBF881" w14:textId="77777777">
      <w:pPr>
        <w:rPr>
          <w:rFonts w:ascii="Palatino Linotype" w:hAnsi="Palatino Linotype"/>
          <w:sz w:val="24"/>
          <w:szCs w:val="24"/>
        </w:rPr>
      </w:pPr>
    </w:p>
    <w:p w:rsidRPr="00743E64" w:rsidR="008D018B" w:rsidP="008D018B" w:rsidRDefault="008D018B" w14:paraId="31396666" w14:textId="592684C2">
      <w:pPr>
        <w:rPr>
          <w:rFonts w:ascii="Palatino Linotype" w:hAnsi="Palatino Linotype"/>
          <w:sz w:val="24"/>
          <w:szCs w:val="24"/>
        </w:rPr>
      </w:pPr>
      <w:r w:rsidRPr="00743E64">
        <w:rPr>
          <w:rFonts w:ascii="Palatino Linotype" w:hAnsi="Palatino Linotype"/>
          <w:sz w:val="24"/>
          <w:szCs w:val="24"/>
        </w:rPr>
        <w:t xml:space="preserve">The Commission requires a standard and non-modifiable clause in all RPS-eligible contracts that requires “CPUC Approval” of a contract to include an explicit finding that “any procurement pursuant to this Agreement is procurement from an eligible renewable energy resource for purposes of determining Buyer's compliance with any obligation that it may have to procure eligible renewable energy resources pursuant to the California Renewables Portfolio Standard (Public Utilities Code Sections 399.11 </w:t>
      </w:r>
      <w:r w:rsidR="00743E64">
        <w:rPr>
          <w:rFonts w:ascii="Palatino Linotype" w:hAnsi="Palatino Linotype"/>
          <w:sz w:val="24"/>
          <w:szCs w:val="24"/>
        </w:rPr>
        <w:br/>
      </w:r>
      <w:r w:rsidRPr="00743E64">
        <w:rPr>
          <w:rFonts w:ascii="Palatino Linotype" w:hAnsi="Palatino Linotype"/>
          <w:sz w:val="24"/>
          <w:szCs w:val="24"/>
        </w:rPr>
        <w:t>et seq.), D.11-12-020 and D.11-12-052, or other applicable law.”</w:t>
      </w:r>
      <w:r w:rsidRPr="00743E64">
        <w:rPr>
          <w:rStyle w:val="FootnoteReference"/>
          <w:rFonts w:ascii="Palatino Linotype" w:hAnsi="Palatino Linotype"/>
          <w:sz w:val="24"/>
          <w:szCs w:val="24"/>
        </w:rPr>
        <w:footnoteReference w:id="18"/>
      </w:r>
      <w:r w:rsidRPr="00743E64">
        <w:rPr>
          <w:rFonts w:ascii="Palatino Linotype" w:hAnsi="Palatino Linotype"/>
          <w:sz w:val="24"/>
          <w:szCs w:val="24"/>
        </w:rPr>
        <w:tab/>
      </w:r>
    </w:p>
    <w:p w:rsidRPr="00743E64" w:rsidR="008D018B" w:rsidP="008D018B" w:rsidRDefault="008D018B" w14:paraId="021A225D" w14:textId="77777777">
      <w:pPr>
        <w:rPr>
          <w:rFonts w:ascii="Palatino Linotype" w:hAnsi="Palatino Linotype"/>
          <w:sz w:val="24"/>
          <w:szCs w:val="24"/>
        </w:rPr>
      </w:pPr>
    </w:p>
    <w:p w:rsidRPr="00743E64" w:rsidR="008D018B" w:rsidP="008D018B" w:rsidRDefault="008D018B" w14:paraId="3FA4EBF4" w14:textId="292B45EE">
      <w:pPr>
        <w:rPr>
          <w:rFonts w:ascii="Palatino Linotype" w:hAnsi="Palatino Linotype"/>
          <w:sz w:val="24"/>
          <w:szCs w:val="24"/>
        </w:rPr>
      </w:pPr>
      <w:r w:rsidRPr="00743E64">
        <w:rPr>
          <w:rFonts w:ascii="Palatino Linotype" w:hAnsi="Palatino Linotype"/>
          <w:sz w:val="24"/>
          <w:szCs w:val="24"/>
        </w:rPr>
        <w:t>Notwithstanding this language, given that the Commission has no jurisdiction to determine whether a project is an “eligible renewable energy resource” for RPS purposes, this finding and the effectiveness of the non-modifiable “eligibility” language is contingent on the CEC’s certification of each of the projects as “eligible renewable energy resources.”  The contract language that each project is procurement from an “eligible renewable energy resource” must be a true statement at the time of the first delivery of energy, not at the signing of the PPA or at the issuance of this Resolution.</w:t>
      </w:r>
    </w:p>
    <w:p w:rsidRPr="00743E64" w:rsidR="008D018B" w:rsidP="008D018B" w:rsidRDefault="008D018B" w14:paraId="34FCC2E4" w14:textId="77777777">
      <w:pPr>
        <w:rPr>
          <w:rFonts w:ascii="Palatino Linotype" w:hAnsi="Palatino Linotype"/>
          <w:sz w:val="24"/>
          <w:szCs w:val="24"/>
        </w:rPr>
      </w:pPr>
    </w:p>
    <w:p w:rsidR="008D018B" w:rsidP="008D018B" w:rsidRDefault="008D018B" w14:paraId="5FCD67BD" w14:textId="77777777">
      <w:pPr>
        <w:rPr>
          <w:rFonts w:ascii="Palatino Linotype" w:hAnsi="Palatino Linotype"/>
          <w:sz w:val="24"/>
          <w:szCs w:val="24"/>
        </w:rPr>
      </w:pPr>
      <w:r w:rsidRPr="00743E64">
        <w:rPr>
          <w:rFonts w:ascii="Palatino Linotype" w:hAnsi="Palatino Linotype"/>
          <w:sz w:val="24"/>
          <w:szCs w:val="24"/>
        </w:rPr>
        <w:t xml:space="preserve">While we include the required </w:t>
      </w:r>
      <w:proofErr w:type="gramStart"/>
      <w:r w:rsidRPr="00743E64">
        <w:rPr>
          <w:rFonts w:ascii="Palatino Linotype" w:hAnsi="Palatino Linotype"/>
          <w:sz w:val="24"/>
          <w:szCs w:val="24"/>
        </w:rPr>
        <w:t>finding</w:t>
      </w:r>
      <w:proofErr w:type="gramEnd"/>
      <w:r w:rsidRPr="00743E64">
        <w:rPr>
          <w:rFonts w:ascii="Palatino Linotype" w:hAnsi="Palatino Linotype"/>
          <w:sz w:val="24"/>
          <w:szCs w:val="24"/>
        </w:rPr>
        <w:t xml:space="preserve"> here, this finding has never been intended, and shall not be read now, to allow the generation from a non-RPS-eligible resource to count towards an RPS compliance obligation absent CEC certification.  Nor shall such finding absolve the seller of its obligation to obtain CEC certification, or the utility of its obligation to pursue remedies for breach of contract.  Such contract enforcement activities shall be reviewed pursuant to the Commission’s authority to review the utilities’ administration of such contracts. </w:t>
      </w:r>
    </w:p>
    <w:p w:rsidR="00743E64" w:rsidP="008D018B" w:rsidRDefault="00743E64" w14:paraId="210CA70F" w14:textId="77777777">
      <w:pPr>
        <w:rPr>
          <w:rFonts w:ascii="Palatino Linotype" w:hAnsi="Palatino Linotype"/>
          <w:sz w:val="24"/>
          <w:szCs w:val="24"/>
        </w:rPr>
      </w:pPr>
    </w:p>
    <w:p w:rsidRPr="00743E64" w:rsidR="008D018B" w:rsidP="1ABC74B0" w:rsidRDefault="7D91E195" w14:paraId="11CB8443" w14:textId="2CC78EAF">
      <w:pPr>
        <w:spacing w:after="240"/>
        <w:rPr>
          <w:rFonts w:ascii="Palatino Linotype" w:hAnsi="Palatino Linotype"/>
          <w:b/>
          <w:bCs/>
          <w:sz w:val="24"/>
          <w:szCs w:val="24"/>
        </w:rPr>
      </w:pPr>
      <w:r w:rsidRPr="00743E64">
        <w:rPr>
          <w:rFonts w:ascii="Palatino Linotype" w:hAnsi="Palatino Linotype"/>
          <w:b/>
          <w:bCs/>
          <w:sz w:val="24"/>
          <w:szCs w:val="24"/>
        </w:rPr>
        <w:t>Compliance with RPS Standard Terms and Conditions</w:t>
      </w:r>
    </w:p>
    <w:p w:rsidRPr="00743E64" w:rsidR="008D018B" w:rsidP="1ABC74B0" w:rsidRDefault="7D91E195" w14:paraId="2D18348F" w14:textId="3F59A0D8">
      <w:pPr>
        <w:rPr>
          <w:rFonts w:ascii="Palatino Linotype" w:hAnsi="Palatino Linotype"/>
          <w:sz w:val="24"/>
          <w:szCs w:val="24"/>
        </w:rPr>
      </w:pPr>
      <w:r w:rsidRPr="00743E64">
        <w:rPr>
          <w:rFonts w:ascii="Palatino Linotype" w:hAnsi="Palatino Linotype"/>
          <w:sz w:val="24"/>
          <w:szCs w:val="24"/>
        </w:rPr>
        <w:t xml:space="preserve">The CPUC adopted a set of standard terms and conditions (STCs) required in RPS contracts, five of which are considered “non-modifiable.”  The STCs were compiled in D.08-04-009 and subsequently amended in D.08-08-028, D.10-03-021, as modified by D.11-01-025, and D.13-11-024.  </w:t>
      </w:r>
    </w:p>
    <w:p w:rsidRPr="00743E64" w:rsidR="008D018B" w:rsidP="1ABC74B0" w:rsidRDefault="7D91E195" w14:paraId="567CE0A6" w14:textId="571D0FE3">
      <w:pPr>
        <w:rPr>
          <w:rFonts w:ascii="Palatino Linotype" w:hAnsi="Palatino Linotype"/>
          <w:sz w:val="24"/>
          <w:szCs w:val="24"/>
        </w:rPr>
      </w:pPr>
      <w:r w:rsidRPr="00743E64">
        <w:rPr>
          <w:rFonts w:ascii="Palatino Linotype" w:hAnsi="Palatino Linotype"/>
          <w:sz w:val="24"/>
          <w:szCs w:val="24"/>
        </w:rPr>
        <w:t xml:space="preserve"> </w:t>
      </w:r>
    </w:p>
    <w:p w:rsidRPr="00743E64" w:rsidR="008D018B" w:rsidP="5B7093E0" w:rsidRDefault="7D91E195" w14:paraId="6ADF06B2" w14:textId="6504AB62">
      <w:pPr>
        <w:rPr>
          <w:rFonts w:ascii="Palatino Linotype" w:hAnsi="Palatino Linotype"/>
          <w:sz w:val="24"/>
          <w:szCs w:val="24"/>
        </w:rPr>
      </w:pPr>
      <w:r w:rsidRPr="00743E64">
        <w:rPr>
          <w:rFonts w:ascii="Palatino Linotype" w:hAnsi="Palatino Linotype"/>
          <w:sz w:val="24"/>
          <w:szCs w:val="24"/>
        </w:rPr>
        <w:lastRenderedPageBreak/>
        <w:t xml:space="preserve">The </w:t>
      </w:r>
      <w:r w:rsidRPr="00743E64" w:rsidR="40BABDE9">
        <w:rPr>
          <w:rFonts w:ascii="Palatino Linotype" w:hAnsi="Palatino Linotype"/>
          <w:sz w:val="24"/>
          <w:szCs w:val="24"/>
        </w:rPr>
        <w:t>Atlas contracts</w:t>
      </w:r>
      <w:r w:rsidRPr="00743E64">
        <w:rPr>
          <w:rFonts w:ascii="Palatino Linotype" w:hAnsi="Palatino Linotype"/>
          <w:sz w:val="24"/>
          <w:szCs w:val="24"/>
        </w:rPr>
        <w:t xml:space="preserve"> include all CPUC-adopted RPS “non-modifiable” standard terms and conditions, as set forth in D.08-04-009, D.08-08-028, and D.10-03-021, as modified by D.11-01-025 and D.13-11-024.</w:t>
      </w:r>
    </w:p>
    <w:p w:rsidRPr="00743E64" w:rsidR="008D018B" w:rsidP="1ABC74B0" w:rsidRDefault="008D018B" w14:paraId="372C1E15" w14:textId="7DF30D18">
      <w:pPr>
        <w:rPr>
          <w:rFonts w:ascii="Palatino Linotype" w:hAnsi="Palatino Linotype"/>
          <w:sz w:val="24"/>
          <w:szCs w:val="24"/>
        </w:rPr>
      </w:pPr>
    </w:p>
    <w:p w:rsidRPr="00743E64" w:rsidR="00E144CE" w:rsidP="00E144CE" w:rsidRDefault="00E144CE" w14:paraId="3AF7552C" w14:textId="77777777">
      <w:pPr>
        <w:pStyle w:val="BodyText"/>
        <w:keepNext/>
        <w:spacing w:after="120"/>
        <w:rPr>
          <w:rFonts w:ascii="Palatino Linotype" w:hAnsi="Palatino Linotype"/>
          <w:sz w:val="24"/>
          <w:szCs w:val="24"/>
        </w:rPr>
      </w:pPr>
      <w:proofErr w:type="gramStart"/>
      <w:r w:rsidRPr="00743E64">
        <w:rPr>
          <w:rFonts w:ascii="Palatino Linotype" w:hAnsi="Palatino Linotype"/>
          <w:sz w:val="24"/>
          <w:szCs w:val="24"/>
        </w:rPr>
        <w:t>Consistency</w:t>
      </w:r>
      <w:proofErr w:type="gramEnd"/>
      <w:r w:rsidRPr="00743E64">
        <w:rPr>
          <w:rFonts w:ascii="Palatino Linotype" w:hAnsi="Palatino Linotype"/>
          <w:sz w:val="24"/>
          <w:szCs w:val="24"/>
        </w:rPr>
        <w:t xml:space="preserve"> with Portfolio Content Categories Requirements</w:t>
      </w:r>
    </w:p>
    <w:p w:rsidRPr="00743E64" w:rsidR="00E144CE" w:rsidP="7ABA23A6" w:rsidRDefault="00E144CE" w14:paraId="3D8B4B68" w14:textId="176706D5">
      <w:pPr>
        <w:pStyle w:val="BodyText"/>
        <w:rPr>
          <w:rFonts w:ascii="Palatino Linotype" w:hAnsi="Palatino Linotype"/>
          <w:b w:val="0"/>
          <w:sz w:val="24"/>
          <w:szCs w:val="24"/>
        </w:rPr>
      </w:pPr>
      <w:r w:rsidRPr="00743E64">
        <w:rPr>
          <w:rFonts w:ascii="Palatino Linotype" w:hAnsi="Palatino Linotype"/>
          <w:b w:val="0"/>
          <w:sz w:val="24"/>
          <w:szCs w:val="24"/>
        </w:rPr>
        <w:t xml:space="preserve">In D.11-12-052, the Commission defined and implemented </w:t>
      </w:r>
      <w:r w:rsidRPr="00743E64" w:rsidR="00D72D69">
        <w:rPr>
          <w:rFonts w:ascii="Palatino Linotype" w:hAnsi="Palatino Linotype"/>
          <w:b w:val="0"/>
          <w:sz w:val="24"/>
          <w:szCs w:val="24"/>
        </w:rPr>
        <w:t>P</w:t>
      </w:r>
      <w:r w:rsidRPr="00743E64">
        <w:rPr>
          <w:rFonts w:ascii="Palatino Linotype" w:hAnsi="Palatino Linotype"/>
          <w:b w:val="0"/>
          <w:sz w:val="24"/>
          <w:szCs w:val="24"/>
        </w:rPr>
        <w:t xml:space="preserve">ortfolio </w:t>
      </w:r>
      <w:r w:rsidRPr="00743E64" w:rsidR="00D72D69">
        <w:rPr>
          <w:rFonts w:ascii="Palatino Linotype" w:hAnsi="Palatino Linotype"/>
          <w:b w:val="0"/>
          <w:sz w:val="24"/>
          <w:szCs w:val="24"/>
        </w:rPr>
        <w:t>C</w:t>
      </w:r>
      <w:r w:rsidRPr="00743E64">
        <w:rPr>
          <w:rFonts w:ascii="Palatino Linotype" w:hAnsi="Palatino Linotype"/>
          <w:b w:val="0"/>
          <w:sz w:val="24"/>
          <w:szCs w:val="24"/>
        </w:rPr>
        <w:t xml:space="preserve">ontent </w:t>
      </w:r>
      <w:r w:rsidRPr="00743E64" w:rsidR="00D72D69">
        <w:rPr>
          <w:rFonts w:ascii="Palatino Linotype" w:hAnsi="Palatino Linotype"/>
          <w:b w:val="0"/>
          <w:sz w:val="24"/>
          <w:szCs w:val="24"/>
        </w:rPr>
        <w:t>C</w:t>
      </w:r>
      <w:r w:rsidRPr="00743E64">
        <w:rPr>
          <w:rFonts w:ascii="Palatino Linotype" w:hAnsi="Palatino Linotype"/>
          <w:b w:val="0"/>
          <w:sz w:val="24"/>
          <w:szCs w:val="24"/>
        </w:rPr>
        <w:t xml:space="preserve">ategories </w:t>
      </w:r>
      <w:r w:rsidRPr="00743E64" w:rsidR="00061740">
        <w:rPr>
          <w:rFonts w:ascii="Palatino Linotype" w:hAnsi="Palatino Linotype"/>
          <w:b w:val="0"/>
          <w:sz w:val="24"/>
          <w:szCs w:val="24"/>
        </w:rPr>
        <w:t>(PCC</w:t>
      </w:r>
      <w:r w:rsidRPr="00743E64" w:rsidR="50DB7507">
        <w:rPr>
          <w:rFonts w:ascii="Palatino Linotype" w:hAnsi="Palatino Linotype"/>
          <w:b w:val="0"/>
          <w:sz w:val="24"/>
          <w:szCs w:val="24"/>
        </w:rPr>
        <w:t>s</w:t>
      </w:r>
      <w:r w:rsidRPr="00743E64" w:rsidR="00061740">
        <w:rPr>
          <w:rFonts w:ascii="Palatino Linotype" w:hAnsi="Palatino Linotype"/>
          <w:b w:val="0"/>
          <w:sz w:val="24"/>
          <w:szCs w:val="24"/>
        </w:rPr>
        <w:t xml:space="preserve">) </w:t>
      </w:r>
      <w:r w:rsidRPr="00743E64">
        <w:rPr>
          <w:rFonts w:ascii="Palatino Linotype" w:hAnsi="Palatino Linotype"/>
          <w:b w:val="0"/>
          <w:sz w:val="24"/>
          <w:szCs w:val="24"/>
        </w:rPr>
        <w:t xml:space="preserve">for the RPS program and required the investor-owned utilities to provide information to the Director of Energy Division regarding the proposed contract’s </w:t>
      </w:r>
      <w:r w:rsidRPr="00743E64" w:rsidR="00061740">
        <w:rPr>
          <w:rFonts w:ascii="Palatino Linotype" w:hAnsi="Palatino Linotype"/>
          <w:b w:val="0"/>
          <w:sz w:val="24"/>
          <w:szCs w:val="24"/>
        </w:rPr>
        <w:t>PCC</w:t>
      </w:r>
      <w:r w:rsidRPr="00743E64">
        <w:rPr>
          <w:rFonts w:ascii="Palatino Linotype" w:hAnsi="Palatino Linotype"/>
          <w:b w:val="0"/>
          <w:sz w:val="24"/>
          <w:szCs w:val="24"/>
        </w:rPr>
        <w:t xml:space="preserve"> classification in each advice letter seeking Commission-approval of an RPS</w:t>
      </w:r>
      <w:r w:rsidRPr="00743E64" w:rsidR="0026114E">
        <w:rPr>
          <w:rFonts w:ascii="Palatino Linotype" w:hAnsi="Palatino Linotype"/>
          <w:b w:val="0"/>
          <w:sz w:val="24"/>
          <w:szCs w:val="24"/>
        </w:rPr>
        <w:t>-eligible</w:t>
      </w:r>
      <w:r w:rsidRPr="00743E64">
        <w:rPr>
          <w:rFonts w:ascii="Palatino Linotype" w:hAnsi="Palatino Linotype"/>
          <w:b w:val="0"/>
          <w:sz w:val="24"/>
          <w:szCs w:val="24"/>
        </w:rPr>
        <w:t xml:space="preserve"> contract. The purpose of the information is to ensure the </w:t>
      </w:r>
      <w:r w:rsidRPr="00743E64" w:rsidR="0026114E">
        <w:rPr>
          <w:rFonts w:ascii="Palatino Linotype" w:hAnsi="Palatino Linotype"/>
          <w:b w:val="0"/>
          <w:sz w:val="24"/>
          <w:szCs w:val="24"/>
        </w:rPr>
        <w:t>MTR contracts’</w:t>
      </w:r>
      <w:r w:rsidRPr="00743E64">
        <w:rPr>
          <w:rFonts w:ascii="Palatino Linotype" w:hAnsi="Palatino Linotype"/>
          <w:b w:val="0"/>
          <w:sz w:val="24"/>
          <w:szCs w:val="24"/>
        </w:rPr>
        <w:t xml:space="preserve"> RPS eligibility and allow the Commission to evaluate the claimed portfolio content category of the proposed </w:t>
      </w:r>
      <w:r w:rsidRPr="00743E64" w:rsidR="0026114E">
        <w:rPr>
          <w:rFonts w:ascii="Palatino Linotype" w:hAnsi="Palatino Linotype"/>
          <w:b w:val="0"/>
          <w:sz w:val="24"/>
          <w:szCs w:val="24"/>
        </w:rPr>
        <w:t>contracts</w:t>
      </w:r>
      <w:r w:rsidRPr="00743E64">
        <w:rPr>
          <w:rFonts w:ascii="Palatino Linotype" w:hAnsi="Palatino Linotype"/>
          <w:b w:val="0"/>
          <w:sz w:val="24"/>
          <w:szCs w:val="24"/>
        </w:rPr>
        <w:t xml:space="preserve"> and the risks and value to ratepayers if the proposed </w:t>
      </w:r>
      <w:r w:rsidRPr="00743E64" w:rsidR="0026114E">
        <w:rPr>
          <w:rFonts w:ascii="Palatino Linotype" w:hAnsi="Palatino Linotype"/>
          <w:b w:val="0"/>
          <w:sz w:val="24"/>
          <w:szCs w:val="24"/>
        </w:rPr>
        <w:t>contracts</w:t>
      </w:r>
      <w:r w:rsidRPr="00743E64">
        <w:rPr>
          <w:rFonts w:ascii="Palatino Linotype" w:hAnsi="Palatino Linotype"/>
          <w:b w:val="0"/>
          <w:sz w:val="24"/>
          <w:szCs w:val="24"/>
        </w:rPr>
        <w:t xml:space="preserve"> ultimately result in renewable energy credits in another</w:t>
      </w:r>
      <w:proofErr w:type="gramStart"/>
      <w:r w:rsidRPr="00743E64">
        <w:rPr>
          <w:rFonts w:ascii="Palatino Linotype" w:hAnsi="Palatino Linotype"/>
          <w:b w:val="0"/>
          <w:sz w:val="24"/>
          <w:szCs w:val="24"/>
        </w:rPr>
        <w:t>, less</w:t>
      </w:r>
      <w:proofErr w:type="gramEnd"/>
      <w:r w:rsidRPr="00743E64">
        <w:rPr>
          <w:rFonts w:ascii="Palatino Linotype" w:hAnsi="Palatino Linotype"/>
          <w:b w:val="0"/>
          <w:sz w:val="24"/>
          <w:szCs w:val="24"/>
        </w:rPr>
        <w:t xml:space="preserve"> preferred, portfolio content category.  </w:t>
      </w:r>
    </w:p>
    <w:p w:rsidRPr="00743E64" w:rsidR="00E144CE" w:rsidP="00E144CE" w:rsidRDefault="00E144CE" w14:paraId="23D8A721" w14:textId="77777777">
      <w:pPr>
        <w:pStyle w:val="BodyText"/>
        <w:rPr>
          <w:rFonts w:ascii="Palatino Linotype" w:hAnsi="Palatino Linotype"/>
          <w:b w:val="0"/>
          <w:bCs/>
          <w:sz w:val="24"/>
          <w:szCs w:val="24"/>
        </w:rPr>
      </w:pPr>
    </w:p>
    <w:p w:rsidRPr="00743E64" w:rsidR="00E144CE" w:rsidP="00E144CE" w:rsidRDefault="00440D82" w14:paraId="4990685E" w14:textId="2DE50F5D">
      <w:pPr>
        <w:pStyle w:val="BodyText"/>
        <w:rPr>
          <w:rFonts w:ascii="Palatino Linotype" w:hAnsi="Palatino Linotype"/>
          <w:b w:val="0"/>
          <w:bCs/>
          <w:sz w:val="24"/>
          <w:szCs w:val="24"/>
        </w:rPr>
      </w:pPr>
      <w:r w:rsidRPr="00743E64">
        <w:rPr>
          <w:rFonts w:ascii="Palatino Linotype" w:hAnsi="Palatino Linotype"/>
          <w:b w:val="0"/>
          <w:bCs/>
          <w:sz w:val="24"/>
          <w:szCs w:val="24"/>
        </w:rPr>
        <w:t xml:space="preserve">Consistent with D.11-12-052, PG&amp;E provided information in </w:t>
      </w:r>
      <w:r w:rsidRPr="00743E64">
        <w:rPr>
          <w:rFonts w:ascii="Palatino Linotype" w:hAnsi="Palatino Linotype"/>
          <w:b w:val="0"/>
          <w:sz w:val="24"/>
          <w:szCs w:val="24"/>
        </w:rPr>
        <w:t>AL 7356-E</w:t>
      </w:r>
      <w:r w:rsidRPr="00743E64">
        <w:rPr>
          <w:rFonts w:ascii="Palatino Linotype" w:hAnsi="Palatino Linotype"/>
          <w:b w:val="0"/>
          <w:bCs/>
          <w:sz w:val="24"/>
          <w:szCs w:val="24"/>
        </w:rPr>
        <w:t xml:space="preserve"> regarding the expected PCC classification of the renewable energy credits procured pursuant to the Atlas contracts.  </w:t>
      </w:r>
      <w:r w:rsidRPr="00743E64" w:rsidR="00E144CE">
        <w:rPr>
          <w:rFonts w:ascii="Palatino Linotype" w:hAnsi="Palatino Linotype"/>
          <w:b w:val="0"/>
          <w:sz w:val="24"/>
          <w:szCs w:val="24"/>
        </w:rPr>
        <w:t>In</w:t>
      </w:r>
      <w:r w:rsidRPr="00743E64" w:rsidR="00042CC3">
        <w:rPr>
          <w:rFonts w:ascii="Palatino Linotype" w:hAnsi="Palatino Linotype"/>
          <w:b w:val="0"/>
          <w:sz w:val="24"/>
          <w:szCs w:val="24"/>
        </w:rPr>
        <w:t xml:space="preserve"> PG&amp;E</w:t>
      </w:r>
      <w:r w:rsidRPr="00743E64" w:rsidR="000D7C3E">
        <w:rPr>
          <w:rFonts w:ascii="Palatino Linotype" w:hAnsi="Palatino Linotype"/>
          <w:b w:val="0"/>
          <w:sz w:val="24"/>
          <w:szCs w:val="24"/>
        </w:rPr>
        <w:t xml:space="preserve"> AL </w:t>
      </w:r>
      <w:r w:rsidRPr="00743E64" w:rsidR="00042CC3">
        <w:rPr>
          <w:rFonts w:ascii="Palatino Linotype" w:hAnsi="Palatino Linotype"/>
          <w:b w:val="0"/>
          <w:sz w:val="24"/>
          <w:szCs w:val="24"/>
        </w:rPr>
        <w:t>7356</w:t>
      </w:r>
      <w:r w:rsidRPr="00743E64" w:rsidR="000D7C3E">
        <w:rPr>
          <w:rFonts w:ascii="Palatino Linotype" w:hAnsi="Palatino Linotype"/>
          <w:b w:val="0"/>
          <w:sz w:val="24"/>
          <w:szCs w:val="24"/>
        </w:rPr>
        <w:t>-E</w:t>
      </w:r>
      <w:r w:rsidRPr="00743E64" w:rsidR="00E144CE">
        <w:rPr>
          <w:rFonts w:ascii="Palatino Linotype" w:hAnsi="Palatino Linotype"/>
          <w:b w:val="0"/>
          <w:sz w:val="24"/>
          <w:szCs w:val="24"/>
        </w:rPr>
        <w:t xml:space="preserve">, </w:t>
      </w:r>
      <w:r w:rsidRPr="00743E64" w:rsidR="00042CC3">
        <w:rPr>
          <w:rFonts w:ascii="Palatino Linotype" w:hAnsi="Palatino Linotype"/>
          <w:b w:val="0"/>
          <w:sz w:val="24"/>
          <w:szCs w:val="24"/>
        </w:rPr>
        <w:t>PG&amp;E</w:t>
      </w:r>
      <w:r w:rsidRPr="00743E64" w:rsidR="00E144CE">
        <w:rPr>
          <w:rFonts w:ascii="Palatino Linotype" w:hAnsi="Palatino Linotype"/>
          <w:b w:val="0"/>
          <w:sz w:val="24"/>
          <w:szCs w:val="24"/>
        </w:rPr>
        <w:t xml:space="preserve"> </w:t>
      </w:r>
      <w:r w:rsidRPr="00743E64" w:rsidR="0021553A">
        <w:rPr>
          <w:rFonts w:ascii="Palatino Linotype" w:hAnsi="Palatino Linotype"/>
          <w:b w:val="0"/>
          <w:sz w:val="24"/>
          <w:szCs w:val="24"/>
        </w:rPr>
        <w:t xml:space="preserve">states it </w:t>
      </w:r>
      <w:r w:rsidRPr="00743E64" w:rsidR="00EA55C8">
        <w:rPr>
          <w:rFonts w:ascii="Palatino Linotype" w:hAnsi="Palatino Linotype"/>
          <w:b w:val="0"/>
          <w:sz w:val="24"/>
          <w:szCs w:val="24"/>
        </w:rPr>
        <w:t xml:space="preserve">expects </w:t>
      </w:r>
      <w:r w:rsidRPr="00743E64" w:rsidR="00CF4E63">
        <w:rPr>
          <w:rFonts w:ascii="Palatino Linotype" w:hAnsi="Palatino Linotype"/>
          <w:b w:val="0"/>
          <w:sz w:val="24"/>
          <w:szCs w:val="24"/>
        </w:rPr>
        <w:t xml:space="preserve">that the energy and associated renewable energy credits (RECs) from the </w:t>
      </w:r>
      <w:r w:rsidRPr="00743E64" w:rsidR="00042CC3">
        <w:rPr>
          <w:rFonts w:ascii="Palatino Linotype" w:hAnsi="Palatino Linotype"/>
          <w:b w:val="0"/>
          <w:sz w:val="24"/>
          <w:szCs w:val="24"/>
        </w:rPr>
        <w:t>Atlas</w:t>
      </w:r>
      <w:r w:rsidRPr="00743E64" w:rsidR="00CF4E63">
        <w:rPr>
          <w:rFonts w:ascii="Palatino Linotype" w:hAnsi="Palatino Linotype"/>
          <w:b w:val="0"/>
          <w:sz w:val="24"/>
          <w:szCs w:val="24"/>
        </w:rPr>
        <w:t xml:space="preserve"> contracts would quality as portfolio content category (PCC) 1 RECs for RPS compliance. </w:t>
      </w:r>
      <w:r w:rsidRPr="00743E64" w:rsidR="00BF2308">
        <w:rPr>
          <w:rFonts w:ascii="Palatino Linotype" w:hAnsi="Palatino Linotype"/>
          <w:b w:val="0"/>
          <w:sz w:val="24"/>
          <w:szCs w:val="24"/>
        </w:rPr>
        <w:t xml:space="preserve">For the Atlas contracts, the projects have their first point of interconnection </w:t>
      </w:r>
      <w:r w:rsidRPr="00743E64" w:rsidR="0032542F">
        <w:rPr>
          <w:rFonts w:ascii="Palatino Linotype" w:hAnsi="Palatino Linotype"/>
          <w:b w:val="0"/>
          <w:sz w:val="24"/>
          <w:szCs w:val="24"/>
        </w:rPr>
        <w:t xml:space="preserve">within a CAISO balancing authority. </w:t>
      </w:r>
    </w:p>
    <w:p w:rsidRPr="00743E64" w:rsidR="00E144CE" w:rsidP="00E144CE" w:rsidRDefault="00E144CE" w14:paraId="0708B69C" w14:textId="77777777">
      <w:pPr>
        <w:pStyle w:val="BodyText"/>
        <w:rPr>
          <w:rFonts w:ascii="Palatino Linotype" w:hAnsi="Palatino Linotype"/>
          <w:b w:val="0"/>
          <w:sz w:val="24"/>
          <w:szCs w:val="24"/>
          <w:u w:val="single"/>
        </w:rPr>
      </w:pPr>
    </w:p>
    <w:p w:rsidRPr="00743E64" w:rsidR="00E144CE" w:rsidP="00E144CE" w:rsidRDefault="00E144CE" w14:paraId="74523F8F" w14:textId="313F2A61">
      <w:pPr>
        <w:pStyle w:val="BodyText"/>
        <w:rPr>
          <w:rFonts w:ascii="Palatino Linotype" w:hAnsi="Palatino Linotype"/>
          <w:b w:val="0"/>
          <w:bCs/>
          <w:sz w:val="24"/>
          <w:szCs w:val="24"/>
        </w:rPr>
      </w:pPr>
      <w:r w:rsidRPr="00743E64">
        <w:rPr>
          <w:rFonts w:ascii="Palatino Linotype" w:hAnsi="Palatino Linotype"/>
          <w:b w:val="0"/>
          <w:bCs/>
          <w:sz w:val="24"/>
          <w:szCs w:val="24"/>
        </w:rPr>
        <w:t xml:space="preserve">In this Resolution, the Commission makes no determination regarding the </w:t>
      </w:r>
      <w:r w:rsidR="00F8097D">
        <w:rPr>
          <w:rFonts w:ascii="Palatino Linotype" w:hAnsi="Palatino Linotype"/>
          <w:b w:val="0"/>
          <w:bCs/>
          <w:sz w:val="24"/>
          <w:szCs w:val="24"/>
        </w:rPr>
        <w:br/>
      </w:r>
      <w:r w:rsidRPr="00743E64" w:rsidR="00AD3452">
        <w:rPr>
          <w:rFonts w:ascii="Palatino Linotype" w:hAnsi="Palatino Linotype"/>
          <w:b w:val="0"/>
          <w:bCs/>
          <w:sz w:val="24"/>
          <w:szCs w:val="24"/>
        </w:rPr>
        <w:t xml:space="preserve">contracts’ </w:t>
      </w:r>
      <w:r w:rsidRPr="00743E64" w:rsidR="00882959">
        <w:rPr>
          <w:rFonts w:ascii="Palatino Linotype" w:hAnsi="Palatino Linotype"/>
          <w:b w:val="0"/>
          <w:bCs/>
          <w:sz w:val="24"/>
          <w:szCs w:val="24"/>
        </w:rPr>
        <w:t>PCC</w:t>
      </w:r>
      <w:r w:rsidRPr="00743E64">
        <w:rPr>
          <w:rFonts w:ascii="Palatino Linotype" w:hAnsi="Palatino Linotype"/>
          <w:b w:val="0"/>
          <w:bCs/>
          <w:sz w:val="24"/>
          <w:szCs w:val="24"/>
        </w:rPr>
        <w:t xml:space="preserve"> classification. The RPS contract evaluation process is separate from the RPS compliance and portfolio content category classification process, which requires consideration of several factors based on various showings in a compliance filing. Thus, making a </w:t>
      </w:r>
      <w:r w:rsidRPr="00743E64" w:rsidR="00882959">
        <w:rPr>
          <w:rFonts w:ascii="Palatino Linotype" w:hAnsi="Palatino Linotype"/>
          <w:b w:val="0"/>
          <w:bCs/>
          <w:sz w:val="24"/>
          <w:szCs w:val="24"/>
        </w:rPr>
        <w:t>PCC</w:t>
      </w:r>
      <w:r w:rsidRPr="00743E64">
        <w:rPr>
          <w:rFonts w:ascii="Palatino Linotype" w:hAnsi="Palatino Linotype"/>
          <w:b w:val="0"/>
          <w:bCs/>
          <w:sz w:val="24"/>
          <w:szCs w:val="24"/>
        </w:rPr>
        <w:t xml:space="preserve"> classification determination in this Resolution regarding the procurement considered herein is not appropriate. </w:t>
      </w:r>
      <w:r w:rsidRPr="00743E64" w:rsidR="00655127">
        <w:rPr>
          <w:rFonts w:ascii="Palatino Linotype" w:hAnsi="Palatino Linotype"/>
          <w:b w:val="0"/>
          <w:bCs/>
          <w:sz w:val="24"/>
          <w:szCs w:val="24"/>
        </w:rPr>
        <w:t>PG&amp;E</w:t>
      </w:r>
      <w:r w:rsidRPr="00743E64">
        <w:rPr>
          <w:rFonts w:ascii="Palatino Linotype" w:hAnsi="Palatino Linotype"/>
          <w:b w:val="0"/>
          <w:bCs/>
          <w:sz w:val="24"/>
          <w:szCs w:val="24"/>
        </w:rPr>
        <w:t xml:space="preserve"> should incorporate the procurement resulting from the approved the </w:t>
      </w:r>
      <w:r w:rsidRPr="00743E64" w:rsidR="00655127">
        <w:rPr>
          <w:rFonts w:ascii="Palatino Linotype" w:hAnsi="Palatino Linotype"/>
          <w:b w:val="0"/>
          <w:bCs/>
          <w:sz w:val="24"/>
          <w:szCs w:val="24"/>
        </w:rPr>
        <w:t>Atlas</w:t>
      </w:r>
      <w:r w:rsidRPr="00743E64" w:rsidR="00AD3452">
        <w:rPr>
          <w:rFonts w:ascii="Palatino Linotype" w:hAnsi="Palatino Linotype"/>
          <w:b w:val="0"/>
          <w:bCs/>
          <w:sz w:val="24"/>
          <w:szCs w:val="24"/>
        </w:rPr>
        <w:t xml:space="preserve"> contracts</w:t>
      </w:r>
      <w:r w:rsidRPr="00743E64">
        <w:rPr>
          <w:rFonts w:ascii="Palatino Linotype" w:hAnsi="Palatino Linotype"/>
          <w:b w:val="0"/>
          <w:bCs/>
          <w:sz w:val="24"/>
          <w:szCs w:val="24"/>
        </w:rPr>
        <w:t xml:space="preserve"> and all applicable supporting documentation to demonstrate </w:t>
      </w:r>
      <w:r w:rsidRPr="00743E64" w:rsidR="00FF6D20">
        <w:rPr>
          <w:rFonts w:ascii="Palatino Linotype" w:hAnsi="Palatino Linotype"/>
          <w:b w:val="0"/>
          <w:bCs/>
          <w:sz w:val="24"/>
          <w:szCs w:val="24"/>
        </w:rPr>
        <w:t>PCC</w:t>
      </w:r>
      <w:r w:rsidRPr="00743E64">
        <w:rPr>
          <w:rFonts w:ascii="Palatino Linotype" w:hAnsi="Palatino Linotype"/>
          <w:b w:val="0"/>
          <w:bCs/>
          <w:sz w:val="24"/>
          <w:szCs w:val="24"/>
        </w:rPr>
        <w:t xml:space="preserve"> classification in the appropriate compliance showings consistent with all applicable RPS program rules.</w:t>
      </w:r>
    </w:p>
    <w:p w:rsidRPr="00743E64" w:rsidR="00E144CE" w:rsidP="00E144CE" w:rsidRDefault="00E144CE" w14:paraId="125D3655" w14:textId="77777777">
      <w:pPr>
        <w:pStyle w:val="BodyText"/>
        <w:keepNext/>
        <w:spacing w:before="240" w:after="120" w:line="23" w:lineRule="atLeast"/>
        <w:rPr>
          <w:rFonts w:ascii="Palatino Linotype" w:hAnsi="Palatino Linotype"/>
          <w:bCs/>
          <w:sz w:val="24"/>
          <w:szCs w:val="24"/>
        </w:rPr>
      </w:pPr>
      <w:r w:rsidRPr="00743E64">
        <w:rPr>
          <w:rFonts w:ascii="Palatino Linotype" w:hAnsi="Palatino Linotype"/>
          <w:bCs/>
          <w:sz w:val="24"/>
          <w:szCs w:val="24"/>
        </w:rPr>
        <w:t xml:space="preserve">Consistency with Long-Term Contracting Requirement </w:t>
      </w:r>
    </w:p>
    <w:p w:rsidRPr="00743E64" w:rsidR="00E144CE" w:rsidP="00E144CE" w:rsidRDefault="00E144CE" w14:paraId="1CFA0537" w14:textId="21BD6B9B">
      <w:pPr>
        <w:pStyle w:val="BodyText"/>
        <w:spacing w:line="23" w:lineRule="atLeast"/>
        <w:rPr>
          <w:rFonts w:ascii="Palatino Linotype" w:hAnsi="Palatino Linotype"/>
          <w:b w:val="0"/>
          <w:sz w:val="24"/>
          <w:szCs w:val="24"/>
        </w:rPr>
      </w:pPr>
      <w:r w:rsidRPr="00743E64">
        <w:rPr>
          <w:rFonts w:ascii="Palatino Linotype" w:hAnsi="Palatino Linotype"/>
          <w:b w:val="0"/>
          <w:sz w:val="24"/>
          <w:szCs w:val="24"/>
        </w:rPr>
        <w:t xml:space="preserve">In D.12-06-038, the Commission established a long-term contracting requirement that must be met </w:t>
      </w:r>
      <w:proofErr w:type="gramStart"/>
      <w:r w:rsidRPr="00743E64">
        <w:rPr>
          <w:rFonts w:ascii="Palatino Linotype" w:hAnsi="Palatino Linotype"/>
          <w:b w:val="0"/>
          <w:sz w:val="24"/>
          <w:szCs w:val="24"/>
        </w:rPr>
        <w:t>in order for</w:t>
      </w:r>
      <w:proofErr w:type="gramEnd"/>
      <w:r w:rsidRPr="00743E64">
        <w:rPr>
          <w:rFonts w:ascii="Palatino Linotype" w:hAnsi="Palatino Linotype"/>
          <w:b w:val="0"/>
          <w:sz w:val="24"/>
          <w:szCs w:val="24"/>
        </w:rPr>
        <w:t xml:space="preserve"> retail sellers to count RPS procurement from contracts less than </w:t>
      </w:r>
      <w:r w:rsidRPr="00743E64" w:rsidR="00B95241">
        <w:rPr>
          <w:rFonts w:ascii="Palatino Linotype" w:hAnsi="Palatino Linotype"/>
          <w:b w:val="0"/>
          <w:sz w:val="24"/>
          <w:szCs w:val="24"/>
        </w:rPr>
        <w:lastRenderedPageBreak/>
        <w:t>ten</w:t>
      </w:r>
      <w:r w:rsidRPr="00743E64">
        <w:rPr>
          <w:rFonts w:ascii="Palatino Linotype" w:hAnsi="Palatino Linotype"/>
          <w:b w:val="0"/>
          <w:sz w:val="24"/>
          <w:szCs w:val="24"/>
        </w:rPr>
        <w:t xml:space="preserve"> years in duration for compliance with the RPS program.</w:t>
      </w:r>
      <w:r w:rsidRPr="00743E64">
        <w:rPr>
          <w:rFonts w:ascii="Palatino Linotype" w:hAnsi="Palatino Linotype"/>
          <w:b w:val="0"/>
          <w:sz w:val="24"/>
          <w:szCs w:val="24"/>
          <w:vertAlign w:val="superscript"/>
        </w:rPr>
        <w:footnoteReference w:id="19"/>
      </w:r>
      <w:r w:rsidRPr="00743E64">
        <w:rPr>
          <w:rFonts w:ascii="Palatino Linotype" w:hAnsi="Palatino Linotype"/>
          <w:b w:val="0"/>
          <w:sz w:val="24"/>
          <w:szCs w:val="24"/>
        </w:rPr>
        <w:t xml:space="preserve">  In D.17-06-026 the Commission implemented the new long-term contracting requirements established by SB 350.</w:t>
      </w:r>
      <w:r w:rsidRPr="00743E64">
        <w:rPr>
          <w:rStyle w:val="FootnoteReference"/>
          <w:rFonts w:ascii="Palatino Linotype" w:hAnsi="Palatino Linotype"/>
          <w:b w:val="0"/>
          <w:sz w:val="24"/>
          <w:szCs w:val="24"/>
        </w:rPr>
        <w:footnoteReference w:id="20"/>
      </w:r>
      <w:r w:rsidRPr="00743E64">
        <w:rPr>
          <w:rFonts w:ascii="Palatino Linotype" w:hAnsi="Palatino Linotype"/>
          <w:b w:val="0"/>
          <w:sz w:val="24"/>
          <w:szCs w:val="24"/>
        </w:rPr>
        <w:t xml:space="preserve">  </w:t>
      </w:r>
    </w:p>
    <w:p w:rsidRPr="00743E64" w:rsidR="00E144CE" w:rsidP="00E144CE" w:rsidRDefault="00E144CE" w14:paraId="3EA6DA82" w14:textId="77777777">
      <w:pPr>
        <w:spacing w:line="23" w:lineRule="atLeast"/>
        <w:rPr>
          <w:rFonts w:ascii="Palatino Linotype" w:hAnsi="Palatino Linotype"/>
          <w:sz w:val="24"/>
          <w:szCs w:val="24"/>
          <w:u w:val="single"/>
        </w:rPr>
      </w:pPr>
    </w:p>
    <w:p w:rsidRPr="00743E64" w:rsidR="00E144CE" w:rsidP="00E144CE" w:rsidRDefault="00E144CE" w14:paraId="3C7A00F9" w14:textId="35A54A4C">
      <w:pPr>
        <w:spacing w:line="23" w:lineRule="atLeast"/>
        <w:rPr>
          <w:rFonts w:ascii="Palatino Linotype" w:hAnsi="Palatino Linotype"/>
          <w:sz w:val="24"/>
          <w:szCs w:val="24"/>
        </w:rPr>
      </w:pPr>
      <w:r w:rsidRPr="00743E64">
        <w:rPr>
          <w:rFonts w:ascii="Palatino Linotype" w:hAnsi="Palatino Linotype"/>
          <w:sz w:val="24"/>
          <w:szCs w:val="24"/>
        </w:rPr>
        <w:t xml:space="preserve">The </w:t>
      </w:r>
      <w:r w:rsidRPr="00743E64" w:rsidR="00F06DEB">
        <w:rPr>
          <w:rFonts w:ascii="Palatino Linotype" w:hAnsi="Palatino Linotype"/>
          <w:sz w:val="24"/>
          <w:szCs w:val="24"/>
        </w:rPr>
        <w:t>PG&amp;E</w:t>
      </w:r>
      <w:r w:rsidRPr="00743E64" w:rsidR="00311EAD">
        <w:rPr>
          <w:rFonts w:ascii="Palatino Linotype" w:hAnsi="Palatino Linotype"/>
          <w:sz w:val="24"/>
          <w:szCs w:val="24"/>
        </w:rPr>
        <w:t xml:space="preserve"> MTR contracts each have</w:t>
      </w:r>
      <w:r w:rsidRPr="00743E64">
        <w:rPr>
          <w:rFonts w:ascii="Palatino Linotype" w:hAnsi="Palatino Linotype"/>
          <w:sz w:val="24"/>
          <w:szCs w:val="24"/>
        </w:rPr>
        <w:t xml:space="preserve"> a </w:t>
      </w:r>
      <w:r w:rsidRPr="00743E64" w:rsidR="00F21707">
        <w:rPr>
          <w:rFonts w:ascii="Palatino Linotype" w:hAnsi="Palatino Linotype"/>
          <w:sz w:val="24"/>
          <w:szCs w:val="24"/>
        </w:rPr>
        <w:t>15</w:t>
      </w:r>
      <w:r w:rsidRPr="00743E64">
        <w:rPr>
          <w:rFonts w:ascii="Palatino Linotype" w:hAnsi="Palatino Linotype"/>
          <w:sz w:val="24"/>
          <w:szCs w:val="24"/>
        </w:rPr>
        <w:t xml:space="preserve">-year term and </w:t>
      </w:r>
      <w:r w:rsidRPr="00743E64" w:rsidR="00395E25">
        <w:rPr>
          <w:rFonts w:ascii="Palatino Linotype" w:hAnsi="Palatino Linotype"/>
          <w:sz w:val="24"/>
          <w:szCs w:val="24"/>
        </w:rPr>
        <w:t>are</w:t>
      </w:r>
      <w:r w:rsidRPr="00743E64" w:rsidR="008B177D">
        <w:rPr>
          <w:rFonts w:ascii="Palatino Linotype" w:hAnsi="Palatino Linotype"/>
          <w:sz w:val="24"/>
          <w:szCs w:val="24"/>
        </w:rPr>
        <w:t xml:space="preserve"> for procurement beginning in </w:t>
      </w:r>
      <w:r w:rsidRPr="00743E64" w:rsidR="001A2E4C">
        <w:rPr>
          <w:rFonts w:ascii="Palatino Linotype" w:hAnsi="Palatino Linotype"/>
          <w:sz w:val="24"/>
          <w:szCs w:val="24"/>
        </w:rPr>
        <w:t xml:space="preserve">RPS </w:t>
      </w:r>
      <w:r w:rsidRPr="00743E64" w:rsidR="008B177D">
        <w:rPr>
          <w:rFonts w:ascii="Palatino Linotype" w:hAnsi="Palatino Linotype"/>
          <w:sz w:val="24"/>
          <w:szCs w:val="24"/>
        </w:rPr>
        <w:t>Compliance Period 2025-2027</w:t>
      </w:r>
      <w:r w:rsidRPr="00743E64">
        <w:rPr>
          <w:rFonts w:ascii="Palatino Linotype" w:hAnsi="Palatino Linotype"/>
          <w:sz w:val="24"/>
          <w:szCs w:val="24"/>
        </w:rPr>
        <w:t>.</w:t>
      </w:r>
      <w:r w:rsidRPr="00743E64" w:rsidR="008F1BB4">
        <w:rPr>
          <w:rFonts w:ascii="Palatino Linotype" w:hAnsi="Palatino Linotype"/>
          <w:sz w:val="24"/>
          <w:szCs w:val="24"/>
        </w:rPr>
        <w:t xml:space="preserve"> </w:t>
      </w:r>
      <w:r w:rsidRPr="00743E64">
        <w:rPr>
          <w:rFonts w:ascii="Palatino Linotype" w:hAnsi="Palatino Linotype"/>
          <w:sz w:val="24"/>
          <w:szCs w:val="24"/>
        </w:rPr>
        <w:t xml:space="preserve">Because </w:t>
      </w:r>
      <w:r w:rsidRPr="00743E64" w:rsidR="0008435A">
        <w:rPr>
          <w:rFonts w:ascii="Palatino Linotype" w:hAnsi="Palatino Linotype"/>
          <w:sz w:val="24"/>
          <w:szCs w:val="24"/>
        </w:rPr>
        <w:t xml:space="preserve">each MTR contract in </w:t>
      </w:r>
      <w:r w:rsidRPr="00743E64" w:rsidR="0085588A">
        <w:rPr>
          <w:rFonts w:ascii="Palatino Linotype" w:hAnsi="Palatino Linotype"/>
          <w:sz w:val="24"/>
          <w:szCs w:val="24"/>
        </w:rPr>
        <w:t>PG&amp;E</w:t>
      </w:r>
      <w:r w:rsidRPr="00743E64" w:rsidR="0008435A">
        <w:rPr>
          <w:rFonts w:ascii="Palatino Linotype" w:hAnsi="Palatino Linotype"/>
          <w:sz w:val="24"/>
          <w:szCs w:val="24"/>
        </w:rPr>
        <w:t xml:space="preserve"> AL </w:t>
      </w:r>
      <w:r w:rsidRPr="00743E64" w:rsidR="0085588A">
        <w:rPr>
          <w:rFonts w:ascii="Palatino Linotype" w:hAnsi="Palatino Linotype"/>
          <w:sz w:val="24"/>
          <w:szCs w:val="24"/>
        </w:rPr>
        <w:t>7356</w:t>
      </w:r>
      <w:r w:rsidRPr="00743E64" w:rsidR="0008435A">
        <w:rPr>
          <w:rFonts w:ascii="Palatino Linotype" w:hAnsi="Palatino Linotype"/>
          <w:sz w:val="24"/>
          <w:szCs w:val="24"/>
        </w:rPr>
        <w:t>-E</w:t>
      </w:r>
      <w:r w:rsidRPr="00743E64">
        <w:rPr>
          <w:rFonts w:ascii="Palatino Linotype" w:hAnsi="Palatino Linotype"/>
          <w:sz w:val="24"/>
          <w:szCs w:val="24"/>
        </w:rPr>
        <w:t xml:space="preserve"> is greater than </w:t>
      </w:r>
      <w:r w:rsidRPr="00743E64" w:rsidR="00F21707">
        <w:rPr>
          <w:rFonts w:ascii="Palatino Linotype" w:hAnsi="Palatino Linotype"/>
          <w:sz w:val="24"/>
          <w:szCs w:val="24"/>
        </w:rPr>
        <w:t>ten</w:t>
      </w:r>
      <w:r w:rsidRPr="00743E64">
        <w:rPr>
          <w:rFonts w:ascii="Palatino Linotype" w:hAnsi="Palatino Linotype"/>
          <w:sz w:val="24"/>
          <w:szCs w:val="24"/>
        </w:rPr>
        <w:t xml:space="preserve"> years in length, </w:t>
      </w:r>
      <w:r w:rsidRPr="00743E64" w:rsidR="001F63EC">
        <w:rPr>
          <w:rFonts w:ascii="Palatino Linotype" w:hAnsi="Palatino Linotype"/>
          <w:sz w:val="24"/>
          <w:szCs w:val="24"/>
        </w:rPr>
        <w:t xml:space="preserve">RPS-eligible </w:t>
      </w:r>
      <w:r w:rsidRPr="00743E64">
        <w:rPr>
          <w:rFonts w:ascii="Palatino Linotype" w:hAnsi="Palatino Linotype"/>
          <w:sz w:val="24"/>
          <w:szCs w:val="24"/>
        </w:rPr>
        <w:t xml:space="preserve">procurement pursuant to the </w:t>
      </w:r>
      <w:r w:rsidRPr="00743E64" w:rsidR="00BE5752">
        <w:rPr>
          <w:rFonts w:ascii="Palatino Linotype" w:hAnsi="Palatino Linotype"/>
          <w:sz w:val="24"/>
          <w:szCs w:val="24"/>
        </w:rPr>
        <w:t>contracts</w:t>
      </w:r>
      <w:r w:rsidRPr="00743E64">
        <w:rPr>
          <w:rFonts w:ascii="Palatino Linotype" w:hAnsi="Palatino Linotype"/>
          <w:sz w:val="24"/>
          <w:szCs w:val="24"/>
        </w:rPr>
        <w:t xml:space="preserve"> will contribute to </w:t>
      </w:r>
      <w:r w:rsidRPr="00743E64" w:rsidR="0085588A">
        <w:rPr>
          <w:rFonts w:ascii="Palatino Linotype" w:hAnsi="Palatino Linotype"/>
          <w:sz w:val="24"/>
          <w:szCs w:val="24"/>
        </w:rPr>
        <w:t>PG&amp;E</w:t>
      </w:r>
      <w:r w:rsidRPr="00743E64">
        <w:rPr>
          <w:rFonts w:ascii="Palatino Linotype" w:hAnsi="Palatino Linotype"/>
          <w:sz w:val="24"/>
          <w:szCs w:val="24"/>
        </w:rPr>
        <w:t xml:space="preserve">’s long-term contacting requirement established in D.17-06-26 beginning in </w:t>
      </w:r>
      <w:r w:rsidRPr="00743E64" w:rsidR="001A2E4C">
        <w:rPr>
          <w:rFonts w:ascii="Palatino Linotype" w:hAnsi="Palatino Linotype"/>
          <w:sz w:val="24"/>
          <w:szCs w:val="24"/>
        </w:rPr>
        <w:t xml:space="preserve">RPS </w:t>
      </w:r>
      <w:r w:rsidRPr="00743E64">
        <w:rPr>
          <w:rFonts w:ascii="Palatino Linotype" w:hAnsi="Palatino Linotype"/>
          <w:sz w:val="24"/>
          <w:szCs w:val="24"/>
        </w:rPr>
        <w:t>Compliance Period 20</w:t>
      </w:r>
      <w:r w:rsidRPr="00743E64" w:rsidR="00BE5752">
        <w:rPr>
          <w:rFonts w:ascii="Palatino Linotype" w:hAnsi="Palatino Linotype"/>
          <w:sz w:val="24"/>
          <w:szCs w:val="24"/>
        </w:rPr>
        <w:t>25-2027</w:t>
      </w:r>
      <w:r w:rsidRPr="00743E64">
        <w:rPr>
          <w:rFonts w:ascii="Palatino Linotype" w:hAnsi="Palatino Linotype"/>
          <w:sz w:val="24"/>
          <w:szCs w:val="24"/>
        </w:rPr>
        <w:t>.</w:t>
      </w:r>
    </w:p>
    <w:p w:rsidRPr="00743E64" w:rsidR="00E144CE" w:rsidP="00E144CE" w:rsidRDefault="00E144CE" w14:paraId="2F8430AB" w14:textId="77777777">
      <w:pPr>
        <w:spacing w:line="23" w:lineRule="atLeast"/>
        <w:rPr>
          <w:rFonts w:ascii="Palatino Linotype" w:hAnsi="Palatino Linotype"/>
          <w:color w:val="4472C4" w:themeColor="accent1"/>
          <w:sz w:val="24"/>
          <w:szCs w:val="24"/>
        </w:rPr>
      </w:pPr>
    </w:p>
    <w:p w:rsidRPr="00743E64" w:rsidR="00E144CE" w:rsidP="00E144CE" w:rsidRDefault="00E144CE" w14:paraId="7D4BCC49" w14:textId="77777777">
      <w:pPr>
        <w:spacing w:after="120"/>
        <w:rPr>
          <w:rFonts w:ascii="Palatino Linotype" w:hAnsi="Palatino Linotype"/>
          <w:b/>
          <w:sz w:val="24"/>
          <w:szCs w:val="24"/>
        </w:rPr>
      </w:pPr>
      <w:bookmarkStart w:name="_Hlk525207788" w:id="5"/>
      <w:bookmarkStart w:name="_Hlk525207705" w:id="6"/>
      <w:r w:rsidRPr="00743E64">
        <w:rPr>
          <w:rFonts w:ascii="Palatino Linotype" w:hAnsi="Palatino Linotype"/>
          <w:b/>
          <w:sz w:val="24"/>
          <w:szCs w:val="24"/>
        </w:rPr>
        <w:t>Disadvantaged Community Goals</w:t>
      </w:r>
    </w:p>
    <w:bookmarkEnd w:id="5"/>
    <w:p w:rsidRPr="00743E64" w:rsidR="00E144CE" w:rsidP="00E144CE" w:rsidRDefault="00E144CE" w14:paraId="5FE90740" w14:textId="3BED7B42">
      <w:pPr>
        <w:rPr>
          <w:rFonts w:ascii="Palatino Linotype" w:hAnsi="Palatino Linotype"/>
          <w:sz w:val="24"/>
          <w:szCs w:val="24"/>
        </w:rPr>
      </w:pPr>
      <w:r w:rsidRPr="00743E64">
        <w:rPr>
          <w:rFonts w:ascii="Palatino Linotype" w:hAnsi="Palatino Linotype"/>
          <w:sz w:val="24"/>
          <w:szCs w:val="24"/>
        </w:rPr>
        <w:t xml:space="preserve">Senate Bill 350 (de León, Chapter 547, Stats. 2015) and SB 2 (1X) (Simitian, Stats. 2011, ch.1) contain disadvantaged community goals that are cross-cutting and therefore </w:t>
      </w:r>
      <w:r w:rsidRPr="00743E64" w:rsidR="00957FB0">
        <w:rPr>
          <w:rFonts w:ascii="Palatino Linotype" w:hAnsi="Palatino Linotype"/>
          <w:sz w:val="24"/>
          <w:szCs w:val="24"/>
        </w:rPr>
        <w:t>are</w:t>
      </w:r>
      <w:r w:rsidRPr="00743E64">
        <w:rPr>
          <w:rFonts w:ascii="Palatino Linotype" w:hAnsi="Palatino Linotype"/>
          <w:sz w:val="24"/>
          <w:szCs w:val="24"/>
        </w:rPr>
        <w:t xml:space="preserve"> be integrated into all policy areas. The Commission </w:t>
      </w:r>
      <w:r w:rsidRPr="00743E64" w:rsidR="00147FF3">
        <w:rPr>
          <w:rFonts w:ascii="Palatino Linotype" w:hAnsi="Palatino Linotype"/>
          <w:sz w:val="24"/>
          <w:szCs w:val="24"/>
        </w:rPr>
        <w:t xml:space="preserve">typically </w:t>
      </w:r>
      <w:r w:rsidRPr="00743E64">
        <w:rPr>
          <w:rFonts w:ascii="Palatino Linotype" w:hAnsi="Palatino Linotype"/>
          <w:sz w:val="24"/>
          <w:szCs w:val="24"/>
        </w:rPr>
        <w:t>analyz</w:t>
      </w:r>
      <w:r w:rsidRPr="00743E64" w:rsidR="008F49D8">
        <w:rPr>
          <w:rFonts w:ascii="Palatino Linotype" w:hAnsi="Palatino Linotype"/>
          <w:sz w:val="24"/>
          <w:szCs w:val="24"/>
        </w:rPr>
        <w:t>es</w:t>
      </w:r>
      <w:r w:rsidRPr="00743E64">
        <w:rPr>
          <w:rFonts w:ascii="Palatino Linotype" w:hAnsi="Palatino Linotype"/>
          <w:sz w:val="24"/>
          <w:szCs w:val="24"/>
        </w:rPr>
        <w:t xml:space="preserve"> </w:t>
      </w:r>
      <w:r w:rsidRPr="00743E64" w:rsidR="003C5DBA">
        <w:rPr>
          <w:rFonts w:ascii="Palatino Linotype" w:hAnsi="Palatino Linotype"/>
          <w:sz w:val="24"/>
          <w:szCs w:val="24"/>
        </w:rPr>
        <w:t xml:space="preserve">California </w:t>
      </w:r>
      <w:r w:rsidRPr="00743E64" w:rsidR="004C1EFF">
        <w:rPr>
          <w:rFonts w:ascii="Palatino Linotype" w:hAnsi="Palatino Linotype"/>
          <w:sz w:val="24"/>
          <w:szCs w:val="24"/>
        </w:rPr>
        <w:t>project locations</w:t>
      </w:r>
      <w:r w:rsidRPr="00743E64">
        <w:rPr>
          <w:rFonts w:ascii="Palatino Linotype" w:hAnsi="Palatino Linotype"/>
          <w:sz w:val="24"/>
          <w:szCs w:val="24"/>
        </w:rPr>
        <w:t xml:space="preserve"> </w:t>
      </w:r>
      <w:r w:rsidRPr="00743E64" w:rsidR="00C67AF5">
        <w:rPr>
          <w:rFonts w:ascii="Palatino Linotype" w:hAnsi="Palatino Linotype"/>
          <w:sz w:val="24"/>
          <w:szCs w:val="24"/>
        </w:rPr>
        <w:t>relative</w:t>
      </w:r>
      <w:r w:rsidRPr="00743E64">
        <w:rPr>
          <w:rFonts w:ascii="Palatino Linotype" w:hAnsi="Palatino Linotype"/>
          <w:sz w:val="24"/>
          <w:szCs w:val="24"/>
        </w:rPr>
        <w:t xml:space="preserve"> to such communities</w:t>
      </w:r>
      <w:r w:rsidRPr="00743E64" w:rsidR="00D83697">
        <w:rPr>
          <w:rFonts w:ascii="Palatino Linotype" w:hAnsi="Palatino Linotype"/>
          <w:sz w:val="24"/>
          <w:szCs w:val="24"/>
        </w:rPr>
        <w:t xml:space="preserve"> using the </w:t>
      </w:r>
      <w:proofErr w:type="spellStart"/>
      <w:r w:rsidRPr="00743E64" w:rsidR="00D83697">
        <w:rPr>
          <w:rFonts w:ascii="Palatino Linotype" w:hAnsi="Palatino Linotype"/>
          <w:sz w:val="24"/>
          <w:szCs w:val="24"/>
        </w:rPr>
        <w:t>CalEnviroScreen</w:t>
      </w:r>
      <w:proofErr w:type="spellEnd"/>
      <w:r w:rsidRPr="00743E64" w:rsidR="00D83697">
        <w:rPr>
          <w:rFonts w:ascii="Palatino Linotype" w:hAnsi="Palatino Linotype"/>
          <w:sz w:val="24"/>
          <w:szCs w:val="24"/>
        </w:rPr>
        <w:t xml:space="preserve"> tool</w:t>
      </w:r>
      <w:r w:rsidRPr="00743E64" w:rsidR="004C1EFF">
        <w:rPr>
          <w:rFonts w:ascii="Palatino Linotype" w:hAnsi="Palatino Linotype"/>
          <w:sz w:val="24"/>
          <w:szCs w:val="24"/>
        </w:rPr>
        <w:t>.</w:t>
      </w:r>
      <w:r w:rsidRPr="00743E64" w:rsidR="00952FE4">
        <w:rPr>
          <w:rStyle w:val="FootnoteReference"/>
          <w:rFonts w:ascii="Palatino Linotype" w:hAnsi="Palatino Linotype"/>
          <w:sz w:val="24"/>
          <w:szCs w:val="24"/>
        </w:rPr>
        <w:footnoteReference w:id="21"/>
      </w:r>
      <w:r w:rsidRPr="00743E64" w:rsidR="00D83697">
        <w:rPr>
          <w:rStyle w:val="FootnoteReference"/>
          <w:rFonts w:ascii="Palatino Linotype" w:hAnsi="Palatino Linotype"/>
          <w:sz w:val="24"/>
          <w:szCs w:val="24"/>
        </w:rPr>
        <w:t xml:space="preserve"> </w:t>
      </w:r>
      <w:r w:rsidRPr="00743E64" w:rsidR="000C4EF9">
        <w:rPr>
          <w:rFonts w:ascii="Palatino Linotype" w:hAnsi="Palatino Linotype"/>
          <w:sz w:val="24"/>
          <w:szCs w:val="24"/>
        </w:rPr>
        <w:t xml:space="preserve"> However, on a federal scale, t</w:t>
      </w:r>
      <w:r w:rsidRPr="00743E64" w:rsidR="003C5DBA">
        <w:rPr>
          <w:rFonts w:ascii="Palatino Linotype" w:hAnsi="Palatino Linotype"/>
          <w:sz w:val="24"/>
          <w:szCs w:val="24"/>
        </w:rPr>
        <w:t xml:space="preserve">he </w:t>
      </w:r>
      <w:r w:rsidRPr="00743E64" w:rsidR="000C4EF9">
        <w:rPr>
          <w:rFonts w:ascii="Palatino Linotype" w:hAnsi="Palatino Linotype"/>
          <w:sz w:val="24"/>
          <w:szCs w:val="24"/>
        </w:rPr>
        <w:t>Climate and Economic Justice Screening Tool (CEJST)</w:t>
      </w:r>
      <w:r w:rsidRPr="00743E64" w:rsidR="000B3C03">
        <w:rPr>
          <w:rFonts w:ascii="Palatino Linotype" w:hAnsi="Palatino Linotype"/>
          <w:sz w:val="24"/>
          <w:szCs w:val="24"/>
        </w:rPr>
        <w:t xml:space="preserve"> can and has been used by </w:t>
      </w:r>
      <w:r w:rsidRPr="00743E64" w:rsidR="00651DA8">
        <w:rPr>
          <w:rFonts w:ascii="Palatino Linotype" w:hAnsi="Palatino Linotype"/>
          <w:sz w:val="24"/>
          <w:szCs w:val="24"/>
        </w:rPr>
        <w:t xml:space="preserve">Federal </w:t>
      </w:r>
      <w:r w:rsidRPr="00743E64" w:rsidR="000B3C03">
        <w:rPr>
          <w:rFonts w:ascii="Palatino Linotype" w:hAnsi="Palatino Linotype"/>
          <w:sz w:val="24"/>
          <w:szCs w:val="24"/>
        </w:rPr>
        <w:t>programs such as the Justice40 Initiative to identify disadvantaged communities that are marginalized by underinvestment and overburdened by pollution.</w:t>
      </w:r>
      <w:r w:rsidRPr="00743E64" w:rsidR="001C372A">
        <w:rPr>
          <w:rStyle w:val="FootnoteReference"/>
          <w:rFonts w:ascii="Palatino Linotype" w:hAnsi="Palatino Linotype"/>
          <w:sz w:val="24"/>
          <w:szCs w:val="24"/>
        </w:rPr>
        <w:footnoteReference w:id="22"/>
      </w:r>
      <w:r w:rsidRPr="00743E64" w:rsidR="000B3C03">
        <w:rPr>
          <w:rFonts w:ascii="Palatino Linotype" w:hAnsi="Palatino Linotype"/>
          <w:sz w:val="24"/>
          <w:szCs w:val="24"/>
        </w:rPr>
        <w:t xml:space="preserve"> </w:t>
      </w:r>
    </w:p>
    <w:p w:rsidRPr="00743E64" w:rsidR="00E144CE" w:rsidP="00E144CE" w:rsidRDefault="00E144CE" w14:paraId="09C81079" w14:textId="77777777">
      <w:pPr>
        <w:rPr>
          <w:rFonts w:ascii="Palatino Linotype" w:hAnsi="Palatino Linotype"/>
          <w:sz w:val="24"/>
          <w:szCs w:val="24"/>
        </w:rPr>
      </w:pPr>
    </w:p>
    <w:p w:rsidRPr="00743E64" w:rsidR="00B44909" w:rsidP="00E144CE" w:rsidRDefault="0030654B" w14:paraId="5CBD03EF" w14:textId="04DF52EF">
      <w:pPr>
        <w:rPr>
          <w:rFonts w:ascii="Palatino Linotype" w:hAnsi="Palatino Linotype"/>
          <w:sz w:val="24"/>
          <w:szCs w:val="24"/>
        </w:rPr>
      </w:pPr>
      <w:bookmarkStart w:name="_Hlk525813903" w:id="7"/>
      <w:r w:rsidRPr="00743E64">
        <w:rPr>
          <w:rFonts w:ascii="Palatino Linotype" w:hAnsi="Palatino Linotype"/>
          <w:sz w:val="24"/>
          <w:szCs w:val="24"/>
        </w:rPr>
        <w:t>PG&amp;E</w:t>
      </w:r>
      <w:r w:rsidRPr="00743E64" w:rsidR="00C04B74">
        <w:rPr>
          <w:rFonts w:ascii="Palatino Linotype" w:hAnsi="Palatino Linotype"/>
          <w:sz w:val="24"/>
          <w:szCs w:val="24"/>
        </w:rPr>
        <w:t xml:space="preserve"> noted in AL </w:t>
      </w:r>
      <w:r w:rsidRPr="00743E64" w:rsidR="00F914EE">
        <w:rPr>
          <w:rFonts w:ascii="Palatino Linotype" w:hAnsi="Palatino Linotype"/>
          <w:sz w:val="24"/>
          <w:szCs w:val="24"/>
        </w:rPr>
        <w:t>7</w:t>
      </w:r>
      <w:r w:rsidRPr="00743E64">
        <w:rPr>
          <w:rFonts w:ascii="Palatino Linotype" w:hAnsi="Palatino Linotype"/>
          <w:sz w:val="24"/>
          <w:szCs w:val="24"/>
        </w:rPr>
        <w:t>3</w:t>
      </w:r>
      <w:r w:rsidRPr="00743E64" w:rsidR="00F914EE">
        <w:rPr>
          <w:rFonts w:ascii="Palatino Linotype" w:hAnsi="Palatino Linotype"/>
          <w:sz w:val="24"/>
          <w:szCs w:val="24"/>
        </w:rPr>
        <w:t>5</w:t>
      </w:r>
      <w:r w:rsidRPr="00743E64">
        <w:rPr>
          <w:rFonts w:ascii="Palatino Linotype" w:hAnsi="Palatino Linotype"/>
          <w:sz w:val="24"/>
          <w:szCs w:val="24"/>
        </w:rPr>
        <w:t>6</w:t>
      </w:r>
      <w:r w:rsidRPr="00743E64" w:rsidR="00C04B74">
        <w:rPr>
          <w:rFonts w:ascii="Palatino Linotype" w:hAnsi="Palatino Linotype"/>
          <w:sz w:val="24"/>
          <w:szCs w:val="24"/>
        </w:rPr>
        <w:t xml:space="preserve">-E that consistent with Public Utilities Code Section 454.52(a)(1)(I), </w:t>
      </w:r>
      <w:r w:rsidRPr="00743E64">
        <w:rPr>
          <w:rFonts w:ascii="Palatino Linotype" w:hAnsi="Palatino Linotype"/>
          <w:sz w:val="24"/>
          <w:szCs w:val="24"/>
        </w:rPr>
        <w:t>PG&amp;</w:t>
      </w:r>
      <w:r w:rsidRPr="00743E64" w:rsidR="00C04B74">
        <w:rPr>
          <w:rFonts w:ascii="Palatino Linotype" w:hAnsi="Palatino Linotype"/>
          <w:sz w:val="24"/>
          <w:szCs w:val="24"/>
        </w:rPr>
        <w:t xml:space="preserve">E placed early priority on projects located in disadvantaged communities and expressed a preference for energy resources located in such communities as part of its solicitation process. </w:t>
      </w:r>
      <w:r w:rsidRPr="00743E64" w:rsidR="00C67AF5">
        <w:rPr>
          <w:rFonts w:ascii="Palatino Linotype" w:hAnsi="Palatino Linotype"/>
          <w:sz w:val="24"/>
          <w:szCs w:val="24"/>
        </w:rPr>
        <w:t xml:space="preserve">The </w:t>
      </w:r>
      <w:r w:rsidRPr="00743E64" w:rsidR="00354430">
        <w:rPr>
          <w:rFonts w:ascii="Palatino Linotype" w:hAnsi="Palatino Linotype"/>
          <w:sz w:val="24"/>
          <w:szCs w:val="24"/>
        </w:rPr>
        <w:t>Lockhart projects</w:t>
      </w:r>
      <w:r w:rsidRPr="00743E64" w:rsidR="007A7838">
        <w:rPr>
          <w:rFonts w:ascii="Palatino Linotype" w:hAnsi="Palatino Linotype"/>
          <w:sz w:val="24"/>
          <w:szCs w:val="24"/>
        </w:rPr>
        <w:t xml:space="preserve"> </w:t>
      </w:r>
      <w:proofErr w:type="gramStart"/>
      <w:r w:rsidRPr="00743E64" w:rsidR="007A7838">
        <w:rPr>
          <w:rFonts w:ascii="Palatino Linotype" w:hAnsi="Palatino Linotype"/>
          <w:sz w:val="24"/>
          <w:szCs w:val="24"/>
        </w:rPr>
        <w:t>are located in</w:t>
      </w:r>
      <w:proofErr w:type="gramEnd"/>
      <w:r w:rsidRPr="00743E64" w:rsidR="007A7838">
        <w:rPr>
          <w:rFonts w:ascii="Palatino Linotype" w:hAnsi="Palatino Linotype"/>
          <w:sz w:val="24"/>
          <w:szCs w:val="24"/>
        </w:rPr>
        <w:t xml:space="preserve"> </w:t>
      </w:r>
      <w:r w:rsidRPr="00743E64" w:rsidR="00354430">
        <w:rPr>
          <w:rFonts w:ascii="Palatino Linotype" w:hAnsi="Palatino Linotype"/>
          <w:sz w:val="24"/>
          <w:szCs w:val="24"/>
        </w:rPr>
        <w:t>Hinkley, California</w:t>
      </w:r>
      <w:r w:rsidRPr="00743E64" w:rsidR="007A7838">
        <w:rPr>
          <w:rFonts w:ascii="Palatino Linotype" w:hAnsi="Palatino Linotype"/>
          <w:sz w:val="24"/>
          <w:szCs w:val="24"/>
        </w:rPr>
        <w:t xml:space="preserve">, and the Atlas projects are located in </w:t>
      </w:r>
      <w:r w:rsidRPr="00743E64" w:rsidR="00BD4067">
        <w:rPr>
          <w:rFonts w:ascii="Palatino Linotype" w:hAnsi="Palatino Linotype"/>
          <w:sz w:val="24"/>
          <w:szCs w:val="24"/>
        </w:rPr>
        <w:t>La Paz,</w:t>
      </w:r>
      <w:r w:rsidRPr="00743E64" w:rsidR="007A7838">
        <w:rPr>
          <w:rFonts w:ascii="Palatino Linotype" w:hAnsi="Palatino Linotype"/>
          <w:sz w:val="24"/>
          <w:szCs w:val="24"/>
        </w:rPr>
        <w:t xml:space="preserve"> Arizona. </w:t>
      </w:r>
    </w:p>
    <w:p w:rsidRPr="00743E64" w:rsidR="00B44909" w:rsidP="00E144CE" w:rsidRDefault="00B44909" w14:paraId="2B35AB43" w14:textId="77777777">
      <w:pPr>
        <w:rPr>
          <w:rFonts w:ascii="Palatino Linotype" w:hAnsi="Palatino Linotype"/>
          <w:sz w:val="24"/>
          <w:szCs w:val="24"/>
        </w:rPr>
      </w:pPr>
    </w:p>
    <w:p w:rsidRPr="00743E64" w:rsidR="005034CB" w:rsidP="00E144CE" w:rsidRDefault="3225540A" w14:paraId="0C682598" w14:textId="1AA0011F">
      <w:pPr>
        <w:rPr>
          <w:rFonts w:ascii="Palatino Linotype" w:hAnsi="Palatino Linotype"/>
          <w:sz w:val="24"/>
          <w:szCs w:val="24"/>
        </w:rPr>
      </w:pPr>
      <w:r w:rsidRPr="00743E64">
        <w:rPr>
          <w:rFonts w:ascii="Palatino Linotype" w:hAnsi="Palatino Linotype"/>
          <w:sz w:val="24"/>
          <w:szCs w:val="24"/>
        </w:rPr>
        <w:lastRenderedPageBreak/>
        <w:t xml:space="preserve">The </w:t>
      </w:r>
      <w:r w:rsidRPr="00743E64" w:rsidR="7B75D50C">
        <w:rPr>
          <w:rFonts w:ascii="Palatino Linotype" w:hAnsi="Palatino Linotype"/>
          <w:sz w:val="24"/>
          <w:szCs w:val="24"/>
        </w:rPr>
        <w:t>Lockhart</w:t>
      </w:r>
      <w:r w:rsidRPr="00743E64">
        <w:rPr>
          <w:rFonts w:ascii="Palatino Linotype" w:hAnsi="Palatino Linotype"/>
          <w:sz w:val="24"/>
          <w:szCs w:val="24"/>
        </w:rPr>
        <w:t xml:space="preserve"> projec</w:t>
      </w:r>
      <w:r w:rsidRPr="00743E64" w:rsidR="16710615">
        <w:rPr>
          <w:rFonts w:ascii="Palatino Linotype" w:hAnsi="Palatino Linotype"/>
          <w:sz w:val="24"/>
          <w:szCs w:val="24"/>
        </w:rPr>
        <w:t xml:space="preserve">ts are located </w:t>
      </w:r>
      <w:r w:rsidRPr="00743E64" w:rsidR="093C83BB">
        <w:rPr>
          <w:rFonts w:ascii="Palatino Linotype" w:hAnsi="Palatino Linotype"/>
          <w:sz w:val="24"/>
          <w:szCs w:val="24"/>
        </w:rPr>
        <w:t xml:space="preserve">roughly </w:t>
      </w:r>
      <w:r w:rsidRPr="00743E64" w:rsidR="0A09CF27">
        <w:rPr>
          <w:rFonts w:ascii="Palatino Linotype" w:hAnsi="Palatino Linotype"/>
          <w:sz w:val="24"/>
          <w:szCs w:val="24"/>
        </w:rPr>
        <w:t>17</w:t>
      </w:r>
      <w:r w:rsidRPr="00743E64" w:rsidR="16710615">
        <w:rPr>
          <w:rFonts w:ascii="Palatino Linotype" w:hAnsi="Palatino Linotype"/>
          <w:sz w:val="24"/>
          <w:szCs w:val="24"/>
        </w:rPr>
        <w:t xml:space="preserve"> miles away from the </w:t>
      </w:r>
      <w:r w:rsidRPr="00743E64" w:rsidR="26A6D0C0">
        <w:rPr>
          <w:rFonts w:ascii="Palatino Linotype" w:hAnsi="Palatino Linotype"/>
          <w:sz w:val="24"/>
          <w:szCs w:val="24"/>
        </w:rPr>
        <w:t xml:space="preserve">nearest </w:t>
      </w:r>
      <w:r w:rsidRPr="00743E64" w:rsidR="16710615">
        <w:rPr>
          <w:rFonts w:ascii="Palatino Linotype" w:hAnsi="Palatino Linotype"/>
          <w:sz w:val="24"/>
          <w:szCs w:val="24"/>
        </w:rPr>
        <w:t xml:space="preserve">town of </w:t>
      </w:r>
      <w:r w:rsidRPr="00743E64" w:rsidR="7B75D50C">
        <w:rPr>
          <w:rFonts w:ascii="Palatino Linotype" w:hAnsi="Palatino Linotype"/>
          <w:sz w:val="24"/>
          <w:szCs w:val="24"/>
        </w:rPr>
        <w:t>Hinkley</w:t>
      </w:r>
      <w:r w:rsidRPr="00743E64" w:rsidR="16710615">
        <w:rPr>
          <w:rFonts w:ascii="Palatino Linotype" w:hAnsi="Palatino Linotype"/>
          <w:sz w:val="24"/>
          <w:szCs w:val="24"/>
        </w:rPr>
        <w:t xml:space="preserve">, </w:t>
      </w:r>
      <w:r w:rsidRPr="00743E64" w:rsidR="48CFB809">
        <w:rPr>
          <w:rFonts w:ascii="Palatino Linotype" w:hAnsi="Palatino Linotype"/>
          <w:sz w:val="24"/>
          <w:szCs w:val="24"/>
        </w:rPr>
        <w:t xml:space="preserve">California, </w:t>
      </w:r>
      <w:r w:rsidRPr="00743E64" w:rsidR="16710615">
        <w:rPr>
          <w:rFonts w:ascii="Palatino Linotype" w:hAnsi="Palatino Linotype"/>
          <w:sz w:val="24"/>
          <w:szCs w:val="24"/>
        </w:rPr>
        <w:t>which ha</w:t>
      </w:r>
      <w:r w:rsidRPr="00743E64" w:rsidR="5E840EBB">
        <w:rPr>
          <w:rFonts w:ascii="Palatino Linotype" w:hAnsi="Palatino Linotype"/>
          <w:sz w:val="24"/>
          <w:szCs w:val="24"/>
        </w:rPr>
        <w:t>d</w:t>
      </w:r>
      <w:r w:rsidRPr="00743E64" w:rsidR="16710615">
        <w:rPr>
          <w:rFonts w:ascii="Palatino Linotype" w:hAnsi="Palatino Linotype"/>
          <w:sz w:val="24"/>
          <w:szCs w:val="24"/>
        </w:rPr>
        <w:t xml:space="preserve"> a population of about </w:t>
      </w:r>
      <w:r w:rsidRPr="00743E64" w:rsidR="013923AD">
        <w:rPr>
          <w:rFonts w:ascii="Palatino Linotype" w:hAnsi="Palatino Linotype"/>
          <w:sz w:val="24"/>
          <w:szCs w:val="24"/>
        </w:rPr>
        <w:t>1,</w:t>
      </w:r>
      <w:r w:rsidRPr="00743E64" w:rsidR="5E840EBB">
        <w:rPr>
          <w:rFonts w:ascii="Palatino Linotype" w:hAnsi="Palatino Linotype"/>
          <w:sz w:val="24"/>
          <w:szCs w:val="24"/>
        </w:rPr>
        <w:t>692</w:t>
      </w:r>
      <w:r w:rsidRPr="00743E64" w:rsidR="013923AD">
        <w:rPr>
          <w:rFonts w:ascii="Palatino Linotype" w:hAnsi="Palatino Linotype"/>
          <w:sz w:val="24"/>
          <w:szCs w:val="24"/>
        </w:rPr>
        <w:t xml:space="preserve"> people, </w:t>
      </w:r>
      <w:r w:rsidRPr="00743E64" w:rsidR="1F83CB83">
        <w:rPr>
          <w:rFonts w:ascii="Palatino Linotype" w:hAnsi="Palatino Linotype"/>
          <w:sz w:val="24"/>
          <w:szCs w:val="24"/>
        </w:rPr>
        <w:t>according to</w:t>
      </w:r>
      <w:r w:rsidRPr="00743E64" w:rsidR="5E840EBB">
        <w:rPr>
          <w:rFonts w:ascii="Palatino Linotype" w:hAnsi="Palatino Linotype"/>
          <w:sz w:val="24"/>
          <w:szCs w:val="24"/>
        </w:rPr>
        <w:t xml:space="preserve"> 2010</w:t>
      </w:r>
      <w:r w:rsidRPr="00743E64" w:rsidR="1F83CB83">
        <w:rPr>
          <w:rFonts w:ascii="Palatino Linotype" w:hAnsi="Palatino Linotype"/>
          <w:sz w:val="24"/>
          <w:szCs w:val="24"/>
        </w:rPr>
        <w:t xml:space="preserve"> </w:t>
      </w:r>
      <w:r w:rsidRPr="00743E64" w:rsidR="3A8FF5F0">
        <w:rPr>
          <w:rFonts w:ascii="Palatino Linotype" w:hAnsi="Palatino Linotype"/>
          <w:sz w:val="24"/>
          <w:szCs w:val="24"/>
        </w:rPr>
        <w:t>census data</w:t>
      </w:r>
      <w:r w:rsidRPr="00743E64" w:rsidR="1F83CB83">
        <w:rPr>
          <w:rFonts w:ascii="Palatino Linotype" w:hAnsi="Palatino Linotype"/>
          <w:sz w:val="24"/>
          <w:szCs w:val="24"/>
        </w:rPr>
        <w:t>.</w:t>
      </w:r>
      <w:r w:rsidRPr="00743E64" w:rsidR="00332DDD">
        <w:rPr>
          <w:rStyle w:val="FootnoteReference"/>
          <w:rFonts w:ascii="Palatino Linotype" w:hAnsi="Palatino Linotype"/>
          <w:sz w:val="24"/>
          <w:szCs w:val="24"/>
        </w:rPr>
        <w:footnoteReference w:id="23"/>
      </w:r>
      <w:r w:rsidRPr="00743E64" w:rsidR="1F83CB83">
        <w:rPr>
          <w:rFonts w:ascii="Palatino Linotype" w:hAnsi="Palatino Linotype"/>
          <w:sz w:val="24"/>
          <w:szCs w:val="24"/>
        </w:rPr>
        <w:t xml:space="preserve"> </w:t>
      </w:r>
      <w:r w:rsidRPr="00743E64" w:rsidR="13E390A5">
        <w:rPr>
          <w:rFonts w:ascii="Palatino Linotype" w:hAnsi="Palatino Linotype"/>
          <w:sz w:val="24"/>
          <w:szCs w:val="24"/>
        </w:rPr>
        <w:t xml:space="preserve">Although PG&amp;E noted in a Confidential Data Request </w:t>
      </w:r>
      <w:r w:rsidRPr="00743E64" w:rsidR="493FC7AE">
        <w:rPr>
          <w:rFonts w:ascii="Palatino Linotype" w:hAnsi="Palatino Linotype"/>
          <w:sz w:val="24"/>
          <w:szCs w:val="24"/>
        </w:rPr>
        <w:t xml:space="preserve">response that </w:t>
      </w:r>
      <w:r w:rsidRPr="00743E64" w:rsidR="66BE57D0">
        <w:rPr>
          <w:rFonts w:ascii="Palatino Linotype" w:hAnsi="Palatino Linotype"/>
          <w:sz w:val="24"/>
          <w:szCs w:val="24"/>
        </w:rPr>
        <w:t>none of the four MTR projects</w:t>
      </w:r>
      <w:r w:rsidRPr="00743E64" w:rsidR="493FC7AE">
        <w:rPr>
          <w:rFonts w:ascii="Palatino Linotype" w:hAnsi="Palatino Linotype"/>
          <w:sz w:val="24"/>
          <w:szCs w:val="24"/>
        </w:rPr>
        <w:t xml:space="preserve"> are located in a disadvantaged community, Hinkley</w:t>
      </w:r>
      <w:r w:rsidRPr="00743E64" w:rsidR="53A0FB47">
        <w:rPr>
          <w:rFonts w:ascii="Palatino Linotype" w:hAnsi="Palatino Linotype"/>
          <w:sz w:val="24"/>
          <w:szCs w:val="24"/>
        </w:rPr>
        <w:t xml:space="preserve"> </w:t>
      </w:r>
      <w:r w:rsidRPr="00743E64" w:rsidR="4C27D252">
        <w:rPr>
          <w:rFonts w:ascii="Palatino Linotype" w:hAnsi="Palatino Linotype"/>
          <w:sz w:val="24"/>
          <w:szCs w:val="24"/>
        </w:rPr>
        <w:t xml:space="preserve">is recognized by the </w:t>
      </w:r>
      <w:proofErr w:type="spellStart"/>
      <w:r w:rsidRPr="00743E64" w:rsidR="4C27D252">
        <w:rPr>
          <w:rFonts w:ascii="Palatino Linotype" w:hAnsi="Palatino Linotype"/>
          <w:sz w:val="24"/>
          <w:szCs w:val="24"/>
        </w:rPr>
        <w:t>CalEnviroScreen</w:t>
      </w:r>
      <w:proofErr w:type="spellEnd"/>
      <w:r w:rsidRPr="00743E64" w:rsidR="4C27D252">
        <w:rPr>
          <w:rFonts w:ascii="Palatino Linotype" w:hAnsi="Palatino Linotype"/>
          <w:sz w:val="24"/>
          <w:szCs w:val="24"/>
        </w:rPr>
        <w:t xml:space="preserve"> tool as being</w:t>
      </w:r>
      <w:r w:rsidRPr="00743E64" w:rsidR="5691DC7B">
        <w:rPr>
          <w:rFonts w:ascii="Palatino Linotype" w:hAnsi="Palatino Linotype"/>
          <w:sz w:val="24"/>
          <w:szCs w:val="24"/>
        </w:rPr>
        <w:t xml:space="preserve"> significantly burdened</w:t>
      </w:r>
      <w:r w:rsidRPr="00743E64" w:rsidR="00E354DB">
        <w:rPr>
          <w:rStyle w:val="FootnoteReference"/>
          <w:rFonts w:ascii="Palatino Linotype" w:hAnsi="Palatino Linotype"/>
          <w:sz w:val="24"/>
          <w:szCs w:val="24"/>
        </w:rPr>
        <w:footnoteReference w:id="24"/>
      </w:r>
      <w:r w:rsidRPr="00743E64" w:rsidR="5691DC7B">
        <w:rPr>
          <w:rFonts w:ascii="Palatino Linotype" w:hAnsi="Palatino Linotype"/>
          <w:sz w:val="24"/>
          <w:szCs w:val="24"/>
        </w:rPr>
        <w:t xml:space="preserve"> by environmental and socioeconomic factors</w:t>
      </w:r>
      <w:r w:rsidRPr="00743E64" w:rsidR="53A0FB47">
        <w:rPr>
          <w:rFonts w:ascii="Palatino Linotype" w:hAnsi="Palatino Linotype"/>
          <w:sz w:val="24"/>
          <w:szCs w:val="24"/>
        </w:rPr>
        <w:t xml:space="preserve"> due to the </w:t>
      </w:r>
      <w:r w:rsidRPr="00743E64" w:rsidR="5BB215C7">
        <w:rPr>
          <w:rFonts w:ascii="Palatino Linotype" w:hAnsi="Palatino Linotype"/>
          <w:sz w:val="24"/>
          <w:szCs w:val="24"/>
        </w:rPr>
        <w:t xml:space="preserve">prevalence of </w:t>
      </w:r>
      <w:r w:rsidRPr="00743E64" w:rsidR="07FF57C5">
        <w:rPr>
          <w:rFonts w:ascii="Palatino Linotype" w:hAnsi="Palatino Linotype"/>
          <w:sz w:val="24"/>
          <w:szCs w:val="24"/>
        </w:rPr>
        <w:t>hexavalent chromium</w:t>
      </w:r>
      <w:r w:rsidRPr="00743E64" w:rsidR="5261F293">
        <w:rPr>
          <w:rFonts w:ascii="Palatino Linotype" w:hAnsi="Palatino Linotype"/>
          <w:sz w:val="24"/>
          <w:szCs w:val="24"/>
        </w:rPr>
        <w:t xml:space="preserve"> in its groundwater</w:t>
      </w:r>
      <w:r w:rsidRPr="00743E64" w:rsidR="6F208427">
        <w:rPr>
          <w:rFonts w:ascii="Palatino Linotype" w:hAnsi="Palatino Linotype"/>
          <w:sz w:val="24"/>
          <w:szCs w:val="24"/>
        </w:rPr>
        <w:t>.</w:t>
      </w:r>
      <w:r w:rsidRPr="00743E64" w:rsidR="00E85039">
        <w:rPr>
          <w:rStyle w:val="FootnoteReference"/>
          <w:rFonts w:ascii="Palatino Linotype" w:hAnsi="Palatino Linotype"/>
          <w:sz w:val="24"/>
          <w:szCs w:val="24"/>
        </w:rPr>
        <w:footnoteReference w:id="25"/>
      </w:r>
      <w:r w:rsidRPr="00743E64" w:rsidR="5BB215C7">
        <w:rPr>
          <w:rFonts w:ascii="Palatino Linotype" w:hAnsi="Palatino Linotype"/>
          <w:sz w:val="24"/>
          <w:szCs w:val="24"/>
        </w:rPr>
        <w:t xml:space="preserve"> </w:t>
      </w:r>
    </w:p>
    <w:p w:rsidRPr="00743E64" w:rsidR="005034CB" w:rsidP="00E144CE" w:rsidRDefault="005034CB" w14:paraId="78DDAA95" w14:textId="77777777">
      <w:pPr>
        <w:rPr>
          <w:rFonts w:ascii="Palatino Linotype" w:hAnsi="Palatino Linotype"/>
          <w:sz w:val="24"/>
          <w:szCs w:val="24"/>
        </w:rPr>
      </w:pPr>
    </w:p>
    <w:p w:rsidRPr="00743E64" w:rsidR="00E144CE" w:rsidP="00E144CE" w:rsidRDefault="1E4FBF55" w14:paraId="5B2CACD9" w14:textId="656AF791">
      <w:pPr>
        <w:rPr>
          <w:rFonts w:ascii="Palatino Linotype" w:hAnsi="Palatino Linotype"/>
          <w:sz w:val="24"/>
          <w:szCs w:val="24"/>
        </w:rPr>
      </w:pPr>
      <w:r w:rsidRPr="00743E64">
        <w:rPr>
          <w:rFonts w:ascii="Palatino Linotype" w:hAnsi="Palatino Linotype"/>
          <w:sz w:val="24"/>
          <w:szCs w:val="24"/>
        </w:rPr>
        <w:t xml:space="preserve">The </w:t>
      </w:r>
      <w:r w:rsidRPr="00743E64" w:rsidR="36DD3022">
        <w:rPr>
          <w:rFonts w:ascii="Palatino Linotype" w:hAnsi="Palatino Linotype"/>
          <w:sz w:val="24"/>
          <w:szCs w:val="24"/>
        </w:rPr>
        <w:t xml:space="preserve">Atlas projects </w:t>
      </w:r>
      <w:proofErr w:type="gramStart"/>
      <w:r w:rsidRPr="00743E64" w:rsidR="36DD3022">
        <w:rPr>
          <w:rFonts w:ascii="Palatino Linotype" w:hAnsi="Palatino Linotype"/>
          <w:sz w:val="24"/>
          <w:szCs w:val="24"/>
        </w:rPr>
        <w:t>are loc</w:t>
      </w:r>
      <w:r w:rsidRPr="00743E64" w:rsidR="0174AE0E">
        <w:rPr>
          <w:rFonts w:ascii="Palatino Linotype" w:hAnsi="Palatino Linotype"/>
          <w:sz w:val="24"/>
          <w:szCs w:val="24"/>
        </w:rPr>
        <w:t>ated</w:t>
      </w:r>
      <w:r w:rsidRPr="00743E64" w:rsidR="699C75C0">
        <w:rPr>
          <w:rFonts w:ascii="Palatino Linotype" w:hAnsi="Palatino Linotype"/>
          <w:sz w:val="24"/>
          <w:szCs w:val="24"/>
        </w:rPr>
        <w:t xml:space="preserve"> in</w:t>
      </w:r>
      <w:proofErr w:type="gramEnd"/>
      <w:r w:rsidRPr="00743E64" w:rsidR="699C75C0">
        <w:rPr>
          <w:rFonts w:ascii="Palatino Linotype" w:hAnsi="Palatino Linotype"/>
          <w:sz w:val="24"/>
          <w:szCs w:val="24"/>
        </w:rPr>
        <w:t xml:space="preserve"> La Paz County</w:t>
      </w:r>
      <w:r w:rsidRPr="00743E64" w:rsidR="0C93DA6F">
        <w:rPr>
          <w:rFonts w:ascii="Palatino Linotype" w:hAnsi="Palatino Linotype"/>
          <w:sz w:val="24"/>
          <w:szCs w:val="24"/>
        </w:rPr>
        <w:t>, Arizona, nearest to</w:t>
      </w:r>
      <w:r w:rsidRPr="00743E64" w:rsidR="4E10C84B">
        <w:rPr>
          <w:rFonts w:ascii="Palatino Linotype" w:hAnsi="Palatino Linotype"/>
          <w:sz w:val="24"/>
          <w:szCs w:val="24"/>
        </w:rPr>
        <w:t xml:space="preserve"> </w:t>
      </w:r>
      <w:r w:rsidRPr="00743E64" w:rsidR="23D23478">
        <w:rPr>
          <w:rFonts w:ascii="Palatino Linotype" w:hAnsi="Palatino Linotype"/>
          <w:sz w:val="24"/>
          <w:szCs w:val="24"/>
        </w:rPr>
        <w:t>the town of Salome</w:t>
      </w:r>
      <w:r w:rsidRPr="00743E64" w:rsidR="23D1BD7D">
        <w:rPr>
          <w:rFonts w:ascii="Palatino Linotype" w:hAnsi="Palatino Linotype"/>
          <w:sz w:val="24"/>
          <w:szCs w:val="24"/>
        </w:rPr>
        <w:t>,</w:t>
      </w:r>
      <w:r w:rsidRPr="00743E64" w:rsidR="23D23478">
        <w:rPr>
          <w:rFonts w:ascii="Palatino Linotype" w:hAnsi="Palatino Linotype"/>
          <w:sz w:val="24"/>
          <w:szCs w:val="24"/>
        </w:rPr>
        <w:t xml:space="preserve"> which has a population of about 708 people.</w:t>
      </w:r>
      <w:r w:rsidRPr="00743E64" w:rsidR="00036D0F">
        <w:rPr>
          <w:rStyle w:val="FootnoteReference"/>
          <w:rFonts w:ascii="Palatino Linotype" w:hAnsi="Palatino Linotype"/>
          <w:sz w:val="24"/>
          <w:szCs w:val="24"/>
        </w:rPr>
        <w:footnoteReference w:id="26"/>
      </w:r>
      <w:r w:rsidRPr="00743E64" w:rsidR="23D23478">
        <w:rPr>
          <w:rFonts w:ascii="Palatino Linotype" w:hAnsi="Palatino Linotype"/>
          <w:sz w:val="24"/>
          <w:szCs w:val="24"/>
        </w:rPr>
        <w:t xml:space="preserve"> </w:t>
      </w:r>
      <w:r w:rsidRPr="00743E64" w:rsidR="62D56B4D">
        <w:rPr>
          <w:rFonts w:ascii="Palatino Linotype" w:hAnsi="Palatino Linotype"/>
          <w:sz w:val="24"/>
          <w:szCs w:val="24"/>
        </w:rPr>
        <w:t>Salome is considered disadvantaged by the</w:t>
      </w:r>
      <w:r w:rsidRPr="00743E64" w:rsidR="6B0B1CB4">
        <w:rPr>
          <w:rFonts w:ascii="Palatino Linotype" w:hAnsi="Palatino Linotype"/>
          <w:sz w:val="24"/>
          <w:szCs w:val="24"/>
        </w:rPr>
        <w:t xml:space="preserve"> </w:t>
      </w:r>
      <w:r w:rsidRPr="00743E64" w:rsidR="3FACBC76">
        <w:rPr>
          <w:rFonts w:ascii="Palatino Linotype" w:hAnsi="Palatino Linotype"/>
          <w:sz w:val="24"/>
          <w:szCs w:val="24"/>
        </w:rPr>
        <w:t>CEJST</w:t>
      </w:r>
      <w:r w:rsidRPr="00743E64" w:rsidR="6B0B1CB4">
        <w:rPr>
          <w:rFonts w:ascii="Palatino Linotype" w:hAnsi="Palatino Linotype"/>
          <w:sz w:val="24"/>
          <w:szCs w:val="24"/>
        </w:rPr>
        <w:t xml:space="preserve"> because </w:t>
      </w:r>
      <w:r w:rsidRPr="00743E64" w:rsidR="78071129">
        <w:rPr>
          <w:rFonts w:ascii="Palatino Linotype" w:hAnsi="Palatino Linotype"/>
          <w:sz w:val="24"/>
          <w:szCs w:val="24"/>
        </w:rPr>
        <w:t xml:space="preserve">the community </w:t>
      </w:r>
      <w:proofErr w:type="gramStart"/>
      <w:r w:rsidRPr="00743E64" w:rsidR="78071129">
        <w:rPr>
          <w:rFonts w:ascii="Palatino Linotype" w:hAnsi="Palatino Linotype"/>
          <w:sz w:val="24"/>
          <w:szCs w:val="24"/>
        </w:rPr>
        <w:t>is</w:t>
      </w:r>
      <w:proofErr w:type="gramEnd"/>
      <w:r w:rsidRPr="00743E64" w:rsidR="78071129">
        <w:rPr>
          <w:rFonts w:ascii="Palatino Linotype" w:hAnsi="Palatino Linotype"/>
          <w:sz w:val="24"/>
          <w:szCs w:val="24"/>
        </w:rPr>
        <w:t xml:space="preserve"> </w:t>
      </w:r>
      <w:r w:rsidRPr="00743E64" w:rsidR="5542DF59">
        <w:rPr>
          <w:rFonts w:ascii="Palatino Linotype" w:hAnsi="Palatino Linotype"/>
          <w:sz w:val="24"/>
          <w:szCs w:val="24"/>
        </w:rPr>
        <w:t>low income</w:t>
      </w:r>
      <w:r w:rsidRPr="00743E64" w:rsidR="3330B606">
        <w:rPr>
          <w:rFonts w:ascii="Palatino Linotype" w:hAnsi="Palatino Linotype"/>
          <w:sz w:val="24"/>
          <w:szCs w:val="24"/>
        </w:rPr>
        <w:t xml:space="preserve"> and meets </w:t>
      </w:r>
      <w:r w:rsidRPr="00743E64" w:rsidR="7CC8EDBE">
        <w:rPr>
          <w:rFonts w:ascii="Palatino Linotype" w:hAnsi="Palatino Linotype"/>
          <w:sz w:val="24"/>
          <w:szCs w:val="24"/>
        </w:rPr>
        <w:t xml:space="preserve">more than one health burden threshold. </w:t>
      </w:r>
      <w:r w:rsidRPr="00743E64" w:rsidR="2D1E0A15">
        <w:rPr>
          <w:rFonts w:ascii="Palatino Linotype" w:hAnsi="Palatino Linotype"/>
          <w:sz w:val="24"/>
          <w:szCs w:val="24"/>
        </w:rPr>
        <w:t xml:space="preserve">Salome is also located in a region of Arizona </w:t>
      </w:r>
      <w:r w:rsidRPr="00743E64" w:rsidR="64F98D77">
        <w:rPr>
          <w:rFonts w:ascii="Palatino Linotype" w:hAnsi="Palatino Linotype"/>
          <w:sz w:val="24"/>
          <w:szCs w:val="24"/>
        </w:rPr>
        <w:t>that the Center of Disease Control knows or suspects “Valley Fever” fungus</w:t>
      </w:r>
      <w:r w:rsidRPr="00743E64" w:rsidR="0044798B">
        <w:rPr>
          <w:rFonts w:ascii="Palatino Linotype" w:hAnsi="Palatino Linotype"/>
          <w:sz w:val="24"/>
          <w:szCs w:val="24"/>
        </w:rPr>
        <w:t xml:space="preserve"> to live.</w:t>
      </w:r>
      <w:r w:rsidRPr="00743E64" w:rsidR="00445D60">
        <w:rPr>
          <w:rStyle w:val="FootnoteReference"/>
          <w:rFonts w:ascii="Palatino Linotype" w:hAnsi="Palatino Linotype"/>
          <w:sz w:val="24"/>
          <w:szCs w:val="24"/>
        </w:rPr>
        <w:footnoteReference w:id="27"/>
      </w:r>
      <w:r w:rsidRPr="00743E64" w:rsidR="0044798B">
        <w:rPr>
          <w:rFonts w:ascii="Palatino Linotype" w:hAnsi="Palatino Linotype"/>
          <w:sz w:val="24"/>
          <w:szCs w:val="24"/>
        </w:rPr>
        <w:t xml:space="preserve"> Valley Fever is a fungal infection caused </w:t>
      </w:r>
      <w:r w:rsidRPr="00743E64" w:rsidR="341D38D1">
        <w:rPr>
          <w:rFonts w:ascii="Palatino Linotype" w:hAnsi="Palatino Linotype"/>
          <w:sz w:val="24"/>
          <w:szCs w:val="24"/>
        </w:rPr>
        <w:t>by fungus spores that thrive in dry, desert soil and can be stirred into the air by activities such as farming, construction, and wind.</w:t>
      </w:r>
    </w:p>
    <w:bookmarkEnd w:id="6"/>
    <w:bookmarkEnd w:id="7"/>
    <w:p w:rsidRPr="00743E64" w:rsidR="00E144CE" w:rsidP="00E144CE" w:rsidRDefault="00E144CE" w14:paraId="2F2C8081" w14:textId="77777777">
      <w:pPr>
        <w:spacing w:line="23" w:lineRule="atLeast"/>
        <w:rPr>
          <w:rFonts w:ascii="Palatino Linotype" w:hAnsi="Palatino Linotype"/>
          <w:b/>
          <w:color w:val="4472C4" w:themeColor="accent1"/>
          <w:sz w:val="24"/>
          <w:szCs w:val="24"/>
        </w:rPr>
      </w:pPr>
    </w:p>
    <w:p w:rsidRPr="00743E64" w:rsidR="00E144CE" w:rsidP="00E144CE" w:rsidRDefault="00E144CE" w14:paraId="594AAF60" w14:textId="77777777">
      <w:pPr>
        <w:pStyle w:val="BodyText"/>
        <w:keepNext/>
        <w:spacing w:after="120"/>
        <w:rPr>
          <w:rFonts w:ascii="Palatino Linotype" w:hAnsi="Palatino Linotype"/>
          <w:b w:val="0"/>
          <w:sz w:val="24"/>
          <w:szCs w:val="24"/>
        </w:rPr>
      </w:pPr>
      <w:r w:rsidRPr="00743E64">
        <w:rPr>
          <w:rFonts w:ascii="Palatino Linotype" w:hAnsi="Palatino Linotype"/>
          <w:sz w:val="24"/>
          <w:szCs w:val="24"/>
        </w:rPr>
        <w:t xml:space="preserve">Independent Evaluator Review </w:t>
      </w:r>
    </w:p>
    <w:p w:rsidRPr="00743E64" w:rsidR="00E144CE" w:rsidP="4570F9DE" w:rsidRDefault="001A2E4C" w14:paraId="2136DFE7" w14:textId="013B4537">
      <w:pPr>
        <w:autoSpaceDE w:val="0"/>
        <w:autoSpaceDN w:val="0"/>
        <w:adjustRightInd w:val="0"/>
        <w:spacing w:after="240"/>
        <w:rPr>
          <w:rFonts w:ascii="Palatino Linotype" w:hAnsi="Palatino Linotype" w:cs="Palatino Linotype" w:eastAsiaTheme="minorEastAsia"/>
          <w:sz w:val="24"/>
          <w:szCs w:val="24"/>
        </w:rPr>
      </w:pPr>
      <w:r w:rsidRPr="00743E64">
        <w:rPr>
          <w:rFonts w:ascii="Palatino Linotype" w:hAnsi="Palatino Linotype" w:cs="Palatino Linotype" w:eastAsiaTheme="minorEastAsia"/>
          <w:sz w:val="24"/>
          <w:szCs w:val="24"/>
        </w:rPr>
        <w:t xml:space="preserve">As noted above, </w:t>
      </w:r>
      <w:r w:rsidRPr="00743E64" w:rsidR="00A41EA8">
        <w:rPr>
          <w:rFonts w:ascii="Palatino Linotype" w:hAnsi="Palatino Linotype" w:cs="Palatino Linotype" w:eastAsiaTheme="minorEastAsia"/>
          <w:sz w:val="24"/>
          <w:szCs w:val="24"/>
        </w:rPr>
        <w:t>PG&amp;E</w:t>
      </w:r>
      <w:r w:rsidRPr="00743E64" w:rsidR="00FB26C8">
        <w:rPr>
          <w:rFonts w:ascii="Palatino Linotype" w:hAnsi="Palatino Linotype" w:cs="Palatino Linotype" w:eastAsiaTheme="minorEastAsia"/>
          <w:sz w:val="24"/>
          <w:szCs w:val="24"/>
        </w:rPr>
        <w:t xml:space="preserve"> retained </w:t>
      </w:r>
      <w:proofErr w:type="gramStart"/>
      <w:r w:rsidRPr="00743E64" w:rsidR="00A41EA8">
        <w:rPr>
          <w:rFonts w:ascii="Palatino Linotype" w:hAnsi="Palatino Linotype" w:cs="Palatino Linotype" w:eastAsiaTheme="minorEastAsia"/>
          <w:sz w:val="24"/>
          <w:szCs w:val="24"/>
        </w:rPr>
        <w:t>the Merrimack</w:t>
      </w:r>
      <w:proofErr w:type="gramEnd"/>
      <w:r w:rsidRPr="00743E64" w:rsidR="00A41EA8">
        <w:rPr>
          <w:rFonts w:ascii="Palatino Linotype" w:hAnsi="Palatino Linotype" w:cs="Palatino Linotype" w:eastAsiaTheme="minorEastAsia"/>
          <w:sz w:val="24"/>
          <w:szCs w:val="24"/>
        </w:rPr>
        <w:t xml:space="preserve"> </w:t>
      </w:r>
      <w:r w:rsidRPr="00743E64" w:rsidR="001A4D4D">
        <w:rPr>
          <w:rFonts w:ascii="Palatino Linotype" w:hAnsi="Palatino Linotype" w:cs="Palatino Linotype" w:eastAsiaTheme="minorEastAsia"/>
          <w:sz w:val="24"/>
          <w:szCs w:val="24"/>
        </w:rPr>
        <w:t>as</w:t>
      </w:r>
      <w:r w:rsidRPr="00743E64" w:rsidR="00FB26C8">
        <w:rPr>
          <w:rFonts w:ascii="Palatino Linotype" w:hAnsi="Palatino Linotype" w:cs="Palatino Linotype" w:eastAsiaTheme="minorEastAsia"/>
          <w:sz w:val="24"/>
          <w:szCs w:val="24"/>
        </w:rPr>
        <w:t xml:space="preserve"> the </w:t>
      </w:r>
      <w:r w:rsidRPr="00743E64">
        <w:rPr>
          <w:rFonts w:ascii="Palatino Linotype" w:hAnsi="Palatino Linotype" w:cs="Palatino Linotype" w:eastAsiaTheme="minorEastAsia"/>
          <w:sz w:val="24"/>
          <w:szCs w:val="24"/>
        </w:rPr>
        <w:t>IE</w:t>
      </w:r>
      <w:r w:rsidRPr="00743E64" w:rsidR="00FB26C8">
        <w:rPr>
          <w:rFonts w:ascii="Palatino Linotype" w:hAnsi="Palatino Linotype" w:cs="Palatino Linotype" w:eastAsiaTheme="minorEastAsia"/>
          <w:sz w:val="24"/>
          <w:szCs w:val="24"/>
        </w:rPr>
        <w:t xml:space="preserve"> for its MTR solicitation efforts, pursuant to D.04-12-048 and D.06-05-039. In compliance with these decisions, </w:t>
      </w:r>
      <w:r w:rsidRPr="00743E64" w:rsidR="00BA7816">
        <w:rPr>
          <w:rFonts w:ascii="Palatino Linotype" w:hAnsi="Palatino Linotype" w:cs="Palatino Linotype" w:eastAsiaTheme="minorEastAsia"/>
          <w:sz w:val="24"/>
          <w:szCs w:val="24"/>
        </w:rPr>
        <w:t>Merrimack</w:t>
      </w:r>
      <w:r w:rsidRPr="00743E64" w:rsidR="00FB26C8">
        <w:rPr>
          <w:rFonts w:ascii="Palatino Linotype" w:hAnsi="Palatino Linotype" w:cs="Palatino Linotype" w:eastAsiaTheme="minorEastAsia"/>
          <w:sz w:val="24"/>
          <w:szCs w:val="24"/>
        </w:rPr>
        <w:t xml:space="preserve"> </w:t>
      </w:r>
      <w:r w:rsidRPr="00743E64" w:rsidR="00767CFA">
        <w:rPr>
          <w:rFonts w:ascii="Palatino Linotype" w:hAnsi="Palatino Linotype" w:cs="Palatino Linotype" w:eastAsiaTheme="minorEastAsia"/>
          <w:sz w:val="24"/>
          <w:szCs w:val="24"/>
        </w:rPr>
        <w:t xml:space="preserve">asserts it </w:t>
      </w:r>
      <w:r w:rsidRPr="00743E64" w:rsidR="00FB26C8">
        <w:rPr>
          <w:rFonts w:ascii="Palatino Linotype" w:hAnsi="Palatino Linotype" w:cs="Palatino Linotype" w:eastAsiaTheme="minorEastAsia"/>
          <w:sz w:val="24"/>
          <w:szCs w:val="24"/>
        </w:rPr>
        <w:t xml:space="preserve">reviewed and evaluated the planning of the solicitation, reviewed </w:t>
      </w:r>
      <w:r w:rsidRPr="00743E64" w:rsidR="00631DB3">
        <w:rPr>
          <w:rFonts w:ascii="Palatino Linotype" w:hAnsi="Palatino Linotype" w:cs="Palatino Linotype" w:eastAsiaTheme="minorEastAsia"/>
          <w:sz w:val="24"/>
          <w:szCs w:val="24"/>
        </w:rPr>
        <w:t xml:space="preserve">and </w:t>
      </w:r>
      <w:r w:rsidRPr="00743E64" w:rsidR="00FB26C8">
        <w:rPr>
          <w:rFonts w:ascii="Palatino Linotype" w:hAnsi="Palatino Linotype" w:cs="Palatino Linotype" w:eastAsiaTheme="minorEastAsia"/>
          <w:sz w:val="24"/>
          <w:szCs w:val="24"/>
        </w:rPr>
        <w:t>evaluat</w:t>
      </w:r>
      <w:r w:rsidRPr="00743E64" w:rsidR="00631DB3">
        <w:rPr>
          <w:rFonts w:ascii="Palatino Linotype" w:hAnsi="Palatino Linotype" w:cs="Palatino Linotype" w:eastAsiaTheme="minorEastAsia"/>
          <w:sz w:val="24"/>
          <w:szCs w:val="24"/>
        </w:rPr>
        <w:t xml:space="preserve">ed </w:t>
      </w:r>
      <w:r w:rsidRPr="00743E64" w:rsidR="00FB26C8">
        <w:rPr>
          <w:rFonts w:ascii="Palatino Linotype" w:hAnsi="Palatino Linotype" w:cs="Palatino Linotype" w:eastAsiaTheme="minorEastAsia"/>
          <w:sz w:val="24"/>
          <w:szCs w:val="24"/>
        </w:rPr>
        <w:t xml:space="preserve">subsequent offers, assisted in shortlist development, </w:t>
      </w:r>
      <w:r w:rsidRPr="00743E64" w:rsidR="007577CD">
        <w:rPr>
          <w:rFonts w:ascii="Palatino Linotype" w:hAnsi="Palatino Linotype" w:cs="Palatino Linotype" w:eastAsiaTheme="minorEastAsia"/>
          <w:sz w:val="24"/>
          <w:szCs w:val="24"/>
        </w:rPr>
        <w:t xml:space="preserve">participated in feedback calls with participants not selected </w:t>
      </w:r>
      <w:r w:rsidRPr="00743E64" w:rsidR="00F81046">
        <w:rPr>
          <w:rFonts w:ascii="Palatino Linotype" w:hAnsi="Palatino Linotype" w:cs="Palatino Linotype" w:eastAsiaTheme="minorEastAsia"/>
          <w:sz w:val="24"/>
          <w:szCs w:val="24"/>
        </w:rPr>
        <w:t xml:space="preserve">for the shortlist, </w:t>
      </w:r>
      <w:r w:rsidRPr="00743E64" w:rsidR="00FB26C8">
        <w:rPr>
          <w:rFonts w:ascii="Palatino Linotype" w:hAnsi="Palatino Linotype" w:cs="Palatino Linotype" w:eastAsiaTheme="minorEastAsia"/>
          <w:sz w:val="24"/>
          <w:szCs w:val="24"/>
        </w:rPr>
        <w:t xml:space="preserve">and attended contract negotiations. </w:t>
      </w:r>
    </w:p>
    <w:p w:rsidRPr="00743E64" w:rsidR="00DD3085" w:rsidP="00E144CE" w:rsidRDefault="00202406" w14:paraId="443C777C" w14:textId="1A55CDDE">
      <w:pPr>
        <w:autoSpaceDE w:val="0"/>
        <w:autoSpaceDN w:val="0"/>
        <w:adjustRightInd w:val="0"/>
        <w:spacing w:after="240"/>
        <w:rPr>
          <w:rFonts w:ascii="Palatino Linotype" w:hAnsi="Palatino Linotype"/>
          <w:bCs/>
          <w:sz w:val="24"/>
          <w:szCs w:val="24"/>
        </w:rPr>
      </w:pPr>
      <w:r w:rsidRPr="00743E64">
        <w:rPr>
          <w:rFonts w:ascii="Palatino Linotype" w:hAnsi="Palatino Linotype" w:cs="Palatino Linotype" w:eastAsiaTheme="minorHAnsi"/>
          <w:sz w:val="24"/>
          <w:szCs w:val="24"/>
        </w:rPr>
        <w:lastRenderedPageBreak/>
        <w:t xml:space="preserve">The IE determined that </w:t>
      </w:r>
      <w:r w:rsidRPr="00743E64" w:rsidR="00BA7816">
        <w:rPr>
          <w:rFonts w:ascii="Palatino Linotype" w:hAnsi="Palatino Linotype" w:cs="Palatino Linotype" w:eastAsiaTheme="minorHAnsi"/>
          <w:sz w:val="24"/>
          <w:szCs w:val="24"/>
        </w:rPr>
        <w:t>PG&amp;E</w:t>
      </w:r>
      <w:r w:rsidRPr="00743E64">
        <w:rPr>
          <w:rFonts w:ascii="Palatino Linotype" w:hAnsi="Palatino Linotype" w:cs="Palatino Linotype" w:eastAsiaTheme="minorHAnsi"/>
          <w:sz w:val="24"/>
          <w:szCs w:val="24"/>
        </w:rPr>
        <w:t>’s evaluation</w:t>
      </w:r>
      <w:r w:rsidRPr="00743E64" w:rsidR="006F2757">
        <w:rPr>
          <w:rFonts w:ascii="Palatino Linotype" w:hAnsi="Palatino Linotype" w:cs="Palatino Linotype" w:eastAsiaTheme="minorHAnsi"/>
          <w:sz w:val="24"/>
          <w:szCs w:val="24"/>
        </w:rPr>
        <w:t xml:space="preserve"> and selection process</w:t>
      </w:r>
      <w:r w:rsidRPr="00743E64">
        <w:rPr>
          <w:rFonts w:ascii="Palatino Linotype" w:hAnsi="Palatino Linotype" w:cs="Palatino Linotype" w:eastAsiaTheme="minorHAnsi"/>
          <w:sz w:val="24"/>
          <w:szCs w:val="24"/>
        </w:rPr>
        <w:t xml:space="preserve"> for Phase </w:t>
      </w:r>
      <w:r w:rsidRPr="00743E64" w:rsidR="00077786">
        <w:rPr>
          <w:rFonts w:ascii="Palatino Linotype" w:hAnsi="Palatino Linotype" w:cs="Palatino Linotype" w:eastAsiaTheme="minorHAnsi"/>
          <w:sz w:val="24"/>
          <w:szCs w:val="24"/>
        </w:rPr>
        <w:t>3</w:t>
      </w:r>
      <w:r w:rsidRPr="00743E64">
        <w:rPr>
          <w:rFonts w:ascii="Palatino Linotype" w:hAnsi="Palatino Linotype" w:cs="Palatino Linotype" w:eastAsiaTheme="minorHAnsi"/>
          <w:sz w:val="24"/>
          <w:szCs w:val="24"/>
        </w:rPr>
        <w:t xml:space="preserve"> was </w:t>
      </w:r>
      <w:r w:rsidRPr="00743E64" w:rsidR="00EF15DB">
        <w:rPr>
          <w:rFonts w:ascii="Palatino Linotype" w:hAnsi="Palatino Linotype" w:cs="Palatino Linotype" w:eastAsiaTheme="minorHAnsi"/>
          <w:sz w:val="24"/>
          <w:szCs w:val="24"/>
        </w:rPr>
        <w:t>robust</w:t>
      </w:r>
      <w:r w:rsidRPr="00743E64" w:rsidR="00BF154E">
        <w:rPr>
          <w:rFonts w:ascii="Palatino Linotype" w:hAnsi="Palatino Linotype" w:cs="Palatino Linotype" w:eastAsiaTheme="minorHAnsi"/>
          <w:sz w:val="24"/>
          <w:szCs w:val="24"/>
        </w:rPr>
        <w:t>, and t</w:t>
      </w:r>
      <w:r w:rsidRPr="00743E64">
        <w:rPr>
          <w:rFonts w:ascii="Palatino Linotype" w:hAnsi="Palatino Linotype" w:cs="Palatino Linotype" w:eastAsiaTheme="minorHAnsi"/>
          <w:sz w:val="24"/>
          <w:szCs w:val="24"/>
        </w:rPr>
        <w:t xml:space="preserve">hat </w:t>
      </w:r>
      <w:r w:rsidRPr="00743E64" w:rsidR="00F7582F">
        <w:rPr>
          <w:rFonts w:ascii="Palatino Linotype" w:hAnsi="Palatino Linotype" w:cs="Palatino Linotype" w:eastAsiaTheme="minorHAnsi"/>
          <w:sz w:val="24"/>
          <w:szCs w:val="24"/>
        </w:rPr>
        <w:t>all technologies and types of bidders were treated</w:t>
      </w:r>
      <w:r w:rsidRPr="00743E64" w:rsidR="007C6DA4">
        <w:rPr>
          <w:rFonts w:ascii="Palatino Linotype" w:hAnsi="Palatino Linotype" w:cs="Palatino Linotype" w:eastAsiaTheme="minorHAnsi"/>
          <w:sz w:val="24"/>
          <w:szCs w:val="24"/>
        </w:rPr>
        <w:t xml:space="preserve"> </w:t>
      </w:r>
      <w:r w:rsidRPr="00743E64" w:rsidR="00BF154E">
        <w:rPr>
          <w:rFonts w:ascii="Palatino Linotype" w:hAnsi="Palatino Linotype" w:cs="Palatino Linotype" w:eastAsiaTheme="minorHAnsi"/>
          <w:sz w:val="24"/>
          <w:szCs w:val="24"/>
        </w:rPr>
        <w:t>fairly, employing a consistent methodol</w:t>
      </w:r>
      <w:r w:rsidRPr="00743E64" w:rsidR="00131E40">
        <w:rPr>
          <w:rFonts w:ascii="Palatino Linotype" w:hAnsi="Palatino Linotype" w:cs="Palatino Linotype" w:eastAsiaTheme="minorHAnsi"/>
          <w:sz w:val="24"/>
          <w:szCs w:val="24"/>
        </w:rPr>
        <w:t xml:space="preserve">ogy that recognized justifiable offer-specific differences (e.g., project development status) while simultaneously not favoring or disadvantaging any offer product, technology, or bidder. </w:t>
      </w:r>
    </w:p>
    <w:p w:rsidRPr="00743E64" w:rsidR="00E144CE" w:rsidP="00E144CE" w:rsidRDefault="00E144CE" w14:paraId="5DBC3BCD" w14:textId="77777777">
      <w:pPr>
        <w:pStyle w:val="BodyText"/>
        <w:spacing w:after="120" w:line="23" w:lineRule="atLeast"/>
        <w:rPr>
          <w:rFonts w:ascii="Palatino Linotype" w:hAnsi="Palatino Linotype"/>
          <w:bCs/>
          <w:sz w:val="24"/>
          <w:szCs w:val="24"/>
        </w:rPr>
      </w:pPr>
      <w:r w:rsidRPr="00743E64">
        <w:rPr>
          <w:rFonts w:ascii="Palatino Linotype" w:hAnsi="Palatino Linotype"/>
          <w:bCs/>
          <w:sz w:val="24"/>
          <w:szCs w:val="24"/>
        </w:rPr>
        <w:t>Procurement Review Group (PRG) Participation</w:t>
      </w:r>
    </w:p>
    <w:p w:rsidRPr="00743E64" w:rsidR="00E144CE" w:rsidP="00E144CE" w:rsidRDefault="00E144CE" w14:paraId="194F1937" w14:textId="77777777">
      <w:pPr>
        <w:pStyle w:val="BodyText"/>
        <w:spacing w:after="240" w:line="23" w:lineRule="atLeast"/>
        <w:rPr>
          <w:rFonts w:ascii="Palatino Linotype" w:hAnsi="Palatino Linotype"/>
          <w:b w:val="0"/>
          <w:sz w:val="24"/>
          <w:szCs w:val="24"/>
        </w:rPr>
      </w:pPr>
      <w:r w:rsidRPr="00743E64">
        <w:rPr>
          <w:rFonts w:ascii="Palatino Linotype" w:hAnsi="Palatino Linotype"/>
          <w:b w:val="0"/>
          <w:sz w:val="24"/>
          <w:szCs w:val="24"/>
        </w:rPr>
        <w:t xml:space="preserve">The Commission established the PRG </w:t>
      </w:r>
      <w:proofErr w:type="gramStart"/>
      <w:r w:rsidRPr="00743E64">
        <w:rPr>
          <w:rFonts w:ascii="Palatino Linotype" w:hAnsi="Palatino Linotype"/>
          <w:b w:val="0"/>
          <w:sz w:val="24"/>
          <w:szCs w:val="24"/>
        </w:rPr>
        <w:t>in</w:t>
      </w:r>
      <w:proofErr w:type="gramEnd"/>
      <w:r w:rsidRPr="00743E64">
        <w:rPr>
          <w:rFonts w:ascii="Palatino Linotype" w:hAnsi="Palatino Linotype"/>
          <w:b w:val="0"/>
          <w:sz w:val="24"/>
          <w:szCs w:val="24"/>
        </w:rPr>
        <w:t xml:space="preserve"> D.02-08-071.  The PRG reviews and assesses the details of the utilities’ overall procurement strategy, solicitations, specific proposed procurement contracts and other procurement processes prior to submitting filings to the Commission as a mechanism for procurement review by non-market participants.</w:t>
      </w:r>
    </w:p>
    <w:p w:rsidRPr="00743E64" w:rsidR="00E144CE" w:rsidP="00E144CE" w:rsidRDefault="00474498" w14:paraId="0A87227C" w14:textId="1052DE91">
      <w:pPr>
        <w:pStyle w:val="BodyText"/>
        <w:spacing w:after="240" w:line="23" w:lineRule="atLeast"/>
        <w:rPr>
          <w:rFonts w:ascii="Palatino Linotype" w:hAnsi="Palatino Linotype"/>
          <w:b w:val="0"/>
          <w:sz w:val="24"/>
          <w:szCs w:val="24"/>
        </w:rPr>
      </w:pPr>
      <w:r w:rsidRPr="00743E64">
        <w:rPr>
          <w:rFonts w:ascii="Palatino Linotype" w:hAnsi="Palatino Linotype"/>
          <w:b w:val="0"/>
          <w:sz w:val="24"/>
          <w:szCs w:val="24"/>
        </w:rPr>
        <w:t>PG&amp;E</w:t>
      </w:r>
      <w:r w:rsidRPr="00743E64" w:rsidR="00E144CE">
        <w:rPr>
          <w:rFonts w:ascii="Palatino Linotype" w:hAnsi="Palatino Linotype"/>
          <w:b w:val="0"/>
          <w:sz w:val="24"/>
          <w:szCs w:val="24"/>
        </w:rPr>
        <w:t xml:space="preserve"> consulted with its PRG during each milestone of </w:t>
      </w:r>
      <w:r w:rsidRPr="00743E64" w:rsidR="00493310">
        <w:rPr>
          <w:rFonts w:ascii="Palatino Linotype" w:hAnsi="Palatino Linotype"/>
          <w:b w:val="0"/>
          <w:sz w:val="24"/>
          <w:szCs w:val="24"/>
        </w:rPr>
        <w:t>Phase 3 of its MTRRFO,</w:t>
      </w:r>
      <w:r w:rsidRPr="00743E64" w:rsidR="00E144CE">
        <w:rPr>
          <w:rFonts w:ascii="Palatino Linotype" w:hAnsi="Palatino Linotype"/>
          <w:b w:val="0"/>
          <w:sz w:val="24"/>
          <w:szCs w:val="24"/>
        </w:rPr>
        <w:t xml:space="preserve"> </w:t>
      </w:r>
      <w:r w:rsidRPr="00743E64" w:rsidR="00864B1A">
        <w:rPr>
          <w:rFonts w:ascii="Palatino Linotype" w:hAnsi="Palatino Linotype"/>
          <w:b w:val="0"/>
          <w:sz w:val="24"/>
          <w:szCs w:val="24"/>
        </w:rPr>
        <w:t>providing</w:t>
      </w:r>
      <w:r w:rsidRPr="00743E64" w:rsidR="00E144CE">
        <w:rPr>
          <w:rFonts w:ascii="Palatino Linotype" w:hAnsi="Palatino Linotype"/>
          <w:b w:val="0"/>
          <w:sz w:val="24"/>
          <w:szCs w:val="24"/>
        </w:rPr>
        <w:t xml:space="preserve"> the participants </w:t>
      </w:r>
      <w:r w:rsidRPr="00743E64" w:rsidR="00864B1A">
        <w:rPr>
          <w:rFonts w:ascii="Palatino Linotype" w:hAnsi="Palatino Linotype"/>
          <w:b w:val="0"/>
          <w:sz w:val="24"/>
          <w:szCs w:val="24"/>
        </w:rPr>
        <w:t xml:space="preserve">with its solicitation overview, offer summary, and shortlist materials </w:t>
      </w:r>
      <w:r w:rsidRPr="00743E64" w:rsidR="00D10559">
        <w:rPr>
          <w:rFonts w:ascii="Palatino Linotype" w:hAnsi="Palatino Linotype"/>
          <w:b w:val="0"/>
          <w:sz w:val="24"/>
          <w:szCs w:val="24"/>
        </w:rPr>
        <w:t xml:space="preserve">for the </w:t>
      </w:r>
      <w:r w:rsidRPr="00743E64" w:rsidR="00736F22">
        <w:rPr>
          <w:rFonts w:ascii="Palatino Linotype" w:hAnsi="Palatino Linotype"/>
          <w:b w:val="0"/>
          <w:sz w:val="24"/>
          <w:szCs w:val="24"/>
        </w:rPr>
        <w:t>MTR projects</w:t>
      </w:r>
      <w:r w:rsidRPr="00743E64" w:rsidR="004E7666">
        <w:rPr>
          <w:rFonts w:ascii="Palatino Linotype" w:hAnsi="Palatino Linotype"/>
          <w:b w:val="0"/>
          <w:sz w:val="24"/>
          <w:szCs w:val="24"/>
        </w:rPr>
        <w:t xml:space="preserve"> via email</w:t>
      </w:r>
      <w:r w:rsidRPr="00743E64" w:rsidR="00D10559">
        <w:rPr>
          <w:rFonts w:ascii="Palatino Linotype" w:hAnsi="Palatino Linotype"/>
          <w:b w:val="0"/>
          <w:sz w:val="24"/>
          <w:szCs w:val="24"/>
        </w:rPr>
        <w:t xml:space="preserve"> on January 31, 2024. </w:t>
      </w:r>
      <w:r w:rsidRPr="00743E64" w:rsidR="002E489E">
        <w:rPr>
          <w:rFonts w:ascii="Palatino Linotype" w:hAnsi="Palatino Linotype"/>
          <w:b w:val="0"/>
          <w:sz w:val="24"/>
          <w:szCs w:val="24"/>
        </w:rPr>
        <w:t xml:space="preserve">This presentation </w:t>
      </w:r>
      <w:r w:rsidRPr="00743E64" w:rsidR="00127D07">
        <w:rPr>
          <w:rFonts w:ascii="Palatino Linotype" w:hAnsi="Palatino Linotype"/>
          <w:b w:val="0"/>
          <w:sz w:val="24"/>
          <w:szCs w:val="24"/>
        </w:rPr>
        <w:t xml:space="preserve">included the Phase 3 MTRRFO requirements, offers received, and PG&amp;E’s proposed shortlist. </w:t>
      </w:r>
      <w:r w:rsidRPr="00743E64" w:rsidR="00D10559">
        <w:rPr>
          <w:rFonts w:ascii="Palatino Linotype" w:hAnsi="Palatino Linotype"/>
          <w:b w:val="0"/>
          <w:sz w:val="24"/>
          <w:szCs w:val="24"/>
        </w:rPr>
        <w:t xml:space="preserve">PG&amp;E </w:t>
      </w:r>
      <w:r w:rsidRPr="00743E64" w:rsidR="00D24729">
        <w:rPr>
          <w:rFonts w:ascii="Palatino Linotype" w:hAnsi="Palatino Linotype"/>
          <w:b w:val="0"/>
          <w:sz w:val="24"/>
          <w:szCs w:val="24"/>
        </w:rPr>
        <w:t>informed the PRG of its intent to execute transactions with</w:t>
      </w:r>
      <w:r w:rsidRPr="00743E64" w:rsidR="00C9770D">
        <w:rPr>
          <w:rFonts w:ascii="Palatino Linotype" w:hAnsi="Palatino Linotype"/>
          <w:b w:val="0"/>
          <w:sz w:val="24"/>
          <w:szCs w:val="24"/>
        </w:rPr>
        <w:t xml:space="preserve"> the final shortlist for the Atlas and </w:t>
      </w:r>
      <w:r w:rsidRPr="00743E64" w:rsidR="004102EC">
        <w:rPr>
          <w:rFonts w:ascii="Palatino Linotype" w:hAnsi="Palatino Linotype"/>
          <w:b w:val="0"/>
          <w:sz w:val="24"/>
          <w:szCs w:val="24"/>
        </w:rPr>
        <w:t xml:space="preserve">Lockhart projects on February 8, 2024, and May 24, 2024, respectively. </w:t>
      </w:r>
    </w:p>
    <w:p w:rsidRPr="00743E64" w:rsidR="00E144CE" w:rsidP="00E144CE" w:rsidRDefault="00E144CE" w14:paraId="7EC6B2D7" w14:textId="6199C98A">
      <w:pPr>
        <w:spacing w:line="23" w:lineRule="atLeast"/>
        <w:rPr>
          <w:rFonts w:ascii="Palatino Linotype" w:hAnsi="Palatino Linotype"/>
          <w:sz w:val="24"/>
          <w:szCs w:val="24"/>
        </w:rPr>
      </w:pPr>
      <w:r w:rsidRPr="00743E64">
        <w:rPr>
          <w:rFonts w:ascii="Palatino Linotype" w:hAnsi="Palatino Linotype"/>
          <w:sz w:val="24"/>
          <w:szCs w:val="24"/>
        </w:rPr>
        <w:t xml:space="preserve">Pursuant to D.02-08-071, </w:t>
      </w:r>
      <w:r w:rsidRPr="00743E64" w:rsidR="007F4FCF">
        <w:rPr>
          <w:rFonts w:ascii="Palatino Linotype" w:hAnsi="Palatino Linotype"/>
          <w:sz w:val="24"/>
          <w:szCs w:val="24"/>
        </w:rPr>
        <w:t>PG&amp;</w:t>
      </w:r>
      <w:r w:rsidRPr="00743E64">
        <w:rPr>
          <w:rFonts w:ascii="Palatino Linotype" w:hAnsi="Palatino Linotype"/>
          <w:sz w:val="24"/>
          <w:szCs w:val="24"/>
        </w:rPr>
        <w:t xml:space="preserve">E’s Procurement Review Group participated in the review of the </w:t>
      </w:r>
      <w:r w:rsidRPr="00743E64" w:rsidR="00417A90">
        <w:rPr>
          <w:rFonts w:ascii="Palatino Linotype" w:hAnsi="Palatino Linotype"/>
          <w:sz w:val="24"/>
          <w:szCs w:val="24"/>
        </w:rPr>
        <w:t>MTR contracts</w:t>
      </w:r>
      <w:r w:rsidRPr="00743E64">
        <w:rPr>
          <w:rFonts w:ascii="Palatino Linotype" w:hAnsi="Palatino Linotype"/>
          <w:sz w:val="24"/>
          <w:szCs w:val="24"/>
        </w:rPr>
        <w:t>.</w:t>
      </w:r>
    </w:p>
    <w:p w:rsidRPr="00743E64" w:rsidR="00E144CE" w:rsidP="00D86528" w:rsidRDefault="00E144CE" w14:paraId="1F9735FC" w14:textId="77777777">
      <w:pPr>
        <w:rPr>
          <w:rFonts w:ascii="Palatino Linotype" w:hAnsi="Palatino Linotype"/>
          <w:b/>
          <w:sz w:val="24"/>
          <w:szCs w:val="24"/>
          <w:highlight w:val="yellow"/>
        </w:rPr>
      </w:pPr>
    </w:p>
    <w:p w:rsidRPr="00743E64" w:rsidR="00D86528" w:rsidP="007850B0" w:rsidRDefault="007850B0" w14:paraId="0936021A" w14:textId="21CB0A17">
      <w:pPr>
        <w:spacing w:after="240"/>
        <w:rPr>
          <w:rFonts w:ascii="Palatino Linotype" w:hAnsi="Palatino Linotype"/>
          <w:b/>
          <w:sz w:val="24"/>
          <w:szCs w:val="24"/>
        </w:rPr>
      </w:pPr>
      <w:r w:rsidRPr="00743E64">
        <w:rPr>
          <w:rFonts w:ascii="Palatino Linotype" w:hAnsi="Palatino Linotype"/>
          <w:b/>
          <w:sz w:val="24"/>
          <w:szCs w:val="24"/>
        </w:rPr>
        <w:t>Compliance with the Interim Greenhouse Gas Emissions Performance Standard</w:t>
      </w:r>
      <w:r w:rsidRPr="00743E64" w:rsidR="00635E8F">
        <w:rPr>
          <w:rFonts w:ascii="Palatino Linotype" w:hAnsi="Palatino Linotype"/>
          <w:b/>
          <w:sz w:val="24"/>
          <w:szCs w:val="24"/>
        </w:rPr>
        <w:t xml:space="preserve"> (EPS)</w:t>
      </w:r>
    </w:p>
    <w:p w:rsidRPr="00743E64" w:rsidR="00B255D1" w:rsidP="009B7811" w:rsidRDefault="00B255D1" w14:paraId="735A74F4" w14:textId="5E1FD901">
      <w:pPr>
        <w:pStyle w:val="BodyText"/>
        <w:widowControl w:val="0"/>
        <w:rPr>
          <w:rFonts w:ascii="Palatino Linotype" w:hAnsi="Palatino Linotype"/>
          <w:b w:val="0"/>
          <w:sz w:val="24"/>
          <w:szCs w:val="24"/>
        </w:rPr>
      </w:pPr>
      <w:r w:rsidRPr="00743E64">
        <w:rPr>
          <w:rFonts w:ascii="Palatino Linotype" w:hAnsi="Palatino Linotype"/>
          <w:b w:val="0"/>
          <w:sz w:val="24"/>
          <w:szCs w:val="24"/>
        </w:rPr>
        <w:t>SB 1368 requires that the Commission consider emissions costs associated with new long-term (five years or greater) baseload power contracts procured on behalf of California ratepayers.</w:t>
      </w:r>
      <w:r w:rsidRPr="00743E64">
        <w:rPr>
          <w:rStyle w:val="FootnoteReference"/>
          <w:rFonts w:ascii="Palatino Linotype" w:hAnsi="Palatino Linotype"/>
          <w:b w:val="0"/>
          <w:sz w:val="24"/>
          <w:szCs w:val="24"/>
        </w:rPr>
        <w:t xml:space="preserve"> </w:t>
      </w:r>
      <w:r w:rsidRPr="00743E64">
        <w:rPr>
          <w:rStyle w:val="FootnoteReference"/>
          <w:rFonts w:ascii="Palatino Linotype" w:hAnsi="Palatino Linotype"/>
          <w:b w:val="0"/>
          <w:sz w:val="24"/>
          <w:szCs w:val="24"/>
        </w:rPr>
        <w:footnoteReference w:id="28"/>
      </w:r>
      <w:r w:rsidRPr="00743E64">
        <w:rPr>
          <w:rFonts w:ascii="Palatino Linotype" w:hAnsi="Palatino Linotype"/>
          <w:b w:val="0"/>
          <w:sz w:val="24"/>
          <w:szCs w:val="24"/>
        </w:rPr>
        <w:t xml:space="preserve"> D.07-01-039 adopted an interim </w:t>
      </w:r>
      <w:r w:rsidRPr="00743E64" w:rsidR="00727D9F">
        <w:rPr>
          <w:rFonts w:ascii="Palatino Linotype" w:hAnsi="Palatino Linotype"/>
          <w:b w:val="0"/>
          <w:sz w:val="24"/>
          <w:szCs w:val="24"/>
        </w:rPr>
        <w:t>EPS</w:t>
      </w:r>
      <w:r w:rsidRPr="00743E64">
        <w:rPr>
          <w:rFonts w:ascii="Palatino Linotype" w:hAnsi="Palatino Linotype"/>
          <w:b w:val="0"/>
          <w:sz w:val="24"/>
          <w:szCs w:val="24"/>
        </w:rPr>
        <w:t xml:space="preserve"> that establishes an emission rate for obligated facilities at levels no greater than the greenhouse gas emissions of a combined-cycle gas turbine power plant. Generating facilities using certain renewable resources are deemed compliant with the EPS.</w:t>
      </w:r>
      <w:r w:rsidRPr="00743E64">
        <w:rPr>
          <w:rStyle w:val="FootnoteReference"/>
          <w:rFonts w:ascii="Palatino Linotype" w:hAnsi="Palatino Linotype"/>
          <w:b w:val="0"/>
          <w:sz w:val="24"/>
          <w:szCs w:val="24"/>
        </w:rPr>
        <w:footnoteReference w:id="29"/>
      </w:r>
      <w:r w:rsidRPr="00743E64">
        <w:rPr>
          <w:rFonts w:ascii="Palatino Linotype" w:hAnsi="Palatino Linotype"/>
          <w:b w:val="0"/>
          <w:sz w:val="24"/>
          <w:szCs w:val="24"/>
        </w:rPr>
        <w:t xml:space="preserve"> </w:t>
      </w:r>
    </w:p>
    <w:p w:rsidRPr="00743E64" w:rsidR="00B255D1" w:rsidP="00B255D1" w:rsidRDefault="00B255D1" w14:paraId="70459D63" w14:textId="77777777">
      <w:pPr>
        <w:pStyle w:val="BodyText"/>
        <w:rPr>
          <w:rFonts w:ascii="Palatino Linotype" w:hAnsi="Palatino Linotype"/>
          <w:b w:val="0"/>
          <w:sz w:val="24"/>
          <w:szCs w:val="24"/>
          <w:highlight w:val="yellow"/>
        </w:rPr>
      </w:pPr>
    </w:p>
    <w:p w:rsidRPr="00743E64" w:rsidR="00D86528" w:rsidP="00D6050D" w:rsidRDefault="00B255D1" w14:paraId="3CAFB95D" w14:textId="5F49938B">
      <w:pPr>
        <w:pStyle w:val="BodyText"/>
        <w:rPr>
          <w:rFonts w:ascii="Palatino Linotype" w:hAnsi="Palatino Linotype"/>
          <w:b w:val="0"/>
          <w:sz w:val="24"/>
          <w:szCs w:val="24"/>
        </w:rPr>
      </w:pPr>
      <w:r w:rsidRPr="00743E64">
        <w:rPr>
          <w:rFonts w:ascii="Palatino Linotype" w:hAnsi="Palatino Linotype"/>
          <w:b w:val="0"/>
          <w:sz w:val="24"/>
          <w:szCs w:val="24"/>
        </w:rPr>
        <w:t xml:space="preserve">In </w:t>
      </w:r>
      <w:r w:rsidRPr="00743E64" w:rsidR="007F4FCF">
        <w:rPr>
          <w:rFonts w:ascii="Palatino Linotype" w:hAnsi="Palatino Linotype"/>
          <w:b w:val="0"/>
          <w:sz w:val="24"/>
          <w:szCs w:val="24"/>
        </w:rPr>
        <w:t>AL 7356-E</w:t>
      </w:r>
      <w:r w:rsidRPr="00743E64">
        <w:rPr>
          <w:rFonts w:ascii="Palatino Linotype" w:hAnsi="Palatino Linotype"/>
          <w:b w:val="0"/>
          <w:sz w:val="24"/>
          <w:szCs w:val="24"/>
        </w:rPr>
        <w:t xml:space="preserve">, </w:t>
      </w:r>
      <w:r w:rsidRPr="00743E64" w:rsidR="007F4FCF">
        <w:rPr>
          <w:rFonts w:ascii="Palatino Linotype" w:hAnsi="Palatino Linotype"/>
          <w:b w:val="0"/>
          <w:sz w:val="24"/>
          <w:szCs w:val="24"/>
        </w:rPr>
        <w:t>PG&amp;E</w:t>
      </w:r>
      <w:r w:rsidRPr="00743E64">
        <w:rPr>
          <w:rFonts w:ascii="Palatino Linotype" w:hAnsi="Palatino Linotype"/>
          <w:b w:val="0"/>
          <w:sz w:val="24"/>
          <w:szCs w:val="24"/>
        </w:rPr>
        <w:t xml:space="preserve"> states that the </w:t>
      </w:r>
      <w:r w:rsidRPr="00743E64" w:rsidR="00D32AF1">
        <w:rPr>
          <w:rFonts w:ascii="Palatino Linotype" w:hAnsi="Palatino Linotype"/>
          <w:b w:val="0"/>
          <w:sz w:val="24"/>
          <w:szCs w:val="24"/>
        </w:rPr>
        <w:t>MTR Contracts are</w:t>
      </w:r>
      <w:r w:rsidRPr="00743E64">
        <w:rPr>
          <w:rFonts w:ascii="Palatino Linotype" w:hAnsi="Palatino Linotype"/>
          <w:b w:val="0"/>
          <w:sz w:val="24"/>
          <w:szCs w:val="24"/>
        </w:rPr>
        <w:t xml:space="preserve"> exempted</w:t>
      </w:r>
      <w:r w:rsidRPr="00743E64" w:rsidR="00D32AF1">
        <w:rPr>
          <w:rFonts w:ascii="Palatino Linotype" w:hAnsi="Palatino Linotype"/>
          <w:b w:val="0"/>
          <w:sz w:val="24"/>
          <w:szCs w:val="24"/>
        </w:rPr>
        <w:t xml:space="preserve"> from or compliant</w:t>
      </w:r>
      <w:r w:rsidRPr="00743E64">
        <w:rPr>
          <w:rFonts w:ascii="Palatino Linotype" w:hAnsi="Palatino Linotype"/>
          <w:b w:val="0"/>
          <w:sz w:val="24"/>
          <w:szCs w:val="24"/>
        </w:rPr>
        <w:t xml:space="preserve"> </w:t>
      </w:r>
      <w:r w:rsidRPr="00743E64" w:rsidR="00D32AF1">
        <w:rPr>
          <w:rFonts w:ascii="Palatino Linotype" w:hAnsi="Palatino Linotype"/>
          <w:b w:val="0"/>
          <w:sz w:val="24"/>
          <w:szCs w:val="24"/>
        </w:rPr>
        <w:t>with</w:t>
      </w:r>
      <w:r w:rsidRPr="00743E64">
        <w:rPr>
          <w:rFonts w:ascii="Palatino Linotype" w:hAnsi="Palatino Linotype"/>
          <w:b w:val="0"/>
          <w:sz w:val="24"/>
          <w:szCs w:val="24"/>
        </w:rPr>
        <w:t xml:space="preserve"> SB 1368 and D.07-01-039 requirements based on its underlying resources. </w:t>
      </w:r>
      <w:r w:rsidRPr="00743E64" w:rsidR="00051271">
        <w:rPr>
          <w:rFonts w:ascii="Palatino Linotype" w:hAnsi="Palatino Linotype"/>
          <w:b w:val="0"/>
          <w:sz w:val="24"/>
          <w:szCs w:val="24"/>
        </w:rPr>
        <w:t>The Atlas contracts are for solar PV resources that have capacity factors under 60</w:t>
      </w:r>
      <w:r w:rsidRPr="00743E64" w:rsidR="00D62D88">
        <w:rPr>
          <w:rFonts w:ascii="Palatino Linotype" w:hAnsi="Palatino Linotype"/>
          <w:b w:val="0"/>
          <w:sz w:val="24"/>
          <w:szCs w:val="24"/>
        </w:rPr>
        <w:t xml:space="preserve"> percent</w:t>
      </w:r>
      <w:r w:rsidRPr="00743E64" w:rsidR="00301C14">
        <w:rPr>
          <w:rFonts w:ascii="Palatino Linotype" w:hAnsi="Palatino Linotype"/>
          <w:b w:val="0"/>
          <w:sz w:val="24"/>
          <w:szCs w:val="24"/>
        </w:rPr>
        <w:t xml:space="preserve"> and are therefore not covered by the EPS. The </w:t>
      </w:r>
      <w:r w:rsidRPr="00743E64" w:rsidR="00AB6814">
        <w:rPr>
          <w:rFonts w:ascii="Palatino Linotype" w:hAnsi="Palatino Linotype"/>
          <w:b w:val="0"/>
          <w:sz w:val="24"/>
          <w:szCs w:val="24"/>
        </w:rPr>
        <w:t>Lockhart</w:t>
      </w:r>
      <w:r w:rsidRPr="00743E64" w:rsidR="00301C14">
        <w:rPr>
          <w:rFonts w:ascii="Palatino Linotype" w:hAnsi="Palatino Linotype"/>
          <w:b w:val="0"/>
          <w:sz w:val="24"/>
          <w:szCs w:val="24"/>
        </w:rPr>
        <w:t xml:space="preserve"> contracts are for </w:t>
      </w:r>
      <w:r w:rsidRPr="00743E64" w:rsidR="00AB6814">
        <w:rPr>
          <w:rFonts w:ascii="Palatino Linotype" w:hAnsi="Palatino Linotype"/>
          <w:b w:val="0"/>
          <w:sz w:val="24"/>
          <w:szCs w:val="24"/>
        </w:rPr>
        <w:t>storage</w:t>
      </w:r>
      <w:r w:rsidRPr="00743E64" w:rsidR="00301C14">
        <w:rPr>
          <w:rFonts w:ascii="Palatino Linotype" w:hAnsi="Palatino Linotype"/>
          <w:b w:val="0"/>
          <w:sz w:val="24"/>
          <w:szCs w:val="24"/>
        </w:rPr>
        <w:t xml:space="preserve"> </w:t>
      </w:r>
      <w:r w:rsidRPr="00743E64" w:rsidR="00301C14">
        <w:rPr>
          <w:rFonts w:ascii="Palatino Linotype" w:hAnsi="Palatino Linotype"/>
          <w:b w:val="0"/>
          <w:sz w:val="24"/>
          <w:szCs w:val="24"/>
        </w:rPr>
        <w:lastRenderedPageBreak/>
        <w:t>resources</w:t>
      </w:r>
      <w:r w:rsidRPr="00743E64" w:rsidR="001046ED">
        <w:rPr>
          <w:rFonts w:ascii="Palatino Linotype" w:hAnsi="Palatino Linotype"/>
          <w:b w:val="0"/>
          <w:sz w:val="24"/>
          <w:szCs w:val="24"/>
        </w:rPr>
        <w:t xml:space="preserve"> </w:t>
      </w:r>
      <w:r w:rsidRPr="00743E64" w:rsidR="0077372E">
        <w:rPr>
          <w:rFonts w:ascii="Palatino Linotype" w:hAnsi="Palatino Linotype"/>
          <w:b w:val="0"/>
          <w:sz w:val="24"/>
          <w:szCs w:val="24"/>
        </w:rPr>
        <w:t>(</w:t>
      </w:r>
      <w:r w:rsidRPr="00743E64" w:rsidR="001046ED">
        <w:rPr>
          <w:rFonts w:ascii="Palatino Linotype" w:hAnsi="Palatino Linotype"/>
          <w:b w:val="0"/>
          <w:sz w:val="24"/>
          <w:szCs w:val="24"/>
        </w:rPr>
        <w:t xml:space="preserve">rather </w:t>
      </w:r>
      <w:r w:rsidRPr="00743E64" w:rsidR="00E3457C">
        <w:rPr>
          <w:rFonts w:ascii="Palatino Linotype" w:hAnsi="Palatino Linotype"/>
          <w:b w:val="0"/>
          <w:sz w:val="24"/>
          <w:szCs w:val="24"/>
        </w:rPr>
        <w:t>than</w:t>
      </w:r>
      <w:r w:rsidRPr="00743E64" w:rsidR="001046ED">
        <w:rPr>
          <w:rFonts w:ascii="Palatino Linotype" w:hAnsi="Palatino Linotype"/>
          <w:b w:val="0"/>
          <w:sz w:val="24"/>
          <w:szCs w:val="24"/>
        </w:rPr>
        <w:t xml:space="preserve"> </w:t>
      </w:r>
      <w:r w:rsidRPr="00743E64" w:rsidR="0077372E">
        <w:rPr>
          <w:rFonts w:ascii="Palatino Linotype" w:hAnsi="Palatino Linotype"/>
          <w:b w:val="0"/>
          <w:sz w:val="24"/>
          <w:szCs w:val="24"/>
        </w:rPr>
        <w:t>generation resources</w:t>
      </w:r>
      <w:r w:rsidRPr="00743E64" w:rsidR="6B1AACA4">
        <w:rPr>
          <w:rFonts w:ascii="Palatino Linotype" w:hAnsi="Palatino Linotype"/>
          <w:b w:val="0"/>
          <w:sz w:val="24"/>
          <w:szCs w:val="24"/>
        </w:rPr>
        <w:t>) and</w:t>
      </w:r>
      <w:r w:rsidRPr="00743E64" w:rsidR="00577454">
        <w:rPr>
          <w:rFonts w:ascii="Palatino Linotype" w:hAnsi="Palatino Linotype"/>
          <w:b w:val="0"/>
          <w:sz w:val="24"/>
          <w:szCs w:val="24"/>
        </w:rPr>
        <w:t xml:space="preserve"> are therefore not subject to the EPS. </w:t>
      </w:r>
      <w:r w:rsidRPr="00743E64">
        <w:rPr>
          <w:rFonts w:ascii="Palatino Linotype" w:hAnsi="Palatino Linotype"/>
          <w:b w:val="0"/>
          <w:sz w:val="24"/>
          <w:szCs w:val="24"/>
        </w:rPr>
        <w:t xml:space="preserve">Thus, the </w:t>
      </w:r>
      <w:r w:rsidRPr="00743E64" w:rsidR="0089180F">
        <w:rPr>
          <w:rFonts w:ascii="Palatino Linotype" w:hAnsi="Palatino Linotype"/>
          <w:b w:val="0"/>
          <w:sz w:val="24"/>
          <w:szCs w:val="24"/>
        </w:rPr>
        <w:t>MTR Contracts</w:t>
      </w:r>
      <w:r w:rsidRPr="00743E64">
        <w:rPr>
          <w:rFonts w:ascii="Palatino Linotype" w:hAnsi="Palatino Linotype"/>
          <w:b w:val="0"/>
          <w:sz w:val="24"/>
          <w:szCs w:val="24"/>
        </w:rPr>
        <w:t xml:space="preserve"> </w:t>
      </w:r>
      <w:r w:rsidRPr="00743E64" w:rsidR="000D261E">
        <w:rPr>
          <w:rFonts w:ascii="Palatino Linotype" w:hAnsi="Palatino Linotype"/>
          <w:b w:val="0"/>
          <w:sz w:val="24"/>
          <w:szCs w:val="24"/>
        </w:rPr>
        <w:t>are</w:t>
      </w:r>
      <w:r w:rsidRPr="00743E64">
        <w:rPr>
          <w:rFonts w:ascii="Palatino Linotype" w:hAnsi="Palatino Linotype"/>
          <w:b w:val="0"/>
          <w:sz w:val="24"/>
          <w:szCs w:val="24"/>
        </w:rPr>
        <w:t xml:space="preserve"> </w:t>
      </w:r>
      <w:r w:rsidRPr="00743E64" w:rsidR="00D40337">
        <w:rPr>
          <w:rFonts w:ascii="Palatino Linotype" w:hAnsi="Palatino Linotype"/>
          <w:b w:val="0"/>
          <w:sz w:val="24"/>
          <w:szCs w:val="24"/>
        </w:rPr>
        <w:t xml:space="preserve">found to be </w:t>
      </w:r>
      <w:r w:rsidRPr="00743E64">
        <w:rPr>
          <w:rFonts w:ascii="Palatino Linotype" w:hAnsi="Palatino Linotype"/>
          <w:b w:val="0"/>
          <w:sz w:val="24"/>
          <w:szCs w:val="24"/>
        </w:rPr>
        <w:t>exempt</w:t>
      </w:r>
      <w:r w:rsidRPr="00743E64" w:rsidR="00D40337">
        <w:rPr>
          <w:rFonts w:ascii="Palatino Linotype" w:hAnsi="Palatino Linotype"/>
          <w:b w:val="0"/>
          <w:sz w:val="24"/>
          <w:szCs w:val="24"/>
        </w:rPr>
        <w:t xml:space="preserve"> from or </w:t>
      </w:r>
      <w:proofErr w:type="gramStart"/>
      <w:r w:rsidRPr="00743E64" w:rsidR="00D40337">
        <w:rPr>
          <w:rFonts w:ascii="Palatino Linotype" w:hAnsi="Palatino Linotype"/>
          <w:b w:val="0"/>
          <w:sz w:val="24"/>
          <w:szCs w:val="24"/>
        </w:rPr>
        <w:t>compliant</w:t>
      </w:r>
      <w:proofErr w:type="gramEnd"/>
      <w:r w:rsidRPr="00743E64" w:rsidR="00D40337">
        <w:rPr>
          <w:rFonts w:ascii="Palatino Linotype" w:hAnsi="Palatino Linotype"/>
          <w:b w:val="0"/>
          <w:sz w:val="24"/>
          <w:szCs w:val="24"/>
        </w:rPr>
        <w:t xml:space="preserve"> with</w:t>
      </w:r>
      <w:r w:rsidRPr="00743E64">
        <w:rPr>
          <w:rFonts w:ascii="Palatino Linotype" w:hAnsi="Palatino Linotype"/>
          <w:b w:val="0"/>
          <w:sz w:val="24"/>
          <w:szCs w:val="24"/>
        </w:rPr>
        <w:t xml:space="preserve"> the Emissions Performance Standard because the</w:t>
      </w:r>
      <w:r w:rsidRPr="00743E64" w:rsidR="00415564">
        <w:rPr>
          <w:rFonts w:ascii="Palatino Linotype" w:hAnsi="Palatino Linotype"/>
          <w:b w:val="0"/>
          <w:sz w:val="24"/>
          <w:szCs w:val="24"/>
        </w:rPr>
        <w:t xml:space="preserve">ir resources </w:t>
      </w:r>
      <w:r w:rsidRPr="00743E64">
        <w:rPr>
          <w:rFonts w:ascii="Palatino Linotype" w:hAnsi="Palatino Linotype"/>
          <w:b w:val="0"/>
          <w:sz w:val="24"/>
          <w:szCs w:val="24"/>
        </w:rPr>
        <w:t xml:space="preserve">have capacity factors of less than </w:t>
      </w:r>
      <w:r w:rsidR="00F8097D">
        <w:rPr>
          <w:rFonts w:ascii="Palatino Linotype" w:hAnsi="Palatino Linotype"/>
          <w:b w:val="0"/>
          <w:sz w:val="24"/>
          <w:szCs w:val="24"/>
        </w:rPr>
        <w:br/>
      </w:r>
      <w:r w:rsidRPr="00743E64">
        <w:rPr>
          <w:rFonts w:ascii="Palatino Linotype" w:hAnsi="Palatino Linotype"/>
          <w:b w:val="0"/>
          <w:sz w:val="24"/>
          <w:szCs w:val="24"/>
        </w:rPr>
        <w:t xml:space="preserve">60 percent or are otherwise not subject to the </w:t>
      </w:r>
      <w:r w:rsidRPr="00743E64" w:rsidR="006D78D4">
        <w:rPr>
          <w:rFonts w:ascii="Palatino Linotype" w:hAnsi="Palatino Linotype"/>
          <w:b w:val="0"/>
          <w:sz w:val="24"/>
          <w:szCs w:val="24"/>
        </w:rPr>
        <w:t>EPS</w:t>
      </w:r>
      <w:r w:rsidRPr="00743E64">
        <w:rPr>
          <w:rFonts w:ascii="Palatino Linotype" w:hAnsi="Palatino Linotype"/>
          <w:b w:val="0"/>
          <w:sz w:val="24"/>
          <w:szCs w:val="24"/>
        </w:rPr>
        <w:t xml:space="preserve">. </w:t>
      </w:r>
    </w:p>
    <w:p w:rsidRPr="00743E64" w:rsidR="006B4ADB" w:rsidP="006B4ADB" w:rsidRDefault="006B4ADB" w14:paraId="55EC6A3B" w14:textId="77777777">
      <w:pPr>
        <w:rPr>
          <w:rFonts w:ascii="Palatino Linotype" w:hAnsi="Palatino Linotype"/>
          <w:b/>
          <w:sz w:val="24"/>
          <w:szCs w:val="24"/>
          <w:highlight w:val="yellow"/>
        </w:rPr>
      </w:pPr>
    </w:p>
    <w:p w:rsidRPr="00743E64" w:rsidR="00D86528" w:rsidP="007850B0" w:rsidRDefault="007850B0" w14:paraId="6C354DCE" w14:textId="565418E7">
      <w:pPr>
        <w:pStyle w:val="NoSpacing"/>
        <w:spacing w:after="240"/>
        <w:rPr>
          <w:rFonts w:ascii="Palatino Linotype" w:hAnsi="Palatino Linotype"/>
          <w:sz w:val="24"/>
          <w:szCs w:val="24"/>
        </w:rPr>
      </w:pPr>
      <w:r w:rsidRPr="00743E64">
        <w:rPr>
          <w:rFonts w:ascii="Palatino Linotype" w:hAnsi="Palatino Linotype"/>
          <w:b/>
          <w:sz w:val="24"/>
          <w:szCs w:val="24"/>
        </w:rPr>
        <w:t>Cost Recovery</w:t>
      </w:r>
    </w:p>
    <w:p w:rsidRPr="00743E64" w:rsidR="00292772" w:rsidP="00292772" w:rsidRDefault="005338B7" w14:paraId="2C158DCF" w14:textId="5F6EC60C">
      <w:pPr>
        <w:pStyle w:val="NoSpacing"/>
        <w:rPr>
          <w:rFonts w:ascii="Palatino Linotype" w:hAnsi="Palatino Linotype"/>
          <w:sz w:val="24"/>
          <w:szCs w:val="24"/>
        </w:rPr>
      </w:pPr>
      <w:r w:rsidRPr="00743E64">
        <w:rPr>
          <w:rFonts w:ascii="Palatino Linotype" w:hAnsi="Palatino Linotype"/>
          <w:sz w:val="24"/>
          <w:szCs w:val="24"/>
        </w:rPr>
        <w:t xml:space="preserve">Ordering Paragraph 12 of </w:t>
      </w:r>
      <w:r w:rsidRPr="00743E64" w:rsidR="005D23CD">
        <w:rPr>
          <w:rFonts w:ascii="Palatino Linotype" w:hAnsi="Palatino Linotype"/>
          <w:sz w:val="24"/>
          <w:szCs w:val="24"/>
        </w:rPr>
        <w:t xml:space="preserve">D.21-06-035 </w:t>
      </w:r>
      <w:r w:rsidRPr="00743E64" w:rsidR="00292772">
        <w:rPr>
          <w:rFonts w:ascii="Palatino Linotype" w:hAnsi="Palatino Linotype"/>
          <w:sz w:val="24"/>
          <w:szCs w:val="24"/>
        </w:rPr>
        <w:t xml:space="preserve">authorized </w:t>
      </w:r>
      <w:r w:rsidRPr="00743E64" w:rsidR="00CA40E4">
        <w:rPr>
          <w:rFonts w:ascii="Palatino Linotype" w:hAnsi="Palatino Linotype"/>
          <w:sz w:val="24"/>
          <w:szCs w:val="24"/>
        </w:rPr>
        <w:t>PG&amp;E</w:t>
      </w:r>
      <w:r w:rsidRPr="00743E64" w:rsidR="00972455">
        <w:rPr>
          <w:rFonts w:ascii="Palatino Linotype" w:hAnsi="Palatino Linotype"/>
          <w:sz w:val="24"/>
          <w:szCs w:val="24"/>
        </w:rPr>
        <w:t xml:space="preserve"> </w:t>
      </w:r>
      <w:r w:rsidRPr="00743E64" w:rsidR="00094F6C">
        <w:rPr>
          <w:rFonts w:ascii="Palatino Linotype" w:hAnsi="Palatino Linotype"/>
          <w:sz w:val="24"/>
          <w:szCs w:val="24"/>
        </w:rPr>
        <w:t>authorized</w:t>
      </w:r>
      <w:r w:rsidRPr="00743E64" w:rsidR="00972455">
        <w:rPr>
          <w:rFonts w:ascii="Palatino Linotype" w:hAnsi="Palatino Linotype"/>
          <w:sz w:val="24"/>
          <w:szCs w:val="24"/>
        </w:rPr>
        <w:t xml:space="preserve"> </w:t>
      </w:r>
      <w:r w:rsidRPr="00743E64" w:rsidR="00292772">
        <w:rPr>
          <w:rFonts w:ascii="Palatino Linotype" w:hAnsi="Palatino Linotype"/>
          <w:sz w:val="24"/>
          <w:szCs w:val="24"/>
        </w:rPr>
        <w:t xml:space="preserve">cost recovery of the MTR procurement via the </w:t>
      </w:r>
      <w:r w:rsidRPr="00743E64" w:rsidR="00323190">
        <w:rPr>
          <w:rFonts w:ascii="Palatino Linotype" w:hAnsi="Palatino Linotype"/>
          <w:sz w:val="24"/>
          <w:szCs w:val="24"/>
        </w:rPr>
        <w:t>P</w:t>
      </w:r>
      <w:r w:rsidRPr="00743E64" w:rsidR="00292772">
        <w:rPr>
          <w:rFonts w:ascii="Palatino Linotype" w:hAnsi="Palatino Linotype"/>
          <w:sz w:val="24"/>
          <w:szCs w:val="24"/>
        </w:rPr>
        <w:t xml:space="preserve">ower </w:t>
      </w:r>
      <w:r w:rsidRPr="00743E64" w:rsidR="00323190">
        <w:rPr>
          <w:rFonts w:ascii="Palatino Linotype" w:hAnsi="Palatino Linotype"/>
          <w:sz w:val="24"/>
          <w:szCs w:val="24"/>
        </w:rPr>
        <w:t>C</w:t>
      </w:r>
      <w:r w:rsidRPr="00743E64" w:rsidR="00292772">
        <w:rPr>
          <w:rFonts w:ascii="Palatino Linotype" w:hAnsi="Palatino Linotype"/>
          <w:sz w:val="24"/>
          <w:szCs w:val="24"/>
        </w:rPr>
        <w:t xml:space="preserve">harge </w:t>
      </w:r>
      <w:r w:rsidRPr="00743E64" w:rsidR="00323190">
        <w:rPr>
          <w:rFonts w:ascii="Palatino Linotype" w:hAnsi="Palatino Linotype"/>
          <w:sz w:val="24"/>
          <w:szCs w:val="24"/>
        </w:rPr>
        <w:t>I</w:t>
      </w:r>
      <w:r w:rsidRPr="00743E64" w:rsidR="00292772">
        <w:rPr>
          <w:rFonts w:ascii="Palatino Linotype" w:hAnsi="Palatino Linotype"/>
          <w:sz w:val="24"/>
          <w:szCs w:val="24"/>
        </w:rPr>
        <w:t xml:space="preserve">ndifference </w:t>
      </w:r>
      <w:r w:rsidRPr="00743E64" w:rsidR="00323190">
        <w:rPr>
          <w:rFonts w:ascii="Palatino Linotype" w:hAnsi="Palatino Linotype"/>
          <w:sz w:val="24"/>
          <w:szCs w:val="24"/>
        </w:rPr>
        <w:t>A</w:t>
      </w:r>
      <w:r w:rsidRPr="00743E64" w:rsidR="00292772">
        <w:rPr>
          <w:rFonts w:ascii="Palatino Linotype" w:hAnsi="Palatino Linotype"/>
          <w:sz w:val="24"/>
          <w:szCs w:val="24"/>
        </w:rPr>
        <w:t>djustment (PCIA):</w:t>
      </w:r>
    </w:p>
    <w:p w:rsidRPr="00743E64" w:rsidR="00292772" w:rsidP="00292772" w:rsidRDefault="00292772" w14:paraId="182DC0C6" w14:textId="77777777">
      <w:pPr>
        <w:pStyle w:val="NoSpacing"/>
        <w:rPr>
          <w:rFonts w:ascii="Palatino Linotype" w:hAnsi="Palatino Linotype"/>
          <w:sz w:val="24"/>
          <w:szCs w:val="24"/>
        </w:rPr>
      </w:pPr>
    </w:p>
    <w:p w:rsidRPr="00743E64" w:rsidR="00292772" w:rsidP="00292772" w:rsidRDefault="00292772" w14:paraId="51EE0049" w14:textId="4586131E">
      <w:pPr>
        <w:pStyle w:val="NoSpacing"/>
        <w:ind w:left="720"/>
        <w:rPr>
          <w:rFonts w:ascii="Palatino Linotype" w:hAnsi="Palatino Linotype"/>
          <w:sz w:val="24"/>
          <w:szCs w:val="24"/>
        </w:rPr>
      </w:pPr>
      <w:r w:rsidRPr="00743E64">
        <w:rPr>
          <w:rFonts w:ascii="Palatino Linotype" w:hAnsi="Palatino Linotype"/>
          <w:sz w:val="24"/>
          <w:szCs w:val="24"/>
        </w:rPr>
        <w:t xml:space="preserve">To the extent that any resources procured in response to this order are subject to allocation using the [PCIA], the date of that adjustment shall be vintaged by the date of this order. Pacific Gas and Electric Company, Southern California Edison Company, and San Diego Gas &amp; Electric Company shall each file Tier 2 advice letters to update their balancing accounts to address the PCIA treatment </w:t>
      </w:r>
      <w:proofErr w:type="gramStart"/>
      <w:r w:rsidRPr="00743E64">
        <w:rPr>
          <w:rFonts w:ascii="Palatino Linotype" w:hAnsi="Palatino Linotype"/>
          <w:sz w:val="24"/>
          <w:szCs w:val="24"/>
        </w:rPr>
        <w:t>as a result of</w:t>
      </w:r>
      <w:proofErr w:type="gramEnd"/>
      <w:r w:rsidRPr="00743E64">
        <w:rPr>
          <w:rFonts w:ascii="Palatino Linotype" w:hAnsi="Palatino Linotype"/>
          <w:sz w:val="24"/>
          <w:szCs w:val="24"/>
        </w:rPr>
        <w:t xml:space="preserve"> this order.</w:t>
      </w:r>
    </w:p>
    <w:p w:rsidRPr="00743E64" w:rsidR="004E00B4" w:rsidP="00292772" w:rsidRDefault="004E00B4" w14:paraId="41B9409D" w14:textId="77777777">
      <w:pPr>
        <w:pStyle w:val="NoSpacing"/>
        <w:rPr>
          <w:rFonts w:ascii="Palatino Linotype" w:hAnsi="Palatino Linotype"/>
          <w:sz w:val="24"/>
          <w:szCs w:val="24"/>
        </w:rPr>
      </w:pPr>
    </w:p>
    <w:p w:rsidRPr="00743E64" w:rsidR="00D86528" w:rsidP="00FB56D4" w:rsidRDefault="00EE5A36" w14:paraId="1F282951" w14:textId="753F19A8">
      <w:pPr>
        <w:pStyle w:val="NoSpacing"/>
        <w:rPr>
          <w:rFonts w:ascii="Palatino Linotype" w:hAnsi="Palatino Linotype"/>
          <w:sz w:val="24"/>
          <w:szCs w:val="24"/>
        </w:rPr>
      </w:pPr>
      <w:r w:rsidRPr="00743E64">
        <w:rPr>
          <w:rFonts w:ascii="Palatino Linotype" w:hAnsi="Palatino Linotype"/>
          <w:sz w:val="24"/>
          <w:szCs w:val="24"/>
        </w:rPr>
        <w:t xml:space="preserve">Staff find </w:t>
      </w:r>
      <w:proofErr w:type="gramStart"/>
      <w:r w:rsidRPr="00743E64">
        <w:rPr>
          <w:rFonts w:ascii="Palatino Linotype" w:hAnsi="Palatino Linotype"/>
          <w:sz w:val="24"/>
          <w:szCs w:val="24"/>
        </w:rPr>
        <w:t>the</w:t>
      </w:r>
      <w:r w:rsidRPr="00743E64" w:rsidR="00C76490">
        <w:rPr>
          <w:rFonts w:ascii="Palatino Linotype" w:hAnsi="Palatino Linotype"/>
          <w:sz w:val="24"/>
          <w:szCs w:val="24"/>
        </w:rPr>
        <w:t xml:space="preserve"> herein</w:t>
      </w:r>
      <w:proofErr w:type="gramEnd"/>
      <w:r w:rsidRPr="00743E64" w:rsidR="00C76490">
        <w:rPr>
          <w:rFonts w:ascii="Palatino Linotype" w:hAnsi="Palatino Linotype"/>
          <w:sz w:val="24"/>
          <w:szCs w:val="24"/>
        </w:rPr>
        <w:t xml:space="preserve"> MTR Contracts are entered into to meet </w:t>
      </w:r>
      <w:r w:rsidRPr="00743E64" w:rsidR="0002452E">
        <w:rPr>
          <w:rFonts w:ascii="Palatino Linotype" w:hAnsi="Palatino Linotype"/>
          <w:sz w:val="24"/>
          <w:szCs w:val="24"/>
        </w:rPr>
        <w:t>the procurement requirements of D.21-06-035 and D.23-02-040</w:t>
      </w:r>
      <w:r w:rsidRPr="00743E64" w:rsidR="002D4632">
        <w:rPr>
          <w:rFonts w:ascii="Palatino Linotype" w:hAnsi="Palatino Linotype"/>
          <w:sz w:val="24"/>
          <w:szCs w:val="24"/>
        </w:rPr>
        <w:t xml:space="preserve">, and the cost associated with the Contracts </w:t>
      </w:r>
      <w:r w:rsidRPr="00743E64" w:rsidR="00BB69BD">
        <w:rPr>
          <w:rFonts w:ascii="Palatino Linotype" w:hAnsi="Palatino Linotype"/>
          <w:sz w:val="24"/>
          <w:szCs w:val="24"/>
        </w:rPr>
        <w:t>are PCIA-eligible with an assigned vintage of 2021</w:t>
      </w:r>
      <w:r w:rsidRPr="00743E64" w:rsidR="00891A79">
        <w:rPr>
          <w:rFonts w:ascii="Palatino Linotype" w:hAnsi="Palatino Linotype"/>
          <w:sz w:val="24"/>
          <w:szCs w:val="24"/>
        </w:rPr>
        <w:t xml:space="preserve"> for purposes of D.21-06-035 procurement </w:t>
      </w:r>
      <w:r w:rsidRPr="00743E64" w:rsidR="00C37271">
        <w:rPr>
          <w:rFonts w:ascii="Palatino Linotype" w:hAnsi="Palatino Linotype"/>
          <w:sz w:val="24"/>
          <w:szCs w:val="24"/>
        </w:rPr>
        <w:t>requirements</w:t>
      </w:r>
      <w:r w:rsidRPr="00743E64" w:rsidR="00891A79">
        <w:rPr>
          <w:rFonts w:ascii="Palatino Linotype" w:hAnsi="Palatino Linotype"/>
          <w:sz w:val="24"/>
          <w:szCs w:val="24"/>
        </w:rPr>
        <w:t xml:space="preserve"> and vintage of 2023 for purposes of D.23-02-040 procurement requirements for the duration of their term. </w:t>
      </w:r>
      <w:r w:rsidRPr="00743E64" w:rsidR="00F70F7A">
        <w:rPr>
          <w:rFonts w:ascii="Palatino Linotype" w:hAnsi="Palatino Linotype"/>
          <w:sz w:val="24"/>
          <w:szCs w:val="24"/>
        </w:rPr>
        <w:t>Staff</w:t>
      </w:r>
      <w:r w:rsidRPr="00743E64" w:rsidR="00292772">
        <w:rPr>
          <w:rFonts w:ascii="Palatino Linotype" w:hAnsi="Palatino Linotype"/>
          <w:sz w:val="24"/>
          <w:szCs w:val="24"/>
        </w:rPr>
        <w:t xml:space="preserve"> </w:t>
      </w:r>
      <w:r w:rsidRPr="00743E64" w:rsidR="00C46F4B">
        <w:rPr>
          <w:rFonts w:ascii="Palatino Linotype" w:hAnsi="Palatino Linotype"/>
          <w:sz w:val="24"/>
          <w:szCs w:val="24"/>
        </w:rPr>
        <w:t xml:space="preserve">thus </w:t>
      </w:r>
      <w:r w:rsidRPr="00743E64" w:rsidR="00292772">
        <w:rPr>
          <w:rFonts w:ascii="Palatino Linotype" w:hAnsi="Palatino Linotype"/>
          <w:sz w:val="24"/>
          <w:szCs w:val="24"/>
        </w:rPr>
        <w:t xml:space="preserve">find </w:t>
      </w:r>
      <w:r w:rsidRPr="00743E64" w:rsidR="009924A6">
        <w:rPr>
          <w:rFonts w:ascii="Palatino Linotype" w:hAnsi="Palatino Linotype"/>
          <w:sz w:val="24"/>
          <w:szCs w:val="24"/>
        </w:rPr>
        <w:t>PG&amp;E</w:t>
      </w:r>
      <w:r w:rsidRPr="00743E64" w:rsidR="00292772">
        <w:rPr>
          <w:rFonts w:ascii="Palatino Linotype" w:hAnsi="Palatino Linotype"/>
          <w:sz w:val="24"/>
          <w:szCs w:val="24"/>
        </w:rPr>
        <w:t>’s proposed cost recovery of the MTR contracts to be consistent with OP 12 of D.21-06-035.</w:t>
      </w:r>
      <w:r w:rsidRPr="00743E64" w:rsidR="00FB56D4">
        <w:rPr>
          <w:rFonts w:ascii="Palatino Linotype" w:hAnsi="Palatino Linotype"/>
          <w:sz w:val="24"/>
          <w:szCs w:val="24"/>
        </w:rPr>
        <w:t xml:space="preserve"> </w:t>
      </w:r>
      <w:r w:rsidRPr="00743E64" w:rsidR="007E5B97">
        <w:rPr>
          <w:rFonts w:ascii="Palatino Linotype" w:hAnsi="Palatino Linotype"/>
          <w:sz w:val="24"/>
          <w:szCs w:val="24"/>
        </w:rPr>
        <w:t xml:space="preserve">Thus, </w:t>
      </w:r>
      <w:r w:rsidRPr="00743E64" w:rsidR="00FB56D4">
        <w:rPr>
          <w:rFonts w:ascii="Palatino Linotype" w:hAnsi="Palatino Linotype"/>
          <w:sz w:val="24"/>
          <w:szCs w:val="24"/>
        </w:rPr>
        <w:t xml:space="preserve">any payments to be made by </w:t>
      </w:r>
      <w:r w:rsidRPr="00743E64" w:rsidR="00C6082A">
        <w:rPr>
          <w:rFonts w:ascii="Palatino Linotype" w:hAnsi="Palatino Linotype"/>
          <w:sz w:val="24"/>
          <w:szCs w:val="24"/>
        </w:rPr>
        <w:t>PG&amp;E</w:t>
      </w:r>
      <w:r w:rsidRPr="00743E64" w:rsidR="00FB56D4">
        <w:rPr>
          <w:rFonts w:ascii="Palatino Linotype" w:hAnsi="Palatino Linotype"/>
          <w:sz w:val="24"/>
          <w:szCs w:val="24"/>
        </w:rPr>
        <w:t xml:space="preserve"> pursuant to the Atlas as well as the </w:t>
      </w:r>
      <w:r w:rsidRPr="00743E64" w:rsidR="00C6082A">
        <w:rPr>
          <w:rFonts w:ascii="Palatino Linotype" w:hAnsi="Palatino Linotype"/>
          <w:sz w:val="24"/>
          <w:szCs w:val="24"/>
        </w:rPr>
        <w:t xml:space="preserve">Lockhart </w:t>
      </w:r>
      <w:r w:rsidRPr="00743E64" w:rsidR="00FB56D4">
        <w:rPr>
          <w:rFonts w:ascii="Palatino Linotype" w:hAnsi="Palatino Linotype"/>
          <w:sz w:val="24"/>
          <w:szCs w:val="24"/>
        </w:rPr>
        <w:t xml:space="preserve">contracts, are recoverable by </w:t>
      </w:r>
      <w:r w:rsidRPr="00743E64" w:rsidR="00C6082A">
        <w:rPr>
          <w:rFonts w:ascii="Palatino Linotype" w:hAnsi="Palatino Linotype"/>
          <w:sz w:val="24"/>
          <w:szCs w:val="24"/>
        </w:rPr>
        <w:t>PG&amp;E</w:t>
      </w:r>
      <w:r w:rsidRPr="00743E64" w:rsidR="00FB56D4">
        <w:rPr>
          <w:rFonts w:ascii="Palatino Linotype" w:hAnsi="Palatino Linotype"/>
          <w:sz w:val="24"/>
          <w:szCs w:val="24"/>
        </w:rPr>
        <w:t xml:space="preserve"> through the PABA, subject to </w:t>
      </w:r>
      <w:r w:rsidRPr="00743E64" w:rsidR="00C6082A">
        <w:rPr>
          <w:rFonts w:ascii="Palatino Linotype" w:hAnsi="Palatino Linotype"/>
          <w:sz w:val="24"/>
          <w:szCs w:val="24"/>
        </w:rPr>
        <w:t>PG&amp;E</w:t>
      </w:r>
      <w:r w:rsidRPr="00743E64" w:rsidR="00FB56D4">
        <w:rPr>
          <w:rFonts w:ascii="Palatino Linotype" w:hAnsi="Palatino Linotype"/>
          <w:sz w:val="24"/>
          <w:szCs w:val="24"/>
        </w:rPr>
        <w:t>'s prudent administration of the MTR Contracts.</w:t>
      </w:r>
    </w:p>
    <w:p w:rsidRPr="00743E64" w:rsidR="00D86528" w:rsidP="00D86528" w:rsidRDefault="00D86528" w14:paraId="7DA4607F" w14:textId="77777777">
      <w:pPr>
        <w:pStyle w:val="BodyText"/>
        <w:rPr>
          <w:rFonts w:ascii="Palatino Linotype" w:hAnsi="Palatino Linotype"/>
          <w:b w:val="0"/>
          <w:sz w:val="24"/>
          <w:szCs w:val="24"/>
        </w:rPr>
      </w:pPr>
    </w:p>
    <w:p w:rsidRPr="00743E64" w:rsidR="00D86528" w:rsidP="00D86528" w:rsidRDefault="00D86528" w14:paraId="2616ED96" w14:textId="77777777">
      <w:pPr>
        <w:pStyle w:val="Heading1"/>
        <w:spacing w:before="0" w:after="120"/>
        <w:rPr>
          <w:rFonts w:ascii="Palatino Linotype" w:hAnsi="Palatino Linotype"/>
          <w:caps w:val="0"/>
          <w:sz w:val="24"/>
          <w:szCs w:val="24"/>
          <w:u w:val="none"/>
        </w:rPr>
      </w:pPr>
      <w:r w:rsidRPr="00743E64">
        <w:rPr>
          <w:rFonts w:ascii="Palatino Linotype" w:hAnsi="Palatino Linotype"/>
          <w:caps w:val="0"/>
          <w:sz w:val="24"/>
          <w:szCs w:val="24"/>
          <w:u w:val="none"/>
        </w:rPr>
        <w:t>Confidential Information</w:t>
      </w:r>
    </w:p>
    <w:p w:rsidRPr="00743E64" w:rsidR="00D86528" w:rsidP="00D86528" w:rsidRDefault="00D86528" w14:paraId="58A55A4C" w14:textId="77777777">
      <w:pPr>
        <w:rPr>
          <w:rFonts w:ascii="Palatino Linotype" w:hAnsi="Palatino Linotype"/>
          <w:sz w:val="24"/>
          <w:szCs w:val="24"/>
        </w:rPr>
      </w:pPr>
      <w:r w:rsidRPr="00743E64">
        <w:rPr>
          <w:rFonts w:ascii="Palatino Linotype" w:hAnsi="Palatino Linotype"/>
          <w:sz w:val="24"/>
          <w:szCs w:val="24"/>
        </w:rPr>
        <w:t xml:space="preserve">The Commission, through the implementation of Pub. Util. Code § 454.5(g), has determined in D.06-06-066, as modified by D.07-05-032 and D.21-11-029, that certain material submitted to the Commission </w:t>
      </w:r>
      <w:proofErr w:type="gramStart"/>
      <w:r w:rsidRPr="00743E64">
        <w:rPr>
          <w:rFonts w:ascii="Palatino Linotype" w:hAnsi="Palatino Linotype"/>
          <w:sz w:val="24"/>
          <w:szCs w:val="24"/>
        </w:rPr>
        <w:t>as</w:t>
      </w:r>
      <w:proofErr w:type="gramEnd"/>
      <w:r w:rsidRPr="00743E64">
        <w:rPr>
          <w:rFonts w:ascii="Palatino Linotype" w:hAnsi="Palatino Linotype"/>
          <w:sz w:val="24"/>
          <w:szCs w:val="24"/>
        </w:rPr>
        <w:t xml:space="preserve"> confidential should be kept confidential to ensure that market sensitive data does not influence the behavior of bidders in future RPS solicitations. D.06-06-066, as modified, adopted a time limit on the confidentiality of specific terms in RPS contracts.  Such information, such as price, may be kept confidential until 30 days after the commercial operation date/energy delivery start date or eighteen months from the date of Commission approval, whichever comes first or one year after contract termination, except contracts between IOUs and their affiliates, which are public. </w:t>
      </w:r>
    </w:p>
    <w:p w:rsidRPr="00743E64" w:rsidR="00D86528" w:rsidP="00D86528" w:rsidRDefault="00D86528" w14:paraId="5A860866" w14:textId="77777777">
      <w:pPr>
        <w:rPr>
          <w:rFonts w:ascii="Palatino Linotype" w:hAnsi="Palatino Linotype"/>
          <w:sz w:val="24"/>
          <w:szCs w:val="24"/>
        </w:rPr>
      </w:pPr>
    </w:p>
    <w:p w:rsidRPr="00743E64" w:rsidR="00D86528" w:rsidP="00D86528" w:rsidRDefault="00D86528" w14:paraId="62FD1562" w14:textId="77777777">
      <w:pPr>
        <w:rPr>
          <w:rFonts w:ascii="Palatino Linotype" w:hAnsi="Palatino Linotype"/>
          <w:sz w:val="24"/>
          <w:szCs w:val="24"/>
        </w:rPr>
      </w:pPr>
      <w:r w:rsidRPr="00743E64">
        <w:rPr>
          <w:rFonts w:ascii="Palatino Linotype" w:hAnsi="Palatino Linotype"/>
          <w:sz w:val="24"/>
          <w:szCs w:val="24"/>
        </w:rPr>
        <w:lastRenderedPageBreak/>
        <w:t>The confidential appendices marked "[REDACTED]" in the public copy of this resolution, as well as the confidential portions of the advice letter, should remain confidential at this time.</w:t>
      </w:r>
    </w:p>
    <w:p w:rsidRPr="00743E64" w:rsidR="00D86528" w:rsidP="00D86528" w:rsidRDefault="00D86528" w14:paraId="222A32C3" w14:textId="77777777">
      <w:pPr>
        <w:rPr>
          <w:rFonts w:ascii="Palatino Linotype" w:hAnsi="Palatino Linotype"/>
          <w:sz w:val="24"/>
          <w:szCs w:val="24"/>
          <w:u w:val="single"/>
        </w:rPr>
      </w:pPr>
    </w:p>
    <w:p w:rsidRPr="00743E64" w:rsidR="00D86528" w:rsidP="00D86528" w:rsidRDefault="00D86528" w14:paraId="47EA145E" w14:textId="7E9DB5BF">
      <w:pPr>
        <w:pStyle w:val="Heading1"/>
        <w:rPr>
          <w:rFonts w:ascii="Palatino Linotype" w:hAnsi="Palatino Linotype"/>
          <w:sz w:val="24"/>
          <w:szCs w:val="24"/>
        </w:rPr>
      </w:pPr>
      <w:r w:rsidRPr="00743E64">
        <w:rPr>
          <w:rFonts w:ascii="Palatino Linotype" w:hAnsi="Palatino Linotype"/>
          <w:sz w:val="24"/>
          <w:szCs w:val="24"/>
        </w:rPr>
        <w:t>Comments</w:t>
      </w:r>
    </w:p>
    <w:p w:rsidRPr="009C4462" w:rsidR="009C4462" w:rsidP="009C4462" w:rsidRDefault="009C4462" w14:paraId="724B6496" w14:textId="77777777">
      <w:pPr>
        <w:spacing w:after="120"/>
        <w:rPr>
          <w:rFonts w:ascii="Palatino Linotype" w:hAnsi="Palatino Linotype" w:eastAsia="Palatino Linotype" w:cs="Palatino Linotype"/>
          <w:sz w:val="24"/>
          <w:szCs w:val="24"/>
        </w:rPr>
      </w:pPr>
      <w:r w:rsidRPr="009C4462">
        <w:rPr>
          <w:rFonts w:ascii="Palatino Linotype" w:hAnsi="Palatino Linotype" w:eastAsia="Palatino Linotype" w:cs="Palatino Linotype"/>
          <w:sz w:val="24"/>
          <w:szCs w:val="24"/>
        </w:rPr>
        <w:t xml:space="preserve">Public Utilities Code section 311(g)(1) provides that this Resolution must be served on all parties and subject to at least 30 days’ public review.  Any comments are due within </w:t>
      </w:r>
      <w:r w:rsidRPr="009C4462">
        <w:rPr>
          <w:rFonts w:ascii="Palatino Linotype" w:hAnsi="Palatino Linotype" w:eastAsia="Palatino Linotype" w:cs="Palatino Linotype"/>
          <w:sz w:val="24"/>
          <w:szCs w:val="24"/>
        </w:rPr>
        <w:br/>
        <w:t xml:space="preserve">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9C4462" w:rsidR="009C4462" w:rsidP="009C4462" w:rsidRDefault="009C4462" w14:paraId="515EC720" w14:textId="77777777">
      <w:pPr>
        <w:spacing w:after="120"/>
        <w:rPr>
          <w:rFonts w:ascii="Palatino Linotype" w:hAnsi="Palatino Linotype" w:eastAsia="Palatino Linotype" w:cs="Palatino Linotype"/>
          <w:sz w:val="24"/>
          <w:szCs w:val="24"/>
        </w:rPr>
      </w:pPr>
    </w:p>
    <w:p w:rsidR="00D02B68" w:rsidP="009C4462" w:rsidRDefault="009C4462" w14:paraId="7F5AEA7C" w14:textId="1A562D8E">
      <w:pPr>
        <w:spacing w:after="120"/>
        <w:rPr>
          <w:rFonts w:ascii="Palatino Linotype" w:hAnsi="Palatino Linotype" w:eastAsia="Palatino Linotype" w:cs="Palatino Linotype"/>
          <w:sz w:val="24"/>
          <w:szCs w:val="24"/>
        </w:rPr>
      </w:pPr>
      <w:r w:rsidRPr="009C4462">
        <w:rPr>
          <w:rFonts w:ascii="Palatino Linotype" w:hAnsi="Palatino Linotype" w:eastAsia="Palatino Linotype" w:cs="Palatino Linotype"/>
          <w:sz w:val="24"/>
          <w:szCs w:val="24"/>
        </w:rPr>
        <w:t xml:space="preserve">The 30-day review and 20-day comment period for the draft of this resolution were neither waived nor reduced.  Accordingly, </w:t>
      </w:r>
      <w:r w:rsidR="00D02B68">
        <w:rPr>
          <w:rFonts w:ascii="Palatino Linotype" w:hAnsi="Palatino Linotype" w:eastAsia="Palatino Linotype" w:cs="Palatino Linotype"/>
          <w:sz w:val="24"/>
          <w:szCs w:val="24"/>
        </w:rPr>
        <w:t>this draft Resolution was mailed to parties for comments on January 21</w:t>
      </w:r>
      <w:r w:rsidRPr="00D02B68" w:rsidR="00D02B68">
        <w:rPr>
          <w:rFonts w:ascii="Palatino Linotype" w:hAnsi="Palatino Linotype" w:eastAsia="Palatino Linotype" w:cs="Palatino Linotype"/>
          <w:sz w:val="24"/>
          <w:szCs w:val="24"/>
          <w:vertAlign w:val="superscript"/>
        </w:rPr>
        <w:t>st</w:t>
      </w:r>
      <w:r w:rsidR="00D02B68">
        <w:rPr>
          <w:rFonts w:ascii="Palatino Linotype" w:hAnsi="Palatino Linotype" w:eastAsia="Palatino Linotype" w:cs="Palatino Linotype"/>
          <w:sz w:val="24"/>
          <w:szCs w:val="24"/>
        </w:rPr>
        <w:t xml:space="preserve">, 2025, and </w:t>
      </w:r>
      <w:r w:rsidR="008C0B81">
        <w:rPr>
          <w:rFonts w:ascii="Palatino Linotype" w:hAnsi="Palatino Linotype" w:eastAsia="Palatino Linotype" w:cs="Palatino Linotype"/>
          <w:sz w:val="24"/>
          <w:szCs w:val="24"/>
        </w:rPr>
        <w:t>has been</w:t>
      </w:r>
      <w:r w:rsidR="00D02B68">
        <w:rPr>
          <w:rFonts w:ascii="Palatino Linotype" w:hAnsi="Palatino Linotype" w:eastAsia="Palatino Linotype" w:cs="Palatino Linotype"/>
          <w:sz w:val="24"/>
          <w:szCs w:val="24"/>
        </w:rPr>
        <w:t xml:space="preserve"> placed on the CPUC’s agenda </w:t>
      </w:r>
      <w:r w:rsidR="00492F77">
        <w:rPr>
          <w:rFonts w:ascii="Palatino Linotype" w:hAnsi="Palatino Linotype" w:eastAsia="Palatino Linotype" w:cs="Palatino Linotype"/>
          <w:sz w:val="24"/>
          <w:szCs w:val="24"/>
        </w:rPr>
        <w:t>for February 20</w:t>
      </w:r>
      <w:r w:rsidRPr="00492F77" w:rsidR="00492F77">
        <w:rPr>
          <w:rFonts w:ascii="Palatino Linotype" w:hAnsi="Palatino Linotype" w:eastAsia="Palatino Linotype" w:cs="Palatino Linotype"/>
          <w:sz w:val="24"/>
          <w:szCs w:val="24"/>
          <w:vertAlign w:val="superscript"/>
        </w:rPr>
        <w:t>th</w:t>
      </w:r>
      <w:r w:rsidR="00492F77">
        <w:rPr>
          <w:rFonts w:ascii="Palatino Linotype" w:hAnsi="Palatino Linotype" w:eastAsia="Palatino Linotype" w:cs="Palatino Linotype"/>
          <w:sz w:val="24"/>
          <w:szCs w:val="24"/>
        </w:rPr>
        <w:t>, 2025</w:t>
      </w:r>
      <w:r w:rsidR="00D02B68">
        <w:rPr>
          <w:rFonts w:ascii="Palatino Linotype" w:hAnsi="Palatino Linotype" w:eastAsia="Palatino Linotype" w:cs="Palatino Linotype"/>
          <w:sz w:val="24"/>
          <w:szCs w:val="24"/>
        </w:rPr>
        <w:t>.</w:t>
      </w:r>
    </w:p>
    <w:p w:rsidR="00D02B68" w:rsidP="009C4462" w:rsidRDefault="00D02B68" w14:paraId="2EF81FF8" w14:textId="77777777">
      <w:pPr>
        <w:spacing w:after="120"/>
        <w:rPr>
          <w:rFonts w:ascii="Palatino Linotype" w:hAnsi="Palatino Linotype" w:eastAsia="Palatino Linotype" w:cs="Palatino Linotype"/>
          <w:sz w:val="24"/>
          <w:szCs w:val="24"/>
        </w:rPr>
      </w:pPr>
    </w:p>
    <w:p w:rsidR="009C4462" w:rsidP="009C4462" w:rsidRDefault="00D02B68" w14:paraId="1AC48071" w14:textId="5F73A14F">
      <w:pPr>
        <w:spacing w:after="120"/>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This resolution received no comments.</w:t>
      </w:r>
    </w:p>
    <w:p w:rsidRPr="009C4462" w:rsidR="00D02B68" w:rsidP="009C4462" w:rsidRDefault="00D02B68" w14:paraId="6030649B" w14:textId="77777777">
      <w:pPr>
        <w:spacing w:after="120"/>
        <w:rPr>
          <w:rFonts w:ascii="Palatino Linotype" w:hAnsi="Palatino Linotype" w:eastAsia="Palatino Linotype" w:cs="Palatino Linotype"/>
          <w:sz w:val="24"/>
          <w:szCs w:val="24"/>
        </w:rPr>
      </w:pPr>
    </w:p>
    <w:p w:rsidRPr="00743E64" w:rsidR="0032165C" w:rsidP="3C3BF5CC" w:rsidRDefault="62E722C0" w14:paraId="1571A0C9" w14:textId="288D1BEF">
      <w:pPr>
        <w:pStyle w:val="Heading1"/>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Findings</w:t>
      </w:r>
    </w:p>
    <w:p w:rsidRPr="00743E64" w:rsidR="0032165C" w:rsidP="3C3BF5CC" w:rsidRDefault="65470BC5" w14:paraId="43320CF2" w14:textId="0B73C5E9">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O</w:t>
      </w:r>
      <w:r w:rsidRPr="00743E64" w:rsidR="689FBB9F">
        <w:rPr>
          <w:rFonts w:ascii="Palatino Linotype" w:hAnsi="Palatino Linotype" w:eastAsia="Palatino Linotype" w:cs="Palatino Linotype"/>
          <w:sz w:val="24"/>
          <w:szCs w:val="24"/>
        </w:rPr>
        <w:t xml:space="preserve">n </w:t>
      </w:r>
      <w:r w:rsidRPr="00743E64" w:rsidR="6E3A678F">
        <w:rPr>
          <w:rFonts w:ascii="Palatino Linotype" w:hAnsi="Palatino Linotype" w:eastAsia="Palatino Linotype" w:cs="Palatino Linotype"/>
          <w:sz w:val="24"/>
          <w:szCs w:val="24"/>
        </w:rPr>
        <w:t>September 9</w:t>
      </w:r>
      <w:r w:rsidRPr="00743E64" w:rsidR="689FBB9F">
        <w:rPr>
          <w:rFonts w:ascii="Palatino Linotype" w:hAnsi="Palatino Linotype" w:eastAsia="Palatino Linotype" w:cs="Palatino Linotype"/>
          <w:sz w:val="24"/>
          <w:szCs w:val="24"/>
        </w:rPr>
        <w:t>, 2024,</w:t>
      </w:r>
      <w:r w:rsidRPr="00743E64" w:rsidR="1F92A808">
        <w:rPr>
          <w:rFonts w:ascii="Palatino Linotype" w:hAnsi="Palatino Linotype" w:eastAsia="Palatino Linotype" w:cs="Palatino Linotype"/>
          <w:sz w:val="24"/>
          <w:szCs w:val="24"/>
        </w:rPr>
        <w:t xml:space="preserve"> </w:t>
      </w:r>
      <w:r w:rsidRPr="00743E64" w:rsidR="6E3A678F">
        <w:rPr>
          <w:rFonts w:ascii="Palatino Linotype" w:hAnsi="Palatino Linotype" w:eastAsia="Palatino Linotype" w:cs="Palatino Linotype"/>
          <w:sz w:val="24"/>
          <w:szCs w:val="24"/>
        </w:rPr>
        <w:t>PG&amp;E</w:t>
      </w:r>
      <w:r w:rsidRPr="00743E64" w:rsidR="1F92A808">
        <w:rPr>
          <w:rFonts w:ascii="Palatino Linotype" w:hAnsi="Palatino Linotype" w:eastAsia="Palatino Linotype" w:cs="Palatino Linotype"/>
          <w:sz w:val="24"/>
          <w:szCs w:val="24"/>
        </w:rPr>
        <w:t xml:space="preserve"> </w:t>
      </w:r>
      <w:r w:rsidRPr="00743E64" w:rsidR="3CA07365">
        <w:rPr>
          <w:rFonts w:ascii="Palatino Linotype" w:hAnsi="Palatino Linotype" w:eastAsia="Palatino Linotype" w:cs="Palatino Linotype"/>
          <w:sz w:val="24"/>
          <w:szCs w:val="24"/>
        </w:rPr>
        <w:t xml:space="preserve">filed AL 7356-E </w:t>
      </w:r>
      <w:r w:rsidRPr="00743E64" w:rsidR="1EE49E03">
        <w:rPr>
          <w:rFonts w:ascii="Palatino Linotype" w:hAnsi="Palatino Linotype" w:eastAsia="Palatino Linotype" w:cs="Palatino Linotype"/>
          <w:sz w:val="24"/>
          <w:szCs w:val="24"/>
        </w:rPr>
        <w:t xml:space="preserve">seeking </w:t>
      </w:r>
      <w:r w:rsidRPr="00743E64" w:rsidR="1F92A808">
        <w:rPr>
          <w:rFonts w:ascii="Palatino Linotype" w:hAnsi="Palatino Linotype" w:eastAsia="Palatino Linotype" w:cs="Palatino Linotype"/>
          <w:sz w:val="24"/>
          <w:szCs w:val="24"/>
        </w:rPr>
        <w:t xml:space="preserve">approval </w:t>
      </w:r>
      <w:r w:rsidRPr="00743E64" w:rsidR="198630C4">
        <w:rPr>
          <w:rFonts w:ascii="Palatino Linotype" w:hAnsi="Palatino Linotype" w:eastAsia="Palatino Linotype" w:cs="Palatino Linotype"/>
          <w:sz w:val="24"/>
          <w:szCs w:val="24"/>
        </w:rPr>
        <w:t xml:space="preserve">of </w:t>
      </w:r>
      <w:r w:rsidRPr="00743E64" w:rsidR="1F92A808">
        <w:rPr>
          <w:rFonts w:ascii="Palatino Linotype" w:hAnsi="Palatino Linotype" w:eastAsia="Palatino Linotype" w:cs="Palatino Linotype"/>
          <w:sz w:val="24"/>
          <w:szCs w:val="24"/>
        </w:rPr>
        <w:t>f</w:t>
      </w:r>
      <w:r w:rsidRPr="00743E64" w:rsidR="6E3A678F">
        <w:rPr>
          <w:rFonts w:ascii="Palatino Linotype" w:hAnsi="Palatino Linotype" w:eastAsia="Palatino Linotype" w:cs="Palatino Linotype"/>
          <w:sz w:val="24"/>
          <w:szCs w:val="24"/>
        </w:rPr>
        <w:t>our</w:t>
      </w:r>
      <w:r w:rsidRPr="00743E64" w:rsidR="1F92A808">
        <w:rPr>
          <w:rFonts w:ascii="Palatino Linotype" w:hAnsi="Palatino Linotype" w:eastAsia="Palatino Linotype" w:cs="Palatino Linotype"/>
          <w:sz w:val="24"/>
          <w:szCs w:val="24"/>
        </w:rPr>
        <w:t xml:space="preserve"> </w:t>
      </w:r>
      <w:r w:rsidRPr="00743E64" w:rsidR="0D79B8F8">
        <w:rPr>
          <w:rFonts w:ascii="Palatino Linotype" w:hAnsi="Palatino Linotype" w:eastAsia="Palatino Linotype" w:cs="Palatino Linotype"/>
          <w:sz w:val="24"/>
          <w:szCs w:val="24"/>
        </w:rPr>
        <w:t xml:space="preserve">15-year </w:t>
      </w:r>
      <w:r w:rsidRPr="00743E64" w:rsidR="649F45CC">
        <w:rPr>
          <w:rFonts w:ascii="Palatino Linotype" w:hAnsi="Palatino Linotype" w:eastAsia="Palatino Linotype" w:cs="Palatino Linotype"/>
          <w:sz w:val="24"/>
          <w:szCs w:val="24"/>
        </w:rPr>
        <w:t>M</w:t>
      </w:r>
      <w:r w:rsidRPr="00743E64" w:rsidR="1F92A808">
        <w:rPr>
          <w:rFonts w:ascii="Palatino Linotype" w:hAnsi="Palatino Linotype" w:eastAsia="Palatino Linotype" w:cs="Palatino Linotype"/>
          <w:sz w:val="24"/>
          <w:szCs w:val="24"/>
        </w:rPr>
        <w:t xml:space="preserve">TR contracts to partially meet </w:t>
      </w:r>
      <w:r w:rsidRPr="00743E64" w:rsidR="6E3A678F">
        <w:rPr>
          <w:rFonts w:ascii="Palatino Linotype" w:hAnsi="Palatino Linotype" w:eastAsia="Palatino Linotype" w:cs="Palatino Linotype"/>
          <w:sz w:val="24"/>
          <w:szCs w:val="24"/>
        </w:rPr>
        <w:t>PG&amp;</w:t>
      </w:r>
      <w:r w:rsidRPr="00743E64" w:rsidR="1F92A808">
        <w:rPr>
          <w:rFonts w:ascii="Palatino Linotype" w:hAnsi="Palatino Linotype" w:eastAsia="Palatino Linotype" w:cs="Palatino Linotype"/>
          <w:sz w:val="24"/>
          <w:szCs w:val="24"/>
        </w:rPr>
        <w:t>E’s D.21-06-035 and D.23-02-040 requirements</w:t>
      </w:r>
      <w:r w:rsidRPr="00743E64" w:rsidR="4FBDFC99">
        <w:rPr>
          <w:rFonts w:ascii="Palatino Linotype" w:hAnsi="Palatino Linotype" w:eastAsia="Palatino Linotype" w:cs="Palatino Linotype"/>
          <w:sz w:val="24"/>
          <w:szCs w:val="24"/>
        </w:rPr>
        <w:t>.</w:t>
      </w:r>
    </w:p>
    <w:p w:rsidRPr="00743E64" w:rsidR="0032165C" w:rsidP="3C3BF5CC" w:rsidRDefault="0032165C" w14:paraId="0A81C7D0" w14:textId="77777777">
      <w:pPr>
        <w:pStyle w:val="ListParagraph"/>
        <w:rPr>
          <w:rFonts w:ascii="Palatino Linotype" w:hAnsi="Palatino Linotype" w:eastAsia="Palatino Linotype" w:cs="Palatino Linotype"/>
          <w:sz w:val="24"/>
          <w:szCs w:val="24"/>
        </w:rPr>
      </w:pPr>
    </w:p>
    <w:p w:rsidRPr="00743E64" w:rsidR="0032165C" w:rsidP="3C3BF5CC" w:rsidRDefault="3B9E96B3" w14:paraId="2FDB1A74" w14:textId="528ED8B0">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The</w:t>
      </w:r>
      <w:r w:rsidRPr="00743E64" w:rsidR="0A8D5F1F">
        <w:rPr>
          <w:rFonts w:ascii="Palatino Linotype" w:hAnsi="Palatino Linotype" w:eastAsia="Palatino Linotype" w:cs="Palatino Linotype"/>
          <w:sz w:val="24"/>
          <w:szCs w:val="24"/>
        </w:rPr>
        <w:t xml:space="preserve"> Atlas </w:t>
      </w:r>
      <w:r w:rsidRPr="00743E64" w:rsidR="1A5A5E59">
        <w:rPr>
          <w:rFonts w:ascii="Palatino Linotype" w:hAnsi="Palatino Linotype" w:eastAsia="Palatino Linotype" w:cs="Palatino Linotype"/>
          <w:sz w:val="24"/>
          <w:szCs w:val="24"/>
        </w:rPr>
        <w:t>XII</w:t>
      </w:r>
      <w:r w:rsidRPr="00743E64" w:rsidR="0A8D5F1F">
        <w:rPr>
          <w:rFonts w:ascii="Palatino Linotype" w:hAnsi="Palatino Linotype" w:eastAsia="Palatino Linotype" w:cs="Palatino Linotype"/>
          <w:sz w:val="24"/>
          <w:szCs w:val="24"/>
        </w:rPr>
        <w:t>, and Atlas X</w:t>
      </w:r>
      <w:r w:rsidRPr="00743E64" w:rsidR="1A5A5E59">
        <w:rPr>
          <w:rFonts w:ascii="Palatino Linotype" w:hAnsi="Palatino Linotype" w:eastAsia="Palatino Linotype" w:cs="Palatino Linotype"/>
          <w:sz w:val="24"/>
          <w:szCs w:val="24"/>
        </w:rPr>
        <w:t>III</w:t>
      </w:r>
      <w:r w:rsidRPr="00743E64" w:rsidR="0A8D5F1F">
        <w:rPr>
          <w:rFonts w:ascii="Palatino Linotype" w:hAnsi="Palatino Linotype" w:eastAsia="Palatino Linotype" w:cs="Palatino Linotype"/>
          <w:sz w:val="24"/>
          <w:szCs w:val="24"/>
        </w:rPr>
        <w:t xml:space="preserve"> (</w:t>
      </w:r>
      <w:r w:rsidRPr="00743E64" w:rsidR="15BE7990">
        <w:rPr>
          <w:rFonts w:ascii="Palatino Linotype" w:hAnsi="Palatino Linotype" w:eastAsia="Palatino Linotype" w:cs="Palatino Linotype"/>
          <w:sz w:val="24"/>
          <w:szCs w:val="24"/>
        </w:rPr>
        <w:t>Atlas</w:t>
      </w:r>
      <w:r w:rsidRPr="00743E64" w:rsidR="0A8D5F1F">
        <w:rPr>
          <w:rFonts w:ascii="Palatino Linotype" w:hAnsi="Palatino Linotype" w:eastAsia="Palatino Linotype" w:cs="Palatino Linotype"/>
          <w:sz w:val="24"/>
          <w:szCs w:val="24"/>
        </w:rPr>
        <w:t>) contracts</w:t>
      </w:r>
      <w:r w:rsidRPr="00743E64" w:rsidR="4E313191">
        <w:rPr>
          <w:rFonts w:ascii="Palatino Linotype" w:hAnsi="Palatino Linotype" w:eastAsia="Palatino Linotype" w:cs="Palatino Linotype"/>
          <w:sz w:val="24"/>
          <w:szCs w:val="24"/>
        </w:rPr>
        <w:t xml:space="preserve">, sold by 174 Power Global </w:t>
      </w:r>
      <w:proofErr w:type="gramStart"/>
      <w:r w:rsidRPr="00743E64" w:rsidR="4E313191">
        <w:rPr>
          <w:rFonts w:ascii="Palatino Linotype" w:hAnsi="Palatino Linotype" w:eastAsia="Palatino Linotype" w:cs="Palatino Linotype"/>
          <w:sz w:val="24"/>
          <w:szCs w:val="24"/>
        </w:rPr>
        <w:t xml:space="preserve">LLC, </w:t>
      </w:r>
      <w:r w:rsidRPr="00743E64" w:rsidR="0A8D5F1F">
        <w:rPr>
          <w:rFonts w:ascii="Palatino Linotype" w:hAnsi="Palatino Linotype" w:eastAsia="Palatino Linotype" w:cs="Palatino Linotype"/>
          <w:sz w:val="24"/>
          <w:szCs w:val="24"/>
        </w:rPr>
        <w:t xml:space="preserve"> </w:t>
      </w:r>
      <w:r w:rsidRPr="00743E64" w:rsidR="2EE85765">
        <w:rPr>
          <w:rFonts w:ascii="Palatino Linotype" w:hAnsi="Palatino Linotype" w:eastAsia="Palatino Linotype" w:cs="Palatino Linotype"/>
          <w:sz w:val="24"/>
          <w:szCs w:val="24"/>
        </w:rPr>
        <w:t>total</w:t>
      </w:r>
      <w:proofErr w:type="gramEnd"/>
      <w:r w:rsidRPr="00743E64" w:rsidR="2EE85765">
        <w:rPr>
          <w:rFonts w:ascii="Palatino Linotype" w:hAnsi="Palatino Linotype" w:eastAsia="Palatino Linotype" w:cs="Palatino Linotype"/>
          <w:sz w:val="24"/>
          <w:szCs w:val="24"/>
        </w:rPr>
        <w:t xml:space="preserve"> </w:t>
      </w:r>
      <w:r w:rsidRPr="00743E64" w:rsidR="2527E7FA">
        <w:rPr>
          <w:rFonts w:ascii="Palatino Linotype" w:hAnsi="Palatino Linotype" w:eastAsia="Palatino Linotype" w:cs="Palatino Linotype"/>
          <w:sz w:val="24"/>
          <w:szCs w:val="24"/>
        </w:rPr>
        <w:t>750</w:t>
      </w:r>
      <w:r w:rsidRPr="00743E64" w:rsidR="7759F05F">
        <w:rPr>
          <w:rFonts w:ascii="Palatino Linotype" w:hAnsi="Palatino Linotype" w:eastAsia="Palatino Linotype" w:cs="Palatino Linotype"/>
          <w:sz w:val="24"/>
          <w:szCs w:val="24"/>
        </w:rPr>
        <w:t xml:space="preserve"> MW in</w:t>
      </w:r>
      <w:r w:rsidRPr="00743E64" w:rsidR="7CABCD57">
        <w:rPr>
          <w:rFonts w:ascii="Palatino Linotype" w:hAnsi="Palatino Linotype" w:eastAsia="Palatino Linotype" w:cs="Palatino Linotype"/>
          <w:sz w:val="24"/>
          <w:szCs w:val="24"/>
        </w:rPr>
        <w:t xml:space="preserve"> solar photovoltaic </w:t>
      </w:r>
      <w:r w:rsidRPr="00743E64" w:rsidR="7759F05F">
        <w:rPr>
          <w:rFonts w:ascii="Palatino Linotype" w:hAnsi="Palatino Linotype" w:eastAsia="Palatino Linotype" w:cs="Palatino Linotype"/>
          <w:sz w:val="24"/>
          <w:szCs w:val="24"/>
        </w:rPr>
        <w:t xml:space="preserve"> </w:t>
      </w:r>
      <w:r w:rsidRPr="00743E64" w:rsidR="7CABCD57">
        <w:rPr>
          <w:rFonts w:ascii="Palatino Linotype" w:hAnsi="Palatino Linotype" w:eastAsia="Palatino Linotype" w:cs="Palatino Linotype"/>
          <w:sz w:val="24"/>
          <w:szCs w:val="24"/>
        </w:rPr>
        <w:t xml:space="preserve">nameplate </w:t>
      </w:r>
      <w:r w:rsidRPr="00743E64" w:rsidR="7759F05F">
        <w:rPr>
          <w:rFonts w:ascii="Palatino Linotype" w:hAnsi="Palatino Linotype" w:eastAsia="Palatino Linotype" w:cs="Palatino Linotype"/>
          <w:sz w:val="24"/>
          <w:szCs w:val="24"/>
        </w:rPr>
        <w:t>capacity</w:t>
      </w:r>
      <w:r w:rsidRPr="00743E64" w:rsidR="68F05847">
        <w:rPr>
          <w:rFonts w:ascii="Palatino Linotype" w:hAnsi="Palatino Linotype" w:eastAsia="Palatino Linotype" w:cs="Palatino Linotype"/>
          <w:sz w:val="24"/>
          <w:szCs w:val="24"/>
        </w:rPr>
        <w:t xml:space="preserve">, and </w:t>
      </w:r>
      <w:r w:rsidRPr="00743E64" w:rsidR="09745691">
        <w:rPr>
          <w:rFonts w:ascii="Palatino Linotype" w:hAnsi="Palatino Linotype" w:eastAsia="Palatino Linotype" w:cs="Palatino Linotype"/>
          <w:sz w:val="24"/>
          <w:szCs w:val="24"/>
        </w:rPr>
        <w:t>450 MW in nameplate storage capacity</w:t>
      </w:r>
      <w:r w:rsidRPr="00743E64" w:rsidR="2F314894">
        <w:rPr>
          <w:rFonts w:ascii="Palatino Linotype" w:hAnsi="Palatino Linotype" w:eastAsia="Palatino Linotype" w:cs="Palatino Linotype"/>
          <w:sz w:val="24"/>
          <w:szCs w:val="24"/>
        </w:rPr>
        <w:t>.</w:t>
      </w:r>
      <w:r w:rsidRPr="00743E64" w:rsidR="0A8D5F1F">
        <w:rPr>
          <w:rFonts w:ascii="Palatino Linotype" w:hAnsi="Palatino Linotype" w:eastAsia="Palatino Linotype" w:cs="Palatino Linotype"/>
          <w:sz w:val="24"/>
          <w:szCs w:val="24"/>
        </w:rPr>
        <w:t xml:space="preserve"> </w:t>
      </w:r>
    </w:p>
    <w:p w:rsidRPr="00743E64" w:rsidR="00DA3590" w:rsidP="3C3BF5CC" w:rsidRDefault="00DA3590" w14:paraId="2438A132" w14:textId="77777777">
      <w:pPr>
        <w:pStyle w:val="ListParagraph"/>
        <w:rPr>
          <w:rFonts w:ascii="Palatino Linotype" w:hAnsi="Palatino Linotype" w:eastAsia="Palatino Linotype" w:cs="Palatino Linotype"/>
          <w:sz w:val="24"/>
          <w:szCs w:val="24"/>
        </w:rPr>
      </w:pPr>
    </w:p>
    <w:p w:rsidRPr="00743E64" w:rsidR="00DA3590" w:rsidP="6E89BDD7" w:rsidRDefault="71FF2711" w14:paraId="0DAF96CB" w14:textId="59ADEADE">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 xml:space="preserve">The </w:t>
      </w:r>
      <w:r w:rsidRPr="00743E64" w:rsidR="6E61C978">
        <w:rPr>
          <w:rFonts w:ascii="Palatino Linotype" w:hAnsi="Palatino Linotype" w:eastAsia="Palatino Linotype" w:cs="Palatino Linotype"/>
          <w:sz w:val="24"/>
          <w:szCs w:val="24"/>
        </w:rPr>
        <w:t xml:space="preserve">Lockhart CL ESS IA and Lockhart CL ESS IIA </w:t>
      </w:r>
      <w:r w:rsidRPr="00743E64">
        <w:rPr>
          <w:rFonts w:ascii="Palatino Linotype" w:hAnsi="Palatino Linotype" w:eastAsia="Palatino Linotype" w:cs="Palatino Linotype"/>
          <w:sz w:val="24"/>
          <w:szCs w:val="24"/>
        </w:rPr>
        <w:t>(</w:t>
      </w:r>
      <w:r w:rsidRPr="00743E64" w:rsidR="6E61C978">
        <w:rPr>
          <w:rFonts w:ascii="Palatino Linotype" w:hAnsi="Palatino Linotype" w:eastAsia="Palatino Linotype" w:cs="Palatino Linotype"/>
          <w:sz w:val="24"/>
          <w:szCs w:val="24"/>
        </w:rPr>
        <w:t>Lockhart</w:t>
      </w:r>
      <w:r w:rsidRPr="00743E64">
        <w:rPr>
          <w:rFonts w:ascii="Palatino Linotype" w:hAnsi="Palatino Linotype" w:eastAsia="Palatino Linotype" w:cs="Palatino Linotype"/>
          <w:sz w:val="24"/>
          <w:szCs w:val="24"/>
        </w:rPr>
        <w:t>) contracts</w:t>
      </w:r>
      <w:r w:rsidRPr="00743E64" w:rsidR="4F18B3DA">
        <w:rPr>
          <w:rFonts w:ascii="Palatino Linotype" w:hAnsi="Palatino Linotype" w:eastAsia="Palatino Linotype" w:cs="Palatino Linotype"/>
          <w:sz w:val="24"/>
          <w:szCs w:val="24"/>
        </w:rPr>
        <w:t>, sold by Terra Gen LLC,</w:t>
      </w:r>
      <w:r w:rsidRPr="00743E64">
        <w:rPr>
          <w:rFonts w:ascii="Palatino Linotype" w:hAnsi="Palatino Linotype" w:eastAsia="Palatino Linotype" w:cs="Palatino Linotype"/>
          <w:sz w:val="24"/>
          <w:szCs w:val="24"/>
        </w:rPr>
        <w:t xml:space="preserve"> total </w:t>
      </w:r>
      <w:r w:rsidRPr="00743E64" w:rsidR="3DC4F36D">
        <w:rPr>
          <w:rFonts w:ascii="Palatino Linotype" w:hAnsi="Palatino Linotype" w:eastAsia="Palatino Linotype" w:cs="Palatino Linotype"/>
          <w:sz w:val="24"/>
          <w:szCs w:val="24"/>
        </w:rPr>
        <w:t>128.7</w:t>
      </w:r>
      <w:r w:rsidRPr="00743E64">
        <w:rPr>
          <w:rFonts w:ascii="Palatino Linotype" w:hAnsi="Palatino Linotype" w:eastAsia="Palatino Linotype" w:cs="Palatino Linotype"/>
          <w:sz w:val="24"/>
          <w:szCs w:val="24"/>
        </w:rPr>
        <w:t xml:space="preserve"> MW in nameplate </w:t>
      </w:r>
      <w:r w:rsidRPr="00743E64" w:rsidR="13270949">
        <w:rPr>
          <w:rFonts w:ascii="Palatino Linotype" w:hAnsi="Palatino Linotype" w:eastAsia="Palatino Linotype" w:cs="Palatino Linotype"/>
          <w:sz w:val="24"/>
          <w:szCs w:val="24"/>
        </w:rPr>
        <w:t xml:space="preserve">storage </w:t>
      </w:r>
      <w:r w:rsidRPr="00743E64">
        <w:rPr>
          <w:rFonts w:ascii="Palatino Linotype" w:hAnsi="Palatino Linotype" w:eastAsia="Palatino Linotype" w:cs="Palatino Linotype"/>
          <w:sz w:val="24"/>
          <w:szCs w:val="24"/>
        </w:rPr>
        <w:t>capacity.</w:t>
      </w:r>
    </w:p>
    <w:p w:rsidRPr="00743E64" w:rsidR="0032165C" w:rsidP="3C3BF5CC" w:rsidRDefault="0032165C" w14:paraId="6E89B39E" w14:textId="77777777">
      <w:pPr>
        <w:rPr>
          <w:rFonts w:ascii="Palatino Linotype" w:hAnsi="Palatino Linotype" w:eastAsia="Palatino Linotype" w:cs="Palatino Linotype"/>
          <w:sz w:val="24"/>
          <w:szCs w:val="24"/>
        </w:rPr>
      </w:pPr>
    </w:p>
    <w:p w:rsidRPr="00743E64" w:rsidR="00AD484B" w:rsidP="3C3BF5CC" w:rsidRDefault="13270949" w14:paraId="50608A31" w14:textId="14A956B4">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color w:val="000000" w:themeColor="text1"/>
          <w:sz w:val="24"/>
          <w:szCs w:val="24"/>
        </w:rPr>
        <w:t>PG&amp;E</w:t>
      </w:r>
      <w:r w:rsidRPr="00743E64" w:rsidR="018A2BD8">
        <w:rPr>
          <w:rFonts w:ascii="Palatino Linotype" w:hAnsi="Palatino Linotype" w:eastAsia="Palatino Linotype" w:cs="Palatino Linotype"/>
          <w:color w:val="000000" w:themeColor="text1"/>
          <w:sz w:val="24"/>
          <w:szCs w:val="24"/>
        </w:rPr>
        <w:t xml:space="preserve"> AL </w:t>
      </w:r>
      <w:r w:rsidRPr="00743E64">
        <w:rPr>
          <w:rFonts w:ascii="Palatino Linotype" w:hAnsi="Palatino Linotype" w:eastAsia="Palatino Linotype" w:cs="Palatino Linotype"/>
          <w:color w:val="000000" w:themeColor="text1"/>
          <w:sz w:val="24"/>
          <w:szCs w:val="24"/>
        </w:rPr>
        <w:t>7356</w:t>
      </w:r>
      <w:r w:rsidRPr="00743E64" w:rsidR="018A2BD8">
        <w:rPr>
          <w:rFonts w:ascii="Palatino Linotype" w:hAnsi="Palatino Linotype" w:eastAsia="Palatino Linotype" w:cs="Palatino Linotype"/>
          <w:color w:val="000000" w:themeColor="text1"/>
          <w:sz w:val="24"/>
          <w:szCs w:val="24"/>
        </w:rPr>
        <w:t xml:space="preserve">-E </w:t>
      </w:r>
      <w:r w:rsidRPr="00743E64" w:rsidR="08B6E17B">
        <w:rPr>
          <w:rFonts w:ascii="Palatino Linotype" w:hAnsi="Palatino Linotype" w:eastAsia="Palatino Linotype" w:cs="Palatino Linotype"/>
          <w:color w:val="000000" w:themeColor="text1"/>
          <w:sz w:val="24"/>
          <w:szCs w:val="24"/>
        </w:rPr>
        <w:t>a</w:t>
      </w:r>
      <w:r w:rsidRPr="00743E64" w:rsidR="4D99816F">
        <w:rPr>
          <w:rFonts w:ascii="Palatino Linotype" w:hAnsi="Palatino Linotype" w:eastAsia="Palatino Linotype" w:cs="Palatino Linotype"/>
          <w:color w:val="000000" w:themeColor="text1"/>
          <w:sz w:val="24"/>
          <w:szCs w:val="24"/>
        </w:rPr>
        <w:t>re</w:t>
      </w:r>
      <w:r w:rsidRPr="00743E64" w:rsidR="018A2BD8">
        <w:rPr>
          <w:rFonts w:ascii="Palatino Linotype" w:hAnsi="Palatino Linotype" w:eastAsia="Palatino Linotype" w:cs="Palatino Linotype"/>
          <w:color w:val="000000" w:themeColor="text1"/>
          <w:sz w:val="24"/>
          <w:szCs w:val="24"/>
        </w:rPr>
        <w:t xml:space="preserve"> consistent with D.21-06-035, as modified by D.23-02-040.</w:t>
      </w:r>
    </w:p>
    <w:p w:rsidRPr="00743E64" w:rsidR="00AD484B" w:rsidP="3C3BF5CC" w:rsidRDefault="00AD484B" w14:paraId="22A25B0F" w14:textId="77777777">
      <w:pPr>
        <w:pStyle w:val="ListParagraph"/>
        <w:rPr>
          <w:rFonts w:ascii="Palatino Linotype" w:hAnsi="Palatino Linotype" w:eastAsia="Palatino Linotype" w:cs="Palatino Linotype"/>
          <w:sz w:val="24"/>
          <w:szCs w:val="24"/>
        </w:rPr>
      </w:pPr>
    </w:p>
    <w:p w:rsidRPr="00743E64" w:rsidR="0032165C" w:rsidP="3C3BF5CC" w:rsidRDefault="3B9E96B3" w14:paraId="33BCAA1D" w14:textId="6DF1D1DC">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The</w:t>
      </w:r>
      <w:r w:rsidRPr="00743E64" w:rsidR="0A8D5F1F">
        <w:rPr>
          <w:rFonts w:ascii="Palatino Linotype" w:hAnsi="Palatino Linotype" w:eastAsia="Palatino Linotype" w:cs="Palatino Linotype"/>
          <w:sz w:val="24"/>
          <w:szCs w:val="24"/>
        </w:rPr>
        <w:t xml:space="preserve"> </w:t>
      </w:r>
      <w:r w:rsidRPr="00743E64" w:rsidR="71CC9EC2">
        <w:rPr>
          <w:rFonts w:ascii="Palatino Linotype" w:hAnsi="Palatino Linotype" w:eastAsia="Palatino Linotype" w:cs="Palatino Linotype"/>
          <w:sz w:val="24"/>
          <w:szCs w:val="24"/>
        </w:rPr>
        <w:t>Atlas c</w:t>
      </w:r>
      <w:r w:rsidRPr="00743E64" w:rsidR="0A8D5F1F">
        <w:rPr>
          <w:rFonts w:ascii="Palatino Linotype" w:hAnsi="Palatino Linotype" w:eastAsia="Palatino Linotype" w:cs="Palatino Linotype"/>
          <w:sz w:val="24"/>
          <w:szCs w:val="24"/>
        </w:rPr>
        <w:t xml:space="preserve">ontracts are consistent with </w:t>
      </w:r>
      <w:r w:rsidRPr="00743E64" w:rsidR="4DB46DC7">
        <w:rPr>
          <w:rFonts w:ascii="Palatino Linotype" w:hAnsi="Palatino Linotype" w:eastAsia="Palatino Linotype" w:cs="Palatino Linotype"/>
          <w:sz w:val="24"/>
          <w:szCs w:val="24"/>
        </w:rPr>
        <w:t>PG&amp;E</w:t>
      </w:r>
      <w:r w:rsidRPr="00743E64" w:rsidR="0A8D5F1F">
        <w:rPr>
          <w:rFonts w:ascii="Palatino Linotype" w:hAnsi="Palatino Linotype" w:eastAsia="Palatino Linotype" w:cs="Palatino Linotype"/>
          <w:sz w:val="24"/>
          <w:szCs w:val="24"/>
        </w:rPr>
        <w:t xml:space="preserve">’s 2023 </w:t>
      </w:r>
      <w:r w:rsidRPr="00743E64" w:rsidR="1CE513CD">
        <w:rPr>
          <w:rFonts w:ascii="Palatino Linotype" w:hAnsi="Palatino Linotype" w:eastAsia="Palatino Linotype" w:cs="Palatino Linotype"/>
          <w:sz w:val="24"/>
          <w:szCs w:val="24"/>
        </w:rPr>
        <w:t xml:space="preserve">Draft </w:t>
      </w:r>
      <w:r w:rsidRPr="00743E64" w:rsidR="0A8D5F1F">
        <w:rPr>
          <w:rFonts w:ascii="Palatino Linotype" w:hAnsi="Palatino Linotype" w:eastAsia="Palatino Linotype" w:cs="Palatino Linotype"/>
          <w:sz w:val="24"/>
          <w:szCs w:val="24"/>
        </w:rPr>
        <w:t>Renewable Portfolio Standard Procurement Plan</w:t>
      </w:r>
      <w:r w:rsidRPr="00743E64" w:rsidR="2F314894">
        <w:rPr>
          <w:rFonts w:ascii="Palatino Linotype" w:hAnsi="Palatino Linotype" w:eastAsia="Palatino Linotype" w:cs="Palatino Linotype"/>
          <w:sz w:val="24"/>
          <w:szCs w:val="24"/>
        </w:rPr>
        <w:t>.</w:t>
      </w:r>
    </w:p>
    <w:p w:rsidRPr="00743E64" w:rsidR="0032165C" w:rsidP="3C3BF5CC" w:rsidRDefault="0032165C" w14:paraId="67D6DBCC" w14:textId="77777777">
      <w:pPr>
        <w:pStyle w:val="ListParagraph"/>
        <w:rPr>
          <w:rFonts w:ascii="Palatino Linotype" w:hAnsi="Palatino Linotype" w:eastAsia="Palatino Linotype" w:cs="Palatino Linotype"/>
          <w:sz w:val="24"/>
          <w:szCs w:val="24"/>
        </w:rPr>
      </w:pPr>
    </w:p>
    <w:p w:rsidRPr="00743E64" w:rsidR="00AD484B" w:rsidP="3C3BF5CC" w:rsidRDefault="13270949" w14:paraId="5EBB5C5E" w14:textId="4EBF7729">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PG&amp;E</w:t>
      </w:r>
      <w:r w:rsidRPr="00743E64" w:rsidR="018A2BD8">
        <w:rPr>
          <w:rFonts w:ascii="Palatino Linotype" w:hAnsi="Palatino Linotype" w:eastAsia="Palatino Linotype" w:cs="Palatino Linotype"/>
          <w:sz w:val="24"/>
          <w:szCs w:val="24"/>
        </w:rPr>
        <w:t xml:space="preserve">’s methodology used to evaluate the bids in the competitive solicitation that resulted in the contracts presented in </w:t>
      </w:r>
      <w:r w:rsidRPr="00743E64">
        <w:rPr>
          <w:rFonts w:ascii="Palatino Linotype" w:hAnsi="Palatino Linotype" w:eastAsia="Palatino Linotype" w:cs="Palatino Linotype"/>
          <w:sz w:val="24"/>
          <w:szCs w:val="24"/>
        </w:rPr>
        <w:t>PG&amp;E</w:t>
      </w:r>
      <w:r w:rsidRPr="00743E64" w:rsidR="018A2BD8">
        <w:rPr>
          <w:rFonts w:ascii="Palatino Linotype" w:hAnsi="Palatino Linotype" w:eastAsia="Palatino Linotype" w:cs="Palatino Linotype"/>
          <w:sz w:val="24"/>
          <w:szCs w:val="24"/>
        </w:rPr>
        <w:t xml:space="preserve"> AL </w:t>
      </w:r>
      <w:r w:rsidRPr="00743E64">
        <w:rPr>
          <w:rFonts w:ascii="Palatino Linotype" w:hAnsi="Palatino Linotype" w:eastAsia="Palatino Linotype" w:cs="Palatino Linotype"/>
          <w:sz w:val="24"/>
          <w:szCs w:val="24"/>
        </w:rPr>
        <w:t>7356</w:t>
      </w:r>
      <w:r w:rsidRPr="00743E64" w:rsidR="018A2BD8">
        <w:rPr>
          <w:rFonts w:ascii="Palatino Linotype" w:hAnsi="Palatino Linotype" w:eastAsia="Palatino Linotype" w:cs="Palatino Linotype"/>
          <w:sz w:val="24"/>
          <w:szCs w:val="24"/>
        </w:rPr>
        <w:t>-E is reasonable.</w:t>
      </w:r>
    </w:p>
    <w:p w:rsidRPr="00743E64" w:rsidR="00AD484B" w:rsidP="3C3BF5CC" w:rsidRDefault="00AD484B" w14:paraId="54D37443" w14:textId="77777777">
      <w:pPr>
        <w:pStyle w:val="ListParagraph"/>
        <w:rPr>
          <w:rFonts w:ascii="Palatino Linotype" w:hAnsi="Palatino Linotype" w:eastAsia="Palatino Linotype" w:cs="Palatino Linotype"/>
          <w:sz w:val="24"/>
          <w:szCs w:val="24"/>
        </w:rPr>
      </w:pPr>
    </w:p>
    <w:p w:rsidRPr="00743E64" w:rsidR="00D11363" w:rsidP="3C3BF5CC" w:rsidRDefault="202C541F" w14:paraId="721D4201" w14:textId="4FA2F81F">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 xml:space="preserve">The MTR contracts </w:t>
      </w:r>
      <w:r w:rsidRPr="00743E64" w:rsidR="71CC9EC2">
        <w:rPr>
          <w:rFonts w:ascii="Palatino Linotype" w:hAnsi="Palatino Linotype" w:eastAsia="Palatino Linotype" w:cs="Palatino Linotype"/>
          <w:sz w:val="24"/>
          <w:szCs w:val="24"/>
        </w:rPr>
        <w:t xml:space="preserve">costs </w:t>
      </w:r>
      <w:r w:rsidRPr="00743E64">
        <w:rPr>
          <w:rFonts w:ascii="Palatino Linotype" w:hAnsi="Palatino Linotype" w:eastAsia="Palatino Linotype" w:cs="Palatino Linotype"/>
          <w:sz w:val="24"/>
          <w:szCs w:val="24"/>
        </w:rPr>
        <w:t xml:space="preserve">presented in </w:t>
      </w:r>
      <w:r w:rsidRPr="00743E64" w:rsidR="4DB46DC7">
        <w:rPr>
          <w:rFonts w:ascii="Palatino Linotype" w:hAnsi="Palatino Linotype" w:eastAsia="Palatino Linotype" w:cs="Palatino Linotype"/>
          <w:sz w:val="24"/>
          <w:szCs w:val="24"/>
        </w:rPr>
        <w:t>PG&amp;E</w:t>
      </w:r>
      <w:r w:rsidRPr="00743E64">
        <w:rPr>
          <w:rFonts w:ascii="Palatino Linotype" w:hAnsi="Palatino Linotype" w:eastAsia="Palatino Linotype" w:cs="Palatino Linotype"/>
          <w:sz w:val="24"/>
          <w:szCs w:val="24"/>
        </w:rPr>
        <w:t xml:space="preserve"> AL </w:t>
      </w:r>
      <w:r w:rsidRPr="00743E64" w:rsidR="4DB46DC7">
        <w:rPr>
          <w:rFonts w:ascii="Palatino Linotype" w:hAnsi="Palatino Linotype" w:eastAsia="Palatino Linotype" w:cs="Palatino Linotype"/>
          <w:sz w:val="24"/>
          <w:szCs w:val="24"/>
        </w:rPr>
        <w:t>7356</w:t>
      </w:r>
      <w:r w:rsidRPr="00743E64">
        <w:rPr>
          <w:rFonts w:ascii="Palatino Linotype" w:hAnsi="Palatino Linotype" w:eastAsia="Palatino Linotype" w:cs="Palatino Linotype"/>
          <w:sz w:val="24"/>
          <w:szCs w:val="24"/>
        </w:rPr>
        <w:t>-E are reasonable based on the robust competitive solicitation and bid evaluation methodology.</w:t>
      </w:r>
    </w:p>
    <w:p w:rsidRPr="00743E64" w:rsidR="00E87B03" w:rsidP="3C3BF5CC" w:rsidRDefault="00E87B03" w14:paraId="0E0CE708" w14:textId="77777777">
      <w:pPr>
        <w:pStyle w:val="ListParagraph"/>
        <w:rPr>
          <w:rFonts w:ascii="Palatino Linotype" w:hAnsi="Palatino Linotype" w:eastAsia="Palatino Linotype" w:cs="Palatino Linotype"/>
          <w:sz w:val="24"/>
          <w:szCs w:val="24"/>
        </w:rPr>
      </w:pPr>
    </w:p>
    <w:p w:rsidRPr="00743E64" w:rsidR="00E87B03" w:rsidP="3C3BF5CC" w:rsidRDefault="4D0C7A81" w14:paraId="6623FF7A" w14:textId="7AD6F454">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Pursuant to D.02-08-071, PG&amp;E’s Procurement Review Group participated in the review of the MTR contracts.</w:t>
      </w:r>
    </w:p>
    <w:p w:rsidRPr="00743E64" w:rsidR="00D11363" w:rsidP="3C3BF5CC" w:rsidRDefault="00D11363" w14:paraId="0DC5A37A" w14:textId="77777777">
      <w:pPr>
        <w:pStyle w:val="ListParagraph"/>
        <w:rPr>
          <w:rFonts w:ascii="Palatino Linotype" w:hAnsi="Palatino Linotype" w:eastAsia="Palatino Linotype" w:cs="Palatino Linotype"/>
          <w:sz w:val="24"/>
          <w:szCs w:val="24"/>
        </w:rPr>
      </w:pPr>
    </w:p>
    <w:p w:rsidRPr="00743E64" w:rsidR="0032165C" w:rsidP="3C3BF5CC" w:rsidRDefault="09A03A3B" w14:paraId="38BB02F7" w14:textId="142A48EB">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The</w:t>
      </w:r>
      <w:r w:rsidRPr="00743E64" w:rsidR="0A8D5F1F">
        <w:rPr>
          <w:rFonts w:ascii="Palatino Linotype" w:hAnsi="Palatino Linotype" w:eastAsia="Palatino Linotype" w:cs="Palatino Linotype"/>
          <w:sz w:val="24"/>
          <w:szCs w:val="24"/>
        </w:rPr>
        <w:t xml:space="preserve"> Atlas contracts are not a form of covered procurement subject to the Emissions Performance Standard, because the generating facilities have expected capacity factors of less than 60%</w:t>
      </w:r>
      <w:r w:rsidRPr="00743E64" w:rsidR="78A23E8B">
        <w:rPr>
          <w:rFonts w:ascii="Palatino Linotype" w:hAnsi="Palatino Linotype" w:eastAsia="Palatino Linotype" w:cs="Palatino Linotype"/>
          <w:sz w:val="24"/>
          <w:szCs w:val="24"/>
        </w:rPr>
        <w:t xml:space="preserve"> or are otherwise not subject to </w:t>
      </w:r>
      <w:proofErr w:type="gramStart"/>
      <w:r w:rsidRPr="00743E64" w:rsidR="78A23E8B">
        <w:rPr>
          <w:rFonts w:ascii="Palatino Linotype" w:hAnsi="Palatino Linotype" w:eastAsia="Palatino Linotype" w:cs="Palatino Linotype"/>
          <w:sz w:val="24"/>
          <w:szCs w:val="24"/>
        </w:rPr>
        <w:t>the EPS</w:t>
      </w:r>
      <w:proofErr w:type="gramEnd"/>
      <w:r w:rsidRPr="00743E64">
        <w:rPr>
          <w:rFonts w:ascii="Palatino Linotype" w:hAnsi="Palatino Linotype" w:eastAsia="Palatino Linotype" w:cs="Palatino Linotype"/>
          <w:sz w:val="24"/>
          <w:szCs w:val="24"/>
        </w:rPr>
        <w:t>.</w:t>
      </w:r>
    </w:p>
    <w:p w:rsidRPr="00743E64" w:rsidR="00A65733" w:rsidP="3C3BF5CC" w:rsidRDefault="00A65733" w14:paraId="5DE81247" w14:textId="77777777">
      <w:pPr>
        <w:rPr>
          <w:rFonts w:ascii="Palatino Linotype" w:hAnsi="Palatino Linotype" w:eastAsia="Palatino Linotype" w:cs="Palatino Linotype"/>
          <w:sz w:val="24"/>
          <w:szCs w:val="24"/>
        </w:rPr>
      </w:pPr>
    </w:p>
    <w:p w:rsidRPr="00743E64" w:rsidR="7AB3BEF6" w:rsidP="3C3BF5CC" w:rsidRDefault="329681A5" w14:paraId="49C3D9D9" w14:textId="4E3A2996">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The Atlas contracts include all CPUC-adopted RPS “non-modifiable” standard terms and conditions, as set forth in D.08-04-009, D.08-08-028, and D.10-03-021, as modified by D.11-01-025 and D.13-11-024.</w:t>
      </w:r>
    </w:p>
    <w:p w:rsidRPr="00743E64" w:rsidR="0032165C" w:rsidP="3C3BF5CC" w:rsidRDefault="0032165C" w14:paraId="796DA01C" w14:textId="77777777">
      <w:pPr>
        <w:pStyle w:val="ListParagraph"/>
        <w:rPr>
          <w:rFonts w:ascii="Palatino Linotype" w:hAnsi="Palatino Linotype" w:eastAsia="Palatino Linotype" w:cs="Palatino Linotype"/>
          <w:sz w:val="24"/>
          <w:szCs w:val="24"/>
        </w:rPr>
      </w:pPr>
    </w:p>
    <w:p w:rsidRPr="00743E64" w:rsidR="00CF23A0" w:rsidP="3C3BF5CC" w:rsidRDefault="09A03A3B" w14:paraId="5BD0DD97" w14:textId="663A5381">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The</w:t>
      </w:r>
      <w:r w:rsidRPr="00743E64" w:rsidR="0A8D5F1F">
        <w:rPr>
          <w:rFonts w:ascii="Palatino Linotype" w:hAnsi="Palatino Linotype" w:eastAsia="Palatino Linotype" w:cs="Palatino Linotype"/>
          <w:sz w:val="24"/>
          <w:szCs w:val="24"/>
        </w:rPr>
        <w:t xml:space="preserve"> </w:t>
      </w:r>
      <w:r w:rsidRPr="00743E64" w:rsidR="0608B35C">
        <w:rPr>
          <w:rFonts w:ascii="Palatino Linotype" w:hAnsi="Palatino Linotype" w:eastAsia="Palatino Linotype" w:cs="Palatino Linotype"/>
          <w:sz w:val="24"/>
          <w:szCs w:val="24"/>
        </w:rPr>
        <w:t>Lockhart</w:t>
      </w:r>
      <w:r w:rsidRPr="00743E64" w:rsidR="0A8D5F1F">
        <w:rPr>
          <w:rFonts w:ascii="Palatino Linotype" w:hAnsi="Palatino Linotype" w:eastAsia="Palatino Linotype" w:cs="Palatino Linotype"/>
          <w:sz w:val="24"/>
          <w:szCs w:val="24"/>
        </w:rPr>
        <w:t xml:space="preserve"> contracts are </w:t>
      </w:r>
      <w:r w:rsidRPr="00743E64" w:rsidR="45258F7E">
        <w:rPr>
          <w:rFonts w:ascii="Palatino Linotype" w:hAnsi="Palatino Linotype" w:eastAsia="Palatino Linotype" w:cs="Palatino Linotype"/>
          <w:sz w:val="24"/>
          <w:szCs w:val="24"/>
        </w:rPr>
        <w:t>exempt</w:t>
      </w:r>
      <w:r w:rsidRPr="00743E64" w:rsidR="5F0A089C">
        <w:rPr>
          <w:rFonts w:ascii="Palatino Linotype" w:hAnsi="Palatino Linotype" w:eastAsia="Palatino Linotype" w:cs="Palatino Linotype"/>
          <w:sz w:val="24"/>
          <w:szCs w:val="24"/>
        </w:rPr>
        <w:t xml:space="preserve"> from</w:t>
      </w:r>
      <w:r w:rsidRPr="00743E64" w:rsidR="0A8D5F1F">
        <w:rPr>
          <w:rFonts w:ascii="Palatino Linotype" w:hAnsi="Palatino Linotype" w:eastAsia="Palatino Linotype" w:cs="Palatino Linotype"/>
          <w:sz w:val="24"/>
          <w:szCs w:val="24"/>
        </w:rPr>
        <w:t xml:space="preserve"> the Emissions Performance Standard because </w:t>
      </w:r>
      <w:r w:rsidRPr="00743E64" w:rsidR="6C3966E0">
        <w:rPr>
          <w:rFonts w:ascii="Palatino Linotype" w:hAnsi="Palatino Linotype" w:eastAsia="Palatino Linotype" w:cs="Palatino Linotype"/>
          <w:sz w:val="24"/>
          <w:szCs w:val="24"/>
        </w:rPr>
        <w:t>storage facilities are not a form of covered procurem</w:t>
      </w:r>
      <w:r w:rsidRPr="00743E64" w:rsidR="61464CE3">
        <w:rPr>
          <w:rFonts w:ascii="Palatino Linotype" w:hAnsi="Palatino Linotype" w:eastAsia="Palatino Linotype" w:cs="Palatino Linotype"/>
          <w:sz w:val="24"/>
          <w:szCs w:val="24"/>
        </w:rPr>
        <w:t>ent</w:t>
      </w:r>
      <w:r w:rsidRPr="00743E64">
        <w:rPr>
          <w:rFonts w:ascii="Palatino Linotype" w:hAnsi="Palatino Linotype" w:eastAsia="Palatino Linotype" w:cs="Palatino Linotype"/>
          <w:sz w:val="24"/>
          <w:szCs w:val="24"/>
        </w:rPr>
        <w:t>.</w:t>
      </w:r>
      <w:r w:rsidRPr="00743E64" w:rsidR="0A8D5F1F">
        <w:rPr>
          <w:rFonts w:ascii="Palatino Linotype" w:hAnsi="Palatino Linotype" w:eastAsia="Palatino Linotype" w:cs="Palatino Linotype"/>
          <w:sz w:val="24"/>
          <w:szCs w:val="24"/>
        </w:rPr>
        <w:t xml:space="preserve"> </w:t>
      </w:r>
    </w:p>
    <w:p w:rsidRPr="00743E64" w:rsidR="00CF23A0" w:rsidP="3C3BF5CC" w:rsidRDefault="00CF23A0" w14:paraId="12B3318D" w14:textId="77777777">
      <w:pPr>
        <w:rPr>
          <w:rFonts w:ascii="Palatino Linotype" w:hAnsi="Palatino Linotype" w:eastAsia="Palatino Linotype" w:cs="Palatino Linotype"/>
          <w:sz w:val="24"/>
          <w:szCs w:val="24"/>
        </w:rPr>
      </w:pPr>
    </w:p>
    <w:p w:rsidRPr="00F8097D" w:rsidR="00F8097D" w:rsidP="00F90791" w:rsidRDefault="61464CE3" w14:paraId="3A746357" w14:textId="0D794C33">
      <w:pPr>
        <w:pStyle w:val="ListParagraph"/>
        <w:numPr>
          <w:ilvl w:val="0"/>
          <w:numId w:val="11"/>
        </w:numPr>
        <w:rPr>
          <w:rFonts w:eastAsia="Palatino Linotype"/>
        </w:rPr>
      </w:pPr>
      <w:r w:rsidRPr="00F8097D">
        <w:rPr>
          <w:rFonts w:ascii="Palatino Linotype" w:hAnsi="Palatino Linotype" w:eastAsia="Palatino Linotype" w:cs="Palatino Linotype"/>
          <w:sz w:val="24"/>
          <w:szCs w:val="24"/>
        </w:rPr>
        <w:t>PG&amp;E</w:t>
      </w:r>
      <w:r w:rsidRPr="00F8097D" w:rsidR="6B1EB8D5">
        <w:rPr>
          <w:rFonts w:ascii="Palatino Linotype" w:hAnsi="Palatino Linotype" w:eastAsia="Palatino Linotype" w:cs="Palatino Linotype"/>
          <w:sz w:val="24"/>
          <w:szCs w:val="24"/>
        </w:rPr>
        <w:t>’s request in AL</w:t>
      </w:r>
      <w:r w:rsidRPr="00F8097D" w:rsidR="55387087">
        <w:rPr>
          <w:rFonts w:ascii="Palatino Linotype" w:hAnsi="Palatino Linotype" w:eastAsia="Palatino Linotype" w:cs="Palatino Linotype"/>
          <w:sz w:val="24"/>
          <w:szCs w:val="24"/>
        </w:rPr>
        <w:t xml:space="preserve"> </w:t>
      </w:r>
      <w:r w:rsidRPr="00F8097D">
        <w:rPr>
          <w:rFonts w:ascii="Palatino Linotype" w:hAnsi="Palatino Linotype" w:eastAsia="Palatino Linotype" w:cs="Palatino Linotype"/>
          <w:sz w:val="24"/>
          <w:szCs w:val="24"/>
        </w:rPr>
        <w:t>7356</w:t>
      </w:r>
      <w:r w:rsidRPr="00F8097D" w:rsidR="6B1EB8D5">
        <w:rPr>
          <w:rFonts w:ascii="Palatino Linotype" w:hAnsi="Palatino Linotype" w:eastAsia="Palatino Linotype" w:cs="Palatino Linotype"/>
          <w:sz w:val="24"/>
          <w:szCs w:val="24"/>
        </w:rPr>
        <w:t xml:space="preserve">-E to allocate the benefits and costs of the </w:t>
      </w:r>
      <w:r w:rsidRPr="00F8097D" w:rsidR="71CC9EC2">
        <w:rPr>
          <w:rFonts w:ascii="Palatino Linotype" w:hAnsi="Palatino Linotype" w:eastAsia="Palatino Linotype" w:cs="Palatino Linotype"/>
          <w:sz w:val="24"/>
          <w:szCs w:val="24"/>
        </w:rPr>
        <w:t xml:space="preserve">Atlas and </w:t>
      </w:r>
      <w:r w:rsidRPr="00F8097D">
        <w:rPr>
          <w:rFonts w:ascii="Palatino Linotype" w:hAnsi="Palatino Linotype" w:eastAsia="Palatino Linotype" w:cs="Palatino Linotype"/>
          <w:sz w:val="24"/>
          <w:szCs w:val="24"/>
        </w:rPr>
        <w:t>Lockhart</w:t>
      </w:r>
      <w:r w:rsidRPr="00F8097D" w:rsidR="6B1EB8D5">
        <w:rPr>
          <w:rFonts w:ascii="Palatino Linotype" w:hAnsi="Palatino Linotype" w:eastAsia="Palatino Linotype" w:cs="Palatino Linotype"/>
          <w:sz w:val="24"/>
          <w:szCs w:val="24"/>
        </w:rPr>
        <w:t xml:space="preserve"> contracts to all applicable customers via the </w:t>
      </w:r>
      <w:r w:rsidRPr="00F8097D" w:rsidR="131DBB6A">
        <w:rPr>
          <w:rFonts w:ascii="Palatino Linotype" w:hAnsi="Palatino Linotype" w:eastAsia="Palatino Linotype" w:cs="Palatino Linotype"/>
          <w:sz w:val="24"/>
          <w:szCs w:val="24"/>
        </w:rPr>
        <w:t>Portfolio Allocation Balancing Account</w:t>
      </w:r>
      <w:r w:rsidRPr="00F8097D" w:rsidR="6B1EB8D5">
        <w:rPr>
          <w:rFonts w:ascii="Palatino Linotype" w:hAnsi="Palatino Linotype" w:eastAsia="Palatino Linotype" w:cs="Palatino Linotype"/>
          <w:sz w:val="24"/>
          <w:szCs w:val="24"/>
        </w:rPr>
        <w:t xml:space="preserve"> </w:t>
      </w:r>
      <w:r w:rsidRPr="00F8097D" w:rsidR="420F1A4A">
        <w:rPr>
          <w:rFonts w:ascii="Palatino Linotype" w:hAnsi="Palatino Linotype" w:eastAsia="Palatino Linotype" w:cs="Palatino Linotype"/>
          <w:sz w:val="24"/>
          <w:szCs w:val="24"/>
        </w:rPr>
        <w:t xml:space="preserve">(PABA) </w:t>
      </w:r>
      <w:r w:rsidRPr="00F8097D" w:rsidR="6B1EB8D5">
        <w:rPr>
          <w:rFonts w:ascii="Palatino Linotype" w:hAnsi="Palatino Linotype" w:eastAsia="Palatino Linotype" w:cs="Palatino Linotype"/>
          <w:sz w:val="24"/>
          <w:szCs w:val="24"/>
        </w:rPr>
        <w:t>2021</w:t>
      </w:r>
      <w:r w:rsidRPr="00F8097D">
        <w:rPr>
          <w:rFonts w:ascii="Palatino Linotype" w:hAnsi="Palatino Linotype" w:eastAsia="Palatino Linotype" w:cs="Palatino Linotype"/>
          <w:sz w:val="24"/>
          <w:szCs w:val="24"/>
        </w:rPr>
        <w:t xml:space="preserve"> and 2023</w:t>
      </w:r>
      <w:r w:rsidRPr="00F8097D" w:rsidR="6B1EB8D5">
        <w:rPr>
          <w:rFonts w:ascii="Palatino Linotype" w:hAnsi="Palatino Linotype" w:eastAsia="Palatino Linotype" w:cs="Palatino Linotype"/>
          <w:sz w:val="24"/>
          <w:szCs w:val="24"/>
        </w:rPr>
        <w:t xml:space="preserve"> vintage sub-accounts </w:t>
      </w:r>
      <w:proofErr w:type="gramStart"/>
      <w:r w:rsidRPr="00F8097D" w:rsidR="6B1EB8D5">
        <w:rPr>
          <w:rFonts w:ascii="Palatino Linotype" w:hAnsi="Palatino Linotype" w:eastAsia="Palatino Linotype" w:cs="Palatino Linotype"/>
          <w:sz w:val="24"/>
          <w:szCs w:val="24"/>
        </w:rPr>
        <w:t>is</w:t>
      </w:r>
      <w:proofErr w:type="gramEnd"/>
      <w:r w:rsidRPr="00F8097D" w:rsidR="6B1EB8D5">
        <w:rPr>
          <w:rFonts w:ascii="Palatino Linotype" w:hAnsi="Palatino Linotype" w:eastAsia="Palatino Linotype" w:cs="Palatino Linotype"/>
          <w:sz w:val="24"/>
          <w:szCs w:val="24"/>
        </w:rPr>
        <w:t xml:space="preserve"> reasonable.</w:t>
      </w:r>
      <w:r w:rsidRPr="00F8097D" w:rsidR="420F1A4A">
        <w:rPr>
          <w:rFonts w:ascii="Palatino Linotype" w:hAnsi="Palatino Linotype" w:eastAsia="Palatino Linotype" w:cs="Palatino Linotype"/>
          <w:sz w:val="24"/>
          <w:szCs w:val="24"/>
        </w:rPr>
        <w:t xml:space="preserve"> Payments to be made by </w:t>
      </w:r>
      <w:r w:rsidRPr="00F8097D">
        <w:rPr>
          <w:rFonts w:ascii="Palatino Linotype" w:hAnsi="Palatino Linotype" w:eastAsia="Palatino Linotype" w:cs="Palatino Linotype"/>
          <w:sz w:val="24"/>
          <w:szCs w:val="24"/>
        </w:rPr>
        <w:t>PG&amp;E</w:t>
      </w:r>
      <w:r w:rsidRPr="00F8097D" w:rsidR="420F1A4A">
        <w:rPr>
          <w:rFonts w:ascii="Palatino Linotype" w:hAnsi="Palatino Linotype" w:eastAsia="Palatino Linotype" w:cs="Palatino Linotype"/>
          <w:sz w:val="24"/>
          <w:szCs w:val="24"/>
        </w:rPr>
        <w:t xml:space="preserve"> pursuant to the Atlas as well as the </w:t>
      </w:r>
      <w:r w:rsidRPr="00F8097D">
        <w:rPr>
          <w:rFonts w:ascii="Palatino Linotype" w:hAnsi="Palatino Linotype" w:eastAsia="Palatino Linotype" w:cs="Palatino Linotype"/>
          <w:sz w:val="24"/>
          <w:szCs w:val="24"/>
        </w:rPr>
        <w:t>Lockhart</w:t>
      </w:r>
      <w:r w:rsidRPr="00F8097D" w:rsidR="420F1A4A">
        <w:rPr>
          <w:rFonts w:ascii="Palatino Linotype" w:hAnsi="Palatino Linotype" w:eastAsia="Palatino Linotype" w:cs="Palatino Linotype"/>
          <w:sz w:val="24"/>
          <w:szCs w:val="24"/>
        </w:rPr>
        <w:t xml:space="preserve"> contracts, are recoverable by </w:t>
      </w:r>
      <w:r w:rsidRPr="00F8097D">
        <w:rPr>
          <w:rFonts w:ascii="Palatino Linotype" w:hAnsi="Palatino Linotype" w:eastAsia="Palatino Linotype" w:cs="Palatino Linotype"/>
          <w:sz w:val="24"/>
          <w:szCs w:val="24"/>
        </w:rPr>
        <w:t>PG&amp;E</w:t>
      </w:r>
      <w:r w:rsidRPr="00F8097D" w:rsidR="420F1A4A">
        <w:rPr>
          <w:rFonts w:ascii="Palatino Linotype" w:hAnsi="Palatino Linotype" w:eastAsia="Palatino Linotype" w:cs="Palatino Linotype"/>
          <w:sz w:val="24"/>
          <w:szCs w:val="24"/>
        </w:rPr>
        <w:t xml:space="preserve"> through the PABA, subject to </w:t>
      </w:r>
      <w:r w:rsidRPr="00F8097D" w:rsidR="00F8097D">
        <w:rPr>
          <w:rFonts w:ascii="Palatino Linotype" w:hAnsi="Palatino Linotype" w:eastAsia="Palatino Linotype" w:cs="Palatino Linotype"/>
          <w:sz w:val="24"/>
          <w:szCs w:val="24"/>
        </w:rPr>
        <w:br/>
      </w:r>
      <w:r w:rsidRPr="00F8097D">
        <w:rPr>
          <w:rFonts w:ascii="Palatino Linotype" w:hAnsi="Palatino Linotype" w:eastAsia="Palatino Linotype" w:cs="Palatino Linotype"/>
          <w:sz w:val="24"/>
          <w:szCs w:val="24"/>
        </w:rPr>
        <w:t>PG&amp;E</w:t>
      </w:r>
      <w:r w:rsidRPr="00F8097D" w:rsidR="420F1A4A">
        <w:rPr>
          <w:rFonts w:ascii="Palatino Linotype" w:hAnsi="Palatino Linotype" w:eastAsia="Palatino Linotype" w:cs="Palatino Linotype"/>
          <w:sz w:val="24"/>
          <w:szCs w:val="24"/>
        </w:rPr>
        <w:t>'s prudent administration of the Atlas</w:t>
      </w:r>
      <w:r w:rsidRPr="00F8097D">
        <w:rPr>
          <w:rFonts w:ascii="Palatino Linotype" w:hAnsi="Palatino Linotype" w:eastAsia="Palatino Linotype" w:cs="Palatino Linotype"/>
          <w:sz w:val="24"/>
          <w:szCs w:val="24"/>
        </w:rPr>
        <w:t xml:space="preserve"> and Lockhart </w:t>
      </w:r>
      <w:r w:rsidRPr="00F8097D" w:rsidR="420F1A4A">
        <w:rPr>
          <w:rFonts w:ascii="Palatino Linotype" w:hAnsi="Palatino Linotype" w:eastAsia="Palatino Linotype" w:cs="Palatino Linotype"/>
          <w:sz w:val="24"/>
          <w:szCs w:val="24"/>
        </w:rPr>
        <w:t>contracts.</w:t>
      </w:r>
    </w:p>
    <w:p w:rsidRPr="00743E64" w:rsidR="002E3B51" w:rsidP="3C3BF5CC" w:rsidRDefault="63104DB8" w14:paraId="77D46EF2" w14:textId="37F7859C">
      <w:pPr>
        <w:keepNext/>
        <w:keepLines/>
        <w:numPr>
          <w:ilvl w:val="0"/>
          <w:numId w:val="11"/>
        </w:numPr>
        <w:spacing w:before="240" w:after="120"/>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 xml:space="preserve">Procurement pursuant to the </w:t>
      </w:r>
      <w:r w:rsidRPr="00743E64" w:rsidR="57C84D70">
        <w:rPr>
          <w:rFonts w:ascii="Palatino Linotype" w:hAnsi="Palatino Linotype" w:eastAsia="Palatino Linotype" w:cs="Palatino Linotype"/>
          <w:sz w:val="24"/>
          <w:szCs w:val="24"/>
        </w:rPr>
        <w:t xml:space="preserve">MTR contracts </w:t>
      </w:r>
      <w:r w:rsidRPr="00743E64">
        <w:rPr>
          <w:rFonts w:ascii="Palatino Linotype" w:hAnsi="Palatino Linotype" w:eastAsia="Palatino Linotype" w:cs="Palatino Linotype"/>
          <w:sz w:val="24"/>
          <w:szCs w:val="24"/>
        </w:rPr>
        <w:t xml:space="preserve">must be </w:t>
      </w:r>
      <w:r w:rsidRPr="00743E64" w:rsidR="7A3CA1DA">
        <w:rPr>
          <w:rFonts w:ascii="Palatino Linotype" w:hAnsi="Palatino Linotype" w:eastAsia="Palatino Linotype" w:cs="Palatino Linotype"/>
          <w:sz w:val="24"/>
          <w:szCs w:val="24"/>
        </w:rPr>
        <w:t xml:space="preserve">zero emission or otherwise </w:t>
      </w:r>
      <w:r w:rsidRPr="00743E64" w:rsidR="23793E73">
        <w:rPr>
          <w:rFonts w:ascii="Palatino Linotype" w:hAnsi="Palatino Linotype" w:eastAsia="Palatino Linotype" w:cs="Palatino Linotype"/>
          <w:sz w:val="24"/>
          <w:szCs w:val="24"/>
        </w:rPr>
        <w:t xml:space="preserve">an </w:t>
      </w:r>
      <w:r w:rsidRPr="00743E64">
        <w:rPr>
          <w:rFonts w:ascii="Palatino Linotype" w:hAnsi="Palatino Linotype" w:eastAsia="Palatino Linotype" w:cs="Palatino Linotype"/>
          <w:sz w:val="24"/>
          <w:szCs w:val="24"/>
        </w:rPr>
        <w:t xml:space="preserve">eligible renewable energy resource certified by the California Energy Commission for purposes of determining </w:t>
      </w:r>
      <w:r w:rsidRPr="00743E64" w:rsidR="3FE80CBE">
        <w:rPr>
          <w:rFonts w:ascii="Palatino Linotype" w:hAnsi="Palatino Linotype" w:eastAsia="Palatino Linotype" w:cs="Palatino Linotype"/>
          <w:sz w:val="24"/>
          <w:szCs w:val="24"/>
        </w:rPr>
        <w:t>PG&amp;E’s</w:t>
      </w:r>
      <w:r w:rsidRPr="00743E64">
        <w:rPr>
          <w:rFonts w:ascii="Palatino Linotype" w:hAnsi="Palatino Linotype" w:eastAsia="Palatino Linotype" w:cs="Palatino Linotype"/>
          <w:sz w:val="24"/>
          <w:szCs w:val="24"/>
        </w:rPr>
        <w:t xml:space="preserve"> compliance with any obligation that it may have to procure eligible renewable energy resources pursuant to the California Renewables Portfolio Standard (Sections 399.11, et seq.), D.11-12-020 and D.11-12-052, or other applicable law on or before the first delivery of energy. </w:t>
      </w:r>
    </w:p>
    <w:p w:rsidRPr="00743E64" w:rsidR="0066352C" w:rsidP="3C3BF5CC" w:rsidRDefault="63104DB8" w14:paraId="34B04052" w14:textId="7C6D96EC">
      <w:pPr>
        <w:numPr>
          <w:ilvl w:val="0"/>
          <w:numId w:val="11"/>
        </w:numPr>
        <w:spacing w:before="240" w:after="120"/>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 xml:space="preserve">This </w:t>
      </w:r>
      <w:r w:rsidRPr="00743E64" w:rsidR="71CC9EC2">
        <w:rPr>
          <w:rFonts w:ascii="Palatino Linotype" w:hAnsi="Palatino Linotype" w:eastAsia="Palatino Linotype" w:cs="Palatino Linotype"/>
          <w:sz w:val="24"/>
          <w:szCs w:val="24"/>
        </w:rPr>
        <w:t xml:space="preserve">above </w:t>
      </w:r>
      <w:r w:rsidRPr="00743E64">
        <w:rPr>
          <w:rFonts w:ascii="Palatino Linotype" w:hAnsi="Palatino Linotype" w:eastAsia="Palatino Linotype" w:cs="Palatino Linotype"/>
          <w:sz w:val="24"/>
          <w:szCs w:val="24"/>
        </w:rPr>
        <w:t xml:space="preserve">finding has never been intended, and shall not be read now, to allow the generation from a non-Renewables Portfolio Standard-eligible resource to count towards a Renewables Portfolio Standard compliance obligation absent </w:t>
      </w:r>
      <w:r w:rsidRPr="00743E64">
        <w:rPr>
          <w:rFonts w:ascii="Palatino Linotype" w:hAnsi="Palatino Linotype" w:eastAsia="Palatino Linotype" w:cs="Palatino Linotype"/>
          <w:sz w:val="24"/>
          <w:szCs w:val="24"/>
        </w:rPr>
        <w:lastRenderedPageBreak/>
        <w:t>California Energy Commission certification.  Nor shall such finding absolve the seller of its obligation to obtain California Energy Commission certification, or the utility of its obligation to pursue remedies for breach of contract.</w:t>
      </w:r>
    </w:p>
    <w:p w:rsidRPr="00743E64" w:rsidR="001B6BFC" w:rsidP="3C3BF5CC" w:rsidRDefault="28CC5261" w14:paraId="449922DE" w14:textId="3C406936">
      <w:pPr>
        <w:numPr>
          <w:ilvl w:val="0"/>
          <w:numId w:val="11"/>
        </w:numPr>
        <w:spacing w:before="240" w:after="120"/>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Consistent with D.11-12-052, PG&amp;E provided information in AL 7356-E regarding the expected Portfolio Content Category classification of the RECs procured pursuant to the Atlas contracts.</w:t>
      </w:r>
    </w:p>
    <w:p w:rsidRPr="00743E64" w:rsidR="001B6BFC" w:rsidP="3C3BF5CC" w:rsidRDefault="28CC5261" w14:paraId="67C5D041" w14:textId="0379EB35">
      <w:pPr>
        <w:numPr>
          <w:ilvl w:val="0"/>
          <w:numId w:val="11"/>
        </w:numPr>
        <w:spacing w:before="240" w:after="120"/>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 xml:space="preserve">The CPUC makes no determination regarding the proposed </w:t>
      </w:r>
      <w:r w:rsidR="00F8097D">
        <w:rPr>
          <w:rFonts w:ascii="Palatino Linotype" w:hAnsi="Palatino Linotype" w:eastAsia="Palatino Linotype" w:cs="Palatino Linotype"/>
          <w:sz w:val="24"/>
          <w:szCs w:val="24"/>
        </w:rPr>
        <w:br/>
      </w:r>
      <w:r w:rsidRPr="00743E64">
        <w:rPr>
          <w:rFonts w:ascii="Palatino Linotype" w:hAnsi="Palatino Linotype" w:eastAsia="Palatino Linotype" w:cs="Palatino Linotype"/>
          <w:sz w:val="24"/>
          <w:szCs w:val="24"/>
        </w:rPr>
        <w:t>Agreements’ Portfolio Content Classification because the RPS contract evaluation process is a separate process from the Portfolio Content Category classification review and determination.</w:t>
      </w:r>
    </w:p>
    <w:p w:rsidRPr="00743E64" w:rsidR="006D50B8" w:rsidP="3C3BF5CC" w:rsidRDefault="63104DB8" w14:paraId="1A2FEF4C" w14:textId="653F2292">
      <w:pPr>
        <w:numPr>
          <w:ilvl w:val="0"/>
          <w:numId w:val="11"/>
        </w:numPr>
        <w:spacing w:before="240" w:after="120"/>
        <w:rPr>
          <w:rFonts w:ascii="Palatino Linotype" w:hAnsi="Palatino Linotype" w:eastAsia="Palatino Linotype" w:cs="Palatino Linotype"/>
          <w:sz w:val="24"/>
          <w:szCs w:val="24"/>
        </w:rPr>
      </w:pPr>
      <w:proofErr w:type="gramStart"/>
      <w:r w:rsidRPr="00743E64">
        <w:rPr>
          <w:rFonts w:ascii="Palatino Linotype" w:hAnsi="Palatino Linotype" w:eastAsia="Palatino Linotype" w:cs="Palatino Linotype"/>
          <w:sz w:val="24"/>
          <w:szCs w:val="24"/>
        </w:rPr>
        <w:t>The confidential appendices,</w:t>
      </w:r>
      <w:proofErr w:type="gramEnd"/>
      <w:r w:rsidRPr="00743E64">
        <w:rPr>
          <w:rFonts w:ascii="Palatino Linotype" w:hAnsi="Palatino Linotype" w:eastAsia="Palatino Linotype" w:cs="Palatino Linotype"/>
          <w:sz w:val="24"/>
          <w:szCs w:val="24"/>
        </w:rPr>
        <w:t xml:space="preserve"> marked "[REDACTED]" in the public copy of this Resolution, as well as the confidential portions of Advice Letter </w:t>
      </w:r>
      <w:r w:rsidRPr="00743E64" w:rsidR="3FE80CBE">
        <w:rPr>
          <w:rFonts w:ascii="Palatino Linotype" w:hAnsi="Palatino Linotype" w:eastAsia="Palatino Linotype" w:cs="Palatino Linotype"/>
          <w:sz w:val="24"/>
          <w:szCs w:val="24"/>
        </w:rPr>
        <w:t>7356</w:t>
      </w:r>
      <w:r w:rsidRPr="00743E64" w:rsidR="617A9629">
        <w:rPr>
          <w:rFonts w:ascii="Palatino Linotype" w:hAnsi="Palatino Linotype" w:eastAsia="Palatino Linotype" w:cs="Palatino Linotype"/>
          <w:sz w:val="24"/>
          <w:szCs w:val="24"/>
        </w:rPr>
        <w:t>-E</w:t>
      </w:r>
      <w:r w:rsidRPr="00743E64" w:rsidR="7C6867C1">
        <w:rPr>
          <w:rFonts w:ascii="Palatino Linotype" w:hAnsi="Palatino Linotype" w:eastAsia="Palatino Linotype" w:cs="Palatino Linotype"/>
          <w:sz w:val="24"/>
          <w:szCs w:val="24"/>
        </w:rPr>
        <w:t>,</w:t>
      </w:r>
      <w:r w:rsidRPr="00743E64">
        <w:rPr>
          <w:rFonts w:ascii="Palatino Linotype" w:hAnsi="Palatino Linotype" w:eastAsia="Palatino Linotype" w:cs="Palatino Linotype"/>
          <w:sz w:val="24"/>
          <w:szCs w:val="24"/>
        </w:rPr>
        <w:t xml:space="preserve"> should remain confidential at this time.</w:t>
      </w:r>
    </w:p>
    <w:p w:rsidRPr="00743E64" w:rsidR="00CF23A0" w:rsidP="3C3BF5CC" w:rsidRDefault="00CF23A0" w14:paraId="3A7FB3B3" w14:textId="77777777">
      <w:pPr>
        <w:rPr>
          <w:rFonts w:ascii="Palatino Linotype" w:hAnsi="Palatino Linotype" w:eastAsia="Palatino Linotype" w:cs="Palatino Linotype"/>
          <w:sz w:val="24"/>
          <w:szCs w:val="24"/>
        </w:rPr>
      </w:pPr>
    </w:p>
    <w:p w:rsidRPr="00743E64" w:rsidR="00D86528" w:rsidP="3C3BF5CC" w:rsidRDefault="62E722C0" w14:paraId="3FBB625A" w14:textId="77777777">
      <w:pPr>
        <w:pStyle w:val="Heading1"/>
        <w:rPr>
          <w:rFonts w:ascii="Palatino Linotype" w:hAnsi="Palatino Linotype" w:eastAsia="Palatino Linotype" w:cs="Palatino Linotype"/>
          <w:sz w:val="24"/>
          <w:szCs w:val="24"/>
        </w:rPr>
      </w:pPr>
      <w:proofErr w:type="gramStart"/>
      <w:r w:rsidRPr="00743E64">
        <w:rPr>
          <w:rFonts w:ascii="Palatino Linotype" w:hAnsi="Palatino Linotype" w:eastAsia="Palatino Linotype" w:cs="Palatino Linotype"/>
          <w:sz w:val="24"/>
          <w:szCs w:val="24"/>
        </w:rPr>
        <w:t>Therefore</w:t>
      </w:r>
      <w:proofErr w:type="gramEnd"/>
      <w:r w:rsidRPr="00743E64">
        <w:rPr>
          <w:rFonts w:ascii="Palatino Linotype" w:hAnsi="Palatino Linotype" w:eastAsia="Palatino Linotype" w:cs="Palatino Linotype"/>
          <w:sz w:val="24"/>
          <w:szCs w:val="24"/>
        </w:rPr>
        <w:t xml:space="preserve"> it is ordered that:</w:t>
      </w:r>
    </w:p>
    <w:p w:rsidRPr="00743E64" w:rsidR="00D86528" w:rsidP="3C3BF5CC" w:rsidRDefault="3FE80CBE" w14:paraId="12B8E320" w14:textId="6BADFD12">
      <w:pPr>
        <w:pStyle w:val="Res-Caption"/>
        <w:numPr>
          <w:ilvl w:val="0"/>
          <w:numId w:val="1"/>
        </w:numPr>
        <w:rPr>
          <w:rFonts w:ascii="Palatino Linotype" w:hAnsi="Palatino Linotype" w:eastAsia="Palatino Linotype" w:cs="Palatino Linotype"/>
          <w:snapToGrid w:val="0"/>
          <w:sz w:val="24"/>
          <w:szCs w:val="24"/>
        </w:rPr>
      </w:pPr>
      <w:r w:rsidRPr="00743E64">
        <w:rPr>
          <w:rFonts w:ascii="Palatino Linotype" w:hAnsi="Palatino Linotype" w:eastAsia="Palatino Linotype" w:cs="Palatino Linotype"/>
          <w:snapToGrid w:val="0"/>
          <w:sz w:val="24"/>
          <w:szCs w:val="24"/>
        </w:rPr>
        <w:t>Pacific Gas</w:t>
      </w:r>
      <w:r w:rsidRPr="00743E64" w:rsidR="39B3EB92">
        <w:rPr>
          <w:rFonts w:ascii="Palatino Linotype" w:hAnsi="Palatino Linotype" w:eastAsia="Palatino Linotype" w:cs="Palatino Linotype"/>
          <w:snapToGrid w:val="0"/>
          <w:sz w:val="24"/>
          <w:szCs w:val="24"/>
        </w:rPr>
        <w:t xml:space="preserve"> </w:t>
      </w:r>
      <w:r w:rsidRPr="00743E64">
        <w:rPr>
          <w:rFonts w:ascii="Palatino Linotype" w:hAnsi="Palatino Linotype" w:eastAsia="Palatino Linotype" w:cs="Palatino Linotype"/>
          <w:snapToGrid w:val="0"/>
          <w:sz w:val="24"/>
          <w:szCs w:val="24"/>
        </w:rPr>
        <w:t>&amp; Electric’s</w:t>
      </w:r>
      <w:r w:rsidRPr="00743E64" w:rsidR="62E722C0">
        <w:rPr>
          <w:rFonts w:ascii="Palatino Linotype" w:hAnsi="Palatino Linotype" w:eastAsia="Palatino Linotype" w:cs="Palatino Linotype"/>
          <w:snapToGrid w:val="0"/>
          <w:sz w:val="24"/>
          <w:szCs w:val="24"/>
        </w:rPr>
        <w:t xml:space="preserve"> Advice Letter </w:t>
      </w:r>
      <w:r w:rsidRPr="00743E64">
        <w:rPr>
          <w:rFonts w:ascii="Palatino Linotype" w:hAnsi="Palatino Linotype" w:eastAsia="Palatino Linotype" w:cs="Palatino Linotype"/>
          <w:snapToGrid w:val="0"/>
          <w:sz w:val="24"/>
          <w:szCs w:val="24"/>
        </w:rPr>
        <w:t>7356</w:t>
      </w:r>
      <w:r w:rsidRPr="00743E64" w:rsidR="62E722C0">
        <w:rPr>
          <w:rFonts w:ascii="Palatino Linotype" w:hAnsi="Palatino Linotype" w:eastAsia="Palatino Linotype" w:cs="Palatino Linotype"/>
          <w:snapToGrid w:val="0"/>
          <w:sz w:val="24"/>
          <w:szCs w:val="24"/>
        </w:rPr>
        <w:t xml:space="preserve">-E requesting Commission review and approval of </w:t>
      </w:r>
      <w:r w:rsidRPr="00743E64" w:rsidR="03F30133">
        <w:rPr>
          <w:rFonts w:ascii="Palatino Linotype" w:hAnsi="Palatino Linotype" w:eastAsia="Palatino Linotype" w:cs="Palatino Linotype"/>
          <w:snapToGrid w:val="0"/>
          <w:sz w:val="24"/>
          <w:szCs w:val="24"/>
        </w:rPr>
        <w:t>f</w:t>
      </w:r>
      <w:r w:rsidRPr="00743E64">
        <w:rPr>
          <w:rFonts w:ascii="Palatino Linotype" w:hAnsi="Palatino Linotype" w:eastAsia="Palatino Linotype" w:cs="Palatino Linotype"/>
          <w:snapToGrid w:val="0"/>
          <w:sz w:val="24"/>
          <w:szCs w:val="24"/>
        </w:rPr>
        <w:t>our</w:t>
      </w:r>
      <w:r w:rsidRPr="00743E64" w:rsidR="03F30133">
        <w:rPr>
          <w:rFonts w:ascii="Palatino Linotype" w:hAnsi="Palatino Linotype" w:eastAsia="Palatino Linotype" w:cs="Palatino Linotype"/>
          <w:sz w:val="24"/>
          <w:szCs w:val="24"/>
        </w:rPr>
        <w:t xml:space="preserve"> Mid-Term Reliability Renewable Resource Contracts, </w:t>
      </w:r>
      <w:r w:rsidRPr="00743E64" w:rsidR="62E722C0">
        <w:rPr>
          <w:rFonts w:ascii="Palatino Linotype" w:hAnsi="Palatino Linotype" w:eastAsia="Palatino Linotype" w:cs="Palatino Linotype"/>
          <w:snapToGrid w:val="0"/>
          <w:sz w:val="24"/>
          <w:szCs w:val="24"/>
        </w:rPr>
        <w:t xml:space="preserve">is approved without modification. </w:t>
      </w:r>
    </w:p>
    <w:p w:rsidR="00D86528" w:rsidP="3C3BF5CC" w:rsidRDefault="00D86528" w14:paraId="59EE0097" w14:textId="77777777">
      <w:pPr>
        <w:tabs>
          <w:tab w:val="left" w:pos="720"/>
          <w:tab w:val="left" w:pos="1296"/>
          <w:tab w:val="left" w:pos="2016"/>
          <w:tab w:val="left" w:pos="2736"/>
          <w:tab w:val="left" w:pos="3456"/>
          <w:tab w:val="left" w:pos="4176"/>
          <w:tab w:val="left" w:pos="5760"/>
        </w:tabs>
        <w:rPr>
          <w:rFonts w:ascii="Palatino Linotype" w:hAnsi="Palatino Linotype" w:eastAsia="Palatino Linotype" w:cs="Palatino Linotype"/>
          <w:sz w:val="24"/>
          <w:szCs w:val="24"/>
        </w:rPr>
      </w:pPr>
    </w:p>
    <w:p w:rsidR="00F8097D" w:rsidP="3C3BF5CC" w:rsidRDefault="00F8097D" w14:paraId="07B590FC" w14:textId="77777777">
      <w:pPr>
        <w:tabs>
          <w:tab w:val="left" w:pos="720"/>
          <w:tab w:val="left" w:pos="1296"/>
          <w:tab w:val="left" w:pos="2016"/>
          <w:tab w:val="left" w:pos="2736"/>
          <w:tab w:val="left" w:pos="3456"/>
          <w:tab w:val="left" w:pos="4176"/>
          <w:tab w:val="left" w:pos="5760"/>
        </w:tabs>
        <w:rPr>
          <w:rFonts w:ascii="Palatino Linotype" w:hAnsi="Palatino Linotype" w:eastAsia="Palatino Linotype" w:cs="Palatino Linotype"/>
          <w:sz w:val="24"/>
          <w:szCs w:val="24"/>
        </w:rPr>
      </w:pPr>
    </w:p>
    <w:p w:rsidRPr="00743E64" w:rsidR="00D86528" w:rsidP="3C3BF5CC" w:rsidRDefault="62E722C0" w14:paraId="1A998304" w14:textId="77777777">
      <w:pPr>
        <w:tabs>
          <w:tab w:val="left" w:pos="720"/>
          <w:tab w:val="left" w:pos="1296"/>
          <w:tab w:val="left" w:pos="2016"/>
          <w:tab w:val="left" w:pos="2736"/>
          <w:tab w:val="left" w:pos="3456"/>
          <w:tab w:val="left" w:pos="4176"/>
          <w:tab w:val="left" w:pos="5760"/>
        </w:tabs>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This Resolution is effective today.</w:t>
      </w:r>
    </w:p>
    <w:p w:rsidRPr="00743E64" w:rsidR="00D86528" w:rsidP="3C3BF5CC" w:rsidRDefault="00D86528" w14:paraId="0E43E1FC" w14:textId="77777777">
      <w:pPr>
        <w:tabs>
          <w:tab w:val="left" w:pos="720"/>
          <w:tab w:val="left" w:pos="1296"/>
          <w:tab w:val="left" w:pos="2016"/>
          <w:tab w:val="left" w:pos="2736"/>
          <w:tab w:val="left" w:pos="3456"/>
          <w:tab w:val="left" w:pos="4176"/>
          <w:tab w:val="left" w:pos="5760"/>
        </w:tabs>
        <w:rPr>
          <w:rFonts w:ascii="Palatino Linotype" w:hAnsi="Palatino Linotype" w:eastAsia="Palatino Linotype" w:cs="Palatino Linotype"/>
          <w:sz w:val="24"/>
          <w:szCs w:val="24"/>
          <w:highlight w:val="yellow"/>
        </w:rPr>
      </w:pPr>
    </w:p>
    <w:p w:rsidRPr="00743E64" w:rsidR="00D86528" w:rsidP="1D3DD59E" w:rsidRDefault="29E1A754" w14:paraId="5D41367E" w14:textId="401D511F">
      <w:pPr>
        <w:rPr>
          <w:rFonts w:ascii="Palatino Linotype" w:hAnsi="Palatino Linotype" w:eastAsia="Palatino Linotype" w:cs="Palatino Linotype"/>
          <w:snapToGrid w:val="0"/>
          <w:sz w:val="24"/>
          <w:szCs w:val="24"/>
        </w:rPr>
      </w:pPr>
      <w:r w:rsidRPr="00743E64">
        <w:rPr>
          <w:rFonts w:ascii="Palatino Linotype" w:hAnsi="Palatino Linotype" w:eastAsia="Palatino Linotype" w:cs="Palatino Linotype"/>
          <w:snapToGrid w:val="0"/>
          <w:sz w:val="24"/>
          <w:szCs w:val="24"/>
        </w:rPr>
        <w:t xml:space="preserve">I certify that the foregoing resolution was duly introduced, passed and adopted at a conference of the Public Utilities Commission of the State of California held on </w:t>
      </w:r>
      <w:r w:rsidRPr="00743E64" w:rsidR="00D86528">
        <w:rPr>
          <w:rFonts w:ascii="Palatino Linotype" w:hAnsi="Palatino Linotype"/>
          <w:snapToGrid w:val="0"/>
          <w:sz w:val="24"/>
          <w:szCs w:val="24"/>
        </w:rPr>
        <w:br/>
      </w:r>
      <w:r w:rsidRPr="00743E64" w:rsidR="64778EA9">
        <w:rPr>
          <w:rFonts w:ascii="Palatino Linotype" w:hAnsi="Palatino Linotype" w:eastAsia="Palatino Linotype" w:cs="Palatino Linotype"/>
          <w:sz w:val="24"/>
          <w:szCs w:val="24"/>
        </w:rPr>
        <w:t>February 20, 2025</w:t>
      </w:r>
      <w:r w:rsidRPr="00743E64">
        <w:rPr>
          <w:rFonts w:ascii="Palatino Linotype" w:hAnsi="Palatino Linotype" w:eastAsia="Palatino Linotype" w:cs="Palatino Linotype"/>
          <w:snapToGrid w:val="0"/>
          <w:sz w:val="24"/>
          <w:szCs w:val="24"/>
        </w:rPr>
        <w:t>; the following Commissioners voting favorably thereon:</w:t>
      </w:r>
    </w:p>
    <w:p w:rsidRPr="00743E64" w:rsidR="00D86528" w:rsidP="3C3BF5CC" w:rsidRDefault="00D86528" w14:paraId="29D47796" w14:textId="77777777">
      <w:pPr>
        <w:tabs>
          <w:tab w:val="left" w:pos="720"/>
          <w:tab w:val="left" w:pos="1152"/>
          <w:tab w:val="left" w:pos="1728"/>
          <w:tab w:val="left" w:pos="3168"/>
          <w:tab w:val="left" w:pos="5040"/>
        </w:tabs>
        <w:ind w:right="144"/>
        <w:rPr>
          <w:rFonts w:ascii="Palatino Linotype" w:hAnsi="Palatino Linotype" w:eastAsia="Palatino Linotype" w:cs="Palatino Linotype"/>
          <w:sz w:val="24"/>
          <w:szCs w:val="24"/>
        </w:rPr>
      </w:pPr>
    </w:p>
    <w:p w:rsidRPr="00743E64" w:rsidR="00D86528" w:rsidP="3C3BF5CC" w:rsidRDefault="00D86528" w14:paraId="56FC79FA" w14:textId="77777777">
      <w:pPr>
        <w:tabs>
          <w:tab w:val="left" w:pos="720"/>
          <w:tab w:val="left" w:pos="1152"/>
          <w:tab w:val="left" w:pos="1728"/>
          <w:tab w:val="left" w:pos="3168"/>
          <w:tab w:val="left" w:pos="5040"/>
        </w:tabs>
        <w:ind w:right="144"/>
        <w:rPr>
          <w:rFonts w:ascii="Palatino Linotype" w:hAnsi="Palatino Linotype" w:eastAsia="Palatino Linotype" w:cs="Palatino Linotype"/>
          <w:sz w:val="24"/>
          <w:szCs w:val="24"/>
        </w:rPr>
      </w:pPr>
    </w:p>
    <w:p w:rsidRPr="00743E64" w:rsidR="00D86528" w:rsidP="3C3BF5CC" w:rsidRDefault="00D86528" w14:paraId="6CF9F4C5" w14:textId="77777777">
      <w:pPr>
        <w:tabs>
          <w:tab w:val="left" w:pos="720"/>
          <w:tab w:val="left" w:pos="1152"/>
          <w:tab w:val="left" w:pos="1728"/>
          <w:tab w:val="left" w:pos="3168"/>
          <w:tab w:val="left" w:pos="5040"/>
        </w:tabs>
        <w:ind w:right="144"/>
        <w:rPr>
          <w:rFonts w:ascii="Palatino Linotype" w:hAnsi="Palatino Linotype" w:eastAsia="Palatino Linotype" w:cs="Palatino Linotype"/>
          <w:sz w:val="24"/>
          <w:szCs w:val="24"/>
        </w:rPr>
      </w:pPr>
    </w:p>
    <w:p w:rsidRPr="00743E64" w:rsidR="00D86528" w:rsidP="3C3BF5CC" w:rsidRDefault="00D86528" w14:paraId="4C302679" w14:textId="77777777">
      <w:pPr>
        <w:tabs>
          <w:tab w:val="left" w:pos="720"/>
          <w:tab w:val="left" w:pos="1152"/>
          <w:tab w:val="left" w:pos="1728"/>
          <w:tab w:val="left" w:pos="3168"/>
          <w:tab w:val="left" w:pos="5040"/>
        </w:tabs>
        <w:ind w:right="144"/>
        <w:rPr>
          <w:rFonts w:ascii="Palatino Linotype" w:hAnsi="Palatino Linotype" w:eastAsia="Palatino Linotype" w:cs="Palatino Linotype"/>
          <w:sz w:val="24"/>
          <w:szCs w:val="24"/>
        </w:rPr>
      </w:pP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sidR="62E722C0">
        <w:rPr>
          <w:rFonts w:ascii="Palatino Linotype" w:hAnsi="Palatino Linotype" w:eastAsia="Palatino Linotype" w:cs="Palatino Linotype"/>
          <w:sz w:val="24"/>
          <w:szCs w:val="24"/>
        </w:rPr>
        <w:t>_____________________</w:t>
      </w:r>
    </w:p>
    <w:p w:rsidRPr="00743E64" w:rsidR="00D86528" w:rsidP="3C3BF5CC" w:rsidRDefault="00D86528" w14:paraId="6E40C200" w14:textId="77777777">
      <w:pPr>
        <w:rPr>
          <w:rFonts w:ascii="Palatino Linotype" w:hAnsi="Palatino Linotype" w:eastAsia="Palatino Linotype" w:cs="Palatino Linotype"/>
          <w:sz w:val="24"/>
          <w:szCs w:val="24"/>
        </w:rPr>
      </w:pP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sidR="62E722C0">
        <w:rPr>
          <w:rFonts w:ascii="Palatino Linotype" w:hAnsi="Palatino Linotype" w:eastAsia="Palatino Linotype" w:cs="Palatino Linotype"/>
          <w:sz w:val="24"/>
          <w:szCs w:val="24"/>
        </w:rPr>
        <w:t>Rachel Peterson</w:t>
      </w:r>
    </w:p>
    <w:p w:rsidRPr="00743E64" w:rsidR="00D86528" w:rsidP="3C3BF5CC" w:rsidRDefault="00D86528" w14:paraId="455F763B" w14:textId="77777777">
      <w:pPr>
        <w:rPr>
          <w:rFonts w:ascii="Palatino Linotype" w:hAnsi="Palatino Linotype" w:eastAsia="Palatino Linotype" w:cs="Palatino Linotype"/>
          <w:sz w:val="24"/>
          <w:szCs w:val="24"/>
        </w:rPr>
      </w:pP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sidR="62E722C0">
        <w:rPr>
          <w:rFonts w:ascii="Palatino Linotype" w:hAnsi="Palatino Linotype" w:eastAsia="Palatino Linotype" w:cs="Palatino Linotype"/>
          <w:sz w:val="24"/>
          <w:szCs w:val="24"/>
        </w:rPr>
        <w:t>Executive Director</w:t>
      </w:r>
    </w:p>
    <w:p w:rsidRPr="00743E64" w:rsidR="00E05138" w:rsidP="00D86528" w:rsidRDefault="00E05138" w14:paraId="52D7383A" w14:textId="77777777">
      <w:pPr>
        <w:rPr>
          <w:rFonts w:ascii="Palatino Linotype" w:hAnsi="Palatino Linotype" w:eastAsia="Palatino Linotype"/>
          <w:sz w:val="24"/>
          <w:szCs w:val="24"/>
        </w:rPr>
      </w:pPr>
    </w:p>
    <w:p w:rsidRPr="00743E64" w:rsidR="00D86528" w:rsidP="00E87B03" w:rsidRDefault="00E05138" w14:paraId="7A479590" w14:textId="2FD99AB0">
      <w:pPr>
        <w:jc w:val="right"/>
        <w:rPr>
          <w:rFonts w:ascii="Palatino Linotype" w:hAnsi="Palatino Linotype" w:eastAsia="Palatino Linotype"/>
          <w:sz w:val="24"/>
          <w:szCs w:val="24"/>
        </w:rPr>
      </w:pPr>
      <w:r w:rsidRPr="00743E64">
        <w:rPr>
          <w:rFonts w:ascii="Palatino Linotype" w:hAnsi="Palatino Linotype" w:eastAsia="Palatino Linotype"/>
          <w:sz w:val="24"/>
          <w:szCs w:val="24"/>
        </w:rPr>
        <w:tab/>
      </w:r>
      <w:r w:rsidRPr="00743E64">
        <w:rPr>
          <w:rFonts w:ascii="Palatino Linotype" w:hAnsi="Palatino Linotype" w:eastAsia="Palatino Linotype"/>
          <w:sz w:val="24"/>
          <w:szCs w:val="24"/>
        </w:rPr>
        <w:tab/>
      </w:r>
      <w:r w:rsidRPr="00743E64">
        <w:rPr>
          <w:rFonts w:ascii="Palatino Linotype" w:hAnsi="Palatino Linotype" w:eastAsia="Palatino Linotype"/>
          <w:sz w:val="24"/>
          <w:szCs w:val="24"/>
        </w:rPr>
        <w:tab/>
      </w:r>
      <w:r w:rsidRPr="00743E64">
        <w:rPr>
          <w:rFonts w:ascii="Palatino Linotype" w:hAnsi="Palatino Linotype" w:eastAsia="Palatino Linotype"/>
          <w:sz w:val="24"/>
          <w:szCs w:val="24"/>
        </w:rPr>
        <w:tab/>
      </w:r>
      <w:r w:rsidRPr="00743E64">
        <w:rPr>
          <w:rFonts w:ascii="Palatino Linotype" w:hAnsi="Palatino Linotype" w:eastAsia="Palatino Linotype"/>
          <w:sz w:val="24"/>
          <w:szCs w:val="24"/>
        </w:rPr>
        <w:tab/>
      </w:r>
      <w:r w:rsidRPr="00743E64">
        <w:rPr>
          <w:rFonts w:ascii="Palatino Linotype" w:hAnsi="Palatino Linotype" w:eastAsia="Palatino Linotype"/>
          <w:sz w:val="24"/>
          <w:szCs w:val="24"/>
        </w:rPr>
        <w:tab/>
      </w:r>
      <w:r w:rsidRPr="00743E64">
        <w:rPr>
          <w:rFonts w:ascii="Palatino Linotype" w:hAnsi="Palatino Linotype" w:eastAsia="Palatino Linotype"/>
          <w:sz w:val="24"/>
          <w:szCs w:val="24"/>
        </w:rPr>
        <w:tab/>
      </w:r>
      <w:r w:rsidRPr="00743E64">
        <w:rPr>
          <w:rFonts w:ascii="Palatino Linotype" w:hAnsi="Palatino Linotype" w:eastAsia="Palatino Linotype"/>
          <w:sz w:val="24"/>
          <w:szCs w:val="24"/>
        </w:rPr>
        <w:tab/>
      </w:r>
    </w:p>
    <w:p w:rsidRPr="00743E64" w:rsidR="00D86528" w:rsidP="00F30A6A" w:rsidRDefault="00D86528" w14:paraId="1F1F77CD" w14:textId="77777777">
      <w:pPr>
        <w:tabs>
          <w:tab w:val="left" w:pos="720"/>
          <w:tab w:val="left" w:pos="1152"/>
          <w:tab w:val="left" w:pos="1728"/>
          <w:tab w:val="left" w:pos="3168"/>
          <w:tab w:val="left" w:pos="5040"/>
        </w:tabs>
        <w:ind w:right="144"/>
        <w:rPr>
          <w:rFonts w:ascii="Palatino Linotype" w:hAnsi="Palatino Linotype"/>
          <w:b/>
          <w:sz w:val="24"/>
          <w:szCs w:val="24"/>
          <w:u w:val="single"/>
        </w:rPr>
      </w:pPr>
      <w:r w:rsidRPr="00743E64">
        <w:rPr>
          <w:rFonts w:ascii="Palatino Linotype" w:hAnsi="Palatino Linotype" w:eastAsia="Palatino Linotype"/>
          <w:sz w:val="24"/>
          <w:szCs w:val="24"/>
        </w:rPr>
        <w:tab/>
      </w:r>
      <w:r w:rsidRPr="00743E64">
        <w:rPr>
          <w:rFonts w:ascii="Palatino Linotype" w:hAnsi="Palatino Linotype"/>
          <w:b/>
          <w:sz w:val="24"/>
          <w:szCs w:val="24"/>
          <w:u w:val="single"/>
        </w:rPr>
        <w:br w:type="page"/>
      </w:r>
    </w:p>
    <w:p w:rsidRPr="00417D7B" w:rsidR="00612BCE" w:rsidP="00612BCE" w:rsidRDefault="00612BCE" w14:paraId="00FEC545" w14:textId="2EE3EBDB">
      <w:pPr>
        <w:jc w:val="center"/>
        <w:rPr>
          <w:rFonts w:ascii="Palatino Linotype" w:hAnsi="Palatino Linotype"/>
          <w:b/>
          <w:sz w:val="48"/>
          <w:szCs w:val="48"/>
          <w:u w:val="single"/>
        </w:rPr>
      </w:pPr>
      <w:r w:rsidRPr="00417D7B">
        <w:rPr>
          <w:rFonts w:ascii="Palatino Linotype" w:hAnsi="Palatino Linotype"/>
          <w:b/>
          <w:sz w:val="48"/>
          <w:szCs w:val="48"/>
          <w:u w:val="single"/>
        </w:rPr>
        <w:lastRenderedPageBreak/>
        <w:t xml:space="preserve">Confidential Appendix </w:t>
      </w:r>
      <w:r w:rsidRPr="00417D7B" w:rsidR="00FD6920">
        <w:rPr>
          <w:rFonts w:ascii="Palatino Linotype" w:hAnsi="Palatino Linotype"/>
          <w:b/>
          <w:sz w:val="48"/>
          <w:szCs w:val="48"/>
          <w:u w:val="single"/>
        </w:rPr>
        <w:t>A</w:t>
      </w:r>
    </w:p>
    <w:p w:rsidRPr="00417D7B" w:rsidR="00612BCE" w:rsidP="00410E3B" w:rsidRDefault="00410E3B" w14:paraId="188D4354" w14:textId="759D9EB6">
      <w:pPr>
        <w:jc w:val="center"/>
        <w:rPr>
          <w:rFonts w:ascii="Palatino Linotype" w:hAnsi="Palatino Linotype"/>
          <w:sz w:val="36"/>
          <w:szCs w:val="36"/>
        </w:rPr>
      </w:pPr>
      <w:r w:rsidRPr="00417D7B">
        <w:rPr>
          <w:rFonts w:ascii="Palatino Linotype" w:hAnsi="Palatino Linotype"/>
          <w:sz w:val="36"/>
          <w:szCs w:val="36"/>
        </w:rPr>
        <w:t xml:space="preserve">Summary of Major Contract Terms </w:t>
      </w:r>
    </w:p>
    <w:p w:rsidRPr="00417D7B" w:rsidR="63635751" w:rsidP="00417D7B" w:rsidRDefault="63635751" w14:paraId="3C2E8221" w14:textId="72B34321">
      <w:pPr>
        <w:jc w:val="right"/>
        <w:rPr>
          <w:rFonts w:ascii="Palatino Linotype" w:hAnsi="Palatino Linotype"/>
          <w:sz w:val="36"/>
          <w:szCs w:val="36"/>
        </w:rPr>
      </w:pPr>
    </w:p>
    <w:p w:rsidRPr="00417D7B" w:rsidR="14252E89" w:rsidP="63635751" w:rsidRDefault="14252E89" w14:paraId="2F0CCC3D" w14:textId="62C1BC89">
      <w:pPr>
        <w:jc w:val="center"/>
        <w:rPr>
          <w:rFonts w:ascii="Palatino Linotype" w:hAnsi="Palatino Linotype"/>
          <w:sz w:val="36"/>
          <w:szCs w:val="36"/>
        </w:rPr>
      </w:pPr>
      <w:r w:rsidRPr="00417D7B">
        <w:rPr>
          <w:rFonts w:ascii="Palatino Linotype" w:hAnsi="Palatino Linotype"/>
          <w:sz w:val="36"/>
          <w:szCs w:val="36"/>
        </w:rPr>
        <w:t>REDACTED</w:t>
      </w:r>
    </w:p>
    <w:p w:rsidRPr="00417D7B" w:rsidR="00A25AB1" w:rsidP="63635751" w:rsidRDefault="00A25AB1" w14:paraId="559122CE" w14:textId="48716450">
      <w:pPr>
        <w:spacing w:after="240" w:line="259" w:lineRule="auto"/>
        <w:rPr>
          <w:rFonts w:ascii="Palatino Linotype" w:hAnsi="Palatino Linotype"/>
          <w:b/>
          <w:bCs/>
          <w:sz w:val="36"/>
          <w:szCs w:val="36"/>
          <w:u w:val="single"/>
        </w:rPr>
      </w:pPr>
      <w:r w:rsidRPr="00417D7B">
        <w:rPr>
          <w:rFonts w:ascii="Palatino Linotype" w:hAnsi="Palatino Linotype"/>
          <w:b/>
          <w:bCs/>
          <w:sz w:val="36"/>
          <w:szCs w:val="36"/>
          <w:u w:val="single"/>
        </w:rPr>
        <w:br w:type="page"/>
      </w:r>
    </w:p>
    <w:p w:rsidRPr="0099169C" w:rsidR="00A25AB1" w:rsidP="00A25AB1" w:rsidRDefault="00A25AB1" w14:paraId="3BF1130D" w14:textId="5CD32BE9">
      <w:pPr>
        <w:jc w:val="center"/>
        <w:rPr>
          <w:rFonts w:ascii="Palatino Linotype" w:hAnsi="Palatino Linotype"/>
          <w:b/>
          <w:sz w:val="48"/>
          <w:szCs w:val="48"/>
          <w:u w:val="single"/>
        </w:rPr>
      </w:pPr>
      <w:r w:rsidRPr="0099169C">
        <w:rPr>
          <w:rFonts w:ascii="Palatino Linotype" w:hAnsi="Palatino Linotype"/>
          <w:b/>
          <w:sz w:val="48"/>
          <w:szCs w:val="48"/>
          <w:u w:val="single"/>
        </w:rPr>
        <w:lastRenderedPageBreak/>
        <w:t>Confidential Appendix B</w:t>
      </w:r>
    </w:p>
    <w:p w:rsidRPr="0099169C" w:rsidR="00157B7C" w:rsidP="00A25AB1" w:rsidRDefault="00B331CE" w14:paraId="34BEAF64" w14:textId="3C0EF7B9">
      <w:pPr>
        <w:spacing w:after="160" w:line="259" w:lineRule="auto"/>
        <w:jc w:val="center"/>
        <w:rPr>
          <w:rFonts w:ascii="Palatino Linotype" w:hAnsi="Palatino Linotype"/>
          <w:sz w:val="36"/>
          <w:szCs w:val="36"/>
        </w:rPr>
      </w:pPr>
      <w:r w:rsidRPr="0099169C">
        <w:rPr>
          <w:rFonts w:ascii="Palatino Linotype" w:hAnsi="Palatino Linotype"/>
          <w:sz w:val="36"/>
          <w:szCs w:val="36"/>
        </w:rPr>
        <w:t>Solicitation and c</w:t>
      </w:r>
      <w:r w:rsidRPr="0099169C" w:rsidR="00A25AB1">
        <w:rPr>
          <w:rFonts w:ascii="Palatino Linotype" w:hAnsi="Palatino Linotype"/>
          <w:sz w:val="36"/>
          <w:szCs w:val="36"/>
        </w:rPr>
        <w:t>ost reasonableness review</w:t>
      </w:r>
    </w:p>
    <w:p w:rsidRPr="0099169C" w:rsidR="35486B8A" w:rsidP="63635751" w:rsidRDefault="35486B8A" w14:paraId="47C03B36" w14:textId="50CC0672">
      <w:pPr>
        <w:spacing w:after="160" w:line="259" w:lineRule="auto"/>
        <w:jc w:val="center"/>
        <w:rPr>
          <w:rFonts w:ascii="Palatino Linotype" w:hAnsi="Palatino Linotype"/>
          <w:sz w:val="36"/>
          <w:szCs w:val="36"/>
        </w:rPr>
      </w:pPr>
      <w:r w:rsidRPr="0099169C">
        <w:rPr>
          <w:rFonts w:ascii="Palatino Linotype" w:hAnsi="Palatino Linotype"/>
          <w:sz w:val="36"/>
          <w:szCs w:val="36"/>
        </w:rPr>
        <w:t>REDACTED</w:t>
      </w:r>
    </w:p>
    <w:p w:rsidRPr="00743E64" w:rsidR="00743E64" w:rsidRDefault="00743E64" w14:paraId="48262703" w14:textId="77777777">
      <w:pPr>
        <w:spacing w:after="160" w:line="259" w:lineRule="auto"/>
        <w:jc w:val="center"/>
        <w:rPr>
          <w:rFonts w:ascii="Palatino Linotype" w:hAnsi="Palatino Linotype"/>
          <w:sz w:val="24"/>
          <w:szCs w:val="24"/>
        </w:rPr>
      </w:pPr>
    </w:p>
    <w:sectPr w:rsidRPr="00743E64" w:rsidR="00743E64" w:rsidSect="00D844BD">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sectPr>
    <w:p>
      <w:r>
        <w:t xml:space="preserve"/>
      </w:r>
    </w:p>
    <w:p>
      <w:r>
        <w:t xml:space="preserve">Attachment 1: </w:t>
      </w:r>
    </w:p>
    <w:p>
      <w:hyperlink w:history="true" r:id="Rd61e6c5c4d734c2e">
        <w:r w:rsidRPr="00CB1292">
          <w:rPr>
            <w:rStyle w:val="Hyperlink"/>
            <w:color w:val="2E74B5" w:themeColor="accent1" w:themeShade="BF"/>
            <w:u w:val="single"/>
          </w:rPr>
          <w:t>E-5370 Redacted Draft Agenda Resolution (PG&amp;E AL 7356-E) (Redline)</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DB8A6" w14:textId="77777777" w:rsidR="006C57BF" w:rsidRDefault="006C57BF" w:rsidP="00612BCE">
      <w:r>
        <w:separator/>
      </w:r>
    </w:p>
  </w:endnote>
  <w:endnote w:type="continuationSeparator" w:id="0">
    <w:p w14:paraId="0A3340D6" w14:textId="77777777" w:rsidR="006C57BF" w:rsidRDefault="006C57BF" w:rsidP="00612BCE">
      <w:r>
        <w:continuationSeparator/>
      </w:r>
    </w:p>
  </w:endnote>
  <w:endnote w:type="continuationNotice" w:id="1">
    <w:p w14:paraId="392DBA58" w14:textId="77777777" w:rsidR="006C57BF" w:rsidRDefault="006C5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auto"/>
    <w:pitch w:val="variable"/>
    <w:sig w:usb0="20000A87" w:usb1="08000000" w:usb2="00000008" w:usb3="00000000" w:csb0="00000105"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BookAntiqua">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23D20" w14:textId="77777777" w:rsidR="005618C3" w:rsidRPr="00507FD3" w:rsidRDefault="009E1321">
    <w:pPr>
      <w:pStyle w:val="Footer"/>
      <w:rPr>
        <w:rFonts w:ascii="Palatino Linotype" w:hAnsi="Palatino Linotype"/>
      </w:rPr>
    </w:pPr>
    <w:r w:rsidRPr="00507FD3">
      <w:rPr>
        <w:rStyle w:val="PageNumber"/>
        <w:rFonts w:ascii="Palatino Linotype" w:hAnsi="Palatino Linotype"/>
      </w:rPr>
      <w:fldChar w:fldCharType="begin"/>
    </w:r>
    <w:r w:rsidRPr="00507FD3">
      <w:rPr>
        <w:rStyle w:val="PageNumber"/>
        <w:rFonts w:ascii="Palatino Linotype" w:hAnsi="Palatino Linotype"/>
      </w:rPr>
      <w:instrText xml:space="preserve"> PAGE </w:instrText>
    </w:r>
    <w:r w:rsidRPr="00507FD3">
      <w:rPr>
        <w:rStyle w:val="PageNumber"/>
        <w:rFonts w:ascii="Palatino Linotype" w:hAnsi="Palatino Linotype"/>
      </w:rPr>
      <w:fldChar w:fldCharType="separate"/>
    </w:r>
    <w:r w:rsidRPr="00507FD3">
      <w:rPr>
        <w:rStyle w:val="PageNumber"/>
        <w:rFonts w:ascii="Palatino Linotype" w:hAnsi="Palatino Linotype"/>
        <w:noProof/>
      </w:rPr>
      <w:t>2</w:t>
    </w:r>
    <w:r w:rsidRPr="00507FD3">
      <w:rPr>
        <w:rStyle w:val="PageNumber"/>
        <w:rFonts w:ascii="Palatino Linotype" w:hAnsi="Palatino Linotyp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A12D" w14:textId="1ED6DCE1" w:rsidR="005618C3" w:rsidRDefault="00ED050E" w:rsidP="00ED050E">
    <w:pPr>
      <w:pStyle w:val="Footer"/>
      <w:tabs>
        <w:tab w:val="clear" w:pos="4320"/>
        <w:tab w:val="center" w:pos="4680"/>
      </w:tabs>
      <w:jc w:val="left"/>
    </w:pPr>
    <w:r w:rsidRPr="00ED050E">
      <w:rPr>
        <w:rFonts w:ascii="Tahoma" w:hAnsi="Tahoma" w:cs="Tahoma"/>
        <w:sz w:val="20"/>
      </w:rPr>
      <w:t>557024090  </w:t>
    </w:r>
    <w:r w:rsidR="00FD266E" w:rsidRPr="00FD266E">
      <w:rPr>
        <w:sz w:val="24"/>
        <w:szCs w:val="24"/>
      </w:rPr>
      <w:t> </w:t>
    </w:r>
    <w:r w:rsidR="00FD266E">
      <w:rPr>
        <w:sz w:val="24"/>
        <w:szCs w:val="24"/>
      </w:rPr>
      <w:t xml:space="preserve"> </w:t>
    </w:r>
    <w:r w:rsidR="00FD266E" w:rsidRPr="00FD266E">
      <w:rPr>
        <w:sz w:val="24"/>
        <w:szCs w:val="24"/>
      </w:rPr>
      <w:t> </w:t>
    </w:r>
    <w:r w:rsidR="00FD266E">
      <w:rPr>
        <w:rStyle w:val="PageNumber"/>
        <w:sz w:val="24"/>
        <w:szCs w:val="24"/>
      </w:rPr>
      <w:tab/>
    </w:r>
    <w:r w:rsidR="009E1321" w:rsidRPr="00D86528">
      <w:rPr>
        <w:rStyle w:val="PageNumber"/>
        <w:sz w:val="24"/>
        <w:szCs w:val="24"/>
      </w:rPr>
      <w:fldChar w:fldCharType="begin"/>
    </w:r>
    <w:r w:rsidR="009E1321" w:rsidRPr="00D86528">
      <w:rPr>
        <w:rStyle w:val="PageNumber"/>
        <w:sz w:val="24"/>
        <w:szCs w:val="24"/>
      </w:rPr>
      <w:instrText xml:space="preserve"> PAGE </w:instrText>
    </w:r>
    <w:r w:rsidR="009E1321" w:rsidRPr="00D86528">
      <w:rPr>
        <w:rStyle w:val="PageNumber"/>
        <w:sz w:val="24"/>
        <w:szCs w:val="24"/>
      </w:rPr>
      <w:fldChar w:fldCharType="separate"/>
    </w:r>
    <w:r w:rsidR="009E1321" w:rsidRPr="00D86528">
      <w:rPr>
        <w:rStyle w:val="PageNumber"/>
        <w:noProof/>
        <w:sz w:val="24"/>
        <w:szCs w:val="24"/>
      </w:rPr>
      <w:t>1</w:t>
    </w:r>
    <w:r w:rsidR="009E1321" w:rsidRPr="00D86528">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40C0A" w14:textId="77777777" w:rsidR="006C57BF" w:rsidRDefault="006C57BF" w:rsidP="00612BCE">
      <w:r>
        <w:separator/>
      </w:r>
    </w:p>
  </w:footnote>
  <w:footnote w:type="continuationSeparator" w:id="0">
    <w:p w14:paraId="582FC849" w14:textId="77777777" w:rsidR="006C57BF" w:rsidRDefault="006C57BF" w:rsidP="00612BCE">
      <w:r>
        <w:continuationSeparator/>
      </w:r>
    </w:p>
  </w:footnote>
  <w:footnote w:type="continuationNotice" w:id="1">
    <w:p w14:paraId="38BE6FE3" w14:textId="77777777" w:rsidR="006C57BF" w:rsidRDefault="006C57BF"/>
  </w:footnote>
  <w:footnote w:id="2">
    <w:p w14:paraId="6E457E41" w14:textId="469783CC" w:rsidR="11609C62" w:rsidRPr="00F956E0" w:rsidRDefault="11609C62">
      <w:pPr>
        <w:rPr>
          <w:rFonts w:ascii="Palatino Linotype" w:hAnsi="Palatino Linotype"/>
          <w:sz w:val="20"/>
        </w:rPr>
      </w:pPr>
      <w:r w:rsidRPr="00F956E0">
        <w:rPr>
          <w:rFonts w:ascii="Palatino Linotype" w:hAnsi="Palatino Linotype"/>
          <w:sz w:val="20"/>
        </w:rPr>
        <w:footnoteRef/>
      </w:r>
      <w:r w:rsidRPr="00F956E0">
        <w:rPr>
          <w:rFonts w:ascii="Palatino Linotype" w:hAnsi="Palatino Linotype"/>
          <w:sz w:val="20"/>
        </w:rPr>
        <w:t xml:space="preserve"> The Atlas contracts are interconnected by the </w:t>
      </w:r>
      <w:r w:rsidR="002308C9">
        <w:rPr>
          <w:rFonts w:ascii="Palatino Linotype" w:hAnsi="Palatino Linotype"/>
          <w:sz w:val="20"/>
        </w:rPr>
        <w:t xml:space="preserve">recently in-service </w:t>
      </w:r>
      <w:r w:rsidRPr="00F956E0">
        <w:rPr>
          <w:rFonts w:ascii="Palatino Linotype" w:hAnsi="Palatino Linotype"/>
          <w:sz w:val="20"/>
        </w:rPr>
        <w:t>Ten West Link Transmission line within the CAISO balancing authority. The Ten West Transmission line was approved by the Commission on November 4, 2021</w:t>
      </w:r>
      <w:r w:rsidR="00F956E0" w:rsidRPr="00F956E0">
        <w:rPr>
          <w:rFonts w:ascii="Palatino Linotype" w:hAnsi="Palatino Linotype"/>
          <w:sz w:val="20"/>
        </w:rPr>
        <w:t>.</w:t>
      </w:r>
    </w:p>
  </w:footnote>
  <w:footnote w:id="3">
    <w:p w14:paraId="6F8CB78D" w14:textId="0127326B" w:rsidR="001A2E4C" w:rsidRPr="00787FF5" w:rsidRDefault="001A2E4C" w:rsidP="001A2E4C">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Compliance would be measured based on September NQC calculations using marginal Effective Load Carrying</w:t>
      </w:r>
      <w:r w:rsidR="0026325E" w:rsidRPr="00787FF5">
        <w:rPr>
          <w:rFonts w:ascii="Palatino Linotype" w:hAnsi="Palatino Linotype"/>
        </w:rPr>
        <w:t xml:space="preserve"> </w:t>
      </w:r>
      <w:r w:rsidRPr="00787FF5">
        <w:rPr>
          <w:rFonts w:ascii="Palatino Linotype" w:hAnsi="Palatino Linotype"/>
        </w:rPr>
        <w:t>Capability (ELCCs) calculated by the Commission for each resource type for each future online year</w:t>
      </w:r>
    </w:p>
  </w:footnote>
  <w:footnote w:id="4">
    <w:p w14:paraId="4C3EEEBB" w14:textId="211C5727" w:rsidR="008C19C9" w:rsidRPr="00787FF5" w:rsidRDefault="008C19C9">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The Long Lead Time (LLT) resource requirements are divided into half from long-duration storage and half from firm, zero-emitting generation resources.</w:t>
      </w:r>
    </w:p>
  </w:footnote>
  <w:footnote w:id="5">
    <w:p w14:paraId="585B2A1F" w14:textId="74EDD848" w:rsidR="00332282" w:rsidRPr="00787FF5" w:rsidRDefault="00332282" w:rsidP="00332282">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See D.24-02-047, at </w:t>
      </w:r>
      <w:r w:rsidR="0097303C">
        <w:rPr>
          <w:rFonts w:ascii="Palatino Linotype" w:hAnsi="Palatino Linotype"/>
        </w:rPr>
        <w:t>Ordering Paragraph (</w:t>
      </w:r>
      <w:r w:rsidRPr="00787FF5">
        <w:rPr>
          <w:rFonts w:ascii="Palatino Linotype" w:hAnsi="Palatino Linotype"/>
        </w:rPr>
        <w:t>OP</w:t>
      </w:r>
      <w:r w:rsidR="0097303C">
        <w:rPr>
          <w:rFonts w:ascii="Palatino Linotype" w:hAnsi="Palatino Linotype"/>
        </w:rPr>
        <w:t>)</w:t>
      </w:r>
      <w:r w:rsidRPr="00787FF5">
        <w:rPr>
          <w:rFonts w:ascii="Palatino Linotype" w:hAnsi="Palatino Linotype"/>
        </w:rPr>
        <w:t xml:space="preserve"> 16.</w:t>
      </w:r>
    </w:p>
  </w:footnote>
  <w:footnote w:id="6">
    <w:p w14:paraId="4BDA621F" w14:textId="77777777" w:rsidR="00992F4A" w:rsidRPr="00787FF5" w:rsidRDefault="00992F4A" w:rsidP="00992F4A">
      <w:pPr>
        <w:pStyle w:val="FootnoteText"/>
        <w:widowControl w:val="0"/>
        <w:spacing w:after="120"/>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SB 1078 (Sher, Chapter 516, Statutes of 2002); SB 107 (Simitian, Chapter 464, Statutes of 2006); SB 1036 (Perata, Chapter 685, Statutes of 2007); SB 2 (1X) (Simitian, Chapter 1, Statutes of 2011, First Extraordinary Session); SB 350 (de León, Chapter 547, Statutes of 2015); SB 100 (de Leon, Chapter 312, Statutes of 2018).</w:t>
      </w:r>
    </w:p>
  </w:footnote>
  <w:footnote w:id="7">
    <w:p w14:paraId="13F30BC4" w14:textId="77777777" w:rsidR="00992F4A" w:rsidRPr="00787FF5" w:rsidRDefault="00992F4A" w:rsidP="00992F4A">
      <w:pPr>
        <w:pStyle w:val="FootnoteText"/>
        <w:spacing w:after="120"/>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All further statutory references are to the Public Utilities Code unless otherwise specified.</w:t>
      </w:r>
    </w:p>
  </w:footnote>
  <w:footnote w:id="8">
    <w:p w14:paraId="6E172322" w14:textId="0A5E4D22" w:rsidR="00992F4A" w:rsidRPr="00787FF5" w:rsidRDefault="00992F4A" w:rsidP="00992F4A">
      <w:pPr>
        <w:autoSpaceDE w:val="0"/>
        <w:autoSpaceDN w:val="0"/>
        <w:adjustRightInd w:val="0"/>
        <w:spacing w:after="120"/>
        <w:rPr>
          <w:rFonts w:ascii="Palatino Linotype" w:hAnsi="Palatino Linotype"/>
          <w:sz w:val="20"/>
        </w:rPr>
      </w:pPr>
      <w:r w:rsidRPr="00787FF5">
        <w:rPr>
          <w:rStyle w:val="FootnoteReference"/>
          <w:rFonts w:ascii="Palatino Linotype" w:hAnsi="Palatino Linotype"/>
          <w:sz w:val="20"/>
        </w:rPr>
        <w:footnoteRef/>
      </w:r>
      <w:r w:rsidRPr="00787FF5">
        <w:rPr>
          <w:rFonts w:ascii="Palatino Linotype" w:hAnsi="Palatino Linotype"/>
          <w:sz w:val="20"/>
        </w:rPr>
        <w:t xml:space="preserve"> </w:t>
      </w:r>
      <w:r w:rsidRPr="00787FF5">
        <w:rPr>
          <w:rFonts w:ascii="Palatino Linotype" w:hAnsi="Palatino Linotype" w:cs="Palatino"/>
          <w:sz w:val="20"/>
        </w:rPr>
        <w:t xml:space="preserve">D.11-12-020 established a methodology to calculate procurement requirement quantities for the three different compliance periods covered in SB 2 (1X) (2011-2013, 2014-2016, and 2017-2020). D.16-12-040 established additional procurement requirement quantities for the three compliance periods established by SB 350: 2021-2024, 2025-2027, 2028-2030.     </w:t>
      </w:r>
    </w:p>
  </w:footnote>
  <w:footnote w:id="9">
    <w:p w14:paraId="099F5C76" w14:textId="6CFD8211" w:rsidR="002F5C04" w:rsidRPr="00787FF5" w:rsidRDefault="002F5C04">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w:t>
      </w:r>
      <w:r w:rsidR="00143D59" w:rsidRPr="00787FF5">
        <w:rPr>
          <w:rFonts w:ascii="Palatino Linotype" w:hAnsi="Palatino Linotype"/>
        </w:rPr>
        <w:t xml:space="preserve">See </w:t>
      </w:r>
      <w:r w:rsidR="0018003C" w:rsidRPr="00787FF5">
        <w:rPr>
          <w:rFonts w:ascii="Palatino Linotype" w:hAnsi="Palatino Linotype"/>
        </w:rPr>
        <w:t>PG&amp;E</w:t>
      </w:r>
      <w:r w:rsidR="00143D59" w:rsidRPr="00787FF5">
        <w:rPr>
          <w:rFonts w:ascii="Palatino Linotype" w:hAnsi="Palatino Linotype"/>
        </w:rPr>
        <w:t xml:space="preserve"> AL </w:t>
      </w:r>
      <w:r w:rsidR="0018003C" w:rsidRPr="00787FF5">
        <w:rPr>
          <w:rFonts w:ascii="Palatino Linotype" w:hAnsi="Palatino Linotype"/>
        </w:rPr>
        <w:t>6477</w:t>
      </w:r>
      <w:r w:rsidR="00143D59" w:rsidRPr="00787FF5">
        <w:rPr>
          <w:rFonts w:ascii="Palatino Linotype" w:hAnsi="Palatino Linotype"/>
        </w:rPr>
        <w:t>-E (approved by Resolution E-520</w:t>
      </w:r>
      <w:r w:rsidR="0018003C" w:rsidRPr="00787FF5">
        <w:rPr>
          <w:rFonts w:ascii="Palatino Linotype" w:hAnsi="Palatino Linotype"/>
        </w:rPr>
        <w:t>2</w:t>
      </w:r>
      <w:r w:rsidR="00143D59" w:rsidRPr="00787FF5">
        <w:rPr>
          <w:rFonts w:ascii="Palatino Linotype" w:hAnsi="Palatino Linotype"/>
        </w:rPr>
        <w:t>)</w:t>
      </w:r>
      <w:r w:rsidR="009E564B" w:rsidRPr="00787FF5">
        <w:rPr>
          <w:rFonts w:ascii="Palatino Linotype" w:hAnsi="Palatino Linotype"/>
        </w:rPr>
        <w:t xml:space="preserve">. </w:t>
      </w:r>
    </w:p>
  </w:footnote>
  <w:footnote w:id="10">
    <w:p w14:paraId="0CE0CE53" w14:textId="507D7B57" w:rsidR="00DA3C87" w:rsidRPr="00787FF5" w:rsidRDefault="00DA3C87">
      <w:pPr>
        <w:pStyle w:val="FootnoteText"/>
        <w:rPr>
          <w:rFonts w:ascii="Palatino Linotype" w:hAnsi="Palatino Linotype"/>
        </w:rPr>
      </w:pPr>
      <w:r w:rsidRPr="00787FF5">
        <w:rPr>
          <w:rStyle w:val="FootnoteReference"/>
          <w:rFonts w:ascii="Palatino Linotype" w:hAnsi="Palatino Linotype"/>
        </w:rPr>
        <w:footnoteRef/>
      </w:r>
      <w:r w:rsidR="007407DA" w:rsidRPr="00787FF5">
        <w:rPr>
          <w:rStyle w:val="FootnoteReference"/>
          <w:rFonts w:ascii="Palatino Linotype" w:hAnsi="Palatino Linotype"/>
        </w:rPr>
        <w:t xml:space="preserve"> </w:t>
      </w:r>
      <w:r w:rsidRPr="00787FF5">
        <w:rPr>
          <w:rFonts w:ascii="Palatino Linotype" w:hAnsi="Palatino Linotype"/>
        </w:rPr>
        <w:t xml:space="preserve">See PG&amp;E AL </w:t>
      </w:r>
      <w:r w:rsidR="00D3377E" w:rsidRPr="00787FF5">
        <w:rPr>
          <w:rFonts w:ascii="Palatino Linotype" w:hAnsi="Palatino Linotype"/>
        </w:rPr>
        <w:t>7177</w:t>
      </w:r>
      <w:r w:rsidRPr="00787FF5">
        <w:rPr>
          <w:rFonts w:ascii="Palatino Linotype" w:hAnsi="Palatino Linotype"/>
        </w:rPr>
        <w:t>-E</w:t>
      </w:r>
      <w:r w:rsidR="0029272A" w:rsidRPr="00787FF5">
        <w:rPr>
          <w:rFonts w:ascii="Palatino Linotype" w:hAnsi="Palatino Linotype"/>
        </w:rPr>
        <w:t xml:space="preserve"> (approved by Resolution E-5325)</w:t>
      </w:r>
      <w:r w:rsidR="00D3377E" w:rsidRPr="00787FF5">
        <w:rPr>
          <w:rFonts w:ascii="Palatino Linotype" w:hAnsi="Palatino Linotype"/>
        </w:rPr>
        <w:t>, and PG&amp;E AL 7299</w:t>
      </w:r>
      <w:r w:rsidR="00D620C3" w:rsidRPr="00787FF5">
        <w:rPr>
          <w:rFonts w:ascii="Palatino Linotype" w:hAnsi="Palatino Linotype"/>
        </w:rPr>
        <w:t>-E.</w:t>
      </w:r>
    </w:p>
  </w:footnote>
  <w:footnote w:id="11">
    <w:p w14:paraId="07FFA1A2" w14:textId="5D282F22" w:rsidR="00636EC7" w:rsidRPr="00787FF5" w:rsidRDefault="00636EC7" w:rsidP="00E60FD1">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In </w:t>
      </w:r>
      <w:r w:rsidR="008A5E8E" w:rsidRPr="00787FF5">
        <w:rPr>
          <w:rFonts w:ascii="Palatino Linotype" w:hAnsi="Palatino Linotype"/>
        </w:rPr>
        <w:t>PG&amp;E</w:t>
      </w:r>
      <w:r w:rsidRPr="00787FF5">
        <w:rPr>
          <w:rFonts w:ascii="Palatino Linotype" w:hAnsi="Palatino Linotype"/>
        </w:rPr>
        <w:t xml:space="preserve"> AL </w:t>
      </w:r>
      <w:r w:rsidR="008A5E8E" w:rsidRPr="00787FF5">
        <w:rPr>
          <w:rFonts w:ascii="Palatino Linotype" w:hAnsi="Palatino Linotype"/>
        </w:rPr>
        <w:t>7356</w:t>
      </w:r>
      <w:r w:rsidRPr="00787FF5">
        <w:rPr>
          <w:rFonts w:ascii="Palatino Linotype" w:hAnsi="Palatino Linotype"/>
        </w:rPr>
        <w:t xml:space="preserve">-E, </w:t>
      </w:r>
      <w:r w:rsidR="008A5E8E" w:rsidRPr="00787FF5">
        <w:rPr>
          <w:rFonts w:ascii="Palatino Linotype" w:hAnsi="Palatino Linotype"/>
        </w:rPr>
        <w:t>PG&amp;E</w:t>
      </w:r>
      <w:r w:rsidRPr="00787FF5">
        <w:rPr>
          <w:rFonts w:ascii="Palatino Linotype" w:hAnsi="Palatino Linotype"/>
        </w:rPr>
        <w:t xml:space="preserve"> described the qualitative factors that were considered during their assessment of offers. The qualitative benefits include </w:t>
      </w:r>
      <w:r w:rsidR="00696121" w:rsidRPr="00787FF5">
        <w:rPr>
          <w:rFonts w:ascii="Palatino Linotype" w:hAnsi="Palatino Linotype"/>
        </w:rPr>
        <w:t xml:space="preserve">disadvantaged community (DAC) consideration, </w:t>
      </w:r>
      <w:r w:rsidR="00E60FD1" w:rsidRPr="00787FF5">
        <w:rPr>
          <w:rFonts w:ascii="Palatino Linotype" w:hAnsi="Palatino Linotype"/>
        </w:rPr>
        <w:t>interconnection status, ability to procure long lead-time equipment, site control, credit, safety history, previous adverse commercial experience, agreement or term sheet modifications, ability to meet the Initial Delivery Date, including commercial preferences for earlier dates; Supply Chain Responsibilities Status, developer experience, location and completeness of Offers.</w:t>
      </w:r>
    </w:p>
  </w:footnote>
  <w:footnote w:id="12">
    <w:p w14:paraId="4D0D8F47" w14:textId="6D9A11CE" w:rsidR="00B32E56" w:rsidRPr="00787FF5" w:rsidRDefault="00B32E56">
      <w:pPr>
        <w:pStyle w:val="FootnoteText"/>
        <w:rPr>
          <w:rFonts w:ascii="Palatino Linotype" w:hAnsi="Palatino Linotype"/>
        </w:rPr>
      </w:pPr>
      <w:r w:rsidRPr="00787FF5">
        <w:rPr>
          <w:rStyle w:val="FootnoteReference"/>
          <w:rFonts w:ascii="Palatino Linotype" w:hAnsi="Palatino Linotype"/>
        </w:rPr>
        <w:footnoteRef/>
      </w:r>
      <w:r w:rsidRPr="00787FF5">
        <w:rPr>
          <w:rStyle w:val="FootnoteReference"/>
          <w:rFonts w:ascii="Palatino Linotype" w:hAnsi="Palatino Linotype"/>
        </w:rPr>
        <w:t xml:space="preserve"> </w:t>
      </w:r>
      <w:r w:rsidRPr="00787FF5">
        <w:rPr>
          <w:rFonts w:ascii="Palatino Linotype" w:hAnsi="Palatino Linotype"/>
        </w:rPr>
        <w:t>In PG&amp;E AL 7356-E, PG&amp;E</w:t>
      </w:r>
      <w:r w:rsidR="00A42E55" w:rsidRPr="00787FF5">
        <w:rPr>
          <w:rFonts w:ascii="Palatino Linotype" w:hAnsi="Palatino Linotype"/>
        </w:rPr>
        <w:t xml:space="preserve"> notes that the Adjusted NMV includes the impacts a resource has on compliance and how it fits with PG&amp;E’s energy position</w:t>
      </w:r>
      <w:r w:rsidRPr="00787FF5">
        <w:rPr>
          <w:rFonts w:ascii="Palatino Linotype" w:hAnsi="Palatino Linotype"/>
        </w:rPr>
        <w:t>.</w:t>
      </w:r>
    </w:p>
  </w:footnote>
  <w:footnote w:id="13">
    <w:p w14:paraId="09E23818" w14:textId="77777777" w:rsidR="00D86528" w:rsidRPr="00787FF5" w:rsidRDefault="00D86528" w:rsidP="00D86528">
      <w:pPr>
        <w:pStyle w:val="NoSpacing"/>
        <w:rPr>
          <w:rFonts w:ascii="Palatino Linotype" w:hAnsi="Palatino Linotype"/>
          <w:sz w:val="20"/>
        </w:rPr>
      </w:pPr>
      <w:r w:rsidRPr="00787FF5">
        <w:rPr>
          <w:rStyle w:val="FootnoteReference"/>
          <w:rFonts w:ascii="Palatino Linotype" w:hAnsi="Palatino Linotype"/>
          <w:sz w:val="20"/>
        </w:rPr>
        <w:footnoteRef/>
      </w:r>
      <w:r w:rsidRPr="00787FF5">
        <w:rPr>
          <w:rFonts w:ascii="Palatino Linotype" w:hAnsi="Palatino Linotype"/>
          <w:sz w:val="20"/>
        </w:rPr>
        <w:t xml:space="preserve"> </w:t>
      </w:r>
      <w:r w:rsidRPr="00787FF5">
        <w:rPr>
          <w:rFonts w:ascii="Palatino Linotype" w:hAnsi="Palatino Linotype"/>
          <w:sz w:val="20"/>
          <w:lang w:val="fr-FR"/>
        </w:rPr>
        <w:t xml:space="preserve">Pub. </w:t>
      </w:r>
      <w:r w:rsidRPr="00787FF5">
        <w:rPr>
          <w:rFonts w:ascii="Palatino Linotype" w:hAnsi="Palatino Linotype"/>
          <w:sz w:val="20"/>
          <w:lang w:val="fr-FR"/>
        </w:rPr>
        <w:t>Util. Code § 399.13(a)(5).</w:t>
      </w:r>
    </w:p>
  </w:footnote>
  <w:footnote w:id="14">
    <w:p w14:paraId="468E98CE" w14:textId="77777777" w:rsidR="00D86528" w:rsidRPr="00787FF5" w:rsidRDefault="00D86528" w:rsidP="00D86528">
      <w:pPr>
        <w:pStyle w:val="NoSpacing"/>
        <w:rPr>
          <w:rFonts w:ascii="Palatino Linotype" w:hAnsi="Palatino Linotype"/>
          <w:sz w:val="20"/>
        </w:rPr>
      </w:pPr>
      <w:r w:rsidRPr="00787FF5">
        <w:rPr>
          <w:rStyle w:val="FootnoteReference"/>
          <w:rFonts w:ascii="Palatino Linotype" w:hAnsi="Palatino Linotype"/>
          <w:sz w:val="20"/>
        </w:rPr>
        <w:footnoteRef/>
      </w:r>
      <w:r w:rsidRPr="00787FF5">
        <w:rPr>
          <w:rFonts w:ascii="Palatino Linotype" w:hAnsi="Palatino Linotype"/>
          <w:sz w:val="20"/>
        </w:rPr>
        <w:t xml:space="preserve"> Pub. Util. Code § 399.13(d).</w:t>
      </w:r>
    </w:p>
  </w:footnote>
  <w:footnote w:id="15">
    <w:p w14:paraId="6B2E2BC7" w14:textId="24F84F0A" w:rsidR="00E03D16" w:rsidRPr="00787FF5" w:rsidRDefault="00E03D16">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w:t>
      </w:r>
      <w:r w:rsidR="006F02F1" w:rsidRPr="00787FF5">
        <w:rPr>
          <w:rFonts w:ascii="Palatino Linotype" w:hAnsi="Palatino Linotype"/>
        </w:rPr>
        <w:t>PG&amp;</w:t>
      </w:r>
      <w:r w:rsidRPr="00787FF5">
        <w:rPr>
          <w:rFonts w:ascii="Palatino Linotype" w:hAnsi="Palatino Linotype"/>
        </w:rPr>
        <w:t xml:space="preserve">E 2023 </w:t>
      </w:r>
      <w:r w:rsidR="00DF5083" w:rsidRPr="00787FF5">
        <w:rPr>
          <w:rFonts w:ascii="Palatino Linotype" w:hAnsi="Palatino Linotype"/>
        </w:rPr>
        <w:t>Final</w:t>
      </w:r>
      <w:r w:rsidRPr="00787FF5">
        <w:rPr>
          <w:rFonts w:ascii="Palatino Linotype" w:hAnsi="Palatino Linotype"/>
        </w:rPr>
        <w:t xml:space="preserve"> RPS Plan, at </w:t>
      </w:r>
      <w:r w:rsidR="006F02F1" w:rsidRPr="00787FF5">
        <w:rPr>
          <w:rFonts w:ascii="Palatino Linotype" w:hAnsi="Palatino Linotype"/>
        </w:rPr>
        <w:t>10</w:t>
      </w:r>
      <w:r w:rsidRPr="00787FF5">
        <w:rPr>
          <w:rFonts w:ascii="Palatino Linotype" w:hAnsi="Palatino Linotype"/>
        </w:rPr>
        <w:t>3.</w:t>
      </w:r>
    </w:p>
  </w:footnote>
  <w:footnote w:id="16">
    <w:p w14:paraId="242C0AEA" w14:textId="42E71C52" w:rsidR="00284425" w:rsidRPr="00787FF5" w:rsidRDefault="00284425">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w:t>
      </w:r>
      <w:r w:rsidR="00DF5083" w:rsidRPr="00787FF5">
        <w:rPr>
          <w:rFonts w:ascii="Palatino Linotype" w:hAnsi="Palatino Linotype"/>
        </w:rPr>
        <w:t>PG&amp;E 2023 Final RPS Plan, at 124.</w:t>
      </w:r>
    </w:p>
  </w:footnote>
  <w:footnote w:id="17">
    <w:p w14:paraId="4D1BAD98" w14:textId="77777777" w:rsidR="008D018B" w:rsidRPr="00787FF5" w:rsidRDefault="008D018B" w:rsidP="008D018B">
      <w:pPr>
        <w:pStyle w:val="FootnoteText"/>
        <w:spacing w:after="120"/>
        <w:ind w:left="360" w:hanging="360"/>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See, e.g. D. 08-04-009 at Appendix A, STC 6, Eligibility.</w:t>
      </w:r>
    </w:p>
  </w:footnote>
  <w:footnote w:id="18">
    <w:p w14:paraId="39DF6EE5" w14:textId="77777777" w:rsidR="008D018B" w:rsidRPr="00787FF5" w:rsidRDefault="008D018B" w:rsidP="008D018B">
      <w:pPr>
        <w:pStyle w:val="FootnoteText"/>
        <w:spacing w:after="120"/>
        <w:ind w:left="360" w:hanging="360"/>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See, e.g. D. 08-04-009 at Appendix A, STC 1, CPUC Approval.</w:t>
      </w:r>
    </w:p>
  </w:footnote>
  <w:footnote w:id="19">
    <w:p w14:paraId="3C472B2B" w14:textId="77777777" w:rsidR="00E144CE" w:rsidRPr="00787FF5" w:rsidRDefault="00E144CE" w:rsidP="008C2A43">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For the purposes of the long-term contracting requirement, contracts of less than 10 years duration are considered “short-term” contracts. (D.12-06-038.)</w:t>
      </w:r>
    </w:p>
  </w:footnote>
  <w:footnote w:id="20">
    <w:p w14:paraId="114FE418" w14:textId="77777777" w:rsidR="00E144CE" w:rsidRPr="00787FF5" w:rsidRDefault="00E144CE" w:rsidP="00C140D7">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Pub. Util. Code Sec. 399.13: “Beginning January 1, 2021, at least 65 percent of the procurement a retail seller counts toward the renewables portfolio standard requirement of each compliance period shall be from its contracts of 10 years or more in duration…”</w:t>
      </w:r>
    </w:p>
  </w:footnote>
  <w:footnote w:id="21">
    <w:p w14:paraId="1EC1AC76" w14:textId="37DF98FA" w:rsidR="00952FE4" w:rsidRPr="00787FF5" w:rsidRDefault="00952FE4">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The California Environmental Protection Agency’s Office of Environmental Health Hazard Assessment (OEHHA) created </w:t>
      </w:r>
      <w:r w:rsidRPr="00787FF5">
        <w:rPr>
          <w:rFonts w:ascii="Palatino Linotype" w:hAnsi="Palatino Linotype"/>
        </w:rPr>
        <w:t>CalEnviroScreen through a public process in order to help the state identify disadvantaged communities, and the tool “uses environmental, health, and socioeconomic information to produce scores for every census tract in the state.” (https://oehha.ca.gov/calenviroscreen/.)</w:t>
      </w:r>
    </w:p>
  </w:footnote>
  <w:footnote w:id="22">
    <w:p w14:paraId="46FD7D8F" w14:textId="1FCC676C" w:rsidR="001C372A" w:rsidRPr="00787FF5" w:rsidRDefault="001C372A">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The Justice40 Initiative was implemented by the </w:t>
      </w:r>
      <w:r w:rsidR="00D521A0" w:rsidRPr="00787FF5">
        <w:rPr>
          <w:rFonts w:ascii="Palatino Linotype" w:hAnsi="Palatino Linotype"/>
        </w:rPr>
        <w:t>Federal government, and aims for 40 percent of the overall benefits of certain Federal climate, clean energy, affordable and sustainable housing, and other investments flow to disadvantaged communities.</w:t>
      </w:r>
      <w:r w:rsidR="0033754F" w:rsidRPr="00787FF5">
        <w:rPr>
          <w:rFonts w:ascii="Palatino Linotype" w:hAnsi="Palatino Linotype"/>
        </w:rPr>
        <w:t xml:space="preserve"> (https://www.whitehouse.gov/environmentaljustice/justice40/.)</w:t>
      </w:r>
    </w:p>
  </w:footnote>
  <w:footnote w:id="23">
    <w:p w14:paraId="579EC749" w14:textId="11750A74" w:rsidR="00332DDD" w:rsidRPr="00787FF5" w:rsidRDefault="00332DDD">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U.S. Census Bureau (20</w:t>
      </w:r>
      <w:r w:rsidR="00871B2B" w:rsidRPr="00787FF5">
        <w:rPr>
          <w:rFonts w:ascii="Palatino Linotype" w:hAnsi="Palatino Linotype"/>
        </w:rPr>
        <w:t>10</w:t>
      </w:r>
      <w:r w:rsidRPr="00787FF5">
        <w:rPr>
          <w:rFonts w:ascii="Palatino Linotype" w:hAnsi="Palatino Linotype"/>
        </w:rPr>
        <w:t xml:space="preserve">). American </w:t>
      </w:r>
      <w:r w:rsidR="005E1372" w:rsidRPr="00787FF5">
        <w:rPr>
          <w:rFonts w:ascii="Palatino Linotype" w:hAnsi="Palatino Linotype"/>
        </w:rPr>
        <w:t>Decennial Census</w:t>
      </w:r>
      <w:r w:rsidR="005428E3" w:rsidRPr="00787FF5">
        <w:rPr>
          <w:rFonts w:ascii="Palatino Linotype" w:hAnsi="Palatino Linotype"/>
        </w:rPr>
        <w:t xml:space="preserve"> for</w:t>
      </w:r>
      <w:r w:rsidR="00B5080F" w:rsidRPr="00787FF5">
        <w:rPr>
          <w:rFonts w:ascii="Palatino Linotype" w:hAnsi="Palatino Linotype"/>
        </w:rPr>
        <w:t xml:space="preserve"> Zip Code Tabulation Area</w:t>
      </w:r>
      <w:r w:rsidR="005428E3" w:rsidRPr="00787FF5">
        <w:rPr>
          <w:rFonts w:ascii="Palatino Linotype" w:hAnsi="Palatino Linotype"/>
        </w:rPr>
        <w:t xml:space="preserve"> </w:t>
      </w:r>
      <w:r w:rsidR="00B5080F" w:rsidRPr="00787FF5">
        <w:rPr>
          <w:rFonts w:ascii="Palatino Linotype" w:hAnsi="Palatino Linotype"/>
        </w:rPr>
        <w:t>92347</w:t>
      </w:r>
      <w:r w:rsidRPr="00787FF5">
        <w:rPr>
          <w:rFonts w:ascii="Palatino Linotype" w:hAnsi="Palatino Linotype"/>
        </w:rPr>
        <w:t xml:space="preserve">. Retrieved from Census Reporter Profile page for </w:t>
      </w:r>
      <w:r w:rsidR="00661EF3" w:rsidRPr="00787FF5">
        <w:rPr>
          <w:rFonts w:ascii="Palatino Linotype" w:hAnsi="Palatino Linotype"/>
        </w:rPr>
        <w:t>Hinkley</w:t>
      </w:r>
      <w:r w:rsidRPr="00787FF5">
        <w:rPr>
          <w:rFonts w:ascii="Palatino Linotype" w:hAnsi="Palatino Linotype"/>
        </w:rPr>
        <w:t xml:space="preserve">, </w:t>
      </w:r>
      <w:r w:rsidR="00661EF3" w:rsidRPr="00787FF5">
        <w:rPr>
          <w:rFonts w:ascii="Palatino Linotype" w:hAnsi="Palatino Linotype"/>
        </w:rPr>
        <w:t>CA</w:t>
      </w:r>
      <w:r w:rsidRPr="00787FF5">
        <w:rPr>
          <w:rFonts w:ascii="Palatino Linotype" w:hAnsi="Palatino Linotype"/>
        </w:rPr>
        <w:t xml:space="preserve"> </w:t>
      </w:r>
      <w:r w:rsidR="000F6D75" w:rsidRPr="00787FF5">
        <w:rPr>
          <w:rFonts w:ascii="Palatino Linotype" w:hAnsi="Palatino Linotype"/>
        </w:rPr>
        <w:t>https://data.census.gov/table/DECENNIALSF12010.P1?q=92347&amp;hidePreview=false</w:t>
      </w:r>
    </w:p>
  </w:footnote>
  <w:footnote w:id="24">
    <w:p w14:paraId="5651FE61" w14:textId="4BB4EFF4" w:rsidR="00E354DB" w:rsidRPr="00787FF5" w:rsidRDefault="00E354DB">
      <w:pPr>
        <w:pStyle w:val="FootnoteText"/>
        <w:rPr>
          <w:rFonts w:ascii="Palatino Linotype" w:hAnsi="Palatino Linotype"/>
        </w:rPr>
      </w:pPr>
      <w:r w:rsidRPr="00787FF5">
        <w:rPr>
          <w:rStyle w:val="FootnoteReference"/>
          <w:rFonts w:ascii="Palatino Linotype" w:hAnsi="Palatino Linotype"/>
        </w:rPr>
        <w:footnoteRef/>
      </w:r>
      <w:r w:rsidR="6E89BDD7" w:rsidRPr="00787FF5">
        <w:rPr>
          <w:rFonts w:ascii="Palatino Linotype" w:hAnsi="Palatino Linotype"/>
        </w:rPr>
        <w:t xml:space="preserve"> Hinkley, California has an overall percentile of 78 out of 100 (highest score) by the </w:t>
      </w:r>
      <w:r w:rsidR="6E89BDD7" w:rsidRPr="00787FF5">
        <w:rPr>
          <w:rFonts w:ascii="Palatino Linotype" w:hAnsi="Palatino Linotype"/>
        </w:rPr>
        <w:t>CalEnviroScreen tool. Retrieved from: https://experience.arcgis.com/experience/11d2f52282a54ceebcac7428e6184203/page/CalEnviroScreen-4_0/</w:t>
      </w:r>
    </w:p>
  </w:footnote>
  <w:footnote w:id="25">
    <w:p w14:paraId="6C95CCFC" w14:textId="5A6B2273" w:rsidR="00E85039" w:rsidRPr="00787FF5" w:rsidRDefault="00E85039">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Hexavalent chromium is a toxic form of chromium commonly found in industrial processes such as electroplating, welding, and pigment production. In Hinkley Valley, hexavalent chromium was used to prevent corrosion in industrial machinery during 1952-64. </w:t>
      </w:r>
      <w:r w:rsidR="00B94C1C" w:rsidRPr="00787FF5">
        <w:rPr>
          <w:rFonts w:ascii="Palatino Linotype" w:hAnsi="Palatino Linotype"/>
        </w:rPr>
        <w:t>Retrieved from</w:t>
      </w:r>
      <w:r w:rsidRPr="00787FF5">
        <w:rPr>
          <w:rFonts w:ascii="Palatino Linotype" w:hAnsi="Palatino Linotype"/>
        </w:rPr>
        <w:t>: https://www.usgs.gov/centers/california-water-science-center/science/results-hexavalent-chromium-background-study</w:t>
      </w:r>
    </w:p>
  </w:footnote>
  <w:footnote w:id="26">
    <w:p w14:paraId="7FA62FD9" w14:textId="37F2680E" w:rsidR="00036D0F" w:rsidRPr="00787FF5" w:rsidRDefault="00036D0F">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w:t>
      </w:r>
      <w:r w:rsidR="00122900" w:rsidRPr="00787FF5">
        <w:rPr>
          <w:rFonts w:ascii="Palatino Linotype" w:hAnsi="Palatino Linotype"/>
        </w:rPr>
        <w:t>U.S. Census Bureau (2022). American Community Survey 5-year estimates. Retrieved from Census Reporter Profile page for Salome, AZ</w:t>
      </w:r>
      <w:r w:rsidR="0066342B">
        <w:rPr>
          <w:rFonts w:ascii="Palatino Linotype" w:hAnsi="Palatino Linotype"/>
        </w:rPr>
        <w:t xml:space="preserve"> </w:t>
      </w:r>
      <w:r w:rsidR="00122900" w:rsidRPr="00787FF5">
        <w:rPr>
          <w:rFonts w:ascii="Palatino Linotype" w:hAnsi="Palatino Linotype"/>
        </w:rPr>
        <w:t xml:space="preserve">&lt;http://censusreporter.dokku.censusreporter.org/profiles/16000US0462700-salome-az/&gt;. </w:t>
      </w:r>
    </w:p>
  </w:footnote>
  <w:footnote w:id="27">
    <w:p w14:paraId="48256219" w14:textId="1BCF25D9" w:rsidR="00445D60" w:rsidRPr="00787FF5" w:rsidRDefault="00445D60">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w:t>
      </w:r>
      <w:r w:rsidR="00862D55" w:rsidRPr="00787FF5">
        <w:rPr>
          <w:rFonts w:ascii="Palatino Linotype" w:hAnsi="Palatino Linotype"/>
        </w:rPr>
        <w:t>Centers for Disease Control and Prevention</w:t>
      </w:r>
      <w:r w:rsidR="005F129D" w:rsidRPr="00787FF5">
        <w:rPr>
          <w:rFonts w:ascii="Palatino Linotype" w:hAnsi="Palatino Linotype"/>
        </w:rPr>
        <w:t xml:space="preserve"> (2020). Valley Fever Maps.</w:t>
      </w:r>
      <w:r w:rsidR="000E24CA" w:rsidRPr="00787FF5">
        <w:rPr>
          <w:rFonts w:ascii="Palatino Linotype" w:hAnsi="Palatino Linotype"/>
        </w:rPr>
        <w:t xml:space="preserve"> Retrieved from https://www.cdc.gov/fungal/diseases/coccidioidomycosis/maps.html#aa.</w:t>
      </w:r>
    </w:p>
  </w:footnote>
  <w:footnote w:id="28">
    <w:p w14:paraId="44294A82" w14:textId="77777777" w:rsidR="00B255D1" w:rsidRPr="00787FF5" w:rsidRDefault="00B255D1" w:rsidP="00B255D1">
      <w:pPr>
        <w:pStyle w:val="FootnoteText"/>
        <w:rPr>
          <w:rFonts w:ascii="Palatino Linotype" w:hAnsi="Palatino Linotype" w:cs="BookAntiqua"/>
        </w:rPr>
      </w:pPr>
      <w:r w:rsidRPr="00787FF5">
        <w:rPr>
          <w:rStyle w:val="FootnoteReference"/>
          <w:rFonts w:ascii="Palatino Linotype" w:hAnsi="Palatino Linotype"/>
        </w:rPr>
        <w:footnoteRef/>
      </w:r>
      <w:r w:rsidRPr="00787FF5">
        <w:rPr>
          <w:rFonts w:ascii="Palatino Linotype" w:hAnsi="Palatino Linotype"/>
        </w:rPr>
        <w:t xml:space="preserve"> “Baseload generation” is electricity generation at a power plant “designed and intended to provide electricity at an annualized plant capacity factor of at least 60%.”  Section </w:t>
      </w:r>
      <w:r w:rsidRPr="00787FF5">
        <w:rPr>
          <w:rFonts w:ascii="Palatino Linotype" w:hAnsi="Palatino Linotype" w:cs="BookAntiqua"/>
        </w:rPr>
        <w:t>8340(a).</w:t>
      </w:r>
    </w:p>
  </w:footnote>
  <w:footnote w:id="29">
    <w:p w14:paraId="7F1C2800" w14:textId="77777777" w:rsidR="00B255D1" w:rsidRPr="00787FF5" w:rsidRDefault="00B255D1" w:rsidP="00B255D1">
      <w:pPr>
        <w:autoSpaceDE w:val="0"/>
        <w:autoSpaceDN w:val="0"/>
        <w:adjustRightInd w:val="0"/>
        <w:rPr>
          <w:rFonts w:ascii="Palatino Linotype" w:hAnsi="Palatino Linotype"/>
          <w:sz w:val="20"/>
        </w:rPr>
      </w:pPr>
      <w:r w:rsidRPr="00787FF5">
        <w:rPr>
          <w:rStyle w:val="FootnoteReference"/>
          <w:rFonts w:ascii="Palatino Linotype" w:hAnsi="Palatino Linotype"/>
          <w:sz w:val="20"/>
        </w:rPr>
        <w:footnoteRef/>
      </w:r>
      <w:r w:rsidRPr="00787FF5">
        <w:rPr>
          <w:rStyle w:val="FootnoteReference"/>
          <w:rFonts w:ascii="Palatino Linotype" w:hAnsi="Palatino Linotype"/>
          <w:sz w:val="20"/>
        </w:rPr>
        <w:t xml:space="preserve"> </w:t>
      </w:r>
      <w:r w:rsidRPr="00787FF5">
        <w:rPr>
          <w:rFonts w:ascii="Palatino Linotype" w:hAnsi="Palatino Linotype"/>
          <w:sz w:val="20"/>
        </w:rPr>
        <w:t xml:space="preserve"> D.07-01-039, Attachment 7, 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FACC" w14:textId="574186DC" w:rsidR="005618C3" w:rsidRPr="00352BE6" w:rsidRDefault="1D3DD59E">
    <w:pPr>
      <w:pStyle w:val="Header"/>
      <w:tabs>
        <w:tab w:val="clear" w:pos="4320"/>
        <w:tab w:val="clear" w:pos="8640"/>
        <w:tab w:val="center" w:pos="4680"/>
        <w:tab w:val="right" w:pos="9180"/>
      </w:tabs>
      <w:rPr>
        <w:rFonts w:ascii="Palatino Linotype" w:hAnsi="Palatino Linotype"/>
        <w:sz w:val="24"/>
        <w:szCs w:val="24"/>
      </w:rPr>
    </w:pPr>
    <w:r w:rsidRPr="00352BE6">
      <w:rPr>
        <w:rFonts w:ascii="Palatino Linotype" w:hAnsi="Palatino Linotype"/>
        <w:sz w:val="24"/>
        <w:szCs w:val="24"/>
      </w:rPr>
      <w:t xml:space="preserve">Resolution E-5370 </w:t>
    </w:r>
    <w:r w:rsidR="009E1321" w:rsidRPr="00352BE6">
      <w:rPr>
        <w:sz w:val="24"/>
        <w:szCs w:val="24"/>
      </w:rPr>
      <w:tab/>
    </w:r>
    <w:r w:rsidRPr="00352BE6">
      <w:rPr>
        <w:rFonts w:ascii="Palatino Linotype" w:hAnsi="Palatino Linotype"/>
        <w:sz w:val="24"/>
        <w:szCs w:val="24"/>
      </w:rPr>
      <w:t>DRAFT</w:t>
    </w:r>
    <w:r w:rsidR="009E1321" w:rsidRPr="00352BE6">
      <w:rPr>
        <w:sz w:val="24"/>
        <w:szCs w:val="24"/>
      </w:rPr>
      <w:tab/>
    </w:r>
    <w:r w:rsidRPr="00352BE6">
      <w:rPr>
        <w:rFonts w:ascii="Palatino Linotype" w:hAnsi="Palatino Linotype"/>
        <w:sz w:val="24"/>
        <w:szCs w:val="24"/>
      </w:rPr>
      <w:t xml:space="preserve"> February 20, 2025</w:t>
    </w:r>
  </w:p>
  <w:p w14:paraId="0EE627B3" w14:textId="4FD0F312" w:rsidR="005618C3" w:rsidRPr="00352BE6" w:rsidRDefault="003F017D">
    <w:pPr>
      <w:pStyle w:val="Header"/>
      <w:tabs>
        <w:tab w:val="clear" w:pos="4320"/>
        <w:tab w:val="clear" w:pos="8640"/>
        <w:tab w:val="center" w:pos="4680"/>
        <w:tab w:val="right" w:pos="9180"/>
      </w:tabs>
      <w:rPr>
        <w:rFonts w:ascii="Palatino Linotype" w:hAnsi="Palatino Linotype"/>
        <w:sz w:val="24"/>
        <w:szCs w:val="24"/>
      </w:rPr>
    </w:pPr>
    <w:r w:rsidRPr="00352BE6">
      <w:rPr>
        <w:rFonts w:ascii="Palatino Linotype" w:hAnsi="Palatino Linotype"/>
        <w:sz w:val="24"/>
        <w:szCs w:val="24"/>
      </w:rPr>
      <w:t>PGE</w:t>
    </w:r>
    <w:r w:rsidR="009E1321" w:rsidRPr="00352BE6">
      <w:rPr>
        <w:rFonts w:ascii="Palatino Linotype" w:hAnsi="Palatino Linotype"/>
        <w:sz w:val="24"/>
        <w:szCs w:val="24"/>
      </w:rPr>
      <w:t xml:space="preserve"> AL </w:t>
    </w:r>
    <w:r w:rsidR="00963DBC" w:rsidRPr="00352BE6">
      <w:rPr>
        <w:rFonts w:ascii="Palatino Linotype" w:hAnsi="Palatino Linotype"/>
        <w:sz w:val="24"/>
        <w:szCs w:val="24"/>
      </w:rPr>
      <w:t>7356</w:t>
    </w:r>
    <w:r w:rsidR="009E1321" w:rsidRPr="00352BE6">
      <w:rPr>
        <w:rFonts w:ascii="Palatino Linotype" w:hAnsi="Palatino Linotype"/>
        <w:sz w:val="24"/>
        <w:szCs w:val="24"/>
      </w:rPr>
      <w:t>-E/</w:t>
    </w:r>
    <w:r w:rsidR="006D782B" w:rsidRPr="00352BE6">
      <w:rPr>
        <w:rFonts w:ascii="Palatino Linotype" w:hAnsi="Palatino Linotype"/>
        <w:sz w:val="24"/>
        <w:szCs w:val="24"/>
      </w:rPr>
      <w:t>ESV</w:t>
    </w:r>
    <w:r w:rsidR="006D782B" w:rsidRPr="00352BE6">
      <w:rPr>
        <w:rFonts w:ascii="Palatino Linotype" w:hAnsi="Palatino Linotype"/>
        <w:sz w:val="24"/>
        <w:szCs w:val="24"/>
      </w:rPr>
      <w:tab/>
    </w:r>
  </w:p>
  <w:p w14:paraId="2E8DAB5C" w14:textId="77777777" w:rsidR="005618C3" w:rsidRPr="00352BE6" w:rsidRDefault="005618C3">
    <w:pPr>
      <w:pStyle w:val="Header"/>
      <w:rPr>
        <w:rFonts w:ascii="Palatino Linotype" w:hAnsi="Palatino Linotype"/>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23C3" w14:textId="77777777" w:rsidR="005618C3" w:rsidRPr="00D86528" w:rsidRDefault="009E1321">
    <w:pPr>
      <w:pStyle w:val="Header"/>
      <w:jc w:val="center"/>
      <w:rPr>
        <w:rFonts w:ascii="Palatino Linotype" w:hAnsi="Palatino Linotype"/>
        <w:sz w:val="24"/>
        <w:szCs w:val="24"/>
      </w:rPr>
    </w:pPr>
    <w:r w:rsidRPr="00D86528">
      <w:rPr>
        <w:rFonts w:ascii="Palatino Linotype" w:hAnsi="Palatino Linotype"/>
        <w:sz w:val="24"/>
        <w:szCs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2641"/>
    <w:multiLevelType w:val="hybridMultilevel"/>
    <w:tmpl w:val="9A1A3E5E"/>
    <w:lvl w:ilvl="0" w:tplc="B7E67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92D33"/>
    <w:multiLevelType w:val="hybridMultilevel"/>
    <w:tmpl w:val="557043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B7819"/>
    <w:multiLevelType w:val="singleLevel"/>
    <w:tmpl w:val="0409000F"/>
    <w:lvl w:ilvl="0">
      <w:start w:val="1"/>
      <w:numFmt w:val="decimal"/>
      <w:lvlText w:val="%1."/>
      <w:lvlJc w:val="left"/>
      <w:pPr>
        <w:ind w:left="720" w:hanging="360"/>
      </w:pPr>
    </w:lvl>
  </w:abstractNum>
  <w:abstractNum w:abstractNumId="3" w15:restartNumberingAfterBreak="0">
    <w:nsid w:val="160F7C05"/>
    <w:multiLevelType w:val="hybridMultilevel"/>
    <w:tmpl w:val="3AC04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80B1D"/>
    <w:multiLevelType w:val="multilevel"/>
    <w:tmpl w:val="884439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26F8414F"/>
    <w:multiLevelType w:val="hybridMultilevel"/>
    <w:tmpl w:val="3E582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33615"/>
    <w:multiLevelType w:val="hybridMultilevel"/>
    <w:tmpl w:val="EC786834"/>
    <w:lvl w:ilvl="0" w:tplc="71C86C2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3E7E8D"/>
    <w:multiLevelType w:val="hybridMultilevel"/>
    <w:tmpl w:val="535E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7447D"/>
    <w:multiLevelType w:val="hybridMultilevel"/>
    <w:tmpl w:val="46FE1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861578"/>
    <w:multiLevelType w:val="hybridMultilevel"/>
    <w:tmpl w:val="9982A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1" w15:restartNumberingAfterBreak="0">
    <w:nsid w:val="5EEC46DE"/>
    <w:multiLevelType w:val="hybridMultilevel"/>
    <w:tmpl w:val="9A1A3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B84711"/>
    <w:multiLevelType w:val="hybridMultilevel"/>
    <w:tmpl w:val="B3F41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29378A"/>
    <w:multiLevelType w:val="hybridMultilevel"/>
    <w:tmpl w:val="B8EA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B493B"/>
    <w:multiLevelType w:val="hybridMultilevel"/>
    <w:tmpl w:val="1F8ED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224336">
    <w:abstractNumId w:val="2"/>
  </w:num>
  <w:num w:numId="2" w16cid:durableId="2062553655">
    <w:abstractNumId w:val="12"/>
  </w:num>
  <w:num w:numId="3" w16cid:durableId="250118069">
    <w:abstractNumId w:val="8"/>
  </w:num>
  <w:num w:numId="4" w16cid:durableId="44060980">
    <w:abstractNumId w:val="0"/>
  </w:num>
  <w:num w:numId="5" w16cid:durableId="1210535857">
    <w:abstractNumId w:val="1"/>
  </w:num>
  <w:num w:numId="6" w16cid:durableId="1162820321">
    <w:abstractNumId w:val="9"/>
  </w:num>
  <w:num w:numId="7" w16cid:durableId="2024237974">
    <w:abstractNumId w:val="6"/>
  </w:num>
  <w:num w:numId="8" w16cid:durableId="1067653140">
    <w:abstractNumId w:val="13"/>
  </w:num>
  <w:num w:numId="9" w16cid:durableId="1466310867">
    <w:abstractNumId w:val="5"/>
  </w:num>
  <w:num w:numId="10" w16cid:durableId="1928031824">
    <w:abstractNumId w:val="4"/>
  </w:num>
  <w:num w:numId="11" w16cid:durableId="86006629">
    <w:abstractNumId w:val="11"/>
  </w:num>
  <w:num w:numId="12" w16cid:durableId="62878568">
    <w:abstractNumId w:val="3"/>
  </w:num>
  <w:num w:numId="13" w16cid:durableId="1284771267">
    <w:abstractNumId w:val="10"/>
  </w:num>
  <w:num w:numId="14" w16cid:durableId="894968538">
    <w:abstractNumId w:val="7"/>
  </w:num>
  <w:num w:numId="15" w16cid:durableId="4852454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CE"/>
    <w:rsid w:val="00001762"/>
    <w:rsid w:val="00001AB2"/>
    <w:rsid w:val="000025A6"/>
    <w:rsid w:val="00002DE2"/>
    <w:rsid w:val="00002E3C"/>
    <w:rsid w:val="00003035"/>
    <w:rsid w:val="00007BB1"/>
    <w:rsid w:val="00007D9D"/>
    <w:rsid w:val="00011E04"/>
    <w:rsid w:val="00013954"/>
    <w:rsid w:val="00014034"/>
    <w:rsid w:val="0001446F"/>
    <w:rsid w:val="00015F4E"/>
    <w:rsid w:val="0001648A"/>
    <w:rsid w:val="00017CB2"/>
    <w:rsid w:val="00020AD6"/>
    <w:rsid w:val="00022626"/>
    <w:rsid w:val="00023C99"/>
    <w:rsid w:val="0002452E"/>
    <w:rsid w:val="000257DC"/>
    <w:rsid w:val="000276CA"/>
    <w:rsid w:val="000301CD"/>
    <w:rsid w:val="000302CF"/>
    <w:rsid w:val="000304C1"/>
    <w:rsid w:val="00031E2A"/>
    <w:rsid w:val="00032B14"/>
    <w:rsid w:val="000338CB"/>
    <w:rsid w:val="00034513"/>
    <w:rsid w:val="00036D0F"/>
    <w:rsid w:val="00037C0A"/>
    <w:rsid w:val="00040122"/>
    <w:rsid w:val="000401BC"/>
    <w:rsid w:val="000401EA"/>
    <w:rsid w:val="00041447"/>
    <w:rsid w:val="00041B49"/>
    <w:rsid w:val="00041BE3"/>
    <w:rsid w:val="0004250A"/>
    <w:rsid w:val="00042CC3"/>
    <w:rsid w:val="000442DF"/>
    <w:rsid w:val="000457E2"/>
    <w:rsid w:val="0004738D"/>
    <w:rsid w:val="00051271"/>
    <w:rsid w:val="0005351F"/>
    <w:rsid w:val="0005368D"/>
    <w:rsid w:val="0005445D"/>
    <w:rsid w:val="00054684"/>
    <w:rsid w:val="00055D54"/>
    <w:rsid w:val="00056B2B"/>
    <w:rsid w:val="00061740"/>
    <w:rsid w:val="0006197A"/>
    <w:rsid w:val="000633D6"/>
    <w:rsid w:val="00063AB1"/>
    <w:rsid w:val="000658CD"/>
    <w:rsid w:val="00065B72"/>
    <w:rsid w:val="000668AB"/>
    <w:rsid w:val="00071D41"/>
    <w:rsid w:val="000728FB"/>
    <w:rsid w:val="000740D6"/>
    <w:rsid w:val="00074382"/>
    <w:rsid w:val="0007468A"/>
    <w:rsid w:val="00075584"/>
    <w:rsid w:val="00075ABD"/>
    <w:rsid w:val="00076345"/>
    <w:rsid w:val="00077543"/>
    <w:rsid w:val="00077786"/>
    <w:rsid w:val="00082AB8"/>
    <w:rsid w:val="00083A4D"/>
    <w:rsid w:val="0008435A"/>
    <w:rsid w:val="000857DC"/>
    <w:rsid w:val="00086BD5"/>
    <w:rsid w:val="00086C08"/>
    <w:rsid w:val="00087D3A"/>
    <w:rsid w:val="00091603"/>
    <w:rsid w:val="00091CD0"/>
    <w:rsid w:val="00094F6C"/>
    <w:rsid w:val="00097D53"/>
    <w:rsid w:val="00097ED9"/>
    <w:rsid w:val="00097FF7"/>
    <w:rsid w:val="000A2826"/>
    <w:rsid w:val="000A35CB"/>
    <w:rsid w:val="000A4CC0"/>
    <w:rsid w:val="000A5251"/>
    <w:rsid w:val="000A79C1"/>
    <w:rsid w:val="000A7C34"/>
    <w:rsid w:val="000B2A6D"/>
    <w:rsid w:val="000B2EC1"/>
    <w:rsid w:val="000B3C03"/>
    <w:rsid w:val="000B416F"/>
    <w:rsid w:val="000B4CE9"/>
    <w:rsid w:val="000B5465"/>
    <w:rsid w:val="000B5750"/>
    <w:rsid w:val="000B598D"/>
    <w:rsid w:val="000B6254"/>
    <w:rsid w:val="000B6CF5"/>
    <w:rsid w:val="000B7D44"/>
    <w:rsid w:val="000C04A5"/>
    <w:rsid w:val="000C0937"/>
    <w:rsid w:val="000C1ABA"/>
    <w:rsid w:val="000C2C5A"/>
    <w:rsid w:val="000C4EF9"/>
    <w:rsid w:val="000C5295"/>
    <w:rsid w:val="000C622D"/>
    <w:rsid w:val="000C7783"/>
    <w:rsid w:val="000C7E47"/>
    <w:rsid w:val="000D09DA"/>
    <w:rsid w:val="000D261E"/>
    <w:rsid w:val="000D2F0C"/>
    <w:rsid w:val="000D48B9"/>
    <w:rsid w:val="000D5C14"/>
    <w:rsid w:val="000D6AD2"/>
    <w:rsid w:val="000D7C3E"/>
    <w:rsid w:val="000E0430"/>
    <w:rsid w:val="000E09C4"/>
    <w:rsid w:val="000E09EF"/>
    <w:rsid w:val="000E24CA"/>
    <w:rsid w:val="000E3312"/>
    <w:rsid w:val="000E3527"/>
    <w:rsid w:val="000E35F3"/>
    <w:rsid w:val="000E38B8"/>
    <w:rsid w:val="000E3C3F"/>
    <w:rsid w:val="000E4AB5"/>
    <w:rsid w:val="000E5043"/>
    <w:rsid w:val="000E5AD2"/>
    <w:rsid w:val="000E6D12"/>
    <w:rsid w:val="000E6E1C"/>
    <w:rsid w:val="000E7198"/>
    <w:rsid w:val="000E7201"/>
    <w:rsid w:val="000F2055"/>
    <w:rsid w:val="000F47B4"/>
    <w:rsid w:val="000F5041"/>
    <w:rsid w:val="000F6D75"/>
    <w:rsid w:val="000F726F"/>
    <w:rsid w:val="00100E6A"/>
    <w:rsid w:val="0010106D"/>
    <w:rsid w:val="00101867"/>
    <w:rsid w:val="00101BE3"/>
    <w:rsid w:val="00102C16"/>
    <w:rsid w:val="00102F00"/>
    <w:rsid w:val="00103349"/>
    <w:rsid w:val="00103CB1"/>
    <w:rsid w:val="001043F5"/>
    <w:rsid w:val="001046ED"/>
    <w:rsid w:val="0010584F"/>
    <w:rsid w:val="00105FD3"/>
    <w:rsid w:val="00106F46"/>
    <w:rsid w:val="001124DA"/>
    <w:rsid w:val="00112622"/>
    <w:rsid w:val="00112759"/>
    <w:rsid w:val="0011378B"/>
    <w:rsid w:val="0011384F"/>
    <w:rsid w:val="00113EF7"/>
    <w:rsid w:val="0011462A"/>
    <w:rsid w:val="00115C18"/>
    <w:rsid w:val="00115E8B"/>
    <w:rsid w:val="0011697B"/>
    <w:rsid w:val="001169DF"/>
    <w:rsid w:val="00116A93"/>
    <w:rsid w:val="001205D5"/>
    <w:rsid w:val="0012279B"/>
    <w:rsid w:val="00122900"/>
    <w:rsid w:val="00123FDB"/>
    <w:rsid w:val="001241B5"/>
    <w:rsid w:val="00124D9B"/>
    <w:rsid w:val="00127144"/>
    <w:rsid w:val="00127D07"/>
    <w:rsid w:val="00127E03"/>
    <w:rsid w:val="00130A91"/>
    <w:rsid w:val="00130DE5"/>
    <w:rsid w:val="00130F16"/>
    <w:rsid w:val="00131E12"/>
    <w:rsid w:val="00131E40"/>
    <w:rsid w:val="001323C7"/>
    <w:rsid w:val="0013435D"/>
    <w:rsid w:val="001344D6"/>
    <w:rsid w:val="001345D3"/>
    <w:rsid w:val="001357FB"/>
    <w:rsid w:val="00136EEB"/>
    <w:rsid w:val="001412DA"/>
    <w:rsid w:val="001413FC"/>
    <w:rsid w:val="00142A55"/>
    <w:rsid w:val="00143A43"/>
    <w:rsid w:val="00143D59"/>
    <w:rsid w:val="00144595"/>
    <w:rsid w:val="00145648"/>
    <w:rsid w:val="001456DD"/>
    <w:rsid w:val="00146C34"/>
    <w:rsid w:val="00146DD4"/>
    <w:rsid w:val="00147C8D"/>
    <w:rsid w:val="00147E6D"/>
    <w:rsid w:val="00147FF3"/>
    <w:rsid w:val="00150DD6"/>
    <w:rsid w:val="00150EDE"/>
    <w:rsid w:val="00154251"/>
    <w:rsid w:val="001559A7"/>
    <w:rsid w:val="00155D48"/>
    <w:rsid w:val="0015717C"/>
    <w:rsid w:val="00157599"/>
    <w:rsid w:val="00157B7C"/>
    <w:rsid w:val="001603B8"/>
    <w:rsid w:val="00160668"/>
    <w:rsid w:val="00161300"/>
    <w:rsid w:val="001614EF"/>
    <w:rsid w:val="001653AC"/>
    <w:rsid w:val="00166480"/>
    <w:rsid w:val="001667A8"/>
    <w:rsid w:val="001670C8"/>
    <w:rsid w:val="00167714"/>
    <w:rsid w:val="001705E5"/>
    <w:rsid w:val="00171D78"/>
    <w:rsid w:val="00172FB7"/>
    <w:rsid w:val="00175A40"/>
    <w:rsid w:val="00176798"/>
    <w:rsid w:val="00176DA4"/>
    <w:rsid w:val="0018003C"/>
    <w:rsid w:val="001829BC"/>
    <w:rsid w:val="001829EE"/>
    <w:rsid w:val="00182A7F"/>
    <w:rsid w:val="00184D28"/>
    <w:rsid w:val="00185636"/>
    <w:rsid w:val="001859CA"/>
    <w:rsid w:val="00186866"/>
    <w:rsid w:val="00186BE0"/>
    <w:rsid w:val="0018706E"/>
    <w:rsid w:val="001878C6"/>
    <w:rsid w:val="00190635"/>
    <w:rsid w:val="00190DC4"/>
    <w:rsid w:val="00191C31"/>
    <w:rsid w:val="00192122"/>
    <w:rsid w:val="00192509"/>
    <w:rsid w:val="001944B0"/>
    <w:rsid w:val="001954BB"/>
    <w:rsid w:val="001A0D30"/>
    <w:rsid w:val="001A1A1C"/>
    <w:rsid w:val="001A2E4C"/>
    <w:rsid w:val="001A47C2"/>
    <w:rsid w:val="001A4D4D"/>
    <w:rsid w:val="001A5D76"/>
    <w:rsid w:val="001A6C8F"/>
    <w:rsid w:val="001B140B"/>
    <w:rsid w:val="001B1641"/>
    <w:rsid w:val="001B2011"/>
    <w:rsid w:val="001B2A05"/>
    <w:rsid w:val="001B40FA"/>
    <w:rsid w:val="001B4459"/>
    <w:rsid w:val="001B5E9F"/>
    <w:rsid w:val="001B6BFC"/>
    <w:rsid w:val="001C0A26"/>
    <w:rsid w:val="001C0DBD"/>
    <w:rsid w:val="001C163C"/>
    <w:rsid w:val="001C2CDE"/>
    <w:rsid w:val="001C327B"/>
    <w:rsid w:val="001C372A"/>
    <w:rsid w:val="001C42EE"/>
    <w:rsid w:val="001C44B1"/>
    <w:rsid w:val="001C6887"/>
    <w:rsid w:val="001C6E07"/>
    <w:rsid w:val="001D031B"/>
    <w:rsid w:val="001D1231"/>
    <w:rsid w:val="001D2703"/>
    <w:rsid w:val="001D5399"/>
    <w:rsid w:val="001D623A"/>
    <w:rsid w:val="001D63D4"/>
    <w:rsid w:val="001D6DDF"/>
    <w:rsid w:val="001E10FF"/>
    <w:rsid w:val="001E1764"/>
    <w:rsid w:val="001E1DB7"/>
    <w:rsid w:val="001E2D87"/>
    <w:rsid w:val="001E43D0"/>
    <w:rsid w:val="001E59BE"/>
    <w:rsid w:val="001E61D2"/>
    <w:rsid w:val="001E641C"/>
    <w:rsid w:val="001F0C6A"/>
    <w:rsid w:val="001F2160"/>
    <w:rsid w:val="001F250D"/>
    <w:rsid w:val="001F3031"/>
    <w:rsid w:val="001F3230"/>
    <w:rsid w:val="001F3488"/>
    <w:rsid w:val="001F40FA"/>
    <w:rsid w:val="001F43A1"/>
    <w:rsid w:val="001F5943"/>
    <w:rsid w:val="001F5CBE"/>
    <w:rsid w:val="001F5FA9"/>
    <w:rsid w:val="001F63EC"/>
    <w:rsid w:val="001F78E2"/>
    <w:rsid w:val="00200395"/>
    <w:rsid w:val="002017B2"/>
    <w:rsid w:val="002020CE"/>
    <w:rsid w:val="00202406"/>
    <w:rsid w:val="0020260D"/>
    <w:rsid w:val="00202E02"/>
    <w:rsid w:val="0020486E"/>
    <w:rsid w:val="00205AD9"/>
    <w:rsid w:val="00205C1F"/>
    <w:rsid w:val="00205E01"/>
    <w:rsid w:val="00206E78"/>
    <w:rsid w:val="002079FE"/>
    <w:rsid w:val="00210DC3"/>
    <w:rsid w:val="002114D1"/>
    <w:rsid w:val="0021254D"/>
    <w:rsid w:val="002130F0"/>
    <w:rsid w:val="00213507"/>
    <w:rsid w:val="0021468B"/>
    <w:rsid w:val="0021553A"/>
    <w:rsid w:val="00216DB4"/>
    <w:rsid w:val="00217112"/>
    <w:rsid w:val="00217C3D"/>
    <w:rsid w:val="002207C1"/>
    <w:rsid w:val="002210A0"/>
    <w:rsid w:val="00221744"/>
    <w:rsid w:val="00221AB0"/>
    <w:rsid w:val="00222523"/>
    <w:rsid w:val="00224893"/>
    <w:rsid w:val="00225DAC"/>
    <w:rsid w:val="0022656F"/>
    <w:rsid w:val="00230678"/>
    <w:rsid w:val="002308C9"/>
    <w:rsid w:val="002327CC"/>
    <w:rsid w:val="002331BC"/>
    <w:rsid w:val="00234304"/>
    <w:rsid w:val="00234AE7"/>
    <w:rsid w:val="00235B5E"/>
    <w:rsid w:val="00235F02"/>
    <w:rsid w:val="002361E0"/>
    <w:rsid w:val="002365E6"/>
    <w:rsid w:val="0024146A"/>
    <w:rsid w:val="00241713"/>
    <w:rsid w:val="00241A68"/>
    <w:rsid w:val="00245225"/>
    <w:rsid w:val="00245E03"/>
    <w:rsid w:val="002461DF"/>
    <w:rsid w:val="00246698"/>
    <w:rsid w:val="00246E0F"/>
    <w:rsid w:val="00246FAE"/>
    <w:rsid w:val="0024739D"/>
    <w:rsid w:val="002473BF"/>
    <w:rsid w:val="00250242"/>
    <w:rsid w:val="00251290"/>
    <w:rsid w:val="0025150F"/>
    <w:rsid w:val="00252025"/>
    <w:rsid w:val="00252D6D"/>
    <w:rsid w:val="00253827"/>
    <w:rsid w:val="00253A5E"/>
    <w:rsid w:val="002546B4"/>
    <w:rsid w:val="00254FF3"/>
    <w:rsid w:val="002557D3"/>
    <w:rsid w:val="0025622A"/>
    <w:rsid w:val="00256FED"/>
    <w:rsid w:val="002570B7"/>
    <w:rsid w:val="00257407"/>
    <w:rsid w:val="00257F85"/>
    <w:rsid w:val="00260670"/>
    <w:rsid w:val="00260B05"/>
    <w:rsid w:val="0026114E"/>
    <w:rsid w:val="002619D2"/>
    <w:rsid w:val="0026325E"/>
    <w:rsid w:val="002639F4"/>
    <w:rsid w:val="0026509E"/>
    <w:rsid w:val="00265A14"/>
    <w:rsid w:val="00265A41"/>
    <w:rsid w:val="002702D8"/>
    <w:rsid w:val="00272B51"/>
    <w:rsid w:val="0027360D"/>
    <w:rsid w:val="00274BE7"/>
    <w:rsid w:val="002751C1"/>
    <w:rsid w:val="00275683"/>
    <w:rsid w:val="00276B4B"/>
    <w:rsid w:val="00276D55"/>
    <w:rsid w:val="00277C3B"/>
    <w:rsid w:val="00280ABB"/>
    <w:rsid w:val="00281801"/>
    <w:rsid w:val="00283A7F"/>
    <w:rsid w:val="00284425"/>
    <w:rsid w:val="0028542C"/>
    <w:rsid w:val="00285C3F"/>
    <w:rsid w:val="00285C64"/>
    <w:rsid w:val="00285D1C"/>
    <w:rsid w:val="0028729A"/>
    <w:rsid w:val="002911C4"/>
    <w:rsid w:val="0029272A"/>
    <w:rsid w:val="00292772"/>
    <w:rsid w:val="0029394A"/>
    <w:rsid w:val="00293AE7"/>
    <w:rsid w:val="002947F8"/>
    <w:rsid w:val="00294A45"/>
    <w:rsid w:val="0029536D"/>
    <w:rsid w:val="0029591D"/>
    <w:rsid w:val="002962F2"/>
    <w:rsid w:val="002968A3"/>
    <w:rsid w:val="002975B8"/>
    <w:rsid w:val="002A07B9"/>
    <w:rsid w:val="002A299E"/>
    <w:rsid w:val="002A4159"/>
    <w:rsid w:val="002A4B59"/>
    <w:rsid w:val="002A4CBD"/>
    <w:rsid w:val="002A5153"/>
    <w:rsid w:val="002A71C1"/>
    <w:rsid w:val="002A7C10"/>
    <w:rsid w:val="002A7D5E"/>
    <w:rsid w:val="002A7EEC"/>
    <w:rsid w:val="002B240B"/>
    <w:rsid w:val="002B4490"/>
    <w:rsid w:val="002B4FB0"/>
    <w:rsid w:val="002B595E"/>
    <w:rsid w:val="002B6FDA"/>
    <w:rsid w:val="002B737C"/>
    <w:rsid w:val="002B7914"/>
    <w:rsid w:val="002B7FB1"/>
    <w:rsid w:val="002C037C"/>
    <w:rsid w:val="002C2FBA"/>
    <w:rsid w:val="002C3E14"/>
    <w:rsid w:val="002C4BC1"/>
    <w:rsid w:val="002C50C2"/>
    <w:rsid w:val="002C522A"/>
    <w:rsid w:val="002C6182"/>
    <w:rsid w:val="002C7A6D"/>
    <w:rsid w:val="002C7B18"/>
    <w:rsid w:val="002D013C"/>
    <w:rsid w:val="002D0FA2"/>
    <w:rsid w:val="002D2C6F"/>
    <w:rsid w:val="002D2F3D"/>
    <w:rsid w:val="002D4632"/>
    <w:rsid w:val="002D6375"/>
    <w:rsid w:val="002D6AF3"/>
    <w:rsid w:val="002D7724"/>
    <w:rsid w:val="002D7DD0"/>
    <w:rsid w:val="002E031C"/>
    <w:rsid w:val="002E1C68"/>
    <w:rsid w:val="002E25C8"/>
    <w:rsid w:val="002E3365"/>
    <w:rsid w:val="002E3B51"/>
    <w:rsid w:val="002E41C0"/>
    <w:rsid w:val="002E4483"/>
    <w:rsid w:val="002E489E"/>
    <w:rsid w:val="002E5E44"/>
    <w:rsid w:val="002E5F8B"/>
    <w:rsid w:val="002F057E"/>
    <w:rsid w:val="002F16F7"/>
    <w:rsid w:val="002F1995"/>
    <w:rsid w:val="002F4602"/>
    <w:rsid w:val="002F5855"/>
    <w:rsid w:val="002F5C04"/>
    <w:rsid w:val="002F6177"/>
    <w:rsid w:val="002F66A8"/>
    <w:rsid w:val="002F6D75"/>
    <w:rsid w:val="002F7069"/>
    <w:rsid w:val="003003CE"/>
    <w:rsid w:val="00300EEB"/>
    <w:rsid w:val="0030176A"/>
    <w:rsid w:val="00301C10"/>
    <w:rsid w:val="00301C14"/>
    <w:rsid w:val="00302C60"/>
    <w:rsid w:val="0030339D"/>
    <w:rsid w:val="00303BA4"/>
    <w:rsid w:val="00303DD2"/>
    <w:rsid w:val="00304388"/>
    <w:rsid w:val="003047F3"/>
    <w:rsid w:val="00305F44"/>
    <w:rsid w:val="0030654B"/>
    <w:rsid w:val="0030757B"/>
    <w:rsid w:val="00310345"/>
    <w:rsid w:val="00311EAD"/>
    <w:rsid w:val="00312634"/>
    <w:rsid w:val="00312F1F"/>
    <w:rsid w:val="00313272"/>
    <w:rsid w:val="00313547"/>
    <w:rsid w:val="00313D51"/>
    <w:rsid w:val="00314179"/>
    <w:rsid w:val="00314B90"/>
    <w:rsid w:val="00315665"/>
    <w:rsid w:val="00315B4C"/>
    <w:rsid w:val="00315BA2"/>
    <w:rsid w:val="00316215"/>
    <w:rsid w:val="003163DB"/>
    <w:rsid w:val="003169B5"/>
    <w:rsid w:val="00317A7D"/>
    <w:rsid w:val="00320ADE"/>
    <w:rsid w:val="00320FFF"/>
    <w:rsid w:val="003210B9"/>
    <w:rsid w:val="0032165C"/>
    <w:rsid w:val="00322012"/>
    <w:rsid w:val="003222D9"/>
    <w:rsid w:val="0032266C"/>
    <w:rsid w:val="00323190"/>
    <w:rsid w:val="003236FE"/>
    <w:rsid w:val="00323A33"/>
    <w:rsid w:val="00324088"/>
    <w:rsid w:val="00324529"/>
    <w:rsid w:val="00324636"/>
    <w:rsid w:val="0032542F"/>
    <w:rsid w:val="003318C6"/>
    <w:rsid w:val="00332282"/>
    <w:rsid w:val="00332885"/>
    <w:rsid w:val="00332B8E"/>
    <w:rsid w:val="00332DDD"/>
    <w:rsid w:val="003340F0"/>
    <w:rsid w:val="003343E5"/>
    <w:rsid w:val="00334690"/>
    <w:rsid w:val="0033754F"/>
    <w:rsid w:val="00341A04"/>
    <w:rsid w:val="00341AEB"/>
    <w:rsid w:val="00342DF7"/>
    <w:rsid w:val="003438ED"/>
    <w:rsid w:val="00343CEC"/>
    <w:rsid w:val="00344211"/>
    <w:rsid w:val="00344317"/>
    <w:rsid w:val="00344A99"/>
    <w:rsid w:val="00344B85"/>
    <w:rsid w:val="00344F36"/>
    <w:rsid w:val="0034566C"/>
    <w:rsid w:val="00345908"/>
    <w:rsid w:val="003500E9"/>
    <w:rsid w:val="003520EC"/>
    <w:rsid w:val="00352BE6"/>
    <w:rsid w:val="00354430"/>
    <w:rsid w:val="00355158"/>
    <w:rsid w:val="0035559A"/>
    <w:rsid w:val="00356C70"/>
    <w:rsid w:val="0035705C"/>
    <w:rsid w:val="003576C4"/>
    <w:rsid w:val="00360863"/>
    <w:rsid w:val="003612B9"/>
    <w:rsid w:val="0036183B"/>
    <w:rsid w:val="00361A5D"/>
    <w:rsid w:val="00361ADC"/>
    <w:rsid w:val="00363164"/>
    <w:rsid w:val="00363C47"/>
    <w:rsid w:val="00363CC8"/>
    <w:rsid w:val="00363CCD"/>
    <w:rsid w:val="00365B82"/>
    <w:rsid w:val="0036628B"/>
    <w:rsid w:val="003662C9"/>
    <w:rsid w:val="003664C1"/>
    <w:rsid w:val="00367BD2"/>
    <w:rsid w:val="003733BB"/>
    <w:rsid w:val="00373527"/>
    <w:rsid w:val="00373C64"/>
    <w:rsid w:val="00374ECC"/>
    <w:rsid w:val="00375E19"/>
    <w:rsid w:val="003763F5"/>
    <w:rsid w:val="00377258"/>
    <w:rsid w:val="003772EA"/>
    <w:rsid w:val="0037770A"/>
    <w:rsid w:val="00380807"/>
    <w:rsid w:val="00380EDB"/>
    <w:rsid w:val="00381034"/>
    <w:rsid w:val="003826C8"/>
    <w:rsid w:val="00383B47"/>
    <w:rsid w:val="00384A88"/>
    <w:rsid w:val="0038680E"/>
    <w:rsid w:val="00387CFC"/>
    <w:rsid w:val="00391299"/>
    <w:rsid w:val="0039140D"/>
    <w:rsid w:val="0039192A"/>
    <w:rsid w:val="0039243B"/>
    <w:rsid w:val="00392737"/>
    <w:rsid w:val="00392DBE"/>
    <w:rsid w:val="003944BF"/>
    <w:rsid w:val="003944E7"/>
    <w:rsid w:val="00394C11"/>
    <w:rsid w:val="00395187"/>
    <w:rsid w:val="00395E25"/>
    <w:rsid w:val="003962B0"/>
    <w:rsid w:val="00396756"/>
    <w:rsid w:val="00396794"/>
    <w:rsid w:val="003978DA"/>
    <w:rsid w:val="003A00EB"/>
    <w:rsid w:val="003A1726"/>
    <w:rsid w:val="003A17E9"/>
    <w:rsid w:val="003A1A16"/>
    <w:rsid w:val="003A33F9"/>
    <w:rsid w:val="003A35CA"/>
    <w:rsid w:val="003A3AC3"/>
    <w:rsid w:val="003B0DA7"/>
    <w:rsid w:val="003B13DF"/>
    <w:rsid w:val="003B2EEC"/>
    <w:rsid w:val="003B3DB5"/>
    <w:rsid w:val="003B5236"/>
    <w:rsid w:val="003B5E58"/>
    <w:rsid w:val="003B5EB4"/>
    <w:rsid w:val="003B6200"/>
    <w:rsid w:val="003C0AB5"/>
    <w:rsid w:val="003C130E"/>
    <w:rsid w:val="003C15F0"/>
    <w:rsid w:val="003C18D0"/>
    <w:rsid w:val="003C20B5"/>
    <w:rsid w:val="003C2ABF"/>
    <w:rsid w:val="003C2F58"/>
    <w:rsid w:val="003C480D"/>
    <w:rsid w:val="003C4BA7"/>
    <w:rsid w:val="003C4BE6"/>
    <w:rsid w:val="003C5DBA"/>
    <w:rsid w:val="003C65D5"/>
    <w:rsid w:val="003C7F70"/>
    <w:rsid w:val="003D01A6"/>
    <w:rsid w:val="003D0EED"/>
    <w:rsid w:val="003D10AC"/>
    <w:rsid w:val="003D207B"/>
    <w:rsid w:val="003D210B"/>
    <w:rsid w:val="003D25BE"/>
    <w:rsid w:val="003D3621"/>
    <w:rsid w:val="003D3FE9"/>
    <w:rsid w:val="003D40DB"/>
    <w:rsid w:val="003D50BD"/>
    <w:rsid w:val="003D6D58"/>
    <w:rsid w:val="003E0886"/>
    <w:rsid w:val="003E1195"/>
    <w:rsid w:val="003E2B8B"/>
    <w:rsid w:val="003E41EF"/>
    <w:rsid w:val="003E51CA"/>
    <w:rsid w:val="003E5A99"/>
    <w:rsid w:val="003E63A6"/>
    <w:rsid w:val="003E69F4"/>
    <w:rsid w:val="003F017D"/>
    <w:rsid w:val="003F0251"/>
    <w:rsid w:val="003F0DE1"/>
    <w:rsid w:val="003F1DB5"/>
    <w:rsid w:val="003F1DDC"/>
    <w:rsid w:val="003F2EAC"/>
    <w:rsid w:val="003F32E6"/>
    <w:rsid w:val="003F3DDF"/>
    <w:rsid w:val="003F3E19"/>
    <w:rsid w:val="003F4054"/>
    <w:rsid w:val="003F4203"/>
    <w:rsid w:val="003F4EF7"/>
    <w:rsid w:val="003F637B"/>
    <w:rsid w:val="003F688C"/>
    <w:rsid w:val="003F704D"/>
    <w:rsid w:val="003F7385"/>
    <w:rsid w:val="003F7AB5"/>
    <w:rsid w:val="004008EB"/>
    <w:rsid w:val="00400EE7"/>
    <w:rsid w:val="00401438"/>
    <w:rsid w:val="004037F2"/>
    <w:rsid w:val="00403900"/>
    <w:rsid w:val="00403ECA"/>
    <w:rsid w:val="004043C6"/>
    <w:rsid w:val="00407E11"/>
    <w:rsid w:val="004102EC"/>
    <w:rsid w:val="0041038D"/>
    <w:rsid w:val="004107DE"/>
    <w:rsid w:val="00410E3B"/>
    <w:rsid w:val="0041134A"/>
    <w:rsid w:val="00411C6E"/>
    <w:rsid w:val="00415564"/>
    <w:rsid w:val="00416107"/>
    <w:rsid w:val="00416179"/>
    <w:rsid w:val="00416892"/>
    <w:rsid w:val="00417A90"/>
    <w:rsid w:val="00417D7B"/>
    <w:rsid w:val="00421013"/>
    <w:rsid w:val="00423507"/>
    <w:rsid w:val="0042353A"/>
    <w:rsid w:val="00424ACE"/>
    <w:rsid w:val="00425A31"/>
    <w:rsid w:val="00425E2D"/>
    <w:rsid w:val="00426739"/>
    <w:rsid w:val="00427F0F"/>
    <w:rsid w:val="004310CE"/>
    <w:rsid w:val="00431AFA"/>
    <w:rsid w:val="00431B0D"/>
    <w:rsid w:val="00437640"/>
    <w:rsid w:val="0043798A"/>
    <w:rsid w:val="00437D20"/>
    <w:rsid w:val="00440205"/>
    <w:rsid w:val="00440362"/>
    <w:rsid w:val="00440D82"/>
    <w:rsid w:val="004411FB"/>
    <w:rsid w:val="00442975"/>
    <w:rsid w:val="00442C3F"/>
    <w:rsid w:val="004438BD"/>
    <w:rsid w:val="00443932"/>
    <w:rsid w:val="00444005"/>
    <w:rsid w:val="004456C1"/>
    <w:rsid w:val="00445C94"/>
    <w:rsid w:val="00445CF1"/>
    <w:rsid w:val="00445D60"/>
    <w:rsid w:val="00446077"/>
    <w:rsid w:val="0044798B"/>
    <w:rsid w:val="00447BAB"/>
    <w:rsid w:val="00447CFC"/>
    <w:rsid w:val="00447D8E"/>
    <w:rsid w:val="004511A0"/>
    <w:rsid w:val="00451D2B"/>
    <w:rsid w:val="0045225C"/>
    <w:rsid w:val="0045234A"/>
    <w:rsid w:val="0045360B"/>
    <w:rsid w:val="00456098"/>
    <w:rsid w:val="00457485"/>
    <w:rsid w:val="00457A36"/>
    <w:rsid w:val="00460B11"/>
    <w:rsid w:val="00460BFB"/>
    <w:rsid w:val="00461560"/>
    <w:rsid w:val="004617D4"/>
    <w:rsid w:val="004618B6"/>
    <w:rsid w:val="004627CB"/>
    <w:rsid w:val="0046447D"/>
    <w:rsid w:val="00464C26"/>
    <w:rsid w:val="00466A02"/>
    <w:rsid w:val="00471051"/>
    <w:rsid w:val="0047125A"/>
    <w:rsid w:val="00471CF8"/>
    <w:rsid w:val="004720FE"/>
    <w:rsid w:val="00472362"/>
    <w:rsid w:val="00474298"/>
    <w:rsid w:val="00474498"/>
    <w:rsid w:val="00475BE0"/>
    <w:rsid w:val="0047713B"/>
    <w:rsid w:val="00480E70"/>
    <w:rsid w:val="0048240E"/>
    <w:rsid w:val="004839FD"/>
    <w:rsid w:val="0048479B"/>
    <w:rsid w:val="00485FAF"/>
    <w:rsid w:val="00490463"/>
    <w:rsid w:val="00490F75"/>
    <w:rsid w:val="00492F77"/>
    <w:rsid w:val="004931D7"/>
    <w:rsid w:val="00493310"/>
    <w:rsid w:val="004937A0"/>
    <w:rsid w:val="004976BD"/>
    <w:rsid w:val="004A0D4C"/>
    <w:rsid w:val="004A13D8"/>
    <w:rsid w:val="004A2308"/>
    <w:rsid w:val="004A3A7F"/>
    <w:rsid w:val="004A5F32"/>
    <w:rsid w:val="004A680C"/>
    <w:rsid w:val="004A7A51"/>
    <w:rsid w:val="004A7A7B"/>
    <w:rsid w:val="004B0908"/>
    <w:rsid w:val="004B23A9"/>
    <w:rsid w:val="004B476F"/>
    <w:rsid w:val="004B4D30"/>
    <w:rsid w:val="004B4FBD"/>
    <w:rsid w:val="004B639A"/>
    <w:rsid w:val="004B6C20"/>
    <w:rsid w:val="004B742F"/>
    <w:rsid w:val="004C0A9B"/>
    <w:rsid w:val="004C0D8B"/>
    <w:rsid w:val="004C1833"/>
    <w:rsid w:val="004C1EED"/>
    <w:rsid w:val="004C1EFF"/>
    <w:rsid w:val="004C2577"/>
    <w:rsid w:val="004C297E"/>
    <w:rsid w:val="004C3132"/>
    <w:rsid w:val="004C3FDD"/>
    <w:rsid w:val="004C4061"/>
    <w:rsid w:val="004C427A"/>
    <w:rsid w:val="004C4742"/>
    <w:rsid w:val="004C4AF3"/>
    <w:rsid w:val="004D0EA0"/>
    <w:rsid w:val="004D1E57"/>
    <w:rsid w:val="004D4A62"/>
    <w:rsid w:val="004D6BB3"/>
    <w:rsid w:val="004D7B22"/>
    <w:rsid w:val="004E00B4"/>
    <w:rsid w:val="004E0AF8"/>
    <w:rsid w:val="004E12D5"/>
    <w:rsid w:val="004E1810"/>
    <w:rsid w:val="004E3050"/>
    <w:rsid w:val="004E36DC"/>
    <w:rsid w:val="004E459F"/>
    <w:rsid w:val="004E4E01"/>
    <w:rsid w:val="004E4ECF"/>
    <w:rsid w:val="004E50E8"/>
    <w:rsid w:val="004E5790"/>
    <w:rsid w:val="004E584F"/>
    <w:rsid w:val="004E5E67"/>
    <w:rsid w:val="004E65BA"/>
    <w:rsid w:val="004E7666"/>
    <w:rsid w:val="004E79B7"/>
    <w:rsid w:val="004E7E01"/>
    <w:rsid w:val="004F0E30"/>
    <w:rsid w:val="004F41CF"/>
    <w:rsid w:val="004F5085"/>
    <w:rsid w:val="004F6A55"/>
    <w:rsid w:val="004F72C2"/>
    <w:rsid w:val="004F7E0C"/>
    <w:rsid w:val="00500575"/>
    <w:rsid w:val="005021B3"/>
    <w:rsid w:val="00502FCA"/>
    <w:rsid w:val="005034CB"/>
    <w:rsid w:val="00504CAD"/>
    <w:rsid w:val="00505A91"/>
    <w:rsid w:val="00506414"/>
    <w:rsid w:val="0050710F"/>
    <w:rsid w:val="0050737D"/>
    <w:rsid w:val="00510394"/>
    <w:rsid w:val="005111D5"/>
    <w:rsid w:val="00511B41"/>
    <w:rsid w:val="00512048"/>
    <w:rsid w:val="00512478"/>
    <w:rsid w:val="0051297B"/>
    <w:rsid w:val="00513BF5"/>
    <w:rsid w:val="00514768"/>
    <w:rsid w:val="00515CEE"/>
    <w:rsid w:val="00516E9E"/>
    <w:rsid w:val="0051752A"/>
    <w:rsid w:val="00520549"/>
    <w:rsid w:val="00521E44"/>
    <w:rsid w:val="00521FE0"/>
    <w:rsid w:val="0052302A"/>
    <w:rsid w:val="0052346A"/>
    <w:rsid w:val="00525FE7"/>
    <w:rsid w:val="005266EA"/>
    <w:rsid w:val="005271F6"/>
    <w:rsid w:val="00530FA8"/>
    <w:rsid w:val="005311E6"/>
    <w:rsid w:val="005328BB"/>
    <w:rsid w:val="00532B5E"/>
    <w:rsid w:val="005338B7"/>
    <w:rsid w:val="00534286"/>
    <w:rsid w:val="005345AC"/>
    <w:rsid w:val="0054110C"/>
    <w:rsid w:val="0054237A"/>
    <w:rsid w:val="005428E3"/>
    <w:rsid w:val="00543670"/>
    <w:rsid w:val="0054395C"/>
    <w:rsid w:val="00543C06"/>
    <w:rsid w:val="00544BD7"/>
    <w:rsid w:val="0054593F"/>
    <w:rsid w:val="00545C3F"/>
    <w:rsid w:val="00546C01"/>
    <w:rsid w:val="00547A62"/>
    <w:rsid w:val="005503C0"/>
    <w:rsid w:val="0055081F"/>
    <w:rsid w:val="00550925"/>
    <w:rsid w:val="0055211D"/>
    <w:rsid w:val="0055243A"/>
    <w:rsid w:val="00555421"/>
    <w:rsid w:val="0055555F"/>
    <w:rsid w:val="00560284"/>
    <w:rsid w:val="00560F30"/>
    <w:rsid w:val="00561107"/>
    <w:rsid w:val="00561449"/>
    <w:rsid w:val="005618C3"/>
    <w:rsid w:val="00561BEE"/>
    <w:rsid w:val="00561D97"/>
    <w:rsid w:val="00561F36"/>
    <w:rsid w:val="00562D3C"/>
    <w:rsid w:val="00564AFE"/>
    <w:rsid w:val="00564B99"/>
    <w:rsid w:val="00564DEC"/>
    <w:rsid w:val="00567827"/>
    <w:rsid w:val="00567BD8"/>
    <w:rsid w:val="00567D25"/>
    <w:rsid w:val="005706BE"/>
    <w:rsid w:val="00571741"/>
    <w:rsid w:val="00572A97"/>
    <w:rsid w:val="00573640"/>
    <w:rsid w:val="005748AB"/>
    <w:rsid w:val="005770B0"/>
    <w:rsid w:val="00577454"/>
    <w:rsid w:val="0058012E"/>
    <w:rsid w:val="00582417"/>
    <w:rsid w:val="00583F41"/>
    <w:rsid w:val="00583FCB"/>
    <w:rsid w:val="00585538"/>
    <w:rsid w:val="005857B3"/>
    <w:rsid w:val="0058583C"/>
    <w:rsid w:val="00585B55"/>
    <w:rsid w:val="005868C8"/>
    <w:rsid w:val="00586935"/>
    <w:rsid w:val="00587841"/>
    <w:rsid w:val="0058793B"/>
    <w:rsid w:val="00590985"/>
    <w:rsid w:val="005909D7"/>
    <w:rsid w:val="00592253"/>
    <w:rsid w:val="0059245C"/>
    <w:rsid w:val="00595283"/>
    <w:rsid w:val="00595461"/>
    <w:rsid w:val="00595898"/>
    <w:rsid w:val="00595B4E"/>
    <w:rsid w:val="005970E0"/>
    <w:rsid w:val="0059790A"/>
    <w:rsid w:val="00597AD3"/>
    <w:rsid w:val="005A0182"/>
    <w:rsid w:val="005A0424"/>
    <w:rsid w:val="005A0F4C"/>
    <w:rsid w:val="005A12EB"/>
    <w:rsid w:val="005A14CF"/>
    <w:rsid w:val="005A1C4C"/>
    <w:rsid w:val="005A2013"/>
    <w:rsid w:val="005A2EA6"/>
    <w:rsid w:val="005A3059"/>
    <w:rsid w:val="005A3D60"/>
    <w:rsid w:val="005A4140"/>
    <w:rsid w:val="005A5C6A"/>
    <w:rsid w:val="005A5E1A"/>
    <w:rsid w:val="005A5E51"/>
    <w:rsid w:val="005A5E55"/>
    <w:rsid w:val="005A6B1B"/>
    <w:rsid w:val="005B0FB9"/>
    <w:rsid w:val="005B11AF"/>
    <w:rsid w:val="005B22C0"/>
    <w:rsid w:val="005B264F"/>
    <w:rsid w:val="005B35A8"/>
    <w:rsid w:val="005B4C4F"/>
    <w:rsid w:val="005B5718"/>
    <w:rsid w:val="005B685B"/>
    <w:rsid w:val="005B691F"/>
    <w:rsid w:val="005C011A"/>
    <w:rsid w:val="005C04E4"/>
    <w:rsid w:val="005C1273"/>
    <w:rsid w:val="005C26D7"/>
    <w:rsid w:val="005C2F15"/>
    <w:rsid w:val="005C45A0"/>
    <w:rsid w:val="005C6A76"/>
    <w:rsid w:val="005D0356"/>
    <w:rsid w:val="005D04C6"/>
    <w:rsid w:val="005D11E1"/>
    <w:rsid w:val="005D23CD"/>
    <w:rsid w:val="005D2964"/>
    <w:rsid w:val="005D2BAE"/>
    <w:rsid w:val="005D3A38"/>
    <w:rsid w:val="005D3D7C"/>
    <w:rsid w:val="005D462A"/>
    <w:rsid w:val="005D520C"/>
    <w:rsid w:val="005D5FCC"/>
    <w:rsid w:val="005D650E"/>
    <w:rsid w:val="005D760A"/>
    <w:rsid w:val="005D7906"/>
    <w:rsid w:val="005D7E8F"/>
    <w:rsid w:val="005E1372"/>
    <w:rsid w:val="005E160E"/>
    <w:rsid w:val="005E2608"/>
    <w:rsid w:val="005E3ED4"/>
    <w:rsid w:val="005E6067"/>
    <w:rsid w:val="005E6B39"/>
    <w:rsid w:val="005E7BF8"/>
    <w:rsid w:val="005E7EB5"/>
    <w:rsid w:val="005F0540"/>
    <w:rsid w:val="005F0551"/>
    <w:rsid w:val="005F129D"/>
    <w:rsid w:val="005F2A79"/>
    <w:rsid w:val="005F4602"/>
    <w:rsid w:val="005F5299"/>
    <w:rsid w:val="00600349"/>
    <w:rsid w:val="006011A2"/>
    <w:rsid w:val="006015BD"/>
    <w:rsid w:val="00601955"/>
    <w:rsid w:val="00602482"/>
    <w:rsid w:val="006025DD"/>
    <w:rsid w:val="0060341A"/>
    <w:rsid w:val="00603454"/>
    <w:rsid w:val="00604C23"/>
    <w:rsid w:val="0060741C"/>
    <w:rsid w:val="006074D9"/>
    <w:rsid w:val="006102D2"/>
    <w:rsid w:val="0061163E"/>
    <w:rsid w:val="006118DF"/>
    <w:rsid w:val="00611D70"/>
    <w:rsid w:val="00612BCE"/>
    <w:rsid w:val="00612CDC"/>
    <w:rsid w:val="00613628"/>
    <w:rsid w:val="0061403C"/>
    <w:rsid w:val="00615910"/>
    <w:rsid w:val="00617CCA"/>
    <w:rsid w:val="00617F5E"/>
    <w:rsid w:val="00621A8B"/>
    <w:rsid w:val="006221F9"/>
    <w:rsid w:val="006223BF"/>
    <w:rsid w:val="00622708"/>
    <w:rsid w:val="006235B8"/>
    <w:rsid w:val="006238BB"/>
    <w:rsid w:val="006248FE"/>
    <w:rsid w:val="00625FC2"/>
    <w:rsid w:val="006273FB"/>
    <w:rsid w:val="006303AA"/>
    <w:rsid w:val="00631BA6"/>
    <w:rsid w:val="00631DB3"/>
    <w:rsid w:val="00632CE1"/>
    <w:rsid w:val="00635E8F"/>
    <w:rsid w:val="00636EC7"/>
    <w:rsid w:val="00637A80"/>
    <w:rsid w:val="00640305"/>
    <w:rsid w:val="00641211"/>
    <w:rsid w:val="0064351A"/>
    <w:rsid w:val="0064364C"/>
    <w:rsid w:val="00645BB0"/>
    <w:rsid w:val="00645DA0"/>
    <w:rsid w:val="00646126"/>
    <w:rsid w:val="00647A07"/>
    <w:rsid w:val="006515DA"/>
    <w:rsid w:val="0065172C"/>
    <w:rsid w:val="00651DA8"/>
    <w:rsid w:val="00651F26"/>
    <w:rsid w:val="00652CEA"/>
    <w:rsid w:val="00652F38"/>
    <w:rsid w:val="0065329C"/>
    <w:rsid w:val="0065427A"/>
    <w:rsid w:val="00655127"/>
    <w:rsid w:val="00655249"/>
    <w:rsid w:val="0065734B"/>
    <w:rsid w:val="00657702"/>
    <w:rsid w:val="00657C97"/>
    <w:rsid w:val="00660FEC"/>
    <w:rsid w:val="00661EF3"/>
    <w:rsid w:val="00662496"/>
    <w:rsid w:val="0066252A"/>
    <w:rsid w:val="00662B19"/>
    <w:rsid w:val="006630B1"/>
    <w:rsid w:val="0066342B"/>
    <w:rsid w:val="0066352C"/>
    <w:rsid w:val="00663848"/>
    <w:rsid w:val="00664C2F"/>
    <w:rsid w:val="00664D97"/>
    <w:rsid w:val="006650DF"/>
    <w:rsid w:val="00665628"/>
    <w:rsid w:val="006662FC"/>
    <w:rsid w:val="00666A9F"/>
    <w:rsid w:val="00670078"/>
    <w:rsid w:val="006709D0"/>
    <w:rsid w:val="00670A6B"/>
    <w:rsid w:val="00671D1B"/>
    <w:rsid w:val="00671DB4"/>
    <w:rsid w:val="00672498"/>
    <w:rsid w:val="00673334"/>
    <w:rsid w:val="006752FF"/>
    <w:rsid w:val="0067710B"/>
    <w:rsid w:val="0067747C"/>
    <w:rsid w:val="00680557"/>
    <w:rsid w:val="00680789"/>
    <w:rsid w:val="00681BE4"/>
    <w:rsid w:val="00681F22"/>
    <w:rsid w:val="0068206F"/>
    <w:rsid w:val="00682268"/>
    <w:rsid w:val="00682405"/>
    <w:rsid w:val="00682DC5"/>
    <w:rsid w:val="006831B9"/>
    <w:rsid w:val="006835D3"/>
    <w:rsid w:val="006854D5"/>
    <w:rsid w:val="00685E47"/>
    <w:rsid w:val="0068665F"/>
    <w:rsid w:val="00686A42"/>
    <w:rsid w:val="00686BD2"/>
    <w:rsid w:val="006873A8"/>
    <w:rsid w:val="00687F7B"/>
    <w:rsid w:val="00690696"/>
    <w:rsid w:val="00692A96"/>
    <w:rsid w:val="00693579"/>
    <w:rsid w:val="00696121"/>
    <w:rsid w:val="006969C7"/>
    <w:rsid w:val="006971C6"/>
    <w:rsid w:val="006A0369"/>
    <w:rsid w:val="006A0857"/>
    <w:rsid w:val="006A0E37"/>
    <w:rsid w:val="006A0E3E"/>
    <w:rsid w:val="006A1771"/>
    <w:rsid w:val="006A33EF"/>
    <w:rsid w:val="006A3949"/>
    <w:rsid w:val="006A723D"/>
    <w:rsid w:val="006A7887"/>
    <w:rsid w:val="006B0468"/>
    <w:rsid w:val="006B05AB"/>
    <w:rsid w:val="006B05BA"/>
    <w:rsid w:val="006B10FC"/>
    <w:rsid w:val="006B1C07"/>
    <w:rsid w:val="006B4ADB"/>
    <w:rsid w:val="006B500B"/>
    <w:rsid w:val="006B6A61"/>
    <w:rsid w:val="006C0C67"/>
    <w:rsid w:val="006C0D77"/>
    <w:rsid w:val="006C1033"/>
    <w:rsid w:val="006C106D"/>
    <w:rsid w:val="006C141E"/>
    <w:rsid w:val="006C2FC9"/>
    <w:rsid w:val="006C57BF"/>
    <w:rsid w:val="006C593F"/>
    <w:rsid w:val="006C6C60"/>
    <w:rsid w:val="006D1819"/>
    <w:rsid w:val="006D26CD"/>
    <w:rsid w:val="006D2B49"/>
    <w:rsid w:val="006D3E46"/>
    <w:rsid w:val="006D4012"/>
    <w:rsid w:val="006D4DB8"/>
    <w:rsid w:val="006D50B8"/>
    <w:rsid w:val="006D54EC"/>
    <w:rsid w:val="006D575D"/>
    <w:rsid w:val="006D6821"/>
    <w:rsid w:val="006D6B69"/>
    <w:rsid w:val="006D782B"/>
    <w:rsid w:val="006D78D4"/>
    <w:rsid w:val="006E06E5"/>
    <w:rsid w:val="006E20EF"/>
    <w:rsid w:val="006E2A6A"/>
    <w:rsid w:val="006E3359"/>
    <w:rsid w:val="006E444F"/>
    <w:rsid w:val="006E4CF0"/>
    <w:rsid w:val="006E5238"/>
    <w:rsid w:val="006E598C"/>
    <w:rsid w:val="006E6294"/>
    <w:rsid w:val="006E65BA"/>
    <w:rsid w:val="006E6868"/>
    <w:rsid w:val="006E68AF"/>
    <w:rsid w:val="006E76A3"/>
    <w:rsid w:val="006E791E"/>
    <w:rsid w:val="006F02F1"/>
    <w:rsid w:val="006F0FED"/>
    <w:rsid w:val="006F2757"/>
    <w:rsid w:val="006F453A"/>
    <w:rsid w:val="006F6F1D"/>
    <w:rsid w:val="006F73B6"/>
    <w:rsid w:val="007006C2"/>
    <w:rsid w:val="007007F2"/>
    <w:rsid w:val="0070096B"/>
    <w:rsid w:val="00702419"/>
    <w:rsid w:val="00704D0B"/>
    <w:rsid w:val="00705869"/>
    <w:rsid w:val="00705F42"/>
    <w:rsid w:val="007068C7"/>
    <w:rsid w:val="007077EC"/>
    <w:rsid w:val="00710189"/>
    <w:rsid w:val="0071064B"/>
    <w:rsid w:val="00711189"/>
    <w:rsid w:val="0071177C"/>
    <w:rsid w:val="00713836"/>
    <w:rsid w:val="007139EA"/>
    <w:rsid w:val="007139EC"/>
    <w:rsid w:val="00713A77"/>
    <w:rsid w:val="00713E09"/>
    <w:rsid w:val="00716A67"/>
    <w:rsid w:val="007200A3"/>
    <w:rsid w:val="00720748"/>
    <w:rsid w:val="00720D03"/>
    <w:rsid w:val="00721AC5"/>
    <w:rsid w:val="00722D19"/>
    <w:rsid w:val="007247CA"/>
    <w:rsid w:val="00727127"/>
    <w:rsid w:val="007276D8"/>
    <w:rsid w:val="0072793A"/>
    <w:rsid w:val="00727D9F"/>
    <w:rsid w:val="007302AB"/>
    <w:rsid w:val="00730CBB"/>
    <w:rsid w:val="00730CBD"/>
    <w:rsid w:val="00730EBC"/>
    <w:rsid w:val="00733644"/>
    <w:rsid w:val="00733B6E"/>
    <w:rsid w:val="007358AB"/>
    <w:rsid w:val="0073675B"/>
    <w:rsid w:val="00736F22"/>
    <w:rsid w:val="00737852"/>
    <w:rsid w:val="007401F2"/>
    <w:rsid w:val="007407DA"/>
    <w:rsid w:val="00741CC4"/>
    <w:rsid w:val="00742098"/>
    <w:rsid w:val="0074353A"/>
    <w:rsid w:val="00743DFD"/>
    <w:rsid w:val="00743E64"/>
    <w:rsid w:val="007445A9"/>
    <w:rsid w:val="00744DB5"/>
    <w:rsid w:val="00744ED4"/>
    <w:rsid w:val="007450C7"/>
    <w:rsid w:val="00745D2B"/>
    <w:rsid w:val="007464C8"/>
    <w:rsid w:val="00746BCE"/>
    <w:rsid w:val="00752367"/>
    <w:rsid w:val="00752719"/>
    <w:rsid w:val="00752D41"/>
    <w:rsid w:val="00755446"/>
    <w:rsid w:val="00755A61"/>
    <w:rsid w:val="007577CD"/>
    <w:rsid w:val="00760F49"/>
    <w:rsid w:val="00762177"/>
    <w:rsid w:val="007628A4"/>
    <w:rsid w:val="00762A5D"/>
    <w:rsid w:val="007644BB"/>
    <w:rsid w:val="007649AC"/>
    <w:rsid w:val="00767CFA"/>
    <w:rsid w:val="00771188"/>
    <w:rsid w:val="00772D1A"/>
    <w:rsid w:val="0077372E"/>
    <w:rsid w:val="00773B4D"/>
    <w:rsid w:val="00774B6C"/>
    <w:rsid w:val="00775727"/>
    <w:rsid w:val="00777F5A"/>
    <w:rsid w:val="00782C8C"/>
    <w:rsid w:val="00784F0D"/>
    <w:rsid w:val="007850B0"/>
    <w:rsid w:val="00785495"/>
    <w:rsid w:val="00785546"/>
    <w:rsid w:val="007878D3"/>
    <w:rsid w:val="00787FF5"/>
    <w:rsid w:val="007910AC"/>
    <w:rsid w:val="007931A7"/>
    <w:rsid w:val="00794159"/>
    <w:rsid w:val="007946B2"/>
    <w:rsid w:val="00794D7B"/>
    <w:rsid w:val="00795006"/>
    <w:rsid w:val="00795AC4"/>
    <w:rsid w:val="00797966"/>
    <w:rsid w:val="007A1012"/>
    <w:rsid w:val="007A2A8A"/>
    <w:rsid w:val="007A52A1"/>
    <w:rsid w:val="007A7838"/>
    <w:rsid w:val="007A7F9A"/>
    <w:rsid w:val="007B01E6"/>
    <w:rsid w:val="007B0F6C"/>
    <w:rsid w:val="007B1352"/>
    <w:rsid w:val="007B15F4"/>
    <w:rsid w:val="007B2D63"/>
    <w:rsid w:val="007B3292"/>
    <w:rsid w:val="007B3CD5"/>
    <w:rsid w:val="007B630E"/>
    <w:rsid w:val="007B6635"/>
    <w:rsid w:val="007B6DAB"/>
    <w:rsid w:val="007B73CF"/>
    <w:rsid w:val="007C03CD"/>
    <w:rsid w:val="007C0A2C"/>
    <w:rsid w:val="007C1FD6"/>
    <w:rsid w:val="007C3C26"/>
    <w:rsid w:val="007C45C9"/>
    <w:rsid w:val="007C60C2"/>
    <w:rsid w:val="007C66D8"/>
    <w:rsid w:val="007C6DA4"/>
    <w:rsid w:val="007C7060"/>
    <w:rsid w:val="007C7A95"/>
    <w:rsid w:val="007D0E68"/>
    <w:rsid w:val="007D22F4"/>
    <w:rsid w:val="007D29D2"/>
    <w:rsid w:val="007D4090"/>
    <w:rsid w:val="007D468A"/>
    <w:rsid w:val="007D5CBB"/>
    <w:rsid w:val="007E19F8"/>
    <w:rsid w:val="007E3E21"/>
    <w:rsid w:val="007E5B52"/>
    <w:rsid w:val="007E5B97"/>
    <w:rsid w:val="007E5C4E"/>
    <w:rsid w:val="007F020D"/>
    <w:rsid w:val="007F231C"/>
    <w:rsid w:val="007F2FC2"/>
    <w:rsid w:val="007F3D68"/>
    <w:rsid w:val="007F490C"/>
    <w:rsid w:val="007F4FCF"/>
    <w:rsid w:val="007F5377"/>
    <w:rsid w:val="007F5E18"/>
    <w:rsid w:val="008000E3"/>
    <w:rsid w:val="00800C43"/>
    <w:rsid w:val="008018A0"/>
    <w:rsid w:val="00801E94"/>
    <w:rsid w:val="008023BC"/>
    <w:rsid w:val="00803826"/>
    <w:rsid w:val="00804613"/>
    <w:rsid w:val="00806FB2"/>
    <w:rsid w:val="00807129"/>
    <w:rsid w:val="00807738"/>
    <w:rsid w:val="00810547"/>
    <w:rsid w:val="00810CFE"/>
    <w:rsid w:val="008114F2"/>
    <w:rsid w:val="00811B81"/>
    <w:rsid w:val="00812B68"/>
    <w:rsid w:val="00812DA2"/>
    <w:rsid w:val="00813A25"/>
    <w:rsid w:val="00815012"/>
    <w:rsid w:val="0081522F"/>
    <w:rsid w:val="008157AE"/>
    <w:rsid w:val="00815D4D"/>
    <w:rsid w:val="00816360"/>
    <w:rsid w:val="00816967"/>
    <w:rsid w:val="008169B1"/>
    <w:rsid w:val="00817267"/>
    <w:rsid w:val="0081739A"/>
    <w:rsid w:val="008177DA"/>
    <w:rsid w:val="008200E1"/>
    <w:rsid w:val="008202AC"/>
    <w:rsid w:val="008205A7"/>
    <w:rsid w:val="00820A08"/>
    <w:rsid w:val="00820A71"/>
    <w:rsid w:val="00820CCA"/>
    <w:rsid w:val="00821E2F"/>
    <w:rsid w:val="00822568"/>
    <w:rsid w:val="008226FD"/>
    <w:rsid w:val="00822976"/>
    <w:rsid w:val="00824F4E"/>
    <w:rsid w:val="00825599"/>
    <w:rsid w:val="008267C0"/>
    <w:rsid w:val="00833160"/>
    <w:rsid w:val="008340CE"/>
    <w:rsid w:val="0083546F"/>
    <w:rsid w:val="00835EDA"/>
    <w:rsid w:val="00836C8F"/>
    <w:rsid w:val="00837FC8"/>
    <w:rsid w:val="008404FD"/>
    <w:rsid w:val="008408AA"/>
    <w:rsid w:val="0084235A"/>
    <w:rsid w:val="0084390F"/>
    <w:rsid w:val="008464C9"/>
    <w:rsid w:val="00847800"/>
    <w:rsid w:val="00847966"/>
    <w:rsid w:val="00847C2E"/>
    <w:rsid w:val="008500C6"/>
    <w:rsid w:val="00850368"/>
    <w:rsid w:val="00850920"/>
    <w:rsid w:val="0085122F"/>
    <w:rsid w:val="00851C0A"/>
    <w:rsid w:val="00851DD3"/>
    <w:rsid w:val="008542B8"/>
    <w:rsid w:val="0085465D"/>
    <w:rsid w:val="0085487C"/>
    <w:rsid w:val="00854A11"/>
    <w:rsid w:val="00854B3F"/>
    <w:rsid w:val="0085588A"/>
    <w:rsid w:val="008564BD"/>
    <w:rsid w:val="00856579"/>
    <w:rsid w:val="00860DD4"/>
    <w:rsid w:val="008623E2"/>
    <w:rsid w:val="0086282F"/>
    <w:rsid w:val="00862BD0"/>
    <w:rsid w:val="00862D55"/>
    <w:rsid w:val="00863494"/>
    <w:rsid w:val="00864B1A"/>
    <w:rsid w:val="00865AD4"/>
    <w:rsid w:val="0086623B"/>
    <w:rsid w:val="00867CF5"/>
    <w:rsid w:val="008713B5"/>
    <w:rsid w:val="00871B2B"/>
    <w:rsid w:val="008730BE"/>
    <w:rsid w:val="00873B6C"/>
    <w:rsid w:val="00873F83"/>
    <w:rsid w:val="00874BE5"/>
    <w:rsid w:val="00874F2C"/>
    <w:rsid w:val="008750A2"/>
    <w:rsid w:val="0087525E"/>
    <w:rsid w:val="0087534E"/>
    <w:rsid w:val="00876F0C"/>
    <w:rsid w:val="00882959"/>
    <w:rsid w:val="0088431D"/>
    <w:rsid w:val="008851DA"/>
    <w:rsid w:val="00885427"/>
    <w:rsid w:val="00885BB6"/>
    <w:rsid w:val="00886D7D"/>
    <w:rsid w:val="00890A4A"/>
    <w:rsid w:val="00890B0F"/>
    <w:rsid w:val="00891063"/>
    <w:rsid w:val="0089180F"/>
    <w:rsid w:val="00891A79"/>
    <w:rsid w:val="00891F16"/>
    <w:rsid w:val="00893351"/>
    <w:rsid w:val="0089496D"/>
    <w:rsid w:val="00894D18"/>
    <w:rsid w:val="00894FE9"/>
    <w:rsid w:val="00895E53"/>
    <w:rsid w:val="00897481"/>
    <w:rsid w:val="008A0BDA"/>
    <w:rsid w:val="008A0D8E"/>
    <w:rsid w:val="008A1AFD"/>
    <w:rsid w:val="008A2957"/>
    <w:rsid w:val="008A31A5"/>
    <w:rsid w:val="008A3C9F"/>
    <w:rsid w:val="008A50EF"/>
    <w:rsid w:val="008A5493"/>
    <w:rsid w:val="008A571B"/>
    <w:rsid w:val="008A5E8E"/>
    <w:rsid w:val="008A71C9"/>
    <w:rsid w:val="008A73ED"/>
    <w:rsid w:val="008A7DCE"/>
    <w:rsid w:val="008B097A"/>
    <w:rsid w:val="008B0BAF"/>
    <w:rsid w:val="008B0E86"/>
    <w:rsid w:val="008B14E5"/>
    <w:rsid w:val="008B177D"/>
    <w:rsid w:val="008B2652"/>
    <w:rsid w:val="008B27A5"/>
    <w:rsid w:val="008B2917"/>
    <w:rsid w:val="008B2BE1"/>
    <w:rsid w:val="008B363B"/>
    <w:rsid w:val="008B39E4"/>
    <w:rsid w:val="008B4BA2"/>
    <w:rsid w:val="008B4FD4"/>
    <w:rsid w:val="008B7768"/>
    <w:rsid w:val="008C0B81"/>
    <w:rsid w:val="008C0DB3"/>
    <w:rsid w:val="008C13AD"/>
    <w:rsid w:val="008C19C9"/>
    <w:rsid w:val="008C2A43"/>
    <w:rsid w:val="008C2A56"/>
    <w:rsid w:val="008C3233"/>
    <w:rsid w:val="008C4B77"/>
    <w:rsid w:val="008C6894"/>
    <w:rsid w:val="008D0179"/>
    <w:rsid w:val="008D018B"/>
    <w:rsid w:val="008D142E"/>
    <w:rsid w:val="008D4424"/>
    <w:rsid w:val="008D4859"/>
    <w:rsid w:val="008D485B"/>
    <w:rsid w:val="008D5ACE"/>
    <w:rsid w:val="008D6BF3"/>
    <w:rsid w:val="008D7435"/>
    <w:rsid w:val="008D75F7"/>
    <w:rsid w:val="008D7BB5"/>
    <w:rsid w:val="008E0804"/>
    <w:rsid w:val="008E0B03"/>
    <w:rsid w:val="008E176D"/>
    <w:rsid w:val="008E32A3"/>
    <w:rsid w:val="008E650A"/>
    <w:rsid w:val="008E71F9"/>
    <w:rsid w:val="008E76F6"/>
    <w:rsid w:val="008E7BE8"/>
    <w:rsid w:val="008F0732"/>
    <w:rsid w:val="008F0B75"/>
    <w:rsid w:val="008F18E0"/>
    <w:rsid w:val="008F1A6D"/>
    <w:rsid w:val="008F1BB4"/>
    <w:rsid w:val="008F1E24"/>
    <w:rsid w:val="008F3267"/>
    <w:rsid w:val="008F3D8F"/>
    <w:rsid w:val="008F4453"/>
    <w:rsid w:val="008F49D8"/>
    <w:rsid w:val="008F6536"/>
    <w:rsid w:val="008F713F"/>
    <w:rsid w:val="008F7A2A"/>
    <w:rsid w:val="008F7C2E"/>
    <w:rsid w:val="009005F2"/>
    <w:rsid w:val="00901207"/>
    <w:rsid w:val="009018DB"/>
    <w:rsid w:val="00903065"/>
    <w:rsid w:val="009032C5"/>
    <w:rsid w:val="00904F8F"/>
    <w:rsid w:val="00905819"/>
    <w:rsid w:val="00905934"/>
    <w:rsid w:val="00905D0E"/>
    <w:rsid w:val="0090665E"/>
    <w:rsid w:val="00907415"/>
    <w:rsid w:val="00912955"/>
    <w:rsid w:val="00913309"/>
    <w:rsid w:val="009149E5"/>
    <w:rsid w:val="00914F04"/>
    <w:rsid w:val="00915DF9"/>
    <w:rsid w:val="00921D93"/>
    <w:rsid w:val="0092525A"/>
    <w:rsid w:val="00926470"/>
    <w:rsid w:val="0092690A"/>
    <w:rsid w:val="00926B25"/>
    <w:rsid w:val="00927D3A"/>
    <w:rsid w:val="00931049"/>
    <w:rsid w:val="00932A3F"/>
    <w:rsid w:val="0093363A"/>
    <w:rsid w:val="00933D67"/>
    <w:rsid w:val="009343D8"/>
    <w:rsid w:val="00934CA8"/>
    <w:rsid w:val="00935009"/>
    <w:rsid w:val="00936135"/>
    <w:rsid w:val="009361C5"/>
    <w:rsid w:val="00936A5C"/>
    <w:rsid w:val="00936BC9"/>
    <w:rsid w:val="009400F8"/>
    <w:rsid w:val="009429CA"/>
    <w:rsid w:val="00942D60"/>
    <w:rsid w:val="00945A68"/>
    <w:rsid w:val="00946347"/>
    <w:rsid w:val="009463CC"/>
    <w:rsid w:val="0094658F"/>
    <w:rsid w:val="00946BA2"/>
    <w:rsid w:val="00950DE6"/>
    <w:rsid w:val="00951938"/>
    <w:rsid w:val="00951FAB"/>
    <w:rsid w:val="00952DFD"/>
    <w:rsid w:val="00952FA1"/>
    <w:rsid w:val="00952FE4"/>
    <w:rsid w:val="0095335C"/>
    <w:rsid w:val="0095421D"/>
    <w:rsid w:val="0095440C"/>
    <w:rsid w:val="009548EF"/>
    <w:rsid w:val="00954DAE"/>
    <w:rsid w:val="00956DAD"/>
    <w:rsid w:val="00957122"/>
    <w:rsid w:val="0095748B"/>
    <w:rsid w:val="00957797"/>
    <w:rsid w:val="00957FB0"/>
    <w:rsid w:val="00960867"/>
    <w:rsid w:val="00960D3A"/>
    <w:rsid w:val="00963003"/>
    <w:rsid w:val="00963BDA"/>
    <w:rsid w:val="00963DBC"/>
    <w:rsid w:val="0096674E"/>
    <w:rsid w:val="00967523"/>
    <w:rsid w:val="0097056A"/>
    <w:rsid w:val="009707B7"/>
    <w:rsid w:val="00970F44"/>
    <w:rsid w:val="00971A8E"/>
    <w:rsid w:val="00972455"/>
    <w:rsid w:val="00972C92"/>
    <w:rsid w:val="0097303C"/>
    <w:rsid w:val="00973B7D"/>
    <w:rsid w:val="00973DAF"/>
    <w:rsid w:val="00975A3E"/>
    <w:rsid w:val="00975B7B"/>
    <w:rsid w:val="00977312"/>
    <w:rsid w:val="00977940"/>
    <w:rsid w:val="00977EF7"/>
    <w:rsid w:val="00982110"/>
    <w:rsid w:val="0098240A"/>
    <w:rsid w:val="00982D6F"/>
    <w:rsid w:val="00983316"/>
    <w:rsid w:val="00983C59"/>
    <w:rsid w:val="00983DD9"/>
    <w:rsid w:val="00983E5E"/>
    <w:rsid w:val="00984E84"/>
    <w:rsid w:val="00984F33"/>
    <w:rsid w:val="009854E9"/>
    <w:rsid w:val="009868A2"/>
    <w:rsid w:val="00987366"/>
    <w:rsid w:val="0099007E"/>
    <w:rsid w:val="0099055A"/>
    <w:rsid w:val="009905D8"/>
    <w:rsid w:val="009906A3"/>
    <w:rsid w:val="0099169C"/>
    <w:rsid w:val="00991DF7"/>
    <w:rsid w:val="00991F3D"/>
    <w:rsid w:val="009924A6"/>
    <w:rsid w:val="009925F4"/>
    <w:rsid w:val="00992F32"/>
    <w:rsid w:val="00992F4A"/>
    <w:rsid w:val="00993421"/>
    <w:rsid w:val="009938B1"/>
    <w:rsid w:val="0099397F"/>
    <w:rsid w:val="009951A2"/>
    <w:rsid w:val="00995B4B"/>
    <w:rsid w:val="00996D15"/>
    <w:rsid w:val="009A07F7"/>
    <w:rsid w:val="009A191D"/>
    <w:rsid w:val="009A2871"/>
    <w:rsid w:val="009A40CA"/>
    <w:rsid w:val="009A4A2B"/>
    <w:rsid w:val="009A4ACF"/>
    <w:rsid w:val="009A4C93"/>
    <w:rsid w:val="009A5FE5"/>
    <w:rsid w:val="009A7187"/>
    <w:rsid w:val="009A7D7D"/>
    <w:rsid w:val="009B0255"/>
    <w:rsid w:val="009B0581"/>
    <w:rsid w:val="009B0D62"/>
    <w:rsid w:val="009B14CD"/>
    <w:rsid w:val="009B1E0E"/>
    <w:rsid w:val="009B2AB1"/>
    <w:rsid w:val="009B2C91"/>
    <w:rsid w:val="009B3305"/>
    <w:rsid w:val="009B445B"/>
    <w:rsid w:val="009B45FF"/>
    <w:rsid w:val="009B65E9"/>
    <w:rsid w:val="009B71D9"/>
    <w:rsid w:val="009B7811"/>
    <w:rsid w:val="009B7848"/>
    <w:rsid w:val="009C07E6"/>
    <w:rsid w:val="009C11A7"/>
    <w:rsid w:val="009C184B"/>
    <w:rsid w:val="009C28E1"/>
    <w:rsid w:val="009C2CF5"/>
    <w:rsid w:val="009C3685"/>
    <w:rsid w:val="009C4462"/>
    <w:rsid w:val="009C482F"/>
    <w:rsid w:val="009C491B"/>
    <w:rsid w:val="009C587F"/>
    <w:rsid w:val="009C5B2D"/>
    <w:rsid w:val="009C5F10"/>
    <w:rsid w:val="009C63B8"/>
    <w:rsid w:val="009C67C6"/>
    <w:rsid w:val="009D1822"/>
    <w:rsid w:val="009D248C"/>
    <w:rsid w:val="009D25D6"/>
    <w:rsid w:val="009D5B10"/>
    <w:rsid w:val="009D6252"/>
    <w:rsid w:val="009D7000"/>
    <w:rsid w:val="009D7205"/>
    <w:rsid w:val="009D77C7"/>
    <w:rsid w:val="009D7A61"/>
    <w:rsid w:val="009E0BAC"/>
    <w:rsid w:val="009E105B"/>
    <w:rsid w:val="009E1321"/>
    <w:rsid w:val="009E2813"/>
    <w:rsid w:val="009E4519"/>
    <w:rsid w:val="009E564B"/>
    <w:rsid w:val="009E60F4"/>
    <w:rsid w:val="009E6821"/>
    <w:rsid w:val="009E6E04"/>
    <w:rsid w:val="009F1983"/>
    <w:rsid w:val="009F1B75"/>
    <w:rsid w:val="009F234A"/>
    <w:rsid w:val="009F2DB3"/>
    <w:rsid w:val="009F2DFC"/>
    <w:rsid w:val="009F3243"/>
    <w:rsid w:val="009F33E9"/>
    <w:rsid w:val="009F35DD"/>
    <w:rsid w:val="009F6105"/>
    <w:rsid w:val="00A01680"/>
    <w:rsid w:val="00A0214C"/>
    <w:rsid w:val="00A03C78"/>
    <w:rsid w:val="00A040E4"/>
    <w:rsid w:val="00A053C8"/>
    <w:rsid w:val="00A05C67"/>
    <w:rsid w:val="00A05CEC"/>
    <w:rsid w:val="00A0656C"/>
    <w:rsid w:val="00A065F4"/>
    <w:rsid w:val="00A07D96"/>
    <w:rsid w:val="00A117FC"/>
    <w:rsid w:val="00A11F12"/>
    <w:rsid w:val="00A126EA"/>
    <w:rsid w:val="00A12E1B"/>
    <w:rsid w:val="00A13775"/>
    <w:rsid w:val="00A14C35"/>
    <w:rsid w:val="00A1668A"/>
    <w:rsid w:val="00A20591"/>
    <w:rsid w:val="00A20DB4"/>
    <w:rsid w:val="00A216AC"/>
    <w:rsid w:val="00A21DEB"/>
    <w:rsid w:val="00A22CBA"/>
    <w:rsid w:val="00A22EB8"/>
    <w:rsid w:val="00A23128"/>
    <w:rsid w:val="00A23384"/>
    <w:rsid w:val="00A236AF"/>
    <w:rsid w:val="00A23704"/>
    <w:rsid w:val="00A24947"/>
    <w:rsid w:val="00A24FC5"/>
    <w:rsid w:val="00A25AB1"/>
    <w:rsid w:val="00A263C2"/>
    <w:rsid w:val="00A30ED8"/>
    <w:rsid w:val="00A31E8C"/>
    <w:rsid w:val="00A3261F"/>
    <w:rsid w:val="00A33F09"/>
    <w:rsid w:val="00A3499E"/>
    <w:rsid w:val="00A4015F"/>
    <w:rsid w:val="00A402C4"/>
    <w:rsid w:val="00A41EA8"/>
    <w:rsid w:val="00A425ED"/>
    <w:rsid w:val="00A42E55"/>
    <w:rsid w:val="00A4311A"/>
    <w:rsid w:val="00A44EC0"/>
    <w:rsid w:val="00A45469"/>
    <w:rsid w:val="00A45DEA"/>
    <w:rsid w:val="00A46794"/>
    <w:rsid w:val="00A46D96"/>
    <w:rsid w:val="00A5070A"/>
    <w:rsid w:val="00A51577"/>
    <w:rsid w:val="00A51E5F"/>
    <w:rsid w:val="00A52905"/>
    <w:rsid w:val="00A53A19"/>
    <w:rsid w:val="00A545FE"/>
    <w:rsid w:val="00A54C6A"/>
    <w:rsid w:val="00A55ED4"/>
    <w:rsid w:val="00A57294"/>
    <w:rsid w:val="00A57986"/>
    <w:rsid w:val="00A57A0E"/>
    <w:rsid w:val="00A608B1"/>
    <w:rsid w:val="00A61586"/>
    <w:rsid w:val="00A61ACF"/>
    <w:rsid w:val="00A62909"/>
    <w:rsid w:val="00A643D9"/>
    <w:rsid w:val="00A65068"/>
    <w:rsid w:val="00A65733"/>
    <w:rsid w:val="00A65C5A"/>
    <w:rsid w:val="00A668D4"/>
    <w:rsid w:val="00A712D1"/>
    <w:rsid w:val="00A7215E"/>
    <w:rsid w:val="00A74276"/>
    <w:rsid w:val="00A74587"/>
    <w:rsid w:val="00A74D14"/>
    <w:rsid w:val="00A74D8D"/>
    <w:rsid w:val="00A7503F"/>
    <w:rsid w:val="00A76FE1"/>
    <w:rsid w:val="00A8034A"/>
    <w:rsid w:val="00A80C67"/>
    <w:rsid w:val="00A81A6C"/>
    <w:rsid w:val="00A82CE1"/>
    <w:rsid w:val="00A85050"/>
    <w:rsid w:val="00A8505C"/>
    <w:rsid w:val="00A86ED0"/>
    <w:rsid w:val="00A8719A"/>
    <w:rsid w:val="00A901CD"/>
    <w:rsid w:val="00A90647"/>
    <w:rsid w:val="00A90FA5"/>
    <w:rsid w:val="00A91DAA"/>
    <w:rsid w:val="00A929C8"/>
    <w:rsid w:val="00A9341D"/>
    <w:rsid w:val="00A939DB"/>
    <w:rsid w:val="00A93AAA"/>
    <w:rsid w:val="00A93C9A"/>
    <w:rsid w:val="00A96567"/>
    <w:rsid w:val="00A974E4"/>
    <w:rsid w:val="00AA076C"/>
    <w:rsid w:val="00AA08F9"/>
    <w:rsid w:val="00AA0B15"/>
    <w:rsid w:val="00AA1B45"/>
    <w:rsid w:val="00AA1F33"/>
    <w:rsid w:val="00AA248D"/>
    <w:rsid w:val="00AA2F21"/>
    <w:rsid w:val="00AA43B8"/>
    <w:rsid w:val="00AA474C"/>
    <w:rsid w:val="00AA5132"/>
    <w:rsid w:val="00AA5694"/>
    <w:rsid w:val="00AA57E3"/>
    <w:rsid w:val="00AA6DC3"/>
    <w:rsid w:val="00AA6F68"/>
    <w:rsid w:val="00AA713C"/>
    <w:rsid w:val="00AA7605"/>
    <w:rsid w:val="00AA77C9"/>
    <w:rsid w:val="00AB104B"/>
    <w:rsid w:val="00AB1226"/>
    <w:rsid w:val="00AB182D"/>
    <w:rsid w:val="00AB1E5D"/>
    <w:rsid w:val="00AB22CE"/>
    <w:rsid w:val="00AB46DA"/>
    <w:rsid w:val="00AB56D7"/>
    <w:rsid w:val="00AB6814"/>
    <w:rsid w:val="00AB71B4"/>
    <w:rsid w:val="00AC43FF"/>
    <w:rsid w:val="00AC4E9E"/>
    <w:rsid w:val="00AC6A1D"/>
    <w:rsid w:val="00AD0710"/>
    <w:rsid w:val="00AD0898"/>
    <w:rsid w:val="00AD0E46"/>
    <w:rsid w:val="00AD195A"/>
    <w:rsid w:val="00AD1B4B"/>
    <w:rsid w:val="00AD260C"/>
    <w:rsid w:val="00AD29DA"/>
    <w:rsid w:val="00AD3452"/>
    <w:rsid w:val="00AD484B"/>
    <w:rsid w:val="00AD69F8"/>
    <w:rsid w:val="00AD79A9"/>
    <w:rsid w:val="00AE2114"/>
    <w:rsid w:val="00AE214A"/>
    <w:rsid w:val="00AE24B0"/>
    <w:rsid w:val="00AE30D0"/>
    <w:rsid w:val="00AE39A6"/>
    <w:rsid w:val="00AE4C5D"/>
    <w:rsid w:val="00AE6F7E"/>
    <w:rsid w:val="00AE7287"/>
    <w:rsid w:val="00AF1CA7"/>
    <w:rsid w:val="00AF1DBB"/>
    <w:rsid w:val="00AF3738"/>
    <w:rsid w:val="00AF3A2E"/>
    <w:rsid w:val="00AF4B02"/>
    <w:rsid w:val="00AF4EE0"/>
    <w:rsid w:val="00AF5DB9"/>
    <w:rsid w:val="00AF5F65"/>
    <w:rsid w:val="00AF669F"/>
    <w:rsid w:val="00AF7F1C"/>
    <w:rsid w:val="00B00A59"/>
    <w:rsid w:val="00B01921"/>
    <w:rsid w:val="00B0286D"/>
    <w:rsid w:val="00B037B9"/>
    <w:rsid w:val="00B03D5F"/>
    <w:rsid w:val="00B04549"/>
    <w:rsid w:val="00B05770"/>
    <w:rsid w:val="00B0758E"/>
    <w:rsid w:val="00B077D4"/>
    <w:rsid w:val="00B1111F"/>
    <w:rsid w:val="00B11C74"/>
    <w:rsid w:val="00B1305D"/>
    <w:rsid w:val="00B13188"/>
    <w:rsid w:val="00B134A3"/>
    <w:rsid w:val="00B13EA7"/>
    <w:rsid w:val="00B14CB8"/>
    <w:rsid w:val="00B15ECD"/>
    <w:rsid w:val="00B16FAA"/>
    <w:rsid w:val="00B1716C"/>
    <w:rsid w:val="00B17ECD"/>
    <w:rsid w:val="00B202B4"/>
    <w:rsid w:val="00B20883"/>
    <w:rsid w:val="00B20996"/>
    <w:rsid w:val="00B20A99"/>
    <w:rsid w:val="00B20C3A"/>
    <w:rsid w:val="00B21041"/>
    <w:rsid w:val="00B22568"/>
    <w:rsid w:val="00B2269F"/>
    <w:rsid w:val="00B22CA8"/>
    <w:rsid w:val="00B22E05"/>
    <w:rsid w:val="00B23882"/>
    <w:rsid w:val="00B2474D"/>
    <w:rsid w:val="00B24877"/>
    <w:rsid w:val="00B255D1"/>
    <w:rsid w:val="00B2582C"/>
    <w:rsid w:val="00B25A00"/>
    <w:rsid w:val="00B25BAD"/>
    <w:rsid w:val="00B25CF4"/>
    <w:rsid w:val="00B263E7"/>
    <w:rsid w:val="00B27894"/>
    <w:rsid w:val="00B300B9"/>
    <w:rsid w:val="00B30CB5"/>
    <w:rsid w:val="00B30D38"/>
    <w:rsid w:val="00B31B8F"/>
    <w:rsid w:val="00B32200"/>
    <w:rsid w:val="00B32E56"/>
    <w:rsid w:val="00B331CE"/>
    <w:rsid w:val="00B33893"/>
    <w:rsid w:val="00B33F7F"/>
    <w:rsid w:val="00B347F2"/>
    <w:rsid w:val="00B34D5C"/>
    <w:rsid w:val="00B35594"/>
    <w:rsid w:val="00B35992"/>
    <w:rsid w:val="00B404DE"/>
    <w:rsid w:val="00B4079E"/>
    <w:rsid w:val="00B40851"/>
    <w:rsid w:val="00B40C6E"/>
    <w:rsid w:val="00B415D4"/>
    <w:rsid w:val="00B43837"/>
    <w:rsid w:val="00B43A0F"/>
    <w:rsid w:val="00B43A2C"/>
    <w:rsid w:val="00B44909"/>
    <w:rsid w:val="00B457DC"/>
    <w:rsid w:val="00B47894"/>
    <w:rsid w:val="00B47DE5"/>
    <w:rsid w:val="00B5080F"/>
    <w:rsid w:val="00B516D8"/>
    <w:rsid w:val="00B53C7B"/>
    <w:rsid w:val="00B53E15"/>
    <w:rsid w:val="00B5434D"/>
    <w:rsid w:val="00B549DE"/>
    <w:rsid w:val="00B54DEE"/>
    <w:rsid w:val="00B55225"/>
    <w:rsid w:val="00B554DE"/>
    <w:rsid w:val="00B57628"/>
    <w:rsid w:val="00B60ACE"/>
    <w:rsid w:val="00B60EE3"/>
    <w:rsid w:val="00B6187F"/>
    <w:rsid w:val="00B618B9"/>
    <w:rsid w:val="00B62187"/>
    <w:rsid w:val="00B623A0"/>
    <w:rsid w:val="00B6256D"/>
    <w:rsid w:val="00B625FA"/>
    <w:rsid w:val="00B62BC1"/>
    <w:rsid w:val="00B63143"/>
    <w:rsid w:val="00B64CB5"/>
    <w:rsid w:val="00B65F64"/>
    <w:rsid w:val="00B670BE"/>
    <w:rsid w:val="00B67A27"/>
    <w:rsid w:val="00B70538"/>
    <w:rsid w:val="00B71E86"/>
    <w:rsid w:val="00B74093"/>
    <w:rsid w:val="00B75B00"/>
    <w:rsid w:val="00B75B7B"/>
    <w:rsid w:val="00B77C4D"/>
    <w:rsid w:val="00B80075"/>
    <w:rsid w:val="00B80D4A"/>
    <w:rsid w:val="00B81628"/>
    <w:rsid w:val="00B82880"/>
    <w:rsid w:val="00B873AF"/>
    <w:rsid w:val="00B9100C"/>
    <w:rsid w:val="00B9305B"/>
    <w:rsid w:val="00B939B8"/>
    <w:rsid w:val="00B94921"/>
    <w:rsid w:val="00B94C1C"/>
    <w:rsid w:val="00B95241"/>
    <w:rsid w:val="00B95D58"/>
    <w:rsid w:val="00B96B7F"/>
    <w:rsid w:val="00B96E20"/>
    <w:rsid w:val="00B96FD6"/>
    <w:rsid w:val="00B97FB4"/>
    <w:rsid w:val="00BA214A"/>
    <w:rsid w:val="00BA49B1"/>
    <w:rsid w:val="00BA4B96"/>
    <w:rsid w:val="00BA4D84"/>
    <w:rsid w:val="00BA5065"/>
    <w:rsid w:val="00BA64EE"/>
    <w:rsid w:val="00BA682E"/>
    <w:rsid w:val="00BA7816"/>
    <w:rsid w:val="00BB15F7"/>
    <w:rsid w:val="00BB1A4E"/>
    <w:rsid w:val="00BB200B"/>
    <w:rsid w:val="00BB2D0D"/>
    <w:rsid w:val="00BB2EFD"/>
    <w:rsid w:val="00BB4E39"/>
    <w:rsid w:val="00BB69BD"/>
    <w:rsid w:val="00BB72FC"/>
    <w:rsid w:val="00BC1B55"/>
    <w:rsid w:val="00BC3665"/>
    <w:rsid w:val="00BC403B"/>
    <w:rsid w:val="00BC4255"/>
    <w:rsid w:val="00BC488B"/>
    <w:rsid w:val="00BC48E7"/>
    <w:rsid w:val="00BC4AF6"/>
    <w:rsid w:val="00BC4BCA"/>
    <w:rsid w:val="00BC568A"/>
    <w:rsid w:val="00BC6020"/>
    <w:rsid w:val="00BC653C"/>
    <w:rsid w:val="00BC65CC"/>
    <w:rsid w:val="00BC7FF3"/>
    <w:rsid w:val="00BD12BF"/>
    <w:rsid w:val="00BD1726"/>
    <w:rsid w:val="00BD1F2D"/>
    <w:rsid w:val="00BD3C83"/>
    <w:rsid w:val="00BD3FB2"/>
    <w:rsid w:val="00BD4067"/>
    <w:rsid w:val="00BD5E24"/>
    <w:rsid w:val="00BD76AB"/>
    <w:rsid w:val="00BD7890"/>
    <w:rsid w:val="00BE057F"/>
    <w:rsid w:val="00BE0B0B"/>
    <w:rsid w:val="00BE2085"/>
    <w:rsid w:val="00BE2088"/>
    <w:rsid w:val="00BE3A1E"/>
    <w:rsid w:val="00BE41DF"/>
    <w:rsid w:val="00BE4200"/>
    <w:rsid w:val="00BE49AD"/>
    <w:rsid w:val="00BE5752"/>
    <w:rsid w:val="00BE6546"/>
    <w:rsid w:val="00BE675A"/>
    <w:rsid w:val="00BE7FB6"/>
    <w:rsid w:val="00BF154E"/>
    <w:rsid w:val="00BF2308"/>
    <w:rsid w:val="00BF3AA5"/>
    <w:rsid w:val="00BF57CF"/>
    <w:rsid w:val="00BF69C6"/>
    <w:rsid w:val="00BF7D4C"/>
    <w:rsid w:val="00BF7FD0"/>
    <w:rsid w:val="00C0029F"/>
    <w:rsid w:val="00C00841"/>
    <w:rsid w:val="00C04500"/>
    <w:rsid w:val="00C04A3F"/>
    <w:rsid w:val="00C04B74"/>
    <w:rsid w:val="00C0538E"/>
    <w:rsid w:val="00C05882"/>
    <w:rsid w:val="00C05B41"/>
    <w:rsid w:val="00C05D53"/>
    <w:rsid w:val="00C06872"/>
    <w:rsid w:val="00C10865"/>
    <w:rsid w:val="00C110D9"/>
    <w:rsid w:val="00C11432"/>
    <w:rsid w:val="00C11C9E"/>
    <w:rsid w:val="00C12C83"/>
    <w:rsid w:val="00C132D8"/>
    <w:rsid w:val="00C137F8"/>
    <w:rsid w:val="00C13864"/>
    <w:rsid w:val="00C13D6D"/>
    <w:rsid w:val="00C140D7"/>
    <w:rsid w:val="00C15EA7"/>
    <w:rsid w:val="00C176CC"/>
    <w:rsid w:val="00C17BA2"/>
    <w:rsid w:val="00C21C7B"/>
    <w:rsid w:val="00C21E24"/>
    <w:rsid w:val="00C228E2"/>
    <w:rsid w:val="00C23995"/>
    <w:rsid w:val="00C23A42"/>
    <w:rsid w:val="00C267BD"/>
    <w:rsid w:val="00C26809"/>
    <w:rsid w:val="00C26BE3"/>
    <w:rsid w:val="00C30A2E"/>
    <w:rsid w:val="00C30D57"/>
    <w:rsid w:val="00C31F1E"/>
    <w:rsid w:val="00C32288"/>
    <w:rsid w:val="00C322BA"/>
    <w:rsid w:val="00C32997"/>
    <w:rsid w:val="00C32DE3"/>
    <w:rsid w:val="00C33127"/>
    <w:rsid w:val="00C33A3F"/>
    <w:rsid w:val="00C348F8"/>
    <w:rsid w:val="00C34939"/>
    <w:rsid w:val="00C35A84"/>
    <w:rsid w:val="00C35FC3"/>
    <w:rsid w:val="00C37271"/>
    <w:rsid w:val="00C40FC4"/>
    <w:rsid w:val="00C41671"/>
    <w:rsid w:val="00C44C73"/>
    <w:rsid w:val="00C44D81"/>
    <w:rsid w:val="00C4532C"/>
    <w:rsid w:val="00C454BC"/>
    <w:rsid w:val="00C458B0"/>
    <w:rsid w:val="00C46681"/>
    <w:rsid w:val="00C46F4B"/>
    <w:rsid w:val="00C508A3"/>
    <w:rsid w:val="00C508DB"/>
    <w:rsid w:val="00C5144D"/>
    <w:rsid w:val="00C51894"/>
    <w:rsid w:val="00C51ACF"/>
    <w:rsid w:val="00C51D49"/>
    <w:rsid w:val="00C5247A"/>
    <w:rsid w:val="00C52487"/>
    <w:rsid w:val="00C533CF"/>
    <w:rsid w:val="00C53C27"/>
    <w:rsid w:val="00C54082"/>
    <w:rsid w:val="00C54FA0"/>
    <w:rsid w:val="00C55F08"/>
    <w:rsid w:val="00C6082A"/>
    <w:rsid w:val="00C609C0"/>
    <w:rsid w:val="00C6149F"/>
    <w:rsid w:val="00C6226B"/>
    <w:rsid w:val="00C62327"/>
    <w:rsid w:val="00C62C21"/>
    <w:rsid w:val="00C631E1"/>
    <w:rsid w:val="00C63416"/>
    <w:rsid w:val="00C65D1E"/>
    <w:rsid w:val="00C668DF"/>
    <w:rsid w:val="00C673EE"/>
    <w:rsid w:val="00C67AF5"/>
    <w:rsid w:val="00C70203"/>
    <w:rsid w:val="00C7200E"/>
    <w:rsid w:val="00C72979"/>
    <w:rsid w:val="00C73B2D"/>
    <w:rsid w:val="00C73FC5"/>
    <w:rsid w:val="00C7472C"/>
    <w:rsid w:val="00C7515F"/>
    <w:rsid w:val="00C75933"/>
    <w:rsid w:val="00C76490"/>
    <w:rsid w:val="00C80535"/>
    <w:rsid w:val="00C80BE7"/>
    <w:rsid w:val="00C82A32"/>
    <w:rsid w:val="00C8343D"/>
    <w:rsid w:val="00C83B9E"/>
    <w:rsid w:val="00C84A23"/>
    <w:rsid w:val="00C8523C"/>
    <w:rsid w:val="00C85ECE"/>
    <w:rsid w:val="00C91561"/>
    <w:rsid w:val="00C91D7E"/>
    <w:rsid w:val="00C93399"/>
    <w:rsid w:val="00C93BFB"/>
    <w:rsid w:val="00C95F39"/>
    <w:rsid w:val="00C96D5E"/>
    <w:rsid w:val="00C96FFE"/>
    <w:rsid w:val="00C9770D"/>
    <w:rsid w:val="00C97EF7"/>
    <w:rsid w:val="00CA0190"/>
    <w:rsid w:val="00CA0F07"/>
    <w:rsid w:val="00CA37A1"/>
    <w:rsid w:val="00CA40E4"/>
    <w:rsid w:val="00CA47DA"/>
    <w:rsid w:val="00CA69BE"/>
    <w:rsid w:val="00CA726C"/>
    <w:rsid w:val="00CA734A"/>
    <w:rsid w:val="00CA769B"/>
    <w:rsid w:val="00CB06B9"/>
    <w:rsid w:val="00CB0A39"/>
    <w:rsid w:val="00CB1A33"/>
    <w:rsid w:val="00CB1ED9"/>
    <w:rsid w:val="00CB2040"/>
    <w:rsid w:val="00CB2114"/>
    <w:rsid w:val="00CB23E9"/>
    <w:rsid w:val="00CB2708"/>
    <w:rsid w:val="00CB2A46"/>
    <w:rsid w:val="00CB35A9"/>
    <w:rsid w:val="00CB667A"/>
    <w:rsid w:val="00CB6828"/>
    <w:rsid w:val="00CB73D7"/>
    <w:rsid w:val="00CC02D0"/>
    <w:rsid w:val="00CC1376"/>
    <w:rsid w:val="00CC1977"/>
    <w:rsid w:val="00CC22CB"/>
    <w:rsid w:val="00CC23AE"/>
    <w:rsid w:val="00CC2DEC"/>
    <w:rsid w:val="00CC39CF"/>
    <w:rsid w:val="00CC3D8E"/>
    <w:rsid w:val="00CC53D7"/>
    <w:rsid w:val="00CC570A"/>
    <w:rsid w:val="00CC573F"/>
    <w:rsid w:val="00CC5DB2"/>
    <w:rsid w:val="00CC6220"/>
    <w:rsid w:val="00CD2512"/>
    <w:rsid w:val="00CD2E2B"/>
    <w:rsid w:val="00CD37C4"/>
    <w:rsid w:val="00CD45C3"/>
    <w:rsid w:val="00CD47AB"/>
    <w:rsid w:val="00CD4DAE"/>
    <w:rsid w:val="00CD4E04"/>
    <w:rsid w:val="00CD4EAF"/>
    <w:rsid w:val="00CD5401"/>
    <w:rsid w:val="00CD57F8"/>
    <w:rsid w:val="00CD69BF"/>
    <w:rsid w:val="00CD70DE"/>
    <w:rsid w:val="00CD75B7"/>
    <w:rsid w:val="00CD7E45"/>
    <w:rsid w:val="00CE0C81"/>
    <w:rsid w:val="00CE1433"/>
    <w:rsid w:val="00CE1E27"/>
    <w:rsid w:val="00CE2A60"/>
    <w:rsid w:val="00CE2D92"/>
    <w:rsid w:val="00CE2EF8"/>
    <w:rsid w:val="00CE3671"/>
    <w:rsid w:val="00CE3ECB"/>
    <w:rsid w:val="00CE4379"/>
    <w:rsid w:val="00CE544E"/>
    <w:rsid w:val="00CE75FF"/>
    <w:rsid w:val="00CE7A27"/>
    <w:rsid w:val="00CE7C27"/>
    <w:rsid w:val="00CF0ABC"/>
    <w:rsid w:val="00CF1083"/>
    <w:rsid w:val="00CF1391"/>
    <w:rsid w:val="00CF1D39"/>
    <w:rsid w:val="00CF2072"/>
    <w:rsid w:val="00CF23A0"/>
    <w:rsid w:val="00CF2F3B"/>
    <w:rsid w:val="00CF3B39"/>
    <w:rsid w:val="00CF3DBE"/>
    <w:rsid w:val="00CF459D"/>
    <w:rsid w:val="00CF46C8"/>
    <w:rsid w:val="00CF4E63"/>
    <w:rsid w:val="00CF5A26"/>
    <w:rsid w:val="00CF7041"/>
    <w:rsid w:val="00CF7AC2"/>
    <w:rsid w:val="00D007DD"/>
    <w:rsid w:val="00D00F0C"/>
    <w:rsid w:val="00D02B68"/>
    <w:rsid w:val="00D02DBE"/>
    <w:rsid w:val="00D037E5"/>
    <w:rsid w:val="00D03F1B"/>
    <w:rsid w:val="00D04D0C"/>
    <w:rsid w:val="00D04F04"/>
    <w:rsid w:val="00D051FD"/>
    <w:rsid w:val="00D06438"/>
    <w:rsid w:val="00D0691F"/>
    <w:rsid w:val="00D07311"/>
    <w:rsid w:val="00D075BE"/>
    <w:rsid w:val="00D10559"/>
    <w:rsid w:val="00D105A0"/>
    <w:rsid w:val="00D11363"/>
    <w:rsid w:val="00D11CD8"/>
    <w:rsid w:val="00D1294D"/>
    <w:rsid w:val="00D150C5"/>
    <w:rsid w:val="00D17D52"/>
    <w:rsid w:val="00D210BE"/>
    <w:rsid w:val="00D21214"/>
    <w:rsid w:val="00D224F9"/>
    <w:rsid w:val="00D236C8"/>
    <w:rsid w:val="00D24729"/>
    <w:rsid w:val="00D24795"/>
    <w:rsid w:val="00D25684"/>
    <w:rsid w:val="00D25B3E"/>
    <w:rsid w:val="00D26E2C"/>
    <w:rsid w:val="00D30EA2"/>
    <w:rsid w:val="00D31133"/>
    <w:rsid w:val="00D32AF1"/>
    <w:rsid w:val="00D333E5"/>
    <w:rsid w:val="00D334BB"/>
    <w:rsid w:val="00D3377E"/>
    <w:rsid w:val="00D35062"/>
    <w:rsid w:val="00D35A33"/>
    <w:rsid w:val="00D35B1C"/>
    <w:rsid w:val="00D37C1A"/>
    <w:rsid w:val="00D40150"/>
    <w:rsid w:val="00D40337"/>
    <w:rsid w:val="00D4048E"/>
    <w:rsid w:val="00D406C6"/>
    <w:rsid w:val="00D41E7D"/>
    <w:rsid w:val="00D435A3"/>
    <w:rsid w:val="00D43E53"/>
    <w:rsid w:val="00D44503"/>
    <w:rsid w:val="00D44AEF"/>
    <w:rsid w:val="00D469B0"/>
    <w:rsid w:val="00D46B2E"/>
    <w:rsid w:val="00D47478"/>
    <w:rsid w:val="00D5078D"/>
    <w:rsid w:val="00D514F9"/>
    <w:rsid w:val="00D521A0"/>
    <w:rsid w:val="00D52D42"/>
    <w:rsid w:val="00D52E40"/>
    <w:rsid w:val="00D5420E"/>
    <w:rsid w:val="00D54858"/>
    <w:rsid w:val="00D555FC"/>
    <w:rsid w:val="00D569F7"/>
    <w:rsid w:val="00D574A0"/>
    <w:rsid w:val="00D57B40"/>
    <w:rsid w:val="00D6050D"/>
    <w:rsid w:val="00D60763"/>
    <w:rsid w:val="00D61660"/>
    <w:rsid w:val="00D620C3"/>
    <w:rsid w:val="00D62D88"/>
    <w:rsid w:val="00D659DE"/>
    <w:rsid w:val="00D675C8"/>
    <w:rsid w:val="00D67778"/>
    <w:rsid w:val="00D7037E"/>
    <w:rsid w:val="00D719BA"/>
    <w:rsid w:val="00D71E84"/>
    <w:rsid w:val="00D72D69"/>
    <w:rsid w:val="00D739D5"/>
    <w:rsid w:val="00D73B1C"/>
    <w:rsid w:val="00D73C2A"/>
    <w:rsid w:val="00D7666A"/>
    <w:rsid w:val="00D77314"/>
    <w:rsid w:val="00D777AC"/>
    <w:rsid w:val="00D804EF"/>
    <w:rsid w:val="00D8168B"/>
    <w:rsid w:val="00D822D6"/>
    <w:rsid w:val="00D83697"/>
    <w:rsid w:val="00D844BD"/>
    <w:rsid w:val="00D84AC2"/>
    <w:rsid w:val="00D854C9"/>
    <w:rsid w:val="00D85737"/>
    <w:rsid w:val="00D85A5D"/>
    <w:rsid w:val="00D86528"/>
    <w:rsid w:val="00D866B8"/>
    <w:rsid w:val="00D90BE5"/>
    <w:rsid w:val="00D90BFF"/>
    <w:rsid w:val="00D929F6"/>
    <w:rsid w:val="00D94067"/>
    <w:rsid w:val="00D948E6"/>
    <w:rsid w:val="00D94AFB"/>
    <w:rsid w:val="00D94F9B"/>
    <w:rsid w:val="00D958E5"/>
    <w:rsid w:val="00D95B5E"/>
    <w:rsid w:val="00D966DC"/>
    <w:rsid w:val="00DA0FDE"/>
    <w:rsid w:val="00DA323D"/>
    <w:rsid w:val="00DA3590"/>
    <w:rsid w:val="00DA3C87"/>
    <w:rsid w:val="00DA4933"/>
    <w:rsid w:val="00DA4C40"/>
    <w:rsid w:val="00DA61F1"/>
    <w:rsid w:val="00DA6207"/>
    <w:rsid w:val="00DA6659"/>
    <w:rsid w:val="00DA6E9B"/>
    <w:rsid w:val="00DB0035"/>
    <w:rsid w:val="00DB0736"/>
    <w:rsid w:val="00DB0E69"/>
    <w:rsid w:val="00DB1815"/>
    <w:rsid w:val="00DB1944"/>
    <w:rsid w:val="00DB2F84"/>
    <w:rsid w:val="00DB51AD"/>
    <w:rsid w:val="00DB5CB8"/>
    <w:rsid w:val="00DC13A1"/>
    <w:rsid w:val="00DC13FE"/>
    <w:rsid w:val="00DC18D7"/>
    <w:rsid w:val="00DC30FB"/>
    <w:rsid w:val="00DC320E"/>
    <w:rsid w:val="00DC367A"/>
    <w:rsid w:val="00DC3F14"/>
    <w:rsid w:val="00DC5A60"/>
    <w:rsid w:val="00DC5C2A"/>
    <w:rsid w:val="00DC5D8B"/>
    <w:rsid w:val="00DC6378"/>
    <w:rsid w:val="00DD075A"/>
    <w:rsid w:val="00DD1A03"/>
    <w:rsid w:val="00DD3049"/>
    <w:rsid w:val="00DD3085"/>
    <w:rsid w:val="00DD3A96"/>
    <w:rsid w:val="00DD3FD2"/>
    <w:rsid w:val="00DD4098"/>
    <w:rsid w:val="00DD4DA4"/>
    <w:rsid w:val="00DD52C3"/>
    <w:rsid w:val="00DD5585"/>
    <w:rsid w:val="00DD6814"/>
    <w:rsid w:val="00DD6CDA"/>
    <w:rsid w:val="00DE01B2"/>
    <w:rsid w:val="00DE0356"/>
    <w:rsid w:val="00DE0916"/>
    <w:rsid w:val="00DE3B05"/>
    <w:rsid w:val="00DE4A43"/>
    <w:rsid w:val="00DE571D"/>
    <w:rsid w:val="00DE6A70"/>
    <w:rsid w:val="00DE7A4B"/>
    <w:rsid w:val="00DF0C67"/>
    <w:rsid w:val="00DF3076"/>
    <w:rsid w:val="00DF390D"/>
    <w:rsid w:val="00DF43C8"/>
    <w:rsid w:val="00DF5083"/>
    <w:rsid w:val="00DF7020"/>
    <w:rsid w:val="00DF76DB"/>
    <w:rsid w:val="00E00E43"/>
    <w:rsid w:val="00E020A4"/>
    <w:rsid w:val="00E03D16"/>
    <w:rsid w:val="00E04172"/>
    <w:rsid w:val="00E043DB"/>
    <w:rsid w:val="00E05138"/>
    <w:rsid w:val="00E061D6"/>
    <w:rsid w:val="00E066A1"/>
    <w:rsid w:val="00E07B12"/>
    <w:rsid w:val="00E10557"/>
    <w:rsid w:val="00E1151A"/>
    <w:rsid w:val="00E115E7"/>
    <w:rsid w:val="00E11CF4"/>
    <w:rsid w:val="00E1213F"/>
    <w:rsid w:val="00E1218A"/>
    <w:rsid w:val="00E128AD"/>
    <w:rsid w:val="00E12B93"/>
    <w:rsid w:val="00E12E03"/>
    <w:rsid w:val="00E13C05"/>
    <w:rsid w:val="00E144CE"/>
    <w:rsid w:val="00E17717"/>
    <w:rsid w:val="00E17BB3"/>
    <w:rsid w:val="00E17E26"/>
    <w:rsid w:val="00E20461"/>
    <w:rsid w:val="00E21BC0"/>
    <w:rsid w:val="00E22484"/>
    <w:rsid w:val="00E22C2B"/>
    <w:rsid w:val="00E231BF"/>
    <w:rsid w:val="00E23363"/>
    <w:rsid w:val="00E253AE"/>
    <w:rsid w:val="00E256DF"/>
    <w:rsid w:val="00E26288"/>
    <w:rsid w:val="00E27B43"/>
    <w:rsid w:val="00E30734"/>
    <w:rsid w:val="00E33339"/>
    <w:rsid w:val="00E3457C"/>
    <w:rsid w:val="00E347EA"/>
    <w:rsid w:val="00E354DB"/>
    <w:rsid w:val="00E364F4"/>
    <w:rsid w:val="00E36685"/>
    <w:rsid w:val="00E36C41"/>
    <w:rsid w:val="00E41E44"/>
    <w:rsid w:val="00E42D94"/>
    <w:rsid w:val="00E45067"/>
    <w:rsid w:val="00E45821"/>
    <w:rsid w:val="00E45BBF"/>
    <w:rsid w:val="00E47279"/>
    <w:rsid w:val="00E47BE7"/>
    <w:rsid w:val="00E515C9"/>
    <w:rsid w:val="00E5297B"/>
    <w:rsid w:val="00E52A09"/>
    <w:rsid w:val="00E52B4F"/>
    <w:rsid w:val="00E52E0A"/>
    <w:rsid w:val="00E54CFA"/>
    <w:rsid w:val="00E55CDF"/>
    <w:rsid w:val="00E562D1"/>
    <w:rsid w:val="00E568C8"/>
    <w:rsid w:val="00E571D2"/>
    <w:rsid w:val="00E57622"/>
    <w:rsid w:val="00E579D5"/>
    <w:rsid w:val="00E6008A"/>
    <w:rsid w:val="00E60AC6"/>
    <w:rsid w:val="00E60FD1"/>
    <w:rsid w:val="00E61B7D"/>
    <w:rsid w:val="00E622C8"/>
    <w:rsid w:val="00E65A7C"/>
    <w:rsid w:val="00E663FB"/>
    <w:rsid w:val="00E67130"/>
    <w:rsid w:val="00E6739C"/>
    <w:rsid w:val="00E67C1F"/>
    <w:rsid w:val="00E7040B"/>
    <w:rsid w:val="00E71576"/>
    <w:rsid w:val="00E71F50"/>
    <w:rsid w:val="00E721D0"/>
    <w:rsid w:val="00E73586"/>
    <w:rsid w:val="00E737DB"/>
    <w:rsid w:val="00E75C34"/>
    <w:rsid w:val="00E76D2F"/>
    <w:rsid w:val="00E77D6C"/>
    <w:rsid w:val="00E807F6"/>
    <w:rsid w:val="00E8090B"/>
    <w:rsid w:val="00E816C4"/>
    <w:rsid w:val="00E81D0B"/>
    <w:rsid w:val="00E83002"/>
    <w:rsid w:val="00E848C3"/>
    <w:rsid w:val="00E85039"/>
    <w:rsid w:val="00E85F74"/>
    <w:rsid w:val="00E87B03"/>
    <w:rsid w:val="00E87E6A"/>
    <w:rsid w:val="00E912BD"/>
    <w:rsid w:val="00E920BE"/>
    <w:rsid w:val="00E920F7"/>
    <w:rsid w:val="00E92975"/>
    <w:rsid w:val="00E9430E"/>
    <w:rsid w:val="00E946A5"/>
    <w:rsid w:val="00E94B3D"/>
    <w:rsid w:val="00E979C3"/>
    <w:rsid w:val="00EA0B33"/>
    <w:rsid w:val="00EA2B05"/>
    <w:rsid w:val="00EA3671"/>
    <w:rsid w:val="00EA4EEE"/>
    <w:rsid w:val="00EA55C8"/>
    <w:rsid w:val="00EA6643"/>
    <w:rsid w:val="00EA6A49"/>
    <w:rsid w:val="00EA7303"/>
    <w:rsid w:val="00EB1E25"/>
    <w:rsid w:val="00EB2C04"/>
    <w:rsid w:val="00EB3843"/>
    <w:rsid w:val="00EB4D44"/>
    <w:rsid w:val="00EB55B1"/>
    <w:rsid w:val="00EB5652"/>
    <w:rsid w:val="00EB6E7F"/>
    <w:rsid w:val="00EC2A13"/>
    <w:rsid w:val="00EC3E0B"/>
    <w:rsid w:val="00EC552C"/>
    <w:rsid w:val="00EC5729"/>
    <w:rsid w:val="00EC6074"/>
    <w:rsid w:val="00EC62AD"/>
    <w:rsid w:val="00EC72DD"/>
    <w:rsid w:val="00EC74EF"/>
    <w:rsid w:val="00ED050E"/>
    <w:rsid w:val="00ED09FC"/>
    <w:rsid w:val="00ED1A54"/>
    <w:rsid w:val="00ED1FE5"/>
    <w:rsid w:val="00ED3F84"/>
    <w:rsid w:val="00ED4CCC"/>
    <w:rsid w:val="00ED4EEA"/>
    <w:rsid w:val="00ED4F13"/>
    <w:rsid w:val="00ED56B1"/>
    <w:rsid w:val="00ED6870"/>
    <w:rsid w:val="00ED746F"/>
    <w:rsid w:val="00EE1242"/>
    <w:rsid w:val="00EE256D"/>
    <w:rsid w:val="00EE2BBF"/>
    <w:rsid w:val="00EE3D8F"/>
    <w:rsid w:val="00EE5445"/>
    <w:rsid w:val="00EE5A05"/>
    <w:rsid w:val="00EE5A36"/>
    <w:rsid w:val="00EE62E7"/>
    <w:rsid w:val="00EE66F0"/>
    <w:rsid w:val="00EE6BFA"/>
    <w:rsid w:val="00EF0A7E"/>
    <w:rsid w:val="00EF15DB"/>
    <w:rsid w:val="00EF1882"/>
    <w:rsid w:val="00EF1F32"/>
    <w:rsid w:val="00EF2475"/>
    <w:rsid w:val="00EF2CBB"/>
    <w:rsid w:val="00EF3226"/>
    <w:rsid w:val="00EF4E9C"/>
    <w:rsid w:val="00EF5AF2"/>
    <w:rsid w:val="00EF6514"/>
    <w:rsid w:val="00EF6716"/>
    <w:rsid w:val="00EF731A"/>
    <w:rsid w:val="00EF77D6"/>
    <w:rsid w:val="00F00267"/>
    <w:rsid w:val="00F0047A"/>
    <w:rsid w:val="00F00901"/>
    <w:rsid w:val="00F02F11"/>
    <w:rsid w:val="00F037AB"/>
    <w:rsid w:val="00F06BCA"/>
    <w:rsid w:val="00F06DEB"/>
    <w:rsid w:val="00F071F4"/>
    <w:rsid w:val="00F0764D"/>
    <w:rsid w:val="00F07B34"/>
    <w:rsid w:val="00F07D01"/>
    <w:rsid w:val="00F10306"/>
    <w:rsid w:val="00F10CF1"/>
    <w:rsid w:val="00F11E46"/>
    <w:rsid w:val="00F1203E"/>
    <w:rsid w:val="00F1286A"/>
    <w:rsid w:val="00F13D94"/>
    <w:rsid w:val="00F14617"/>
    <w:rsid w:val="00F1481F"/>
    <w:rsid w:val="00F14B38"/>
    <w:rsid w:val="00F21707"/>
    <w:rsid w:val="00F21E5D"/>
    <w:rsid w:val="00F228A9"/>
    <w:rsid w:val="00F239EB"/>
    <w:rsid w:val="00F24356"/>
    <w:rsid w:val="00F248F1"/>
    <w:rsid w:val="00F26A2B"/>
    <w:rsid w:val="00F2797A"/>
    <w:rsid w:val="00F3050A"/>
    <w:rsid w:val="00F30A6A"/>
    <w:rsid w:val="00F3157B"/>
    <w:rsid w:val="00F31C66"/>
    <w:rsid w:val="00F33210"/>
    <w:rsid w:val="00F3496D"/>
    <w:rsid w:val="00F357B7"/>
    <w:rsid w:val="00F36578"/>
    <w:rsid w:val="00F36FD6"/>
    <w:rsid w:val="00F37CFD"/>
    <w:rsid w:val="00F41938"/>
    <w:rsid w:val="00F41E45"/>
    <w:rsid w:val="00F4244E"/>
    <w:rsid w:val="00F427FB"/>
    <w:rsid w:val="00F42A6B"/>
    <w:rsid w:val="00F4357B"/>
    <w:rsid w:val="00F43D13"/>
    <w:rsid w:val="00F443EC"/>
    <w:rsid w:val="00F466D8"/>
    <w:rsid w:val="00F46F45"/>
    <w:rsid w:val="00F47512"/>
    <w:rsid w:val="00F5075F"/>
    <w:rsid w:val="00F544A7"/>
    <w:rsid w:val="00F553B8"/>
    <w:rsid w:val="00F55C58"/>
    <w:rsid w:val="00F5605E"/>
    <w:rsid w:val="00F566B0"/>
    <w:rsid w:val="00F57A7D"/>
    <w:rsid w:val="00F60A2E"/>
    <w:rsid w:val="00F610D5"/>
    <w:rsid w:val="00F63294"/>
    <w:rsid w:val="00F6427D"/>
    <w:rsid w:val="00F65DE2"/>
    <w:rsid w:val="00F65FBB"/>
    <w:rsid w:val="00F70EE4"/>
    <w:rsid w:val="00F70F7A"/>
    <w:rsid w:val="00F71AF0"/>
    <w:rsid w:val="00F71DE6"/>
    <w:rsid w:val="00F72ADE"/>
    <w:rsid w:val="00F72E0C"/>
    <w:rsid w:val="00F73052"/>
    <w:rsid w:val="00F733BB"/>
    <w:rsid w:val="00F73893"/>
    <w:rsid w:val="00F73ACA"/>
    <w:rsid w:val="00F73B47"/>
    <w:rsid w:val="00F73CD0"/>
    <w:rsid w:val="00F74577"/>
    <w:rsid w:val="00F7461A"/>
    <w:rsid w:val="00F7582F"/>
    <w:rsid w:val="00F75E7C"/>
    <w:rsid w:val="00F760E9"/>
    <w:rsid w:val="00F76EB6"/>
    <w:rsid w:val="00F7731A"/>
    <w:rsid w:val="00F77581"/>
    <w:rsid w:val="00F77DE0"/>
    <w:rsid w:val="00F8002C"/>
    <w:rsid w:val="00F80326"/>
    <w:rsid w:val="00F8097D"/>
    <w:rsid w:val="00F80B8E"/>
    <w:rsid w:val="00F80FD9"/>
    <w:rsid w:val="00F81046"/>
    <w:rsid w:val="00F823B4"/>
    <w:rsid w:val="00F8299D"/>
    <w:rsid w:val="00F832A4"/>
    <w:rsid w:val="00F847A3"/>
    <w:rsid w:val="00F849C3"/>
    <w:rsid w:val="00F85577"/>
    <w:rsid w:val="00F856C2"/>
    <w:rsid w:val="00F8575E"/>
    <w:rsid w:val="00F86A8B"/>
    <w:rsid w:val="00F904D8"/>
    <w:rsid w:val="00F90DD4"/>
    <w:rsid w:val="00F9107F"/>
    <w:rsid w:val="00F914EE"/>
    <w:rsid w:val="00F91FF3"/>
    <w:rsid w:val="00F928B2"/>
    <w:rsid w:val="00F92D5B"/>
    <w:rsid w:val="00F934F1"/>
    <w:rsid w:val="00F956E0"/>
    <w:rsid w:val="00F96607"/>
    <w:rsid w:val="00F96622"/>
    <w:rsid w:val="00F9680F"/>
    <w:rsid w:val="00F971B6"/>
    <w:rsid w:val="00FA0000"/>
    <w:rsid w:val="00FA0772"/>
    <w:rsid w:val="00FA0A7F"/>
    <w:rsid w:val="00FA0F33"/>
    <w:rsid w:val="00FA13EA"/>
    <w:rsid w:val="00FA1426"/>
    <w:rsid w:val="00FA2915"/>
    <w:rsid w:val="00FA2E64"/>
    <w:rsid w:val="00FA3870"/>
    <w:rsid w:val="00FA3EEF"/>
    <w:rsid w:val="00FA42B4"/>
    <w:rsid w:val="00FA4F39"/>
    <w:rsid w:val="00FA6C28"/>
    <w:rsid w:val="00FA6ED3"/>
    <w:rsid w:val="00FB0047"/>
    <w:rsid w:val="00FB1E48"/>
    <w:rsid w:val="00FB26C8"/>
    <w:rsid w:val="00FB370A"/>
    <w:rsid w:val="00FB4631"/>
    <w:rsid w:val="00FB56D4"/>
    <w:rsid w:val="00FB5E99"/>
    <w:rsid w:val="00FB6AFA"/>
    <w:rsid w:val="00FB6CFD"/>
    <w:rsid w:val="00FB7130"/>
    <w:rsid w:val="00FB74C1"/>
    <w:rsid w:val="00FB75F5"/>
    <w:rsid w:val="00FC023B"/>
    <w:rsid w:val="00FC122F"/>
    <w:rsid w:val="00FC1709"/>
    <w:rsid w:val="00FC2FEB"/>
    <w:rsid w:val="00FC4470"/>
    <w:rsid w:val="00FC48F3"/>
    <w:rsid w:val="00FC512F"/>
    <w:rsid w:val="00FC57C3"/>
    <w:rsid w:val="00FC5DE8"/>
    <w:rsid w:val="00FC6572"/>
    <w:rsid w:val="00FC7C8B"/>
    <w:rsid w:val="00FD0D63"/>
    <w:rsid w:val="00FD266E"/>
    <w:rsid w:val="00FD361C"/>
    <w:rsid w:val="00FD4678"/>
    <w:rsid w:val="00FD56E6"/>
    <w:rsid w:val="00FD5E01"/>
    <w:rsid w:val="00FD615C"/>
    <w:rsid w:val="00FD6920"/>
    <w:rsid w:val="00FD6E35"/>
    <w:rsid w:val="00FD70D5"/>
    <w:rsid w:val="00FD717B"/>
    <w:rsid w:val="00FD7690"/>
    <w:rsid w:val="00FD7747"/>
    <w:rsid w:val="00FE017F"/>
    <w:rsid w:val="00FE03F7"/>
    <w:rsid w:val="00FE048D"/>
    <w:rsid w:val="00FE0905"/>
    <w:rsid w:val="00FE0C0B"/>
    <w:rsid w:val="00FE19F6"/>
    <w:rsid w:val="00FE2591"/>
    <w:rsid w:val="00FE4320"/>
    <w:rsid w:val="00FE44B1"/>
    <w:rsid w:val="00FE681D"/>
    <w:rsid w:val="00FF0296"/>
    <w:rsid w:val="00FF1F7D"/>
    <w:rsid w:val="00FF2775"/>
    <w:rsid w:val="00FF28CC"/>
    <w:rsid w:val="00FF2D54"/>
    <w:rsid w:val="00FF6125"/>
    <w:rsid w:val="00FF6315"/>
    <w:rsid w:val="00FF6D20"/>
    <w:rsid w:val="00FF7ACC"/>
    <w:rsid w:val="00FF7F35"/>
    <w:rsid w:val="013923AD"/>
    <w:rsid w:val="0174AE0E"/>
    <w:rsid w:val="018A2BD8"/>
    <w:rsid w:val="022286BC"/>
    <w:rsid w:val="02A1B185"/>
    <w:rsid w:val="03043941"/>
    <w:rsid w:val="03F30133"/>
    <w:rsid w:val="04AC9077"/>
    <w:rsid w:val="052F2FD1"/>
    <w:rsid w:val="05D13894"/>
    <w:rsid w:val="0608B35C"/>
    <w:rsid w:val="07B60388"/>
    <w:rsid w:val="07FF57C5"/>
    <w:rsid w:val="080892F9"/>
    <w:rsid w:val="084A00F8"/>
    <w:rsid w:val="08B3CE3D"/>
    <w:rsid w:val="08B6E17B"/>
    <w:rsid w:val="09239347"/>
    <w:rsid w:val="093C83BB"/>
    <w:rsid w:val="09745691"/>
    <w:rsid w:val="09818372"/>
    <w:rsid w:val="09A03A3B"/>
    <w:rsid w:val="0A09CF27"/>
    <w:rsid w:val="0A39D75F"/>
    <w:rsid w:val="0A7D0373"/>
    <w:rsid w:val="0A8D5F1F"/>
    <w:rsid w:val="0B75ABD8"/>
    <w:rsid w:val="0BD27920"/>
    <w:rsid w:val="0C577E4F"/>
    <w:rsid w:val="0C93DA6F"/>
    <w:rsid w:val="0CCD74F2"/>
    <w:rsid w:val="0CFE2414"/>
    <w:rsid w:val="0D2967F1"/>
    <w:rsid w:val="0D79B8F8"/>
    <w:rsid w:val="0DB18382"/>
    <w:rsid w:val="0E49BB90"/>
    <w:rsid w:val="0E5C6403"/>
    <w:rsid w:val="0EC023EE"/>
    <w:rsid w:val="0ED82E11"/>
    <w:rsid w:val="0FB9B464"/>
    <w:rsid w:val="100C219F"/>
    <w:rsid w:val="108DD021"/>
    <w:rsid w:val="10D2E2E4"/>
    <w:rsid w:val="10E40F63"/>
    <w:rsid w:val="110EFF18"/>
    <w:rsid w:val="11609C62"/>
    <w:rsid w:val="117BA2F5"/>
    <w:rsid w:val="131DBB6A"/>
    <w:rsid w:val="13270949"/>
    <w:rsid w:val="13E390A5"/>
    <w:rsid w:val="14252E89"/>
    <w:rsid w:val="1477E694"/>
    <w:rsid w:val="14D5613D"/>
    <w:rsid w:val="15BE7990"/>
    <w:rsid w:val="16710615"/>
    <w:rsid w:val="168AA29C"/>
    <w:rsid w:val="168E76D2"/>
    <w:rsid w:val="17AED103"/>
    <w:rsid w:val="183F6BC8"/>
    <w:rsid w:val="187D514B"/>
    <w:rsid w:val="193DE40B"/>
    <w:rsid w:val="1968784D"/>
    <w:rsid w:val="197D3293"/>
    <w:rsid w:val="198630C4"/>
    <w:rsid w:val="1A5A5E59"/>
    <w:rsid w:val="1ABC74B0"/>
    <w:rsid w:val="1BA31F49"/>
    <w:rsid w:val="1BE235EC"/>
    <w:rsid w:val="1CE513CD"/>
    <w:rsid w:val="1D311098"/>
    <w:rsid w:val="1D3DD59E"/>
    <w:rsid w:val="1DEB1332"/>
    <w:rsid w:val="1E3C2C6E"/>
    <w:rsid w:val="1E4FBF55"/>
    <w:rsid w:val="1EE49E03"/>
    <w:rsid w:val="1F83CB83"/>
    <w:rsid w:val="1F92A808"/>
    <w:rsid w:val="1FFD33F8"/>
    <w:rsid w:val="201D4818"/>
    <w:rsid w:val="202C541F"/>
    <w:rsid w:val="208F867F"/>
    <w:rsid w:val="22FD5D32"/>
    <w:rsid w:val="23793E73"/>
    <w:rsid w:val="23D1BD7D"/>
    <w:rsid w:val="23D23478"/>
    <w:rsid w:val="2527E7FA"/>
    <w:rsid w:val="267A97E5"/>
    <w:rsid w:val="26976D24"/>
    <w:rsid w:val="26A6D0C0"/>
    <w:rsid w:val="271E18EA"/>
    <w:rsid w:val="27528C25"/>
    <w:rsid w:val="2759114C"/>
    <w:rsid w:val="28546C55"/>
    <w:rsid w:val="28CC5261"/>
    <w:rsid w:val="28D142BE"/>
    <w:rsid w:val="29036C9F"/>
    <w:rsid w:val="29DC61FF"/>
    <w:rsid w:val="29E1A754"/>
    <w:rsid w:val="2A212A64"/>
    <w:rsid w:val="2A69A46F"/>
    <w:rsid w:val="2C4A6595"/>
    <w:rsid w:val="2D1E0A15"/>
    <w:rsid w:val="2D2D4862"/>
    <w:rsid w:val="2D957F71"/>
    <w:rsid w:val="2DC6F999"/>
    <w:rsid w:val="2EDE9426"/>
    <w:rsid w:val="2EE85765"/>
    <w:rsid w:val="2F314894"/>
    <w:rsid w:val="2F3C4810"/>
    <w:rsid w:val="2F48FDAF"/>
    <w:rsid w:val="2FAABCC0"/>
    <w:rsid w:val="2FC4336E"/>
    <w:rsid w:val="307C46DC"/>
    <w:rsid w:val="31414EFE"/>
    <w:rsid w:val="317F33CE"/>
    <w:rsid w:val="31E95577"/>
    <w:rsid w:val="3205826F"/>
    <w:rsid w:val="3225540A"/>
    <w:rsid w:val="3287E110"/>
    <w:rsid w:val="329681A5"/>
    <w:rsid w:val="3330B606"/>
    <w:rsid w:val="341D38D1"/>
    <w:rsid w:val="3545B5A5"/>
    <w:rsid w:val="35486B8A"/>
    <w:rsid w:val="35560CB2"/>
    <w:rsid w:val="356B665D"/>
    <w:rsid w:val="35C80EF8"/>
    <w:rsid w:val="368BBD63"/>
    <w:rsid w:val="36DD3022"/>
    <w:rsid w:val="38225FA0"/>
    <w:rsid w:val="391CACC5"/>
    <w:rsid w:val="39B3EB92"/>
    <w:rsid w:val="39C8DFAB"/>
    <w:rsid w:val="3A231F8E"/>
    <w:rsid w:val="3A5FAFF4"/>
    <w:rsid w:val="3A8FF5F0"/>
    <w:rsid w:val="3A910E7A"/>
    <w:rsid w:val="3B9E96B3"/>
    <w:rsid w:val="3BDEA91B"/>
    <w:rsid w:val="3C0B0A3F"/>
    <w:rsid w:val="3C3BF5CC"/>
    <w:rsid w:val="3CA07365"/>
    <w:rsid w:val="3DC4F36D"/>
    <w:rsid w:val="3EF2D63D"/>
    <w:rsid w:val="3F10EE7D"/>
    <w:rsid w:val="3F8A8C79"/>
    <w:rsid w:val="3F9A2E38"/>
    <w:rsid w:val="3FACBC76"/>
    <w:rsid w:val="3FE80CBE"/>
    <w:rsid w:val="401926F1"/>
    <w:rsid w:val="40863F36"/>
    <w:rsid w:val="40BABDE9"/>
    <w:rsid w:val="4191EC0E"/>
    <w:rsid w:val="41F09EE7"/>
    <w:rsid w:val="420F1A4A"/>
    <w:rsid w:val="42B4D2AA"/>
    <w:rsid w:val="43186C60"/>
    <w:rsid w:val="442FEC5A"/>
    <w:rsid w:val="44AAADC2"/>
    <w:rsid w:val="45258F7E"/>
    <w:rsid w:val="4570F9DE"/>
    <w:rsid w:val="457931C5"/>
    <w:rsid w:val="45C4A3ED"/>
    <w:rsid w:val="45FBDB97"/>
    <w:rsid w:val="47474755"/>
    <w:rsid w:val="47AE86EC"/>
    <w:rsid w:val="47F24C3A"/>
    <w:rsid w:val="4875FFCD"/>
    <w:rsid w:val="487CAA20"/>
    <w:rsid w:val="48CFB809"/>
    <w:rsid w:val="493FC7AE"/>
    <w:rsid w:val="496DC9FF"/>
    <w:rsid w:val="4AB300BC"/>
    <w:rsid w:val="4B157777"/>
    <w:rsid w:val="4BAB0F6F"/>
    <w:rsid w:val="4C228870"/>
    <w:rsid w:val="4C27D252"/>
    <w:rsid w:val="4C4A192C"/>
    <w:rsid w:val="4C93D799"/>
    <w:rsid w:val="4D0C7A81"/>
    <w:rsid w:val="4D259F71"/>
    <w:rsid w:val="4D5F47E1"/>
    <w:rsid w:val="4D99816F"/>
    <w:rsid w:val="4D9C66A2"/>
    <w:rsid w:val="4DB46DC7"/>
    <w:rsid w:val="4E012F27"/>
    <w:rsid w:val="4E10C84B"/>
    <w:rsid w:val="4E313191"/>
    <w:rsid w:val="4E9634AA"/>
    <w:rsid w:val="4EC0918A"/>
    <w:rsid w:val="4F18B3DA"/>
    <w:rsid w:val="4F276062"/>
    <w:rsid w:val="4FBDFC99"/>
    <w:rsid w:val="4FC36E90"/>
    <w:rsid w:val="502E4176"/>
    <w:rsid w:val="5043F2FE"/>
    <w:rsid w:val="50DB7507"/>
    <w:rsid w:val="511A610F"/>
    <w:rsid w:val="513FC2B4"/>
    <w:rsid w:val="5261F293"/>
    <w:rsid w:val="531532B4"/>
    <w:rsid w:val="531A222D"/>
    <w:rsid w:val="53A0FB47"/>
    <w:rsid w:val="5439FADB"/>
    <w:rsid w:val="5501860A"/>
    <w:rsid w:val="55387087"/>
    <w:rsid w:val="5542DF59"/>
    <w:rsid w:val="558628EB"/>
    <w:rsid w:val="563AB3A9"/>
    <w:rsid w:val="5691DC7B"/>
    <w:rsid w:val="56C18267"/>
    <w:rsid w:val="57665C31"/>
    <w:rsid w:val="57C84D70"/>
    <w:rsid w:val="58A0228E"/>
    <w:rsid w:val="58EB09F2"/>
    <w:rsid w:val="597BFB13"/>
    <w:rsid w:val="598B4A3B"/>
    <w:rsid w:val="5AA6221C"/>
    <w:rsid w:val="5AD11145"/>
    <w:rsid w:val="5AE1F908"/>
    <w:rsid w:val="5B7093E0"/>
    <w:rsid w:val="5BB215C7"/>
    <w:rsid w:val="5C94D09D"/>
    <w:rsid w:val="5CA13062"/>
    <w:rsid w:val="5CB25781"/>
    <w:rsid w:val="5D2A9505"/>
    <w:rsid w:val="5D5A2FB6"/>
    <w:rsid w:val="5D72C24D"/>
    <w:rsid w:val="5D927358"/>
    <w:rsid w:val="5DE4B9AE"/>
    <w:rsid w:val="5E840EBB"/>
    <w:rsid w:val="5E94AC25"/>
    <w:rsid w:val="5F0A089C"/>
    <w:rsid w:val="61464CE3"/>
    <w:rsid w:val="617A9629"/>
    <w:rsid w:val="61CC3A38"/>
    <w:rsid w:val="62D56B4D"/>
    <w:rsid w:val="62E722C0"/>
    <w:rsid w:val="63104DB8"/>
    <w:rsid w:val="63635751"/>
    <w:rsid w:val="63B88037"/>
    <w:rsid w:val="64407C31"/>
    <w:rsid w:val="6459DAD3"/>
    <w:rsid w:val="645C29B6"/>
    <w:rsid w:val="64778EA9"/>
    <w:rsid w:val="649F45CC"/>
    <w:rsid w:val="64F98D77"/>
    <w:rsid w:val="65470BC5"/>
    <w:rsid w:val="663B707A"/>
    <w:rsid w:val="66BE57D0"/>
    <w:rsid w:val="677B580D"/>
    <w:rsid w:val="68759F80"/>
    <w:rsid w:val="689FBB9F"/>
    <w:rsid w:val="68BE77E3"/>
    <w:rsid w:val="68F05847"/>
    <w:rsid w:val="697E99B0"/>
    <w:rsid w:val="699C75C0"/>
    <w:rsid w:val="6B0B1CB4"/>
    <w:rsid w:val="6B1AACA4"/>
    <w:rsid w:val="6B1EB8D5"/>
    <w:rsid w:val="6B578182"/>
    <w:rsid w:val="6B5E770E"/>
    <w:rsid w:val="6B88BF88"/>
    <w:rsid w:val="6BFD2E12"/>
    <w:rsid w:val="6C1B7A78"/>
    <w:rsid w:val="6C3966E0"/>
    <w:rsid w:val="6D0CE8B6"/>
    <w:rsid w:val="6DE65276"/>
    <w:rsid w:val="6E215998"/>
    <w:rsid w:val="6E3A678F"/>
    <w:rsid w:val="6E3A8395"/>
    <w:rsid w:val="6E61C978"/>
    <w:rsid w:val="6E89BDD7"/>
    <w:rsid w:val="6EC933DA"/>
    <w:rsid w:val="6F208427"/>
    <w:rsid w:val="6F67847E"/>
    <w:rsid w:val="702221A4"/>
    <w:rsid w:val="70CE705F"/>
    <w:rsid w:val="7124E86D"/>
    <w:rsid w:val="71B083C1"/>
    <w:rsid w:val="71CC9EC2"/>
    <w:rsid w:val="71DDE5B8"/>
    <w:rsid w:val="71FF2711"/>
    <w:rsid w:val="7272F93B"/>
    <w:rsid w:val="72FB4B18"/>
    <w:rsid w:val="73A5C563"/>
    <w:rsid w:val="7462C838"/>
    <w:rsid w:val="74CD7B72"/>
    <w:rsid w:val="76B375B4"/>
    <w:rsid w:val="7759F05F"/>
    <w:rsid w:val="78071129"/>
    <w:rsid w:val="78196CB0"/>
    <w:rsid w:val="7869D78A"/>
    <w:rsid w:val="7875080C"/>
    <w:rsid w:val="788DF00D"/>
    <w:rsid w:val="78A23E8B"/>
    <w:rsid w:val="78AAB823"/>
    <w:rsid w:val="797869C7"/>
    <w:rsid w:val="7A3CA1DA"/>
    <w:rsid w:val="7A58DD7C"/>
    <w:rsid w:val="7AB3BEF6"/>
    <w:rsid w:val="7ABA23A6"/>
    <w:rsid w:val="7B75D50C"/>
    <w:rsid w:val="7BFB3F56"/>
    <w:rsid w:val="7C6867C1"/>
    <w:rsid w:val="7C84DC08"/>
    <w:rsid w:val="7CABCD57"/>
    <w:rsid w:val="7CC8EDBE"/>
    <w:rsid w:val="7D05B347"/>
    <w:rsid w:val="7D541041"/>
    <w:rsid w:val="7D91E195"/>
    <w:rsid w:val="7DF3E435"/>
    <w:rsid w:val="7ECA98C9"/>
    <w:rsid w:val="7FDF71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BB292"/>
  <w15:chartTrackingRefBased/>
  <w15:docId w15:val="{60DD2479-5524-4155-8A25-686EEA50F4EB}"/>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CE"/>
    <w:pPr>
      <w:spacing w:after="0" w:line="240" w:lineRule="auto"/>
    </w:pPr>
    <w:rPr>
      <w:rFonts w:ascii="Palatino" w:eastAsia="Times New Roman" w:hAnsi="Palatino" w:cs="Times New Roman"/>
      <w:sz w:val="26"/>
      <w:szCs w:val="20"/>
    </w:rPr>
  </w:style>
  <w:style w:type="paragraph" w:styleId="Heading1">
    <w:name w:val="heading 1"/>
    <w:basedOn w:val="Normal"/>
    <w:next w:val="Normal"/>
    <w:link w:val="Heading1Char"/>
    <w:qFormat/>
    <w:rsid w:val="00612BCE"/>
    <w:pPr>
      <w:keepNext/>
      <w:spacing w:before="120" w:after="240"/>
      <w:outlineLvl w:val="0"/>
    </w:pPr>
    <w:rPr>
      <w:rFonts w:ascii="Helvetica" w:hAnsi="Helvetica"/>
      <w:b/>
      <w:caps/>
      <w:kern w:val="28"/>
      <w:u w:val="single"/>
    </w:rPr>
  </w:style>
  <w:style w:type="paragraph" w:styleId="Heading2">
    <w:name w:val="heading 2"/>
    <w:basedOn w:val="Normal"/>
    <w:next w:val="Normal"/>
    <w:link w:val="Heading2Char"/>
    <w:qFormat/>
    <w:rsid w:val="004F0E30"/>
    <w:pPr>
      <w:keepNext/>
      <w:tabs>
        <w:tab w:val="num" w:pos="1215"/>
      </w:tabs>
      <w:spacing w:before="120" w:after="120"/>
      <w:ind w:left="1215" w:hanging="495"/>
      <w:outlineLvl w:val="1"/>
    </w:pPr>
    <w:rPr>
      <w:rFonts w:ascii="Helvetica" w:hAnsi="Helvetica"/>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BCE"/>
    <w:rPr>
      <w:rFonts w:ascii="Helvetica" w:eastAsia="Times New Roman" w:hAnsi="Helvetica" w:cs="Times New Roman"/>
      <w:b/>
      <w:caps/>
      <w:kern w:val="28"/>
      <w:sz w:val="26"/>
      <w:szCs w:val="20"/>
      <w:u w:val="single"/>
    </w:rPr>
  </w:style>
  <w:style w:type="paragraph" w:customStyle="1" w:styleId="mainex">
    <w:name w:val="mainex"/>
    <w:basedOn w:val="Normal"/>
    <w:rsid w:val="00612BCE"/>
    <w:pPr>
      <w:keepNext/>
      <w:jc w:val="center"/>
    </w:pPr>
    <w:rPr>
      <w:rFonts w:ascii="Helvetica" w:hAnsi="Helvetica"/>
      <w:b/>
      <w:spacing w:val="120"/>
    </w:rPr>
  </w:style>
  <w:style w:type="paragraph" w:styleId="Header">
    <w:name w:val="header"/>
    <w:basedOn w:val="Normal"/>
    <w:link w:val="HeaderChar"/>
    <w:rsid w:val="00612BCE"/>
    <w:pPr>
      <w:widowControl w:val="0"/>
      <w:tabs>
        <w:tab w:val="center" w:pos="4320"/>
        <w:tab w:val="right" w:pos="8640"/>
      </w:tabs>
    </w:pPr>
  </w:style>
  <w:style w:type="character" w:customStyle="1" w:styleId="HeaderChar">
    <w:name w:val="Header Char"/>
    <w:basedOn w:val="DefaultParagraphFont"/>
    <w:link w:val="Header"/>
    <w:rsid w:val="00612BCE"/>
    <w:rPr>
      <w:rFonts w:ascii="Palatino" w:eastAsia="Times New Roman" w:hAnsi="Palatino" w:cs="Times New Roman"/>
      <w:sz w:val="26"/>
      <w:szCs w:val="20"/>
    </w:rPr>
  </w:style>
  <w:style w:type="paragraph" w:styleId="Footer">
    <w:name w:val="footer"/>
    <w:basedOn w:val="Normal"/>
    <w:link w:val="FooterChar"/>
    <w:rsid w:val="00612BCE"/>
    <w:pPr>
      <w:tabs>
        <w:tab w:val="center" w:pos="4320"/>
        <w:tab w:val="right" w:pos="8640"/>
      </w:tabs>
      <w:jc w:val="center"/>
    </w:pPr>
  </w:style>
  <w:style w:type="character" w:customStyle="1" w:styleId="FooterChar">
    <w:name w:val="Footer Char"/>
    <w:basedOn w:val="DefaultParagraphFont"/>
    <w:link w:val="Footer"/>
    <w:rsid w:val="00612BCE"/>
    <w:rPr>
      <w:rFonts w:ascii="Palatino" w:eastAsia="Times New Roman" w:hAnsi="Palatino" w:cs="Times New Roman"/>
      <w:sz w:val="26"/>
      <w:szCs w:val="20"/>
    </w:rPr>
  </w:style>
  <w:style w:type="paragraph" w:customStyle="1" w:styleId="titlebar">
    <w:name w:val="title bar"/>
    <w:basedOn w:val="Normal"/>
    <w:rsid w:val="00612BCE"/>
    <w:pPr>
      <w:keepNext/>
      <w:suppressAutoHyphens/>
      <w:jc w:val="center"/>
    </w:pPr>
    <w:rPr>
      <w:rFonts w:ascii="Helvetica" w:hAnsi="Helvetica"/>
      <w:b/>
    </w:rPr>
  </w:style>
  <w:style w:type="character" w:styleId="PageNumber">
    <w:name w:val="page number"/>
    <w:basedOn w:val="DefaultParagraphFont"/>
    <w:rsid w:val="00612BCE"/>
  </w:style>
  <w:style w:type="character" w:styleId="FootnoteReference">
    <w:name w:val="footnote reference"/>
    <w:aliases w:val="o,fr,Style 3,o1,o2,o3,o4,o5,o6,o11,o21,o7,Footnote Reference1"/>
    <w:qFormat/>
    <w:rsid w:val="00612BCE"/>
    <w:rPr>
      <w:vertAlign w:val="superscript"/>
    </w:rPr>
  </w:style>
  <w:style w:type="paragraph" w:customStyle="1" w:styleId="Res-Caption">
    <w:name w:val="Res-Caption"/>
    <w:basedOn w:val="Normal"/>
    <w:rsid w:val="00612BCE"/>
    <w:pPr>
      <w:ind w:left="720" w:right="720"/>
    </w:pPr>
  </w:style>
  <w:style w:type="character" w:styleId="Hyperlink">
    <w:name w:val="Hyperlink"/>
    <w:basedOn w:val="DefaultParagraphFont"/>
    <w:unhideWhenUsed/>
    <w:rsid w:val="00612BCE"/>
    <w:rPr>
      <w:color w:val="0563C1" w:themeColor="hyperlink"/>
      <w:u w:val="single"/>
    </w:rPr>
  </w:style>
  <w:style w:type="paragraph" w:styleId="ListParagraph">
    <w:name w:val="List Paragraph"/>
    <w:basedOn w:val="Normal"/>
    <w:uiPriority w:val="34"/>
    <w:qFormat/>
    <w:rsid w:val="00612BCE"/>
    <w:pPr>
      <w:ind w:left="720"/>
      <w:contextualSpacing/>
    </w:pPr>
  </w:style>
  <w:style w:type="paragraph" w:styleId="NoSpacing">
    <w:name w:val="No Spacing"/>
    <w:uiPriority w:val="1"/>
    <w:qFormat/>
    <w:rsid w:val="00612BCE"/>
    <w:pPr>
      <w:spacing w:after="0" w:line="240" w:lineRule="auto"/>
    </w:pPr>
    <w:rPr>
      <w:rFonts w:ascii="Palatino" w:eastAsia="Times New Roman" w:hAnsi="Palatino" w:cs="Times New Roman"/>
      <w:sz w:val="26"/>
      <w:szCs w:val="20"/>
    </w:rPr>
  </w:style>
  <w:style w:type="paragraph" w:styleId="BodyText">
    <w:name w:val="Body Text"/>
    <w:basedOn w:val="Normal"/>
    <w:link w:val="BodyTextChar"/>
    <w:rsid w:val="00612BCE"/>
    <w:rPr>
      <w:b/>
    </w:rPr>
  </w:style>
  <w:style w:type="character" w:customStyle="1" w:styleId="BodyTextChar">
    <w:name w:val="Body Text Char"/>
    <w:basedOn w:val="DefaultParagraphFont"/>
    <w:link w:val="BodyText"/>
    <w:rsid w:val="00612BCE"/>
    <w:rPr>
      <w:rFonts w:ascii="Palatino" w:eastAsia="Times New Roman" w:hAnsi="Palatino" w:cs="Times New Roman"/>
      <w:b/>
      <w:sz w:val="26"/>
      <w:szCs w:val="20"/>
    </w:rPr>
  </w:style>
  <w:style w:type="table" w:styleId="TableGrid">
    <w:name w:val="Table Grid"/>
    <w:basedOn w:val="TableNormal"/>
    <w:uiPriority w:val="59"/>
    <w:rsid w:val="0061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
    <w:basedOn w:val="Normal"/>
    <w:link w:val="FootnoteTextChar"/>
    <w:unhideWhenUsed/>
    <w:rsid w:val="00612BCE"/>
    <w:pPr>
      <w:keepLines/>
    </w:pPr>
    <w:rPr>
      <w:sz w:val="20"/>
    </w:rPr>
  </w:style>
  <w:style w:type="character" w:customStyle="1" w:styleId="FootnoteTextChar">
    <w:name w:val="Footnote Text Char"/>
    <w:aliases w:val="Footnote Text Char1 Char1,Footnote Text Char Char Char1,Footnote Text Char1 Char Char,Footnote Text Char Char Char Char,Char Char Char,Footnote Text Char2 Char Char,Footnote Text Char2 Char Char Char Char Char"/>
    <w:basedOn w:val="DefaultParagraphFont"/>
    <w:link w:val="FootnoteText"/>
    <w:uiPriority w:val="99"/>
    <w:rsid w:val="00612BCE"/>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612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CE"/>
    <w:rPr>
      <w:rFonts w:ascii="Segoe UI" w:eastAsia="Times New Roman" w:hAnsi="Segoe UI" w:cs="Segoe UI"/>
      <w:sz w:val="18"/>
      <w:szCs w:val="18"/>
    </w:rPr>
  </w:style>
  <w:style w:type="paragraph" w:styleId="Caption">
    <w:name w:val="caption"/>
    <w:basedOn w:val="Normal"/>
    <w:next w:val="Normal"/>
    <w:qFormat/>
    <w:rsid w:val="009E1321"/>
    <w:rPr>
      <w:b/>
      <w:bCs/>
      <w:sz w:val="20"/>
    </w:rPr>
  </w:style>
  <w:style w:type="paragraph" w:styleId="Revision">
    <w:name w:val="Revision"/>
    <w:hidden/>
    <w:uiPriority w:val="99"/>
    <w:semiHidden/>
    <w:rsid w:val="00D04F04"/>
    <w:pPr>
      <w:spacing w:after="0" w:line="240" w:lineRule="auto"/>
    </w:pPr>
    <w:rPr>
      <w:rFonts w:ascii="Palatino" w:eastAsia="Times New Roman" w:hAnsi="Palatino" w:cs="Times New Roman"/>
      <w:sz w:val="26"/>
      <w:szCs w:val="20"/>
    </w:rPr>
  </w:style>
  <w:style w:type="paragraph" w:customStyle="1" w:styleId="Default">
    <w:name w:val="Default"/>
    <w:rsid w:val="00B40851"/>
    <w:pPr>
      <w:autoSpaceDE w:val="0"/>
      <w:autoSpaceDN w:val="0"/>
      <w:adjustRightInd w:val="0"/>
      <w:spacing w:after="0" w:line="240" w:lineRule="auto"/>
    </w:pPr>
    <w:rPr>
      <w:rFonts w:ascii="Book Antiqua" w:eastAsia="Times New Roman" w:hAnsi="Book Antiqua" w:cs="Book Antiqua"/>
      <w:color w:val="000000"/>
      <w:sz w:val="24"/>
      <w:szCs w:val="24"/>
    </w:rPr>
  </w:style>
  <w:style w:type="character" w:styleId="CommentReference">
    <w:name w:val="annotation reference"/>
    <w:basedOn w:val="DefaultParagraphFont"/>
    <w:semiHidden/>
    <w:unhideWhenUsed/>
    <w:rsid w:val="006E20EF"/>
    <w:rPr>
      <w:sz w:val="16"/>
      <w:szCs w:val="16"/>
    </w:rPr>
  </w:style>
  <w:style w:type="paragraph" w:styleId="CommentText">
    <w:name w:val="annotation text"/>
    <w:basedOn w:val="Normal"/>
    <w:link w:val="CommentTextChar"/>
    <w:unhideWhenUsed/>
    <w:rsid w:val="006E20EF"/>
    <w:rPr>
      <w:sz w:val="20"/>
    </w:rPr>
  </w:style>
  <w:style w:type="character" w:customStyle="1" w:styleId="CommentTextChar">
    <w:name w:val="Comment Text Char"/>
    <w:basedOn w:val="DefaultParagraphFont"/>
    <w:link w:val="CommentText"/>
    <w:rsid w:val="006E20EF"/>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816C4"/>
    <w:rPr>
      <w:b/>
      <w:bCs/>
    </w:rPr>
  </w:style>
  <w:style w:type="character" w:customStyle="1" w:styleId="CommentSubjectChar">
    <w:name w:val="Comment Subject Char"/>
    <w:basedOn w:val="CommentTextChar"/>
    <w:link w:val="CommentSubject"/>
    <w:uiPriority w:val="99"/>
    <w:semiHidden/>
    <w:rsid w:val="00E816C4"/>
    <w:rPr>
      <w:rFonts w:ascii="Palatino" w:eastAsia="Times New Roman" w:hAnsi="Palatino" w:cs="Times New Roman"/>
      <w:b/>
      <w:bCs/>
      <w:sz w:val="20"/>
      <w:szCs w:val="20"/>
    </w:rPr>
  </w:style>
  <w:style w:type="character" w:customStyle="1" w:styleId="Heading2Char">
    <w:name w:val="Heading 2 Char"/>
    <w:basedOn w:val="DefaultParagraphFont"/>
    <w:link w:val="Heading2"/>
    <w:rsid w:val="004F0E30"/>
    <w:rPr>
      <w:rFonts w:ascii="Helvetica" w:eastAsia="Times New Roman" w:hAnsi="Helvetica" w:cs="Times New Roman"/>
      <w:b/>
      <w:i/>
      <w:sz w:val="26"/>
      <w:szCs w:val="20"/>
    </w:rPr>
  </w:style>
  <w:style w:type="character" w:styleId="FollowedHyperlink">
    <w:name w:val="FollowedHyperlink"/>
    <w:basedOn w:val="DefaultParagraphFont"/>
    <w:uiPriority w:val="99"/>
    <w:semiHidden/>
    <w:unhideWhenUsed/>
    <w:rsid w:val="00D86528"/>
    <w:rPr>
      <w:color w:val="954F72" w:themeColor="followedHyperlink"/>
      <w:u w:val="single"/>
    </w:rPr>
  </w:style>
  <w:style w:type="character" w:customStyle="1" w:styleId="esrinumericvalue">
    <w:name w:val="esrinumericvalue"/>
    <w:basedOn w:val="DefaultParagraphFont"/>
    <w:rsid w:val="00E144CE"/>
  </w:style>
  <w:style w:type="character" w:customStyle="1" w:styleId="normaltextrun">
    <w:name w:val="normaltextrun"/>
    <w:basedOn w:val="DefaultParagraphFont"/>
    <w:rsid w:val="00F971B6"/>
  </w:style>
  <w:style w:type="character" w:styleId="UnresolvedMention">
    <w:name w:val="Unresolved Mention"/>
    <w:basedOn w:val="DefaultParagraphFont"/>
    <w:uiPriority w:val="99"/>
    <w:semiHidden/>
    <w:unhideWhenUsed/>
    <w:rsid w:val="000F6D75"/>
    <w:rPr>
      <w:color w:val="605E5C"/>
      <w:shd w:val="clear" w:color="auto" w:fill="E1DFDD"/>
    </w:rPr>
  </w:style>
  <w:style w:type="character" w:styleId="Mention">
    <w:name w:val="Mention"/>
    <w:basedOn w:val="DefaultParagraphFont"/>
    <w:uiPriority w:val="99"/>
    <w:unhideWhenUsed/>
    <w:rsid w:val="00F146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9429">
      <w:bodyDiv w:val="1"/>
      <w:marLeft w:val="0"/>
      <w:marRight w:val="0"/>
      <w:marTop w:val="0"/>
      <w:marBottom w:val="0"/>
      <w:divBdr>
        <w:top w:val="none" w:sz="0" w:space="0" w:color="auto"/>
        <w:left w:val="none" w:sz="0" w:space="0" w:color="auto"/>
        <w:bottom w:val="none" w:sz="0" w:space="0" w:color="auto"/>
        <w:right w:val="none" w:sz="0" w:space="0" w:color="auto"/>
      </w:divBdr>
    </w:div>
    <w:div w:id="177962382">
      <w:bodyDiv w:val="1"/>
      <w:marLeft w:val="0"/>
      <w:marRight w:val="0"/>
      <w:marTop w:val="0"/>
      <w:marBottom w:val="0"/>
      <w:divBdr>
        <w:top w:val="none" w:sz="0" w:space="0" w:color="auto"/>
        <w:left w:val="none" w:sz="0" w:space="0" w:color="auto"/>
        <w:bottom w:val="none" w:sz="0" w:space="0" w:color="auto"/>
        <w:right w:val="none" w:sz="0" w:space="0" w:color="auto"/>
      </w:divBdr>
    </w:div>
    <w:div w:id="784812752">
      <w:bodyDiv w:val="1"/>
      <w:marLeft w:val="0"/>
      <w:marRight w:val="0"/>
      <w:marTop w:val="0"/>
      <w:marBottom w:val="0"/>
      <w:divBdr>
        <w:top w:val="none" w:sz="0" w:space="0" w:color="auto"/>
        <w:left w:val="none" w:sz="0" w:space="0" w:color="auto"/>
        <w:bottom w:val="none" w:sz="0" w:space="0" w:color="auto"/>
        <w:right w:val="none" w:sz="0" w:space="0" w:color="auto"/>
      </w:divBdr>
    </w:div>
    <w:div w:id="890337828">
      <w:bodyDiv w:val="1"/>
      <w:marLeft w:val="0"/>
      <w:marRight w:val="0"/>
      <w:marTop w:val="0"/>
      <w:marBottom w:val="0"/>
      <w:divBdr>
        <w:top w:val="none" w:sz="0" w:space="0" w:color="auto"/>
        <w:left w:val="none" w:sz="0" w:space="0" w:color="auto"/>
        <w:bottom w:val="none" w:sz="0" w:space="0" w:color="auto"/>
        <w:right w:val="none" w:sz="0" w:space="0" w:color="auto"/>
      </w:divBdr>
    </w:div>
    <w:div w:id="940986428">
      <w:bodyDiv w:val="1"/>
      <w:marLeft w:val="0"/>
      <w:marRight w:val="0"/>
      <w:marTop w:val="0"/>
      <w:marBottom w:val="0"/>
      <w:divBdr>
        <w:top w:val="none" w:sz="0" w:space="0" w:color="auto"/>
        <w:left w:val="none" w:sz="0" w:space="0" w:color="auto"/>
        <w:bottom w:val="none" w:sz="0" w:space="0" w:color="auto"/>
        <w:right w:val="none" w:sz="0" w:space="0" w:color="auto"/>
      </w:divBdr>
    </w:div>
    <w:div w:id="1158375420">
      <w:bodyDiv w:val="1"/>
      <w:marLeft w:val="0"/>
      <w:marRight w:val="0"/>
      <w:marTop w:val="0"/>
      <w:marBottom w:val="0"/>
      <w:divBdr>
        <w:top w:val="none" w:sz="0" w:space="0" w:color="auto"/>
        <w:left w:val="none" w:sz="0" w:space="0" w:color="auto"/>
        <w:bottom w:val="none" w:sz="0" w:space="0" w:color="auto"/>
        <w:right w:val="none" w:sz="0" w:space="0" w:color="auto"/>
      </w:divBdr>
    </w:div>
    <w:div w:id="13042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puc.ca.gov/PUC/energy/Renewables/overview.htm"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docs.cpuc.ca.gov/PublishedDocs/Published/G000/M557/K040/557040320.pdf" TargetMode="External" Id="Rd61e6c5c4d734c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2C8BED6CF3548BF8333AE401CD8C8" ma:contentTypeVersion="16" ma:contentTypeDescription="Create a new document." ma:contentTypeScope="" ma:versionID="c8353ed13e4e231583c63fb4cfbf585f">
  <xsd:schema xmlns:xsd="http://www.w3.org/2001/XMLSchema" xmlns:xs="http://www.w3.org/2001/XMLSchema" xmlns:p="http://schemas.microsoft.com/office/2006/metadata/properties" xmlns:ns3="b68f4fe1-3a55-4bcc-9c2a-17f3e71cc75b" xmlns:ns4="939e3009-1176-41fd-a24b-ed27b0027fde" targetNamespace="http://schemas.microsoft.com/office/2006/metadata/properties" ma:root="true" ma:fieldsID="4bde566e07aa658d0b6f04151bd5a99c" ns3:_="" ns4:_="">
    <xsd:import namespace="b68f4fe1-3a55-4bcc-9c2a-17f3e71cc75b"/>
    <xsd:import namespace="939e3009-1176-41fd-a24b-ed27b0027f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4fe1-3a55-4bcc-9c2a-17f3e71cc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e3009-1176-41fd-a24b-ed27b0027f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68f4fe1-3a55-4bcc-9c2a-17f3e71cc7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148D2-5AB3-46E8-B06D-C66EF89CA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4fe1-3a55-4bcc-9c2a-17f3e71cc75b"/>
    <ds:schemaRef ds:uri="939e3009-1176-41fd-a24b-ed27b0027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FDF32-108C-4546-8A99-BA8251D1242A}">
  <ds:schemaRefs>
    <ds:schemaRef ds:uri="http://schemas.microsoft.com/office/2006/metadata/properties"/>
    <ds:schemaRef ds:uri="http://schemas.microsoft.com/office/infopath/2007/PartnerControls"/>
    <ds:schemaRef ds:uri="b68f4fe1-3a55-4bcc-9c2a-17f3e71cc75b"/>
  </ds:schemaRefs>
</ds:datastoreItem>
</file>

<file path=customXml/itemProps3.xml><?xml version="1.0" encoding="utf-8"?>
<ds:datastoreItem xmlns:ds="http://schemas.openxmlformats.org/officeDocument/2006/customXml" ds:itemID="{52A21028-BADD-4AD2-928B-5C57F09161EE}">
  <ds:schemaRefs>
    <ds:schemaRef ds:uri="http://schemas.microsoft.com/sharepoint/v3/contenttype/forms"/>
  </ds:schemaRefs>
</ds:datastoreItem>
</file>

<file path=customXml/itemProps4.xml><?xml version="1.0" encoding="utf-8"?>
<ds:datastoreItem xmlns:ds="http://schemas.openxmlformats.org/officeDocument/2006/customXml" ds:itemID="{DD494F0E-3AFC-41EC-8A53-46BF677BCFF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22</ap:Pages>
  <ap:Words>5464</ap:Words>
  <ap:Characters>31150</ap:Characters>
  <ap:Application>Microsoft Office Word</ap:Application>
  <ap:DocSecurity>0</ap:DocSecurity>
  <ap:Lines>259</ap:Lines>
  <ap:Paragraphs>73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36541</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2024-03-05T16:28:00Z</cp:lastPrinted>
  <dcterms:created xsi:type="dcterms:W3CDTF">2025-02-13T15:36:05Z</dcterms:created>
  <dcterms:modified xsi:type="dcterms:W3CDTF">2025-02-13T15:36:05Z</dcterms:modified>
</cp:coreProperties>
</file>