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3259" w:rsidR="006E4231" w:rsidP="00656005" w:rsidRDefault="00902106" w14:paraId="7A220CA0" w14:textId="1FC4AC2C">
      <w:pPr>
        <w:tabs>
          <w:tab w:val="right" w:pos="9360"/>
        </w:tabs>
        <w:spacing w:line="240" w:lineRule="auto"/>
        <w:ind w:firstLine="0"/>
        <w:rPr>
          <w:b/>
          <w:bCs/>
          <w:lang w:val="pl-PL"/>
        </w:rPr>
      </w:pPr>
      <w:r w:rsidRPr="00EA3259">
        <w:rPr>
          <w:lang w:val="pl-PL"/>
        </w:rPr>
        <w:t>ALJ/</w:t>
      </w:r>
      <w:r w:rsidRPr="00EA3259" w:rsidR="00940469">
        <w:rPr>
          <w:lang w:val="pl-PL"/>
        </w:rPr>
        <w:t>MOD-</w:t>
      </w:r>
      <w:r w:rsidRPr="00EA3259">
        <w:rPr>
          <w:lang w:val="pl-PL"/>
        </w:rPr>
        <w:t>POD</w:t>
      </w:r>
      <w:r w:rsidRPr="00EA3259" w:rsidR="00F137C2">
        <w:rPr>
          <w:lang w:val="pl-PL"/>
        </w:rPr>
        <w:t>-</w:t>
      </w:r>
      <w:r w:rsidRPr="00EA3259">
        <w:rPr>
          <w:lang w:val="pl-PL"/>
        </w:rPr>
        <w:t>GK1/</w:t>
      </w:r>
      <w:r w:rsidRPr="00EA3259" w:rsidR="00F137C2">
        <w:rPr>
          <w:lang w:val="pl-PL"/>
        </w:rPr>
        <w:t>jnf</w:t>
      </w:r>
      <w:r w:rsidRPr="00EA3259" w:rsidR="00656005">
        <w:rPr>
          <w:lang w:val="pl-PL"/>
        </w:rPr>
        <w:tab/>
      </w:r>
      <w:r w:rsidRPr="00EA3259" w:rsidR="00F137C2">
        <w:rPr>
          <w:b/>
          <w:bCs/>
          <w:lang w:val="pl-PL"/>
        </w:rPr>
        <w:t>Agenda ID #</w:t>
      </w:r>
      <w:r w:rsidR="00AE19DE">
        <w:rPr>
          <w:b/>
          <w:bCs/>
          <w:lang w:val="pl-PL"/>
        </w:rPr>
        <w:t>23338</w:t>
      </w:r>
    </w:p>
    <w:p w:rsidRPr="00EA3259" w:rsidR="00CB5669" w:rsidP="00F137C2" w:rsidRDefault="00CB5669" w14:paraId="3661679B" w14:textId="77777777">
      <w:pPr>
        <w:tabs>
          <w:tab w:val="center" w:pos="4680"/>
          <w:tab w:val="right" w:pos="9360"/>
        </w:tabs>
        <w:spacing w:line="240" w:lineRule="auto"/>
        <w:ind w:firstLine="0"/>
        <w:jc w:val="right"/>
        <w:rPr>
          <w:b/>
          <w:lang w:val="pl-PL"/>
        </w:rPr>
      </w:pPr>
    </w:p>
    <w:p w:rsidRPr="00EA3259" w:rsidR="00746C03" w:rsidP="00F137C2" w:rsidRDefault="00746C03" w14:paraId="4F6D5024" w14:textId="77777777">
      <w:pPr>
        <w:tabs>
          <w:tab w:val="center" w:pos="4680"/>
          <w:tab w:val="right" w:pos="9360"/>
        </w:tabs>
        <w:spacing w:line="240" w:lineRule="auto"/>
        <w:ind w:firstLine="0"/>
        <w:jc w:val="right"/>
        <w:rPr>
          <w:b/>
          <w:lang w:val="pl-PL"/>
        </w:rPr>
      </w:pPr>
    </w:p>
    <w:p w:rsidR="00746C03" w:rsidP="002E325B" w:rsidRDefault="00F137C2" w14:paraId="678F178A" w14:textId="429ABCA1">
      <w:pPr>
        <w:tabs>
          <w:tab w:val="center" w:pos="4680"/>
          <w:tab w:val="right" w:pos="9360"/>
        </w:tabs>
        <w:spacing w:line="240" w:lineRule="auto"/>
        <w:ind w:firstLine="0"/>
        <w:rPr>
          <w:bCs/>
        </w:rPr>
      </w:pPr>
      <w:r>
        <w:rPr>
          <w:bCs/>
        </w:rPr>
        <w:t>Decision _________</w:t>
      </w:r>
    </w:p>
    <w:p w:rsidRPr="00F137C2" w:rsidR="00F137C2" w:rsidP="00F137C2" w:rsidRDefault="00F137C2" w14:paraId="3EEE2D35" w14:textId="77777777">
      <w:pPr>
        <w:tabs>
          <w:tab w:val="center" w:pos="4680"/>
          <w:tab w:val="right" w:pos="9360"/>
        </w:tabs>
        <w:ind w:firstLine="0"/>
        <w:rPr>
          <w:bCs/>
        </w:rPr>
      </w:pPr>
    </w:p>
    <w:p w:rsidR="00DA7B5D" w:rsidP="00BB0243" w:rsidRDefault="00DA7B5D" w14:paraId="074B5D00"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713B7AAD" w14:textId="6BC662BB">
      <w:pPr>
        <w:spacing w:line="240" w:lineRule="auto"/>
        <w:ind w:firstLine="0"/>
        <w:rPr>
          <w:rFonts w:ascii="Arial" w:hAnsi="Arial" w:cs="Arial"/>
          <w:sz w:val="24"/>
          <w:szCs w:val="24"/>
        </w:rPr>
      </w:pPr>
    </w:p>
    <w:tbl>
      <w:tblPr>
        <w:tblStyle w:val="TableGrid"/>
        <w:tblW w:w="9360" w:type="dxa"/>
        <w:jc w:val="center"/>
        <w:tblLayout w:type="fixed"/>
        <w:tblLook w:val="05A0" w:firstRow="1" w:lastRow="0" w:firstColumn="1" w:lastColumn="1" w:noHBand="0" w:noVBand="1"/>
      </w:tblPr>
      <w:tblGrid>
        <w:gridCol w:w="4680"/>
        <w:gridCol w:w="4680"/>
      </w:tblGrid>
      <w:tr w:rsidR="00DA7B5D" w:rsidTr="00AB0B88" w14:paraId="070234DD" w14:textId="77777777">
        <w:trPr>
          <w:trHeight w:val="3456"/>
          <w:jc w:val="center"/>
        </w:trPr>
        <w:tc>
          <w:tcPr>
            <w:tcW w:w="4680" w:type="dxa"/>
            <w:tcBorders>
              <w:top w:val="nil"/>
              <w:left w:val="nil"/>
              <w:bottom w:val="single" w:color="auto" w:sz="4" w:space="0"/>
              <w:right w:val="single" w:color="auto" w:sz="4" w:space="0"/>
            </w:tcBorders>
          </w:tcPr>
          <w:p w:rsidR="00953336" w:rsidP="00C10B5F" w:rsidRDefault="00B03057" w14:paraId="2CB374DD" w14:textId="5716BFDC">
            <w:pPr>
              <w:spacing w:line="240" w:lineRule="auto"/>
              <w:ind w:firstLine="0"/>
            </w:pPr>
            <w:r>
              <w:t>James L.</w:t>
            </w:r>
            <w:r w:rsidR="00953336">
              <w:t xml:space="preserve"> Duncan</w:t>
            </w:r>
          </w:p>
          <w:p w:rsidR="00953336" w:rsidP="00C10B5F" w:rsidRDefault="00953336" w14:paraId="6B1C9777" w14:textId="070BF7CE">
            <w:pPr>
              <w:spacing w:line="240" w:lineRule="auto"/>
              <w:ind w:firstLine="0"/>
            </w:pPr>
          </w:p>
          <w:p w:rsidR="00953336" w:rsidP="00C36A59" w:rsidRDefault="00953336" w14:paraId="712E50E8" w14:textId="4E18F871">
            <w:pPr>
              <w:spacing w:line="240" w:lineRule="auto"/>
              <w:ind w:right="144" w:firstLine="0"/>
              <w:jc w:val="right"/>
            </w:pPr>
            <w:r>
              <w:t xml:space="preserve"> Complainant,</w:t>
            </w:r>
          </w:p>
          <w:p w:rsidR="00953336" w:rsidP="00C10B5F" w:rsidRDefault="00953336" w14:paraId="6310CFC8" w14:textId="77777777">
            <w:pPr>
              <w:spacing w:line="240" w:lineRule="auto"/>
              <w:ind w:firstLine="0"/>
            </w:pPr>
          </w:p>
          <w:p w:rsidR="00953336" w:rsidP="003C1E2D" w:rsidRDefault="00953336" w14:paraId="799FEB1F" w14:textId="3FAFA34E">
            <w:pPr>
              <w:spacing w:line="240" w:lineRule="auto"/>
              <w:ind w:firstLine="0"/>
              <w:jc w:val="center"/>
            </w:pPr>
            <w:r>
              <w:t>v</w:t>
            </w:r>
            <w:r w:rsidR="008825ED">
              <w:t>s</w:t>
            </w:r>
            <w:r>
              <w:t>.</w:t>
            </w:r>
          </w:p>
          <w:p w:rsidR="00953336" w:rsidP="00C10B5F" w:rsidRDefault="00953336" w14:paraId="23B9D29E" w14:textId="77777777">
            <w:pPr>
              <w:spacing w:line="240" w:lineRule="auto"/>
              <w:ind w:firstLine="0"/>
            </w:pPr>
          </w:p>
          <w:p w:rsidR="00953336" w:rsidP="00C10B5F" w:rsidRDefault="00953336" w14:paraId="13BB4E61" w14:textId="4162B1D8">
            <w:pPr>
              <w:spacing w:line="240" w:lineRule="auto"/>
              <w:ind w:firstLine="0"/>
            </w:pPr>
            <w:r>
              <w:t>Sonoma</w:t>
            </w:r>
            <w:r w:rsidR="009E37FE">
              <w:noBreakHyphen/>
            </w:r>
            <w:r>
              <w:t>Marin Area Rail Transit District (SMART)</w:t>
            </w:r>
          </w:p>
          <w:p w:rsidR="00DA7B5D" w:rsidP="00C10B5F" w:rsidRDefault="00DA7B5D" w14:paraId="626308CC" w14:textId="77777777">
            <w:pPr>
              <w:spacing w:line="240" w:lineRule="auto"/>
              <w:ind w:firstLine="0"/>
            </w:pPr>
          </w:p>
          <w:p w:rsidR="00953336" w:rsidP="00C36A59" w:rsidRDefault="00953336" w14:paraId="52B25063" w14:textId="77777777">
            <w:pPr>
              <w:spacing w:line="240" w:lineRule="auto"/>
              <w:ind w:right="144" w:firstLine="0"/>
              <w:jc w:val="right"/>
              <w:rPr>
                <w:rFonts w:cs="Arial"/>
                <w:szCs w:val="26"/>
              </w:rPr>
            </w:pPr>
            <w:r>
              <w:rPr>
                <w:rFonts w:cs="Arial"/>
                <w:szCs w:val="26"/>
              </w:rPr>
              <w:t>Defendant</w:t>
            </w:r>
            <w:r w:rsidR="00CB5669">
              <w:rPr>
                <w:rFonts w:cs="Arial"/>
                <w:szCs w:val="26"/>
              </w:rPr>
              <w:t>.</w:t>
            </w:r>
          </w:p>
          <w:p w:rsidRPr="00DA7B5D" w:rsidR="008825ED" w:rsidP="00CB5669" w:rsidRDefault="008825ED" w14:paraId="11DE2919" w14:textId="0E71F543">
            <w:pPr>
              <w:spacing w:line="240" w:lineRule="auto"/>
              <w:ind w:firstLine="0"/>
              <w:rPr>
                <w:rFonts w:cs="Arial"/>
                <w:szCs w:val="26"/>
              </w:rPr>
            </w:pPr>
          </w:p>
        </w:tc>
        <w:tc>
          <w:tcPr>
            <w:tcW w:w="4680" w:type="dxa"/>
            <w:tcBorders>
              <w:top w:val="nil"/>
              <w:left w:val="single" w:color="auto" w:sz="4" w:space="0"/>
              <w:bottom w:val="nil"/>
              <w:right w:val="nil"/>
            </w:tcBorders>
            <w:vAlign w:val="center"/>
          </w:tcPr>
          <w:p w:rsidRPr="00DA7B5D" w:rsidR="00DA7B5D" w:rsidP="00CB5669" w:rsidRDefault="00953336" w14:paraId="12DB6D71" w14:textId="66A89B19">
            <w:pPr>
              <w:spacing w:line="240" w:lineRule="auto"/>
              <w:ind w:firstLine="0"/>
              <w:jc w:val="center"/>
              <w:rPr>
                <w:rFonts w:cs="Arial"/>
                <w:szCs w:val="26"/>
              </w:rPr>
            </w:pPr>
            <w:r>
              <w:rPr>
                <w:rFonts w:cs="Arial"/>
                <w:szCs w:val="26"/>
              </w:rPr>
              <w:t>Case</w:t>
            </w:r>
            <w:r w:rsidR="003C1E2D">
              <w:rPr>
                <w:rFonts w:cs="Arial"/>
                <w:szCs w:val="26"/>
              </w:rPr>
              <w:t> </w:t>
            </w:r>
            <w:r w:rsidR="00622122">
              <w:rPr>
                <w:rFonts w:cs="Arial"/>
                <w:szCs w:val="26"/>
              </w:rPr>
              <w:t>2</w:t>
            </w:r>
            <w:r>
              <w:rPr>
                <w:rFonts w:cs="Arial"/>
                <w:szCs w:val="26"/>
              </w:rPr>
              <w:t>1</w:t>
            </w:r>
            <w:r w:rsidR="009E37FE">
              <w:rPr>
                <w:rFonts w:cs="Arial"/>
                <w:szCs w:val="26"/>
              </w:rPr>
              <w:noBreakHyphen/>
            </w:r>
            <w:r>
              <w:rPr>
                <w:rFonts w:cs="Arial"/>
                <w:szCs w:val="26"/>
              </w:rPr>
              <w:t>06</w:t>
            </w:r>
            <w:r w:rsidR="009E37FE">
              <w:rPr>
                <w:rFonts w:cs="Arial"/>
                <w:szCs w:val="26"/>
              </w:rPr>
              <w:noBreakHyphen/>
            </w:r>
            <w:r>
              <w:rPr>
                <w:rFonts w:cs="Arial"/>
                <w:szCs w:val="26"/>
              </w:rPr>
              <w:t>011</w:t>
            </w:r>
          </w:p>
        </w:tc>
      </w:tr>
    </w:tbl>
    <w:p w:rsidR="00DA7B5D" w:rsidP="008F0116" w:rsidRDefault="00DA7B5D" w14:paraId="7AB2A739" w14:textId="77777777">
      <w:pPr>
        <w:spacing w:line="240" w:lineRule="auto"/>
        <w:ind w:firstLine="0"/>
        <w:rPr>
          <w:rFonts w:ascii="Arial" w:hAnsi="Arial" w:cs="Arial"/>
          <w:sz w:val="24"/>
          <w:szCs w:val="24"/>
        </w:rPr>
      </w:pPr>
    </w:p>
    <w:p w:rsidRPr="00B75678" w:rsidR="003C1E2D" w:rsidP="003C1E2D" w:rsidRDefault="003C1E2D" w14:paraId="31489DA5" w14:textId="18EC5540">
      <w:pPr>
        <w:keepNext/>
        <w:spacing w:before="240" w:after="120" w:line="240" w:lineRule="auto"/>
        <w:ind w:left="1800" w:hanging="360"/>
        <w:rPr>
          <w:rFonts w:cs="Arial"/>
          <w:szCs w:val="26"/>
        </w:rPr>
      </w:pPr>
      <w:r>
        <w:rPr>
          <w:rFonts w:cs="Arial"/>
          <w:szCs w:val="26"/>
          <w:u w:val="single"/>
        </w:rPr>
        <w:t>James L. Duncan,</w:t>
      </w:r>
      <w:r>
        <w:rPr>
          <w:rFonts w:cs="Arial"/>
          <w:szCs w:val="26"/>
        </w:rPr>
        <w:t xml:space="preserve"> for himself, </w:t>
      </w:r>
      <w:r w:rsidRPr="00B75678">
        <w:rPr>
          <w:rFonts w:cs="Arial"/>
          <w:szCs w:val="26"/>
        </w:rPr>
        <w:t>Complainant</w:t>
      </w:r>
      <w:r>
        <w:rPr>
          <w:rFonts w:cs="Arial"/>
          <w:szCs w:val="26"/>
        </w:rPr>
        <w:t>.</w:t>
      </w:r>
    </w:p>
    <w:p w:rsidRPr="003C1E2D" w:rsidR="00DA7B5D" w:rsidP="003C1E2D" w:rsidRDefault="003C1E2D" w14:paraId="32C6249A" w14:textId="5316D913">
      <w:pPr>
        <w:keepNext/>
        <w:spacing w:after="360" w:line="240" w:lineRule="auto"/>
        <w:ind w:left="1800" w:hanging="360"/>
        <w:rPr>
          <w:rFonts w:cs="Arial"/>
          <w:szCs w:val="26"/>
        </w:rPr>
      </w:pPr>
      <w:r>
        <w:rPr>
          <w:rFonts w:cs="Arial"/>
          <w:szCs w:val="26"/>
          <w:u w:val="single"/>
        </w:rPr>
        <w:t>Thomas F. Lyons</w:t>
      </w:r>
      <w:r>
        <w:rPr>
          <w:rFonts w:cs="Arial"/>
          <w:szCs w:val="26"/>
        </w:rPr>
        <w:t xml:space="preserve">, </w:t>
      </w:r>
      <w:r w:rsidRPr="00B75678">
        <w:rPr>
          <w:rFonts w:cs="Arial"/>
          <w:szCs w:val="26"/>
        </w:rPr>
        <w:t xml:space="preserve">for </w:t>
      </w:r>
      <w:r w:rsidRPr="003C1E2D">
        <w:rPr>
          <w:rFonts w:cs="Arial"/>
          <w:szCs w:val="26"/>
        </w:rPr>
        <w:t>Sonoma Marin Area Rail Transit District</w:t>
      </w:r>
      <w:r>
        <w:rPr>
          <w:rFonts w:cs="Arial"/>
          <w:szCs w:val="26"/>
        </w:rPr>
        <w:t>,</w:t>
      </w:r>
      <w:r>
        <w:rPr>
          <w:rFonts w:cs="Arial"/>
          <w:szCs w:val="26"/>
        </w:rPr>
        <w:br/>
      </w:r>
      <w:r w:rsidRPr="00B75678">
        <w:rPr>
          <w:rFonts w:cs="Arial"/>
          <w:szCs w:val="26"/>
        </w:rPr>
        <w:t>Defendant.</w:t>
      </w:r>
    </w:p>
    <w:p w:rsidR="00BB4BBC" w:rsidP="00BB4BBC" w:rsidRDefault="00F137C2" w14:paraId="1CC6743B" w14:textId="34B0E8EC">
      <w:pPr>
        <w:pStyle w:val="Dummy"/>
        <w:spacing w:after="240"/>
        <w:jc w:val="center"/>
      </w:pPr>
      <w:bookmarkStart w:name="_Toc198039456" w:id="0"/>
      <w:r>
        <w:t xml:space="preserve">MODIFIED </w:t>
      </w:r>
      <w:r w:rsidR="00BB4BBC">
        <w:t>PRESIDING OFFICER’S DECISION</w:t>
      </w:r>
      <w:r>
        <w:br/>
      </w:r>
      <w:r w:rsidR="00BB4BBC">
        <w:t>DISMISSING</w:t>
      </w:r>
      <w:r>
        <w:t xml:space="preserve"> </w:t>
      </w:r>
      <w:r w:rsidR="00BB4BBC">
        <w:t>COMPLAINT AND</w:t>
      </w:r>
      <w:r w:rsidR="000F3432">
        <w:t xml:space="preserve"> </w:t>
      </w:r>
      <w:r w:rsidR="00BB4BBC">
        <w:t>DENYING RELIEF</w:t>
      </w:r>
      <w:bookmarkEnd w:id="0"/>
      <w:r w:rsidR="005A376B">
        <w:t xml:space="preserve"> </w:t>
      </w:r>
    </w:p>
    <w:p w:rsidRPr="005A376B" w:rsidR="005A376B" w:rsidP="005A376B" w:rsidRDefault="005A376B" w14:paraId="318BFCD8" w14:textId="77777777"/>
    <w:p w:rsidR="00BB4BBC" w:rsidP="005A376B" w:rsidRDefault="00BB4BBC" w14:paraId="0465BFD9" w14:textId="77777777">
      <w:pPr>
        <w:ind w:firstLine="0"/>
        <w:sectPr w:rsidR="00BB4BBC" w:rsidSect="00656005">
          <w:headerReference w:type="default" r:id="rId8"/>
          <w:headerReference w:type="first" r:id="rId9"/>
          <w:footerReference w:type="first" r:id="rId10"/>
          <w:pgSz w:w="12240" w:h="15840"/>
          <w:pgMar w:top="1728" w:right="1440" w:bottom="1440" w:left="1440" w:header="720" w:footer="720" w:gutter="0"/>
          <w:pgNumType w:start="1"/>
          <w:cols w:space="720"/>
          <w:titlePg/>
          <w:docGrid w:linePitch="360"/>
        </w:sectPr>
      </w:pPr>
    </w:p>
    <w:p w:rsidRPr="001E2A62" w:rsidR="00656005" w:rsidP="00656005" w:rsidRDefault="00656005" w14:paraId="7CBD7D0A" w14:textId="77777777">
      <w:pPr>
        <w:pStyle w:val="Main"/>
        <w:rPr>
          <w:rFonts w:ascii="Book Antiqua" w:hAnsi="Book Antiqua"/>
        </w:rPr>
      </w:pPr>
      <w:bookmarkStart w:name="_Toc8123714" w:id="1"/>
      <w:r w:rsidRPr="001E2A62">
        <w:rPr>
          <w:rFonts w:ascii="Book Antiqua" w:hAnsi="Book Antiqua"/>
        </w:rPr>
        <w:lastRenderedPageBreak/>
        <w:t>TABLE OF CONTENTS</w:t>
      </w:r>
    </w:p>
    <w:p w:rsidRPr="00D50119" w:rsidR="00656005" w:rsidP="00656005" w:rsidRDefault="00656005" w14:paraId="0C72D522"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A34FCE" w:rsidP="00A34FCE" w:rsidRDefault="00656005" w14:paraId="2C08B6DB" w14:textId="48E570C4">
          <w:pPr>
            <w:pStyle w:val="TOC1"/>
            <w:tabs>
              <w:tab w:val="right" w:leader="dot" w:pos="9350"/>
            </w:tabs>
            <w:ind w:left="0" w:firstLine="0"/>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98039456">
            <w:r w:rsidRPr="009820A3" w:rsidR="00A34FCE">
              <w:rPr>
                <w:rStyle w:val="Hyperlink"/>
                <w:noProof/>
              </w:rPr>
              <w:t>MODIFIED PRESIDING OFFICER’S DECISION DISMISSING COMPLAINT AND DENYING RELIEF</w:t>
            </w:r>
            <w:r w:rsidR="00A34FCE">
              <w:rPr>
                <w:noProof/>
                <w:webHidden/>
              </w:rPr>
              <w:tab/>
            </w:r>
            <w:r w:rsidR="00A34FCE">
              <w:rPr>
                <w:noProof/>
                <w:webHidden/>
              </w:rPr>
              <w:fldChar w:fldCharType="begin"/>
            </w:r>
            <w:r w:rsidR="00A34FCE">
              <w:rPr>
                <w:noProof/>
                <w:webHidden/>
              </w:rPr>
              <w:instrText xml:space="preserve"> PAGEREF _Toc198039456 \h </w:instrText>
            </w:r>
            <w:r w:rsidR="00A34FCE">
              <w:rPr>
                <w:noProof/>
                <w:webHidden/>
              </w:rPr>
            </w:r>
            <w:r w:rsidR="00A34FCE">
              <w:rPr>
                <w:noProof/>
                <w:webHidden/>
              </w:rPr>
              <w:fldChar w:fldCharType="separate"/>
            </w:r>
            <w:r w:rsidR="00A34FCE">
              <w:rPr>
                <w:noProof/>
                <w:webHidden/>
              </w:rPr>
              <w:t>1</w:t>
            </w:r>
            <w:r w:rsidR="00A34FCE">
              <w:rPr>
                <w:noProof/>
                <w:webHidden/>
              </w:rPr>
              <w:fldChar w:fldCharType="end"/>
            </w:r>
          </w:hyperlink>
        </w:p>
        <w:p w:rsidR="00A34FCE" w:rsidRDefault="00A34FCE" w14:paraId="655BC6C6" w14:textId="70C976F3">
          <w:pPr>
            <w:pStyle w:val="TOC1"/>
            <w:tabs>
              <w:tab w:val="right" w:leader="dot" w:pos="9350"/>
            </w:tabs>
            <w:rPr>
              <w:rFonts w:asciiTheme="minorHAnsi" w:hAnsiTheme="minorHAnsi" w:cstheme="minorBidi"/>
              <w:noProof/>
              <w:kern w:val="2"/>
              <w:sz w:val="24"/>
              <w:szCs w:val="24"/>
              <w14:ligatures w14:val="standardContextual"/>
            </w:rPr>
          </w:pPr>
          <w:hyperlink w:history="1" w:anchor="_Toc198039457">
            <w:r w:rsidRPr="009820A3">
              <w:rPr>
                <w:rStyle w:val="Hyperlink"/>
                <w:noProof/>
              </w:rPr>
              <w:t>Summary</w:t>
            </w:r>
            <w:r>
              <w:rPr>
                <w:noProof/>
                <w:webHidden/>
              </w:rPr>
              <w:tab/>
            </w:r>
            <w:r>
              <w:rPr>
                <w:noProof/>
                <w:webHidden/>
              </w:rPr>
              <w:fldChar w:fldCharType="begin"/>
            </w:r>
            <w:r>
              <w:rPr>
                <w:noProof/>
                <w:webHidden/>
              </w:rPr>
              <w:instrText xml:space="preserve"> PAGEREF _Toc198039457 \h </w:instrText>
            </w:r>
            <w:r>
              <w:rPr>
                <w:noProof/>
                <w:webHidden/>
              </w:rPr>
            </w:r>
            <w:r>
              <w:rPr>
                <w:noProof/>
                <w:webHidden/>
              </w:rPr>
              <w:fldChar w:fldCharType="separate"/>
            </w:r>
            <w:r>
              <w:rPr>
                <w:noProof/>
                <w:webHidden/>
              </w:rPr>
              <w:t>2</w:t>
            </w:r>
            <w:r>
              <w:rPr>
                <w:noProof/>
                <w:webHidden/>
              </w:rPr>
              <w:fldChar w:fldCharType="end"/>
            </w:r>
          </w:hyperlink>
        </w:p>
        <w:p w:rsidR="00A34FCE" w:rsidRDefault="00A34FCE" w14:paraId="0CE58442" w14:textId="3579C069">
          <w:pPr>
            <w:pStyle w:val="TOC1"/>
            <w:tabs>
              <w:tab w:val="right" w:leader="dot" w:pos="9350"/>
            </w:tabs>
            <w:rPr>
              <w:rFonts w:asciiTheme="minorHAnsi" w:hAnsiTheme="minorHAnsi" w:cstheme="minorBidi"/>
              <w:noProof/>
              <w:kern w:val="2"/>
              <w:sz w:val="24"/>
              <w:szCs w:val="24"/>
              <w14:ligatures w14:val="standardContextual"/>
            </w:rPr>
          </w:pPr>
          <w:hyperlink w:history="1" w:anchor="_Toc198039458">
            <w:r w:rsidRPr="009820A3">
              <w:rPr>
                <w:rStyle w:val="Hyperlink"/>
                <w:noProof/>
              </w:rPr>
              <w:t>1.</w:t>
            </w:r>
            <w:r>
              <w:rPr>
                <w:rFonts w:asciiTheme="minorHAnsi" w:hAnsiTheme="minorHAnsi" w:cstheme="minorBidi"/>
                <w:noProof/>
                <w:kern w:val="2"/>
                <w:sz w:val="24"/>
                <w:szCs w:val="24"/>
                <w14:ligatures w14:val="standardContextual"/>
              </w:rPr>
              <w:tab/>
            </w:r>
            <w:r w:rsidRPr="009820A3">
              <w:rPr>
                <w:rStyle w:val="Hyperlink"/>
                <w:noProof/>
              </w:rPr>
              <w:t>Factual and Procedural Background</w:t>
            </w:r>
            <w:r>
              <w:rPr>
                <w:noProof/>
                <w:webHidden/>
              </w:rPr>
              <w:tab/>
            </w:r>
            <w:r>
              <w:rPr>
                <w:noProof/>
                <w:webHidden/>
              </w:rPr>
              <w:fldChar w:fldCharType="begin"/>
            </w:r>
            <w:r>
              <w:rPr>
                <w:noProof/>
                <w:webHidden/>
              </w:rPr>
              <w:instrText xml:space="preserve"> PAGEREF _Toc198039458 \h </w:instrText>
            </w:r>
            <w:r>
              <w:rPr>
                <w:noProof/>
                <w:webHidden/>
              </w:rPr>
            </w:r>
            <w:r>
              <w:rPr>
                <w:noProof/>
                <w:webHidden/>
              </w:rPr>
              <w:fldChar w:fldCharType="separate"/>
            </w:r>
            <w:r>
              <w:rPr>
                <w:noProof/>
                <w:webHidden/>
              </w:rPr>
              <w:t>2</w:t>
            </w:r>
            <w:r>
              <w:rPr>
                <w:noProof/>
                <w:webHidden/>
              </w:rPr>
              <w:fldChar w:fldCharType="end"/>
            </w:r>
          </w:hyperlink>
        </w:p>
        <w:p w:rsidR="00A34FCE" w:rsidRDefault="00A34FCE" w14:paraId="5C0F81C9" w14:textId="782DE2B0">
          <w:pPr>
            <w:pStyle w:val="TOC1"/>
            <w:tabs>
              <w:tab w:val="right" w:leader="dot" w:pos="9350"/>
            </w:tabs>
            <w:rPr>
              <w:rFonts w:asciiTheme="minorHAnsi" w:hAnsiTheme="minorHAnsi" w:cstheme="minorBidi"/>
              <w:noProof/>
              <w:kern w:val="2"/>
              <w:sz w:val="24"/>
              <w:szCs w:val="24"/>
              <w14:ligatures w14:val="standardContextual"/>
            </w:rPr>
          </w:pPr>
          <w:hyperlink w:history="1" w:anchor="_Toc198039459">
            <w:r w:rsidRPr="009820A3">
              <w:rPr>
                <w:rStyle w:val="Hyperlink"/>
                <w:noProof/>
              </w:rPr>
              <w:t>2.</w:t>
            </w:r>
            <w:r>
              <w:rPr>
                <w:rFonts w:asciiTheme="minorHAnsi" w:hAnsiTheme="minorHAnsi" w:cstheme="minorBidi"/>
                <w:noProof/>
                <w:kern w:val="2"/>
                <w:sz w:val="24"/>
                <w:szCs w:val="24"/>
                <w14:ligatures w14:val="standardContextual"/>
              </w:rPr>
              <w:tab/>
            </w:r>
            <w:r w:rsidRPr="009820A3">
              <w:rPr>
                <w:rStyle w:val="Hyperlink"/>
                <w:noProof/>
              </w:rPr>
              <w:t>Issues</w:t>
            </w:r>
            <w:r>
              <w:rPr>
                <w:noProof/>
                <w:webHidden/>
              </w:rPr>
              <w:tab/>
            </w:r>
            <w:r>
              <w:rPr>
                <w:noProof/>
                <w:webHidden/>
              </w:rPr>
              <w:fldChar w:fldCharType="begin"/>
            </w:r>
            <w:r>
              <w:rPr>
                <w:noProof/>
                <w:webHidden/>
              </w:rPr>
              <w:instrText xml:space="preserve"> PAGEREF _Toc198039459 \h </w:instrText>
            </w:r>
            <w:r>
              <w:rPr>
                <w:noProof/>
                <w:webHidden/>
              </w:rPr>
            </w:r>
            <w:r>
              <w:rPr>
                <w:noProof/>
                <w:webHidden/>
              </w:rPr>
              <w:fldChar w:fldCharType="separate"/>
            </w:r>
            <w:r>
              <w:rPr>
                <w:noProof/>
                <w:webHidden/>
              </w:rPr>
              <w:t>5</w:t>
            </w:r>
            <w:r>
              <w:rPr>
                <w:noProof/>
                <w:webHidden/>
              </w:rPr>
              <w:fldChar w:fldCharType="end"/>
            </w:r>
          </w:hyperlink>
        </w:p>
        <w:p w:rsidR="00A34FCE" w:rsidRDefault="00A34FCE" w14:paraId="59F2E37F" w14:textId="577EE4B9">
          <w:pPr>
            <w:pStyle w:val="TOC1"/>
            <w:tabs>
              <w:tab w:val="right" w:leader="dot" w:pos="9350"/>
            </w:tabs>
            <w:rPr>
              <w:rFonts w:asciiTheme="minorHAnsi" w:hAnsiTheme="minorHAnsi" w:cstheme="minorBidi"/>
              <w:noProof/>
              <w:kern w:val="2"/>
              <w:sz w:val="24"/>
              <w:szCs w:val="24"/>
              <w14:ligatures w14:val="standardContextual"/>
            </w:rPr>
          </w:pPr>
          <w:hyperlink w:history="1" w:anchor="_Toc198039460">
            <w:r w:rsidRPr="009820A3">
              <w:rPr>
                <w:rStyle w:val="Hyperlink"/>
                <w:noProof/>
              </w:rPr>
              <w:t>3.</w:t>
            </w:r>
            <w:r>
              <w:rPr>
                <w:rFonts w:asciiTheme="minorHAnsi" w:hAnsiTheme="minorHAnsi" w:cstheme="minorBidi"/>
                <w:noProof/>
                <w:kern w:val="2"/>
                <w:sz w:val="24"/>
                <w:szCs w:val="24"/>
                <w14:ligatures w14:val="standardContextual"/>
              </w:rPr>
              <w:tab/>
            </w:r>
            <w:r w:rsidRPr="009820A3">
              <w:rPr>
                <w:rStyle w:val="Hyperlink"/>
                <w:noProof/>
              </w:rPr>
              <w:t>Position of the Parties</w:t>
            </w:r>
            <w:r>
              <w:rPr>
                <w:noProof/>
                <w:webHidden/>
              </w:rPr>
              <w:tab/>
            </w:r>
            <w:r>
              <w:rPr>
                <w:noProof/>
                <w:webHidden/>
              </w:rPr>
              <w:fldChar w:fldCharType="begin"/>
            </w:r>
            <w:r>
              <w:rPr>
                <w:noProof/>
                <w:webHidden/>
              </w:rPr>
              <w:instrText xml:space="preserve"> PAGEREF _Toc198039460 \h </w:instrText>
            </w:r>
            <w:r>
              <w:rPr>
                <w:noProof/>
                <w:webHidden/>
              </w:rPr>
            </w:r>
            <w:r>
              <w:rPr>
                <w:noProof/>
                <w:webHidden/>
              </w:rPr>
              <w:fldChar w:fldCharType="separate"/>
            </w:r>
            <w:r>
              <w:rPr>
                <w:noProof/>
                <w:webHidden/>
              </w:rPr>
              <w:t>5</w:t>
            </w:r>
            <w:r>
              <w:rPr>
                <w:noProof/>
                <w:webHidden/>
              </w:rPr>
              <w:fldChar w:fldCharType="end"/>
            </w:r>
          </w:hyperlink>
        </w:p>
        <w:p w:rsidR="00A34FCE" w:rsidRDefault="00A34FCE" w14:paraId="560E530E" w14:textId="0BE7F8DD">
          <w:pPr>
            <w:pStyle w:val="TOC1"/>
            <w:tabs>
              <w:tab w:val="right" w:leader="dot" w:pos="9350"/>
            </w:tabs>
            <w:rPr>
              <w:rFonts w:asciiTheme="minorHAnsi" w:hAnsiTheme="minorHAnsi" w:cstheme="minorBidi"/>
              <w:noProof/>
              <w:kern w:val="2"/>
              <w:sz w:val="24"/>
              <w:szCs w:val="24"/>
              <w14:ligatures w14:val="standardContextual"/>
            </w:rPr>
          </w:pPr>
          <w:hyperlink w:history="1" w:anchor="_Toc198039461">
            <w:r w:rsidRPr="009820A3">
              <w:rPr>
                <w:rStyle w:val="Hyperlink"/>
                <w:noProof/>
              </w:rPr>
              <w:t>4.</w:t>
            </w:r>
            <w:r>
              <w:rPr>
                <w:rFonts w:asciiTheme="minorHAnsi" w:hAnsiTheme="minorHAnsi" w:cstheme="minorBidi"/>
                <w:noProof/>
                <w:kern w:val="2"/>
                <w:sz w:val="24"/>
                <w:szCs w:val="24"/>
                <w14:ligatures w14:val="standardContextual"/>
              </w:rPr>
              <w:tab/>
            </w:r>
            <w:r w:rsidRPr="009820A3">
              <w:rPr>
                <w:rStyle w:val="Hyperlink"/>
                <w:noProof/>
              </w:rPr>
              <w:t>Relevant Pub. Util. Codes and California Constitution</w:t>
            </w:r>
            <w:r>
              <w:rPr>
                <w:noProof/>
                <w:webHidden/>
              </w:rPr>
              <w:tab/>
            </w:r>
            <w:r>
              <w:rPr>
                <w:noProof/>
                <w:webHidden/>
              </w:rPr>
              <w:fldChar w:fldCharType="begin"/>
            </w:r>
            <w:r>
              <w:rPr>
                <w:noProof/>
                <w:webHidden/>
              </w:rPr>
              <w:instrText xml:space="preserve"> PAGEREF _Toc198039461 \h </w:instrText>
            </w:r>
            <w:r>
              <w:rPr>
                <w:noProof/>
                <w:webHidden/>
              </w:rPr>
            </w:r>
            <w:r>
              <w:rPr>
                <w:noProof/>
                <w:webHidden/>
              </w:rPr>
              <w:fldChar w:fldCharType="separate"/>
            </w:r>
            <w:r>
              <w:rPr>
                <w:noProof/>
                <w:webHidden/>
              </w:rPr>
              <w:t>9</w:t>
            </w:r>
            <w:r>
              <w:rPr>
                <w:noProof/>
                <w:webHidden/>
              </w:rPr>
              <w:fldChar w:fldCharType="end"/>
            </w:r>
          </w:hyperlink>
        </w:p>
        <w:p w:rsidR="00A34FCE" w:rsidRDefault="00A34FCE" w14:paraId="7E952AB5" w14:textId="7494A0A1">
          <w:pPr>
            <w:pStyle w:val="TOC1"/>
            <w:tabs>
              <w:tab w:val="right" w:leader="dot" w:pos="9350"/>
            </w:tabs>
            <w:rPr>
              <w:rFonts w:asciiTheme="minorHAnsi" w:hAnsiTheme="minorHAnsi" w:cstheme="minorBidi"/>
              <w:noProof/>
              <w:kern w:val="2"/>
              <w:sz w:val="24"/>
              <w:szCs w:val="24"/>
              <w14:ligatures w14:val="standardContextual"/>
            </w:rPr>
          </w:pPr>
          <w:hyperlink w:history="1" w:anchor="_Toc198039462">
            <w:r w:rsidRPr="009820A3">
              <w:rPr>
                <w:rStyle w:val="Hyperlink"/>
                <w:noProof/>
              </w:rPr>
              <w:t>5.</w:t>
            </w:r>
            <w:r>
              <w:rPr>
                <w:rFonts w:asciiTheme="minorHAnsi" w:hAnsiTheme="minorHAnsi" w:cstheme="minorBidi"/>
                <w:noProof/>
                <w:kern w:val="2"/>
                <w:sz w:val="24"/>
                <w:szCs w:val="24"/>
                <w14:ligatures w14:val="standardContextual"/>
              </w:rPr>
              <w:tab/>
            </w:r>
            <w:r w:rsidRPr="009820A3">
              <w:rPr>
                <w:rStyle w:val="Hyperlink"/>
                <w:noProof/>
              </w:rPr>
              <w:t>Discussion</w:t>
            </w:r>
            <w:r>
              <w:rPr>
                <w:noProof/>
                <w:webHidden/>
              </w:rPr>
              <w:tab/>
            </w:r>
            <w:r>
              <w:rPr>
                <w:noProof/>
                <w:webHidden/>
              </w:rPr>
              <w:fldChar w:fldCharType="begin"/>
            </w:r>
            <w:r>
              <w:rPr>
                <w:noProof/>
                <w:webHidden/>
              </w:rPr>
              <w:instrText xml:space="preserve"> PAGEREF _Toc198039462 \h </w:instrText>
            </w:r>
            <w:r>
              <w:rPr>
                <w:noProof/>
                <w:webHidden/>
              </w:rPr>
            </w:r>
            <w:r>
              <w:rPr>
                <w:noProof/>
                <w:webHidden/>
              </w:rPr>
              <w:fldChar w:fldCharType="separate"/>
            </w:r>
            <w:r>
              <w:rPr>
                <w:noProof/>
                <w:webHidden/>
              </w:rPr>
              <w:t>11</w:t>
            </w:r>
            <w:r>
              <w:rPr>
                <w:noProof/>
                <w:webHidden/>
              </w:rPr>
              <w:fldChar w:fldCharType="end"/>
            </w:r>
          </w:hyperlink>
        </w:p>
        <w:p w:rsidR="00A34FCE" w:rsidRDefault="00A34FCE" w14:paraId="3B944DCD" w14:textId="58024CCF">
          <w:pPr>
            <w:pStyle w:val="TOC1"/>
            <w:tabs>
              <w:tab w:val="right" w:leader="dot" w:pos="9350"/>
            </w:tabs>
            <w:rPr>
              <w:rFonts w:asciiTheme="minorHAnsi" w:hAnsiTheme="minorHAnsi" w:cstheme="minorBidi"/>
              <w:noProof/>
              <w:kern w:val="2"/>
              <w:sz w:val="24"/>
              <w:szCs w:val="24"/>
              <w14:ligatures w14:val="standardContextual"/>
            </w:rPr>
          </w:pPr>
          <w:hyperlink w:history="1" w:anchor="_Toc198039463">
            <w:r w:rsidRPr="009820A3">
              <w:rPr>
                <w:rStyle w:val="Hyperlink"/>
                <w:noProof/>
              </w:rPr>
              <w:t>6.</w:t>
            </w:r>
            <w:r>
              <w:rPr>
                <w:rFonts w:asciiTheme="minorHAnsi" w:hAnsiTheme="minorHAnsi" w:cstheme="minorBidi"/>
                <w:noProof/>
                <w:kern w:val="2"/>
                <w:sz w:val="24"/>
                <w:szCs w:val="24"/>
                <w14:ligatures w14:val="standardContextual"/>
              </w:rPr>
              <w:tab/>
            </w:r>
            <w:r w:rsidRPr="009820A3">
              <w:rPr>
                <w:rStyle w:val="Hyperlink"/>
                <w:noProof/>
              </w:rPr>
              <w:t>Appeal and Review of Presiding Officer’s Decision</w:t>
            </w:r>
            <w:r>
              <w:rPr>
                <w:noProof/>
                <w:webHidden/>
              </w:rPr>
              <w:tab/>
            </w:r>
            <w:r>
              <w:rPr>
                <w:noProof/>
                <w:webHidden/>
              </w:rPr>
              <w:fldChar w:fldCharType="begin"/>
            </w:r>
            <w:r>
              <w:rPr>
                <w:noProof/>
                <w:webHidden/>
              </w:rPr>
              <w:instrText xml:space="preserve"> PAGEREF _Toc198039463 \h </w:instrText>
            </w:r>
            <w:r>
              <w:rPr>
                <w:noProof/>
                <w:webHidden/>
              </w:rPr>
            </w:r>
            <w:r>
              <w:rPr>
                <w:noProof/>
                <w:webHidden/>
              </w:rPr>
              <w:fldChar w:fldCharType="separate"/>
            </w:r>
            <w:r>
              <w:rPr>
                <w:noProof/>
                <w:webHidden/>
              </w:rPr>
              <w:t>17</w:t>
            </w:r>
            <w:r>
              <w:rPr>
                <w:noProof/>
                <w:webHidden/>
              </w:rPr>
              <w:fldChar w:fldCharType="end"/>
            </w:r>
          </w:hyperlink>
        </w:p>
        <w:p w:rsidR="00A34FCE" w:rsidRDefault="00A34FCE" w14:paraId="4379889D" w14:textId="38C8B5E4">
          <w:pPr>
            <w:pStyle w:val="TOC1"/>
            <w:tabs>
              <w:tab w:val="right" w:leader="dot" w:pos="9350"/>
            </w:tabs>
            <w:rPr>
              <w:rFonts w:asciiTheme="minorHAnsi" w:hAnsiTheme="minorHAnsi" w:cstheme="minorBidi"/>
              <w:noProof/>
              <w:kern w:val="2"/>
              <w:sz w:val="24"/>
              <w:szCs w:val="24"/>
              <w14:ligatures w14:val="standardContextual"/>
            </w:rPr>
          </w:pPr>
          <w:hyperlink w:history="1" w:anchor="_Toc198039464">
            <w:r w:rsidRPr="009820A3">
              <w:rPr>
                <w:rStyle w:val="Hyperlink"/>
                <w:noProof/>
              </w:rPr>
              <w:t>7.</w:t>
            </w:r>
            <w:r>
              <w:rPr>
                <w:rFonts w:asciiTheme="minorHAnsi" w:hAnsiTheme="minorHAnsi" w:cstheme="minorBidi"/>
                <w:noProof/>
                <w:kern w:val="2"/>
                <w:sz w:val="24"/>
                <w:szCs w:val="24"/>
                <w14:ligatures w14:val="standardContextual"/>
              </w:rPr>
              <w:tab/>
            </w:r>
            <w:r w:rsidRPr="009820A3">
              <w:rPr>
                <w:rStyle w:val="Hyperlink"/>
                <w:noProof/>
              </w:rPr>
              <w:t>Assignment of Proceeding</w:t>
            </w:r>
            <w:r>
              <w:rPr>
                <w:noProof/>
                <w:webHidden/>
              </w:rPr>
              <w:tab/>
            </w:r>
            <w:r>
              <w:rPr>
                <w:noProof/>
                <w:webHidden/>
              </w:rPr>
              <w:fldChar w:fldCharType="begin"/>
            </w:r>
            <w:r>
              <w:rPr>
                <w:noProof/>
                <w:webHidden/>
              </w:rPr>
              <w:instrText xml:space="preserve"> PAGEREF _Toc198039464 \h </w:instrText>
            </w:r>
            <w:r>
              <w:rPr>
                <w:noProof/>
                <w:webHidden/>
              </w:rPr>
            </w:r>
            <w:r>
              <w:rPr>
                <w:noProof/>
                <w:webHidden/>
              </w:rPr>
              <w:fldChar w:fldCharType="separate"/>
            </w:r>
            <w:r>
              <w:rPr>
                <w:noProof/>
                <w:webHidden/>
              </w:rPr>
              <w:t>19</w:t>
            </w:r>
            <w:r>
              <w:rPr>
                <w:noProof/>
                <w:webHidden/>
              </w:rPr>
              <w:fldChar w:fldCharType="end"/>
            </w:r>
          </w:hyperlink>
        </w:p>
        <w:p w:rsidR="00A34FCE" w:rsidRDefault="00A34FCE" w14:paraId="287AD264" w14:textId="66E598C1">
          <w:pPr>
            <w:pStyle w:val="TOC1"/>
            <w:tabs>
              <w:tab w:val="right" w:leader="dot" w:pos="9350"/>
            </w:tabs>
            <w:rPr>
              <w:rFonts w:asciiTheme="minorHAnsi" w:hAnsiTheme="minorHAnsi" w:cstheme="minorBidi"/>
              <w:noProof/>
              <w:kern w:val="2"/>
              <w:sz w:val="24"/>
              <w:szCs w:val="24"/>
              <w14:ligatures w14:val="standardContextual"/>
            </w:rPr>
          </w:pPr>
          <w:hyperlink w:history="1" w:anchor="_Toc198039465">
            <w:r w:rsidRPr="009820A3">
              <w:rPr>
                <w:rStyle w:val="Hyperlink"/>
                <w:noProof/>
              </w:rPr>
              <w:t>Findings of Fact</w:t>
            </w:r>
            <w:r>
              <w:rPr>
                <w:noProof/>
                <w:webHidden/>
              </w:rPr>
              <w:tab/>
            </w:r>
            <w:r>
              <w:rPr>
                <w:noProof/>
                <w:webHidden/>
              </w:rPr>
              <w:fldChar w:fldCharType="begin"/>
            </w:r>
            <w:r>
              <w:rPr>
                <w:noProof/>
                <w:webHidden/>
              </w:rPr>
              <w:instrText xml:space="preserve"> PAGEREF _Toc198039465 \h </w:instrText>
            </w:r>
            <w:r>
              <w:rPr>
                <w:noProof/>
                <w:webHidden/>
              </w:rPr>
            </w:r>
            <w:r>
              <w:rPr>
                <w:noProof/>
                <w:webHidden/>
              </w:rPr>
              <w:fldChar w:fldCharType="separate"/>
            </w:r>
            <w:r>
              <w:rPr>
                <w:noProof/>
                <w:webHidden/>
              </w:rPr>
              <w:t>19</w:t>
            </w:r>
            <w:r>
              <w:rPr>
                <w:noProof/>
                <w:webHidden/>
              </w:rPr>
              <w:fldChar w:fldCharType="end"/>
            </w:r>
          </w:hyperlink>
        </w:p>
        <w:p w:rsidR="00A34FCE" w:rsidRDefault="00A34FCE" w14:paraId="0AE61AA0" w14:textId="6B0D888B">
          <w:pPr>
            <w:pStyle w:val="TOC1"/>
            <w:tabs>
              <w:tab w:val="right" w:leader="dot" w:pos="9350"/>
            </w:tabs>
            <w:rPr>
              <w:rFonts w:asciiTheme="minorHAnsi" w:hAnsiTheme="minorHAnsi" w:cstheme="minorBidi"/>
              <w:noProof/>
              <w:kern w:val="2"/>
              <w:sz w:val="24"/>
              <w:szCs w:val="24"/>
              <w14:ligatures w14:val="standardContextual"/>
            </w:rPr>
          </w:pPr>
          <w:hyperlink w:history="1" w:anchor="_Toc198039466">
            <w:r w:rsidRPr="009820A3">
              <w:rPr>
                <w:rStyle w:val="Hyperlink"/>
                <w:noProof/>
              </w:rPr>
              <w:t>Conclusions of Law</w:t>
            </w:r>
            <w:r>
              <w:rPr>
                <w:noProof/>
                <w:webHidden/>
              </w:rPr>
              <w:tab/>
            </w:r>
            <w:r>
              <w:rPr>
                <w:noProof/>
                <w:webHidden/>
              </w:rPr>
              <w:fldChar w:fldCharType="begin"/>
            </w:r>
            <w:r>
              <w:rPr>
                <w:noProof/>
                <w:webHidden/>
              </w:rPr>
              <w:instrText xml:space="preserve"> PAGEREF _Toc198039466 \h </w:instrText>
            </w:r>
            <w:r>
              <w:rPr>
                <w:noProof/>
                <w:webHidden/>
              </w:rPr>
            </w:r>
            <w:r>
              <w:rPr>
                <w:noProof/>
                <w:webHidden/>
              </w:rPr>
              <w:fldChar w:fldCharType="separate"/>
            </w:r>
            <w:r>
              <w:rPr>
                <w:noProof/>
                <w:webHidden/>
              </w:rPr>
              <w:t>20</w:t>
            </w:r>
            <w:r>
              <w:rPr>
                <w:noProof/>
                <w:webHidden/>
              </w:rPr>
              <w:fldChar w:fldCharType="end"/>
            </w:r>
          </w:hyperlink>
        </w:p>
        <w:p w:rsidR="00A34FCE" w:rsidRDefault="00A34FCE" w14:paraId="38982CDD" w14:textId="138C3EA2">
          <w:pPr>
            <w:pStyle w:val="TOC1"/>
            <w:tabs>
              <w:tab w:val="right" w:leader="dot" w:pos="9350"/>
            </w:tabs>
            <w:rPr>
              <w:rFonts w:asciiTheme="minorHAnsi" w:hAnsiTheme="minorHAnsi" w:cstheme="minorBidi"/>
              <w:noProof/>
              <w:kern w:val="2"/>
              <w:sz w:val="24"/>
              <w:szCs w:val="24"/>
              <w14:ligatures w14:val="standardContextual"/>
            </w:rPr>
          </w:pPr>
          <w:hyperlink w:history="1" w:anchor="_Toc198039467">
            <w:r w:rsidRPr="009820A3">
              <w:rPr>
                <w:rStyle w:val="Hyperlink"/>
                <w:noProof/>
              </w:rPr>
              <w:t>ORDER</w:t>
            </w:r>
            <w:r>
              <w:rPr>
                <w:noProof/>
                <w:webHidden/>
              </w:rPr>
              <w:tab/>
            </w:r>
            <w:r>
              <w:rPr>
                <w:noProof/>
                <w:webHidden/>
              </w:rPr>
              <w:fldChar w:fldCharType="begin"/>
            </w:r>
            <w:r>
              <w:rPr>
                <w:noProof/>
                <w:webHidden/>
              </w:rPr>
              <w:instrText xml:space="preserve"> PAGEREF _Toc198039467 \h </w:instrText>
            </w:r>
            <w:r>
              <w:rPr>
                <w:noProof/>
                <w:webHidden/>
              </w:rPr>
            </w:r>
            <w:r>
              <w:rPr>
                <w:noProof/>
                <w:webHidden/>
              </w:rPr>
              <w:fldChar w:fldCharType="separate"/>
            </w:r>
            <w:r>
              <w:rPr>
                <w:noProof/>
                <w:webHidden/>
              </w:rPr>
              <w:t>20</w:t>
            </w:r>
            <w:r>
              <w:rPr>
                <w:noProof/>
                <w:webHidden/>
              </w:rPr>
              <w:fldChar w:fldCharType="end"/>
            </w:r>
          </w:hyperlink>
        </w:p>
        <w:p w:rsidR="00656005" w:rsidP="00656005" w:rsidRDefault="00656005" w14:paraId="0A5E9FCD" w14:textId="40FDF1BA">
          <w:pPr>
            <w:pStyle w:val="TOC1"/>
            <w:tabs>
              <w:tab w:val="right" w:leader="dot" w:pos="9350"/>
            </w:tabs>
          </w:pPr>
          <w:r>
            <w:rPr>
              <w:rFonts w:asciiTheme="minorHAnsi" w:hAnsiTheme="minorHAnsi"/>
              <w:sz w:val="22"/>
            </w:rPr>
            <w:fldChar w:fldCharType="end"/>
          </w:r>
        </w:p>
      </w:sdtContent>
    </w:sdt>
    <w:p w:rsidR="00656005" w:rsidP="00656005" w:rsidRDefault="00656005" w14:paraId="4CE36BD2" w14:textId="69CC664E">
      <w:pPr>
        <w:pStyle w:val="Dummy"/>
        <w:sectPr w:rsidR="00656005" w:rsidSect="00656005">
          <w:footerReference w:type="default" r:id="rId11"/>
          <w:headerReference w:type="first" r:id="rId12"/>
          <w:footerReference w:type="first" r:id="rId13"/>
          <w:pgSz w:w="12240" w:h="15840"/>
          <w:pgMar w:top="1728" w:right="1440" w:bottom="1440" w:left="1440" w:header="720" w:footer="720" w:gutter="0"/>
          <w:pgNumType w:fmt="lowerRoman" w:start="1"/>
          <w:cols w:space="720"/>
          <w:titlePg/>
          <w:docGrid w:linePitch="360"/>
        </w:sectPr>
      </w:pPr>
    </w:p>
    <w:p w:rsidRPr="000F3432" w:rsidR="000F3432" w:rsidP="000F3432" w:rsidRDefault="00F137C2" w14:paraId="050B386F" w14:textId="3952DD23">
      <w:pPr>
        <w:spacing w:after="240" w:line="240" w:lineRule="auto"/>
        <w:ind w:firstLine="0"/>
        <w:jc w:val="center"/>
        <w:rPr>
          <w:rFonts w:ascii="Arial" w:hAnsi="Arial" w:cs="Arial"/>
          <w:b/>
          <w:bCs/>
        </w:rPr>
      </w:pPr>
      <w:r>
        <w:rPr>
          <w:rFonts w:ascii="Arial" w:hAnsi="Arial" w:cs="Arial"/>
          <w:b/>
          <w:bCs/>
        </w:rPr>
        <w:lastRenderedPageBreak/>
        <w:t xml:space="preserve">MODIFIED </w:t>
      </w:r>
      <w:r w:rsidRPr="000F3432" w:rsidR="000F3432">
        <w:rPr>
          <w:rFonts w:ascii="Arial" w:hAnsi="Arial" w:cs="Arial"/>
          <w:b/>
          <w:bCs/>
        </w:rPr>
        <w:t>PRESIDING OFFICER’S DECISION</w:t>
      </w:r>
      <w:r>
        <w:rPr>
          <w:rFonts w:ascii="Arial" w:hAnsi="Arial" w:cs="Arial"/>
          <w:b/>
          <w:bCs/>
        </w:rPr>
        <w:br/>
      </w:r>
      <w:r w:rsidRPr="000F3432" w:rsidR="000F3432">
        <w:rPr>
          <w:rFonts w:ascii="Arial" w:hAnsi="Arial" w:cs="Arial"/>
          <w:b/>
          <w:bCs/>
        </w:rPr>
        <w:t>DISMISSING</w:t>
      </w:r>
      <w:r>
        <w:rPr>
          <w:rFonts w:ascii="Arial" w:hAnsi="Arial" w:cs="Arial"/>
          <w:b/>
          <w:bCs/>
        </w:rPr>
        <w:t xml:space="preserve"> </w:t>
      </w:r>
      <w:r w:rsidRPr="000F3432" w:rsidR="000F3432">
        <w:rPr>
          <w:rFonts w:ascii="Arial" w:hAnsi="Arial" w:cs="Arial"/>
          <w:b/>
          <w:bCs/>
        </w:rPr>
        <w:t>COMPLAINT AND DENYING RELIEF</w:t>
      </w:r>
    </w:p>
    <w:p w:rsidR="00BB4BBC" w:rsidP="00BB4BBC" w:rsidRDefault="00BB4BBC" w14:paraId="4E7D9517" w14:textId="371A5BA6">
      <w:pPr>
        <w:pStyle w:val="Dummy"/>
      </w:pPr>
      <w:bookmarkStart w:name="_Toc198039457" w:id="2"/>
      <w:r w:rsidRPr="00887C77">
        <w:t>Summary</w:t>
      </w:r>
      <w:bookmarkEnd w:id="1"/>
      <w:bookmarkEnd w:id="2"/>
    </w:p>
    <w:p w:rsidR="0020756D" w:rsidP="00BB4BBC" w:rsidRDefault="009C53E1" w14:paraId="5E93CB56" w14:textId="1717648F">
      <w:pPr>
        <w:pStyle w:val="Standard"/>
      </w:pPr>
      <w:r>
        <w:t>James L. Duncan</w:t>
      </w:r>
      <w:r w:rsidR="00BB4BBC">
        <w:t xml:space="preserve">, </w:t>
      </w:r>
      <w:r w:rsidR="0020756D">
        <w:t>(</w:t>
      </w:r>
      <w:r w:rsidR="00BB4BBC">
        <w:t>Complainant</w:t>
      </w:r>
      <w:r w:rsidR="0020756D">
        <w:t xml:space="preserve"> or Duncan)</w:t>
      </w:r>
      <w:r w:rsidR="00BB4BBC">
        <w:t xml:space="preserve">, filed the instant </w:t>
      </w:r>
      <w:r w:rsidR="005A2EFB">
        <w:t>c</w:t>
      </w:r>
      <w:r w:rsidR="00BB4BBC">
        <w:t xml:space="preserve">omplaint against </w:t>
      </w:r>
      <w:r w:rsidRPr="00D26612">
        <w:t>Sonoma</w:t>
      </w:r>
      <w:r>
        <w:noBreakHyphen/>
      </w:r>
      <w:r w:rsidRPr="00D26612">
        <w:t xml:space="preserve">Marin Area Rail Transit District </w:t>
      </w:r>
      <w:r>
        <w:rPr>
          <w:szCs w:val="32"/>
        </w:rPr>
        <w:t>(</w:t>
      </w:r>
      <w:r w:rsidRPr="00D26612">
        <w:t>SMART</w:t>
      </w:r>
      <w:r>
        <w:rPr>
          <w:szCs w:val="32"/>
        </w:rPr>
        <w:t>)</w:t>
      </w:r>
      <w:r w:rsidR="00BB4BBC">
        <w:t xml:space="preserve">, Defendant, </w:t>
      </w:r>
      <w:r>
        <w:t>alleging among other things that SMART has failed to comply with Commission Decision</w:t>
      </w:r>
      <w:r w:rsidR="00F137C2">
        <w:t> </w:t>
      </w:r>
      <w:r w:rsidR="0020756D">
        <w:t>16</w:t>
      </w:r>
      <w:r w:rsidR="00F137C2">
        <w:noBreakHyphen/>
      </w:r>
      <w:r w:rsidR="0020756D">
        <w:t>09</w:t>
      </w:r>
      <w:r w:rsidR="00F137C2">
        <w:noBreakHyphen/>
      </w:r>
      <w:r w:rsidR="0020756D">
        <w:t xml:space="preserve">002 because SMART has failed to come to an agreement with the City of Santa Rosa (City) to construct the Jennings Avenue at-grade rail crossing. </w:t>
      </w:r>
    </w:p>
    <w:p w:rsidR="00BB4BBC" w:rsidP="0020756D" w:rsidRDefault="0020756D" w14:paraId="42CD621B" w14:textId="4A2AA330">
      <w:pPr>
        <w:pStyle w:val="Standard"/>
      </w:pPr>
      <w:r>
        <w:t>Duncan requests that SMART be compelled to agree to the construction of the Jennings Avenue rail crossing and that SMART be fined accordingly. Duncan</w:t>
      </w:r>
      <w:r w:rsidR="00BB4BBC">
        <w:t xml:space="preserve">’s assertions of fact are insufficient to support the causes of action alleged and have </w:t>
      </w:r>
      <w:r>
        <w:t>failed to</w:t>
      </w:r>
      <w:r w:rsidR="00BB4BBC">
        <w:t xml:space="preserve"> </w:t>
      </w:r>
      <w:r>
        <w:t>demonstrate by a preponderance of the evidence of any</w:t>
      </w:r>
      <w:r w:rsidR="00BB4BBC">
        <w:t xml:space="preserve"> violation </w:t>
      </w:r>
      <w:r>
        <w:t xml:space="preserve">of </w:t>
      </w:r>
      <w:r w:rsidRPr="00762968" w:rsidR="00BB4BBC">
        <w:rPr>
          <w:rFonts w:eastAsia="Calibri" w:cs="Times New Roman"/>
        </w:rPr>
        <w:t>any applicable Commissi</w:t>
      </w:r>
      <w:r w:rsidR="00BB4BBC">
        <w:rPr>
          <w:rFonts w:eastAsia="Calibri" w:cs="Times New Roman"/>
        </w:rPr>
        <w:t>on rule, law or</w:t>
      </w:r>
      <w:r>
        <w:rPr>
          <w:rFonts w:eastAsia="Calibri" w:cs="Times New Roman"/>
        </w:rPr>
        <w:t xml:space="preserve"> decision. T</w:t>
      </w:r>
      <w:r w:rsidR="00BB4BBC">
        <w:rPr>
          <w:rFonts w:eastAsia="Calibri" w:cs="Times New Roman"/>
        </w:rPr>
        <w:t>herefore</w:t>
      </w:r>
      <w:r>
        <w:rPr>
          <w:rFonts w:eastAsia="Calibri" w:cs="Times New Roman"/>
        </w:rPr>
        <w:t>,</w:t>
      </w:r>
      <w:r w:rsidR="00BB4BBC">
        <w:rPr>
          <w:rFonts w:eastAsia="Calibri" w:cs="Times New Roman"/>
        </w:rPr>
        <w:t xml:space="preserve"> the</w:t>
      </w:r>
      <w:r w:rsidR="00BB4BBC">
        <w:t xml:space="preserve"> relief requested cannot be granted. </w:t>
      </w:r>
      <w:r w:rsidR="00C7624E">
        <w:t xml:space="preserve">It is noted, however, that it has </w:t>
      </w:r>
      <w:r w:rsidRPr="00C7624E" w:rsidR="00C7624E">
        <w:t>been eight years since Decision 16</w:t>
      </w:r>
      <w:r w:rsidRPr="00C7624E" w:rsidR="00C7624E">
        <w:noBreakHyphen/>
        <w:t>09</w:t>
      </w:r>
      <w:r w:rsidRPr="00C7624E" w:rsidR="00C7624E">
        <w:noBreakHyphen/>
        <w:t>002 was issued granting the authority to construct the Jennings Avenue at-grade rail crossing construction and SMART and the City are still nowhere close to reaching an agreement</w:t>
      </w:r>
      <w:r w:rsidR="00C7624E">
        <w:t>.</w:t>
      </w:r>
      <w:r w:rsidRPr="00C7624E" w:rsidR="00C7624E">
        <w:t xml:space="preserve"> </w:t>
      </w:r>
    </w:p>
    <w:p w:rsidR="00BB4BBC" w:rsidP="00BB4BBC" w:rsidRDefault="00BB4BBC" w14:paraId="5C397BFA" w14:textId="77777777">
      <w:pPr>
        <w:pStyle w:val="Standard"/>
      </w:pPr>
      <w:r>
        <w:t xml:space="preserve">The </w:t>
      </w:r>
      <w:r w:rsidRPr="00887C77">
        <w:t>complaint</w:t>
      </w:r>
      <w:r>
        <w:t xml:space="preserve"> is dismissed.</w:t>
      </w:r>
    </w:p>
    <w:p w:rsidR="00BB4BBC" w:rsidP="00BB4BBC" w:rsidRDefault="00BB4BBC" w14:paraId="2455FB51" w14:textId="77777777">
      <w:pPr>
        <w:pStyle w:val="Standard"/>
      </w:pPr>
      <w:r>
        <w:t xml:space="preserve">The </w:t>
      </w:r>
      <w:r w:rsidRPr="00887C77">
        <w:t>request</w:t>
      </w:r>
      <w:r>
        <w:t>ed relief is denied.</w:t>
      </w:r>
    </w:p>
    <w:p w:rsidR="00BB4BBC" w:rsidP="00BB4BBC" w:rsidRDefault="00BB4BBC" w14:paraId="00B3AAE9" w14:textId="7FFBC1B4">
      <w:pPr>
        <w:pStyle w:val="Standard"/>
      </w:pPr>
      <w:r>
        <w:t>This proceeding is closed.</w:t>
      </w:r>
    </w:p>
    <w:p w:rsidR="005A148C" w:rsidP="00AF7A5D" w:rsidRDefault="00007154" w14:paraId="0F58F277" w14:textId="3C5ECBDC">
      <w:pPr>
        <w:pStyle w:val="Heading1"/>
      </w:pPr>
      <w:bookmarkStart w:name="_Toc198039458" w:id="3"/>
      <w:r w:rsidRPr="00AF7A5D">
        <w:t>Factual</w:t>
      </w:r>
      <w:r>
        <w:t xml:space="preserve"> and </w:t>
      </w:r>
      <w:r w:rsidR="009A6277">
        <w:t xml:space="preserve">Procedural </w:t>
      </w:r>
      <w:r w:rsidRPr="008F658E" w:rsidR="009A6277">
        <w:t>Background</w:t>
      </w:r>
      <w:bookmarkEnd w:id="3"/>
    </w:p>
    <w:p w:rsidR="000B4C9F" w:rsidP="00F445EB" w:rsidRDefault="000D4787" w14:paraId="3FE70156" w14:textId="6809F027">
      <w:pPr>
        <w:pStyle w:val="Standard"/>
      </w:pPr>
      <w:r w:rsidRPr="003C1E2D">
        <w:t>On June</w:t>
      </w:r>
      <w:r w:rsidRPr="003C1E2D" w:rsidR="00B03057">
        <w:t> </w:t>
      </w:r>
      <w:r w:rsidRPr="003C1E2D">
        <w:t>7,</w:t>
      </w:r>
      <w:r w:rsidRPr="003C1E2D" w:rsidR="00B03057">
        <w:t> </w:t>
      </w:r>
      <w:r w:rsidRPr="003C1E2D">
        <w:t xml:space="preserve">2021, </w:t>
      </w:r>
      <w:r w:rsidRPr="00D26612" w:rsidR="00B03057">
        <w:t>James L.</w:t>
      </w:r>
      <w:r w:rsidRPr="00D26612">
        <w:t xml:space="preserve"> Duncan </w:t>
      </w:r>
      <w:r w:rsidRPr="003C1E2D">
        <w:t>(</w:t>
      </w:r>
      <w:r w:rsidRPr="003C1E2D" w:rsidR="00ED3CCC">
        <w:t xml:space="preserve">Complainant or </w:t>
      </w:r>
      <w:r w:rsidRPr="00D26612">
        <w:t>Duncan</w:t>
      </w:r>
      <w:r w:rsidRPr="003C1E2D">
        <w:t>) filed this</w:t>
      </w:r>
      <w:r w:rsidRPr="000D4787">
        <w:rPr>
          <w:szCs w:val="32"/>
        </w:rPr>
        <w:t xml:space="preserve"> </w:t>
      </w:r>
      <w:r w:rsidR="005A2EFB">
        <w:rPr>
          <w:szCs w:val="32"/>
        </w:rPr>
        <w:t>c</w:t>
      </w:r>
      <w:r w:rsidRPr="000D4787">
        <w:rPr>
          <w:szCs w:val="32"/>
        </w:rPr>
        <w:t>omplaint, which first appeared on the Commission’s Daily Calendar on June</w:t>
      </w:r>
      <w:r w:rsidR="00745CEA">
        <w:rPr>
          <w:szCs w:val="32"/>
        </w:rPr>
        <w:t> </w:t>
      </w:r>
      <w:r w:rsidRPr="000D4787">
        <w:rPr>
          <w:szCs w:val="32"/>
        </w:rPr>
        <w:t>18,</w:t>
      </w:r>
      <w:r w:rsidR="00745CEA">
        <w:rPr>
          <w:szCs w:val="32"/>
        </w:rPr>
        <w:t> </w:t>
      </w:r>
      <w:r w:rsidRPr="000D4787">
        <w:rPr>
          <w:szCs w:val="32"/>
        </w:rPr>
        <w:t>2021.</w:t>
      </w:r>
      <w:r w:rsidR="0012232C">
        <w:rPr>
          <w:rStyle w:val="FootnoteReference"/>
          <w:szCs w:val="32"/>
        </w:rPr>
        <w:footnoteReference w:id="2"/>
      </w:r>
      <w:r w:rsidR="001C5783">
        <w:rPr>
          <w:szCs w:val="32"/>
        </w:rPr>
        <w:t xml:space="preserve"> </w:t>
      </w:r>
      <w:r w:rsidR="009640D6">
        <w:rPr>
          <w:szCs w:val="32"/>
        </w:rPr>
        <w:t xml:space="preserve">The </w:t>
      </w:r>
      <w:r w:rsidR="005A2EFB">
        <w:rPr>
          <w:szCs w:val="32"/>
        </w:rPr>
        <w:t>c</w:t>
      </w:r>
      <w:r w:rsidR="009640D6">
        <w:rPr>
          <w:szCs w:val="32"/>
        </w:rPr>
        <w:t>omplaint arises from Application (A.)</w:t>
      </w:r>
      <w:r w:rsidR="00F137C2">
        <w:rPr>
          <w:szCs w:val="32"/>
        </w:rPr>
        <w:t> </w:t>
      </w:r>
      <w:r w:rsidRPr="0011635C" w:rsidR="009640D6">
        <w:t>15</w:t>
      </w:r>
      <w:r w:rsidR="009640D6">
        <w:noBreakHyphen/>
      </w:r>
      <w:r w:rsidRPr="0011635C" w:rsidR="009640D6">
        <w:t>05</w:t>
      </w:r>
      <w:r w:rsidR="009640D6">
        <w:noBreakHyphen/>
      </w:r>
      <w:r w:rsidRPr="0011635C" w:rsidR="009640D6">
        <w:t>014, which sought authorization from the Commission for approval to construct an at</w:t>
      </w:r>
      <w:r w:rsidR="009640D6">
        <w:noBreakHyphen/>
      </w:r>
      <w:r w:rsidRPr="0011635C" w:rsidR="009640D6">
        <w:t xml:space="preserve">grade </w:t>
      </w:r>
      <w:r w:rsidRPr="0011635C" w:rsidR="009640D6">
        <w:lastRenderedPageBreak/>
        <w:t xml:space="preserve">pedestrian and bicycle crossing over </w:t>
      </w:r>
      <w:r w:rsidRPr="00D26612" w:rsidR="009C53E1">
        <w:t>Sonoma</w:t>
      </w:r>
      <w:r w:rsidR="009C53E1">
        <w:noBreakHyphen/>
      </w:r>
      <w:r w:rsidRPr="00D26612" w:rsidR="009C53E1">
        <w:t xml:space="preserve">Marin Area Rail Transit District </w:t>
      </w:r>
      <w:r w:rsidR="009C53E1">
        <w:rPr>
          <w:szCs w:val="32"/>
        </w:rPr>
        <w:t>(</w:t>
      </w:r>
      <w:r w:rsidRPr="00D26612" w:rsidR="009C53E1">
        <w:t>SMART</w:t>
      </w:r>
      <w:r w:rsidR="009C53E1">
        <w:rPr>
          <w:szCs w:val="32"/>
        </w:rPr>
        <w:t>)</w:t>
      </w:r>
      <w:r w:rsidRPr="0011635C" w:rsidR="009640D6">
        <w:t xml:space="preserve"> railroad tracks at Jennings Avenue in the </w:t>
      </w:r>
      <w:r w:rsidR="005A2EFB">
        <w:t>C</w:t>
      </w:r>
      <w:r w:rsidRPr="0011635C" w:rsidR="009640D6">
        <w:t xml:space="preserve">ity of </w:t>
      </w:r>
      <w:r w:rsidR="009640D6">
        <w:t>Santa </w:t>
      </w:r>
      <w:r w:rsidRPr="0011635C" w:rsidR="009640D6">
        <w:t>Rosa</w:t>
      </w:r>
      <w:r w:rsidR="005A2EFB">
        <w:t xml:space="preserve"> (City)</w:t>
      </w:r>
      <w:r w:rsidRPr="0011635C" w:rsidR="009640D6">
        <w:t>.</w:t>
      </w:r>
      <w:r w:rsidR="009B65A8">
        <w:rPr>
          <w:rStyle w:val="FootnoteReference"/>
        </w:rPr>
        <w:footnoteReference w:id="3"/>
      </w:r>
      <w:r w:rsidR="000B4C9F">
        <w:t xml:space="preserve"> The authority to construct the crossing was granted by the Commission in Decision (D.)</w:t>
      </w:r>
      <w:r w:rsidR="00F137C2">
        <w:t> </w:t>
      </w:r>
      <w:r w:rsidR="000B4C9F">
        <w:t>16-09-002.</w:t>
      </w:r>
    </w:p>
    <w:p w:rsidRPr="000B4C9F" w:rsidR="00525D74" w:rsidP="000B4C9F" w:rsidRDefault="000D4787" w14:paraId="60CC4949" w14:textId="50D34F46">
      <w:pPr>
        <w:pStyle w:val="Standard"/>
        <w:rPr>
          <w:szCs w:val="32"/>
        </w:rPr>
      </w:pPr>
      <w:r w:rsidRPr="000D4787">
        <w:rPr>
          <w:szCs w:val="32"/>
        </w:rPr>
        <w:t>On June</w:t>
      </w:r>
      <w:r w:rsidR="00745CEA">
        <w:rPr>
          <w:szCs w:val="32"/>
        </w:rPr>
        <w:t> </w:t>
      </w:r>
      <w:r w:rsidRPr="000D4787">
        <w:rPr>
          <w:szCs w:val="32"/>
        </w:rPr>
        <w:t>29,</w:t>
      </w:r>
      <w:r w:rsidR="00745CEA">
        <w:rPr>
          <w:szCs w:val="32"/>
        </w:rPr>
        <w:t> </w:t>
      </w:r>
      <w:r w:rsidRPr="000D4787">
        <w:rPr>
          <w:szCs w:val="32"/>
        </w:rPr>
        <w:t xml:space="preserve">2021, the Commission served the </w:t>
      </w:r>
      <w:r w:rsidRPr="00893B46">
        <w:rPr>
          <w:i/>
          <w:iCs/>
          <w:szCs w:val="32"/>
        </w:rPr>
        <w:t>Instruction to Answer</w:t>
      </w:r>
      <w:r w:rsidRPr="000D4787">
        <w:rPr>
          <w:szCs w:val="32"/>
        </w:rPr>
        <w:t xml:space="preserve"> to Duncan and </w:t>
      </w:r>
      <w:r w:rsidRPr="00D26612">
        <w:t>SMART</w:t>
      </w:r>
      <w:r w:rsidR="00F137C2">
        <w:t>.</w:t>
      </w:r>
      <w:r w:rsidR="00526EA0">
        <w:rPr>
          <w:rStyle w:val="FootnoteReference"/>
          <w:szCs w:val="32"/>
        </w:rPr>
        <w:footnoteReference w:id="4"/>
      </w:r>
      <w:r w:rsidR="001C5783">
        <w:rPr>
          <w:szCs w:val="32"/>
        </w:rPr>
        <w:t xml:space="preserve"> </w:t>
      </w:r>
      <w:r w:rsidRPr="000D4787">
        <w:rPr>
          <w:szCs w:val="32"/>
        </w:rPr>
        <w:t xml:space="preserve">The </w:t>
      </w:r>
      <w:r w:rsidRPr="00893B46">
        <w:rPr>
          <w:i/>
          <w:iCs/>
          <w:szCs w:val="32"/>
        </w:rPr>
        <w:t>Instruction to Answer</w:t>
      </w:r>
      <w:r w:rsidRPr="000D4787">
        <w:rPr>
          <w:szCs w:val="32"/>
        </w:rPr>
        <w:t xml:space="preserve"> preliminarily determined that this complaint is adjudicatory.</w:t>
      </w:r>
      <w:r w:rsidR="001C5783">
        <w:rPr>
          <w:szCs w:val="32"/>
        </w:rPr>
        <w:t xml:space="preserve"> </w:t>
      </w:r>
      <w:r w:rsidRPr="000D4787">
        <w:rPr>
          <w:szCs w:val="32"/>
        </w:rPr>
        <w:t>On July</w:t>
      </w:r>
      <w:r w:rsidR="00745CEA">
        <w:rPr>
          <w:szCs w:val="32"/>
        </w:rPr>
        <w:t> </w:t>
      </w:r>
      <w:r w:rsidRPr="000D4787">
        <w:rPr>
          <w:szCs w:val="32"/>
        </w:rPr>
        <w:t>9,</w:t>
      </w:r>
      <w:r w:rsidR="00745CEA">
        <w:rPr>
          <w:szCs w:val="32"/>
        </w:rPr>
        <w:t> </w:t>
      </w:r>
      <w:r w:rsidRPr="000D4787">
        <w:rPr>
          <w:szCs w:val="32"/>
        </w:rPr>
        <w:t xml:space="preserve">2021, an </w:t>
      </w:r>
      <w:r w:rsidR="00926CE1">
        <w:rPr>
          <w:szCs w:val="32"/>
        </w:rPr>
        <w:t>e</w:t>
      </w:r>
      <w:r w:rsidR="009E37FE">
        <w:rPr>
          <w:szCs w:val="32"/>
        </w:rPr>
        <w:noBreakHyphen/>
      </w:r>
      <w:r w:rsidR="00926CE1">
        <w:rPr>
          <w:szCs w:val="32"/>
        </w:rPr>
        <w:t>mail</w:t>
      </w:r>
      <w:r w:rsidRPr="000D4787">
        <w:rPr>
          <w:szCs w:val="32"/>
        </w:rPr>
        <w:t xml:space="preserve"> ruling grant</w:t>
      </w:r>
      <w:r>
        <w:rPr>
          <w:szCs w:val="32"/>
        </w:rPr>
        <w:t>ed</w:t>
      </w:r>
      <w:r w:rsidRPr="000D4787">
        <w:rPr>
          <w:szCs w:val="32"/>
        </w:rPr>
        <w:t xml:space="preserve"> SMART’s request for an extension of time to file its Answer.</w:t>
      </w:r>
      <w:r w:rsidR="001C5783">
        <w:rPr>
          <w:szCs w:val="32"/>
        </w:rPr>
        <w:t xml:space="preserve"> </w:t>
      </w:r>
      <w:r w:rsidRPr="000D4787">
        <w:rPr>
          <w:szCs w:val="32"/>
        </w:rPr>
        <w:t>SMART filed its Answer on September</w:t>
      </w:r>
      <w:r w:rsidR="00512CBE">
        <w:rPr>
          <w:szCs w:val="32"/>
        </w:rPr>
        <w:t> </w:t>
      </w:r>
      <w:r w:rsidRPr="000D4787">
        <w:rPr>
          <w:szCs w:val="32"/>
        </w:rPr>
        <w:t>14,</w:t>
      </w:r>
      <w:r w:rsidR="00512CBE">
        <w:rPr>
          <w:szCs w:val="32"/>
        </w:rPr>
        <w:t> </w:t>
      </w:r>
      <w:r w:rsidRPr="000D4787">
        <w:rPr>
          <w:szCs w:val="32"/>
        </w:rPr>
        <w:t>2021.</w:t>
      </w:r>
      <w:r w:rsidR="001C5783">
        <w:rPr>
          <w:szCs w:val="32"/>
        </w:rPr>
        <w:t xml:space="preserve"> </w:t>
      </w:r>
      <w:r w:rsidRPr="000D4787">
        <w:rPr>
          <w:szCs w:val="32"/>
        </w:rPr>
        <w:t>On October</w:t>
      </w:r>
      <w:r w:rsidR="00512CBE">
        <w:rPr>
          <w:szCs w:val="32"/>
        </w:rPr>
        <w:t> </w:t>
      </w:r>
      <w:r w:rsidRPr="000D4787">
        <w:rPr>
          <w:szCs w:val="32"/>
        </w:rPr>
        <w:t>25,</w:t>
      </w:r>
      <w:r w:rsidR="00512CBE">
        <w:rPr>
          <w:szCs w:val="32"/>
        </w:rPr>
        <w:t> </w:t>
      </w:r>
      <w:r w:rsidRPr="000D4787">
        <w:rPr>
          <w:szCs w:val="32"/>
        </w:rPr>
        <w:t xml:space="preserve">2021, both Duncan and SMART filed </w:t>
      </w:r>
      <w:r w:rsidRPr="00D26612" w:rsidR="00A11A35">
        <w:t>p</w:t>
      </w:r>
      <w:r w:rsidRPr="00D26612">
        <w:t xml:space="preserve">rehearing </w:t>
      </w:r>
      <w:r w:rsidRPr="00D26612" w:rsidR="00A11A35">
        <w:t>c</w:t>
      </w:r>
      <w:r w:rsidRPr="00D26612">
        <w:t xml:space="preserve">onference </w:t>
      </w:r>
      <w:r>
        <w:rPr>
          <w:szCs w:val="32"/>
        </w:rPr>
        <w:t>(</w:t>
      </w:r>
      <w:r w:rsidRPr="00D26612">
        <w:t>PHC</w:t>
      </w:r>
      <w:r>
        <w:rPr>
          <w:szCs w:val="32"/>
        </w:rPr>
        <w:t>)</w:t>
      </w:r>
      <w:r w:rsidRPr="000D4787">
        <w:rPr>
          <w:szCs w:val="32"/>
        </w:rPr>
        <w:t xml:space="preserve"> statements in this matter.</w:t>
      </w:r>
    </w:p>
    <w:p w:rsidR="00F445EB" w:rsidP="00F445EB" w:rsidRDefault="001D2EED" w14:paraId="7D988E71" w14:textId="2166CFE3">
      <w:pPr>
        <w:pStyle w:val="Standard"/>
      </w:pPr>
      <w:r>
        <w:t>A</w:t>
      </w:r>
      <w:r w:rsidR="000B4C9F">
        <w:t>n initial</w:t>
      </w:r>
      <w:r>
        <w:t xml:space="preserve"> </w:t>
      </w:r>
      <w:r w:rsidR="009C4F62">
        <w:t>PHC</w:t>
      </w:r>
      <w:r>
        <w:t xml:space="preserve"> was held on </w:t>
      </w:r>
      <w:r w:rsidR="000D4787">
        <w:t>November</w:t>
      </w:r>
      <w:r w:rsidR="00C10914">
        <w:t> </w:t>
      </w:r>
      <w:r w:rsidR="000D4787">
        <w:t>1</w:t>
      </w:r>
      <w:r w:rsidR="00A04C68">
        <w:t>,</w:t>
      </w:r>
      <w:r w:rsidR="00C10914">
        <w:t> </w:t>
      </w:r>
      <w:r w:rsidR="00A04C68">
        <w:t>202</w:t>
      </w:r>
      <w:r w:rsidR="00F50645">
        <w:t>1</w:t>
      </w:r>
      <w:r w:rsidR="00176B89">
        <w:t>,</w:t>
      </w:r>
      <w:r>
        <w:t xml:space="preserve"> to </w:t>
      </w:r>
      <w:r w:rsidR="00B30942">
        <w:t>addres</w:t>
      </w:r>
      <w:r>
        <w:t>s the issues of law and fact</w:t>
      </w:r>
      <w:r w:rsidR="009C4F62">
        <w:t xml:space="preserve">, </w:t>
      </w:r>
      <w:r>
        <w:t>determine the need for hearing</w:t>
      </w:r>
      <w:r w:rsidR="009C4F62">
        <w:t>,</w:t>
      </w:r>
      <w:r>
        <w:t xml:space="preserve"> </w:t>
      </w:r>
      <w:r w:rsidR="009C4F62">
        <w:t xml:space="preserve">set the </w:t>
      </w:r>
      <w:r>
        <w:t>schedule for resol</w:t>
      </w:r>
      <w:r w:rsidR="009C4F62">
        <w:t>v</w:t>
      </w:r>
      <w:r>
        <w:t>ing the matter</w:t>
      </w:r>
      <w:r w:rsidR="009C4F62">
        <w:t>, and address other matters as necessary</w:t>
      </w:r>
      <w:r>
        <w:t xml:space="preserve">. </w:t>
      </w:r>
      <w:r w:rsidR="00870A6C">
        <w:t xml:space="preserve">On </w:t>
      </w:r>
      <w:r w:rsidRPr="00D26612" w:rsidR="00870A6C">
        <w:t>December</w:t>
      </w:r>
      <w:r w:rsidRPr="00D26612" w:rsidR="00C10914">
        <w:t> </w:t>
      </w:r>
      <w:r w:rsidRPr="00D26612" w:rsidR="00870A6C">
        <w:t>13,</w:t>
      </w:r>
      <w:r w:rsidRPr="00D26612" w:rsidR="00C10914">
        <w:t> </w:t>
      </w:r>
      <w:r w:rsidRPr="00D26612" w:rsidR="00870A6C">
        <w:t xml:space="preserve">2021, a Scoping Memo and Ruling </w:t>
      </w:r>
      <w:r w:rsidR="00870A6C">
        <w:t>(</w:t>
      </w:r>
      <w:r w:rsidRPr="00D26612" w:rsidR="00870A6C">
        <w:t>Scoping Memo</w:t>
      </w:r>
      <w:r w:rsidR="00870A6C">
        <w:t xml:space="preserve">) was issued setting forth the issue of whether the </w:t>
      </w:r>
      <w:r w:rsidR="005A2EFB">
        <w:t>c</w:t>
      </w:r>
      <w:r w:rsidR="00870A6C">
        <w:t>omplaint should be dismissed. On December</w:t>
      </w:r>
      <w:r w:rsidR="00C10914">
        <w:t> </w:t>
      </w:r>
      <w:r w:rsidR="00870A6C">
        <w:t>21,</w:t>
      </w:r>
      <w:r w:rsidR="00C10914">
        <w:t> </w:t>
      </w:r>
      <w:r w:rsidR="00870A6C">
        <w:t>2021, Duncan filed comments on the Scoping Memo. SMART filed comments on December</w:t>
      </w:r>
      <w:r w:rsidR="00C10914">
        <w:t> </w:t>
      </w:r>
      <w:r w:rsidR="00870A6C">
        <w:t>22,</w:t>
      </w:r>
      <w:r w:rsidR="00C10914">
        <w:t> </w:t>
      </w:r>
      <w:r w:rsidR="00870A6C">
        <w:t xml:space="preserve">2021. </w:t>
      </w:r>
    </w:p>
    <w:p w:rsidR="00F445EB" w:rsidP="00F445EB" w:rsidRDefault="00870A6C" w14:paraId="24049271" w14:textId="7EBED01D">
      <w:pPr>
        <w:pStyle w:val="Standard"/>
      </w:pPr>
      <w:r>
        <w:t xml:space="preserve">On </w:t>
      </w:r>
      <w:r w:rsidRPr="00D26612">
        <w:t>January</w:t>
      </w:r>
      <w:r w:rsidRPr="00D26612" w:rsidR="00C10914">
        <w:t> </w:t>
      </w:r>
      <w:r w:rsidRPr="00D26612">
        <w:t>25,</w:t>
      </w:r>
      <w:r w:rsidRPr="00D26612" w:rsidR="00C10914">
        <w:t> </w:t>
      </w:r>
      <w:r w:rsidRPr="00D26612">
        <w:t xml:space="preserve">2022, SMART filed a Motion to Dismiss Duncan’s </w:t>
      </w:r>
      <w:r w:rsidR="005A2EFB">
        <w:t>c</w:t>
      </w:r>
      <w:r w:rsidRPr="00D26612">
        <w:t xml:space="preserve">omplaint </w:t>
      </w:r>
      <w:r>
        <w:t>(</w:t>
      </w:r>
      <w:r w:rsidRPr="00D26612">
        <w:t>Motion to Dismiss</w:t>
      </w:r>
      <w:r>
        <w:t xml:space="preserve">). On </w:t>
      </w:r>
      <w:r w:rsidRPr="00D26612">
        <w:t>February</w:t>
      </w:r>
      <w:r w:rsidRPr="00D26612" w:rsidR="00713307">
        <w:t> </w:t>
      </w:r>
      <w:r w:rsidRPr="00D26612">
        <w:t>25,</w:t>
      </w:r>
      <w:r w:rsidRPr="00D26612" w:rsidR="00713307">
        <w:t> </w:t>
      </w:r>
      <w:r w:rsidRPr="00D26612">
        <w:t xml:space="preserve">2021, Duncan filed an Opposition to the Motion to Dismiss </w:t>
      </w:r>
      <w:r>
        <w:t>(</w:t>
      </w:r>
      <w:r w:rsidRPr="00D26612">
        <w:t>Opposition</w:t>
      </w:r>
      <w:r>
        <w:t>). On March</w:t>
      </w:r>
      <w:r w:rsidR="00713307">
        <w:t> </w:t>
      </w:r>
      <w:r>
        <w:t>14,</w:t>
      </w:r>
      <w:r w:rsidR="00713307">
        <w:t> </w:t>
      </w:r>
      <w:r>
        <w:t>2021, SMART replied to the Opposition. On March</w:t>
      </w:r>
      <w:r w:rsidR="00713307">
        <w:t> </w:t>
      </w:r>
      <w:r>
        <w:t>16,</w:t>
      </w:r>
      <w:r w:rsidR="00713307">
        <w:t> </w:t>
      </w:r>
      <w:r>
        <w:t>2021, the Motion to Dismiss was denied.</w:t>
      </w:r>
    </w:p>
    <w:p w:rsidR="00EB3944" w:rsidP="00F445EB" w:rsidRDefault="00870A6C" w14:paraId="2B6D2A2A" w14:textId="57C5F2BC">
      <w:pPr>
        <w:pStyle w:val="Standard"/>
      </w:pPr>
      <w:r>
        <w:lastRenderedPageBreak/>
        <w:t xml:space="preserve">On </w:t>
      </w:r>
      <w:r w:rsidR="00525D74">
        <w:t xml:space="preserve">January 24, 2022, a </w:t>
      </w:r>
      <w:r w:rsidRPr="00D26612" w:rsidR="00525D74">
        <w:t xml:space="preserve">Petition for Modification </w:t>
      </w:r>
      <w:r w:rsidR="00525D74">
        <w:t>(</w:t>
      </w:r>
      <w:r w:rsidRPr="00D26612" w:rsidR="00525D74">
        <w:t>PFM</w:t>
      </w:r>
      <w:r w:rsidR="00525D74">
        <w:t>) that was filed by the Commission’s Rail Safety Division in A.15</w:t>
      </w:r>
      <w:r w:rsidR="00525D74">
        <w:noBreakHyphen/>
        <w:t>05</w:t>
      </w:r>
      <w:r w:rsidR="00525D74">
        <w:noBreakHyphen/>
        <w:t>014</w:t>
      </w:r>
      <w:r w:rsidR="000B4C9F">
        <w:t>, seeking to have the crossing be grade separated rather than at-grade</w:t>
      </w:r>
      <w:r w:rsidR="00525D74">
        <w:t xml:space="preserve">. On </w:t>
      </w:r>
      <w:r>
        <w:t>June</w:t>
      </w:r>
      <w:r w:rsidR="00713307">
        <w:t> </w:t>
      </w:r>
      <w:r>
        <w:t>22,</w:t>
      </w:r>
      <w:r w:rsidR="00713307">
        <w:t> </w:t>
      </w:r>
      <w:r>
        <w:t xml:space="preserve">2022, </w:t>
      </w:r>
      <w:r w:rsidRPr="00D26612">
        <w:t>A.</w:t>
      </w:r>
      <w:r>
        <w:t>15</w:t>
      </w:r>
      <w:r w:rsidR="009E37FE">
        <w:noBreakHyphen/>
      </w:r>
      <w:r>
        <w:t>05</w:t>
      </w:r>
      <w:r w:rsidR="009E37FE">
        <w:noBreakHyphen/>
      </w:r>
      <w:r>
        <w:t>014 was consolidated with this proceeding</w:t>
      </w:r>
      <w:r w:rsidR="000B4C9F">
        <w:t xml:space="preserve">, because the outcome of the PFM filed in A.15-05-014, could </w:t>
      </w:r>
      <w:r w:rsidR="009B65A8">
        <w:t xml:space="preserve">have </w:t>
      </w:r>
      <w:r w:rsidR="000B4C9F">
        <w:t>render</w:t>
      </w:r>
      <w:r w:rsidR="009B65A8">
        <w:t>ed</w:t>
      </w:r>
      <w:r w:rsidR="000B4C9F">
        <w:t xml:space="preserve"> this </w:t>
      </w:r>
      <w:r w:rsidR="005A2EFB">
        <w:t>c</w:t>
      </w:r>
      <w:r w:rsidR="000B4C9F">
        <w:t>omplaint moot</w:t>
      </w:r>
      <w:r>
        <w:t xml:space="preserve">. As a result of the consolidation, the schedule for this </w:t>
      </w:r>
      <w:r w:rsidR="005A2EFB">
        <w:t>c</w:t>
      </w:r>
      <w:r>
        <w:t xml:space="preserve">omplaint was suspended </w:t>
      </w:r>
      <w:r w:rsidR="00B2525B">
        <w:t>pending the resolution of</w:t>
      </w:r>
      <w:r>
        <w:t xml:space="preserve"> </w:t>
      </w:r>
      <w:r w:rsidR="00525D74">
        <w:t xml:space="preserve">the PFM. On November 17, 2022, D.22-11-025 was issued denying the PFM. </w:t>
      </w:r>
      <w:r w:rsidR="00525D74">
        <w:rPr>
          <w:szCs w:val="32"/>
        </w:rPr>
        <w:t>On November 21, 2022, an Email Ruling was issued and unconsolidated A.15-05-014 and C.21-06-011.</w:t>
      </w:r>
    </w:p>
    <w:p w:rsidR="00F445EB" w:rsidP="00F445EB" w:rsidRDefault="00B2525B" w14:paraId="121390C3" w14:textId="1FF82577">
      <w:pPr>
        <w:pStyle w:val="Standard"/>
      </w:pPr>
      <w:r>
        <w:t>On November</w:t>
      </w:r>
      <w:r w:rsidR="00E12DF5">
        <w:t> </w:t>
      </w:r>
      <w:r>
        <w:t>7,</w:t>
      </w:r>
      <w:r w:rsidR="00E12DF5">
        <w:t> </w:t>
      </w:r>
      <w:r>
        <w:t>2022, a subsequent PHC was conducted in this matter.</w:t>
      </w:r>
      <w:r w:rsidR="000723B3">
        <w:t xml:space="preserve"> On December 15, 2022, D.22</w:t>
      </w:r>
      <w:r w:rsidR="00F137C2">
        <w:noBreakHyphen/>
      </w:r>
      <w:r w:rsidR="000723B3">
        <w:t>12</w:t>
      </w:r>
      <w:r w:rsidR="00F137C2">
        <w:noBreakHyphen/>
      </w:r>
      <w:r w:rsidR="000723B3">
        <w:t xml:space="preserve">039 was issued extending the statutory deadline to March 29, 2024. </w:t>
      </w:r>
      <w:r w:rsidR="00525D74">
        <w:t xml:space="preserve">A subsequent </w:t>
      </w:r>
      <w:r w:rsidR="000723B3">
        <w:t>Scoping Memo was issued on December 19, 2022.</w:t>
      </w:r>
    </w:p>
    <w:p w:rsidR="000723B3" w:rsidP="00F445EB" w:rsidRDefault="000723B3" w14:paraId="6FD6F18A" w14:textId="0AF63587">
      <w:pPr>
        <w:pStyle w:val="Standard"/>
      </w:pPr>
      <w:r>
        <w:t xml:space="preserve">Evidentiary hearings were held on August 7-8, 2023. An additional date of evidentiary hearings was needed so that the </w:t>
      </w:r>
      <w:r w:rsidR="005A2EFB">
        <w:t>c</w:t>
      </w:r>
      <w:r>
        <w:t xml:space="preserve">omplaint could serve a subpoena on a witness. The third day of evidentiary hearings was held on November 13, 2023. At the conclusion of hearings on November 13, 2023, there was a disagreement about whether something was included in the scope of the matter. This disagreement resulted in the need for the parties to brief this issue. The </w:t>
      </w:r>
      <w:r w:rsidR="00F46663">
        <w:t xml:space="preserve">assigned </w:t>
      </w:r>
      <w:r>
        <w:t>A</w:t>
      </w:r>
      <w:r w:rsidR="00F46663">
        <w:t xml:space="preserve">dministrative </w:t>
      </w:r>
      <w:r>
        <w:t>L</w:t>
      </w:r>
      <w:r w:rsidR="00F46663">
        <w:t xml:space="preserve">aw </w:t>
      </w:r>
      <w:r>
        <w:t>J</w:t>
      </w:r>
      <w:r w:rsidR="00F46663">
        <w:t>udge (ALJ)</w:t>
      </w:r>
      <w:r>
        <w:t xml:space="preserve"> ultimately ruled that the disputed issue was not in scope because it was not listed in the Scoping Memo and neither party appealed the Scoping Memo.</w:t>
      </w:r>
    </w:p>
    <w:p w:rsidRPr="008F658E" w:rsidR="0011635C" w:rsidP="00902106" w:rsidRDefault="000723B3" w14:paraId="2BD270F0" w14:textId="4B49F19B">
      <w:pPr>
        <w:pStyle w:val="Standard"/>
      </w:pPr>
      <w:r>
        <w:t xml:space="preserve">On March 7, 2024, </w:t>
      </w:r>
      <w:r w:rsidR="00B93DF7">
        <w:t>D.</w:t>
      </w:r>
      <w:r>
        <w:t xml:space="preserve">24-03-013 extended the statutory deadline to December 29, 2024. </w:t>
      </w:r>
      <w:r w:rsidR="00526EA0">
        <w:t xml:space="preserve">On May 5, 2024, the parties filed their Opening Briefs in this proceeding. Duncan’s Opening Brief had attachments that contained information that was not previously admitted to the record. SMART objected to this and it resulted in the need for Duncan to correct and refile his Opening Brief, which </w:t>
      </w:r>
      <w:r w:rsidR="00526EA0">
        <w:lastRenderedPageBreak/>
        <w:t>was refiled on June 5, 2024. On June 5, 2024, the matter was reassigned from Commissioner Genevieve Shiroma to Commission Matthew Baker. Reply Briefs were filed on June 28, 2024.</w:t>
      </w:r>
      <w:r w:rsidR="009804FD">
        <w:t xml:space="preserve"> The matter was submitted on June </w:t>
      </w:r>
      <w:r w:rsidR="005A502E">
        <w:t>28, 2024.</w:t>
      </w:r>
      <w:r w:rsidR="00940469">
        <w:t xml:space="preserve"> On December 19, 2024, D.24-12-053 extended the statutory deadline to June 30, 2025. On December 23, 2025, the Complainant filed an appeal of presiding officer’s decision. On January 7, 2025, the Defendant filed a response to the Complainant’s appeal of the presiding officer’s decision.</w:t>
      </w:r>
    </w:p>
    <w:p w:rsidR="005A148C" w:rsidP="005939A5" w:rsidRDefault="009A6277" w14:paraId="51E7D8BA" w14:textId="6F79B99B">
      <w:pPr>
        <w:pStyle w:val="Heading1"/>
      </w:pPr>
      <w:bookmarkStart w:name="_Toc198039459" w:id="4"/>
      <w:r>
        <w:t>Issues</w:t>
      </w:r>
      <w:bookmarkEnd w:id="4"/>
    </w:p>
    <w:p w:rsidR="00E30F5B" w:rsidP="001B2075" w:rsidRDefault="00E30F5B" w14:paraId="3A1EB38C" w14:textId="450628AA">
      <w:pPr>
        <w:pStyle w:val="Standard"/>
        <w:rPr>
          <w:szCs w:val="26"/>
        </w:rPr>
      </w:pPr>
      <w:r>
        <w:rPr>
          <w:szCs w:val="26"/>
        </w:rPr>
        <w:t xml:space="preserve">Section two of the </w:t>
      </w:r>
      <w:r w:rsidR="005A2EFB">
        <w:rPr>
          <w:szCs w:val="26"/>
        </w:rPr>
        <w:t>c</w:t>
      </w:r>
      <w:r>
        <w:rPr>
          <w:szCs w:val="26"/>
        </w:rPr>
        <w:t>omplaint lists 42 causes of action which the Complainant wishes the Commission to consider.</w:t>
      </w:r>
      <w:r w:rsidR="00902106">
        <w:rPr>
          <w:rStyle w:val="FootnoteReference"/>
          <w:szCs w:val="26"/>
        </w:rPr>
        <w:footnoteReference w:id="5"/>
      </w:r>
      <w:r>
        <w:rPr>
          <w:szCs w:val="26"/>
        </w:rPr>
        <w:t xml:space="preserve"> These 42 causes of action focus on whether the Defendant complies with Commission orders, decision, and rules. The</w:t>
      </w:r>
      <w:r w:rsidR="00902106">
        <w:rPr>
          <w:szCs w:val="26"/>
        </w:rPr>
        <w:t xml:space="preserve"> issues before the Commission can be summarized as follows: </w:t>
      </w:r>
    </w:p>
    <w:p w:rsidR="00E30F5B" w:rsidP="00E2641F" w:rsidRDefault="00E30F5B" w14:paraId="1F926B88" w14:textId="3FA0BD6C">
      <w:pPr>
        <w:pStyle w:val="BlockQuoteH025"/>
        <w:numPr>
          <w:ilvl w:val="6"/>
          <w:numId w:val="28"/>
        </w:numPr>
        <w:ind w:left="1080" w:hanging="360"/>
      </w:pPr>
      <w:r>
        <w:t xml:space="preserve">Has SMART failed to comply with Commission </w:t>
      </w:r>
      <w:r w:rsidR="00411DA4">
        <w:t>D.16</w:t>
      </w:r>
      <w:r w:rsidR="009E37FE">
        <w:noBreakHyphen/>
      </w:r>
      <w:r w:rsidR="00411DA4">
        <w:t>09</w:t>
      </w:r>
      <w:r w:rsidR="009E37FE">
        <w:noBreakHyphen/>
      </w:r>
      <w:r w:rsidR="00411DA4">
        <w:t xml:space="preserve">002, </w:t>
      </w:r>
      <w:r w:rsidR="006E2F9D">
        <w:t>D.</w:t>
      </w:r>
      <w:r w:rsidR="00411DA4">
        <w:t>17</w:t>
      </w:r>
      <w:r w:rsidR="009E37FE">
        <w:noBreakHyphen/>
      </w:r>
      <w:r w:rsidR="00411DA4">
        <w:t>08</w:t>
      </w:r>
      <w:r w:rsidR="009E37FE">
        <w:noBreakHyphen/>
      </w:r>
      <w:r w:rsidR="00411DA4">
        <w:t xml:space="preserve">017, and </w:t>
      </w:r>
      <w:r w:rsidR="006E2F9D">
        <w:t>D.</w:t>
      </w:r>
      <w:r w:rsidR="00411DA4">
        <w:t>19</w:t>
      </w:r>
      <w:r w:rsidR="009E37FE">
        <w:noBreakHyphen/>
      </w:r>
      <w:r w:rsidR="00411DA4">
        <w:t>10</w:t>
      </w:r>
      <w:r w:rsidR="009E37FE">
        <w:noBreakHyphen/>
      </w:r>
      <w:r w:rsidR="00411DA4">
        <w:t>002;</w:t>
      </w:r>
      <w:r>
        <w:t xml:space="preserve"> Rule</w:t>
      </w:r>
      <w:r w:rsidR="006E2F9D">
        <w:t> </w:t>
      </w:r>
      <w:r w:rsidR="00411DA4">
        <w:t>1.1;</w:t>
      </w:r>
      <w:r>
        <w:t xml:space="preserve"> the P</w:t>
      </w:r>
      <w:r w:rsidR="00411DA4">
        <w:t>u</w:t>
      </w:r>
      <w:r w:rsidR="00AC322D">
        <w:t>blic Utilities (Pub. Util.)</w:t>
      </w:r>
      <w:r>
        <w:t xml:space="preserve"> Code</w:t>
      </w:r>
      <w:r w:rsidR="00411DA4">
        <w:t xml:space="preserve"> </w:t>
      </w:r>
      <w:r w:rsidR="005A2EFB">
        <w:t>§</w:t>
      </w:r>
      <w:r w:rsidR="006E2F9D">
        <w:t> </w:t>
      </w:r>
      <w:r w:rsidR="00411DA4">
        <w:t xml:space="preserve">702, </w:t>
      </w:r>
      <w:r w:rsidR="005A2EFB">
        <w:t>§</w:t>
      </w:r>
      <w:r w:rsidR="006E2F9D">
        <w:t> </w:t>
      </w:r>
      <w:r w:rsidR="00411DA4">
        <w:t xml:space="preserve">1201, </w:t>
      </w:r>
      <w:r w:rsidR="005A2EFB">
        <w:t>§</w:t>
      </w:r>
      <w:r w:rsidR="006E2F9D">
        <w:t> </w:t>
      </w:r>
      <w:r w:rsidR="00411DA4">
        <w:t xml:space="preserve">1202, </w:t>
      </w:r>
      <w:r w:rsidR="005A2EFB">
        <w:t>§</w:t>
      </w:r>
      <w:r w:rsidR="006E2F9D">
        <w:t> </w:t>
      </w:r>
      <w:r w:rsidR="00411DA4">
        <w:t>1709; and California Constitution Article</w:t>
      </w:r>
      <w:r w:rsidR="00B636AA">
        <w:t> </w:t>
      </w:r>
      <w:r w:rsidR="00411DA4">
        <w:t xml:space="preserve">XII, </w:t>
      </w:r>
      <w:r w:rsidR="005A2EFB">
        <w:t>§</w:t>
      </w:r>
      <w:r w:rsidR="006E2F9D">
        <w:t> </w:t>
      </w:r>
      <w:r w:rsidR="00411DA4">
        <w:t>8</w:t>
      </w:r>
      <w:r>
        <w:t>?</w:t>
      </w:r>
    </w:p>
    <w:p w:rsidR="00E30F5B" w:rsidP="00E2641F" w:rsidRDefault="00E30F5B" w14:paraId="51AF2A9A" w14:textId="17350097">
      <w:pPr>
        <w:pStyle w:val="BlockQuoteH025"/>
        <w:numPr>
          <w:ilvl w:val="6"/>
          <w:numId w:val="28"/>
        </w:numPr>
        <w:ind w:left="1080" w:hanging="360"/>
      </w:pPr>
      <w:r>
        <w:t>If yes, what should the consequences be?</w:t>
      </w:r>
    </w:p>
    <w:p w:rsidR="005939A5" w:rsidP="005939A5" w:rsidRDefault="003A3AB7" w14:paraId="185A1406" w14:textId="24148754">
      <w:pPr>
        <w:pStyle w:val="Heading1"/>
      </w:pPr>
      <w:bookmarkStart w:name="_Toc198039460" w:id="5"/>
      <w:r>
        <w:t>Position of the Parties</w:t>
      </w:r>
      <w:bookmarkEnd w:id="5"/>
    </w:p>
    <w:p w:rsidR="00B86A9F" w:rsidP="003C1E2D" w:rsidRDefault="00B86A9F" w14:paraId="1B847E63" w14:textId="1592CA7D">
      <w:pPr>
        <w:pStyle w:val="Standard"/>
      </w:pPr>
      <w:r>
        <w:t xml:space="preserve">The central issue in this case is the enforcement of the Commission’s exclusive jurisdiction over railroad crossings, particularly the Jennings Avenue crossing, which was approved by the Commission in </w:t>
      </w:r>
      <w:r w:rsidR="00B93DF7">
        <w:t>D.</w:t>
      </w:r>
      <w:r>
        <w:t>16-09-002. As a result of not coming to an agreement with the City to construct the crossing, Duncan believes that SMART violated</w:t>
      </w:r>
      <w:r w:rsidRPr="00C7793F">
        <w:t xml:space="preserve"> the California Constitution</w:t>
      </w:r>
      <w:r>
        <w:t>;</w:t>
      </w:r>
      <w:r w:rsidRPr="00C7793F">
        <w:t xml:space="preserve"> </w:t>
      </w:r>
      <w:r w:rsidR="005A2EFB">
        <w:t>§§</w:t>
      </w:r>
      <w:r>
        <w:t xml:space="preserve"> 702, 1201, 1202</w:t>
      </w:r>
      <w:r w:rsidR="00004C8D">
        <w:t>(a)</w:t>
      </w:r>
      <w:r>
        <w:t xml:space="preserve"> and 1709 of </w:t>
      </w:r>
      <w:r w:rsidRPr="00C7793F">
        <w:t xml:space="preserve">the </w:t>
      </w:r>
      <w:r>
        <w:t xml:space="preserve">Pub. Util. </w:t>
      </w:r>
      <w:r w:rsidRPr="00C7793F">
        <w:t>Code</w:t>
      </w:r>
      <w:r>
        <w:t>;</w:t>
      </w:r>
      <w:r w:rsidRPr="00C7793F">
        <w:t xml:space="preserve"> multiple </w:t>
      </w:r>
      <w:r>
        <w:t>Commission</w:t>
      </w:r>
      <w:r w:rsidRPr="00C7793F">
        <w:t xml:space="preserve"> decisions, particularly </w:t>
      </w:r>
      <w:r w:rsidRPr="00C7793F">
        <w:lastRenderedPageBreak/>
        <w:t>D.16-09-002, D.17-08-017, and D.19-10-002</w:t>
      </w:r>
      <w:r>
        <w:t>; and Rule 1.1 of the Commission’s Rules of Practice and Procedure</w:t>
      </w:r>
      <w:r w:rsidR="00A76E38">
        <w:t xml:space="preserve"> (Rule)</w:t>
      </w:r>
      <w:r w:rsidRPr="00C7793F">
        <w:t>.</w:t>
      </w:r>
      <w:r>
        <w:rPr>
          <w:rStyle w:val="FootnoteReference"/>
        </w:rPr>
        <w:footnoteReference w:id="6"/>
      </w:r>
      <w:r>
        <w:t xml:space="preserve"> </w:t>
      </w:r>
    </w:p>
    <w:p w:rsidR="00B86A9F" w:rsidP="003C1E2D" w:rsidRDefault="00B86A9F" w14:paraId="44F14EFE" w14:textId="3CBA4DD7">
      <w:pPr>
        <w:pStyle w:val="Standard"/>
      </w:pPr>
      <w:r>
        <w:t>Duncan asserts</w:t>
      </w:r>
      <w:r w:rsidRPr="00C7793F">
        <w:t xml:space="preserve"> that SMART has continuously failed to comply with </w:t>
      </w:r>
      <w:r>
        <w:t>Commission</w:t>
      </w:r>
      <w:r w:rsidRPr="00C7793F">
        <w:t xml:space="preserve"> decisions regarding the Jennings Avenue crossing and that </w:t>
      </w:r>
      <w:r>
        <w:t>Smart’s</w:t>
      </w:r>
      <w:r w:rsidRPr="00C7793F">
        <w:t xml:space="preserve"> actions have caused harm to the public and regulatory process. Duncan seeks the enforcement of </w:t>
      </w:r>
      <w:r>
        <w:t>Commission</w:t>
      </w:r>
      <w:r w:rsidRPr="00C7793F">
        <w:t xml:space="preserve"> orders, financial penalties</w:t>
      </w:r>
      <w:r>
        <w:t xml:space="preserve"> pursuant to Pub. Util. </w:t>
      </w:r>
      <w:r w:rsidR="005A2EFB">
        <w:t>C</w:t>
      </w:r>
      <w:r>
        <w:t xml:space="preserve">ode </w:t>
      </w:r>
      <w:r w:rsidR="005A2EFB">
        <w:t>§</w:t>
      </w:r>
      <w:r>
        <w:t xml:space="preserve"> 2107</w:t>
      </w:r>
      <w:r w:rsidRPr="00C7793F">
        <w:t>, and th</w:t>
      </w:r>
      <w:r>
        <w:t>at SMART be compelled to agree to the construction</w:t>
      </w:r>
      <w:r w:rsidRPr="00C7793F">
        <w:t xml:space="preserve"> of the crossing as approved.</w:t>
      </w:r>
      <w:r>
        <w:rPr>
          <w:rStyle w:val="FootnoteReference"/>
        </w:rPr>
        <w:footnoteReference w:id="7"/>
      </w:r>
    </w:p>
    <w:p w:rsidRPr="00C7793F" w:rsidR="00B86A9F" w:rsidP="003C1E2D" w:rsidRDefault="00B86A9F" w14:paraId="7870347F" w14:textId="6E70F5BD">
      <w:pPr>
        <w:pStyle w:val="Standard"/>
      </w:pPr>
      <w:r>
        <w:t xml:space="preserve">Duncan contends that </w:t>
      </w:r>
      <w:r w:rsidRPr="00C7793F">
        <w:t xml:space="preserve">SMART initially supported the crossing and had contractors ready to construct it for the </w:t>
      </w:r>
      <w:r>
        <w:t>City</w:t>
      </w:r>
      <w:r w:rsidRPr="00C7793F">
        <w:t xml:space="preserve">, but </w:t>
      </w:r>
      <w:r>
        <w:t xml:space="preserve">SMART </w:t>
      </w:r>
      <w:r w:rsidRPr="00C7793F">
        <w:t xml:space="preserve">later suspended the agreement, insisting that </w:t>
      </w:r>
      <w:r>
        <w:t>the City</w:t>
      </w:r>
      <w:r w:rsidRPr="00C7793F">
        <w:t xml:space="preserve"> enter into a separate agreement with terms </w:t>
      </w:r>
      <w:r>
        <w:t xml:space="preserve">he contends were </w:t>
      </w:r>
      <w:r w:rsidRPr="00C7793F">
        <w:t>dictated by SMART. This separate agreement included insurance, indemnification, and funding for SMART's Quiet Zone crossings, which are unrelated to the Jennings Avenue crossing.</w:t>
      </w:r>
    </w:p>
    <w:p w:rsidR="00B86A9F" w:rsidP="003C1E2D" w:rsidRDefault="00B86A9F" w14:paraId="039ADE42" w14:textId="77777777">
      <w:pPr>
        <w:pStyle w:val="Standard"/>
        <w:rPr>
          <w:bCs/>
        </w:rPr>
      </w:pPr>
      <w:r>
        <w:rPr>
          <w:bCs/>
        </w:rPr>
        <w:t xml:space="preserve">Duncan claims that </w:t>
      </w:r>
      <w:r w:rsidRPr="00C7793F">
        <w:t>SMART has failed to comply with three key</w:t>
      </w:r>
      <w:r>
        <w:t xml:space="preserve"> Commission </w:t>
      </w:r>
      <w:r w:rsidRPr="00C7793F">
        <w:t xml:space="preserve">decisions: D.16-09-002, D.17-08-017, and D.19-10-002. </w:t>
      </w:r>
      <w:r>
        <w:t xml:space="preserve">Duncan believes these </w:t>
      </w:r>
      <w:r w:rsidRPr="00C7793F">
        <w:t xml:space="preserve">decisions established the crossing’s safety, </w:t>
      </w:r>
      <w:r>
        <w:t>the Commissio</w:t>
      </w:r>
      <w:r w:rsidRPr="00C7793F">
        <w:t xml:space="preserve">n’s exclusive jurisdiction, and ordered SMART to cooperate with </w:t>
      </w:r>
      <w:r>
        <w:t>the City</w:t>
      </w:r>
      <w:r w:rsidRPr="00C7793F">
        <w:t xml:space="preserve"> for the construction of the crossing.</w:t>
      </w:r>
    </w:p>
    <w:p w:rsidR="00B86A9F" w:rsidP="003C1E2D" w:rsidRDefault="00B86A9F" w14:paraId="674D2FAA" w14:textId="701D2375">
      <w:pPr>
        <w:pStyle w:val="Standard"/>
      </w:pPr>
      <w:r>
        <w:rPr>
          <w:bCs/>
        </w:rPr>
        <w:t xml:space="preserve">Duncan accuses </w:t>
      </w:r>
      <w:r w:rsidRPr="00C7793F">
        <w:t xml:space="preserve">SMART  of delaying the project by imposing new conditions not included in the original agreements, including a demand for a Quiet Zone agreement that was not directly related to the Jennings Avenue </w:t>
      </w:r>
      <w:r w:rsidRPr="00C7793F">
        <w:lastRenderedPageBreak/>
        <w:t>crossing.</w:t>
      </w:r>
      <w:r>
        <w:t xml:space="preserve"> Duncan believes that SMART’s actions have </w:t>
      </w:r>
      <w:r w:rsidRPr="00C7793F">
        <w:t>violated the California Constitution and</w:t>
      </w:r>
      <w:r>
        <w:t xml:space="preserve"> various </w:t>
      </w:r>
      <w:r w:rsidRPr="00C7793F">
        <w:t>Pub</w:t>
      </w:r>
      <w:r w:rsidR="00646A88">
        <w:t>. Util.</w:t>
      </w:r>
      <w:r w:rsidRPr="00C7793F">
        <w:t xml:space="preserve"> Code</w:t>
      </w:r>
      <w:r>
        <w:t>s</w:t>
      </w:r>
      <w:r w:rsidRPr="00C7793F">
        <w:t xml:space="preserve">, which grants the </w:t>
      </w:r>
      <w:r>
        <w:t>Commission</w:t>
      </w:r>
      <w:r w:rsidRPr="00C7793F">
        <w:t xml:space="preserve"> exclusive authority over railroad crossings.</w:t>
      </w:r>
      <w:r>
        <w:t xml:space="preserve"> </w:t>
      </w:r>
    </w:p>
    <w:p w:rsidR="00B86A9F" w:rsidP="003C1E2D" w:rsidRDefault="00B86A9F" w14:paraId="172A749C" w14:textId="333AA36B">
      <w:pPr>
        <w:pStyle w:val="Standard"/>
      </w:pPr>
      <w:r>
        <w:t xml:space="preserve">He believes that the fact that SMART </w:t>
      </w:r>
      <w:r w:rsidR="00646A88">
        <w:t xml:space="preserve">now </w:t>
      </w:r>
      <w:r>
        <w:t>asserts that an at-grade crossing is not safe and the fact that the crossing in question has not been completed that this is evidence that SMART is deliberately disobeying the Commission’s authority. Duncan also argues that SMART is trying to relitigate issues that has already been decided by the Commission, namely that crossing should be grade-separated rather than at-grade.</w:t>
      </w:r>
    </w:p>
    <w:p w:rsidR="00B86A9F" w:rsidP="003C1E2D" w:rsidRDefault="00B86A9F" w14:paraId="52C85512" w14:textId="1BDFE4DA">
      <w:pPr>
        <w:pStyle w:val="Standard"/>
      </w:pPr>
      <w:r>
        <w:t xml:space="preserve">Duncan argues that </w:t>
      </w:r>
      <w:r w:rsidRPr="00C7793F">
        <w:t xml:space="preserve">SMART </w:t>
      </w:r>
      <w:r>
        <w:t xml:space="preserve">has failed to act in good faith </w:t>
      </w:r>
      <w:r w:rsidRPr="00C7793F">
        <w:t xml:space="preserve">and </w:t>
      </w:r>
      <w:r>
        <w:t xml:space="preserve">although SMART asserts it is negotiating with the City in good faith, Duncan claims that </w:t>
      </w:r>
      <w:r w:rsidRPr="00C7793F">
        <w:t xml:space="preserve">SMART’s behavior shows the opposite. </w:t>
      </w:r>
      <w:r>
        <w:t xml:space="preserve">He states that by </w:t>
      </w:r>
      <w:r w:rsidRPr="00C7793F">
        <w:t>imposing new, unrelated conditions, SMART is delaying the construction and obstructing the process.</w:t>
      </w:r>
      <w:r>
        <w:t xml:space="preserve"> He argues that SMART </w:t>
      </w:r>
      <w:r w:rsidRPr="00C7793F">
        <w:t>has used legal maneuvers and delays to avoid compliance with the</w:t>
      </w:r>
      <w:r>
        <w:t xml:space="preserve"> Commission</w:t>
      </w:r>
      <w:r w:rsidRPr="00C7793F">
        <w:t xml:space="preserve">'s decisions, thus violating </w:t>
      </w:r>
      <w:r>
        <w:t xml:space="preserve">Pub. Util </w:t>
      </w:r>
      <w:r w:rsidRPr="00C7793F">
        <w:t xml:space="preserve">Code </w:t>
      </w:r>
      <w:r w:rsidR="005A2EFB">
        <w:t>§</w:t>
      </w:r>
      <w:r w:rsidRPr="00C7793F">
        <w:t xml:space="preserve"> 702</w:t>
      </w:r>
      <w:r>
        <w:t xml:space="preserve">, which in relevant part </w:t>
      </w:r>
      <w:r w:rsidRPr="00C7793F">
        <w:t>mandat</w:t>
      </w:r>
      <w:r>
        <w:t>es</w:t>
      </w:r>
      <w:r w:rsidRPr="00C7793F">
        <w:t xml:space="preserve"> compliance with</w:t>
      </w:r>
      <w:r>
        <w:t xml:space="preserve"> Commission </w:t>
      </w:r>
      <w:r w:rsidRPr="00C7793F">
        <w:t>decisions.</w:t>
      </w:r>
      <w:r>
        <w:t xml:space="preserve"> </w:t>
      </w:r>
    </w:p>
    <w:p w:rsidRPr="00C7793F" w:rsidR="00B86A9F" w:rsidP="003C1E2D" w:rsidRDefault="00B86A9F" w14:paraId="6A74698E" w14:textId="77777777">
      <w:pPr>
        <w:pStyle w:val="Standard"/>
      </w:pPr>
      <w:r>
        <w:t xml:space="preserve">Duncan </w:t>
      </w:r>
      <w:r w:rsidRPr="00C7793F">
        <w:t xml:space="preserve">stresses the importance of maintaining the integrity of the </w:t>
      </w:r>
      <w:r>
        <w:t>Commission</w:t>
      </w:r>
      <w:r w:rsidRPr="00C7793F">
        <w:t>’s authority and ensuring that SMART complies with its regulatory obligations</w:t>
      </w:r>
      <w:r>
        <w:t xml:space="preserve">. Duncan asks the Commission to </w:t>
      </w:r>
      <w:r w:rsidRPr="00C7793F">
        <w:t>enforce its earlier decisions, impose fines on SMART, and compel the construction of the Jennings Avenue crossing without further delay.</w:t>
      </w:r>
      <w:r>
        <w:t xml:space="preserve"> Finally, Duncan argues that hearsay evidence need not be excluded from a Commission proceeding solely on the basis that the evidence is hearsay.</w:t>
      </w:r>
    </w:p>
    <w:p w:rsidR="00B86A9F" w:rsidP="003C1E2D" w:rsidRDefault="00B86A9F" w14:paraId="0F025A82" w14:textId="16CB21DB">
      <w:pPr>
        <w:pStyle w:val="Standard"/>
      </w:pPr>
      <w:r>
        <w:t xml:space="preserve">SMART </w:t>
      </w:r>
      <w:r w:rsidRPr="00C7793F">
        <w:t>was created by the California Legislature to oversee passenger rail service in Sonoma and Marin Counties</w:t>
      </w:r>
      <w:r>
        <w:t xml:space="preserve"> and </w:t>
      </w:r>
      <w:r w:rsidRPr="00C7793F">
        <w:t>started operations in 2017</w:t>
      </w:r>
      <w:r>
        <w:t xml:space="preserve">. SMART denies any wrongdoing in this matter. SMART asserts that as the complainant, </w:t>
      </w:r>
      <w:r>
        <w:lastRenderedPageBreak/>
        <w:t>Duncan bears the burden in this proceeding to establish that SMART has failed to comply with Commission decisions, statutes, or Rules. SMART asserts that Duncan has failed to meet this burden and as such fines and penalties are not warranted in this matter. SMART requests the Commission dismiss Duncan’s complaint with prejudice.</w:t>
      </w:r>
    </w:p>
    <w:p w:rsidR="00B86A9F" w:rsidP="003C1E2D" w:rsidRDefault="00B86A9F" w14:paraId="6856F29C" w14:textId="09DE7C45">
      <w:pPr>
        <w:pStyle w:val="Standard"/>
      </w:pPr>
      <w:r>
        <w:t xml:space="preserve">SMART made several arguments in this proceeding. SMART contends that it has not deliberately failed to comply with Commission decisions, rather it has been negotiating in good faith with the City to achieve an agreement that will allow the crossing in question to be completed. SMART denies that it is relitigating issues, but rather expressing safety concerns. Additionally, SMART asserts that Duncan cannot prove his case because he relies mainly on hearsay evidence. </w:t>
      </w:r>
    </w:p>
    <w:p w:rsidR="00B86A9F" w:rsidP="003C1E2D" w:rsidRDefault="00B86A9F" w14:paraId="6AA62C27" w14:textId="21A9FEFA">
      <w:pPr>
        <w:pStyle w:val="Standard"/>
      </w:pPr>
      <w:r>
        <w:t xml:space="preserve">SMART alleges it has been in </w:t>
      </w:r>
      <w:r w:rsidRPr="00C7793F">
        <w:t>engag</w:t>
      </w:r>
      <w:r w:rsidR="00646A88">
        <w:t>ing</w:t>
      </w:r>
      <w:r w:rsidRPr="00C7793F">
        <w:t xml:space="preserve"> in discussions with </w:t>
      </w:r>
      <w:r>
        <w:t xml:space="preserve">the City </w:t>
      </w:r>
      <w:r w:rsidRPr="00C7793F">
        <w:t xml:space="preserve">regarding the construction and safety concerns surrounding the Jennings Avenue crossing since the </w:t>
      </w:r>
      <w:r>
        <w:t xml:space="preserve">Commission granted regulatory authority approving the crossing. Although SMART is negotiating with the City for an agreement, SMART and the City have been unable to come to an agreement concerning the crossing. </w:t>
      </w:r>
    </w:p>
    <w:p w:rsidR="00B86A9F" w:rsidP="003C1E2D" w:rsidRDefault="00B86A9F" w14:paraId="03F8BA13" w14:textId="77777777">
      <w:pPr>
        <w:pStyle w:val="Standard"/>
      </w:pPr>
      <w:r>
        <w:t xml:space="preserve">SMART denies that it is relitigating the issues in this matter. Rather, </w:t>
      </w:r>
      <w:r w:rsidRPr="00C7793F">
        <w:t xml:space="preserve">SMART </w:t>
      </w:r>
      <w:r>
        <w:t>states that is simply raising</w:t>
      </w:r>
      <w:r w:rsidRPr="00C7793F">
        <w:t xml:space="preserve"> safety concerns regarding the at-grade crossing, particularly given the proximity to a school and residential areas. </w:t>
      </w:r>
      <w:r>
        <w:t xml:space="preserve">SMART argues that raising its good faith belief concerning safety concerns does not establish that it is usurping the Commission’s authority. </w:t>
      </w:r>
      <w:r w:rsidRPr="00C7793F">
        <w:t xml:space="preserve">SMART </w:t>
      </w:r>
      <w:r>
        <w:t xml:space="preserve">contends that although it has expressed concerns to the City about the safety of the at-grade crossing, it has been diligently working with the City to come to an </w:t>
      </w:r>
      <w:r>
        <w:lastRenderedPageBreak/>
        <w:t xml:space="preserve">agreement and that it would be a disregard of its duty to public safety not to express these concerns. </w:t>
      </w:r>
    </w:p>
    <w:p w:rsidR="00B86A9F" w:rsidP="003C1E2D" w:rsidRDefault="00B86A9F" w14:paraId="78071F93" w14:textId="0898D02D">
      <w:pPr>
        <w:pStyle w:val="Standard"/>
      </w:pPr>
      <w:r w:rsidRPr="00C7793F">
        <w:t xml:space="preserve">SMART argues that </w:t>
      </w:r>
      <w:r>
        <w:t xml:space="preserve">the lack of an agreement is not proof that it has failed to negotiate with the City in good faith. Rather, SMART asserts that </w:t>
      </w:r>
      <w:r w:rsidRPr="00C7793F">
        <w:t>it has acted within its legal rights to negotiate terms, including safety enhancements, insurance, indemnity, and other operational responsibilities</w:t>
      </w:r>
      <w:r>
        <w:t xml:space="preserve">. SMART also points out that the Commission’s Rail Safety Division also expressed concerns about the safety of an at-grade crossing when it filed a PFM on June 22, 2022. Finally, SMART points out that Commission </w:t>
      </w:r>
      <w:r w:rsidRPr="00C7793F">
        <w:t>decisions did not mandate immediate construction of the crossing but rather authorized it, leaving room for negotiations regarding safety and other details.</w:t>
      </w:r>
    </w:p>
    <w:p w:rsidR="00B86A9F" w:rsidP="00B86A9F" w:rsidRDefault="00B86A9F" w14:paraId="54BD0039" w14:textId="79265B92">
      <w:pPr>
        <w:pStyle w:val="Heading1"/>
      </w:pPr>
      <w:bookmarkStart w:name="_Toc198039461" w:id="6"/>
      <w:r>
        <w:t>Relevant Pub</w:t>
      </w:r>
      <w:r w:rsidR="00A76E38">
        <w:t xml:space="preserve">. </w:t>
      </w:r>
      <w:r>
        <w:t>Util</w:t>
      </w:r>
      <w:r w:rsidR="00A76E38">
        <w:t xml:space="preserve">. </w:t>
      </w:r>
      <w:r>
        <w:t>Codes and California Constitution</w:t>
      </w:r>
      <w:bookmarkEnd w:id="6"/>
      <w:r>
        <w:t xml:space="preserve"> </w:t>
      </w:r>
    </w:p>
    <w:p w:rsidR="00285BC9" w:rsidP="00DF6880" w:rsidRDefault="00B86A9F" w14:paraId="3FFE57C5" w14:textId="20B80D12">
      <w:pPr>
        <w:pStyle w:val="Standard"/>
      </w:pPr>
      <w:r>
        <w:t>As noted above, Duncan asserts that SMART violated Pub. Util. Code §§</w:t>
      </w:r>
      <w:r w:rsidR="00F46663">
        <w:t> </w:t>
      </w:r>
      <w:r>
        <w:t>702, 1201, 1202</w:t>
      </w:r>
      <w:r w:rsidR="00004C8D">
        <w:t>(a)</w:t>
      </w:r>
      <w:r>
        <w:t>, 1709</w:t>
      </w:r>
      <w:r w:rsidR="00004C8D">
        <w:t xml:space="preserve">, </w:t>
      </w:r>
      <w:r>
        <w:t>California Constitution Article XII § 8</w:t>
      </w:r>
      <w:r w:rsidR="00004C8D">
        <w:t xml:space="preserve"> and Rule 1.1</w:t>
      </w:r>
      <w:r>
        <w:t xml:space="preserve">. </w:t>
      </w:r>
      <w:r w:rsidR="00004C8D">
        <w:t xml:space="preserve">Additionally, he asserts that hearsay evidence is admissible in Commission proceedings. </w:t>
      </w:r>
      <w:r w:rsidR="000D3521">
        <w:t>Relevant Pub. Util. Codes</w:t>
      </w:r>
      <w:r w:rsidR="00004C8D">
        <w:t xml:space="preserve">, </w:t>
      </w:r>
      <w:r w:rsidR="000D3521">
        <w:t>California Constitution Article XII § 8</w:t>
      </w:r>
      <w:r w:rsidR="00004C8D">
        <w:t>, and Rules 1.1 and 13.6</w:t>
      </w:r>
      <w:r w:rsidR="000D3521">
        <w:t xml:space="preserve"> state the following:</w:t>
      </w:r>
    </w:p>
    <w:p w:rsidRPr="000D3521" w:rsidR="000D3521" w:rsidP="006E646E" w:rsidRDefault="000D3521" w14:paraId="54BC50F5" w14:textId="07C79617">
      <w:pPr>
        <w:pStyle w:val="BlockQuote"/>
        <w:spacing w:after="240"/>
      </w:pPr>
      <w:r w:rsidRPr="000D3521">
        <w:rPr>
          <w:b/>
          <w:bCs/>
        </w:rPr>
        <w:t>Pub. Util Code §</w:t>
      </w:r>
      <w:r>
        <w:rPr>
          <w:b/>
          <w:bCs/>
        </w:rPr>
        <w:t>702</w:t>
      </w:r>
      <w:r w:rsidRPr="000D3521">
        <w:rPr>
          <w:b/>
          <w:bCs/>
        </w:rPr>
        <w:t>:</w:t>
      </w:r>
      <w:r>
        <w:rPr>
          <w:b/>
          <w:bCs/>
        </w:rPr>
        <w:t xml:space="preserve"> </w:t>
      </w:r>
      <w:r w:rsidRPr="000D3521">
        <w:t>Every public utility shall obey and comply with every order, decision, direction, or rule made or prescribed by the</w:t>
      </w:r>
      <w:r w:rsidR="006E646E">
        <w:t xml:space="preserve"> </w:t>
      </w:r>
      <w:r w:rsidRPr="000D3521">
        <w:t>commission in the matters specified in this part, or any other matter in any way relating to or affecting its business as a public utility,</w:t>
      </w:r>
      <w:r w:rsidR="006E646E">
        <w:t xml:space="preserve"> </w:t>
      </w:r>
      <w:r w:rsidRPr="000D3521">
        <w:t>and shall do everything necessary or proper to secure compliance therewith by all of its officers, agents, and employees.</w:t>
      </w:r>
    </w:p>
    <w:p w:rsidRPr="00004C8D" w:rsidR="00004C8D" w:rsidP="006E646E" w:rsidRDefault="000D3521" w14:paraId="1E196259" w14:textId="0ED5A9E7">
      <w:pPr>
        <w:pStyle w:val="BlockQuote"/>
        <w:spacing w:after="240"/>
      </w:pPr>
      <w:r w:rsidRPr="000D3521">
        <w:rPr>
          <w:b/>
          <w:bCs/>
        </w:rPr>
        <w:t>Pub. Util Code §1</w:t>
      </w:r>
      <w:r>
        <w:rPr>
          <w:b/>
          <w:bCs/>
        </w:rPr>
        <w:t>201</w:t>
      </w:r>
      <w:r w:rsidRPr="000D3521">
        <w:rPr>
          <w:b/>
          <w:bCs/>
        </w:rPr>
        <w:t>:</w:t>
      </w:r>
      <w:r>
        <w:rPr>
          <w:b/>
          <w:bCs/>
        </w:rPr>
        <w:t xml:space="preserve"> </w:t>
      </w:r>
      <w:r w:rsidRPr="00004C8D">
        <w:t>No public road, highway, or street shall be constructed across the track of any railroad corporation at grade, nor shall the</w:t>
      </w:r>
      <w:r w:rsidR="00004C8D">
        <w:t xml:space="preserve"> </w:t>
      </w:r>
      <w:r w:rsidRPr="000D3521">
        <w:t>track of any railroad corporation be constructed across a public road, highway, or street at grade, or shall the track of any railroad</w:t>
      </w:r>
      <w:r w:rsidR="00004C8D">
        <w:t xml:space="preserve"> </w:t>
      </w:r>
      <w:r w:rsidRPr="000D3521">
        <w:t xml:space="preserve">corporation be constructed across the track of any other railroad or street railroad corporation at grade, nor shall the track of </w:t>
      </w:r>
      <w:r w:rsidRPr="000D3521">
        <w:lastRenderedPageBreak/>
        <w:t>a street</w:t>
      </w:r>
      <w:r w:rsidR="00004C8D">
        <w:t xml:space="preserve"> </w:t>
      </w:r>
      <w:r w:rsidRPr="000D3521">
        <w:t>railroad corporation be constructed across the track of a railroad corporation at grade, without having first secured the permission</w:t>
      </w:r>
      <w:r w:rsidR="00004C8D">
        <w:t xml:space="preserve"> </w:t>
      </w:r>
      <w:r w:rsidRPr="000D3521">
        <w:t>of the commission. This section shall not apply to the replacement of lawfully existing tracks. The commission may refuse its</w:t>
      </w:r>
      <w:r w:rsidR="00004C8D">
        <w:t xml:space="preserve"> </w:t>
      </w:r>
      <w:r w:rsidRPr="00004C8D">
        <w:t>permission or grant it upon such terms and conditions as it prescribes</w:t>
      </w:r>
      <w:r w:rsidR="00004C8D">
        <w:t>.</w:t>
      </w:r>
    </w:p>
    <w:p w:rsidRPr="00004C8D" w:rsidR="00004C8D" w:rsidP="006E646E" w:rsidRDefault="000D3521" w14:paraId="1034B1F0" w14:textId="2B8B6729">
      <w:pPr>
        <w:pStyle w:val="BlockQuote"/>
        <w:keepNext/>
      </w:pPr>
      <w:r w:rsidRPr="000D3521">
        <w:rPr>
          <w:b/>
          <w:bCs/>
        </w:rPr>
        <w:t>Pub. Util Code §1</w:t>
      </w:r>
      <w:r>
        <w:rPr>
          <w:b/>
          <w:bCs/>
        </w:rPr>
        <w:t>202</w:t>
      </w:r>
      <w:r w:rsidRPr="000D3521">
        <w:rPr>
          <w:b/>
          <w:bCs/>
        </w:rPr>
        <w:t>:</w:t>
      </w:r>
      <w:r w:rsidR="00004C8D">
        <w:t xml:space="preserve"> </w:t>
      </w:r>
      <w:r w:rsidRPr="00004C8D" w:rsidR="00004C8D">
        <w:t>The commission has the exclusive power:</w:t>
      </w:r>
    </w:p>
    <w:p w:rsidRPr="00004C8D" w:rsidR="000D3521" w:rsidP="006E646E" w:rsidRDefault="00004C8D" w14:paraId="132852C0" w14:textId="3BF1093F">
      <w:pPr>
        <w:pStyle w:val="BlockQuote"/>
        <w:spacing w:after="240"/>
        <w:ind w:left="1440"/>
      </w:pPr>
      <w:r w:rsidRPr="00004C8D">
        <w:t>(a) To determine and prescribe the manner, including the particular point of crossing, and the terms of installation, operation,</w:t>
      </w:r>
      <w:r>
        <w:t xml:space="preserve"> </w:t>
      </w:r>
      <w:r w:rsidRPr="00004C8D">
        <w:t>maintenance, use, and protection of each crossing of one railroad by another railroad or street railroad, of a street railroad by a</w:t>
      </w:r>
      <w:r>
        <w:t xml:space="preserve"> </w:t>
      </w:r>
      <w:r w:rsidRPr="00004C8D">
        <w:t>railroad, of each crossing of a public or publicly used road or highway by a railroad or street railroad, and of a street by a railroad or</w:t>
      </w:r>
      <w:r>
        <w:t xml:space="preserve"> </w:t>
      </w:r>
      <w:r w:rsidRPr="00004C8D">
        <w:t>of a railroad by a street.</w:t>
      </w:r>
    </w:p>
    <w:p w:rsidR="00004C8D" w:rsidP="006E646E" w:rsidRDefault="000D3521" w14:paraId="68651A98" w14:textId="7EB8F141">
      <w:pPr>
        <w:pStyle w:val="BlockQuote"/>
        <w:spacing w:after="240"/>
      </w:pPr>
      <w:r w:rsidRPr="000D3521">
        <w:rPr>
          <w:b/>
          <w:bCs/>
        </w:rPr>
        <w:t>Pub. Util Code §1709:</w:t>
      </w:r>
      <w:r w:rsidRPr="000D3521">
        <w:t xml:space="preserve"> In all collateral actions or proceedings, the orders and decisions of the commission which have become final shall be</w:t>
      </w:r>
      <w:r w:rsidR="006E646E">
        <w:t xml:space="preserve"> </w:t>
      </w:r>
      <w:r w:rsidRPr="000D3521">
        <w:t>conclusive.</w:t>
      </w:r>
      <w:bookmarkStart w:name="_Toc69137264" w:id="7"/>
    </w:p>
    <w:p w:rsidR="00F7734C" w:rsidP="006E646E" w:rsidRDefault="00F7734C" w14:paraId="08920BF2" w14:textId="6DB73E52">
      <w:pPr>
        <w:pStyle w:val="BlockQuote"/>
        <w:keepNext/>
        <w:rPr>
          <w:b/>
          <w:bCs/>
        </w:rPr>
      </w:pPr>
      <w:r>
        <w:rPr>
          <w:b/>
          <w:bCs/>
        </w:rPr>
        <w:t xml:space="preserve">California Constitution Article XII, </w:t>
      </w:r>
      <w:r w:rsidRPr="000D3521">
        <w:rPr>
          <w:b/>
          <w:bCs/>
        </w:rPr>
        <w:t>§</w:t>
      </w:r>
      <w:r>
        <w:rPr>
          <w:b/>
          <w:bCs/>
        </w:rPr>
        <w:t xml:space="preserve"> 8:</w:t>
      </w:r>
    </w:p>
    <w:p w:rsidRPr="00F7734C" w:rsidR="00F7734C" w:rsidP="006E646E" w:rsidRDefault="00F7734C" w14:paraId="63541B3A" w14:textId="3C8200B9">
      <w:pPr>
        <w:pStyle w:val="BlockQuote"/>
        <w:spacing w:after="240"/>
      </w:pPr>
      <w:r w:rsidRPr="00F7734C">
        <w:t>A city, county, or other public body may not regulate matters over which the L</w:t>
      </w:r>
      <w:r>
        <w:t>egislature grants regulatory power of the Commission.…</w:t>
      </w:r>
    </w:p>
    <w:p w:rsidR="00F7734C" w:rsidP="006E646E" w:rsidRDefault="00F7734C" w14:paraId="3C1CC53B" w14:textId="30A7BE33">
      <w:pPr>
        <w:pStyle w:val="BlockQuote"/>
        <w:keepNext/>
        <w:rPr>
          <w:color w:val="000000"/>
          <w:szCs w:val="18"/>
        </w:rPr>
      </w:pPr>
      <w:r w:rsidRPr="00004C8D">
        <w:rPr>
          <w:b/>
        </w:rPr>
        <w:t>Rule 1</w:t>
      </w:r>
      <w:r>
        <w:rPr>
          <w:b/>
        </w:rPr>
        <w:t>.1</w:t>
      </w:r>
      <w:r w:rsidRPr="00004C8D">
        <w:rPr>
          <w:b/>
        </w:rPr>
        <w:t xml:space="preserve"> E</w:t>
      </w:r>
      <w:r>
        <w:rPr>
          <w:b/>
        </w:rPr>
        <w:t>thics:</w:t>
      </w:r>
    </w:p>
    <w:p w:rsidRPr="00F7734C" w:rsidR="00004C8D" w:rsidP="006E646E" w:rsidRDefault="00F7734C" w14:paraId="4F75F62B" w14:textId="08A85049">
      <w:pPr>
        <w:pStyle w:val="BlockQuote"/>
        <w:spacing w:after="240"/>
      </w:pPr>
      <w:r w:rsidRPr="00F7734C">
        <w:t>Any person who signs a pleading or brief, enters an appearance, offers testimony at a hearing, or transacts business with the Commission, by such act represents that he or she is authorized to do so and agrees to comply with the laws of this State; to maintain the respect due to the Commission, members of the Commission and its Administrative Law Judges; and never to mislead the Commission or its staff by an artifice or false statement of fact or law.</w:t>
      </w:r>
    </w:p>
    <w:p w:rsidR="006E646E" w:rsidP="006E646E" w:rsidRDefault="00004C8D" w14:paraId="0411E82C" w14:textId="77777777">
      <w:pPr>
        <w:pStyle w:val="BlockQuote"/>
        <w:keepNext/>
        <w:rPr>
          <w:b/>
        </w:rPr>
      </w:pPr>
      <w:r w:rsidRPr="00004C8D">
        <w:rPr>
          <w:b/>
        </w:rPr>
        <w:t>Rule 13.6 Evidence</w:t>
      </w:r>
      <w:bookmarkEnd w:id="7"/>
      <w:r>
        <w:rPr>
          <w:b/>
        </w:rPr>
        <w:t>:</w:t>
      </w:r>
    </w:p>
    <w:p w:rsidRPr="006E646E" w:rsidR="006E646E" w:rsidP="00AD1D1A" w:rsidRDefault="00004C8D" w14:paraId="179DCF9E" w14:textId="77777777">
      <w:pPr>
        <w:pStyle w:val="BlockQuote"/>
        <w:numPr>
          <w:ilvl w:val="0"/>
          <w:numId w:val="30"/>
        </w:numPr>
        <w:spacing w:after="240"/>
      </w:pPr>
      <w:r w:rsidRPr="006E646E">
        <w:rPr>
          <w:color w:val="000000"/>
          <w:szCs w:val="24"/>
        </w:rPr>
        <w:t xml:space="preserve">In hearings before the Commission, the technical rules of evidence, whether statutory, common law, or adopted by court, need not be applied. Although evidence need not be excluded merely by application of rules governing </w:t>
      </w:r>
      <w:r w:rsidRPr="006E646E">
        <w:rPr>
          <w:color w:val="000000"/>
          <w:szCs w:val="24"/>
        </w:rPr>
        <w:lastRenderedPageBreak/>
        <w:t>admissibility, competency, weight, or foundation in the record, the rights of parties to meaningfully participate in the proceeding and to public policy protections shall be preserved.</w:t>
      </w:r>
    </w:p>
    <w:p w:rsidR="00FA1B4F" w:rsidP="006E646E" w:rsidRDefault="00CA7F61" w14:paraId="0825A67C" w14:textId="1F62427F">
      <w:pPr>
        <w:pStyle w:val="Heading1"/>
      </w:pPr>
      <w:bookmarkStart w:name="_Toc198039462" w:id="8"/>
      <w:r>
        <w:t>Discussion</w:t>
      </w:r>
      <w:bookmarkEnd w:id="8"/>
    </w:p>
    <w:p w:rsidR="00F65F35" w:rsidP="00343E5C" w:rsidRDefault="00F65F35" w14:paraId="3BE87880" w14:textId="04094A55">
      <w:pPr>
        <w:pStyle w:val="Standard"/>
      </w:pPr>
      <w:r>
        <w:t>The basic issue here is whether SMART has complied with D.16-09-002</w:t>
      </w:r>
      <w:r w:rsidR="006B0906">
        <w:t>.</w:t>
      </w:r>
      <w:r>
        <w:t xml:space="preserve"> Duncan believes that SMART has not complied with the decision. SMART on the other hand argues that it has. </w:t>
      </w:r>
    </w:p>
    <w:p w:rsidR="00F65F35" w:rsidP="00343E5C" w:rsidRDefault="00F65F35" w14:paraId="2E5A4563" w14:textId="2759653D">
      <w:pPr>
        <w:pStyle w:val="Standard"/>
      </w:pPr>
      <w:r>
        <w:t>Duncan relies heavily on emails</w:t>
      </w:r>
      <w:r w:rsidR="00F76027">
        <w:t xml:space="preserve">, </w:t>
      </w:r>
      <w:r>
        <w:t>public meetings</w:t>
      </w:r>
      <w:r w:rsidR="00F76027">
        <w:t>, and newspaper articles</w:t>
      </w:r>
      <w:r>
        <w:t xml:space="preserve"> as the basis of proof for his allegations. At the evidentiary hearings he wanted to play </w:t>
      </w:r>
      <w:r w:rsidR="00007154">
        <w:t xml:space="preserve">several </w:t>
      </w:r>
      <w:r>
        <w:t xml:space="preserve">hours of videos from public meetings where SMART’s Chief Engineer Bill Gamlen </w:t>
      </w:r>
      <w:r w:rsidR="00F76027">
        <w:t xml:space="preserve">(Gamlen) </w:t>
      </w:r>
      <w:r>
        <w:t xml:space="preserve">and General Manager Eddy Cumins </w:t>
      </w:r>
      <w:r w:rsidR="00F76027">
        <w:t xml:space="preserve">(Cumins) </w:t>
      </w:r>
      <w:r>
        <w:t xml:space="preserve">made various statements </w:t>
      </w:r>
      <w:r w:rsidR="00F76027">
        <w:t xml:space="preserve">regarding alternatives to an </w:t>
      </w:r>
      <w:r>
        <w:t xml:space="preserve">at-grade crossing at the Jennings Avenue crossing. </w:t>
      </w:r>
      <w:r w:rsidR="00F76027">
        <w:t xml:space="preserve">Many of the documents that Duncan </w:t>
      </w:r>
      <w:r w:rsidR="00646A88">
        <w:t xml:space="preserve">attempted to </w:t>
      </w:r>
      <w:r w:rsidR="00F76027">
        <w:t>present as evidence were plans and drawings that the Commission relied on when approving A.15</w:t>
      </w:r>
      <w:r w:rsidR="00B93DF7">
        <w:noBreakHyphen/>
      </w:r>
      <w:r w:rsidR="00F76027">
        <w:t>05</w:t>
      </w:r>
      <w:r w:rsidR="00B93DF7">
        <w:noBreakHyphen/>
      </w:r>
      <w:r w:rsidR="00F76027">
        <w:t>014.</w:t>
      </w:r>
    </w:p>
    <w:p w:rsidR="00F76027" w:rsidP="00343E5C" w:rsidRDefault="00F76027" w14:paraId="1DB32B4C" w14:textId="37377587">
      <w:pPr>
        <w:pStyle w:val="Standard"/>
      </w:pPr>
      <w:r>
        <w:t>He requested the admission of a typed transcription that he and his wife created following a March 2, 2023, community meeting that was held by the City concerning the Jennings Avenue crossing as proof that SMART failed to comply with D.16-09-002 because Gamlen and Cumins made statements at the meeting which provided alternatives to constructing an at-grade crossing.</w:t>
      </w:r>
      <w:r w:rsidR="00B737BF">
        <w:t xml:space="preserve"> Duncan stated at the hearing on August 8, 2023, that the typed document was key to his case because it proves there is an ongoing violation by SMART.</w:t>
      </w:r>
      <w:r w:rsidR="00B737BF">
        <w:rPr>
          <w:rStyle w:val="FootnoteReference"/>
        </w:rPr>
        <w:footnoteReference w:id="8"/>
      </w:r>
    </w:p>
    <w:p w:rsidR="00B737BF" w:rsidP="00343E5C" w:rsidRDefault="00B737BF" w14:paraId="6FD37889" w14:textId="7A69B544">
      <w:pPr>
        <w:pStyle w:val="Standard"/>
      </w:pPr>
      <w:r>
        <w:t xml:space="preserve">SMART objected to Duncan’s characterization that the typed document was a transcript, because it was not transcribed by a certified reporter. Duncan </w:t>
      </w:r>
      <w:r>
        <w:lastRenderedPageBreak/>
        <w:t xml:space="preserve">countered that he and his wife were at the meeting and that a recording of the meeting was later placed on YouTube and the recording of the meeting contained closed captions and he and his wife took screenshots of the video and then typed up the closed captions. SMART also argues that Duncan has the responsibility to put forth the best evidence and rather than rely on the </w:t>
      </w:r>
      <w:r w:rsidR="00200FE5">
        <w:t xml:space="preserve">hearsay </w:t>
      </w:r>
      <w:r>
        <w:t>statements made at the meeting, he should address his allegations with SMART’s witnesses Cumins and Gamlen.</w:t>
      </w:r>
    </w:p>
    <w:p w:rsidR="00200FE5" w:rsidP="00343E5C" w:rsidRDefault="00200FE5" w14:paraId="183C2D82" w14:textId="3D9FAFAD">
      <w:pPr>
        <w:pStyle w:val="Standard"/>
      </w:pPr>
      <w:r>
        <w:t xml:space="preserve">Duncan correctly responds that just because something is hearsay, does not mean that it must be excluded. Rule 13.6 asserts that the technical rules of evidence need not be applied. This does not mean that a decision in Duncan’s favor will be based solely on hearsay evidence. Duncan has a responsibility to prove the allegations that he asserts in his </w:t>
      </w:r>
      <w:r w:rsidR="005A2EFB">
        <w:t>c</w:t>
      </w:r>
      <w:r>
        <w:t>omplaint</w:t>
      </w:r>
      <w:r w:rsidR="009D00FC">
        <w:t xml:space="preserve"> and he failed to do so</w:t>
      </w:r>
      <w:r>
        <w:t xml:space="preserve">. </w:t>
      </w:r>
    </w:p>
    <w:p w:rsidR="000970DF" w:rsidP="00343E5C" w:rsidRDefault="000970DF" w14:paraId="32ADD1BF" w14:textId="65A4846C">
      <w:pPr>
        <w:pStyle w:val="Standard"/>
      </w:pPr>
      <w:r>
        <w:t xml:space="preserve">Many </w:t>
      </w:r>
      <w:r w:rsidR="00646A88">
        <w:t xml:space="preserve">of </w:t>
      </w:r>
      <w:r>
        <w:t xml:space="preserve">Duncan’s exhibits were admitted to the record under the caveat that the documents were not being admitted for the truth of the matter asserted, but rather would be evaluated and weighed appropriately. Additionally, Duncan is self-represented and did not take the stand at the hearing and provided no testimony and was never subjected to cross examination. During the hearing, Duncan made many statements that were his beliefs that SMART has failed to comply with D.19-09-002. He consistently relied on his statements as proof of what he was asserting. His statements at the hearing were his opinions and not treated as testimony. </w:t>
      </w:r>
    </w:p>
    <w:p w:rsidR="005E583F" w:rsidP="00343E5C" w:rsidRDefault="00BD1A65" w14:paraId="60B56D71" w14:textId="5B4EFA10">
      <w:pPr>
        <w:pStyle w:val="Standard"/>
      </w:pPr>
      <w:r>
        <w:t xml:space="preserve">Rather than adequately cross examine the two SMART witnesses, Duncan spent a large portion of his time </w:t>
      </w:r>
      <w:r w:rsidR="00007154">
        <w:t>attempting to</w:t>
      </w:r>
      <w:r>
        <w:t xml:space="preserve"> impeach Gamlen and</w:t>
      </w:r>
      <w:r w:rsidR="00007154">
        <w:t>/or arguing</w:t>
      </w:r>
      <w:r w:rsidR="00940469">
        <w:t xml:space="preserve"> </w:t>
      </w:r>
      <w:r>
        <w:t xml:space="preserve">with the witness. He tried to impeach Gamlen on the basis that Gamlen made statements at the March 2, 2023, community meeting where he stated that </w:t>
      </w:r>
      <w:r>
        <w:lastRenderedPageBreak/>
        <w:t xml:space="preserve">SMART essentially did not believe that an at-grade crossing was safe and put forward various alternatives to the at-grade crossing. </w:t>
      </w:r>
    </w:p>
    <w:p w:rsidR="00BD1A65" w:rsidP="00343E5C" w:rsidRDefault="00BD1A65" w14:paraId="6FCF4603" w14:textId="4594F3BF">
      <w:pPr>
        <w:pStyle w:val="Standard"/>
      </w:pPr>
      <w:r>
        <w:t>Duncan confronted Gamlen and argue</w:t>
      </w:r>
      <w:r w:rsidR="00200FE5">
        <w:t>d</w:t>
      </w:r>
      <w:r>
        <w:t xml:space="preserve"> tha</w:t>
      </w:r>
      <w:r w:rsidR="005E583F">
        <w:t xml:space="preserve">t </w:t>
      </w:r>
      <w:r w:rsidR="006D06A6">
        <w:t xml:space="preserve">SMART initially supported the City’s Application </w:t>
      </w:r>
      <w:r w:rsidR="005E583F">
        <w:t xml:space="preserve">for an at-grade crossing and then at the community meeting </w:t>
      </w:r>
      <w:r w:rsidR="006D06A6">
        <w:t>he ma</w:t>
      </w:r>
      <w:r w:rsidR="005E583F">
        <w:t>d</w:t>
      </w:r>
      <w:r w:rsidR="006D06A6">
        <w:t xml:space="preserve">e statements putting forth alternatives that SMART deemed were safer than an at-grade crossing. </w:t>
      </w:r>
      <w:r w:rsidR="00646A88">
        <w:t xml:space="preserve">Duncan argues he should be impeached because SMART initially supported an at-grade crossing, but later changed its mind. </w:t>
      </w:r>
      <w:r w:rsidR="005E583F">
        <w:t xml:space="preserve">He also argues that these statements are proof that SMART is trying to relitigate the matter because SMART </w:t>
      </w:r>
      <w:r w:rsidR="006B0906">
        <w:t xml:space="preserve">now is putting forth alternatives to the at-grade crossing at the community meeting. </w:t>
      </w:r>
      <w:r w:rsidR="000970DF">
        <w:t xml:space="preserve">Duncan was given the opportunity to cross examine the witnesses and </w:t>
      </w:r>
      <w:r w:rsidR="00646A88">
        <w:t>other than argue with the witness, he failed to obtain testimony on cross examination to support his allegations.</w:t>
      </w:r>
    </w:p>
    <w:p w:rsidR="00B737BF" w:rsidP="000970DF" w:rsidRDefault="006B0906" w14:paraId="18B7876E" w14:textId="73790EE7">
      <w:pPr>
        <w:pStyle w:val="Standard"/>
      </w:pPr>
      <w:r>
        <w:t>Duncan also assets that emails he obtained from a Public Records Act request establishes that SMART initially complied with the D.16-09-002. He asserts that these emails show that SMART made efforts to build the crossing at the City’s expense when D.16-09-002 was initially issued.</w:t>
      </w:r>
      <w:r>
        <w:rPr>
          <w:rStyle w:val="FootnoteReference"/>
        </w:rPr>
        <w:footnoteReference w:id="9"/>
      </w:r>
      <w:r>
        <w:t xml:space="preserve"> He claims that because SMART </w:t>
      </w:r>
      <w:r w:rsidR="00646A88">
        <w:t xml:space="preserve">later </w:t>
      </w:r>
      <w:r>
        <w:t>put forth alternative to the at-grade crossing that SMART is not complying with that decision and that SMART is relitigating the issue.</w:t>
      </w:r>
    </w:p>
    <w:p w:rsidR="009D00FC" w:rsidP="000970DF" w:rsidRDefault="009D00FC" w14:paraId="42EFD1CC" w14:textId="1E268999">
      <w:pPr>
        <w:pStyle w:val="Standard"/>
      </w:pPr>
      <w:r>
        <w:t>On redirect, Gamlen testified under oath that he concedes that the Commission has exclusive jurisdiction concerning the rail crossing.</w:t>
      </w:r>
      <w:r>
        <w:rPr>
          <w:rStyle w:val="FootnoteReference"/>
        </w:rPr>
        <w:footnoteReference w:id="10"/>
      </w:r>
      <w:r>
        <w:t xml:space="preserve"> He also testified that no one at SMART is trying to usurp the Commission’s authority and that SMART is not trying to relitigate the issues in this matter. Finally, he </w:t>
      </w:r>
      <w:r>
        <w:lastRenderedPageBreak/>
        <w:t xml:space="preserve">went </w:t>
      </w:r>
      <w:r w:rsidR="005A2EFB">
        <w:t>into</w:t>
      </w:r>
      <w:r>
        <w:t xml:space="preserve"> details concerning SMART’s efforts to engage in good faith negotiations with the City</w:t>
      </w:r>
      <w:r w:rsidR="00646A88">
        <w:t xml:space="preserve"> in previous years</w:t>
      </w:r>
      <w:r>
        <w:t>.</w:t>
      </w:r>
    </w:p>
    <w:p w:rsidR="006D06A6" w:rsidP="00343E5C" w:rsidRDefault="006D06A6" w14:paraId="7E9606F9" w14:textId="3534ACF6">
      <w:pPr>
        <w:pStyle w:val="Standard"/>
      </w:pPr>
      <w:r>
        <w:t xml:space="preserve">SMART also correctly raised a concern that Duncan mischaracterized statements and rulings both at the hearing and in his briefs. Specifically, in his closing brief Duncan argues that the Commission ordered SMART to proceed with the construction of the Jennings Avenue crossing and that </w:t>
      </w:r>
      <w:r w:rsidR="00646A88">
        <w:t>SMART</w:t>
      </w:r>
      <w:r>
        <w:t xml:space="preserve"> refuses to comply with the Commissions decisions</w:t>
      </w:r>
      <w:r w:rsidR="00384779">
        <w:t xml:space="preserve"> because the crossing has not been completed</w:t>
      </w:r>
      <w:r>
        <w:t>. Duncan alleges in his closing brief that when the Commission issued a ruling on March 16, 2022, denying SMART</w:t>
      </w:r>
      <w:r w:rsidR="005E583F">
        <w:t>’s</w:t>
      </w:r>
      <w:r>
        <w:t xml:space="preserve"> Motion to Dismiss his </w:t>
      </w:r>
      <w:r w:rsidR="005A2EFB">
        <w:t>c</w:t>
      </w:r>
      <w:r>
        <w:t xml:space="preserve">omplaint that the Commission mandated the construction of the crossing in this ruling. </w:t>
      </w:r>
    </w:p>
    <w:p w:rsidR="005E583F" w:rsidP="00343E5C" w:rsidRDefault="005E583F" w14:paraId="5CD477C6" w14:textId="10080CE2">
      <w:pPr>
        <w:pStyle w:val="Standard"/>
      </w:pPr>
      <w:r>
        <w:t xml:space="preserve">SMART is correct that the Commission never issued a decision that states that SMART must agree to construction of the crossing on its right-of-way. Duncan either misunderstood or mischaracterized the Commission’s March 16, 2022, ruling denying SMART’s Motion to Dismiss. That ruling never stated that SMART was compelled to go ahead with the construction of the crossing when the ruling denying the Motion to Dismiss was issued. Rather the ruling denied the Motion to Dismiss because it found that SMART did not meet the criteria to have the Motion to Dismiss granted. </w:t>
      </w:r>
    </w:p>
    <w:p w:rsidR="00977C25" w:rsidP="00343E5C" w:rsidRDefault="007C6363" w14:paraId="03B8082A" w14:textId="063DB4CC">
      <w:pPr>
        <w:pStyle w:val="Standard"/>
      </w:pPr>
      <w:r>
        <w:t xml:space="preserve">Cumins testified in detail concerning the </w:t>
      </w:r>
      <w:r w:rsidR="003807CB">
        <w:t xml:space="preserve">alleged </w:t>
      </w:r>
      <w:r>
        <w:t xml:space="preserve">efforts SMART made to meet with the City to attempt to negotiate an agreement to build the crossing. Duncan spent his time </w:t>
      </w:r>
      <w:r w:rsidR="00384779">
        <w:t xml:space="preserve">on cross examination </w:t>
      </w:r>
      <w:r>
        <w:t>t</w:t>
      </w:r>
      <w:r w:rsidR="003807CB">
        <w:t>rying to establish that SMART was attempting to relitigate the matter b</w:t>
      </w:r>
      <w:r w:rsidR="00384779">
        <w:t>ecause SMART</w:t>
      </w:r>
      <w:r w:rsidR="003807CB">
        <w:t xml:space="preserve"> suggest</w:t>
      </w:r>
      <w:r w:rsidR="00384779">
        <w:t>ed</w:t>
      </w:r>
      <w:r w:rsidR="003807CB">
        <w:t xml:space="preserve"> alternatives to the </w:t>
      </w:r>
      <w:r w:rsidR="00EF0DCD">
        <w:t xml:space="preserve">approved </w:t>
      </w:r>
      <w:r w:rsidR="003807CB">
        <w:t>at-grade crossing</w:t>
      </w:r>
      <w:r>
        <w:t>.</w:t>
      </w:r>
      <w:r w:rsidR="00EF0DCD">
        <w:t xml:space="preserve"> It should be noted that the Commission’s own Rail Safety Division expressed concerns about the safety of the at-grade Jennings Avenue crossing because it filed a PFM on January 4, 2022, requesting the Commission to determine that an at-grade crossing at Jennings Avenue </w:t>
      </w:r>
      <w:r w:rsidR="00EF0DCD">
        <w:lastRenderedPageBreak/>
        <w:t>presented an unreasonable risk of harm to the public and should not be opened. This request was denied on November 17, 2022, in D.22-11-025.</w:t>
      </w:r>
      <w:r w:rsidR="00384779">
        <w:t xml:space="preserve"> No Commission decision prevents a party from filing a PFM if the requirements for filing a PFM are met. Additionally, parties are allowed to change their mind concerning whether they decide to no longer support a particular application in the future.</w:t>
      </w:r>
    </w:p>
    <w:p w:rsidR="004534E6" w:rsidP="00343E5C" w:rsidRDefault="004534E6" w14:paraId="1D888C85" w14:textId="29587C4F">
      <w:pPr>
        <w:pStyle w:val="Standard"/>
      </w:pPr>
      <w:r>
        <w:t>Duncan requested a subpoena to compel Jason Nutt (Nutt), the Assistant City Manager and Director of transportation and Public Works for the Cit</w:t>
      </w:r>
      <w:r w:rsidR="005A2EFB">
        <w:t>y</w:t>
      </w:r>
      <w:r>
        <w:t>. The subpoena was granted and Nutt appeared and testified on November 13, 2023. Duncan and SMART asked questions of Nutt. Additionally, the assigned ALJ asked various questions.</w:t>
      </w:r>
    </w:p>
    <w:p w:rsidR="001864A0" w:rsidP="00343E5C" w:rsidRDefault="004534E6" w14:paraId="7BCFC4A1" w14:textId="77777777">
      <w:pPr>
        <w:pStyle w:val="Standard"/>
      </w:pPr>
      <w:r>
        <w:t xml:space="preserve">In A. 15-05-014, the City filed a PFM </w:t>
      </w:r>
      <w:r w:rsidR="001864A0">
        <w:t xml:space="preserve">seeking an extension of time of the authority to granted by the Commission to construct the Jennings Avenue crossing. In this PFM, the City attached an affidavit from Nutt where he stated that past efforts dealing with SMART to come to an agreement were “not productive.” </w:t>
      </w:r>
    </w:p>
    <w:p w:rsidR="004534E6" w:rsidP="00343E5C" w:rsidRDefault="001864A0" w14:paraId="5CDBAF0C" w14:textId="337D9089">
      <w:pPr>
        <w:pStyle w:val="Standard"/>
      </w:pPr>
      <w:r>
        <w:t xml:space="preserve">Duncan did not ask the witness any questions about this affidavit. Rather it was the assigned ALJ who asked Nutt questions about the affidavit and his opinions on dealing with SMART. Duncan failed to question the witness </w:t>
      </w:r>
      <w:r w:rsidR="00384779">
        <w:t xml:space="preserve">about the affidavit or ask any questions that </w:t>
      </w:r>
      <w:r>
        <w:t>could have potentially provided beneficial information</w:t>
      </w:r>
      <w:r w:rsidR="00384779">
        <w:t xml:space="preserve"> to support his allegations</w:t>
      </w:r>
      <w:r>
        <w:t>. Although the ALJ did ask Nutt many questions, it is not the ALJ’s responsibility to litigate Duncan’s case. Duncan spent most of his time asking Nutt to agree that SMART was trying to relitigate the matter, no which Nutt stated that he did not agree SART was relitigating the matter.</w:t>
      </w:r>
    </w:p>
    <w:p w:rsidR="001864A0" w:rsidP="00343E5C" w:rsidRDefault="001864A0" w14:paraId="15A925B0" w14:textId="63D3A9FB">
      <w:pPr>
        <w:pStyle w:val="Standard"/>
      </w:pPr>
      <w:r>
        <w:t xml:space="preserve">Nutt went on to testify that it was his belief that the Commission granted authority to construct the crossing and that it did not resolve indemnity issues. </w:t>
      </w:r>
      <w:r>
        <w:lastRenderedPageBreak/>
        <w:t xml:space="preserve">He also testified that as the owner of the property, SMART has the authority to ensure that the City </w:t>
      </w:r>
      <w:r w:rsidR="00977C25">
        <w:t xml:space="preserve">provides adequate assurance to SMART regarding liability and other issues. He also testified that the statements made by Cumins at the Jennings Avenue crossing community meeting were Cumins’ personal beliefs about how an at-grade crossing could impact SMART’s operations. He wrapped up his testimony by stating that although things were not productive in the past, discussions </w:t>
      </w:r>
      <w:r w:rsidR="00384779">
        <w:t xml:space="preserve">subsequently </w:t>
      </w:r>
      <w:r w:rsidR="00977C25">
        <w:t>improved.</w:t>
      </w:r>
    </w:p>
    <w:p w:rsidR="00331775" w:rsidP="00343E5C" w:rsidRDefault="00E65E6B" w14:paraId="5CD6F071" w14:textId="4C6CD3DD">
      <w:pPr>
        <w:pStyle w:val="Standard"/>
      </w:pPr>
      <w:r>
        <w:t xml:space="preserve">The backbone of Duncan’s case </w:t>
      </w:r>
      <w:r w:rsidR="00331775">
        <w:t>is that when the Commission issued D.16</w:t>
      </w:r>
      <w:r w:rsidR="00B93DF7">
        <w:noBreakHyphen/>
      </w:r>
      <w:r w:rsidR="00331775">
        <w:t>09</w:t>
      </w:r>
      <w:r w:rsidR="00B93DF7">
        <w:noBreakHyphen/>
      </w:r>
      <w:r w:rsidR="00331775">
        <w:t xml:space="preserve">002, it mandated that SMART agree to the construction of the crossing in its right-of-way. Duncan tries to prove his case by </w:t>
      </w:r>
      <w:r>
        <w:t>rel</w:t>
      </w:r>
      <w:r w:rsidR="00331775">
        <w:t>ying</w:t>
      </w:r>
      <w:r>
        <w:t xml:space="preserve"> on </w:t>
      </w:r>
      <w:r w:rsidR="00331775">
        <w:t xml:space="preserve">hearsay </w:t>
      </w:r>
      <w:r>
        <w:t xml:space="preserve">statements that Cumins and Gamlen made at the joint Jennings Avenue crossing public meeting. Duncan believes that because Cumins and Gamlin made statements at this meeting seeking public input on a grade-separated crossing rather than the at-grade crossing approved by the Commission that it automatically means SMART is not complying and SMART is relitigating the matter. </w:t>
      </w:r>
    </w:p>
    <w:p w:rsidR="00331775" w:rsidP="00343E5C" w:rsidRDefault="00E65E6B" w14:paraId="506B703E" w14:textId="04EE98CD">
      <w:pPr>
        <w:pStyle w:val="Standard"/>
      </w:pPr>
      <w:r>
        <w:t>The only witness Duncan put forth was Nutt</w:t>
      </w:r>
      <w:r w:rsidR="00331775">
        <w:t xml:space="preserve">. He never questioned Nutt about the specifics of previous negotiations with SMART or anything about Nutt’s statement that discussions were not productive in the past. As noted earlier although the assigned ALJ assisted with some questions of Nutt, it is inappropriate for the assigned ALJ to </w:t>
      </w:r>
      <w:r w:rsidR="00384779">
        <w:t xml:space="preserve">completely </w:t>
      </w:r>
      <w:r w:rsidR="00331775">
        <w:t>litigate Duncan’s complaint on his behalf.</w:t>
      </w:r>
      <w:r w:rsidR="00384779">
        <w:t xml:space="preserve"> Duncan also failed to question the witness concerning what efforts were undertaken to come to an agreement </w:t>
      </w:r>
      <w:r w:rsidR="00DC33A6">
        <w:t>between</w:t>
      </w:r>
      <w:r w:rsidR="00384779">
        <w:t xml:space="preserve"> the City with SMART </w:t>
      </w:r>
      <w:r w:rsidR="00DC33A6">
        <w:t>to construct the crossing on SMART’s right-of-way. Duncan failed to properly litigate his case.</w:t>
      </w:r>
    </w:p>
    <w:p w:rsidR="00E65E6B" w:rsidP="00343E5C" w:rsidRDefault="00331775" w14:paraId="6ACFB03B" w14:textId="760C99A3">
      <w:pPr>
        <w:pStyle w:val="Standard"/>
      </w:pPr>
      <w:r>
        <w:t xml:space="preserve">Duncan failed to adequately prosecute his complaint. As a result of Duncan’s failure to put forth adequate evidence, there is insufficient evidence to </w:t>
      </w:r>
      <w:r>
        <w:lastRenderedPageBreak/>
        <w:t xml:space="preserve">determine that SMART has failed to comply and should therefore be subject to penalties. </w:t>
      </w:r>
      <w:r w:rsidR="00CF5407">
        <w:t xml:space="preserve">When the Commission issued </w:t>
      </w:r>
      <w:r w:rsidR="00B93DF7">
        <w:t>D.</w:t>
      </w:r>
      <w:r w:rsidR="00CF5407">
        <w:t>16-09-002 it provided regulatory authority for the crossing to be constructed, it did not resolve the issue of securing an agreement between the City and SMART for the at-grade crossing to be constructed on SMART’s right-of-way.</w:t>
      </w:r>
      <w:r w:rsidR="00F37C34">
        <w:t xml:space="preserve"> Accordingly, Duncan’s </w:t>
      </w:r>
      <w:r w:rsidR="005A2EFB">
        <w:t>c</w:t>
      </w:r>
      <w:r w:rsidR="00F37C34">
        <w:t xml:space="preserve">omplaint is dismissed for failing to prove by a preponderance of the evidence the allegations raised in his </w:t>
      </w:r>
      <w:r w:rsidR="005A2EFB">
        <w:t>c</w:t>
      </w:r>
      <w:r w:rsidR="00F37C34">
        <w:t>omplaint.</w:t>
      </w:r>
    </w:p>
    <w:p w:rsidR="00CF5407" w:rsidP="00343E5C" w:rsidRDefault="00CF5407" w14:paraId="0BFE0912" w14:textId="18F918F5">
      <w:pPr>
        <w:pStyle w:val="Standard"/>
      </w:pPr>
      <w:r>
        <w:t xml:space="preserve">Duncan </w:t>
      </w:r>
      <w:r w:rsidR="00CC6C42">
        <w:t xml:space="preserve">has </w:t>
      </w:r>
      <w:r>
        <w:t xml:space="preserve">failed to prove by a preponderance of the evidence that SMART is </w:t>
      </w:r>
      <w:r w:rsidR="00CC6C42">
        <w:t>intentionally not complying</w:t>
      </w:r>
      <w:r>
        <w:t xml:space="preserve"> with </w:t>
      </w:r>
      <w:r w:rsidR="00B93DF7">
        <w:t>D.</w:t>
      </w:r>
      <w:r>
        <w:t>16-09-002 and thus should be subject to fines and penalties</w:t>
      </w:r>
      <w:r w:rsidR="00384779">
        <w:t xml:space="preserve">. However, </w:t>
      </w:r>
      <w:r>
        <w:t xml:space="preserve">he </w:t>
      </w:r>
      <w:r w:rsidR="00CC6C42">
        <w:t xml:space="preserve">has raised reasonable </w:t>
      </w:r>
      <w:r w:rsidR="00677805">
        <w:t>suspicion as</w:t>
      </w:r>
      <w:r>
        <w:t xml:space="preserve"> to why it has been eight years since </w:t>
      </w:r>
      <w:r w:rsidR="00B93DF7">
        <w:t>D.</w:t>
      </w:r>
      <w:r>
        <w:t xml:space="preserve">16-09-002 was issued granting the authority to construction and SMART and the City </w:t>
      </w:r>
      <w:r w:rsidR="00D760A1">
        <w:t xml:space="preserve">are still nowhere close to reaching an agreement </w:t>
      </w:r>
      <w:r>
        <w:t xml:space="preserve">concerning the Jennings Avenue crossing. </w:t>
      </w:r>
    </w:p>
    <w:p w:rsidR="00CF5407" w:rsidP="00EA3259" w:rsidRDefault="00CF5407" w14:paraId="28AC95CC" w14:textId="0BF4B915">
      <w:pPr>
        <w:pStyle w:val="Standard"/>
      </w:pPr>
      <w:r>
        <w:t xml:space="preserve">SMART claims that they were not directed by the Commission to cooperate with the City in good faith to try and reach an agreement until 2019 when the Commission issued </w:t>
      </w:r>
      <w:r w:rsidR="00B93DF7">
        <w:t>D.</w:t>
      </w:r>
      <w:r>
        <w:t>19-10-002.</w:t>
      </w:r>
      <w:r w:rsidR="00F1652A">
        <w:t xml:space="preserve">  The lack of progress toward building the </w:t>
      </w:r>
      <w:r w:rsidRPr="00F1652A" w:rsidR="00F1652A">
        <w:t>Jennings Avenue at-grade rail crossing</w:t>
      </w:r>
      <w:r w:rsidR="00F1652A">
        <w:t xml:space="preserve"> is of concern to the Commission. </w:t>
      </w:r>
      <w:r w:rsidR="00471DFE">
        <w:t xml:space="preserve">Progress toward completion of the rail crossing  </w:t>
      </w:r>
      <w:r w:rsidR="00F1652A">
        <w:t xml:space="preserve">should </w:t>
      </w:r>
      <w:r w:rsidR="00D760A1">
        <w:t xml:space="preserve">continue to </w:t>
      </w:r>
      <w:r w:rsidR="00471DFE">
        <w:t xml:space="preserve">be assessed in proceeding A.15-05-014. </w:t>
      </w:r>
    </w:p>
    <w:p w:rsidR="00BB4BBC" w:rsidP="00BB4BBC" w:rsidRDefault="00BB4BBC" w14:paraId="2E7C51B6" w14:textId="72ED77AD">
      <w:pPr>
        <w:pStyle w:val="Heading1"/>
      </w:pPr>
      <w:bookmarkStart w:name="_Toc198039463" w:id="9"/>
      <w:r w:rsidRPr="00904B26">
        <w:t>Appeal</w:t>
      </w:r>
      <w:r w:rsidRPr="006E02D4">
        <w:t xml:space="preserve"> and Review of Presiding Officer’</w:t>
      </w:r>
      <w:r w:rsidR="006E646E">
        <w:t>s</w:t>
      </w:r>
      <w:r w:rsidRPr="006E02D4">
        <w:t xml:space="preserve"> Decision</w:t>
      </w:r>
      <w:bookmarkEnd w:id="9"/>
    </w:p>
    <w:p w:rsidR="00940469" w:rsidP="00940469" w:rsidRDefault="00940469" w14:paraId="0D5342AF" w14:textId="591CECC7">
      <w:pPr>
        <w:pStyle w:val="Standard"/>
      </w:pPr>
      <w:r>
        <w:t>The presiding officer’s decision in this matter was mailed to parties in accordance with Section 311 of the Pub</w:t>
      </w:r>
      <w:r w:rsidR="00A76E38">
        <w:t>.</w:t>
      </w:r>
      <w:r>
        <w:t xml:space="preserve"> Util</w:t>
      </w:r>
      <w:r w:rsidR="00A76E38">
        <w:t>.</w:t>
      </w:r>
      <w:r>
        <w:t xml:space="preserve"> Code and an appeal was allowed under Rule 14.4.  Complainant filed an appeal of the presiding officer’s decision (Appeal) on December 23, 2024. Defendant filed a response to the Appeal on January 7, 2025.</w:t>
      </w:r>
    </w:p>
    <w:p w:rsidR="00BB4BBC" w:rsidP="00940469" w:rsidRDefault="00940469" w14:paraId="725785C3" w14:textId="43054DE0">
      <w:pPr>
        <w:pStyle w:val="Standard"/>
      </w:pPr>
      <w:r>
        <w:lastRenderedPageBreak/>
        <w:t>The Appeal generally asserts that the presiding officer’s decision contains the following errors, summarized below</w:t>
      </w:r>
      <w:r w:rsidR="005A6761">
        <w:rPr>
          <w:rStyle w:val="FootnoteReference"/>
        </w:rPr>
        <w:footnoteReference w:id="11"/>
      </w:r>
      <w:r>
        <w:t>:</w:t>
      </w:r>
    </w:p>
    <w:p w:rsidR="005A6761" w:rsidP="005A6761" w:rsidRDefault="005A6761" w14:paraId="51AA8761" w14:textId="7FE41211">
      <w:pPr>
        <w:pStyle w:val="Standard"/>
        <w:numPr>
          <w:ilvl w:val="0"/>
          <w:numId w:val="44"/>
        </w:numPr>
        <w:spacing w:after="120" w:line="240" w:lineRule="auto"/>
        <w:ind w:right="1440"/>
      </w:pPr>
      <w:r>
        <w:t>Asserts that the presiding officer’s decision does not address all the issues in the scoping memo.</w:t>
      </w:r>
    </w:p>
    <w:p w:rsidR="005A6761" w:rsidP="005A6761" w:rsidRDefault="005A6761" w14:paraId="77A05C16" w14:textId="695098CD">
      <w:pPr>
        <w:pStyle w:val="Standard"/>
        <w:numPr>
          <w:ilvl w:val="0"/>
          <w:numId w:val="44"/>
        </w:numPr>
        <w:spacing w:after="120" w:line="240" w:lineRule="auto"/>
        <w:ind w:right="1440"/>
      </w:pPr>
      <w:r>
        <w:t>Reargues the issue of whether SMART can require the City to agree to certain terms before the crossing can be constructed on SMART’s right-of-way.</w:t>
      </w:r>
    </w:p>
    <w:p w:rsidR="005A6761" w:rsidP="005A6761" w:rsidRDefault="005A6761" w14:paraId="0DDE0549" w14:textId="3FD2A172">
      <w:pPr>
        <w:pStyle w:val="Standard"/>
        <w:numPr>
          <w:ilvl w:val="0"/>
          <w:numId w:val="44"/>
        </w:numPr>
        <w:spacing w:after="120" w:line="240" w:lineRule="auto"/>
        <w:ind w:right="1440"/>
      </w:pPr>
      <w:r>
        <w:t>Asserts that the Commission ordered SMART to construct the crossing because a witness for SMART was asked during the evidentiary hearing: “Can you cite any examples of any rail crossings in any other rail line … in which a crossing has not been constructed, even though approved by the Public Utilities Commission because an agreement outside of the Commission was not reached?” and the response was “I don’t have any knowledge of any example like that.”</w:t>
      </w:r>
    </w:p>
    <w:p w:rsidR="005A6761" w:rsidP="005A6761" w:rsidRDefault="005A6761" w14:paraId="21C7D5A2" w14:textId="1E7694CA">
      <w:pPr>
        <w:pStyle w:val="Standard"/>
        <w:numPr>
          <w:ilvl w:val="0"/>
          <w:numId w:val="44"/>
        </w:numPr>
        <w:spacing w:after="120" w:line="240" w:lineRule="auto"/>
        <w:ind w:right="1440"/>
      </w:pPr>
      <w:r>
        <w:t>Reargues that because SMART’s Motion to Dismiss was denied that it means the Commission ordered SMART to construct the crossing in question</w:t>
      </w:r>
      <w:r w:rsidR="00B427C3">
        <w:t>.</w:t>
      </w:r>
    </w:p>
    <w:p w:rsidR="00B427C3" w:rsidP="005A6761" w:rsidRDefault="00B427C3" w14:paraId="3D14D44D" w14:textId="13C9A3A3">
      <w:pPr>
        <w:pStyle w:val="Standard"/>
        <w:numPr>
          <w:ilvl w:val="0"/>
          <w:numId w:val="44"/>
        </w:numPr>
        <w:spacing w:after="120" w:line="240" w:lineRule="auto"/>
        <w:ind w:right="1440"/>
      </w:pPr>
      <w:r>
        <w:t>Argues that when SMART’s Motion to Dismiss was denied that the Commission ruled on against SMART’s asserted defenses and positions in this proceeding.</w:t>
      </w:r>
    </w:p>
    <w:p w:rsidR="00B427C3" w:rsidP="005A6761" w:rsidRDefault="00B427C3" w14:paraId="7687822D" w14:textId="4B000394">
      <w:pPr>
        <w:pStyle w:val="Standard"/>
        <w:numPr>
          <w:ilvl w:val="0"/>
          <w:numId w:val="44"/>
        </w:numPr>
        <w:spacing w:after="120" w:line="240" w:lineRule="auto"/>
        <w:ind w:right="1440"/>
      </w:pPr>
      <w:r>
        <w:t>Argues that the presiding officer’s decision is in er</w:t>
      </w:r>
      <w:r w:rsidR="00953126">
        <w:t>r</w:t>
      </w:r>
      <w:r>
        <w:t>or because it did not specifically address the complainant’s statement in the Reply Brief that “SMART has not borne its burden of proof on new matter, affirmative defenses, and to refute the prima facie case.”</w:t>
      </w:r>
    </w:p>
    <w:p w:rsidR="00B427C3" w:rsidP="005A6761" w:rsidRDefault="00B427C3" w14:paraId="1FD6D53E" w14:textId="61A17C8B">
      <w:pPr>
        <w:pStyle w:val="Standard"/>
        <w:numPr>
          <w:ilvl w:val="0"/>
          <w:numId w:val="44"/>
        </w:numPr>
        <w:spacing w:after="120" w:line="240" w:lineRule="auto"/>
        <w:ind w:right="1440"/>
      </w:pPr>
      <w:r>
        <w:t>Argues the presiding officer’s decision is in error because it only made three citations to the hearing transcript.</w:t>
      </w:r>
    </w:p>
    <w:p w:rsidR="00B427C3" w:rsidP="005A6761" w:rsidRDefault="00B427C3" w14:paraId="5B3B1E82" w14:textId="1357B49C">
      <w:pPr>
        <w:pStyle w:val="Standard"/>
        <w:numPr>
          <w:ilvl w:val="0"/>
          <w:numId w:val="44"/>
        </w:numPr>
        <w:spacing w:after="120" w:line="240" w:lineRule="auto"/>
        <w:ind w:right="1440"/>
      </w:pPr>
      <w:r>
        <w:lastRenderedPageBreak/>
        <w:t>Reargues the assigned ALJ’s ruling on the best evidence rule and the ALJ’s decision concerning the weight that was given to the Complainant’s evidence.</w:t>
      </w:r>
    </w:p>
    <w:p w:rsidR="00B427C3" w:rsidP="005A6761" w:rsidRDefault="00B427C3" w14:paraId="0C5C4D33" w14:textId="30AA74AC">
      <w:pPr>
        <w:pStyle w:val="Standard"/>
        <w:numPr>
          <w:ilvl w:val="0"/>
          <w:numId w:val="44"/>
        </w:numPr>
        <w:spacing w:after="120" w:line="240" w:lineRule="auto"/>
        <w:ind w:right="1440"/>
      </w:pPr>
      <w:r>
        <w:t>Is unhappy that the presiding officer’s decision states that the Commission will consider an OII i</w:t>
      </w:r>
      <w:r w:rsidRPr="00D93606">
        <w:t xml:space="preserve">f an agreement between </w:t>
      </w:r>
      <w:r>
        <w:t xml:space="preserve">the </w:t>
      </w:r>
      <w:r w:rsidRPr="00D93606">
        <w:t>S</w:t>
      </w:r>
      <w:r>
        <w:t>MART</w:t>
      </w:r>
      <w:r w:rsidRPr="00D93606">
        <w:t xml:space="preserve"> and the </w:t>
      </w:r>
      <w:r w:rsidRPr="003A2588">
        <w:t xml:space="preserve">City of Santa Rosa </w:t>
      </w:r>
      <w:r w:rsidRPr="00D93606">
        <w:t>is not reached within than 12-months from the date this decision is deemed final</w:t>
      </w:r>
      <w:r>
        <w:t xml:space="preserve"> and reargues that because the crossing has not been completed that SMART has failed to comply with prior Commission decisions.</w:t>
      </w:r>
    </w:p>
    <w:p w:rsidR="00045269" w:rsidP="00A76E38" w:rsidRDefault="00045269" w14:paraId="691F93D4" w14:textId="21169CE5">
      <w:pPr>
        <w:pStyle w:val="Standard"/>
      </w:pPr>
      <w:r>
        <w:t>In response to the Appeal, Defendant supports the presiding officer’s decision and asserts generally that: (1) the Appeal fails to identify any factual or legal error in the presiding officer’s decision; (2) the presiding officer’s decision correctly concludes that the Complainant failed to meet the burden of proof; (3) the Complainant mischaracterizes the presiding officer’s review of the Complainant’s evidence; and (4) Complainant’s additional arguments fail to establish the presiding officer’s decision is unlawful or erroneous.</w:t>
      </w:r>
    </w:p>
    <w:p w:rsidRPr="006E02D4" w:rsidR="00940469" w:rsidP="00045269" w:rsidRDefault="00045269" w14:paraId="1BE77E30" w14:textId="16744389">
      <w:pPr>
        <w:pStyle w:val="Standard"/>
      </w:pPr>
      <w:r>
        <w:t>We have reviewed the Appeal and Defendant’s response to the Appeal. The Commission disagrees with Complainants’ assertions that the presiding officer’s decision contains factual or legal error and thus, makes no modifications to the presiding officer’s decision.</w:t>
      </w:r>
    </w:p>
    <w:p w:rsidRPr="0084772A" w:rsidR="00BB4BBC" w:rsidP="00BB4BBC" w:rsidRDefault="00BB4BBC" w14:paraId="22B37118" w14:textId="77777777">
      <w:pPr>
        <w:pStyle w:val="Heading1"/>
      </w:pPr>
      <w:bookmarkStart w:name="_Toc8123724" w:id="10"/>
      <w:bookmarkStart w:name="_Toc198039464" w:id="11"/>
      <w:r w:rsidRPr="0084772A">
        <w:t>Assignment of Proceeding</w:t>
      </w:r>
      <w:bookmarkEnd w:id="10"/>
      <w:bookmarkEnd w:id="11"/>
    </w:p>
    <w:p w:rsidR="00BB4BBC" w:rsidP="00BB7B30" w:rsidRDefault="00BB4BBC" w14:paraId="655910A9" w14:textId="4C191497">
      <w:pPr>
        <w:pStyle w:val="Standard"/>
      </w:pPr>
      <w:r>
        <w:t>Matthew Baker is the assigned Commissioner and Gerald F. Kelly is the assigned Administrative Law Judge and Presiding Officer in this proceeding.</w:t>
      </w:r>
    </w:p>
    <w:p w:rsidR="00BB7B30" w:rsidP="00BB7B30" w:rsidRDefault="00BB7B30" w14:paraId="5CFBB7E9" w14:textId="77777777">
      <w:pPr>
        <w:pStyle w:val="Dummy"/>
      </w:pPr>
      <w:bookmarkStart w:name="_Toc198039465" w:id="12"/>
      <w:r w:rsidRPr="00904B26">
        <w:t>Findings</w:t>
      </w:r>
      <w:r>
        <w:t xml:space="preserve"> of Fact</w:t>
      </w:r>
      <w:bookmarkEnd w:id="12"/>
    </w:p>
    <w:p w:rsidR="00BB7B30" w:rsidP="00BB7B30" w:rsidRDefault="00BB7B30" w14:paraId="3FCB5C42" w14:textId="69D79D27">
      <w:pPr>
        <w:pStyle w:val="FoF"/>
      </w:pPr>
      <w:r>
        <w:t xml:space="preserve">The </w:t>
      </w:r>
      <w:r w:rsidR="005A2EFB">
        <w:t>c</w:t>
      </w:r>
      <w:r>
        <w:t>omplaint was filed by Duncan on June 7, 2021</w:t>
      </w:r>
      <w:r w:rsidRPr="00904B26">
        <w:t>.</w:t>
      </w:r>
    </w:p>
    <w:p w:rsidR="00BB7B30" w:rsidP="00BB7B30" w:rsidRDefault="00BB7B30" w14:paraId="5CB330C8" w14:textId="24E6FCD9">
      <w:pPr>
        <w:pStyle w:val="FoF"/>
      </w:pPr>
      <w:r>
        <w:t xml:space="preserve">Among other things, the </w:t>
      </w:r>
      <w:r w:rsidR="005A2EFB">
        <w:t>c</w:t>
      </w:r>
      <w:r>
        <w:t>omplaint alleges that SMART failed to comply with D.16-09-002.</w:t>
      </w:r>
    </w:p>
    <w:p w:rsidR="00C7624E" w:rsidP="00BB7B30" w:rsidRDefault="00C7624E" w14:paraId="37E4E6A0" w14:textId="7170EC58">
      <w:pPr>
        <w:pStyle w:val="FoF"/>
      </w:pPr>
      <w:r>
        <w:lastRenderedPageBreak/>
        <w:t>It</w:t>
      </w:r>
      <w:r w:rsidRPr="00C7624E">
        <w:t xml:space="preserve"> has been eight years since Decision 16</w:t>
      </w:r>
      <w:r w:rsidRPr="00C7624E">
        <w:noBreakHyphen/>
        <w:t>09</w:t>
      </w:r>
      <w:r w:rsidRPr="00C7624E">
        <w:noBreakHyphen/>
        <w:t>002 was issued granting the authority to construct the Jennings Avenue at-grade rail crossing construction and SMART and the City are still nowhere close to reaching an agreement</w:t>
      </w:r>
    </w:p>
    <w:p w:rsidR="00BB7B30" w:rsidP="00BB7B30" w:rsidRDefault="00DC33A6" w14:paraId="149F0D07" w14:textId="6718B717">
      <w:pPr>
        <w:pStyle w:val="FoF"/>
      </w:pPr>
      <w:r>
        <w:t>T</w:t>
      </w:r>
      <w:r w:rsidR="00BB7B30">
        <w:t xml:space="preserve">he </w:t>
      </w:r>
      <w:r w:rsidR="005A2EFB">
        <w:t>c</w:t>
      </w:r>
      <w:r w:rsidR="00BB7B30">
        <w:t>omplaint requests that SMART be compelled to come to an agreement with the City to construct the Jennings Avenue at-grade rail crossing on SMART’s right-of-way and that SMART be fined accordingly.</w:t>
      </w:r>
    </w:p>
    <w:p w:rsidR="00BB7B30" w:rsidP="00BB7B30" w:rsidRDefault="00BB7B30" w14:paraId="63322197" w14:textId="7BCD570C">
      <w:pPr>
        <w:pStyle w:val="FoF"/>
      </w:pPr>
      <w:r>
        <w:t>SMART denies any wrongdoing in this matter.</w:t>
      </w:r>
    </w:p>
    <w:p w:rsidR="00BB7B30" w:rsidP="00BB7B30" w:rsidRDefault="00BB7B30" w14:paraId="4DCF220A" w14:textId="444F98CD">
      <w:pPr>
        <w:pStyle w:val="FoF"/>
      </w:pPr>
      <w:r>
        <w:t xml:space="preserve">The </w:t>
      </w:r>
      <w:r w:rsidR="005A2EFB">
        <w:t>C</w:t>
      </w:r>
      <w:r>
        <w:t xml:space="preserve">omplainant is a non-attorney self-represented litigant. </w:t>
      </w:r>
    </w:p>
    <w:p w:rsidRPr="00904B26" w:rsidR="00BB7B30" w:rsidP="00BB7B30" w:rsidRDefault="00BB7B30" w14:paraId="2D6AC740" w14:textId="1E2FCD26">
      <w:pPr>
        <w:pStyle w:val="FoF"/>
      </w:pPr>
      <w:r>
        <w:t>SMART was represented by its in-house legal team.</w:t>
      </w:r>
    </w:p>
    <w:p w:rsidR="00BB7B30" w:rsidP="00BB7B30" w:rsidRDefault="00BB7B30" w14:paraId="746AA6F5" w14:textId="41297B65">
      <w:pPr>
        <w:pStyle w:val="FoF"/>
      </w:pPr>
      <w:r w:rsidRPr="00904B26">
        <w:t xml:space="preserve">The </w:t>
      </w:r>
      <w:r w:rsidR="005A2EFB">
        <w:t>c</w:t>
      </w:r>
      <w:r w:rsidRPr="00904B26">
        <w:t xml:space="preserve">omplaint fails to </w:t>
      </w:r>
      <w:r>
        <w:t xml:space="preserve">prove by a preponderance of the evidence </w:t>
      </w:r>
      <w:r w:rsidRPr="00904B26">
        <w:t>upon which any relief, including the requested orders, can be based.</w:t>
      </w:r>
    </w:p>
    <w:p w:rsidR="00BB7B30" w:rsidP="00BB7B30" w:rsidRDefault="00BB7B30" w14:paraId="3A93F47F" w14:textId="27D0BF72">
      <w:pPr>
        <w:pStyle w:val="Dummy"/>
      </w:pPr>
      <w:bookmarkStart w:name="_Toc8123726" w:id="13"/>
      <w:bookmarkStart w:name="_Toc198039466" w:id="14"/>
      <w:r>
        <w:t>Conclusion</w:t>
      </w:r>
      <w:r w:rsidR="003C1E2D">
        <w:t>s</w:t>
      </w:r>
      <w:r>
        <w:t xml:space="preserve"> of Law</w:t>
      </w:r>
      <w:bookmarkEnd w:id="13"/>
      <w:bookmarkEnd w:id="14"/>
    </w:p>
    <w:p w:rsidR="00BB7B30" w:rsidP="00AF7A5D" w:rsidRDefault="00BB7B30" w14:paraId="591790C4" w14:textId="10841F19">
      <w:pPr>
        <w:pStyle w:val="CoL"/>
      </w:pPr>
      <w:r>
        <w:t xml:space="preserve">This proceeding should be dismissed for failure to </w:t>
      </w:r>
      <w:r w:rsidR="0057560A">
        <w:t>prove by a preponderance of the evidence that SMART has failed to comply with D</w:t>
      </w:r>
      <w:r>
        <w:t>.</w:t>
      </w:r>
      <w:r w:rsidR="0057560A">
        <w:t>16</w:t>
      </w:r>
      <w:r w:rsidR="00F46663">
        <w:noBreakHyphen/>
      </w:r>
      <w:r w:rsidR="0057560A">
        <w:t>09</w:t>
      </w:r>
      <w:r w:rsidR="00F46663">
        <w:noBreakHyphen/>
      </w:r>
      <w:r w:rsidR="0057560A">
        <w:t>002.</w:t>
      </w:r>
    </w:p>
    <w:p w:rsidR="00BB7B30" w:rsidP="00AF7A5D" w:rsidRDefault="00BB7B30" w14:paraId="781986DE" w14:textId="3FB70080">
      <w:pPr>
        <w:pStyle w:val="CoL"/>
      </w:pPr>
      <w:r>
        <w:t xml:space="preserve">The </w:t>
      </w:r>
      <w:r w:rsidR="005A2EFB">
        <w:t>c</w:t>
      </w:r>
      <w:r>
        <w:t>omplaint fails to request relief that may be granted based upon the facts alleged</w:t>
      </w:r>
      <w:r w:rsidR="0057560A">
        <w:t xml:space="preserve"> and evidence presented</w:t>
      </w:r>
      <w:r>
        <w:t>.</w:t>
      </w:r>
    </w:p>
    <w:p w:rsidR="0057560A" w:rsidP="00AF7A5D" w:rsidRDefault="0057560A" w14:paraId="0CBC18F5" w14:textId="68DF601C">
      <w:pPr>
        <w:pStyle w:val="CoL"/>
      </w:pPr>
      <w:r>
        <w:t>At no point did any prior Commission order, ruling or decision compel SMART to construct the Jennings Avenue crossing.</w:t>
      </w:r>
    </w:p>
    <w:p w:rsidR="00C7624E" w:rsidP="00AF7A5D" w:rsidRDefault="00C7624E" w14:paraId="1EC5B168" w14:textId="200B945F">
      <w:pPr>
        <w:pStyle w:val="CoL"/>
      </w:pPr>
      <w:r w:rsidRPr="00C7624E">
        <w:t xml:space="preserve">Progress toward completion of the rail crossing </w:t>
      </w:r>
      <w:r>
        <w:t>should</w:t>
      </w:r>
      <w:r w:rsidRPr="00C7624E">
        <w:t xml:space="preserve"> continue to be assessed in proceeding A.15-05-014.</w:t>
      </w:r>
    </w:p>
    <w:p w:rsidRPr="001E2A62" w:rsidR="00BB7B30" w:rsidP="00AF7A5D" w:rsidRDefault="00BB7B30" w14:paraId="0657E06C" w14:textId="77777777">
      <w:pPr>
        <w:pStyle w:val="CoL"/>
      </w:pPr>
      <w:r>
        <w:t>The proceeding should be closed.</w:t>
      </w:r>
    </w:p>
    <w:p w:rsidR="00BB7B30" w:rsidP="003C1E2D" w:rsidRDefault="00BB7B30" w14:paraId="744946C1" w14:textId="77777777">
      <w:pPr>
        <w:pStyle w:val="Mainex"/>
        <w:spacing w:before="180"/>
      </w:pPr>
      <w:bookmarkStart w:name="_Toc198039467" w:id="15"/>
      <w:r>
        <w:t>ORDER</w:t>
      </w:r>
      <w:bookmarkEnd w:id="15"/>
    </w:p>
    <w:p w:rsidR="00BB7B30" w:rsidP="00BB7B30" w:rsidRDefault="00BB7B30" w14:paraId="3A2C4ACE" w14:textId="77777777">
      <w:pPr>
        <w:keepNext/>
      </w:pPr>
      <w:r w:rsidRPr="00BB0243">
        <w:rPr>
          <w:b/>
        </w:rPr>
        <w:t>IT IS ORDERED</w:t>
      </w:r>
      <w:r>
        <w:t xml:space="preserve"> that:</w:t>
      </w:r>
    </w:p>
    <w:p w:rsidR="00BB7B30" w:rsidP="00BB7B30" w:rsidRDefault="00BB7B30" w14:paraId="503EA1DE" w14:textId="77777777">
      <w:pPr>
        <w:pStyle w:val="OP"/>
      </w:pPr>
      <w:r>
        <w:t>The complaint is dismissed.</w:t>
      </w:r>
    </w:p>
    <w:p w:rsidR="00BB7B30" w:rsidP="00BB7B30" w:rsidRDefault="00BB7B30" w14:paraId="0DD4A41C" w14:textId="77777777">
      <w:pPr>
        <w:pStyle w:val="OP"/>
      </w:pPr>
      <w:r>
        <w:t>The requested relief is denied.</w:t>
      </w:r>
    </w:p>
    <w:p w:rsidR="00F1652A" w:rsidP="00BB7B30" w:rsidRDefault="00F1652A" w14:paraId="117DAD46" w14:textId="6EC8D9EB">
      <w:pPr>
        <w:pStyle w:val="OP"/>
      </w:pPr>
      <w:r w:rsidRPr="00F1652A">
        <w:lastRenderedPageBreak/>
        <w:t xml:space="preserve">Progress toward completion of the Jennings Avenue at-grade rail crossing </w:t>
      </w:r>
      <w:r>
        <w:t>shall</w:t>
      </w:r>
      <w:r w:rsidRPr="00F1652A">
        <w:t xml:space="preserve"> continue to be assessed in </w:t>
      </w:r>
      <w:r>
        <w:t>proceeding A</w:t>
      </w:r>
      <w:r w:rsidR="00A34FCE">
        <w:t>pplication </w:t>
      </w:r>
      <w:r w:rsidRPr="00F1652A">
        <w:t>15-05-014.</w:t>
      </w:r>
    </w:p>
    <w:p w:rsidR="00BB7B30" w:rsidP="003C1E2D" w:rsidRDefault="00B93DF7" w14:paraId="31A86D36" w14:textId="2059796A">
      <w:pPr>
        <w:pStyle w:val="OP"/>
        <w:keepNext/>
      </w:pPr>
      <w:r>
        <w:t>Case 21-06-011</w:t>
      </w:r>
      <w:r w:rsidR="00BB7B30">
        <w:t xml:space="preserve"> is closed.</w:t>
      </w:r>
    </w:p>
    <w:p w:rsidR="00BB7B30" w:rsidP="003C1E2D" w:rsidRDefault="00BB7B30" w14:paraId="25727C72" w14:textId="77777777">
      <w:pPr>
        <w:pStyle w:val="Standard"/>
        <w:keepNext/>
      </w:pPr>
      <w:r>
        <w:t>This order is effective today.</w:t>
      </w:r>
    </w:p>
    <w:p w:rsidR="00331775" w:rsidP="003C1E2D" w:rsidRDefault="00BB7B30" w14:paraId="39499770" w14:textId="792E1D77">
      <w:pPr>
        <w:pStyle w:val="Standard"/>
        <w:keepNext/>
      </w:pPr>
      <w:r>
        <w:t xml:space="preserve">Dated </w:t>
      </w:r>
      <w:r>
        <w:rPr>
          <w:u w:val="single"/>
        </w:rPr>
        <w:tab/>
      </w:r>
      <w:r>
        <w:rPr>
          <w:u w:val="single"/>
        </w:rPr>
        <w:tab/>
      </w:r>
      <w:r>
        <w:rPr>
          <w:u w:val="single"/>
        </w:rPr>
        <w:tab/>
      </w:r>
      <w:r w:rsidR="00F137C2">
        <w:rPr>
          <w:u w:val="single"/>
        </w:rPr>
        <w:tab/>
      </w:r>
      <w:r>
        <w:t xml:space="preserve">, at </w:t>
      </w:r>
      <w:r w:rsidR="00A34FCE">
        <w:t>Kings Beach</w:t>
      </w:r>
      <w:r>
        <w:t>, California</w:t>
      </w:r>
    </w:p>
    <w:p w:rsidR="00F137C2" w:rsidP="003C1E2D" w:rsidRDefault="00F137C2" w14:paraId="726E5687" w14:textId="77777777">
      <w:pPr>
        <w:pStyle w:val="Standard"/>
        <w:keepNext/>
      </w:pPr>
    </w:p>
    <w:p w:rsidR="00F137C2" w:rsidP="003C1E2D" w:rsidRDefault="00F137C2" w14:paraId="5938E39A" w14:textId="77777777">
      <w:pPr>
        <w:pStyle w:val="Standard"/>
        <w:keepNext/>
      </w:pPr>
    </w:p>
    <w:p w:rsidR="00F65F35" w:rsidP="003C1E2D" w:rsidRDefault="00F65F35" w14:paraId="127A209E" w14:textId="77777777">
      <w:pPr>
        <w:pStyle w:val="Standard"/>
        <w:keepNext/>
      </w:pPr>
    </w:p>
    <w:sectPr w:rsidR="00F65F35" w:rsidSect="00F46663">
      <w:footerReference w:type="first" r:id="rId14"/>
      <w:pgSz w:w="12240" w:h="15840"/>
      <w:pgMar w:top="1728"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5A66" w14:textId="77777777" w:rsidR="00906DC7" w:rsidRDefault="00906DC7" w:rsidP="0098138E">
      <w:pPr>
        <w:spacing w:line="240" w:lineRule="auto"/>
      </w:pPr>
      <w:r>
        <w:separator/>
      </w:r>
    </w:p>
  </w:endnote>
  <w:endnote w:type="continuationSeparator" w:id="0">
    <w:p w14:paraId="58A2BF4A" w14:textId="77777777" w:rsidR="00906DC7" w:rsidRDefault="00906DC7" w:rsidP="0098138E">
      <w:pPr>
        <w:spacing w:line="240" w:lineRule="auto"/>
      </w:pPr>
      <w:r>
        <w:continuationSeparator/>
      </w:r>
    </w:p>
  </w:endnote>
  <w:endnote w:type="continuationNotice" w:id="1">
    <w:p w14:paraId="40F23595" w14:textId="77777777" w:rsidR="00906DC7" w:rsidRDefault="00906D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CEDB" w14:textId="45B574DC" w:rsidR="00656005" w:rsidRDefault="00D861C8" w:rsidP="00656005">
    <w:pPr>
      <w:pStyle w:val="Footer"/>
      <w:tabs>
        <w:tab w:val="clear" w:pos="9360"/>
      </w:tabs>
      <w:ind w:firstLine="0"/>
    </w:pPr>
    <w:r w:rsidRPr="00D861C8">
      <w:rPr>
        <w:rFonts w:cs="Arial"/>
        <w:color w:val="000000"/>
        <w:sz w:val="16"/>
        <w:szCs w:val="16"/>
        <w:shd w:val="clear" w:color="auto" w:fill="FFFFFF"/>
      </w:rPr>
      <w:t>557099862</w:t>
    </w:r>
    <w:r w:rsidR="003C1E2D">
      <w:rPr>
        <w:rFonts w:ascii="Arial" w:hAnsi="Arial" w:cs="Arial"/>
        <w:color w:val="000000"/>
        <w:sz w:val="18"/>
        <w:szCs w:val="18"/>
        <w:shd w:val="clear" w:color="auto" w:fill="FFFFFF"/>
      </w:rPr>
      <w:tab/>
    </w:r>
    <w:r w:rsidR="00656005">
      <w:noBreakHyphen/>
      <w:t xml:space="preserve"> </w:t>
    </w:r>
    <w:sdt>
      <w:sdtPr>
        <w:id w:val="-967423179"/>
        <w:docPartObj>
          <w:docPartGallery w:val="Page Numbers (Bottom of Page)"/>
          <w:docPartUnique/>
        </w:docPartObj>
      </w:sdtPr>
      <w:sdtEndPr>
        <w:rPr>
          <w:noProof/>
        </w:rPr>
      </w:sdtEndPr>
      <w:sdtContent>
        <w:r w:rsidR="00656005">
          <w:fldChar w:fldCharType="begin"/>
        </w:r>
        <w:r w:rsidR="00656005">
          <w:instrText xml:space="preserve"> PAGE   \* MERGEFORMAT </w:instrText>
        </w:r>
        <w:r w:rsidR="00656005">
          <w:fldChar w:fldCharType="separate"/>
        </w:r>
        <w:proofErr w:type="spellStart"/>
        <w:r w:rsidR="00656005">
          <w:t>i</w:t>
        </w:r>
        <w:proofErr w:type="spellEnd"/>
        <w:r w:rsidR="00656005">
          <w:rPr>
            <w:noProof/>
          </w:rPr>
          <w:fldChar w:fldCharType="end"/>
        </w:r>
        <w:r w:rsidR="00656005">
          <w:rPr>
            <w:noProof/>
          </w:rPr>
          <w:t xml:space="preserve"> </w:t>
        </w:r>
        <w:r w:rsidR="00656005">
          <w:rPr>
            <w:noProof/>
          </w:rPr>
          <w:noBreakHyphen/>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AFF8" w14:textId="344D4F33" w:rsidR="006E4231" w:rsidRDefault="009E37FE" w:rsidP="006E4231">
    <w:pPr>
      <w:pStyle w:val="Footer"/>
      <w:ind w:firstLine="0"/>
      <w:jc w:val="center"/>
    </w:pPr>
    <w:r>
      <w:noBreakHyphen/>
    </w:r>
    <w:r w:rsidR="006E4231">
      <w:t xml:space="preserve"> </w:t>
    </w:r>
    <w:sdt>
      <w:sdtPr>
        <w:id w:val="2082714240"/>
        <w:docPartObj>
          <w:docPartGallery w:val="Page Numbers (Bottom of Page)"/>
          <w:docPartUnique/>
        </w:docPartObj>
      </w:sdtPr>
      <w:sdtEndPr>
        <w:rPr>
          <w:noProof/>
        </w:rPr>
      </w:sdtEndPr>
      <w:sdtContent>
        <w:r w:rsidR="006E4231">
          <w:fldChar w:fldCharType="begin"/>
        </w:r>
        <w:r w:rsidR="006E4231">
          <w:instrText xml:space="preserve"> PAGE   \* MERGEFORMAT </w:instrText>
        </w:r>
        <w:r w:rsidR="006E4231">
          <w:fldChar w:fldCharType="separate"/>
        </w:r>
        <w:r w:rsidR="006E4231">
          <w:rPr>
            <w:noProof/>
          </w:rPr>
          <w:t>2</w:t>
        </w:r>
        <w:r w:rsidR="006E4231">
          <w:rPr>
            <w:noProof/>
          </w:rPr>
          <w:fldChar w:fldCharType="end"/>
        </w:r>
        <w:r w:rsidR="006E4231">
          <w:rPr>
            <w:noProof/>
          </w:rPr>
          <w:t xml:space="preserve"> </w:t>
        </w:r>
        <w:r>
          <w:rPr>
            <w:noProof/>
          </w:rPr>
          <w:noBreakHyphen/>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CEB8" w14:textId="25C7372F" w:rsidR="006E4231" w:rsidRDefault="009E37FE" w:rsidP="00F46663">
    <w:pPr>
      <w:pStyle w:val="Footer"/>
      <w:tabs>
        <w:tab w:val="clear" w:pos="9360"/>
      </w:tabs>
      <w:ind w:firstLine="0"/>
      <w:jc w:val="center"/>
    </w:pPr>
    <w:r>
      <w:noBreakHyphen/>
    </w:r>
    <w:r w:rsidR="006E4231">
      <w:t xml:space="preserve"> </w:t>
    </w:r>
    <w:sdt>
      <w:sdtPr>
        <w:id w:val="-1425346132"/>
        <w:docPartObj>
          <w:docPartGallery w:val="Page Numbers (Bottom of Page)"/>
          <w:docPartUnique/>
        </w:docPartObj>
      </w:sdtPr>
      <w:sdtEndPr>
        <w:rPr>
          <w:noProof/>
        </w:rPr>
      </w:sdtEndPr>
      <w:sdtContent>
        <w:r w:rsidR="006E4231">
          <w:fldChar w:fldCharType="begin"/>
        </w:r>
        <w:r w:rsidR="006E4231">
          <w:instrText xml:space="preserve"> PAGE   \* MERGEFORMAT </w:instrText>
        </w:r>
        <w:r w:rsidR="006E4231">
          <w:fldChar w:fldCharType="separate"/>
        </w:r>
        <w:r w:rsidR="006E4231">
          <w:rPr>
            <w:noProof/>
          </w:rPr>
          <w:t>2</w:t>
        </w:r>
        <w:r w:rsidR="006E4231">
          <w:rPr>
            <w:noProof/>
          </w:rPr>
          <w:fldChar w:fldCharType="end"/>
        </w:r>
        <w:r w:rsidR="006E4231">
          <w:rPr>
            <w:noProof/>
          </w:rPr>
          <w:t xml:space="preserve"> </w:t>
        </w:r>
        <w:r>
          <w:rPr>
            <w:noProof/>
          </w:rPr>
          <w:noBreakHyphen/>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0FF3" w14:textId="77777777" w:rsidR="00656005" w:rsidRDefault="00656005" w:rsidP="00F46663">
    <w:pPr>
      <w:pStyle w:val="Footer"/>
      <w:tabs>
        <w:tab w:val="clear" w:pos="9360"/>
      </w:tabs>
      <w:ind w:firstLine="0"/>
      <w:jc w:val="center"/>
    </w:pPr>
    <w:r>
      <w:noBreakHyphen/>
      <w:t xml:space="preserve"> </w:t>
    </w:r>
    <w:sdt>
      <w:sdtPr>
        <w:id w:val="8479913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noBreakHyphen/>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B175E" w14:textId="77777777" w:rsidR="00906DC7" w:rsidRDefault="00906DC7" w:rsidP="00DF58E7">
      <w:pPr>
        <w:spacing w:line="240" w:lineRule="auto"/>
        <w:ind w:firstLine="0"/>
      </w:pPr>
      <w:r>
        <w:separator/>
      </w:r>
    </w:p>
  </w:footnote>
  <w:footnote w:type="continuationSeparator" w:id="0">
    <w:p w14:paraId="78A81C07" w14:textId="77777777" w:rsidR="00906DC7" w:rsidRDefault="00906DC7" w:rsidP="00DF58E7">
      <w:pPr>
        <w:spacing w:line="240" w:lineRule="auto"/>
        <w:ind w:firstLine="0"/>
      </w:pPr>
      <w:r>
        <w:continuationSeparator/>
      </w:r>
    </w:p>
  </w:footnote>
  <w:footnote w:type="continuationNotice" w:id="1">
    <w:p w14:paraId="4000DCCB" w14:textId="77777777" w:rsidR="00906DC7" w:rsidRPr="00DF58E7" w:rsidRDefault="00906DC7" w:rsidP="00DF58E7">
      <w:pPr>
        <w:spacing w:line="240" w:lineRule="auto"/>
        <w:ind w:firstLine="0"/>
        <w:jc w:val="right"/>
        <w:rPr>
          <w:i/>
          <w:sz w:val="22"/>
        </w:rPr>
      </w:pPr>
      <w:r w:rsidRPr="00DF58E7">
        <w:rPr>
          <w:i/>
          <w:sz w:val="22"/>
        </w:rPr>
        <w:t>Footnote continued on next page.</w:t>
      </w:r>
    </w:p>
  </w:footnote>
  <w:footnote w:id="2">
    <w:p w14:paraId="3E3AA3E0" w14:textId="7F9FB490" w:rsidR="0012232C" w:rsidRDefault="0012232C" w:rsidP="005A376B">
      <w:pPr>
        <w:pStyle w:val="FootnoteText"/>
      </w:pPr>
      <w:r>
        <w:rPr>
          <w:rStyle w:val="FootnoteReference"/>
        </w:rPr>
        <w:footnoteRef/>
      </w:r>
      <w:r>
        <w:t xml:space="preserve"> </w:t>
      </w:r>
      <w:r w:rsidR="005A376B">
        <w:t xml:space="preserve"> </w:t>
      </w:r>
      <w:r>
        <w:t>Duncan is a self-represented non attorney litigant in this proceeding.</w:t>
      </w:r>
    </w:p>
  </w:footnote>
  <w:footnote w:id="3">
    <w:p w14:paraId="02BB8EC9" w14:textId="5A4AEE05" w:rsidR="009B65A8" w:rsidRDefault="009B65A8" w:rsidP="005A376B">
      <w:pPr>
        <w:pStyle w:val="FootnoteText"/>
      </w:pPr>
      <w:r>
        <w:rPr>
          <w:rStyle w:val="FootnoteReference"/>
        </w:rPr>
        <w:footnoteRef/>
      </w:r>
      <w:r>
        <w:t xml:space="preserve"> </w:t>
      </w:r>
      <w:r w:rsidR="005A376B">
        <w:t xml:space="preserve"> </w:t>
      </w:r>
      <w:r>
        <w:t xml:space="preserve">The Commission subsequently issued </w:t>
      </w:r>
      <w:r w:rsidR="00B93DF7">
        <w:t>D.</w:t>
      </w:r>
      <w:r>
        <w:t xml:space="preserve">17-08-017 on August 11, 2017, which modified </w:t>
      </w:r>
      <w:r w:rsidR="00B93DF7">
        <w:t>D.16</w:t>
      </w:r>
      <w:r w:rsidR="00B93DF7">
        <w:noBreakHyphen/>
      </w:r>
      <w:r>
        <w:t>09</w:t>
      </w:r>
      <w:r w:rsidR="00B93DF7">
        <w:noBreakHyphen/>
      </w:r>
      <w:r>
        <w:t xml:space="preserve">002 and denied a request for rehearing. On September 17, 2019, the Commission issued </w:t>
      </w:r>
      <w:r w:rsidR="00B93DF7">
        <w:t>D.</w:t>
      </w:r>
      <w:r>
        <w:t xml:space="preserve">19-10-002, which extended the authority to construct the crossing. </w:t>
      </w:r>
      <w:r w:rsidR="00BA61C9">
        <w:t xml:space="preserve">On October 8, 2021, the Commission issued </w:t>
      </w:r>
      <w:r w:rsidR="00B93DF7">
        <w:t>D.</w:t>
      </w:r>
      <w:r w:rsidR="00BA61C9">
        <w:t>21-10-003, which again extended the authority to construct the crossing.</w:t>
      </w:r>
    </w:p>
  </w:footnote>
  <w:footnote w:id="4">
    <w:p w14:paraId="1AF0AEB2" w14:textId="7D9DD7FA" w:rsidR="00526EA0" w:rsidRDefault="00526EA0" w:rsidP="005A376B">
      <w:pPr>
        <w:pStyle w:val="FootnoteText"/>
      </w:pPr>
      <w:r>
        <w:rPr>
          <w:rStyle w:val="FootnoteReference"/>
        </w:rPr>
        <w:footnoteRef/>
      </w:r>
      <w:r>
        <w:t xml:space="preserve"> </w:t>
      </w:r>
      <w:r w:rsidR="005A376B">
        <w:t xml:space="preserve"> </w:t>
      </w:r>
      <w:r w:rsidR="0012232C">
        <w:t xml:space="preserve">SMART was represented in this matter by in house attorney Jessica Southerland. </w:t>
      </w:r>
      <w:r>
        <w:t>SMART and Ducan may be referred to jointly as the parties.</w:t>
      </w:r>
    </w:p>
  </w:footnote>
  <w:footnote w:id="5">
    <w:p w14:paraId="39E6BB3F" w14:textId="2B7390C0" w:rsidR="00902106" w:rsidRDefault="00902106" w:rsidP="005A376B">
      <w:pPr>
        <w:pStyle w:val="FootnoteText"/>
      </w:pPr>
      <w:r>
        <w:rPr>
          <w:rStyle w:val="FootnoteReference"/>
        </w:rPr>
        <w:footnoteRef/>
      </w:r>
      <w:r>
        <w:t xml:space="preserve"> </w:t>
      </w:r>
      <w:r w:rsidR="005A376B">
        <w:t xml:space="preserve"> </w:t>
      </w:r>
      <w:r w:rsidR="001C41F3">
        <w:t>Some</w:t>
      </w:r>
      <w:r>
        <w:t xml:space="preserve"> of the requests in the Complaint are invalid, such as requesting the Commission to waive exclusive jurisdiction of an issue so that the Complainant could </w:t>
      </w:r>
      <w:r w:rsidR="001C41F3">
        <w:t>continue to pursue legal action in Superior Cout.</w:t>
      </w:r>
      <w:r w:rsidR="003A3AB7">
        <w:t xml:space="preserve"> Neither Duncan nor SMART contested the issues set forth in the subsequent Scoping Memo issued on December 19, 2022.</w:t>
      </w:r>
    </w:p>
  </w:footnote>
  <w:footnote w:id="6">
    <w:p w14:paraId="44533ED7" w14:textId="0B84E434" w:rsidR="00B86A9F" w:rsidRPr="00671D56" w:rsidRDefault="00B86A9F" w:rsidP="005A376B">
      <w:pPr>
        <w:pStyle w:val="FootnoteText"/>
        <w:rPr>
          <w:szCs w:val="22"/>
        </w:rPr>
      </w:pPr>
      <w:r>
        <w:rPr>
          <w:rStyle w:val="FootnoteReference"/>
        </w:rPr>
        <w:footnoteRef/>
      </w:r>
      <w:r>
        <w:t xml:space="preserve"> </w:t>
      </w:r>
      <w:r w:rsidR="005A376B">
        <w:t xml:space="preserve"> </w:t>
      </w:r>
      <w:r>
        <w:rPr>
          <w:szCs w:val="22"/>
        </w:rPr>
        <w:t>Unless stated otherwise, all future references to Rule or Rules means the Commission’s Rules of Practice and Procedure.</w:t>
      </w:r>
    </w:p>
  </w:footnote>
  <w:footnote w:id="7">
    <w:p w14:paraId="489EA26F" w14:textId="04335930" w:rsidR="00B86A9F" w:rsidRPr="00734C08" w:rsidRDefault="00B86A9F" w:rsidP="005A376B">
      <w:pPr>
        <w:pStyle w:val="FootnoteText"/>
      </w:pPr>
      <w:r>
        <w:rPr>
          <w:rStyle w:val="FootnoteReference"/>
        </w:rPr>
        <w:footnoteRef/>
      </w:r>
      <w:r>
        <w:t xml:space="preserve"> </w:t>
      </w:r>
      <w:r w:rsidR="005A376B">
        <w:t xml:space="preserve"> </w:t>
      </w:r>
      <w:r>
        <w:t>Duncan believes that the Commission has mandated that the crossing be constructed because the Commission approved the City’s Application (A.15-05-014) for an at-grade crossing and because SMART’s Motion to Dismiss the Complaint was denied on March 16, 2022.</w:t>
      </w:r>
    </w:p>
  </w:footnote>
  <w:footnote w:id="8">
    <w:p w14:paraId="54ACEECE" w14:textId="40F1460D" w:rsidR="00B737BF" w:rsidRDefault="00B737BF" w:rsidP="005A376B">
      <w:pPr>
        <w:pStyle w:val="FootnoteText"/>
      </w:pPr>
      <w:r>
        <w:rPr>
          <w:rStyle w:val="FootnoteReference"/>
        </w:rPr>
        <w:footnoteRef/>
      </w:r>
      <w:r>
        <w:t xml:space="preserve"> </w:t>
      </w:r>
      <w:r w:rsidR="005A376B">
        <w:t xml:space="preserve"> </w:t>
      </w:r>
      <w:r>
        <w:t>Hearing Transcript Volume 1 at 14-15.</w:t>
      </w:r>
    </w:p>
  </w:footnote>
  <w:footnote w:id="9">
    <w:p w14:paraId="4C835389" w14:textId="031942BC" w:rsidR="006B0906" w:rsidRDefault="006B0906" w:rsidP="005A376B">
      <w:pPr>
        <w:pStyle w:val="FootnoteText"/>
      </w:pPr>
      <w:r>
        <w:rPr>
          <w:rStyle w:val="FootnoteReference"/>
        </w:rPr>
        <w:footnoteRef/>
      </w:r>
      <w:r>
        <w:t xml:space="preserve"> </w:t>
      </w:r>
      <w:r w:rsidR="005A376B">
        <w:t xml:space="preserve"> </w:t>
      </w:r>
      <w:r>
        <w:t>Hearing Transcript Volume 1 at 28.</w:t>
      </w:r>
    </w:p>
  </w:footnote>
  <w:footnote w:id="10">
    <w:p w14:paraId="1E46F524" w14:textId="7B21C9E2" w:rsidR="009D00FC" w:rsidRDefault="009D00FC" w:rsidP="005A376B">
      <w:pPr>
        <w:pStyle w:val="FootnoteText"/>
      </w:pPr>
      <w:r>
        <w:rPr>
          <w:rStyle w:val="FootnoteReference"/>
        </w:rPr>
        <w:footnoteRef/>
      </w:r>
      <w:r>
        <w:t xml:space="preserve"> </w:t>
      </w:r>
      <w:r w:rsidR="005A376B">
        <w:t xml:space="preserve"> </w:t>
      </w:r>
      <w:r>
        <w:t>Hearing Transcript Volume 2 at 208-217.</w:t>
      </w:r>
    </w:p>
  </w:footnote>
  <w:footnote w:id="11">
    <w:p w14:paraId="3D895B5F" w14:textId="3165E355" w:rsidR="005A6761" w:rsidRDefault="005A6761">
      <w:pPr>
        <w:pStyle w:val="FootnoteText"/>
      </w:pPr>
      <w:r>
        <w:rPr>
          <w:rStyle w:val="FootnoteReference"/>
        </w:rPr>
        <w:footnoteRef/>
      </w:r>
      <w:r>
        <w:t xml:space="preserve"> The Appeal makes numerous allegations, many of which are not in dispute such as D.16</w:t>
      </w:r>
      <w:r w:rsidR="00A76E38">
        <w:noBreakHyphen/>
      </w:r>
      <w:r>
        <w:t>09</w:t>
      </w:r>
      <w:r w:rsidR="00A76E38">
        <w:noBreakHyphen/>
      </w:r>
      <w:r>
        <w:t>003 approved the City of Santa Rosa’s application for a crossing and it has been eight</w:t>
      </w:r>
      <w:r w:rsidR="00A76E38">
        <w:t> </w:t>
      </w:r>
      <w:r>
        <w:t>years and no crossing has been built; relists the issues set forth in the Scoping Memo; reargues all issues the majority of all issues and positions put forth during evidentiary hearings</w:t>
      </w:r>
      <w:r w:rsidR="00B427C3">
        <w:t>; and asserts that the Commission has exclusive jurisdiction for rail crossings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ADAB" w14:textId="695E68C2" w:rsidR="00F137C2" w:rsidRPr="00EA3259" w:rsidRDefault="00F137C2" w:rsidP="00F137C2">
    <w:pPr>
      <w:pStyle w:val="Header"/>
      <w:tabs>
        <w:tab w:val="clear" w:pos="4680"/>
      </w:tabs>
      <w:ind w:firstLine="0"/>
      <w:rPr>
        <w:b/>
        <w:lang w:val="pl-PL"/>
      </w:rPr>
    </w:pPr>
    <w:r w:rsidRPr="00EA3259">
      <w:rPr>
        <w:lang w:val="pl-PL"/>
      </w:rPr>
      <w:t>C.21-06-011  ALJ/MOD-POD-GK1/jnf</w:t>
    </w:r>
  </w:p>
  <w:p w14:paraId="3BAD31C8" w14:textId="77777777" w:rsidR="00F137C2" w:rsidRPr="00EA3259" w:rsidRDefault="00F137C2" w:rsidP="00F137C2">
    <w:pPr>
      <w:pStyle w:val="Header"/>
      <w:tabs>
        <w:tab w:val="clear" w:pos="4680"/>
      </w:tabs>
      <w:ind w:firstLine="0"/>
      <w:rPr>
        <w:b/>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C1BD" w14:textId="77777777" w:rsidR="003C1E2D" w:rsidRDefault="003C1E2D" w:rsidP="003C1E2D">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7B0D" w14:textId="287F7AB6" w:rsidR="005A376B" w:rsidRPr="00EA3259" w:rsidRDefault="003C1E2D" w:rsidP="00746C03">
    <w:pPr>
      <w:pStyle w:val="Header"/>
      <w:tabs>
        <w:tab w:val="clear" w:pos="4680"/>
      </w:tabs>
      <w:ind w:firstLine="0"/>
      <w:rPr>
        <w:b/>
        <w:lang w:val="pl-PL"/>
      </w:rPr>
    </w:pPr>
    <w:r w:rsidRPr="00EA3259">
      <w:rPr>
        <w:lang w:val="pl-PL"/>
      </w:rPr>
      <w:t>C.21-06-011  ALJ/</w:t>
    </w:r>
    <w:r w:rsidR="00940469" w:rsidRPr="00EA3259">
      <w:rPr>
        <w:lang w:val="pl-PL"/>
      </w:rPr>
      <w:t>MOD-</w:t>
    </w:r>
    <w:r w:rsidRPr="00EA3259">
      <w:rPr>
        <w:lang w:val="pl-PL"/>
      </w:rPr>
      <w:t>POD</w:t>
    </w:r>
    <w:r w:rsidR="00F137C2" w:rsidRPr="00EA3259">
      <w:rPr>
        <w:lang w:val="pl-PL"/>
      </w:rPr>
      <w:t>-</w:t>
    </w:r>
    <w:r w:rsidRPr="00EA3259">
      <w:rPr>
        <w:lang w:val="pl-PL"/>
      </w:rPr>
      <w:t>GK1/</w:t>
    </w:r>
    <w:r w:rsidR="00F137C2" w:rsidRPr="00EA3259">
      <w:rPr>
        <w:lang w:val="pl-PL"/>
      </w:rPr>
      <w:t>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12B9B"/>
    <w:multiLevelType w:val="multilevel"/>
    <w:tmpl w:val="F5729DBE"/>
    <w:numStyleLink w:val="Headings"/>
  </w:abstractNum>
  <w:abstractNum w:abstractNumId="2" w15:restartNumberingAfterBreak="0">
    <w:nsid w:val="07696F26"/>
    <w:multiLevelType w:val="hybridMultilevel"/>
    <w:tmpl w:val="FB802736"/>
    <w:lvl w:ilvl="0" w:tplc="1982D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CF4547"/>
    <w:multiLevelType w:val="hybridMultilevel"/>
    <w:tmpl w:val="D2A4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565D7"/>
    <w:multiLevelType w:val="multilevel"/>
    <w:tmpl w:val="F5729DBE"/>
    <w:numStyleLink w:val="Headings"/>
  </w:abstractNum>
  <w:abstractNum w:abstractNumId="5" w15:restartNumberingAfterBreak="0">
    <w:nsid w:val="146C1C14"/>
    <w:multiLevelType w:val="multilevel"/>
    <w:tmpl w:val="6B9E1090"/>
    <w:styleLink w:val="FoFCoLOP"/>
    <w:lvl w:ilvl="0">
      <w:start w:val="1"/>
      <w:numFmt w:val="decimal"/>
      <w:pStyle w:val="Co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F056CB"/>
    <w:multiLevelType w:val="multilevel"/>
    <w:tmpl w:val="6B9E1090"/>
    <w:numStyleLink w:val="FoFCoLOP"/>
  </w:abstractNum>
  <w:abstractNum w:abstractNumId="7" w15:restartNumberingAfterBreak="0">
    <w:nsid w:val="174E3DAD"/>
    <w:multiLevelType w:val="hybridMultilevel"/>
    <w:tmpl w:val="ACD4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0038F"/>
    <w:multiLevelType w:val="multilevel"/>
    <w:tmpl w:val="F5729DBE"/>
    <w:numStyleLink w:val="Headings"/>
  </w:abstractNum>
  <w:abstractNum w:abstractNumId="9" w15:restartNumberingAfterBreak="0">
    <w:nsid w:val="1E2242C9"/>
    <w:multiLevelType w:val="multilevel"/>
    <w:tmpl w:val="F5729DBE"/>
    <w:numStyleLink w:val="Headings"/>
  </w:abstractNum>
  <w:abstractNum w:abstractNumId="10" w15:restartNumberingAfterBreak="0">
    <w:nsid w:val="1E7B1485"/>
    <w:multiLevelType w:val="multilevel"/>
    <w:tmpl w:val="F5729DBE"/>
    <w:numStyleLink w:val="Headings"/>
  </w:abstractNum>
  <w:abstractNum w:abstractNumId="11" w15:restartNumberingAfterBreak="0">
    <w:nsid w:val="21FB58FE"/>
    <w:multiLevelType w:val="multilevel"/>
    <w:tmpl w:val="F5729DBE"/>
    <w:numStyleLink w:val="Headings"/>
  </w:abstractNum>
  <w:abstractNum w:abstractNumId="12" w15:restartNumberingAfterBreak="0">
    <w:nsid w:val="24EF0EE8"/>
    <w:multiLevelType w:val="multilevel"/>
    <w:tmpl w:val="F5729DBE"/>
    <w:numStyleLink w:val="Headings"/>
  </w:abstractNum>
  <w:abstractNum w:abstractNumId="13" w15:restartNumberingAfterBreak="0">
    <w:nsid w:val="28BF71AC"/>
    <w:multiLevelType w:val="multilevel"/>
    <w:tmpl w:val="F5729DBE"/>
    <w:numStyleLink w:val="Headings"/>
  </w:abstractNum>
  <w:abstractNum w:abstractNumId="14" w15:restartNumberingAfterBreak="0">
    <w:nsid w:val="2A6F0F7B"/>
    <w:multiLevelType w:val="multilevel"/>
    <w:tmpl w:val="F5729DBE"/>
    <w:numStyleLink w:val="Headings"/>
  </w:abstractNum>
  <w:abstractNum w:abstractNumId="15" w15:restartNumberingAfterBreak="0">
    <w:nsid w:val="2BFD37F4"/>
    <w:multiLevelType w:val="multilevel"/>
    <w:tmpl w:val="F5729DBE"/>
    <w:numStyleLink w:val="Headings"/>
  </w:abstractNum>
  <w:abstractNum w:abstractNumId="16" w15:restartNumberingAfterBreak="0">
    <w:nsid w:val="2FD24011"/>
    <w:multiLevelType w:val="hybridMultilevel"/>
    <w:tmpl w:val="F6E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F6D42"/>
    <w:multiLevelType w:val="multilevel"/>
    <w:tmpl w:val="F5729DBE"/>
    <w:styleLink w:val="Headings"/>
    <w:lvl w:ilvl="0">
      <w:start w:val="1"/>
      <w:numFmt w:val="decimal"/>
      <w:pStyle w:val="Heading1"/>
      <w:lvlText w:val="%1."/>
      <w:lvlJc w:val="left"/>
      <w:pPr>
        <w:tabs>
          <w:tab w:val="num" w:pos="720"/>
        </w:tabs>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ind w:left="720" w:firstLine="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8" w15:restartNumberingAfterBreak="0">
    <w:nsid w:val="40E71BCF"/>
    <w:multiLevelType w:val="multilevel"/>
    <w:tmpl w:val="F5729DBE"/>
    <w:numStyleLink w:val="Headings"/>
  </w:abstractNum>
  <w:abstractNum w:abstractNumId="19" w15:restartNumberingAfterBreak="0">
    <w:nsid w:val="464F755D"/>
    <w:multiLevelType w:val="multilevel"/>
    <w:tmpl w:val="F5729DBE"/>
    <w:numStyleLink w:val="Headings"/>
  </w:abstractNum>
  <w:abstractNum w:abstractNumId="20" w15:restartNumberingAfterBreak="0">
    <w:nsid w:val="491A2B14"/>
    <w:multiLevelType w:val="hybridMultilevel"/>
    <w:tmpl w:val="ACB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064C4"/>
    <w:multiLevelType w:val="multilevel"/>
    <w:tmpl w:val="F5729DBE"/>
    <w:numStyleLink w:val="Headings"/>
  </w:abstractNum>
  <w:abstractNum w:abstractNumId="22" w15:restartNumberingAfterBreak="0">
    <w:nsid w:val="4DF7486B"/>
    <w:multiLevelType w:val="hybridMultilevel"/>
    <w:tmpl w:val="D8966B36"/>
    <w:lvl w:ilvl="0" w:tplc="7AEC4E38">
      <w:start w:val="1"/>
      <w:numFmt w:val="decimal"/>
      <w:lvlText w:val="%1."/>
      <w:lvlJc w:val="left"/>
      <w:pPr>
        <w:ind w:left="1080" w:hanging="360"/>
      </w:pPr>
      <w:rPr>
        <w:rFonts w:hint="default"/>
        <w:b w:val="0"/>
        <w:i w:val="0"/>
        <w:caps w:val="0"/>
        <w:strike w:val="0"/>
        <w:dstrike w:val="0"/>
        <w:vanish w:val="0"/>
        <w:kern w:val="0"/>
        <w:position w:val="0"/>
        <w:sz w:val="26"/>
        <w:vertAlign w:val="baseline"/>
        <w14:ligatures w14:val="none"/>
        <w14:numSpacing w14:val="default"/>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375DBD"/>
    <w:multiLevelType w:val="hybridMultilevel"/>
    <w:tmpl w:val="DD00FC46"/>
    <w:lvl w:ilvl="0" w:tplc="2E0CD2E2">
      <w:start w:val="1"/>
      <w:numFmt w:val="lowerLetter"/>
      <w:lvlText w:val="(%1)"/>
      <w:lvlJc w:val="left"/>
      <w:pPr>
        <w:ind w:left="1815" w:hanging="375"/>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4B4B28"/>
    <w:multiLevelType w:val="multilevel"/>
    <w:tmpl w:val="F5729DBE"/>
    <w:numStyleLink w:val="Headings"/>
  </w:abstractNum>
  <w:abstractNum w:abstractNumId="25" w15:restartNumberingAfterBreak="0">
    <w:nsid w:val="59D042D7"/>
    <w:multiLevelType w:val="multilevel"/>
    <w:tmpl w:val="6B9E1090"/>
    <w:numStyleLink w:val="FoFCoLOP"/>
  </w:abstractNum>
  <w:abstractNum w:abstractNumId="26" w15:restartNumberingAfterBreak="0">
    <w:nsid w:val="5A9E2171"/>
    <w:multiLevelType w:val="multilevel"/>
    <w:tmpl w:val="2C74BEEC"/>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18321E"/>
    <w:multiLevelType w:val="hybridMultilevel"/>
    <w:tmpl w:val="C46C0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A25780"/>
    <w:multiLevelType w:val="multilevel"/>
    <w:tmpl w:val="F5729DBE"/>
    <w:numStyleLink w:val="Headings"/>
  </w:abstractNum>
  <w:abstractNum w:abstractNumId="29"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9A0AFE"/>
    <w:multiLevelType w:val="multilevel"/>
    <w:tmpl w:val="6B9E1090"/>
    <w:numStyleLink w:val="FoFCoLOP"/>
  </w:abstractNum>
  <w:abstractNum w:abstractNumId="31" w15:restartNumberingAfterBreak="0">
    <w:nsid w:val="7F9719A7"/>
    <w:multiLevelType w:val="multilevel"/>
    <w:tmpl w:val="F5729DBE"/>
    <w:numStyleLink w:val="Headings"/>
  </w:abstractNum>
  <w:num w:numId="1" w16cid:durableId="12964516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9410198">
    <w:abstractNumId w:val="5"/>
  </w:num>
  <w:num w:numId="3" w16cid:durableId="835346786">
    <w:abstractNumId w:val="25"/>
  </w:num>
  <w:num w:numId="4" w16cid:durableId="104740210">
    <w:abstractNumId w:val="6"/>
  </w:num>
  <w:num w:numId="5" w16cid:durableId="1094087734">
    <w:abstractNumId w:val="30"/>
  </w:num>
  <w:num w:numId="6" w16cid:durableId="993873055">
    <w:abstractNumId w:val="17"/>
  </w:num>
  <w:num w:numId="7" w16cid:durableId="1141926822">
    <w:abstractNumId w:val="9"/>
  </w:num>
  <w:num w:numId="8" w16cid:durableId="396781956">
    <w:abstractNumId w:val="29"/>
  </w:num>
  <w:num w:numId="9" w16cid:durableId="1207135106">
    <w:abstractNumId w:val="0"/>
  </w:num>
  <w:num w:numId="10" w16cid:durableId="921139467">
    <w:abstractNumId w:val="8"/>
  </w:num>
  <w:num w:numId="11" w16cid:durableId="1770739127">
    <w:abstractNumId w:val="11"/>
  </w:num>
  <w:num w:numId="12" w16cid:durableId="597178230">
    <w:abstractNumId w:val="7"/>
  </w:num>
  <w:num w:numId="13" w16cid:durableId="1336498221">
    <w:abstractNumId w:val="16"/>
  </w:num>
  <w:num w:numId="14" w16cid:durableId="851648198">
    <w:abstractNumId w:val="20"/>
  </w:num>
  <w:num w:numId="15" w16cid:durableId="1218512290">
    <w:abstractNumId w:val="22"/>
  </w:num>
  <w:num w:numId="16" w16cid:durableId="538781417">
    <w:abstractNumId w:val="2"/>
  </w:num>
  <w:num w:numId="17" w16cid:durableId="1271864324">
    <w:abstractNumId w:val="21"/>
  </w:num>
  <w:num w:numId="18" w16cid:durableId="1655910733">
    <w:abstractNumId w:val="31"/>
  </w:num>
  <w:num w:numId="19" w16cid:durableId="960113197">
    <w:abstractNumId w:val="24"/>
  </w:num>
  <w:num w:numId="20" w16cid:durableId="306663945">
    <w:abstractNumId w:val="15"/>
  </w:num>
  <w:num w:numId="21" w16cid:durableId="53894016">
    <w:abstractNumId w:val="12"/>
  </w:num>
  <w:num w:numId="22" w16cid:durableId="440077697">
    <w:abstractNumId w:val="10"/>
  </w:num>
  <w:num w:numId="23" w16cid:durableId="909657867">
    <w:abstractNumId w:val="19"/>
  </w:num>
  <w:num w:numId="24" w16cid:durableId="628053156">
    <w:abstractNumId w:val="4"/>
  </w:num>
  <w:num w:numId="25" w16cid:durableId="1638031622">
    <w:abstractNumId w:val="1"/>
  </w:num>
  <w:num w:numId="26" w16cid:durableId="1903370528">
    <w:abstractNumId w:val="14"/>
  </w:num>
  <w:num w:numId="27" w16cid:durableId="2023584260">
    <w:abstractNumId w:val="18"/>
  </w:num>
  <w:num w:numId="28" w16cid:durableId="1811053391">
    <w:abstractNumId w:val="13"/>
  </w:num>
  <w:num w:numId="29" w16cid:durableId="542519104">
    <w:abstractNumId w:val="3"/>
  </w:num>
  <w:num w:numId="30" w16cid:durableId="15935487">
    <w:abstractNumId w:val="23"/>
  </w:num>
  <w:num w:numId="31" w16cid:durableId="1539703061">
    <w:abstractNumId w:val="6"/>
    <w:lvlOverride w:ilvl="0">
      <w:lvl w:ilvl="0">
        <w:start w:val="1"/>
        <w:numFmt w:val="decimal"/>
        <w:pStyle w:val="CoL"/>
        <w:lvlText w:val="%1."/>
        <w:lvlJc w:val="right"/>
        <w:pPr>
          <w:ind w:left="0" w:firstLine="540"/>
        </w:pPr>
      </w:lvl>
    </w:lvlOverride>
  </w:num>
  <w:num w:numId="32" w16cid:durableId="756634818">
    <w:abstractNumId w:val="25"/>
    <w:lvlOverride w:ilvl="0">
      <w:lvl w:ilvl="0">
        <w:start w:val="1"/>
        <w:numFmt w:val="decimal"/>
        <w:pStyle w:val="FoF"/>
        <w:lvlText w:val="%1."/>
        <w:lvlJc w:val="right"/>
        <w:pPr>
          <w:ind w:left="0" w:firstLine="540"/>
        </w:pPr>
        <w:rPr>
          <w:rFonts w:hint="default"/>
        </w:rPr>
      </w:lvl>
    </w:lvlOverride>
  </w:num>
  <w:num w:numId="33" w16cid:durableId="323971126">
    <w:abstractNumId w:val="28"/>
  </w:num>
  <w:num w:numId="34" w16cid:durableId="139813447">
    <w:abstractNumId w:val="28"/>
  </w:num>
  <w:num w:numId="35" w16cid:durableId="175850049">
    <w:abstractNumId w:val="28"/>
  </w:num>
  <w:num w:numId="36" w16cid:durableId="879440990">
    <w:abstractNumId w:val="28"/>
  </w:num>
  <w:num w:numId="37" w16cid:durableId="433792886">
    <w:abstractNumId w:val="28"/>
  </w:num>
  <w:num w:numId="38" w16cid:durableId="1501432325">
    <w:abstractNumId w:val="28"/>
  </w:num>
  <w:num w:numId="39" w16cid:durableId="1867866416">
    <w:abstractNumId w:val="30"/>
  </w:num>
  <w:num w:numId="40" w16cid:durableId="1128861469">
    <w:abstractNumId w:val="6"/>
    <w:lvlOverride w:ilvl="0">
      <w:lvl w:ilvl="0">
        <w:start w:val="1"/>
        <w:numFmt w:val="decimal"/>
        <w:pStyle w:val="CoL"/>
        <w:lvlText w:val="%1."/>
        <w:lvlJc w:val="right"/>
        <w:pPr>
          <w:ind w:left="0" w:firstLine="540"/>
        </w:pPr>
      </w:lvl>
    </w:lvlOverride>
  </w:num>
  <w:num w:numId="41" w16cid:durableId="1422334062">
    <w:abstractNumId w:val="6"/>
    <w:lvlOverride w:ilvl="0">
      <w:lvl w:ilvl="0">
        <w:start w:val="1"/>
        <w:numFmt w:val="decimal"/>
        <w:pStyle w:val="CoL"/>
        <w:lvlText w:val="%1."/>
        <w:lvlJc w:val="right"/>
        <w:pPr>
          <w:ind w:left="0" w:firstLine="540"/>
        </w:pPr>
      </w:lvl>
    </w:lvlOverride>
  </w:num>
  <w:num w:numId="42" w16cid:durableId="1603759249">
    <w:abstractNumId w:val="6"/>
    <w:lvlOverride w:ilvl="0">
      <w:lvl w:ilvl="0">
        <w:start w:val="1"/>
        <w:numFmt w:val="decimal"/>
        <w:pStyle w:val="CoL"/>
        <w:lvlText w:val="%1."/>
        <w:lvlJc w:val="right"/>
        <w:pPr>
          <w:ind w:left="0" w:firstLine="540"/>
        </w:pPr>
      </w:lvl>
    </w:lvlOverride>
  </w:num>
  <w:num w:numId="43" w16cid:durableId="861628144">
    <w:abstractNumId w:val="6"/>
    <w:lvlOverride w:ilvl="0">
      <w:lvl w:ilvl="0">
        <w:start w:val="1"/>
        <w:numFmt w:val="decimal"/>
        <w:pStyle w:val="CoL"/>
        <w:lvlText w:val="%1."/>
        <w:lvlJc w:val="right"/>
        <w:pPr>
          <w:ind w:left="0" w:firstLine="540"/>
        </w:pPr>
      </w:lvl>
    </w:lvlOverride>
  </w:num>
  <w:num w:numId="44" w16cid:durableId="194191391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96"/>
    <w:rsid w:val="00000A0A"/>
    <w:rsid w:val="00000F6A"/>
    <w:rsid w:val="0000301B"/>
    <w:rsid w:val="00004C8D"/>
    <w:rsid w:val="00007154"/>
    <w:rsid w:val="00012C27"/>
    <w:rsid w:val="00016092"/>
    <w:rsid w:val="0002496A"/>
    <w:rsid w:val="00035D3A"/>
    <w:rsid w:val="00043C0E"/>
    <w:rsid w:val="00045269"/>
    <w:rsid w:val="00053763"/>
    <w:rsid w:val="0005678C"/>
    <w:rsid w:val="00056F40"/>
    <w:rsid w:val="0007115A"/>
    <w:rsid w:val="000723B3"/>
    <w:rsid w:val="0008337A"/>
    <w:rsid w:val="000970DF"/>
    <w:rsid w:val="000973C8"/>
    <w:rsid w:val="000A10FB"/>
    <w:rsid w:val="000A2AA9"/>
    <w:rsid w:val="000A4BA9"/>
    <w:rsid w:val="000A56F2"/>
    <w:rsid w:val="000A6E05"/>
    <w:rsid w:val="000B12FA"/>
    <w:rsid w:val="000B4C9F"/>
    <w:rsid w:val="000C08BF"/>
    <w:rsid w:val="000C22D0"/>
    <w:rsid w:val="000C3B9A"/>
    <w:rsid w:val="000C5AD9"/>
    <w:rsid w:val="000C6A96"/>
    <w:rsid w:val="000D25A8"/>
    <w:rsid w:val="000D3521"/>
    <w:rsid w:val="000D4787"/>
    <w:rsid w:val="000D63C4"/>
    <w:rsid w:val="000E181F"/>
    <w:rsid w:val="000E43C5"/>
    <w:rsid w:val="000E4C53"/>
    <w:rsid w:val="000F3432"/>
    <w:rsid w:val="00100AF4"/>
    <w:rsid w:val="00103D20"/>
    <w:rsid w:val="001078D4"/>
    <w:rsid w:val="00110C17"/>
    <w:rsid w:val="00111BCA"/>
    <w:rsid w:val="0011635C"/>
    <w:rsid w:val="0011715B"/>
    <w:rsid w:val="00121089"/>
    <w:rsid w:val="0012232C"/>
    <w:rsid w:val="00122C89"/>
    <w:rsid w:val="00134740"/>
    <w:rsid w:val="001366AD"/>
    <w:rsid w:val="0014159F"/>
    <w:rsid w:val="00150379"/>
    <w:rsid w:val="00155802"/>
    <w:rsid w:val="00162F24"/>
    <w:rsid w:val="00171E1D"/>
    <w:rsid w:val="00176B89"/>
    <w:rsid w:val="00181B99"/>
    <w:rsid w:val="001864A0"/>
    <w:rsid w:val="001924CB"/>
    <w:rsid w:val="00195ED7"/>
    <w:rsid w:val="001A1E06"/>
    <w:rsid w:val="001A71C6"/>
    <w:rsid w:val="001B03B9"/>
    <w:rsid w:val="001B2075"/>
    <w:rsid w:val="001B6334"/>
    <w:rsid w:val="001C1335"/>
    <w:rsid w:val="001C22D7"/>
    <w:rsid w:val="001C363F"/>
    <w:rsid w:val="001C41F3"/>
    <w:rsid w:val="001C5783"/>
    <w:rsid w:val="001C6CA0"/>
    <w:rsid w:val="001D2EED"/>
    <w:rsid w:val="001D3D48"/>
    <w:rsid w:val="001D5183"/>
    <w:rsid w:val="001E2A62"/>
    <w:rsid w:val="001F2819"/>
    <w:rsid w:val="001F2FED"/>
    <w:rsid w:val="001F48FD"/>
    <w:rsid w:val="001F725F"/>
    <w:rsid w:val="00200650"/>
    <w:rsid w:val="00200FE5"/>
    <w:rsid w:val="002043EC"/>
    <w:rsid w:val="0020756D"/>
    <w:rsid w:val="0021634E"/>
    <w:rsid w:val="00243DC0"/>
    <w:rsid w:val="00247477"/>
    <w:rsid w:val="00252AE9"/>
    <w:rsid w:val="002611ED"/>
    <w:rsid w:val="00270440"/>
    <w:rsid w:val="002820C9"/>
    <w:rsid w:val="00282788"/>
    <w:rsid w:val="00285BC9"/>
    <w:rsid w:val="00287BC5"/>
    <w:rsid w:val="0029309F"/>
    <w:rsid w:val="00293DEE"/>
    <w:rsid w:val="0029457C"/>
    <w:rsid w:val="0029693A"/>
    <w:rsid w:val="002A0B5D"/>
    <w:rsid w:val="002A438E"/>
    <w:rsid w:val="002B0ED8"/>
    <w:rsid w:val="002C0367"/>
    <w:rsid w:val="002C1BEC"/>
    <w:rsid w:val="002C7FE9"/>
    <w:rsid w:val="002D0DC5"/>
    <w:rsid w:val="002D3314"/>
    <w:rsid w:val="002D4EFD"/>
    <w:rsid w:val="002E325B"/>
    <w:rsid w:val="002E7460"/>
    <w:rsid w:val="002F1CDF"/>
    <w:rsid w:val="0030061A"/>
    <w:rsid w:val="0030194B"/>
    <w:rsid w:val="0031361F"/>
    <w:rsid w:val="00316071"/>
    <w:rsid w:val="003253A0"/>
    <w:rsid w:val="00325712"/>
    <w:rsid w:val="0032619D"/>
    <w:rsid w:val="00331775"/>
    <w:rsid w:val="003358F5"/>
    <w:rsid w:val="00343E5C"/>
    <w:rsid w:val="00350930"/>
    <w:rsid w:val="003545CD"/>
    <w:rsid w:val="00357419"/>
    <w:rsid w:val="0036017B"/>
    <w:rsid w:val="003611C7"/>
    <w:rsid w:val="00362755"/>
    <w:rsid w:val="003676CA"/>
    <w:rsid w:val="00371D85"/>
    <w:rsid w:val="00373B93"/>
    <w:rsid w:val="00376DC7"/>
    <w:rsid w:val="003807CB"/>
    <w:rsid w:val="00384779"/>
    <w:rsid w:val="003871D3"/>
    <w:rsid w:val="00397D9A"/>
    <w:rsid w:val="003A2588"/>
    <w:rsid w:val="003A33E5"/>
    <w:rsid w:val="003A38F0"/>
    <w:rsid w:val="003A3AB7"/>
    <w:rsid w:val="003C1E2D"/>
    <w:rsid w:val="003C3DBE"/>
    <w:rsid w:val="003C63F4"/>
    <w:rsid w:val="003F0147"/>
    <w:rsid w:val="003F069A"/>
    <w:rsid w:val="003F4329"/>
    <w:rsid w:val="003F6BC1"/>
    <w:rsid w:val="00404742"/>
    <w:rsid w:val="00411D1C"/>
    <w:rsid w:val="00411DA4"/>
    <w:rsid w:val="00412534"/>
    <w:rsid w:val="00412C83"/>
    <w:rsid w:val="00415EF6"/>
    <w:rsid w:val="0042424E"/>
    <w:rsid w:val="00426014"/>
    <w:rsid w:val="00442A5B"/>
    <w:rsid w:val="004518E3"/>
    <w:rsid w:val="004534E6"/>
    <w:rsid w:val="00460B7D"/>
    <w:rsid w:val="004715CA"/>
    <w:rsid w:val="00471DFE"/>
    <w:rsid w:val="00480CB0"/>
    <w:rsid w:val="0049134D"/>
    <w:rsid w:val="004933E5"/>
    <w:rsid w:val="004A6304"/>
    <w:rsid w:val="004B0B5F"/>
    <w:rsid w:val="004B34EA"/>
    <w:rsid w:val="004B4D96"/>
    <w:rsid w:val="004B5494"/>
    <w:rsid w:val="004C1866"/>
    <w:rsid w:val="004C3492"/>
    <w:rsid w:val="004C7A2B"/>
    <w:rsid w:val="004C7D3A"/>
    <w:rsid w:val="004E1ABA"/>
    <w:rsid w:val="004E2931"/>
    <w:rsid w:val="004E639C"/>
    <w:rsid w:val="004F72CD"/>
    <w:rsid w:val="004F765C"/>
    <w:rsid w:val="005018A8"/>
    <w:rsid w:val="00505A39"/>
    <w:rsid w:val="005060F3"/>
    <w:rsid w:val="00506A09"/>
    <w:rsid w:val="005075B5"/>
    <w:rsid w:val="00511B31"/>
    <w:rsid w:val="005127E2"/>
    <w:rsid w:val="00512CBE"/>
    <w:rsid w:val="005201DB"/>
    <w:rsid w:val="005240BF"/>
    <w:rsid w:val="00525D74"/>
    <w:rsid w:val="00526EA0"/>
    <w:rsid w:val="005368BD"/>
    <w:rsid w:val="00541872"/>
    <w:rsid w:val="005473DE"/>
    <w:rsid w:val="00551A2B"/>
    <w:rsid w:val="005700B4"/>
    <w:rsid w:val="00570480"/>
    <w:rsid w:val="00571FC5"/>
    <w:rsid w:val="005739FE"/>
    <w:rsid w:val="0057560A"/>
    <w:rsid w:val="0058143E"/>
    <w:rsid w:val="00585390"/>
    <w:rsid w:val="00591FCC"/>
    <w:rsid w:val="005939A5"/>
    <w:rsid w:val="005A148C"/>
    <w:rsid w:val="005A2EFB"/>
    <w:rsid w:val="005A376B"/>
    <w:rsid w:val="005A502E"/>
    <w:rsid w:val="005A6761"/>
    <w:rsid w:val="005B2474"/>
    <w:rsid w:val="005B3DB8"/>
    <w:rsid w:val="005B422E"/>
    <w:rsid w:val="005B5DA5"/>
    <w:rsid w:val="005C151E"/>
    <w:rsid w:val="005C16B4"/>
    <w:rsid w:val="005C247B"/>
    <w:rsid w:val="005C2BE2"/>
    <w:rsid w:val="005C5782"/>
    <w:rsid w:val="005D30D6"/>
    <w:rsid w:val="005D359E"/>
    <w:rsid w:val="005D3888"/>
    <w:rsid w:val="005D529E"/>
    <w:rsid w:val="005E38BF"/>
    <w:rsid w:val="005E5595"/>
    <w:rsid w:val="005E583F"/>
    <w:rsid w:val="005F39DB"/>
    <w:rsid w:val="006021B1"/>
    <w:rsid w:val="00611D58"/>
    <w:rsid w:val="00622122"/>
    <w:rsid w:val="00624A48"/>
    <w:rsid w:val="00624BFB"/>
    <w:rsid w:val="00627FBB"/>
    <w:rsid w:val="00632207"/>
    <w:rsid w:val="006341E2"/>
    <w:rsid w:val="0063491C"/>
    <w:rsid w:val="0064464B"/>
    <w:rsid w:val="00646A88"/>
    <w:rsid w:val="006513A5"/>
    <w:rsid w:val="00656005"/>
    <w:rsid w:val="00677805"/>
    <w:rsid w:val="0068509F"/>
    <w:rsid w:val="006A14E3"/>
    <w:rsid w:val="006A3599"/>
    <w:rsid w:val="006A362D"/>
    <w:rsid w:val="006B0906"/>
    <w:rsid w:val="006C1404"/>
    <w:rsid w:val="006D06A6"/>
    <w:rsid w:val="006D1379"/>
    <w:rsid w:val="006D71D9"/>
    <w:rsid w:val="006E2F9D"/>
    <w:rsid w:val="006E4231"/>
    <w:rsid w:val="006E5E28"/>
    <w:rsid w:val="006E646E"/>
    <w:rsid w:val="006E6574"/>
    <w:rsid w:val="006E6F55"/>
    <w:rsid w:val="006F2415"/>
    <w:rsid w:val="006F599C"/>
    <w:rsid w:val="006F5CAD"/>
    <w:rsid w:val="006F75DE"/>
    <w:rsid w:val="00712D74"/>
    <w:rsid w:val="00713307"/>
    <w:rsid w:val="00714CF2"/>
    <w:rsid w:val="007156B9"/>
    <w:rsid w:val="00716F39"/>
    <w:rsid w:val="00720817"/>
    <w:rsid w:val="0072133C"/>
    <w:rsid w:val="00722850"/>
    <w:rsid w:val="00726F28"/>
    <w:rsid w:val="0073353F"/>
    <w:rsid w:val="007336D5"/>
    <w:rsid w:val="00735A91"/>
    <w:rsid w:val="007413B0"/>
    <w:rsid w:val="00742189"/>
    <w:rsid w:val="00742E45"/>
    <w:rsid w:val="007447AF"/>
    <w:rsid w:val="007455B8"/>
    <w:rsid w:val="00745CEA"/>
    <w:rsid w:val="00745EF6"/>
    <w:rsid w:val="00746C03"/>
    <w:rsid w:val="007473EF"/>
    <w:rsid w:val="00750816"/>
    <w:rsid w:val="007542C2"/>
    <w:rsid w:val="00755A8A"/>
    <w:rsid w:val="007636FD"/>
    <w:rsid w:val="007657C1"/>
    <w:rsid w:val="0077332F"/>
    <w:rsid w:val="0077755F"/>
    <w:rsid w:val="00795C36"/>
    <w:rsid w:val="007A406D"/>
    <w:rsid w:val="007A61C2"/>
    <w:rsid w:val="007A62B0"/>
    <w:rsid w:val="007A64B8"/>
    <w:rsid w:val="007A73F3"/>
    <w:rsid w:val="007B41A4"/>
    <w:rsid w:val="007C5A0C"/>
    <w:rsid w:val="007C6363"/>
    <w:rsid w:val="007E0FEE"/>
    <w:rsid w:val="007E4140"/>
    <w:rsid w:val="007F2017"/>
    <w:rsid w:val="007F2E51"/>
    <w:rsid w:val="00801461"/>
    <w:rsid w:val="00804441"/>
    <w:rsid w:val="00804E2D"/>
    <w:rsid w:val="00812BB4"/>
    <w:rsid w:val="00820574"/>
    <w:rsid w:val="00820722"/>
    <w:rsid w:val="008339BB"/>
    <w:rsid w:val="008468FA"/>
    <w:rsid w:val="0085277F"/>
    <w:rsid w:val="00857F36"/>
    <w:rsid w:val="00860E43"/>
    <w:rsid w:val="008637D3"/>
    <w:rsid w:val="0086419A"/>
    <w:rsid w:val="00865BA6"/>
    <w:rsid w:val="00867306"/>
    <w:rsid w:val="0087023B"/>
    <w:rsid w:val="00870A6C"/>
    <w:rsid w:val="008747E0"/>
    <w:rsid w:val="008825ED"/>
    <w:rsid w:val="00883EB4"/>
    <w:rsid w:val="00893B46"/>
    <w:rsid w:val="008A179F"/>
    <w:rsid w:val="008A2538"/>
    <w:rsid w:val="008A438E"/>
    <w:rsid w:val="008A50CD"/>
    <w:rsid w:val="008B0864"/>
    <w:rsid w:val="008B37C2"/>
    <w:rsid w:val="008B50CC"/>
    <w:rsid w:val="008B5165"/>
    <w:rsid w:val="008B715A"/>
    <w:rsid w:val="008C2263"/>
    <w:rsid w:val="008C3FE9"/>
    <w:rsid w:val="008C6E74"/>
    <w:rsid w:val="008C6EA6"/>
    <w:rsid w:val="008C7413"/>
    <w:rsid w:val="008C7A3F"/>
    <w:rsid w:val="008D16B7"/>
    <w:rsid w:val="008D61B8"/>
    <w:rsid w:val="008D633D"/>
    <w:rsid w:val="008E6AE6"/>
    <w:rsid w:val="008F0116"/>
    <w:rsid w:val="008F143D"/>
    <w:rsid w:val="008F19E2"/>
    <w:rsid w:val="008F5775"/>
    <w:rsid w:val="008F658E"/>
    <w:rsid w:val="009004FF"/>
    <w:rsid w:val="00902106"/>
    <w:rsid w:val="009022A5"/>
    <w:rsid w:val="00906DC7"/>
    <w:rsid w:val="00923B5B"/>
    <w:rsid w:val="00923C8B"/>
    <w:rsid w:val="009245C3"/>
    <w:rsid w:val="00926CE1"/>
    <w:rsid w:val="009301C3"/>
    <w:rsid w:val="00932370"/>
    <w:rsid w:val="00932865"/>
    <w:rsid w:val="0093426E"/>
    <w:rsid w:val="00935257"/>
    <w:rsid w:val="0093636B"/>
    <w:rsid w:val="00940469"/>
    <w:rsid w:val="009419CD"/>
    <w:rsid w:val="00944FC9"/>
    <w:rsid w:val="00953126"/>
    <w:rsid w:val="00953336"/>
    <w:rsid w:val="0096005C"/>
    <w:rsid w:val="00961A9A"/>
    <w:rsid w:val="009640D6"/>
    <w:rsid w:val="00974956"/>
    <w:rsid w:val="00977C25"/>
    <w:rsid w:val="00980211"/>
    <w:rsid w:val="009804FD"/>
    <w:rsid w:val="00980CF3"/>
    <w:rsid w:val="0098138E"/>
    <w:rsid w:val="00981CE2"/>
    <w:rsid w:val="0098655A"/>
    <w:rsid w:val="009A038A"/>
    <w:rsid w:val="009A3765"/>
    <w:rsid w:val="009A6277"/>
    <w:rsid w:val="009B43CD"/>
    <w:rsid w:val="009B65A8"/>
    <w:rsid w:val="009C4F62"/>
    <w:rsid w:val="009C53E1"/>
    <w:rsid w:val="009D00FC"/>
    <w:rsid w:val="009E1617"/>
    <w:rsid w:val="009E37FE"/>
    <w:rsid w:val="009E560A"/>
    <w:rsid w:val="009E7C7F"/>
    <w:rsid w:val="009F2246"/>
    <w:rsid w:val="009F35C8"/>
    <w:rsid w:val="00A04C68"/>
    <w:rsid w:val="00A11A35"/>
    <w:rsid w:val="00A17CE0"/>
    <w:rsid w:val="00A23703"/>
    <w:rsid w:val="00A322BE"/>
    <w:rsid w:val="00A34552"/>
    <w:rsid w:val="00A34FCE"/>
    <w:rsid w:val="00A42306"/>
    <w:rsid w:val="00A44E8D"/>
    <w:rsid w:val="00A44F9A"/>
    <w:rsid w:val="00A45BF9"/>
    <w:rsid w:val="00A51020"/>
    <w:rsid w:val="00A55ACD"/>
    <w:rsid w:val="00A60A46"/>
    <w:rsid w:val="00A61718"/>
    <w:rsid w:val="00A638B2"/>
    <w:rsid w:val="00A71757"/>
    <w:rsid w:val="00A76E38"/>
    <w:rsid w:val="00A94FDC"/>
    <w:rsid w:val="00A9516B"/>
    <w:rsid w:val="00AA2EAA"/>
    <w:rsid w:val="00AA5CE4"/>
    <w:rsid w:val="00AA77E6"/>
    <w:rsid w:val="00AB0B88"/>
    <w:rsid w:val="00AB5B00"/>
    <w:rsid w:val="00AC322D"/>
    <w:rsid w:val="00AC5B1D"/>
    <w:rsid w:val="00AC68EE"/>
    <w:rsid w:val="00AD04A3"/>
    <w:rsid w:val="00AD6B02"/>
    <w:rsid w:val="00AE19DE"/>
    <w:rsid w:val="00AE2F83"/>
    <w:rsid w:val="00AE517F"/>
    <w:rsid w:val="00AE62F0"/>
    <w:rsid w:val="00AE7D53"/>
    <w:rsid w:val="00AF0D83"/>
    <w:rsid w:val="00AF24EB"/>
    <w:rsid w:val="00AF3F5C"/>
    <w:rsid w:val="00AF7A5D"/>
    <w:rsid w:val="00B01F7E"/>
    <w:rsid w:val="00B03057"/>
    <w:rsid w:val="00B067C2"/>
    <w:rsid w:val="00B076CE"/>
    <w:rsid w:val="00B2525B"/>
    <w:rsid w:val="00B279EB"/>
    <w:rsid w:val="00B3087D"/>
    <w:rsid w:val="00B30942"/>
    <w:rsid w:val="00B34794"/>
    <w:rsid w:val="00B34FE5"/>
    <w:rsid w:val="00B427C3"/>
    <w:rsid w:val="00B45DC8"/>
    <w:rsid w:val="00B50992"/>
    <w:rsid w:val="00B5122E"/>
    <w:rsid w:val="00B5151A"/>
    <w:rsid w:val="00B60421"/>
    <w:rsid w:val="00B636AA"/>
    <w:rsid w:val="00B6710A"/>
    <w:rsid w:val="00B70440"/>
    <w:rsid w:val="00B71EF5"/>
    <w:rsid w:val="00B737BF"/>
    <w:rsid w:val="00B83002"/>
    <w:rsid w:val="00B86A9F"/>
    <w:rsid w:val="00B9093C"/>
    <w:rsid w:val="00B920AC"/>
    <w:rsid w:val="00B926F1"/>
    <w:rsid w:val="00B93DF7"/>
    <w:rsid w:val="00B97A67"/>
    <w:rsid w:val="00BA3C6D"/>
    <w:rsid w:val="00BA61C9"/>
    <w:rsid w:val="00BA6877"/>
    <w:rsid w:val="00BA7785"/>
    <w:rsid w:val="00BB0243"/>
    <w:rsid w:val="00BB1511"/>
    <w:rsid w:val="00BB4BBC"/>
    <w:rsid w:val="00BB7B30"/>
    <w:rsid w:val="00BC38E6"/>
    <w:rsid w:val="00BC3C2C"/>
    <w:rsid w:val="00BD1A65"/>
    <w:rsid w:val="00BD4621"/>
    <w:rsid w:val="00BE3792"/>
    <w:rsid w:val="00BF28DF"/>
    <w:rsid w:val="00C10914"/>
    <w:rsid w:val="00C10B5F"/>
    <w:rsid w:val="00C154F2"/>
    <w:rsid w:val="00C36A59"/>
    <w:rsid w:val="00C40434"/>
    <w:rsid w:val="00C4586E"/>
    <w:rsid w:val="00C572F5"/>
    <w:rsid w:val="00C61072"/>
    <w:rsid w:val="00C61560"/>
    <w:rsid w:val="00C620ED"/>
    <w:rsid w:val="00C67978"/>
    <w:rsid w:val="00C74365"/>
    <w:rsid w:val="00C75008"/>
    <w:rsid w:val="00C7624E"/>
    <w:rsid w:val="00C775ED"/>
    <w:rsid w:val="00C913A1"/>
    <w:rsid w:val="00C95141"/>
    <w:rsid w:val="00CA4CDE"/>
    <w:rsid w:val="00CA7F61"/>
    <w:rsid w:val="00CB5669"/>
    <w:rsid w:val="00CC6A99"/>
    <w:rsid w:val="00CC6C42"/>
    <w:rsid w:val="00CC6E42"/>
    <w:rsid w:val="00CC78AA"/>
    <w:rsid w:val="00CD01EF"/>
    <w:rsid w:val="00CD059A"/>
    <w:rsid w:val="00CD16F9"/>
    <w:rsid w:val="00CE69F7"/>
    <w:rsid w:val="00CF1401"/>
    <w:rsid w:val="00CF3AF6"/>
    <w:rsid w:val="00CF5407"/>
    <w:rsid w:val="00D00AA3"/>
    <w:rsid w:val="00D02C8A"/>
    <w:rsid w:val="00D04C32"/>
    <w:rsid w:val="00D07F73"/>
    <w:rsid w:val="00D10D7E"/>
    <w:rsid w:val="00D121B7"/>
    <w:rsid w:val="00D125DD"/>
    <w:rsid w:val="00D15933"/>
    <w:rsid w:val="00D174C9"/>
    <w:rsid w:val="00D2041C"/>
    <w:rsid w:val="00D20CDE"/>
    <w:rsid w:val="00D2317C"/>
    <w:rsid w:val="00D25ADE"/>
    <w:rsid w:val="00D26551"/>
    <w:rsid w:val="00D26612"/>
    <w:rsid w:val="00D308A3"/>
    <w:rsid w:val="00D31874"/>
    <w:rsid w:val="00D3391D"/>
    <w:rsid w:val="00D33BCE"/>
    <w:rsid w:val="00D43297"/>
    <w:rsid w:val="00D44DB6"/>
    <w:rsid w:val="00D50119"/>
    <w:rsid w:val="00D56545"/>
    <w:rsid w:val="00D61D7F"/>
    <w:rsid w:val="00D6358F"/>
    <w:rsid w:val="00D6436B"/>
    <w:rsid w:val="00D67392"/>
    <w:rsid w:val="00D677CE"/>
    <w:rsid w:val="00D70E37"/>
    <w:rsid w:val="00D749FB"/>
    <w:rsid w:val="00D760A1"/>
    <w:rsid w:val="00D82A43"/>
    <w:rsid w:val="00D861C8"/>
    <w:rsid w:val="00D93606"/>
    <w:rsid w:val="00D96BB3"/>
    <w:rsid w:val="00DA0122"/>
    <w:rsid w:val="00DA4470"/>
    <w:rsid w:val="00DA7B5D"/>
    <w:rsid w:val="00DC0D85"/>
    <w:rsid w:val="00DC33A6"/>
    <w:rsid w:val="00DC6F18"/>
    <w:rsid w:val="00DD2AED"/>
    <w:rsid w:val="00DE1752"/>
    <w:rsid w:val="00DE1902"/>
    <w:rsid w:val="00DF58E7"/>
    <w:rsid w:val="00DF6880"/>
    <w:rsid w:val="00E03843"/>
    <w:rsid w:val="00E11876"/>
    <w:rsid w:val="00E12DF5"/>
    <w:rsid w:val="00E157E6"/>
    <w:rsid w:val="00E23CBB"/>
    <w:rsid w:val="00E26025"/>
    <w:rsid w:val="00E2641F"/>
    <w:rsid w:val="00E30F5B"/>
    <w:rsid w:val="00E37B59"/>
    <w:rsid w:val="00E406C9"/>
    <w:rsid w:val="00E51772"/>
    <w:rsid w:val="00E519E5"/>
    <w:rsid w:val="00E528D9"/>
    <w:rsid w:val="00E53438"/>
    <w:rsid w:val="00E55767"/>
    <w:rsid w:val="00E65323"/>
    <w:rsid w:val="00E65C0F"/>
    <w:rsid w:val="00E65E6B"/>
    <w:rsid w:val="00E713C8"/>
    <w:rsid w:val="00E71F48"/>
    <w:rsid w:val="00E8390A"/>
    <w:rsid w:val="00E8652B"/>
    <w:rsid w:val="00E9290E"/>
    <w:rsid w:val="00EA3259"/>
    <w:rsid w:val="00EA36C6"/>
    <w:rsid w:val="00EB3944"/>
    <w:rsid w:val="00EC563C"/>
    <w:rsid w:val="00ED3CCC"/>
    <w:rsid w:val="00ED5725"/>
    <w:rsid w:val="00ED61F3"/>
    <w:rsid w:val="00ED7031"/>
    <w:rsid w:val="00EE3060"/>
    <w:rsid w:val="00EE4315"/>
    <w:rsid w:val="00EF0DCD"/>
    <w:rsid w:val="00EF5C52"/>
    <w:rsid w:val="00EF6925"/>
    <w:rsid w:val="00F00A76"/>
    <w:rsid w:val="00F02F65"/>
    <w:rsid w:val="00F10D03"/>
    <w:rsid w:val="00F137C2"/>
    <w:rsid w:val="00F1652A"/>
    <w:rsid w:val="00F201EC"/>
    <w:rsid w:val="00F2640D"/>
    <w:rsid w:val="00F26ED3"/>
    <w:rsid w:val="00F30435"/>
    <w:rsid w:val="00F3285E"/>
    <w:rsid w:val="00F379F7"/>
    <w:rsid w:val="00F37C34"/>
    <w:rsid w:val="00F445EB"/>
    <w:rsid w:val="00F4488F"/>
    <w:rsid w:val="00F45144"/>
    <w:rsid w:val="00F454F0"/>
    <w:rsid w:val="00F46663"/>
    <w:rsid w:val="00F47719"/>
    <w:rsid w:val="00F50645"/>
    <w:rsid w:val="00F61F56"/>
    <w:rsid w:val="00F62B7A"/>
    <w:rsid w:val="00F6397D"/>
    <w:rsid w:val="00F65F35"/>
    <w:rsid w:val="00F7293E"/>
    <w:rsid w:val="00F76027"/>
    <w:rsid w:val="00F76650"/>
    <w:rsid w:val="00F7734C"/>
    <w:rsid w:val="00F9187B"/>
    <w:rsid w:val="00F92166"/>
    <w:rsid w:val="00F92385"/>
    <w:rsid w:val="00F942E0"/>
    <w:rsid w:val="00F96374"/>
    <w:rsid w:val="00FA1B4F"/>
    <w:rsid w:val="00FA41EA"/>
    <w:rsid w:val="00FA6F49"/>
    <w:rsid w:val="00FB7161"/>
    <w:rsid w:val="00FC47F9"/>
    <w:rsid w:val="00FD23A6"/>
    <w:rsid w:val="00FE4FBA"/>
    <w:rsid w:val="00FE5580"/>
    <w:rsid w:val="00FE6E5A"/>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B4C8"/>
  <w15:chartTrackingRefBased/>
  <w15:docId w15:val="{20BC61D2-45A3-45FE-8786-B3E8ABBD947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5C36"/>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AF7A5D"/>
    <w:pPr>
      <w:numPr>
        <w:numId w:val="38"/>
      </w:numPr>
      <w:tabs>
        <w:tab w:val="clear" w:pos="720"/>
      </w:tabs>
      <w:ind w:right="2160"/>
    </w:pPr>
    <w:rPr>
      <w:rFonts w:eastAsiaTheme="majorEastAsia" w:cstheme="majorBidi"/>
      <w:szCs w:val="32"/>
    </w:rPr>
  </w:style>
  <w:style w:type="paragraph" w:styleId="Heading2">
    <w:name w:val="heading 2"/>
    <w:basedOn w:val="Dummy"/>
    <w:next w:val="Standard"/>
    <w:link w:val="Heading2Char"/>
    <w:uiPriority w:val="4"/>
    <w:qFormat/>
    <w:rsid w:val="00AF7A5D"/>
    <w:pPr>
      <w:numPr>
        <w:ilvl w:val="1"/>
        <w:numId w:val="38"/>
      </w:numPr>
      <w:ind w:right="2160"/>
      <w:outlineLvl w:val="1"/>
    </w:pPr>
  </w:style>
  <w:style w:type="paragraph" w:styleId="Heading3">
    <w:name w:val="heading 3"/>
    <w:basedOn w:val="Dummy"/>
    <w:next w:val="Standard"/>
    <w:link w:val="Heading3Char"/>
    <w:uiPriority w:val="4"/>
    <w:qFormat/>
    <w:rsid w:val="00AF7A5D"/>
    <w:pPr>
      <w:numPr>
        <w:ilvl w:val="2"/>
        <w:numId w:val="38"/>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AF7A5D"/>
    <w:pPr>
      <w:numPr>
        <w:ilvl w:val="3"/>
        <w:numId w:val="38"/>
      </w:numPr>
      <w:ind w:right="2160"/>
      <w:outlineLvl w:val="3"/>
    </w:pPr>
    <w:rPr>
      <w:rFonts w:eastAsiaTheme="majorEastAsia" w:cstheme="majorBidi"/>
      <w:iCs/>
    </w:rPr>
  </w:style>
  <w:style w:type="paragraph" w:styleId="Heading5">
    <w:name w:val="heading 5"/>
    <w:basedOn w:val="Dummy"/>
    <w:next w:val="Standard"/>
    <w:link w:val="Heading5Char"/>
    <w:uiPriority w:val="4"/>
    <w:rsid w:val="00AF7A5D"/>
    <w:pPr>
      <w:numPr>
        <w:ilvl w:val="4"/>
        <w:numId w:val="38"/>
      </w:numPr>
      <w:ind w:right="2160"/>
      <w:outlineLvl w:val="4"/>
    </w:pPr>
    <w:rPr>
      <w:rFonts w:eastAsiaTheme="majorEastAsia" w:cstheme="majorBidi"/>
    </w:rPr>
  </w:style>
  <w:style w:type="paragraph" w:styleId="Heading6">
    <w:name w:val="heading 6"/>
    <w:basedOn w:val="Dummy"/>
    <w:next w:val="Standard"/>
    <w:link w:val="Heading6Char"/>
    <w:uiPriority w:val="4"/>
    <w:rsid w:val="00AF7A5D"/>
    <w:pPr>
      <w:numPr>
        <w:ilvl w:val="5"/>
        <w:numId w:val="38"/>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AF7A5D"/>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AF7A5D"/>
    <w:rPr>
      <w:rFonts w:ascii="Arial" w:hAnsi="Arial" w:cs="Arial"/>
      <w:b/>
      <w:sz w:val="26"/>
      <w:szCs w:val="26"/>
    </w:rPr>
  </w:style>
  <w:style w:type="character" w:customStyle="1" w:styleId="Heading3Char">
    <w:name w:val="Heading 3 Char"/>
    <w:basedOn w:val="DefaultParagraphFont"/>
    <w:link w:val="Heading3"/>
    <w:uiPriority w:val="4"/>
    <w:rsid w:val="00AF7A5D"/>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AF7A5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AF7A5D"/>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AF7A5D"/>
    <w:pPr>
      <w:spacing w:line="240" w:lineRule="auto"/>
      <w:ind w:left="864" w:hanging="648"/>
    </w:pPr>
    <w:rPr>
      <w:rFonts w:eastAsiaTheme="minorEastAsia" w:cs="Times New Roman"/>
    </w:rPr>
  </w:style>
  <w:style w:type="paragraph" w:styleId="TOC1">
    <w:name w:val="toc 1"/>
    <w:basedOn w:val="Normal"/>
    <w:next w:val="Normal"/>
    <w:uiPriority w:val="39"/>
    <w:unhideWhenUsed/>
    <w:rsid w:val="00AF7A5D"/>
    <w:pPr>
      <w:spacing w:line="240" w:lineRule="auto"/>
      <w:ind w:left="432" w:hanging="432"/>
    </w:pPr>
    <w:rPr>
      <w:rFonts w:eastAsiaTheme="minorEastAsia" w:cs="Times New Roman"/>
    </w:rPr>
  </w:style>
  <w:style w:type="paragraph" w:styleId="TOC3">
    <w:name w:val="toc 3"/>
    <w:basedOn w:val="Normal"/>
    <w:next w:val="Normal"/>
    <w:uiPriority w:val="39"/>
    <w:unhideWhenUsed/>
    <w:rsid w:val="00AF7A5D"/>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AF7A5D"/>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AF7A5D"/>
    <w:pPr>
      <w:numPr>
        <w:numId w:val="32"/>
      </w:numPr>
    </w:pPr>
  </w:style>
  <w:style w:type="paragraph" w:customStyle="1" w:styleId="CoL">
    <w:name w:val="CoL"/>
    <w:basedOn w:val="Standard"/>
    <w:uiPriority w:val="7"/>
    <w:qFormat/>
    <w:rsid w:val="00AF7A5D"/>
    <w:pPr>
      <w:numPr>
        <w:numId w:val="31"/>
      </w:numPr>
    </w:pPr>
  </w:style>
  <w:style w:type="paragraph" w:styleId="NoSpacing">
    <w:name w:val="No Spacing"/>
    <w:basedOn w:val="Standard"/>
    <w:uiPriority w:val="1"/>
    <w:rsid w:val="005E5595"/>
    <w:pPr>
      <w:spacing w:after="120" w:line="240" w:lineRule="auto"/>
      <w:ind w:firstLine="0"/>
    </w:pPr>
  </w:style>
  <w:style w:type="paragraph" w:customStyle="1" w:styleId="OP">
    <w:name w:val="OP"/>
    <w:basedOn w:val="Standard"/>
    <w:uiPriority w:val="8"/>
    <w:qFormat/>
    <w:rsid w:val="00AF7A5D"/>
    <w:pPr>
      <w:numPr>
        <w:numId w:val="39"/>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D56545"/>
    <w:pPr>
      <w:numPr>
        <w:numId w:val="6"/>
      </w:numPr>
    </w:pPr>
  </w:style>
  <w:style w:type="paragraph" w:customStyle="1" w:styleId="Standard">
    <w:name w:val="Standard"/>
    <w:basedOn w:val="Normal"/>
    <w:qFormat/>
    <w:rsid w:val="00AF7A5D"/>
  </w:style>
  <w:style w:type="paragraph" w:customStyle="1" w:styleId="ListAlpha">
    <w:name w:val="List Alpha"/>
    <w:basedOn w:val="Standard"/>
    <w:uiPriority w:val="4"/>
    <w:qFormat/>
    <w:rsid w:val="00795C36"/>
    <w:pPr>
      <w:numPr>
        <w:ilvl w:val="7"/>
        <w:numId w:val="38"/>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AF7A5D"/>
    <w:rPr>
      <w:rFonts w:ascii="Arial" w:eastAsiaTheme="majorEastAsia" w:hAnsi="Arial" w:cstheme="majorBidi"/>
      <w:b/>
      <w:sz w:val="26"/>
      <w:szCs w:val="26"/>
    </w:rPr>
  </w:style>
  <w:style w:type="paragraph" w:styleId="TOC4">
    <w:name w:val="toc 4"/>
    <w:basedOn w:val="Normal"/>
    <w:next w:val="Normal"/>
    <w:autoRedefine/>
    <w:uiPriority w:val="39"/>
    <w:unhideWhenUsed/>
    <w:rsid w:val="00AF7A5D"/>
    <w:pPr>
      <w:spacing w:line="240" w:lineRule="auto"/>
      <w:ind w:left="1728" w:hanging="1080"/>
    </w:pPr>
  </w:style>
  <w:style w:type="paragraph" w:styleId="TOC5">
    <w:name w:val="toc 5"/>
    <w:basedOn w:val="Normal"/>
    <w:next w:val="Normal"/>
    <w:autoRedefine/>
    <w:uiPriority w:val="39"/>
    <w:unhideWhenUsed/>
    <w:rsid w:val="00AF7A5D"/>
    <w:pPr>
      <w:spacing w:line="240" w:lineRule="auto"/>
      <w:ind w:left="2160" w:hanging="1296"/>
    </w:pPr>
  </w:style>
  <w:style w:type="paragraph" w:styleId="TOC6">
    <w:name w:val="toc 6"/>
    <w:basedOn w:val="Normal"/>
    <w:next w:val="Normal"/>
    <w:autoRedefine/>
    <w:uiPriority w:val="39"/>
    <w:unhideWhenUsed/>
    <w:rsid w:val="00AF7A5D"/>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character" w:styleId="UnresolvedMention">
    <w:name w:val="Unresolved Mention"/>
    <w:basedOn w:val="DefaultParagraphFont"/>
    <w:uiPriority w:val="99"/>
    <w:semiHidden/>
    <w:unhideWhenUsed/>
    <w:rsid w:val="00155802"/>
    <w:rPr>
      <w:color w:val="605E5C"/>
      <w:shd w:val="clear" w:color="auto" w:fill="E1DFDD"/>
    </w:rPr>
  </w:style>
  <w:style w:type="paragraph" w:customStyle="1" w:styleId="ListNum">
    <w:name w:val="List Num"/>
    <w:basedOn w:val="ListAlpha"/>
    <w:next w:val="Standard"/>
    <w:uiPriority w:val="4"/>
    <w:rsid w:val="00D56545"/>
    <w:pPr>
      <w:numPr>
        <w:ilvl w:val="6"/>
      </w:numPr>
    </w:pPr>
  </w:style>
  <w:style w:type="character" w:styleId="CommentReference">
    <w:name w:val="annotation reference"/>
    <w:basedOn w:val="DefaultParagraphFont"/>
    <w:uiPriority w:val="99"/>
    <w:semiHidden/>
    <w:unhideWhenUsed/>
    <w:rsid w:val="00176B89"/>
    <w:rPr>
      <w:sz w:val="16"/>
      <w:szCs w:val="16"/>
    </w:rPr>
  </w:style>
  <w:style w:type="paragraph" w:styleId="CommentText">
    <w:name w:val="annotation text"/>
    <w:basedOn w:val="Normal"/>
    <w:link w:val="CommentTextChar"/>
    <w:uiPriority w:val="99"/>
    <w:unhideWhenUsed/>
    <w:rsid w:val="00176B89"/>
    <w:pPr>
      <w:spacing w:line="240" w:lineRule="auto"/>
    </w:pPr>
    <w:rPr>
      <w:sz w:val="20"/>
      <w:szCs w:val="20"/>
    </w:rPr>
  </w:style>
  <w:style w:type="character" w:customStyle="1" w:styleId="CommentTextChar">
    <w:name w:val="Comment Text Char"/>
    <w:basedOn w:val="DefaultParagraphFont"/>
    <w:link w:val="CommentText"/>
    <w:uiPriority w:val="99"/>
    <w:rsid w:val="00176B89"/>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176B89"/>
    <w:rPr>
      <w:b/>
      <w:bCs/>
    </w:rPr>
  </w:style>
  <w:style w:type="character" w:customStyle="1" w:styleId="CommentSubjectChar">
    <w:name w:val="Comment Subject Char"/>
    <w:basedOn w:val="CommentTextChar"/>
    <w:link w:val="CommentSubject"/>
    <w:uiPriority w:val="99"/>
    <w:semiHidden/>
    <w:rsid w:val="00176B89"/>
    <w:rPr>
      <w:rFonts w:ascii="Book Antiqua" w:hAnsi="Book Antiqua"/>
      <w:b/>
      <w:bCs/>
      <w:sz w:val="20"/>
      <w:szCs w:val="20"/>
    </w:rPr>
  </w:style>
  <w:style w:type="paragraph" w:styleId="Revision">
    <w:name w:val="Revision"/>
    <w:hidden/>
    <w:uiPriority w:val="99"/>
    <w:semiHidden/>
    <w:rsid w:val="001D3D48"/>
    <w:pPr>
      <w:spacing w:after="0" w:line="240" w:lineRule="auto"/>
    </w:pPr>
    <w:rPr>
      <w:rFonts w:ascii="Book Antiqua" w:hAnsi="Book Antiqua"/>
      <w:sz w:val="26"/>
    </w:rPr>
  </w:style>
  <w:style w:type="paragraph" w:styleId="EndnoteText">
    <w:name w:val="endnote text"/>
    <w:basedOn w:val="Normal"/>
    <w:link w:val="EndnoteTextChar"/>
    <w:uiPriority w:val="99"/>
    <w:semiHidden/>
    <w:unhideWhenUsed/>
    <w:rsid w:val="00923B5B"/>
    <w:pPr>
      <w:spacing w:line="240" w:lineRule="auto"/>
    </w:pPr>
    <w:rPr>
      <w:sz w:val="20"/>
      <w:szCs w:val="20"/>
    </w:rPr>
  </w:style>
  <w:style w:type="character" w:customStyle="1" w:styleId="EndnoteTextChar">
    <w:name w:val="Endnote Text Char"/>
    <w:basedOn w:val="DefaultParagraphFont"/>
    <w:link w:val="EndnoteText"/>
    <w:uiPriority w:val="99"/>
    <w:semiHidden/>
    <w:rsid w:val="00923B5B"/>
    <w:rPr>
      <w:rFonts w:ascii="Book Antiqua" w:hAnsi="Book Antiqua"/>
      <w:sz w:val="20"/>
      <w:szCs w:val="20"/>
    </w:rPr>
  </w:style>
  <w:style w:type="character" w:styleId="EndnoteReference">
    <w:name w:val="endnote reference"/>
    <w:basedOn w:val="DefaultParagraphFont"/>
    <w:uiPriority w:val="99"/>
    <w:semiHidden/>
    <w:unhideWhenUsed/>
    <w:rsid w:val="00923B5B"/>
    <w:rPr>
      <w:vertAlign w:val="superscript"/>
    </w:rPr>
  </w:style>
  <w:style w:type="paragraph" w:customStyle="1" w:styleId="BlockQuoteH025">
    <w:name w:val="BlockQuoteH025"/>
    <w:basedOn w:val="Normal"/>
    <w:qFormat/>
    <w:rsid w:val="00E2641F"/>
    <w:pPr>
      <w:spacing w:after="120" w:line="240" w:lineRule="auto"/>
      <w:ind w:left="1080" w:right="1440" w:hanging="360"/>
    </w:pPr>
  </w:style>
  <w:style w:type="character" w:styleId="FollowedHyperlink">
    <w:name w:val="FollowedHyperlink"/>
    <w:basedOn w:val="DefaultParagraphFont"/>
    <w:uiPriority w:val="99"/>
    <w:semiHidden/>
    <w:unhideWhenUsed/>
    <w:rsid w:val="00E71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7408">
      <w:bodyDiv w:val="1"/>
      <w:marLeft w:val="0"/>
      <w:marRight w:val="0"/>
      <w:marTop w:val="0"/>
      <w:marBottom w:val="0"/>
      <w:divBdr>
        <w:top w:val="none" w:sz="0" w:space="0" w:color="auto"/>
        <w:left w:val="none" w:sz="0" w:space="0" w:color="auto"/>
        <w:bottom w:val="none" w:sz="0" w:space="0" w:color="auto"/>
        <w:right w:val="none" w:sz="0" w:space="0" w:color="auto"/>
      </w:divBdr>
    </w:div>
    <w:div w:id="918560050">
      <w:bodyDiv w:val="1"/>
      <w:marLeft w:val="0"/>
      <w:marRight w:val="0"/>
      <w:marTop w:val="0"/>
      <w:marBottom w:val="0"/>
      <w:divBdr>
        <w:top w:val="none" w:sz="0" w:space="0" w:color="auto"/>
        <w:left w:val="none" w:sz="0" w:space="0" w:color="auto"/>
        <w:bottom w:val="none" w:sz="0" w:space="0" w:color="auto"/>
        <w:right w:val="none" w:sz="0" w:space="0" w:color="auto"/>
      </w:divBdr>
    </w:div>
    <w:div w:id="15998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30F6-F86C-4402-BBD3-6448DF97786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22</ap:Pages>
  <ap:Words>5063</ap:Words>
  <ap:Characters>28862</ap:Characters>
  <ap:Application>Microsoft Office Word</ap:Application>
  <ap:DocSecurity>0</ap:DocSecurity>
  <ap:Lines>240</ap:Lines>
  <ap:Paragraphs>67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33858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2025-04-18T18:22:00Z</cp:lastPrinted>
  <dcterms:created xsi:type="dcterms:W3CDTF">2025-05-14T09:12:04Z</dcterms:created>
  <dcterms:modified xsi:type="dcterms:W3CDTF">2025-05-14T09:12:04Z</dcterms:modified>
</cp:coreProperties>
</file>