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1BC9" w:rsidR="00CF17DE" w:rsidRDefault="00CF17DE" w14:paraId="70BEAF91" w14:textId="77777777">
      <w:pPr>
        <w:pStyle w:val="titlebar"/>
        <w:rPr>
          <w:rFonts w:cs="Helvetica"/>
          <w:szCs w:val="26"/>
        </w:rPr>
      </w:pPr>
      <w:r w:rsidRPr="00941BC9">
        <w:rPr>
          <w:rFonts w:cs="Helvetica"/>
          <w:szCs w:val="26"/>
        </w:rPr>
        <w:t>PUBLIC UTILITIES COMMISSION OF THE STATE OF CALIFORNIA</w:t>
      </w:r>
    </w:p>
    <w:p w:rsidRPr="00941BC9" w:rsidR="00CF17DE" w:rsidRDefault="00CF17DE" w14:paraId="5E624470" w14:textId="0347B95C">
      <w:pPr>
        <w:suppressAutoHyphens/>
        <w:rPr>
          <w:rFonts w:ascii="Palatino Linotype" w:hAnsi="Palatino Linotype"/>
          <w:sz w:val="24"/>
          <w:szCs w:val="24"/>
        </w:rPr>
      </w:pPr>
    </w:p>
    <w:p w:rsidRPr="00941BC9" w:rsidR="00D865A9" w:rsidRDefault="00D865A9" w14:paraId="719EA9BA" w14:textId="77777777">
      <w:pPr>
        <w:suppressAutoHyphens/>
        <w:rPr>
          <w:rFonts w:ascii="Palatino Linotype" w:hAnsi="Palatino Linotype"/>
          <w:sz w:val="24"/>
          <w:szCs w:val="24"/>
        </w:rPr>
      </w:pPr>
    </w:p>
    <w:p w:rsidRPr="00941BC9" w:rsidR="00D865A9" w:rsidP="00FC5C58" w:rsidRDefault="00D865A9" w14:paraId="41593225" w14:textId="45C2F109">
      <w:pPr>
        <w:tabs>
          <w:tab w:val="left" w:pos="6705"/>
          <w:tab w:val="right" w:pos="8820"/>
        </w:tabs>
        <w:rPr>
          <w:rFonts w:ascii="Palatino Linotype" w:hAnsi="Palatino Linotype"/>
          <w:b/>
          <w:sz w:val="24"/>
          <w:szCs w:val="24"/>
        </w:rPr>
      </w:pPr>
      <w:r w:rsidRPr="00941BC9">
        <w:rPr>
          <w:rFonts w:ascii="Palatino Linotype" w:hAnsi="Palatino Linotype"/>
          <w:b/>
          <w:sz w:val="24"/>
          <w:szCs w:val="24"/>
        </w:rPr>
        <w:tab/>
      </w:r>
      <w:r w:rsidR="00FC5C58">
        <w:rPr>
          <w:rFonts w:ascii="Palatino Linotype" w:hAnsi="Palatino Linotype"/>
          <w:b/>
          <w:sz w:val="24"/>
          <w:szCs w:val="24"/>
        </w:rPr>
        <w:t xml:space="preserve">  </w:t>
      </w:r>
      <w:r w:rsidRPr="00941BC9" w:rsidR="00070E55">
        <w:rPr>
          <w:rFonts w:ascii="Palatino Linotype" w:hAnsi="Palatino Linotype"/>
          <w:b/>
          <w:sz w:val="24"/>
          <w:szCs w:val="24"/>
        </w:rPr>
        <w:t>Agenda ID#</w:t>
      </w:r>
      <w:r w:rsidR="00FC5C58">
        <w:rPr>
          <w:rFonts w:ascii="Palatino Linotype" w:hAnsi="Palatino Linotype"/>
          <w:b/>
          <w:sz w:val="24"/>
          <w:szCs w:val="24"/>
        </w:rPr>
        <w:t xml:space="preserve"> </w:t>
      </w:r>
      <w:r w:rsidRPr="00FC5C58" w:rsidR="00FC5C58">
        <w:rPr>
          <w:rFonts w:ascii="Palatino Linotype" w:hAnsi="Palatino Linotype"/>
          <w:b/>
          <w:bCs/>
          <w:sz w:val="24"/>
          <w:szCs w:val="24"/>
        </w:rPr>
        <w:t>23368</w:t>
      </w:r>
      <w:r w:rsidRPr="00941BC9" w:rsidR="000D1D4B">
        <w:rPr>
          <w:rFonts w:ascii="Palatino Linotype" w:hAnsi="Palatino Linotype"/>
          <w:b/>
          <w:sz w:val="24"/>
          <w:szCs w:val="24"/>
        </w:rPr>
        <w:tab/>
      </w:r>
    </w:p>
    <w:p w:rsidRPr="00941BC9" w:rsidR="00CF17DE" w:rsidP="00D865A9" w:rsidRDefault="00593807" w14:paraId="7AE852C7" w14:textId="424F774A">
      <w:pPr>
        <w:tabs>
          <w:tab w:val="right" w:pos="8820"/>
        </w:tabs>
        <w:rPr>
          <w:rFonts w:ascii="Palatino Linotype" w:hAnsi="Palatino Linotype"/>
          <w:b/>
          <w:sz w:val="24"/>
          <w:szCs w:val="24"/>
        </w:rPr>
      </w:pPr>
      <w:r w:rsidRPr="00941BC9">
        <w:rPr>
          <w:rFonts w:ascii="Palatino Linotype" w:hAnsi="Palatino Linotype"/>
          <w:b/>
          <w:sz w:val="24"/>
          <w:szCs w:val="24"/>
        </w:rPr>
        <w:t>ENERGY DIVISION</w:t>
      </w:r>
      <w:r w:rsidRPr="00941BC9">
        <w:rPr>
          <w:rFonts w:ascii="Palatino Linotype" w:hAnsi="Palatino Linotype"/>
          <w:b/>
          <w:sz w:val="24"/>
          <w:szCs w:val="24"/>
        </w:rPr>
        <w:tab/>
      </w:r>
      <w:r w:rsidRPr="00941BC9" w:rsidR="00CF17DE">
        <w:rPr>
          <w:rFonts w:ascii="Palatino Linotype" w:hAnsi="Palatino Linotype"/>
          <w:b/>
          <w:sz w:val="24"/>
          <w:szCs w:val="24"/>
        </w:rPr>
        <w:t xml:space="preserve">RESOLUTION </w:t>
      </w:r>
      <w:r w:rsidRPr="00941BC9" w:rsidR="008F23AE">
        <w:rPr>
          <w:rFonts w:ascii="Palatino Linotype" w:hAnsi="Palatino Linotype"/>
          <w:b/>
          <w:sz w:val="24"/>
          <w:szCs w:val="24"/>
        </w:rPr>
        <w:t>E-5345</w:t>
      </w:r>
    </w:p>
    <w:p w:rsidRPr="00941BC9" w:rsidR="0020108F" w:rsidP="00D865A9" w:rsidRDefault="0020108F" w14:paraId="6A61AFB6" w14:textId="5B5D1FE6">
      <w:pPr>
        <w:tabs>
          <w:tab w:val="right" w:pos="8820"/>
        </w:tabs>
        <w:rPr>
          <w:rFonts w:ascii="Palatino Linotype" w:hAnsi="Palatino Linotype"/>
          <w:b/>
          <w:sz w:val="24"/>
          <w:szCs w:val="24"/>
        </w:rPr>
      </w:pPr>
      <w:r w:rsidRPr="00941BC9">
        <w:rPr>
          <w:rFonts w:ascii="Palatino Linotype" w:hAnsi="Palatino Linotype"/>
          <w:b/>
          <w:sz w:val="24"/>
          <w:szCs w:val="24"/>
        </w:rPr>
        <w:tab/>
      </w:r>
      <w:r w:rsidRPr="00941BC9" w:rsidR="008D2FC6">
        <w:rPr>
          <w:rFonts w:ascii="Palatino Linotype" w:hAnsi="Palatino Linotype"/>
          <w:b/>
          <w:sz w:val="24"/>
          <w:szCs w:val="24"/>
        </w:rPr>
        <w:t xml:space="preserve">April </w:t>
      </w:r>
      <w:r w:rsidRPr="00941BC9" w:rsidR="00991D5A">
        <w:rPr>
          <w:rFonts w:ascii="Palatino Linotype" w:hAnsi="Palatino Linotype"/>
          <w:b/>
          <w:sz w:val="24"/>
          <w:szCs w:val="24"/>
        </w:rPr>
        <w:t>3</w:t>
      </w:r>
      <w:r w:rsidRPr="00941BC9" w:rsidR="008F23AE">
        <w:rPr>
          <w:rFonts w:ascii="Palatino Linotype" w:hAnsi="Palatino Linotype"/>
          <w:b/>
          <w:sz w:val="24"/>
          <w:szCs w:val="24"/>
        </w:rPr>
        <w:t>, 202</w:t>
      </w:r>
      <w:r w:rsidRPr="00941BC9" w:rsidR="00AE2A94">
        <w:rPr>
          <w:rFonts w:ascii="Palatino Linotype" w:hAnsi="Palatino Linotype"/>
          <w:b/>
          <w:sz w:val="24"/>
          <w:szCs w:val="24"/>
        </w:rPr>
        <w:t>5</w:t>
      </w:r>
    </w:p>
    <w:p w:rsidRPr="00941BC9" w:rsidR="00941BC9" w:rsidP="00D865A9" w:rsidRDefault="00941BC9" w14:paraId="6BAB510F" w14:textId="77777777">
      <w:pPr>
        <w:tabs>
          <w:tab w:val="right" w:pos="8820"/>
        </w:tabs>
        <w:rPr>
          <w:rFonts w:ascii="Palatino Linotype" w:hAnsi="Palatino Linotype"/>
          <w:b/>
          <w:sz w:val="24"/>
          <w:szCs w:val="24"/>
        </w:rPr>
      </w:pPr>
    </w:p>
    <w:p w:rsidRPr="00941BC9" w:rsidR="00CF17DE" w:rsidRDefault="00CF17DE" w14:paraId="3DBC912E" w14:textId="49B6ADBD">
      <w:pPr>
        <w:tabs>
          <w:tab w:val="right" w:pos="8910"/>
        </w:tabs>
        <w:ind w:left="1440" w:firstLine="720"/>
        <w:rPr>
          <w:rFonts w:ascii="Palatino Linotype" w:hAnsi="Palatino Linotype"/>
          <w:b/>
          <w:sz w:val="24"/>
          <w:szCs w:val="24"/>
        </w:rPr>
      </w:pPr>
      <w:r w:rsidRPr="00941BC9">
        <w:rPr>
          <w:rFonts w:ascii="Palatino Linotype" w:hAnsi="Palatino Linotype"/>
          <w:b/>
          <w:sz w:val="24"/>
          <w:szCs w:val="24"/>
        </w:rPr>
        <w:tab/>
      </w:r>
    </w:p>
    <w:p w:rsidRPr="00941BC9" w:rsidR="00CF17DE" w:rsidP="00CA2DCD" w:rsidRDefault="00067DA7" w14:paraId="061A7957" w14:textId="1C970763">
      <w:pPr>
        <w:pStyle w:val="mainex"/>
        <w:rPr>
          <w:rFonts w:cs="Helvetica"/>
          <w:b w:val="0"/>
          <w:szCs w:val="26"/>
          <w:u w:val="single"/>
        </w:rPr>
      </w:pPr>
      <w:r w:rsidRPr="00941BC9">
        <w:rPr>
          <w:rFonts w:cs="Helvetica"/>
          <w:szCs w:val="26"/>
          <w:u w:val="single"/>
        </w:rPr>
        <w:t>REDACTED</w:t>
      </w:r>
    </w:p>
    <w:p w:rsidRPr="00941BC9" w:rsidR="00CF17DE" w:rsidRDefault="00CF17DE" w14:paraId="40ADBA19" w14:textId="77777777">
      <w:pPr>
        <w:pStyle w:val="mainex"/>
        <w:rPr>
          <w:rFonts w:ascii="Palatino Linotype" w:hAnsi="Palatino Linotype"/>
          <w:sz w:val="24"/>
          <w:szCs w:val="24"/>
          <w:u w:val="single"/>
        </w:rPr>
      </w:pPr>
      <w:bookmarkStart w:name="_Ref404993683" w:id="0"/>
      <w:r w:rsidRPr="00941BC9">
        <w:rPr>
          <w:rFonts w:cs="Helvetica"/>
          <w:szCs w:val="26"/>
          <w:u w:val="single"/>
        </w:rPr>
        <w:t>RESOLUTION</w:t>
      </w:r>
    </w:p>
    <w:p w:rsidRPr="00941BC9" w:rsidR="00CF17DE" w:rsidRDefault="00CF17DE" w14:paraId="63C93376" w14:textId="77777777">
      <w:pPr>
        <w:rPr>
          <w:rFonts w:ascii="Palatino Linotype" w:hAnsi="Palatino Linotype"/>
          <w:sz w:val="24"/>
          <w:szCs w:val="24"/>
        </w:rPr>
      </w:pPr>
    </w:p>
    <w:p w:rsidRPr="00941BC9" w:rsidR="000C50E3" w:rsidP="00B927B5" w:rsidRDefault="00B927B5" w14:paraId="1069D024" w14:textId="7FF6600E">
      <w:pPr>
        <w:pStyle w:val="Res-Caption"/>
        <w:rPr>
          <w:rFonts w:ascii="Palatino Linotype" w:hAnsi="Palatino Linotype"/>
          <w:sz w:val="24"/>
          <w:szCs w:val="24"/>
        </w:rPr>
      </w:pPr>
      <w:r w:rsidRPr="00941BC9">
        <w:rPr>
          <w:rFonts w:ascii="Palatino Linotype" w:hAnsi="Palatino Linotype"/>
          <w:sz w:val="24"/>
          <w:szCs w:val="24"/>
        </w:rPr>
        <w:t xml:space="preserve">Resolution </w:t>
      </w:r>
      <w:r w:rsidRPr="00941BC9" w:rsidR="008F23AE">
        <w:rPr>
          <w:rFonts w:ascii="Palatino Linotype" w:hAnsi="Palatino Linotype"/>
          <w:sz w:val="24"/>
          <w:szCs w:val="24"/>
        </w:rPr>
        <w:t>E-5345</w:t>
      </w:r>
      <w:r w:rsidR="00E84638">
        <w:rPr>
          <w:rFonts w:ascii="Palatino Linotype" w:hAnsi="Palatino Linotype"/>
          <w:sz w:val="24"/>
          <w:szCs w:val="24"/>
        </w:rPr>
        <w:t>.</w:t>
      </w:r>
      <w:r w:rsidRPr="00941BC9" w:rsidR="008F23AE">
        <w:rPr>
          <w:rFonts w:ascii="Palatino Linotype" w:hAnsi="Palatino Linotype"/>
          <w:sz w:val="24"/>
          <w:szCs w:val="24"/>
        </w:rPr>
        <w:t xml:space="preserve"> Pacific Gas and Electric Company</w:t>
      </w:r>
      <w:r w:rsidRPr="00941BC9" w:rsidR="000F4989">
        <w:rPr>
          <w:rFonts w:ascii="Palatino Linotype" w:hAnsi="Palatino Linotype"/>
          <w:sz w:val="24"/>
          <w:szCs w:val="24"/>
        </w:rPr>
        <w:t xml:space="preserve"> requests approval of </w:t>
      </w:r>
      <w:r w:rsidRPr="00941BC9" w:rsidR="008F23AE">
        <w:rPr>
          <w:rFonts w:ascii="Palatino Linotype" w:hAnsi="Palatino Linotype"/>
          <w:sz w:val="24"/>
          <w:szCs w:val="24"/>
        </w:rPr>
        <w:t>Mid-Term Reliability Contracts.</w:t>
      </w:r>
    </w:p>
    <w:p w:rsidRPr="00941BC9" w:rsidR="00801D70" w:rsidRDefault="00801D70" w14:paraId="70E6A3B4" w14:textId="77777777">
      <w:pPr>
        <w:pStyle w:val="Res-Caption"/>
        <w:rPr>
          <w:rFonts w:ascii="Palatino Linotype" w:hAnsi="Palatino Linotype"/>
          <w:sz w:val="24"/>
          <w:szCs w:val="24"/>
        </w:rPr>
      </w:pPr>
    </w:p>
    <w:p w:rsidRPr="00941BC9" w:rsidR="00DF35CC" w:rsidP="00DF35CC" w:rsidRDefault="00801D70" w14:paraId="5B232953" w14:textId="77777777">
      <w:pPr>
        <w:pStyle w:val="Res-Caption"/>
        <w:rPr>
          <w:rFonts w:ascii="Palatino Linotype" w:hAnsi="Palatino Linotype"/>
          <w:sz w:val="24"/>
          <w:szCs w:val="24"/>
        </w:rPr>
      </w:pPr>
      <w:r w:rsidRPr="00941BC9">
        <w:rPr>
          <w:rFonts w:ascii="Palatino Linotype" w:hAnsi="Palatino Linotype"/>
          <w:sz w:val="24"/>
          <w:szCs w:val="24"/>
        </w:rPr>
        <w:t>PROPOSED OUTCOME:</w:t>
      </w:r>
      <w:r w:rsidRPr="00941BC9" w:rsidR="00142FB8">
        <w:rPr>
          <w:rFonts w:ascii="Palatino Linotype" w:hAnsi="Palatino Linotype"/>
          <w:sz w:val="24"/>
          <w:szCs w:val="24"/>
        </w:rPr>
        <w:t xml:space="preserve"> </w:t>
      </w:r>
    </w:p>
    <w:p w:rsidRPr="00941BC9" w:rsidR="008F23AE" w:rsidP="00142FB8" w:rsidRDefault="008F23AE" w14:paraId="5C2DECC6" w14:textId="01D2CE12">
      <w:pPr>
        <w:pStyle w:val="Res-Caption"/>
        <w:numPr>
          <w:ilvl w:val="0"/>
          <w:numId w:val="7"/>
        </w:numPr>
        <w:rPr>
          <w:rFonts w:ascii="Palatino Linotype" w:hAnsi="Palatino Linotype"/>
          <w:sz w:val="24"/>
          <w:szCs w:val="24"/>
        </w:rPr>
      </w:pPr>
      <w:r w:rsidRPr="00941BC9">
        <w:rPr>
          <w:rFonts w:ascii="Palatino Linotype" w:hAnsi="Palatino Linotype"/>
          <w:sz w:val="24"/>
          <w:szCs w:val="24"/>
        </w:rPr>
        <w:t>Approve</w:t>
      </w:r>
      <w:r w:rsidRPr="00941BC9" w:rsidR="008D78D8">
        <w:rPr>
          <w:rFonts w:ascii="Palatino Linotype" w:hAnsi="Palatino Linotype"/>
          <w:sz w:val="24"/>
          <w:szCs w:val="24"/>
        </w:rPr>
        <w:t>s</w:t>
      </w:r>
      <w:r w:rsidRPr="00941BC9">
        <w:rPr>
          <w:rFonts w:ascii="Palatino Linotype" w:hAnsi="Palatino Linotype"/>
          <w:sz w:val="24"/>
          <w:szCs w:val="24"/>
        </w:rPr>
        <w:t xml:space="preserve"> two Pacific Gas and Electric Company</w:t>
      </w:r>
      <w:r w:rsidRPr="00941BC9" w:rsidR="006A3045">
        <w:rPr>
          <w:rFonts w:ascii="Palatino Linotype" w:hAnsi="Palatino Linotype"/>
          <w:sz w:val="24"/>
          <w:szCs w:val="24"/>
        </w:rPr>
        <w:t xml:space="preserve"> (</w:t>
      </w:r>
      <w:r w:rsidRPr="00941BC9" w:rsidR="00C90C8E">
        <w:rPr>
          <w:rFonts w:ascii="Palatino Linotype" w:hAnsi="Palatino Linotype"/>
          <w:sz w:val="24"/>
          <w:szCs w:val="24"/>
        </w:rPr>
        <w:t>“</w:t>
      </w:r>
      <w:r w:rsidRPr="00941BC9" w:rsidR="006A3045">
        <w:rPr>
          <w:rFonts w:ascii="Palatino Linotype" w:hAnsi="Palatino Linotype"/>
          <w:sz w:val="24"/>
          <w:szCs w:val="24"/>
        </w:rPr>
        <w:t>PG&amp;E</w:t>
      </w:r>
      <w:r w:rsidRPr="00941BC9" w:rsidR="00C90C8E">
        <w:rPr>
          <w:rFonts w:ascii="Palatino Linotype" w:hAnsi="Palatino Linotype"/>
          <w:sz w:val="24"/>
          <w:szCs w:val="24"/>
        </w:rPr>
        <w:t>”</w:t>
      </w:r>
      <w:r w:rsidRPr="00941BC9" w:rsidR="006A3045">
        <w:rPr>
          <w:rFonts w:ascii="Palatino Linotype" w:hAnsi="Palatino Linotype"/>
          <w:sz w:val="24"/>
          <w:szCs w:val="24"/>
        </w:rPr>
        <w:t>)</w:t>
      </w:r>
      <w:r w:rsidRPr="00941BC9">
        <w:rPr>
          <w:rFonts w:ascii="Palatino Linotype" w:hAnsi="Palatino Linotype"/>
          <w:sz w:val="24"/>
          <w:szCs w:val="24"/>
        </w:rPr>
        <w:t xml:space="preserve"> </w:t>
      </w:r>
      <w:r w:rsidRPr="00941BC9" w:rsidR="006A3045">
        <w:rPr>
          <w:rFonts w:ascii="Palatino Linotype" w:hAnsi="Palatino Linotype"/>
          <w:sz w:val="24"/>
          <w:szCs w:val="24"/>
        </w:rPr>
        <w:t>Power Purchase Agreements for zero emission products from renewable resources resulting from PG&amp;E’s Mid-Term Reliability</w:t>
      </w:r>
      <w:r w:rsidRPr="00941BC9" w:rsidR="008800EF">
        <w:rPr>
          <w:rFonts w:ascii="Palatino Linotype" w:hAnsi="Palatino Linotype"/>
          <w:sz w:val="24"/>
          <w:szCs w:val="24"/>
        </w:rPr>
        <w:t xml:space="preserve"> (</w:t>
      </w:r>
      <w:r w:rsidRPr="00941BC9" w:rsidR="00C90C8E">
        <w:rPr>
          <w:rFonts w:ascii="Palatino Linotype" w:hAnsi="Palatino Linotype"/>
          <w:sz w:val="24"/>
          <w:szCs w:val="24"/>
        </w:rPr>
        <w:t>“</w:t>
      </w:r>
      <w:r w:rsidRPr="00941BC9" w:rsidR="008800EF">
        <w:rPr>
          <w:rFonts w:ascii="Palatino Linotype" w:hAnsi="Palatino Linotype"/>
          <w:sz w:val="24"/>
          <w:szCs w:val="24"/>
        </w:rPr>
        <w:t>MTR</w:t>
      </w:r>
      <w:r w:rsidRPr="00941BC9" w:rsidR="00C90C8E">
        <w:rPr>
          <w:rFonts w:ascii="Palatino Linotype" w:hAnsi="Palatino Linotype"/>
          <w:sz w:val="24"/>
          <w:szCs w:val="24"/>
        </w:rPr>
        <w:t>”</w:t>
      </w:r>
      <w:r w:rsidRPr="00941BC9" w:rsidR="008800EF">
        <w:rPr>
          <w:rFonts w:ascii="Palatino Linotype" w:hAnsi="Palatino Linotype"/>
          <w:sz w:val="24"/>
          <w:szCs w:val="24"/>
        </w:rPr>
        <w:t>)</w:t>
      </w:r>
      <w:r w:rsidRPr="00941BC9" w:rsidR="006A3045">
        <w:rPr>
          <w:rFonts w:ascii="Palatino Linotype" w:hAnsi="Palatino Linotype"/>
          <w:sz w:val="24"/>
          <w:szCs w:val="24"/>
        </w:rPr>
        <w:t xml:space="preserve"> Request for Offers – Phase 3 (</w:t>
      </w:r>
      <w:r w:rsidRPr="00941BC9" w:rsidR="00C90C8E">
        <w:rPr>
          <w:rFonts w:ascii="Palatino Linotype" w:hAnsi="Palatino Linotype"/>
          <w:sz w:val="24"/>
          <w:szCs w:val="24"/>
        </w:rPr>
        <w:t>“</w:t>
      </w:r>
      <w:r w:rsidRPr="00941BC9" w:rsidR="006A3045">
        <w:rPr>
          <w:rFonts w:ascii="Palatino Linotype" w:hAnsi="Palatino Linotype"/>
          <w:sz w:val="24"/>
          <w:szCs w:val="24"/>
        </w:rPr>
        <w:t>MTR RFO – Phase 3</w:t>
      </w:r>
      <w:r w:rsidRPr="00941BC9" w:rsidR="00C90C8E">
        <w:rPr>
          <w:rFonts w:ascii="Palatino Linotype" w:hAnsi="Palatino Linotype"/>
          <w:sz w:val="24"/>
          <w:szCs w:val="24"/>
        </w:rPr>
        <w:t>”</w:t>
      </w:r>
      <w:r w:rsidRPr="00941BC9" w:rsidR="006A3045">
        <w:rPr>
          <w:rFonts w:ascii="Palatino Linotype" w:hAnsi="Palatino Linotype"/>
          <w:sz w:val="24"/>
          <w:szCs w:val="24"/>
        </w:rPr>
        <w:t>)</w:t>
      </w:r>
      <w:r w:rsidRPr="00941BC9">
        <w:rPr>
          <w:rFonts w:ascii="Palatino Linotype" w:hAnsi="Palatino Linotype"/>
          <w:sz w:val="24"/>
          <w:szCs w:val="24"/>
        </w:rPr>
        <w:t>. The first is for 75 megawatts</w:t>
      </w:r>
      <w:r w:rsidRPr="00941BC9" w:rsidR="00DC72F1">
        <w:rPr>
          <w:rFonts w:ascii="Palatino Linotype" w:hAnsi="Palatino Linotype"/>
          <w:sz w:val="24"/>
          <w:szCs w:val="24"/>
        </w:rPr>
        <w:t xml:space="preserve"> (</w:t>
      </w:r>
      <w:r w:rsidRPr="00941BC9" w:rsidR="00C90C8E">
        <w:rPr>
          <w:rFonts w:ascii="Palatino Linotype" w:hAnsi="Palatino Linotype"/>
          <w:sz w:val="24"/>
          <w:szCs w:val="24"/>
        </w:rPr>
        <w:t>“</w:t>
      </w:r>
      <w:r w:rsidRPr="00941BC9" w:rsidR="00DC72F1">
        <w:rPr>
          <w:rFonts w:ascii="Palatino Linotype" w:hAnsi="Palatino Linotype"/>
          <w:sz w:val="24"/>
          <w:szCs w:val="24"/>
        </w:rPr>
        <w:t>MW</w:t>
      </w:r>
      <w:r w:rsidRPr="00941BC9" w:rsidR="00C90C8E">
        <w:rPr>
          <w:rFonts w:ascii="Palatino Linotype" w:hAnsi="Palatino Linotype"/>
          <w:sz w:val="24"/>
          <w:szCs w:val="24"/>
        </w:rPr>
        <w:t>”</w:t>
      </w:r>
      <w:r w:rsidRPr="00941BC9" w:rsidR="00DC72F1">
        <w:rPr>
          <w:rFonts w:ascii="Palatino Linotype" w:hAnsi="Palatino Linotype"/>
          <w:sz w:val="24"/>
          <w:szCs w:val="24"/>
        </w:rPr>
        <w:t>)</w:t>
      </w:r>
      <w:r w:rsidRPr="00941BC9">
        <w:rPr>
          <w:rFonts w:ascii="Palatino Linotype" w:hAnsi="Palatino Linotype"/>
          <w:sz w:val="24"/>
          <w:szCs w:val="24"/>
        </w:rPr>
        <w:t xml:space="preserve"> of nameplate capacity expected to begin deliveries on March 1, </w:t>
      </w:r>
      <w:r w:rsidRPr="00941BC9" w:rsidR="00202D6D">
        <w:rPr>
          <w:rFonts w:ascii="Palatino Linotype" w:hAnsi="Palatino Linotype"/>
          <w:sz w:val="24"/>
          <w:szCs w:val="24"/>
        </w:rPr>
        <w:t>2026,</w:t>
      </w:r>
      <w:r w:rsidRPr="00941BC9">
        <w:rPr>
          <w:rFonts w:ascii="Palatino Linotype" w:hAnsi="Palatino Linotype"/>
          <w:sz w:val="24"/>
          <w:szCs w:val="24"/>
        </w:rPr>
        <w:t xml:space="preserve"> and the second is for 200 </w:t>
      </w:r>
      <w:r w:rsidRPr="00941BC9" w:rsidR="00DC72F1">
        <w:rPr>
          <w:rFonts w:ascii="Palatino Linotype" w:hAnsi="Palatino Linotype"/>
          <w:sz w:val="24"/>
          <w:szCs w:val="24"/>
        </w:rPr>
        <w:t>MW</w:t>
      </w:r>
      <w:r w:rsidRPr="00941BC9">
        <w:rPr>
          <w:rFonts w:ascii="Palatino Linotype" w:hAnsi="Palatino Linotype"/>
          <w:sz w:val="24"/>
          <w:szCs w:val="24"/>
        </w:rPr>
        <w:t xml:space="preserve"> of nameplate capacity expected to begin deliveries on June 1, 2026.</w:t>
      </w:r>
    </w:p>
    <w:p w:rsidRPr="00941BC9" w:rsidR="00F51F8B" w:rsidRDefault="00F51F8B" w14:paraId="65BE5ED4" w14:textId="77777777">
      <w:pPr>
        <w:pStyle w:val="Res-Caption"/>
        <w:rPr>
          <w:rFonts w:ascii="Palatino Linotype" w:hAnsi="Palatino Linotype"/>
          <w:sz w:val="24"/>
          <w:szCs w:val="24"/>
        </w:rPr>
      </w:pPr>
    </w:p>
    <w:p w:rsidRPr="00941BC9" w:rsidR="00F51F8B" w:rsidRDefault="00F51F8B" w14:paraId="5348E825" w14:textId="3B0C15DD">
      <w:pPr>
        <w:pStyle w:val="Res-Caption"/>
        <w:rPr>
          <w:rFonts w:ascii="Palatino Linotype" w:hAnsi="Palatino Linotype"/>
          <w:sz w:val="24"/>
          <w:szCs w:val="24"/>
        </w:rPr>
      </w:pPr>
      <w:r w:rsidRPr="00941BC9">
        <w:rPr>
          <w:rFonts w:ascii="Palatino Linotype" w:hAnsi="Palatino Linotype"/>
          <w:sz w:val="24"/>
          <w:szCs w:val="24"/>
        </w:rPr>
        <w:t>SAFETY CONSIDERATIONS:</w:t>
      </w:r>
    </w:p>
    <w:p w:rsidRPr="00941BC9" w:rsidR="00202D6D" w:rsidP="00CA2DCD" w:rsidRDefault="00474A1C" w14:paraId="2514848B" w14:textId="1691B584">
      <w:pPr>
        <w:pStyle w:val="Res-Caption"/>
        <w:numPr>
          <w:ilvl w:val="0"/>
          <w:numId w:val="7"/>
        </w:numPr>
        <w:rPr>
          <w:rFonts w:ascii="Palatino Linotype" w:hAnsi="Palatino Linotype"/>
          <w:sz w:val="24"/>
          <w:szCs w:val="24"/>
        </w:rPr>
      </w:pPr>
      <w:r w:rsidRPr="00941BC9">
        <w:rPr>
          <w:rFonts w:ascii="Palatino Linotype" w:hAnsi="Palatino Linotype"/>
          <w:sz w:val="24"/>
          <w:szCs w:val="24"/>
        </w:rPr>
        <w:t>PG&amp;E</w:t>
      </w:r>
      <w:r w:rsidRPr="00941BC9" w:rsidR="00202D6D">
        <w:rPr>
          <w:rFonts w:ascii="Palatino Linotype" w:hAnsi="Palatino Linotype"/>
          <w:sz w:val="24"/>
          <w:szCs w:val="24"/>
        </w:rPr>
        <w:t xml:space="preserve"> requires the seller to 1) practice</w:t>
      </w:r>
      <w:r w:rsidRPr="00941BC9">
        <w:rPr>
          <w:rFonts w:ascii="Palatino Linotype" w:hAnsi="Palatino Linotype"/>
          <w:sz w:val="24"/>
          <w:szCs w:val="24"/>
        </w:rPr>
        <w:t xml:space="preserve"> </w:t>
      </w:r>
      <w:r w:rsidRPr="00941BC9" w:rsidR="00202D6D">
        <w:rPr>
          <w:rFonts w:ascii="Palatino Linotype" w:hAnsi="Palatino Linotype"/>
          <w:sz w:val="24"/>
          <w:szCs w:val="24"/>
        </w:rPr>
        <w:t>responsible safety management enforced by contractual terms and</w:t>
      </w:r>
      <w:r w:rsidRPr="00941BC9">
        <w:rPr>
          <w:rFonts w:ascii="Palatino Linotype" w:hAnsi="Palatino Linotype"/>
          <w:sz w:val="24"/>
          <w:szCs w:val="24"/>
        </w:rPr>
        <w:t xml:space="preserve"> </w:t>
      </w:r>
      <w:r w:rsidRPr="00941BC9" w:rsidR="00202D6D">
        <w:rPr>
          <w:rFonts w:ascii="Palatino Linotype" w:hAnsi="Palatino Linotype"/>
          <w:sz w:val="24"/>
          <w:szCs w:val="24"/>
        </w:rPr>
        <w:t xml:space="preserve">conditions based on standards for Prudent Electrical Practices and all applicable laws and regulations and 2) have a project safety plan that demonstrates responsible safety management during all phases of the </w:t>
      </w:r>
      <w:r w:rsidRPr="00941BC9" w:rsidR="00202D6D">
        <w:rPr>
          <w:rFonts w:ascii="Palatino Linotype" w:hAnsi="Palatino Linotype" w:cs="CIDFont+F1"/>
          <w:sz w:val="24"/>
          <w:szCs w:val="24"/>
        </w:rPr>
        <w:t>project lifecycle.</w:t>
      </w:r>
    </w:p>
    <w:p w:rsidRPr="00941BC9" w:rsidR="00801D70" w:rsidRDefault="00801D70" w14:paraId="664CBB61" w14:textId="77777777">
      <w:pPr>
        <w:pStyle w:val="Res-Caption"/>
        <w:rPr>
          <w:rFonts w:ascii="Palatino Linotype" w:hAnsi="Palatino Linotype"/>
          <w:sz w:val="24"/>
          <w:szCs w:val="24"/>
        </w:rPr>
      </w:pPr>
    </w:p>
    <w:p w:rsidRPr="00941BC9" w:rsidR="00801D70" w:rsidRDefault="00801D70" w14:paraId="28BD615D" w14:textId="77777777">
      <w:pPr>
        <w:pStyle w:val="Res-Caption"/>
        <w:rPr>
          <w:rFonts w:ascii="Palatino Linotype" w:hAnsi="Palatino Linotype"/>
          <w:sz w:val="24"/>
          <w:szCs w:val="24"/>
        </w:rPr>
      </w:pPr>
      <w:r w:rsidRPr="00941BC9">
        <w:rPr>
          <w:rFonts w:ascii="Palatino Linotype" w:hAnsi="Palatino Linotype"/>
          <w:sz w:val="24"/>
          <w:szCs w:val="24"/>
        </w:rPr>
        <w:t xml:space="preserve">ESTIMATED COST:  </w:t>
      </w:r>
    </w:p>
    <w:p w:rsidRPr="00941BC9" w:rsidR="000C50E3" w:rsidP="000C50E3" w:rsidRDefault="00202D6D" w14:paraId="42ABC734" w14:textId="17EFBDAC">
      <w:pPr>
        <w:pStyle w:val="Res-Caption"/>
        <w:numPr>
          <w:ilvl w:val="0"/>
          <w:numId w:val="6"/>
        </w:numPr>
        <w:rPr>
          <w:rFonts w:ascii="Palatino Linotype" w:hAnsi="Palatino Linotype"/>
          <w:sz w:val="24"/>
          <w:szCs w:val="24"/>
        </w:rPr>
      </w:pPr>
      <w:r w:rsidRPr="00941BC9">
        <w:rPr>
          <w:rFonts w:ascii="Palatino Linotype" w:hAnsi="Palatino Linotype"/>
          <w:sz w:val="24"/>
          <w:szCs w:val="24"/>
        </w:rPr>
        <w:t xml:space="preserve">Contract costs are confidential </w:t>
      </w:r>
      <w:proofErr w:type="gramStart"/>
      <w:r w:rsidRPr="00941BC9">
        <w:rPr>
          <w:rFonts w:ascii="Palatino Linotype" w:hAnsi="Palatino Linotype"/>
          <w:sz w:val="24"/>
          <w:szCs w:val="24"/>
        </w:rPr>
        <w:t>at this time</w:t>
      </w:r>
      <w:proofErr w:type="gramEnd"/>
      <w:r w:rsidRPr="00941BC9">
        <w:rPr>
          <w:rFonts w:ascii="Palatino Linotype" w:hAnsi="Palatino Linotype"/>
          <w:sz w:val="24"/>
          <w:szCs w:val="24"/>
        </w:rPr>
        <w:t>.</w:t>
      </w:r>
    </w:p>
    <w:p w:rsidRPr="00941BC9" w:rsidR="000C50E3" w:rsidP="000C50E3" w:rsidRDefault="000C50E3" w14:paraId="7FD1037D" w14:textId="77777777">
      <w:pPr>
        <w:pStyle w:val="Res-Caption"/>
        <w:ind w:left="1440"/>
        <w:rPr>
          <w:rFonts w:ascii="Palatino Linotype" w:hAnsi="Palatino Linotype"/>
          <w:sz w:val="24"/>
          <w:szCs w:val="24"/>
        </w:rPr>
      </w:pPr>
    </w:p>
    <w:p w:rsidRPr="00941BC9" w:rsidR="00CF17DE" w:rsidRDefault="00CF17DE" w14:paraId="414B5F5B" w14:textId="77777777">
      <w:pPr>
        <w:pStyle w:val="Res-Caption"/>
        <w:rPr>
          <w:rFonts w:ascii="Palatino Linotype" w:hAnsi="Palatino Linotype"/>
          <w:sz w:val="24"/>
          <w:szCs w:val="24"/>
        </w:rPr>
      </w:pPr>
    </w:p>
    <w:p w:rsidRPr="00941BC9" w:rsidR="00CF17DE" w:rsidRDefault="00CF17DE" w14:paraId="0395FC4E" w14:textId="3DF91163">
      <w:pPr>
        <w:pStyle w:val="Res-Caption"/>
        <w:rPr>
          <w:rFonts w:ascii="Palatino Linotype" w:hAnsi="Palatino Linotype"/>
          <w:sz w:val="24"/>
          <w:szCs w:val="24"/>
        </w:rPr>
      </w:pPr>
      <w:r w:rsidRPr="00941BC9">
        <w:rPr>
          <w:rFonts w:ascii="Palatino Linotype" w:hAnsi="Palatino Linotype"/>
          <w:sz w:val="24"/>
          <w:szCs w:val="24"/>
        </w:rPr>
        <w:t xml:space="preserve">By Advice Letter </w:t>
      </w:r>
      <w:r w:rsidRPr="00941BC9" w:rsidR="00202D6D">
        <w:rPr>
          <w:rFonts w:ascii="Palatino Linotype" w:hAnsi="Palatino Linotype"/>
          <w:sz w:val="24"/>
          <w:szCs w:val="24"/>
        </w:rPr>
        <w:t>7299-E</w:t>
      </w:r>
      <w:r w:rsidRPr="00941BC9" w:rsidR="003F6E5A">
        <w:rPr>
          <w:rFonts w:ascii="Palatino Linotype" w:hAnsi="Palatino Linotype"/>
          <w:sz w:val="24"/>
          <w:szCs w:val="24"/>
        </w:rPr>
        <w:t>,</w:t>
      </w:r>
      <w:r w:rsidRPr="00941BC9">
        <w:rPr>
          <w:rFonts w:ascii="Palatino Linotype" w:hAnsi="Palatino Linotype"/>
          <w:sz w:val="24"/>
          <w:szCs w:val="24"/>
        </w:rPr>
        <w:t xml:space="preserve"> Filed on </w:t>
      </w:r>
      <w:r w:rsidRPr="00941BC9" w:rsidR="00202D6D">
        <w:rPr>
          <w:rFonts w:ascii="Palatino Linotype" w:hAnsi="Palatino Linotype"/>
          <w:sz w:val="24"/>
          <w:szCs w:val="24"/>
        </w:rPr>
        <w:t>June 18, 2024</w:t>
      </w:r>
      <w:r w:rsidRPr="00941BC9">
        <w:rPr>
          <w:rFonts w:ascii="Palatino Linotype" w:hAnsi="Palatino Linotype"/>
          <w:sz w:val="24"/>
          <w:szCs w:val="24"/>
        </w:rPr>
        <w:t xml:space="preserve">. </w:t>
      </w:r>
    </w:p>
    <w:p w:rsidRPr="00941BC9" w:rsidR="00CF17DE" w:rsidRDefault="00CF17DE" w14:paraId="2BFCF270" w14:textId="77777777">
      <w:pPr>
        <w:jc w:val="center"/>
        <w:rPr>
          <w:rFonts w:ascii="Palatino Linotype" w:hAnsi="Palatino Linotype"/>
          <w:sz w:val="24"/>
          <w:szCs w:val="24"/>
        </w:rPr>
      </w:pPr>
      <w:r w:rsidRPr="00941BC9">
        <w:rPr>
          <w:rFonts w:ascii="Palatino Linotype" w:hAnsi="Palatino Linotype"/>
          <w:sz w:val="24"/>
          <w:szCs w:val="24"/>
        </w:rPr>
        <w:t>__________________________________________________________</w:t>
      </w:r>
    </w:p>
    <w:p w:rsidRPr="00941BC9" w:rsidR="00CF17DE" w:rsidRDefault="00CF17DE" w14:paraId="21ED6BB6" w14:textId="77777777">
      <w:pPr>
        <w:rPr>
          <w:rFonts w:ascii="Palatino Linotype" w:hAnsi="Palatino Linotype"/>
          <w:b/>
          <w:sz w:val="24"/>
          <w:szCs w:val="24"/>
        </w:rPr>
      </w:pPr>
    </w:p>
    <w:p w:rsidRPr="00941BC9" w:rsidR="00CF17DE" w:rsidRDefault="00CF17DE" w14:paraId="2C49E15C" w14:textId="77777777">
      <w:pPr>
        <w:pStyle w:val="Heading1"/>
        <w:rPr>
          <w:rFonts w:ascii="Palatino Linotype" w:hAnsi="Palatino Linotype"/>
          <w:sz w:val="24"/>
          <w:szCs w:val="24"/>
        </w:rPr>
      </w:pPr>
      <w:r w:rsidRPr="00941BC9">
        <w:rPr>
          <w:rFonts w:ascii="Palatino Linotype" w:hAnsi="Palatino Linotype"/>
          <w:sz w:val="24"/>
          <w:szCs w:val="24"/>
        </w:rPr>
        <w:lastRenderedPageBreak/>
        <w:t>Summary</w:t>
      </w:r>
      <w:bookmarkEnd w:id="0"/>
    </w:p>
    <w:p w:rsidRPr="00941BC9" w:rsidR="00FE3764" w:rsidP="007E1A3F" w:rsidRDefault="00CF17DE" w14:paraId="38615691" w14:textId="4F8E7202">
      <w:pPr>
        <w:autoSpaceDE w:val="0"/>
        <w:autoSpaceDN w:val="0"/>
        <w:adjustRightInd w:val="0"/>
        <w:rPr>
          <w:rFonts w:ascii="Palatino Linotype" w:hAnsi="Palatino Linotype" w:cs="Arial"/>
          <w:sz w:val="24"/>
          <w:szCs w:val="24"/>
        </w:rPr>
      </w:pPr>
      <w:r w:rsidRPr="00941BC9">
        <w:rPr>
          <w:rFonts w:ascii="Palatino Linotype" w:hAnsi="Palatino Linotype"/>
          <w:sz w:val="24"/>
          <w:szCs w:val="24"/>
        </w:rPr>
        <w:t xml:space="preserve">This Resolution </w:t>
      </w:r>
      <w:r w:rsidRPr="00941BC9" w:rsidR="004C1843">
        <w:rPr>
          <w:rFonts w:ascii="Palatino Linotype" w:hAnsi="Palatino Linotype"/>
          <w:sz w:val="24"/>
          <w:szCs w:val="24"/>
        </w:rPr>
        <w:t>approves</w:t>
      </w:r>
      <w:r w:rsidRPr="00941BC9" w:rsidR="00737469">
        <w:rPr>
          <w:rFonts w:ascii="Palatino Linotype" w:hAnsi="Palatino Linotype"/>
          <w:sz w:val="24"/>
          <w:szCs w:val="24"/>
        </w:rPr>
        <w:t xml:space="preserve"> two</w:t>
      </w:r>
      <w:r w:rsidRPr="00941BC9" w:rsidR="006A3045">
        <w:rPr>
          <w:rFonts w:ascii="Palatino Linotype" w:hAnsi="Palatino Linotype"/>
          <w:sz w:val="24"/>
          <w:szCs w:val="24"/>
        </w:rPr>
        <w:t xml:space="preserve"> Power Purchase Agreements for zero emission products from intermittent renewable resources resulting from PG&amp;E’s Mid-Term Reliability Request for Offers – Phase 3 (MTR RFO – Phase 3). The first is </w:t>
      </w:r>
      <w:r w:rsidRPr="00941BC9" w:rsidR="00035E49">
        <w:rPr>
          <w:rFonts w:ascii="Palatino Linotype" w:hAnsi="Palatino Linotype"/>
          <w:sz w:val="24"/>
          <w:szCs w:val="24"/>
        </w:rPr>
        <w:t xml:space="preserve">between PG&amp;E and RWE </w:t>
      </w:r>
      <w:r w:rsidRPr="00941BC9" w:rsidR="006A3045">
        <w:rPr>
          <w:rFonts w:ascii="Palatino Linotype" w:hAnsi="Palatino Linotype"/>
          <w:sz w:val="24"/>
          <w:szCs w:val="24"/>
        </w:rPr>
        <w:t xml:space="preserve">for 75 </w:t>
      </w:r>
      <w:r w:rsidRPr="00941BC9" w:rsidR="00DC72F1">
        <w:rPr>
          <w:rFonts w:ascii="Palatino Linotype" w:hAnsi="Palatino Linotype"/>
          <w:sz w:val="24"/>
          <w:szCs w:val="24"/>
        </w:rPr>
        <w:t>MWs</w:t>
      </w:r>
      <w:r w:rsidRPr="00941BC9" w:rsidR="00CA1EC9">
        <w:rPr>
          <w:rFonts w:ascii="Palatino Linotype" w:hAnsi="Palatino Linotype"/>
          <w:sz w:val="24"/>
          <w:szCs w:val="24"/>
        </w:rPr>
        <w:t xml:space="preserve"> </w:t>
      </w:r>
      <w:r w:rsidRPr="00941BC9" w:rsidR="006A3045">
        <w:rPr>
          <w:rFonts w:ascii="Palatino Linotype" w:hAnsi="Palatino Linotype"/>
          <w:sz w:val="24"/>
          <w:szCs w:val="24"/>
        </w:rPr>
        <w:t xml:space="preserve">of nameplate capacity with a 15-year term and is expected to begin deliveries on March 1, 2026, and the second is </w:t>
      </w:r>
      <w:r w:rsidRPr="00941BC9" w:rsidR="00035E49">
        <w:rPr>
          <w:rFonts w:ascii="Palatino Linotype" w:hAnsi="Palatino Linotype"/>
          <w:sz w:val="24"/>
          <w:szCs w:val="24"/>
        </w:rPr>
        <w:t xml:space="preserve">between PG&amp;E and 174 Power Global </w:t>
      </w:r>
      <w:r w:rsidRPr="00941BC9" w:rsidR="006A3045">
        <w:rPr>
          <w:rFonts w:ascii="Palatino Linotype" w:hAnsi="Palatino Linotype"/>
          <w:sz w:val="24"/>
          <w:szCs w:val="24"/>
        </w:rPr>
        <w:t xml:space="preserve">for 200 </w:t>
      </w:r>
      <w:r w:rsidRPr="00941BC9" w:rsidR="00DC72F1">
        <w:rPr>
          <w:rFonts w:ascii="Palatino Linotype" w:hAnsi="Palatino Linotype"/>
          <w:sz w:val="24"/>
          <w:szCs w:val="24"/>
        </w:rPr>
        <w:t>MWs</w:t>
      </w:r>
      <w:r w:rsidRPr="00941BC9" w:rsidR="006A3045">
        <w:rPr>
          <w:rFonts w:ascii="Palatino Linotype" w:hAnsi="Palatino Linotype"/>
          <w:sz w:val="24"/>
          <w:szCs w:val="24"/>
        </w:rPr>
        <w:t xml:space="preserve"> of nameplate capacity with a 15-year term and is expected to begin deliveries on June 1, 2026. </w:t>
      </w:r>
      <w:r w:rsidRPr="00941BC9" w:rsidR="00B47DB9">
        <w:rPr>
          <w:rFonts w:ascii="Palatino Linotype" w:hAnsi="Palatino Linotype"/>
          <w:sz w:val="24"/>
          <w:szCs w:val="24"/>
        </w:rPr>
        <w:t>The contracts for which PG&amp;E seeks approval in Advice Letter (</w:t>
      </w:r>
      <w:r w:rsidRPr="00941BC9" w:rsidR="00C90C8E">
        <w:rPr>
          <w:rFonts w:ascii="Palatino Linotype" w:hAnsi="Palatino Linotype"/>
          <w:sz w:val="24"/>
          <w:szCs w:val="24"/>
        </w:rPr>
        <w:t>“</w:t>
      </w:r>
      <w:r w:rsidRPr="00941BC9" w:rsidR="00B47DB9">
        <w:rPr>
          <w:rFonts w:ascii="Palatino Linotype" w:hAnsi="Palatino Linotype"/>
          <w:sz w:val="24"/>
          <w:szCs w:val="24"/>
        </w:rPr>
        <w:t>AL</w:t>
      </w:r>
      <w:r w:rsidRPr="00941BC9" w:rsidR="00C90C8E">
        <w:rPr>
          <w:rFonts w:ascii="Palatino Linotype" w:hAnsi="Palatino Linotype"/>
          <w:sz w:val="24"/>
          <w:szCs w:val="24"/>
        </w:rPr>
        <w:t>”</w:t>
      </w:r>
      <w:r w:rsidRPr="00941BC9" w:rsidR="00B47DB9">
        <w:rPr>
          <w:rFonts w:ascii="Palatino Linotype" w:hAnsi="Palatino Linotype"/>
          <w:sz w:val="24"/>
          <w:szCs w:val="24"/>
        </w:rPr>
        <w:t xml:space="preserve">) 7299-E </w:t>
      </w:r>
      <w:r w:rsidRPr="00941BC9" w:rsidR="006C093F">
        <w:rPr>
          <w:rFonts w:ascii="Palatino Linotype" w:hAnsi="Palatino Linotype" w:cs="Arial"/>
          <w:sz w:val="24"/>
          <w:szCs w:val="24"/>
        </w:rPr>
        <w:t>are summarized in the table below</w:t>
      </w:r>
      <w:r w:rsidRPr="00941BC9" w:rsidR="002B0E49">
        <w:rPr>
          <w:rFonts w:ascii="Palatino Linotype" w:hAnsi="Palatino Linotype" w:cs="Arial"/>
          <w:sz w:val="24"/>
          <w:szCs w:val="24"/>
        </w:rPr>
        <w:t>:</w:t>
      </w:r>
    </w:p>
    <w:p w:rsidRPr="00941BC9" w:rsidR="009B07AE" w:rsidP="00683F72" w:rsidRDefault="009B07AE" w14:paraId="1D037A73" w14:textId="37AE4F71">
      <w:pPr>
        <w:autoSpaceDE w:val="0"/>
        <w:autoSpaceDN w:val="0"/>
        <w:adjustRightInd w:val="0"/>
        <w:spacing w:before="120" w:after="240"/>
        <w:rPr>
          <w:rFonts w:ascii="Palatino Linotype" w:hAnsi="Palatino Linotype"/>
          <w:b/>
          <w:bCs/>
          <w:noProof/>
          <w:sz w:val="24"/>
          <w:szCs w:val="24"/>
        </w:rPr>
      </w:pPr>
      <w:r w:rsidRPr="00941BC9">
        <w:rPr>
          <w:rFonts w:ascii="Palatino Linotype" w:hAnsi="Palatino Linotype" w:cs="Arial"/>
          <w:b/>
          <w:bCs/>
          <w:sz w:val="24"/>
          <w:szCs w:val="24"/>
        </w:rPr>
        <w:t xml:space="preserve">Table 1: </w:t>
      </w:r>
      <w:r w:rsidRPr="00941BC9" w:rsidR="000140A7">
        <w:rPr>
          <w:rFonts w:ascii="Palatino Linotype" w:hAnsi="Palatino Linotype" w:cs="Arial"/>
          <w:b/>
          <w:bCs/>
          <w:sz w:val="24"/>
          <w:szCs w:val="24"/>
        </w:rPr>
        <w:t>Summary of Power Purchase Agreements</w:t>
      </w:r>
    </w:p>
    <w:p w:rsidRPr="00941BC9" w:rsidR="00D8679E" w:rsidP="00683F72" w:rsidRDefault="003F0AB3" w14:paraId="5FFC78CB" w14:textId="4BBDF9A1">
      <w:pPr>
        <w:autoSpaceDE w:val="0"/>
        <w:autoSpaceDN w:val="0"/>
        <w:adjustRightInd w:val="0"/>
        <w:spacing w:after="240"/>
        <w:rPr>
          <w:rFonts w:ascii="Palatino Linotype" w:hAnsi="Palatino Linotype"/>
          <w:noProof/>
          <w:sz w:val="24"/>
          <w:szCs w:val="24"/>
        </w:rPr>
      </w:pPr>
      <w:r w:rsidRPr="00941BC9">
        <w:rPr>
          <w:rFonts w:ascii="Palatino Linotype" w:hAnsi="Palatino Linotype"/>
          <w:noProof/>
          <w:sz w:val="24"/>
          <w:szCs w:val="24"/>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8pt;height:158.25pt" o:ole="" type="#_x0000_t75">
            <v:imagedata o:title="" r:id="rId11"/>
          </v:shape>
        </w:pict>
      </w:r>
    </w:p>
    <w:p w:rsidRPr="00941BC9" w:rsidR="006A3045" w:rsidP="0063162E" w:rsidRDefault="00DC2F66" w14:paraId="5BF412C9" w14:textId="5D877DF0">
      <w:pPr>
        <w:autoSpaceDE w:val="0"/>
        <w:autoSpaceDN w:val="0"/>
        <w:adjustRightInd w:val="0"/>
        <w:spacing w:before="120"/>
        <w:rPr>
          <w:rFonts w:ascii="Palatino Linotype" w:hAnsi="Palatino Linotype"/>
          <w:sz w:val="24"/>
          <w:szCs w:val="24"/>
        </w:rPr>
      </w:pPr>
      <w:r w:rsidRPr="00941BC9">
        <w:rPr>
          <w:rFonts w:ascii="Palatino Linotype" w:hAnsi="Palatino Linotype"/>
          <w:sz w:val="24"/>
          <w:szCs w:val="24"/>
        </w:rPr>
        <w:t>As directed by D.21-06-035</w:t>
      </w:r>
      <w:r w:rsidRPr="00941BC9">
        <w:rPr>
          <w:rStyle w:val="FootnoteReference"/>
          <w:rFonts w:ascii="Palatino Linotype" w:hAnsi="Palatino Linotype"/>
          <w:sz w:val="24"/>
          <w:szCs w:val="24"/>
        </w:rPr>
        <w:footnoteReference w:id="2"/>
      </w:r>
      <w:r w:rsidRPr="00941BC9">
        <w:rPr>
          <w:rFonts w:ascii="Palatino Linotype" w:hAnsi="Palatino Linotype"/>
          <w:sz w:val="24"/>
          <w:szCs w:val="24"/>
        </w:rPr>
        <w:t xml:space="preserve">, PG&amp;E is requesting approval for these agreements and asks that they be counted toward PG&amp;E’s </w:t>
      </w:r>
      <w:r w:rsidRPr="00941BC9" w:rsidR="00DC72F1">
        <w:rPr>
          <w:rFonts w:ascii="Palatino Linotype" w:hAnsi="Palatino Linotype"/>
          <w:sz w:val="24"/>
          <w:szCs w:val="24"/>
        </w:rPr>
        <w:t>I</w:t>
      </w:r>
      <w:r w:rsidRPr="00941BC9">
        <w:rPr>
          <w:rFonts w:ascii="Palatino Linotype" w:hAnsi="Palatino Linotype"/>
          <w:sz w:val="24"/>
          <w:szCs w:val="24"/>
        </w:rPr>
        <w:t xml:space="preserve">ntegrated </w:t>
      </w:r>
      <w:r w:rsidRPr="00941BC9" w:rsidR="00DC72F1">
        <w:rPr>
          <w:rFonts w:ascii="Palatino Linotype" w:hAnsi="Palatino Linotype"/>
          <w:sz w:val="24"/>
          <w:szCs w:val="24"/>
        </w:rPr>
        <w:t>R</w:t>
      </w:r>
      <w:r w:rsidRPr="00941BC9">
        <w:rPr>
          <w:rFonts w:ascii="Palatino Linotype" w:hAnsi="Palatino Linotype"/>
          <w:sz w:val="24"/>
          <w:szCs w:val="24"/>
        </w:rPr>
        <w:t xml:space="preserve">esource </w:t>
      </w:r>
      <w:r w:rsidRPr="00941BC9" w:rsidR="00DC72F1">
        <w:rPr>
          <w:rFonts w:ascii="Palatino Linotype" w:hAnsi="Palatino Linotype"/>
          <w:sz w:val="24"/>
          <w:szCs w:val="24"/>
        </w:rPr>
        <w:t>P</w:t>
      </w:r>
      <w:r w:rsidRPr="00941BC9">
        <w:rPr>
          <w:rFonts w:ascii="Palatino Linotype" w:hAnsi="Palatino Linotype"/>
          <w:sz w:val="24"/>
          <w:szCs w:val="24"/>
        </w:rPr>
        <w:t>lan (</w:t>
      </w:r>
      <w:r w:rsidRPr="00941BC9" w:rsidR="00C90C8E">
        <w:rPr>
          <w:rFonts w:ascii="Palatino Linotype" w:hAnsi="Palatino Linotype"/>
          <w:sz w:val="24"/>
          <w:szCs w:val="24"/>
        </w:rPr>
        <w:t>“</w:t>
      </w:r>
      <w:r w:rsidRPr="00941BC9">
        <w:rPr>
          <w:rFonts w:ascii="Palatino Linotype" w:hAnsi="Palatino Linotype"/>
          <w:sz w:val="24"/>
          <w:szCs w:val="24"/>
        </w:rPr>
        <w:t>IRP</w:t>
      </w:r>
      <w:r w:rsidRPr="00941BC9" w:rsidR="00C90C8E">
        <w:rPr>
          <w:rFonts w:ascii="Palatino Linotype" w:hAnsi="Palatino Linotype"/>
          <w:sz w:val="24"/>
          <w:szCs w:val="24"/>
        </w:rPr>
        <w:t>”</w:t>
      </w:r>
      <w:r w:rsidRPr="00941BC9">
        <w:rPr>
          <w:rFonts w:ascii="Palatino Linotype" w:hAnsi="Palatino Linotype"/>
          <w:sz w:val="24"/>
          <w:szCs w:val="24"/>
        </w:rPr>
        <w:t>) and</w:t>
      </w:r>
      <w:r w:rsidRPr="00941BC9" w:rsidR="00C90C8E">
        <w:rPr>
          <w:rFonts w:ascii="Palatino Linotype" w:hAnsi="Palatino Linotype"/>
          <w:sz w:val="24"/>
          <w:szCs w:val="24"/>
        </w:rPr>
        <w:t xml:space="preserve"> Renewable Procurement Standard (“</w:t>
      </w:r>
      <w:r w:rsidRPr="00941BC9">
        <w:rPr>
          <w:rFonts w:ascii="Palatino Linotype" w:hAnsi="Palatino Linotype"/>
          <w:sz w:val="24"/>
          <w:szCs w:val="24"/>
        </w:rPr>
        <w:t>RPS</w:t>
      </w:r>
      <w:r w:rsidRPr="00941BC9" w:rsidR="00C90C8E">
        <w:rPr>
          <w:rFonts w:ascii="Palatino Linotype" w:hAnsi="Palatino Linotype"/>
          <w:sz w:val="24"/>
          <w:szCs w:val="24"/>
        </w:rPr>
        <w:t>”)</w:t>
      </w:r>
      <w:r w:rsidRPr="00941BC9">
        <w:rPr>
          <w:rFonts w:ascii="Palatino Linotype" w:hAnsi="Palatino Linotype"/>
          <w:sz w:val="24"/>
          <w:szCs w:val="24"/>
        </w:rPr>
        <w:t xml:space="preserve"> procurement goals. </w:t>
      </w:r>
      <w:r w:rsidRPr="00941BC9" w:rsidR="00035E49">
        <w:rPr>
          <w:rFonts w:ascii="Palatino Linotype" w:hAnsi="Palatino Linotype" w:cs="Arial"/>
          <w:sz w:val="24"/>
          <w:szCs w:val="24"/>
        </w:rPr>
        <w:t xml:space="preserve">These agreements include </w:t>
      </w:r>
      <w:r w:rsidRPr="00941BC9">
        <w:rPr>
          <w:rFonts w:ascii="Palatino Linotype" w:hAnsi="Palatino Linotype" w:cs="Arial"/>
          <w:sz w:val="24"/>
          <w:szCs w:val="24"/>
        </w:rPr>
        <w:t>technologies</w:t>
      </w:r>
      <w:r w:rsidRPr="00941BC9" w:rsidR="00035E49">
        <w:rPr>
          <w:rFonts w:ascii="Palatino Linotype" w:hAnsi="Palatino Linotype" w:cs="Arial"/>
          <w:sz w:val="24"/>
          <w:szCs w:val="24"/>
        </w:rPr>
        <w:t xml:space="preserve"> eligible to meet the RPS</w:t>
      </w:r>
      <w:r w:rsidRPr="00941BC9" w:rsidR="00840FC4">
        <w:rPr>
          <w:rFonts w:ascii="Palatino Linotype" w:hAnsi="Palatino Linotype" w:cs="Arial"/>
          <w:sz w:val="24"/>
          <w:szCs w:val="24"/>
        </w:rPr>
        <w:t xml:space="preserve">; </w:t>
      </w:r>
      <w:r w:rsidRPr="00941BC9" w:rsidR="00035E49">
        <w:rPr>
          <w:rFonts w:ascii="Palatino Linotype" w:hAnsi="Palatino Linotype" w:cs="Arial"/>
          <w:sz w:val="24"/>
          <w:szCs w:val="24"/>
        </w:rPr>
        <w:t xml:space="preserve">therefore, procurements under these agreements </w:t>
      </w:r>
      <w:r w:rsidRPr="00941BC9" w:rsidR="00035E49">
        <w:rPr>
          <w:rFonts w:ascii="Palatino Linotype" w:hAnsi="Palatino Linotype" w:cs="ArialMT"/>
          <w:sz w:val="24"/>
          <w:szCs w:val="24"/>
        </w:rPr>
        <w:t xml:space="preserve">will </w:t>
      </w:r>
      <w:r w:rsidRPr="00941BC9">
        <w:rPr>
          <w:rFonts w:ascii="Palatino Linotype" w:hAnsi="Palatino Linotype" w:cs="ArialMT"/>
          <w:sz w:val="24"/>
          <w:szCs w:val="24"/>
        </w:rPr>
        <w:t xml:space="preserve">likely </w:t>
      </w:r>
      <w:r w:rsidRPr="00941BC9" w:rsidR="00035E49">
        <w:rPr>
          <w:rFonts w:ascii="Palatino Linotype" w:hAnsi="Palatino Linotype" w:cs="ArialMT"/>
          <w:sz w:val="24"/>
          <w:szCs w:val="24"/>
        </w:rPr>
        <w:t xml:space="preserve">also contribute to PG&amp;E’s RPS </w:t>
      </w:r>
      <w:r w:rsidRPr="00941BC9" w:rsidR="00035E49">
        <w:rPr>
          <w:rFonts w:ascii="Palatino Linotype" w:hAnsi="Palatino Linotype" w:cs="Arial"/>
          <w:sz w:val="24"/>
          <w:szCs w:val="24"/>
        </w:rPr>
        <w:t xml:space="preserve">procurement requirements. </w:t>
      </w:r>
    </w:p>
    <w:p w:rsidRPr="00941BC9" w:rsidR="00CF17DE" w:rsidRDefault="00CF17DE" w14:paraId="0BFDDE4C" w14:textId="77777777">
      <w:pPr>
        <w:pStyle w:val="Heading1"/>
        <w:rPr>
          <w:rFonts w:ascii="Palatino Linotype" w:hAnsi="Palatino Linotype"/>
          <w:sz w:val="24"/>
          <w:szCs w:val="24"/>
        </w:rPr>
      </w:pPr>
      <w:r w:rsidRPr="00941BC9">
        <w:rPr>
          <w:rFonts w:ascii="Palatino Linotype" w:hAnsi="Palatino Linotype"/>
          <w:sz w:val="24"/>
          <w:szCs w:val="24"/>
        </w:rPr>
        <w:t>Background</w:t>
      </w:r>
    </w:p>
    <w:p w:rsidRPr="00941BC9" w:rsidR="00664006" w:rsidP="00664006" w:rsidRDefault="00664006" w14:paraId="49CCF8CE" w14:textId="407E13AF">
      <w:pPr>
        <w:rPr>
          <w:rFonts w:ascii="Palatino Linotype" w:hAnsi="Palatino Linotype"/>
          <w:b/>
          <w:bCs/>
          <w:sz w:val="24"/>
          <w:szCs w:val="24"/>
        </w:rPr>
      </w:pPr>
      <w:r w:rsidRPr="00941BC9">
        <w:rPr>
          <w:rFonts w:ascii="Palatino Linotype" w:hAnsi="Palatino Linotype"/>
          <w:b/>
          <w:bCs/>
          <w:sz w:val="24"/>
          <w:szCs w:val="24"/>
        </w:rPr>
        <w:t xml:space="preserve">Overview of Integrated Resource Planning (“IRP”) / Mid-Term Reliability </w:t>
      </w:r>
      <w:r w:rsidRPr="00941BC9" w:rsidR="00EE2C62">
        <w:rPr>
          <w:rFonts w:ascii="Palatino Linotype" w:hAnsi="Palatino Linotype"/>
          <w:b/>
          <w:bCs/>
          <w:sz w:val="24"/>
          <w:szCs w:val="24"/>
        </w:rPr>
        <w:t xml:space="preserve">(“MTR”) </w:t>
      </w:r>
      <w:r w:rsidRPr="00941BC9">
        <w:rPr>
          <w:rFonts w:ascii="Palatino Linotype" w:hAnsi="Palatino Linotype"/>
          <w:b/>
          <w:bCs/>
          <w:sz w:val="24"/>
          <w:szCs w:val="24"/>
        </w:rPr>
        <w:t>Requirements</w:t>
      </w:r>
    </w:p>
    <w:p w:rsidRPr="00941BC9" w:rsidR="00FE3764" w:rsidP="00FE3764" w:rsidRDefault="00FE3764" w14:paraId="1952F6AE" w14:textId="6BCE86C2">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 xml:space="preserve">On June 30, 2021, the Commission issued D.21-06-035, which takes </w:t>
      </w:r>
      <w:proofErr w:type="gramStart"/>
      <w:r w:rsidRPr="00941BC9">
        <w:rPr>
          <w:rFonts w:ascii="Palatino Linotype" w:hAnsi="Palatino Linotype" w:cs="Arial"/>
          <w:sz w:val="24"/>
          <w:szCs w:val="24"/>
        </w:rPr>
        <w:t>a number of</w:t>
      </w:r>
      <w:proofErr w:type="gramEnd"/>
      <w:r w:rsidRPr="00941BC9">
        <w:rPr>
          <w:rFonts w:ascii="Palatino Linotype" w:hAnsi="Palatino Linotype" w:cs="Arial"/>
          <w:sz w:val="24"/>
          <w:szCs w:val="24"/>
        </w:rPr>
        <w:t xml:space="preserve"> steps</w:t>
      </w:r>
    </w:p>
    <w:p w:rsidRPr="00941BC9" w:rsidR="00FE3764" w:rsidP="00FE3764" w:rsidRDefault="00FE3764" w14:paraId="1ECE2DAE" w14:textId="77777777">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 xml:space="preserve">to address the mid-term reliability needs of the electricity system within </w:t>
      </w:r>
      <w:proofErr w:type="gramStart"/>
      <w:r w:rsidRPr="00941BC9">
        <w:rPr>
          <w:rFonts w:ascii="Palatino Linotype" w:hAnsi="Palatino Linotype" w:cs="Arial"/>
          <w:sz w:val="24"/>
          <w:szCs w:val="24"/>
        </w:rPr>
        <w:t>the California</w:t>
      </w:r>
      <w:proofErr w:type="gramEnd"/>
    </w:p>
    <w:p w:rsidRPr="00941BC9" w:rsidR="00FE3764" w:rsidP="00FE3764" w:rsidRDefault="00FE3764" w14:paraId="66BB3617" w14:textId="138919DC">
      <w:pPr>
        <w:autoSpaceDE w:val="0"/>
        <w:autoSpaceDN w:val="0"/>
        <w:adjustRightInd w:val="0"/>
        <w:rPr>
          <w:rFonts w:ascii="Palatino Linotype" w:hAnsi="Palatino Linotype" w:cs="ArialMT"/>
          <w:sz w:val="24"/>
          <w:szCs w:val="24"/>
        </w:rPr>
      </w:pPr>
      <w:r w:rsidRPr="00941BC9">
        <w:rPr>
          <w:rFonts w:ascii="Palatino Linotype" w:hAnsi="Palatino Linotype" w:cs="ArialMT"/>
          <w:sz w:val="24"/>
          <w:szCs w:val="24"/>
        </w:rPr>
        <w:t>Independent System Operator Corporation’s (</w:t>
      </w:r>
      <w:r w:rsidRPr="00941BC9" w:rsidR="00C90C8E">
        <w:rPr>
          <w:rFonts w:ascii="Palatino Linotype" w:hAnsi="Palatino Linotype" w:cs="ArialMT"/>
          <w:sz w:val="24"/>
          <w:szCs w:val="24"/>
        </w:rPr>
        <w:t>“</w:t>
      </w:r>
      <w:r w:rsidRPr="00941BC9">
        <w:rPr>
          <w:rFonts w:ascii="Palatino Linotype" w:hAnsi="Palatino Linotype" w:cs="ArialMT"/>
          <w:sz w:val="24"/>
          <w:szCs w:val="24"/>
        </w:rPr>
        <w:t>CAISO</w:t>
      </w:r>
      <w:r w:rsidRPr="00941BC9" w:rsidR="00C90C8E">
        <w:rPr>
          <w:rFonts w:ascii="Palatino Linotype" w:hAnsi="Palatino Linotype" w:cs="ArialMT"/>
          <w:sz w:val="24"/>
          <w:szCs w:val="24"/>
        </w:rPr>
        <w:t>”</w:t>
      </w:r>
      <w:r w:rsidRPr="00941BC9">
        <w:rPr>
          <w:rFonts w:ascii="Palatino Linotype" w:hAnsi="Palatino Linotype" w:cs="ArialMT"/>
          <w:sz w:val="24"/>
          <w:szCs w:val="24"/>
        </w:rPr>
        <w:t>) operating system beginning in</w:t>
      </w:r>
    </w:p>
    <w:p w:rsidRPr="00941BC9" w:rsidR="00FE3764" w:rsidP="00FE3764" w:rsidRDefault="00FE3764" w14:paraId="05B30B60" w14:textId="655A6D35">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lastRenderedPageBreak/>
        <w:t xml:space="preserve">2023. D.21-06-035 requires incremental procurement of 11,500 MWs of additional </w:t>
      </w:r>
      <w:r w:rsidRPr="00941BC9" w:rsidR="00C90C8E">
        <w:rPr>
          <w:rFonts w:ascii="Palatino Linotype" w:hAnsi="Palatino Linotype" w:cs="Arial"/>
          <w:sz w:val="24"/>
          <w:szCs w:val="24"/>
        </w:rPr>
        <w:t>Net Qualifying Capacity (“</w:t>
      </w:r>
      <w:r w:rsidRPr="00941BC9">
        <w:rPr>
          <w:rFonts w:ascii="Palatino Linotype" w:hAnsi="Palatino Linotype" w:cs="Arial"/>
          <w:sz w:val="24"/>
          <w:szCs w:val="24"/>
        </w:rPr>
        <w:t>NQC</w:t>
      </w:r>
      <w:r w:rsidRPr="00941BC9" w:rsidR="00C90C8E">
        <w:rPr>
          <w:rFonts w:ascii="Palatino Linotype" w:hAnsi="Palatino Linotype" w:cs="Arial"/>
          <w:sz w:val="24"/>
          <w:szCs w:val="24"/>
        </w:rPr>
        <w:t>”)</w:t>
      </w:r>
      <w:r w:rsidRPr="00941BC9">
        <w:rPr>
          <w:rFonts w:ascii="Palatino Linotype" w:hAnsi="Palatino Linotype" w:cs="Arial"/>
          <w:sz w:val="24"/>
          <w:szCs w:val="24"/>
        </w:rPr>
        <w:t>,</w:t>
      </w:r>
      <w:r w:rsidRPr="00941BC9" w:rsidR="00C90C8E">
        <w:rPr>
          <w:rFonts w:ascii="Palatino Linotype" w:hAnsi="Palatino Linotype" w:cs="Arial"/>
          <w:sz w:val="24"/>
          <w:szCs w:val="24"/>
        </w:rPr>
        <w:t xml:space="preserve"> </w:t>
      </w:r>
      <w:r w:rsidRPr="00941BC9">
        <w:rPr>
          <w:rFonts w:ascii="Palatino Linotype" w:hAnsi="Palatino Linotype" w:cs="Arial"/>
          <w:sz w:val="24"/>
          <w:szCs w:val="24"/>
        </w:rPr>
        <w:t>of which PG&amp;E is responsible for 2,302 MWs for its bundled service customer portion.</w:t>
      </w:r>
    </w:p>
    <w:p w:rsidRPr="00941BC9" w:rsidR="00FE3764" w:rsidP="00FE3764" w:rsidRDefault="00FE3764" w14:paraId="40C806AA" w14:textId="77777777">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Further, D.21-06-035 requires that at least 2,000 MW are to be brought online by August</w:t>
      </w:r>
    </w:p>
    <w:p w:rsidRPr="00941BC9" w:rsidR="00FE3764" w:rsidP="00FE3764" w:rsidRDefault="00FE3764" w14:paraId="54B488B7" w14:textId="77777777">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1, 2023, an additional 6,000 MW by June 1, 2024, an additional 1,500 MW by June 1,</w:t>
      </w:r>
    </w:p>
    <w:p w:rsidRPr="00941BC9" w:rsidR="00FE3764" w:rsidP="00FE3764" w:rsidRDefault="00FE3764" w14:paraId="2CEDAFF8" w14:textId="77777777">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2025, and an additional 2,000 MW by June 1, 2026. D.21-06-035 requires that at least</w:t>
      </w:r>
    </w:p>
    <w:p w:rsidRPr="00941BC9" w:rsidR="00FE3764" w:rsidP="00FE3764" w:rsidRDefault="00FE3764" w14:paraId="35848E9E" w14:textId="399D3EFE">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2,500 MW of the resources procured by the Load Serving Entities (</w:t>
      </w:r>
      <w:r w:rsidRPr="00941BC9" w:rsidR="00C90C8E">
        <w:rPr>
          <w:rFonts w:ascii="Palatino Linotype" w:hAnsi="Palatino Linotype" w:cs="Arial"/>
          <w:sz w:val="24"/>
          <w:szCs w:val="24"/>
        </w:rPr>
        <w:t>“</w:t>
      </w:r>
      <w:r w:rsidRPr="00941BC9">
        <w:rPr>
          <w:rFonts w:ascii="Palatino Linotype" w:hAnsi="Palatino Linotype" w:cs="Arial"/>
          <w:sz w:val="24"/>
          <w:szCs w:val="24"/>
        </w:rPr>
        <w:t>LSEs</w:t>
      </w:r>
      <w:r w:rsidRPr="00941BC9" w:rsidR="00C90C8E">
        <w:rPr>
          <w:rFonts w:ascii="Palatino Linotype" w:hAnsi="Palatino Linotype" w:cs="Arial"/>
          <w:sz w:val="24"/>
          <w:szCs w:val="24"/>
        </w:rPr>
        <w:t>”</w:t>
      </w:r>
      <w:r w:rsidRPr="00941BC9">
        <w:rPr>
          <w:rFonts w:ascii="Palatino Linotype" w:hAnsi="Palatino Linotype" w:cs="Arial"/>
          <w:sz w:val="24"/>
          <w:szCs w:val="24"/>
        </w:rPr>
        <w:t>) collectively,</w:t>
      </w:r>
    </w:p>
    <w:p w:rsidRPr="00941BC9" w:rsidR="00FE3764" w:rsidP="00FE3764" w:rsidRDefault="00FE3764" w14:paraId="39600EDA" w14:textId="77777777">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between 2023 and 2025, be from zero emission resources that generate electricity, or</w:t>
      </w:r>
    </w:p>
    <w:p w:rsidRPr="00941BC9" w:rsidR="00FE3764" w:rsidP="00FE3764" w:rsidRDefault="00FE3764" w14:paraId="352697AA" w14:textId="77777777">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generation resources paired with storage, or demand response, to replace the current</w:t>
      </w:r>
    </w:p>
    <w:p w:rsidRPr="00941BC9" w:rsidR="00FE3764" w:rsidP="00963097" w:rsidRDefault="00FE3764" w14:paraId="07F04EDD" w14:textId="4D498B09">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supply of energy from the Diablo Canyon Power Plant (</w:t>
      </w:r>
      <w:r w:rsidRPr="00941BC9" w:rsidR="00C90C8E">
        <w:rPr>
          <w:rFonts w:ascii="Palatino Linotype" w:hAnsi="Palatino Linotype" w:cs="Arial"/>
          <w:sz w:val="24"/>
          <w:szCs w:val="24"/>
        </w:rPr>
        <w:t>“</w:t>
      </w:r>
      <w:r w:rsidRPr="00941BC9">
        <w:rPr>
          <w:rFonts w:ascii="Palatino Linotype" w:hAnsi="Palatino Linotype" w:cs="Arial"/>
          <w:sz w:val="24"/>
          <w:szCs w:val="24"/>
        </w:rPr>
        <w:t>DCPP</w:t>
      </w:r>
      <w:r w:rsidRPr="00941BC9" w:rsidR="00C90C8E">
        <w:rPr>
          <w:rFonts w:ascii="Palatino Linotype" w:hAnsi="Palatino Linotype" w:cs="Arial"/>
          <w:sz w:val="24"/>
          <w:szCs w:val="24"/>
        </w:rPr>
        <w:t>”</w:t>
      </w:r>
      <w:r w:rsidRPr="00941BC9">
        <w:rPr>
          <w:rFonts w:ascii="Palatino Linotype" w:hAnsi="Palatino Linotype" w:cs="Arial"/>
          <w:sz w:val="24"/>
          <w:szCs w:val="24"/>
        </w:rPr>
        <w:t>) and ensure there would</w:t>
      </w:r>
      <w:r w:rsidRPr="00941BC9" w:rsidR="00A639E3">
        <w:rPr>
          <w:rFonts w:ascii="Palatino Linotype" w:hAnsi="Palatino Linotype" w:cs="Arial"/>
          <w:sz w:val="24"/>
          <w:szCs w:val="24"/>
        </w:rPr>
        <w:t xml:space="preserve"> </w:t>
      </w:r>
      <w:r w:rsidRPr="00941BC9">
        <w:rPr>
          <w:rFonts w:ascii="Palatino Linotype" w:hAnsi="Palatino Linotype" w:cs="Arial"/>
          <w:sz w:val="24"/>
          <w:szCs w:val="24"/>
        </w:rPr>
        <w:t>be no resultant increase in greenhouse gas (</w:t>
      </w:r>
      <w:r w:rsidRPr="00941BC9" w:rsidR="00C90C8E">
        <w:rPr>
          <w:rFonts w:ascii="Palatino Linotype" w:hAnsi="Palatino Linotype" w:cs="Arial"/>
          <w:sz w:val="24"/>
          <w:szCs w:val="24"/>
        </w:rPr>
        <w:t>“</w:t>
      </w:r>
      <w:r w:rsidRPr="00941BC9">
        <w:rPr>
          <w:rFonts w:ascii="Palatino Linotype" w:hAnsi="Palatino Linotype" w:cs="Arial"/>
          <w:sz w:val="24"/>
          <w:szCs w:val="24"/>
        </w:rPr>
        <w:t>GHG</w:t>
      </w:r>
      <w:r w:rsidRPr="00941BC9" w:rsidR="00C90C8E">
        <w:rPr>
          <w:rFonts w:ascii="Palatino Linotype" w:hAnsi="Palatino Linotype" w:cs="Arial"/>
          <w:sz w:val="24"/>
          <w:szCs w:val="24"/>
        </w:rPr>
        <w:t>”</w:t>
      </w:r>
      <w:r w:rsidRPr="00941BC9">
        <w:rPr>
          <w:rFonts w:ascii="Palatino Linotype" w:hAnsi="Palatino Linotype" w:cs="Arial"/>
          <w:sz w:val="24"/>
          <w:szCs w:val="24"/>
        </w:rPr>
        <w:t>) emissions with its retirement.</w:t>
      </w:r>
    </w:p>
    <w:p w:rsidRPr="00941BC9" w:rsidR="00840FC4" w:rsidP="00840FC4" w:rsidRDefault="00840FC4" w14:paraId="6110A53C" w14:textId="77777777">
      <w:pPr>
        <w:autoSpaceDE w:val="0"/>
        <w:autoSpaceDN w:val="0"/>
        <w:adjustRightInd w:val="0"/>
        <w:rPr>
          <w:rFonts w:ascii="Palatino Linotype" w:hAnsi="Palatino Linotype" w:cs="Arial"/>
          <w:sz w:val="24"/>
          <w:szCs w:val="24"/>
        </w:rPr>
      </w:pPr>
    </w:p>
    <w:p w:rsidRPr="00941BC9" w:rsidR="00840FC4" w:rsidP="00840FC4" w:rsidRDefault="00840FC4" w14:paraId="72B046C2" w14:textId="54BFE713">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On February 28, 2023, the Commission issued D.23-02-040 to take additional measures to address the mid-term reliability needs within the CAISO operating system</w:t>
      </w:r>
    </w:p>
    <w:p w:rsidRPr="00941BC9" w:rsidR="00840FC4" w:rsidP="00840FC4" w:rsidRDefault="00840FC4" w14:paraId="25E876A9" w14:textId="5ACF3819">
      <w:pPr>
        <w:autoSpaceDE w:val="0"/>
        <w:autoSpaceDN w:val="0"/>
        <w:adjustRightInd w:val="0"/>
        <w:rPr>
          <w:rFonts w:ascii="Palatino Linotype" w:hAnsi="Palatino Linotype"/>
          <w:b/>
          <w:sz w:val="24"/>
          <w:szCs w:val="24"/>
        </w:rPr>
      </w:pPr>
      <w:r w:rsidRPr="00941BC9">
        <w:rPr>
          <w:rFonts w:ascii="Palatino Linotype" w:hAnsi="Palatino Linotype" w:cs="Arial"/>
          <w:sz w:val="24"/>
          <w:szCs w:val="24"/>
        </w:rPr>
        <w:t xml:space="preserve">for 2026 and 2027. The decision requires supplemental mid-term reliability procurement of a total of 4,000 MW of NQC in addition to the 11,500 MW ordered </w:t>
      </w:r>
      <w:proofErr w:type="gramStart"/>
      <w:r w:rsidRPr="00941BC9">
        <w:rPr>
          <w:rFonts w:ascii="Palatino Linotype" w:hAnsi="Palatino Linotype" w:cs="Arial"/>
          <w:sz w:val="24"/>
          <w:szCs w:val="24"/>
        </w:rPr>
        <w:t>in</w:t>
      </w:r>
      <w:proofErr w:type="gramEnd"/>
      <w:r w:rsidRPr="00941BC9">
        <w:rPr>
          <w:rFonts w:ascii="Palatino Linotype" w:hAnsi="Palatino Linotype" w:cs="Arial"/>
          <w:sz w:val="24"/>
          <w:szCs w:val="24"/>
        </w:rPr>
        <w:t xml:space="preserve"> D.21-06-035. The additional ordered procurement is for 2026 and 2027. Also, the requirements for procurement of long lead-time resources from D.21-06-035 are automatically postponed to 2028.</w:t>
      </w:r>
    </w:p>
    <w:p w:rsidRPr="00941BC9" w:rsidR="00E53E96" w:rsidP="00054A06" w:rsidRDefault="00E53E96" w14:paraId="189AF2A9" w14:textId="3594BB76">
      <w:pPr>
        <w:spacing w:before="120" w:after="240"/>
        <w:rPr>
          <w:rFonts w:ascii="Palatino Linotype" w:hAnsi="Palatino Linotype"/>
          <w:sz w:val="24"/>
          <w:szCs w:val="24"/>
        </w:rPr>
      </w:pPr>
      <w:r w:rsidRPr="00941BC9">
        <w:rPr>
          <w:rFonts w:ascii="Palatino Linotype" w:hAnsi="Palatino Linotype"/>
          <w:b/>
          <w:sz w:val="24"/>
          <w:szCs w:val="24"/>
        </w:rPr>
        <w:t>Overview of the Renewable Portfolio Standard (“RPS”) Program Requirements</w:t>
      </w:r>
    </w:p>
    <w:p w:rsidRPr="00941BC9" w:rsidR="00E53E96" w:rsidP="00E53E96" w:rsidRDefault="00E53E96" w14:paraId="0B5C03D5" w14:textId="088A0C6F">
      <w:pPr>
        <w:rPr>
          <w:rFonts w:ascii="Palatino Linotype" w:hAnsi="Palatino Linotype"/>
          <w:color w:val="4F81BD" w:themeColor="accent1"/>
          <w:sz w:val="24"/>
          <w:szCs w:val="24"/>
        </w:rPr>
      </w:pPr>
      <w:r w:rsidRPr="00941BC9">
        <w:rPr>
          <w:rFonts w:ascii="Palatino Linotype" w:hAnsi="Palatino Linotype"/>
          <w:sz w:val="24"/>
          <w:szCs w:val="24"/>
        </w:rPr>
        <w:t>The California RPS program was established by Senate Bill (“SB”) 1078, and has been subsequently modified by SB 107, SB 1036, SB 2 (1X), SB 350 and SB 100.</w:t>
      </w:r>
      <w:r w:rsidRPr="00941BC9">
        <w:rPr>
          <w:rFonts w:ascii="Palatino Linotype" w:hAnsi="Palatino Linotype"/>
          <w:sz w:val="24"/>
          <w:szCs w:val="24"/>
          <w:vertAlign w:val="superscript"/>
        </w:rPr>
        <w:footnoteReference w:id="3"/>
      </w:r>
      <w:r w:rsidRPr="00941BC9">
        <w:rPr>
          <w:rFonts w:ascii="Palatino Linotype" w:hAnsi="Palatino Linotype"/>
          <w:sz w:val="24"/>
          <w:szCs w:val="24"/>
        </w:rPr>
        <w:t xml:space="preserve">  The RPS program is codified in Public Utilities Code Sections 399.11-399.33.</w:t>
      </w:r>
      <w:r w:rsidRPr="00941BC9">
        <w:rPr>
          <w:rFonts w:ascii="Palatino Linotype" w:hAnsi="Palatino Linotype"/>
          <w:sz w:val="24"/>
          <w:szCs w:val="24"/>
          <w:vertAlign w:val="superscript"/>
        </w:rPr>
        <w:footnoteReference w:id="4"/>
      </w:r>
      <w:r w:rsidRPr="00941BC9">
        <w:rPr>
          <w:rFonts w:ascii="Palatino Linotype" w:hAnsi="Palatino Linotype"/>
          <w:sz w:val="24"/>
          <w:szCs w:val="24"/>
        </w:rPr>
        <w:t xml:space="preserve">  </w:t>
      </w:r>
    </w:p>
    <w:p w:rsidRPr="00941BC9" w:rsidR="00E53E96" w:rsidP="00690C2B" w:rsidRDefault="00E53E96" w14:paraId="2ED0F54E" w14:textId="0C7CCFCE">
      <w:pPr>
        <w:keepLines/>
        <w:spacing w:before="120"/>
        <w:rPr>
          <w:rFonts w:ascii="Palatino Linotype" w:hAnsi="Palatino Linotype"/>
          <w:sz w:val="24"/>
          <w:szCs w:val="24"/>
        </w:rPr>
      </w:pPr>
      <w:r w:rsidRPr="00941BC9">
        <w:rPr>
          <w:rFonts w:ascii="Palatino Linotype" w:hAnsi="Palatino Linotype"/>
          <w:sz w:val="24"/>
          <w:szCs w:val="24"/>
        </w:rPr>
        <w:t xml:space="preserve">The RPS program administered by the </w:t>
      </w:r>
      <w:r w:rsidRPr="00941BC9" w:rsidR="009066D8">
        <w:rPr>
          <w:rFonts w:ascii="Palatino Linotype" w:hAnsi="Palatino Linotype"/>
          <w:sz w:val="24"/>
          <w:szCs w:val="24"/>
        </w:rPr>
        <w:t>California P</w:t>
      </w:r>
      <w:r w:rsidRPr="00941BC9" w:rsidR="00885E97">
        <w:rPr>
          <w:rFonts w:ascii="Palatino Linotype" w:hAnsi="Palatino Linotype"/>
          <w:sz w:val="24"/>
          <w:szCs w:val="24"/>
        </w:rPr>
        <w:t>ublic Utilities Commission</w:t>
      </w:r>
      <w:r w:rsidRPr="00941BC9" w:rsidR="00FA6202">
        <w:rPr>
          <w:rFonts w:ascii="Palatino Linotype" w:hAnsi="Palatino Linotype"/>
          <w:sz w:val="24"/>
          <w:szCs w:val="24"/>
        </w:rPr>
        <w:t xml:space="preserve"> (“</w:t>
      </w:r>
      <w:r w:rsidRPr="00941BC9">
        <w:rPr>
          <w:rFonts w:ascii="Palatino Linotype" w:hAnsi="Palatino Linotype"/>
          <w:sz w:val="24"/>
          <w:szCs w:val="24"/>
        </w:rPr>
        <w:t>CPUC</w:t>
      </w:r>
      <w:r w:rsidRPr="00941BC9" w:rsidR="00FA6202">
        <w:rPr>
          <w:rFonts w:ascii="Palatino Linotype" w:hAnsi="Palatino Linotype"/>
          <w:sz w:val="24"/>
          <w:szCs w:val="24"/>
        </w:rPr>
        <w:t>”)</w:t>
      </w:r>
      <w:r w:rsidRPr="00941BC9">
        <w:rPr>
          <w:rFonts w:ascii="Palatino Linotype" w:hAnsi="Palatino Linotype"/>
          <w:sz w:val="24"/>
          <w:szCs w:val="24"/>
        </w:rPr>
        <w:t xml:space="preserve"> requires each retail seller of electricity to procure eligible renewable energy resources so that the amount of electricity generated from eligible renewable resources equals </w:t>
      </w:r>
      <w:r w:rsidR="00941BC9">
        <w:rPr>
          <w:rFonts w:ascii="Palatino Linotype" w:hAnsi="Palatino Linotype"/>
          <w:sz w:val="24"/>
          <w:szCs w:val="24"/>
        </w:rPr>
        <w:br/>
      </w:r>
      <w:r w:rsidRPr="00941BC9">
        <w:rPr>
          <w:rFonts w:ascii="Palatino Linotype" w:hAnsi="Palatino Linotype"/>
          <w:sz w:val="24"/>
          <w:szCs w:val="24"/>
        </w:rPr>
        <w:t>60 percent of retail sales by December 31, 2030.</w:t>
      </w:r>
      <w:r w:rsidRPr="00941BC9">
        <w:rPr>
          <w:rFonts w:ascii="Palatino Linotype" w:hAnsi="Palatino Linotype"/>
          <w:sz w:val="24"/>
          <w:szCs w:val="24"/>
          <w:vertAlign w:val="superscript"/>
        </w:rPr>
        <w:footnoteReference w:id="5"/>
      </w:r>
    </w:p>
    <w:p w:rsidRPr="00941BC9" w:rsidR="00E53E96" w:rsidP="00751F03" w:rsidRDefault="00E53E96" w14:paraId="64A2861C" w14:textId="3567E2B4">
      <w:pPr>
        <w:spacing w:after="240"/>
        <w:rPr>
          <w:rFonts w:ascii="Palatino Linotype" w:hAnsi="Palatino Linotype"/>
          <w:sz w:val="24"/>
          <w:szCs w:val="24"/>
        </w:rPr>
      </w:pPr>
      <w:r w:rsidRPr="00941BC9">
        <w:rPr>
          <w:rFonts w:ascii="Palatino Linotype" w:hAnsi="Palatino Linotype"/>
          <w:sz w:val="24"/>
          <w:szCs w:val="24"/>
        </w:rPr>
        <w:lastRenderedPageBreak/>
        <w:t xml:space="preserve">Additional background information about the CPUC’s RPS </w:t>
      </w:r>
      <w:r w:rsidRPr="00941BC9" w:rsidR="001C2DEB">
        <w:rPr>
          <w:rFonts w:ascii="Palatino Linotype" w:hAnsi="Palatino Linotype"/>
          <w:sz w:val="24"/>
          <w:szCs w:val="24"/>
        </w:rPr>
        <w:t>Program</w:t>
      </w:r>
      <w:r w:rsidRPr="00941BC9">
        <w:rPr>
          <w:rFonts w:ascii="Palatino Linotype" w:hAnsi="Palatino Linotype"/>
          <w:sz w:val="24"/>
          <w:szCs w:val="24"/>
        </w:rPr>
        <w:t xml:space="preserve"> is available at </w:t>
      </w:r>
      <w:hyperlink w:history="1" r:id="rId13">
        <w:r w:rsidRPr="00941BC9">
          <w:rPr>
            <w:rStyle w:val="Hyperlink"/>
            <w:rFonts w:ascii="Palatino Linotype" w:hAnsi="Palatino Linotype"/>
            <w:bCs/>
            <w:sz w:val="24"/>
            <w:szCs w:val="24"/>
          </w:rPr>
          <w:t>http://www.cpuc.ca.gov/PUC/energy/Renewables/overview.htm</w:t>
        </w:r>
      </w:hyperlink>
      <w:r w:rsidRPr="00941BC9">
        <w:rPr>
          <w:rStyle w:val="Hyperlink"/>
          <w:rFonts w:ascii="Palatino Linotype" w:hAnsi="Palatino Linotype"/>
          <w:bCs/>
          <w:sz w:val="24"/>
          <w:szCs w:val="24"/>
        </w:rPr>
        <w:t>.</w:t>
      </w:r>
    </w:p>
    <w:p w:rsidRPr="00941BC9" w:rsidR="00CF17DE" w:rsidP="000718DD" w:rsidRDefault="00BD6558" w14:paraId="66788129" w14:textId="1DA64F21">
      <w:pPr>
        <w:pStyle w:val="Heading1"/>
        <w:rPr>
          <w:rFonts w:ascii="Palatino Linotype" w:hAnsi="Palatino Linotype"/>
          <w:sz w:val="24"/>
          <w:szCs w:val="24"/>
        </w:rPr>
      </w:pPr>
      <w:r w:rsidRPr="00941BC9">
        <w:rPr>
          <w:rFonts w:ascii="Palatino Linotype" w:hAnsi="Palatino Linotype"/>
          <w:sz w:val="24"/>
          <w:szCs w:val="24"/>
        </w:rPr>
        <w:t>N</w:t>
      </w:r>
      <w:r w:rsidRPr="00941BC9" w:rsidR="00394B3A">
        <w:rPr>
          <w:rFonts w:ascii="Palatino Linotype" w:hAnsi="Palatino Linotype"/>
          <w:sz w:val="24"/>
          <w:szCs w:val="24"/>
        </w:rPr>
        <w:t>otice</w:t>
      </w:r>
    </w:p>
    <w:p w:rsidRPr="00941BC9" w:rsidR="00CF17DE" w:rsidRDefault="00CF17DE" w14:paraId="37FFE207" w14:textId="27ABF7AF">
      <w:pPr>
        <w:rPr>
          <w:rFonts w:ascii="Palatino Linotype" w:hAnsi="Palatino Linotype"/>
          <w:sz w:val="24"/>
          <w:szCs w:val="24"/>
        </w:rPr>
      </w:pPr>
      <w:r w:rsidRPr="00941BC9">
        <w:rPr>
          <w:rFonts w:ascii="Palatino Linotype" w:hAnsi="Palatino Linotype"/>
          <w:sz w:val="24"/>
          <w:szCs w:val="24"/>
        </w:rPr>
        <w:t xml:space="preserve">Notice of AL </w:t>
      </w:r>
      <w:r w:rsidRPr="00941BC9" w:rsidR="00DD3F85">
        <w:rPr>
          <w:rFonts w:ascii="Palatino Linotype" w:hAnsi="Palatino Linotype"/>
          <w:sz w:val="24"/>
          <w:szCs w:val="24"/>
        </w:rPr>
        <w:t>7299-E</w:t>
      </w:r>
      <w:r w:rsidRPr="00941BC9">
        <w:rPr>
          <w:rFonts w:ascii="Palatino Linotype" w:hAnsi="Palatino Linotype"/>
          <w:sz w:val="24"/>
          <w:szCs w:val="24"/>
        </w:rPr>
        <w:t xml:space="preserve"> was made by publication in the Commission’s Daily Calendar.  </w:t>
      </w:r>
      <w:r w:rsidRPr="00941BC9" w:rsidR="00DD3F85">
        <w:rPr>
          <w:rFonts w:ascii="Palatino Linotype" w:hAnsi="Palatino Linotype"/>
          <w:sz w:val="24"/>
          <w:szCs w:val="24"/>
        </w:rPr>
        <w:t>PG&amp;E</w:t>
      </w:r>
      <w:r w:rsidRPr="00941BC9">
        <w:rPr>
          <w:rFonts w:ascii="Palatino Linotype" w:hAnsi="Palatino Linotype"/>
          <w:sz w:val="24"/>
          <w:szCs w:val="24"/>
        </w:rPr>
        <w:t xml:space="preserve"> states that a copy of the Advice Letter was mailed and distributed in accordance with Sec</w:t>
      </w:r>
      <w:r w:rsidRPr="00941BC9" w:rsidR="00A1526C">
        <w:rPr>
          <w:rFonts w:ascii="Palatino Linotype" w:hAnsi="Palatino Linotype"/>
          <w:sz w:val="24"/>
          <w:szCs w:val="24"/>
        </w:rPr>
        <w:t xml:space="preserve">tion </w:t>
      </w:r>
      <w:r w:rsidRPr="00941BC9" w:rsidR="0069631C">
        <w:rPr>
          <w:rFonts w:ascii="Palatino Linotype" w:hAnsi="Palatino Linotype"/>
          <w:sz w:val="24"/>
          <w:szCs w:val="24"/>
        </w:rPr>
        <w:t>4</w:t>
      </w:r>
      <w:r w:rsidRPr="00941BC9" w:rsidR="00E928CF">
        <w:rPr>
          <w:rFonts w:ascii="Palatino Linotype" w:hAnsi="Palatino Linotype"/>
          <w:sz w:val="24"/>
          <w:szCs w:val="24"/>
        </w:rPr>
        <w:t xml:space="preserve"> of General Order 96-B</w:t>
      </w:r>
      <w:r w:rsidRPr="00941BC9">
        <w:rPr>
          <w:rFonts w:ascii="Palatino Linotype" w:hAnsi="Palatino Linotype"/>
          <w:sz w:val="24"/>
          <w:szCs w:val="24"/>
        </w:rPr>
        <w:t>.</w:t>
      </w:r>
    </w:p>
    <w:p w:rsidRPr="00941BC9" w:rsidR="00CF17DE" w:rsidRDefault="00CF17DE" w14:paraId="7F509E4C" w14:textId="77777777">
      <w:pPr>
        <w:pStyle w:val="Heading1"/>
        <w:rPr>
          <w:rFonts w:ascii="Palatino Linotype" w:hAnsi="Palatino Linotype"/>
          <w:sz w:val="24"/>
          <w:szCs w:val="24"/>
        </w:rPr>
      </w:pPr>
      <w:r w:rsidRPr="00941BC9">
        <w:rPr>
          <w:rFonts w:ascii="Palatino Linotype" w:hAnsi="Palatino Linotype"/>
          <w:sz w:val="24"/>
          <w:szCs w:val="24"/>
        </w:rPr>
        <w:t>Protests</w:t>
      </w:r>
    </w:p>
    <w:p w:rsidRPr="00941BC9" w:rsidR="00CF17DE" w:rsidP="00FC1428" w:rsidRDefault="00CF17DE" w14:paraId="52D5B761" w14:textId="0D13D01E">
      <w:pPr>
        <w:spacing w:before="120" w:after="240"/>
        <w:rPr>
          <w:rFonts w:ascii="Palatino Linotype" w:hAnsi="Palatino Linotype"/>
          <w:sz w:val="24"/>
          <w:szCs w:val="24"/>
        </w:rPr>
      </w:pPr>
      <w:r w:rsidRPr="00941BC9">
        <w:rPr>
          <w:rFonts w:ascii="Palatino Linotype" w:hAnsi="Palatino Linotype"/>
          <w:sz w:val="24"/>
          <w:szCs w:val="24"/>
        </w:rPr>
        <w:t xml:space="preserve">Advice Letter </w:t>
      </w:r>
      <w:r w:rsidRPr="00941BC9" w:rsidR="00A86053">
        <w:rPr>
          <w:rFonts w:ascii="Palatino Linotype" w:hAnsi="Palatino Linotype"/>
          <w:sz w:val="24"/>
          <w:szCs w:val="24"/>
        </w:rPr>
        <w:t>7299-E</w:t>
      </w:r>
      <w:r w:rsidRPr="00941BC9">
        <w:rPr>
          <w:rFonts w:ascii="Palatino Linotype" w:hAnsi="Palatino Linotype"/>
          <w:sz w:val="24"/>
          <w:szCs w:val="24"/>
        </w:rPr>
        <w:t xml:space="preserve"> was</w:t>
      </w:r>
      <w:r w:rsidRPr="00941BC9" w:rsidR="00A86053">
        <w:rPr>
          <w:rFonts w:ascii="Palatino Linotype" w:hAnsi="Palatino Linotype"/>
          <w:sz w:val="24"/>
          <w:szCs w:val="24"/>
        </w:rPr>
        <w:t xml:space="preserve"> not</w:t>
      </w:r>
      <w:r w:rsidRPr="00941BC9">
        <w:rPr>
          <w:rFonts w:ascii="Palatino Linotype" w:hAnsi="Palatino Linotype"/>
          <w:sz w:val="24"/>
          <w:szCs w:val="24"/>
        </w:rPr>
        <w:t xml:space="preserve"> protested.  </w:t>
      </w:r>
    </w:p>
    <w:p w:rsidRPr="00941BC9" w:rsidR="00CF17DE" w:rsidRDefault="00CF17DE" w14:paraId="23E10AE5" w14:textId="77777777">
      <w:pPr>
        <w:pStyle w:val="Heading1"/>
        <w:rPr>
          <w:rFonts w:ascii="Palatino Linotype" w:hAnsi="Palatino Linotype"/>
          <w:sz w:val="24"/>
          <w:szCs w:val="24"/>
        </w:rPr>
      </w:pPr>
      <w:r w:rsidRPr="00941BC9">
        <w:rPr>
          <w:rFonts w:ascii="Palatino Linotype" w:hAnsi="Palatino Linotype"/>
          <w:sz w:val="24"/>
          <w:szCs w:val="24"/>
        </w:rPr>
        <w:t>Discussion</w:t>
      </w:r>
    </w:p>
    <w:p w:rsidRPr="00941BC9" w:rsidR="00A648F7" w:rsidP="005D5893" w:rsidRDefault="005D5893" w14:paraId="6902A095" w14:textId="0D042A56">
      <w:pPr>
        <w:rPr>
          <w:rFonts w:ascii="Palatino Linotype" w:hAnsi="Palatino Linotype"/>
          <w:b/>
          <w:bCs/>
          <w:sz w:val="24"/>
          <w:szCs w:val="24"/>
        </w:rPr>
      </w:pPr>
      <w:r w:rsidRPr="00941BC9">
        <w:rPr>
          <w:rFonts w:ascii="Palatino Linotype" w:hAnsi="Palatino Linotype"/>
          <w:b/>
          <w:bCs/>
          <w:sz w:val="24"/>
          <w:szCs w:val="24"/>
        </w:rPr>
        <w:t>PG&amp;E requests approval of two Mid-Term Reliability</w:t>
      </w:r>
      <w:r w:rsidRPr="00941BC9" w:rsidR="00EE2C62">
        <w:rPr>
          <w:rFonts w:ascii="Palatino Linotype" w:hAnsi="Palatino Linotype"/>
          <w:b/>
          <w:bCs/>
          <w:sz w:val="24"/>
          <w:szCs w:val="24"/>
        </w:rPr>
        <w:t xml:space="preserve"> (MTR)</w:t>
      </w:r>
      <w:r w:rsidRPr="00941BC9">
        <w:rPr>
          <w:rFonts w:ascii="Palatino Linotype" w:hAnsi="Palatino Linotype"/>
          <w:b/>
          <w:bCs/>
          <w:sz w:val="24"/>
          <w:szCs w:val="24"/>
        </w:rPr>
        <w:t xml:space="preserve"> Renewable Resource Contracts</w:t>
      </w:r>
      <w:r w:rsidRPr="00941BC9" w:rsidR="00311345">
        <w:rPr>
          <w:rFonts w:ascii="Palatino Linotype" w:hAnsi="Palatino Linotype"/>
          <w:b/>
          <w:bCs/>
          <w:sz w:val="24"/>
          <w:szCs w:val="24"/>
        </w:rPr>
        <w:t>.</w:t>
      </w:r>
    </w:p>
    <w:p w:rsidRPr="00941BC9" w:rsidR="005D5893" w:rsidP="005D5893" w:rsidRDefault="005D5893" w14:paraId="63AD85A5" w14:textId="77777777">
      <w:pPr>
        <w:jc w:val="right"/>
        <w:rPr>
          <w:rFonts w:ascii="Palatino Linotype" w:hAnsi="Palatino Linotype"/>
          <w:b/>
          <w:bCs/>
          <w:sz w:val="24"/>
          <w:szCs w:val="24"/>
        </w:rPr>
      </w:pPr>
    </w:p>
    <w:p w:rsidRPr="00941BC9" w:rsidR="00B04FBD" w:rsidP="000F4989" w:rsidRDefault="009F34B4" w14:paraId="15F9AAE4" w14:textId="39832463">
      <w:pPr>
        <w:spacing w:after="240"/>
        <w:rPr>
          <w:rFonts w:ascii="Palatino Linotype" w:hAnsi="Palatino Linotype"/>
          <w:sz w:val="24"/>
          <w:szCs w:val="24"/>
        </w:rPr>
      </w:pPr>
      <w:r w:rsidRPr="00941BC9">
        <w:rPr>
          <w:rFonts w:ascii="Palatino Linotype" w:hAnsi="Palatino Linotype"/>
          <w:sz w:val="24"/>
          <w:szCs w:val="24"/>
        </w:rPr>
        <w:t xml:space="preserve">In AL 7299-E </w:t>
      </w:r>
      <w:r w:rsidRPr="00941BC9" w:rsidR="00B04FBD">
        <w:rPr>
          <w:rFonts w:ascii="Palatino Linotype" w:hAnsi="Palatino Linotype"/>
          <w:sz w:val="24"/>
          <w:szCs w:val="24"/>
        </w:rPr>
        <w:t xml:space="preserve">PG&amp;E </w:t>
      </w:r>
      <w:r w:rsidRPr="00941BC9" w:rsidR="00A053C8">
        <w:rPr>
          <w:rFonts w:ascii="Palatino Linotype" w:hAnsi="Palatino Linotype"/>
          <w:sz w:val="24"/>
          <w:szCs w:val="24"/>
        </w:rPr>
        <w:t>requests</w:t>
      </w:r>
      <w:r w:rsidRPr="00941BC9" w:rsidR="00B04FBD">
        <w:rPr>
          <w:rFonts w:ascii="Palatino Linotype" w:hAnsi="Palatino Linotype"/>
          <w:sz w:val="24"/>
          <w:szCs w:val="24"/>
        </w:rPr>
        <w:t xml:space="preserve"> to procure generation </w:t>
      </w:r>
      <w:r w:rsidRPr="00941BC9" w:rsidR="00A053C8">
        <w:rPr>
          <w:rFonts w:ascii="Palatino Linotype" w:hAnsi="Palatino Linotype"/>
          <w:sz w:val="24"/>
          <w:szCs w:val="24"/>
        </w:rPr>
        <w:t xml:space="preserve">from </w:t>
      </w:r>
      <w:r w:rsidRPr="00941BC9" w:rsidR="00B04FBD">
        <w:rPr>
          <w:rFonts w:ascii="Palatino Linotype" w:hAnsi="Palatino Linotype"/>
          <w:sz w:val="24"/>
          <w:szCs w:val="24"/>
        </w:rPr>
        <w:t xml:space="preserve">RPS-eligible projects and pair the generation of the projects with Commission-approved standalone storage resources to enable the MWs to be qualified toward the zero emissions procurement requirements of OP 6 of D.21-06-35. The projects </w:t>
      </w:r>
      <w:r w:rsidRPr="00941BC9" w:rsidR="00884FAE">
        <w:rPr>
          <w:rFonts w:ascii="Palatino Linotype" w:hAnsi="Palatino Linotype"/>
          <w:sz w:val="24"/>
          <w:szCs w:val="24"/>
        </w:rPr>
        <w:t>are also</w:t>
      </w:r>
      <w:r w:rsidRPr="00941BC9">
        <w:rPr>
          <w:rFonts w:ascii="Palatino Linotype" w:hAnsi="Palatino Linotype"/>
          <w:sz w:val="24"/>
          <w:szCs w:val="24"/>
        </w:rPr>
        <w:t xml:space="preserve"> proposed to </w:t>
      </w:r>
      <w:r w:rsidRPr="00941BC9" w:rsidR="00B04FBD">
        <w:rPr>
          <w:rFonts w:ascii="Palatino Linotype" w:hAnsi="Palatino Linotype"/>
          <w:sz w:val="24"/>
          <w:szCs w:val="24"/>
        </w:rPr>
        <w:t>represent renewable generation with expected P50</w:t>
      </w:r>
      <w:r w:rsidRPr="00941BC9" w:rsidR="00414BAE">
        <w:rPr>
          <w:rStyle w:val="FootnoteReference"/>
          <w:rFonts w:ascii="Palatino Linotype" w:hAnsi="Palatino Linotype"/>
          <w:sz w:val="24"/>
          <w:szCs w:val="24"/>
        </w:rPr>
        <w:footnoteReference w:id="6"/>
      </w:r>
      <w:r w:rsidRPr="00941BC9" w:rsidR="00414BAE">
        <w:rPr>
          <w:rFonts w:ascii="Palatino Linotype" w:hAnsi="Palatino Linotype"/>
          <w:sz w:val="24"/>
          <w:szCs w:val="24"/>
        </w:rPr>
        <w:t xml:space="preserve"> generation</w:t>
      </w:r>
      <w:r w:rsidRPr="00941BC9" w:rsidR="00B04FBD">
        <w:rPr>
          <w:rFonts w:ascii="Palatino Linotype" w:hAnsi="Palatino Linotype"/>
          <w:sz w:val="24"/>
          <w:szCs w:val="24"/>
        </w:rPr>
        <w:t xml:space="preserve"> sufficient to support DCPP replacement.</w:t>
      </w:r>
    </w:p>
    <w:p w:rsidRPr="00941BC9" w:rsidR="00A648F7" w:rsidP="000F4989" w:rsidRDefault="00204F49" w14:paraId="30820A69" w14:textId="1108B44D">
      <w:pPr>
        <w:spacing w:after="240"/>
        <w:rPr>
          <w:rFonts w:ascii="Palatino Linotype" w:hAnsi="Palatino Linotype"/>
          <w:sz w:val="24"/>
          <w:szCs w:val="24"/>
        </w:rPr>
      </w:pPr>
      <w:r w:rsidRPr="00941BC9">
        <w:rPr>
          <w:rFonts w:ascii="Palatino Linotype" w:hAnsi="Palatino Linotype"/>
          <w:sz w:val="24"/>
          <w:szCs w:val="24"/>
        </w:rPr>
        <w:t>P</w:t>
      </w:r>
      <w:r w:rsidRPr="00941BC9" w:rsidR="00A648F7">
        <w:rPr>
          <w:rFonts w:ascii="Palatino Linotype" w:hAnsi="Palatino Linotype"/>
          <w:sz w:val="24"/>
          <w:szCs w:val="24"/>
        </w:rPr>
        <w:t>G&amp;E request</w:t>
      </w:r>
      <w:r w:rsidRPr="00941BC9" w:rsidR="005D5893">
        <w:rPr>
          <w:rFonts w:ascii="Palatino Linotype" w:hAnsi="Palatino Linotype"/>
          <w:sz w:val="24"/>
          <w:szCs w:val="24"/>
        </w:rPr>
        <w:t>s in AL 7299-E</w:t>
      </w:r>
      <w:r w:rsidRPr="00941BC9" w:rsidR="00A648F7">
        <w:rPr>
          <w:rFonts w:ascii="Palatino Linotype" w:hAnsi="Palatino Linotype"/>
          <w:sz w:val="24"/>
          <w:szCs w:val="24"/>
        </w:rPr>
        <w:t xml:space="preserve"> that the Commission issue a Resolution</w:t>
      </w:r>
      <w:r w:rsidRPr="00941BC9" w:rsidR="005D5893">
        <w:rPr>
          <w:rFonts w:ascii="Palatino Linotype" w:hAnsi="Palatino Linotype"/>
          <w:sz w:val="24"/>
          <w:szCs w:val="24"/>
        </w:rPr>
        <w:t xml:space="preserve"> that:</w:t>
      </w:r>
    </w:p>
    <w:p w:rsidRPr="00941BC9" w:rsidR="00A648F7" w:rsidP="00963097" w:rsidRDefault="00A648F7" w14:paraId="3FD2945C" w14:textId="1AEA016F">
      <w:pPr>
        <w:pStyle w:val="ListParagraph"/>
        <w:numPr>
          <w:ilvl w:val="0"/>
          <w:numId w:val="20"/>
        </w:numPr>
        <w:spacing w:after="120"/>
        <w:ind w:left="360"/>
        <w:rPr>
          <w:rFonts w:ascii="Palatino Linotype" w:hAnsi="Palatino Linotype"/>
          <w:sz w:val="24"/>
          <w:szCs w:val="24"/>
        </w:rPr>
      </w:pPr>
      <w:r w:rsidRPr="00941BC9">
        <w:rPr>
          <w:rFonts w:ascii="Palatino Linotype" w:hAnsi="Palatino Linotype"/>
          <w:sz w:val="24"/>
          <w:szCs w:val="24"/>
        </w:rPr>
        <w:t>Approves the Agreement for the Arlington Project and the Agreement for the</w:t>
      </w:r>
      <w:r w:rsidRPr="00941BC9" w:rsidR="00DC2F66">
        <w:rPr>
          <w:rFonts w:ascii="Palatino Linotype" w:hAnsi="Palatino Linotype"/>
          <w:sz w:val="24"/>
          <w:szCs w:val="24"/>
        </w:rPr>
        <w:t xml:space="preserve"> </w:t>
      </w:r>
      <w:r w:rsidRPr="00941BC9">
        <w:rPr>
          <w:rFonts w:ascii="Palatino Linotype" w:hAnsi="Palatino Linotype"/>
          <w:sz w:val="24"/>
          <w:szCs w:val="24"/>
        </w:rPr>
        <w:t>Atlas South Project as described in Section IV of Advice Letter</w:t>
      </w:r>
      <w:r w:rsidRPr="00941BC9" w:rsidR="000449A4">
        <w:rPr>
          <w:rFonts w:ascii="Palatino Linotype" w:hAnsi="Palatino Linotype"/>
          <w:sz w:val="24"/>
          <w:szCs w:val="24"/>
        </w:rPr>
        <w:t xml:space="preserve"> 7299-E</w:t>
      </w:r>
      <w:r w:rsidRPr="00941BC9">
        <w:rPr>
          <w:rFonts w:ascii="Palatino Linotype" w:hAnsi="Palatino Linotype"/>
          <w:sz w:val="24"/>
          <w:szCs w:val="24"/>
        </w:rPr>
        <w:t>.</w:t>
      </w:r>
    </w:p>
    <w:p w:rsidRPr="00941BC9" w:rsidR="00A648F7" w:rsidP="00963097" w:rsidRDefault="00A648F7" w14:paraId="6C4A7C4B" w14:textId="2B3CD9D8">
      <w:pPr>
        <w:pStyle w:val="ListParagraph"/>
        <w:numPr>
          <w:ilvl w:val="0"/>
          <w:numId w:val="20"/>
        </w:numPr>
        <w:spacing w:before="240"/>
        <w:ind w:left="360"/>
        <w:rPr>
          <w:rFonts w:ascii="Palatino Linotype" w:hAnsi="Palatino Linotype"/>
          <w:sz w:val="24"/>
          <w:szCs w:val="24"/>
        </w:rPr>
      </w:pPr>
      <w:r w:rsidRPr="00941BC9">
        <w:rPr>
          <w:rFonts w:ascii="Palatino Linotype" w:hAnsi="Palatino Linotype"/>
          <w:sz w:val="24"/>
          <w:szCs w:val="24"/>
        </w:rPr>
        <w:t>Find</w:t>
      </w:r>
      <w:r w:rsidRPr="00941BC9" w:rsidR="005D5893">
        <w:rPr>
          <w:rFonts w:ascii="Palatino Linotype" w:hAnsi="Palatino Linotype"/>
          <w:sz w:val="24"/>
          <w:szCs w:val="24"/>
        </w:rPr>
        <w:t>s</w:t>
      </w:r>
      <w:r w:rsidRPr="00941BC9">
        <w:rPr>
          <w:rFonts w:ascii="Palatino Linotype" w:hAnsi="Palatino Linotype"/>
          <w:sz w:val="24"/>
          <w:szCs w:val="24"/>
        </w:rPr>
        <w:t xml:space="preserve"> that the resource secured by each Agreement presented in Advice</w:t>
      </w:r>
      <w:r w:rsidRPr="00941BC9" w:rsidR="00DC2F66">
        <w:rPr>
          <w:rFonts w:ascii="Palatino Linotype" w:hAnsi="Palatino Linotype"/>
          <w:sz w:val="24"/>
          <w:szCs w:val="24"/>
        </w:rPr>
        <w:t xml:space="preserve"> </w:t>
      </w:r>
      <w:r w:rsidRPr="00941BC9">
        <w:rPr>
          <w:rFonts w:ascii="Palatino Linotype" w:hAnsi="Palatino Linotype"/>
          <w:sz w:val="24"/>
          <w:szCs w:val="24"/>
        </w:rPr>
        <w:t>Letter</w:t>
      </w:r>
      <w:r w:rsidRPr="00941BC9" w:rsidR="000449A4">
        <w:rPr>
          <w:rFonts w:ascii="Palatino Linotype" w:hAnsi="Palatino Linotype"/>
          <w:sz w:val="24"/>
          <w:szCs w:val="24"/>
        </w:rPr>
        <w:t xml:space="preserve"> </w:t>
      </w:r>
      <w:r w:rsidR="00941BC9">
        <w:rPr>
          <w:rFonts w:ascii="Palatino Linotype" w:hAnsi="Palatino Linotype"/>
          <w:sz w:val="24"/>
          <w:szCs w:val="24"/>
        </w:rPr>
        <w:br/>
      </w:r>
      <w:r w:rsidRPr="00941BC9" w:rsidR="000449A4">
        <w:rPr>
          <w:rFonts w:ascii="Palatino Linotype" w:hAnsi="Palatino Linotype"/>
          <w:sz w:val="24"/>
          <w:szCs w:val="24"/>
        </w:rPr>
        <w:t>7299-E</w:t>
      </w:r>
      <w:r w:rsidRPr="00941BC9">
        <w:rPr>
          <w:rFonts w:ascii="Palatino Linotype" w:hAnsi="Palatino Linotype"/>
          <w:sz w:val="24"/>
          <w:szCs w:val="24"/>
        </w:rPr>
        <w:t xml:space="preserve"> qualifies for the zero-emission procurement category and the general NQC</w:t>
      </w:r>
      <w:r w:rsidRPr="00941BC9" w:rsidR="000449A4">
        <w:rPr>
          <w:rFonts w:ascii="Palatino Linotype" w:hAnsi="Palatino Linotype"/>
          <w:sz w:val="24"/>
          <w:szCs w:val="24"/>
        </w:rPr>
        <w:t xml:space="preserve"> </w:t>
      </w:r>
      <w:r w:rsidRPr="00941BC9">
        <w:rPr>
          <w:rFonts w:ascii="Palatino Linotype" w:hAnsi="Palatino Linotype"/>
          <w:sz w:val="24"/>
          <w:szCs w:val="24"/>
        </w:rPr>
        <w:t>procurement category requirement of D.21-06-035 and D.23-02-040 and are</w:t>
      </w:r>
      <w:r w:rsidRPr="00941BC9" w:rsidR="00DC2F66">
        <w:rPr>
          <w:rFonts w:ascii="Palatino Linotype" w:hAnsi="Palatino Linotype"/>
          <w:sz w:val="24"/>
          <w:szCs w:val="24"/>
        </w:rPr>
        <w:t xml:space="preserve"> </w:t>
      </w:r>
      <w:r w:rsidRPr="00941BC9">
        <w:rPr>
          <w:rFonts w:ascii="Palatino Linotype" w:hAnsi="Palatino Linotype"/>
          <w:sz w:val="24"/>
          <w:szCs w:val="24"/>
        </w:rPr>
        <w:t>incremental to the baseline.</w:t>
      </w:r>
    </w:p>
    <w:p w:rsidRPr="00941BC9" w:rsidR="00DC2F66" w:rsidP="00963097" w:rsidRDefault="00A648F7" w14:paraId="6FBA78BF" w14:textId="32DD6E66">
      <w:pPr>
        <w:pStyle w:val="ListParagraph"/>
        <w:numPr>
          <w:ilvl w:val="0"/>
          <w:numId w:val="20"/>
        </w:numPr>
        <w:spacing w:before="240"/>
        <w:ind w:left="360"/>
        <w:rPr>
          <w:rFonts w:ascii="Palatino Linotype" w:hAnsi="Palatino Linotype"/>
          <w:sz w:val="24"/>
          <w:szCs w:val="24"/>
        </w:rPr>
      </w:pPr>
      <w:r w:rsidRPr="00941BC9">
        <w:rPr>
          <w:rFonts w:ascii="Palatino Linotype" w:hAnsi="Palatino Linotype"/>
          <w:sz w:val="24"/>
          <w:szCs w:val="24"/>
        </w:rPr>
        <w:t>Find</w:t>
      </w:r>
      <w:r w:rsidRPr="00941BC9" w:rsidR="005D5893">
        <w:rPr>
          <w:rFonts w:ascii="Palatino Linotype" w:hAnsi="Palatino Linotype"/>
          <w:sz w:val="24"/>
          <w:szCs w:val="24"/>
        </w:rPr>
        <w:t>s</w:t>
      </w:r>
      <w:r w:rsidRPr="00941BC9">
        <w:rPr>
          <w:rFonts w:ascii="Palatino Linotype" w:hAnsi="Palatino Linotype"/>
          <w:sz w:val="24"/>
          <w:szCs w:val="24"/>
        </w:rPr>
        <w:t xml:space="preserve"> that each Agreement, and PG&amp;E’s entry into each Agreement, is</w:t>
      </w:r>
      <w:r w:rsidRPr="00941BC9" w:rsidR="00DC2F66">
        <w:rPr>
          <w:rFonts w:ascii="Palatino Linotype" w:hAnsi="Palatino Linotype"/>
          <w:sz w:val="24"/>
          <w:szCs w:val="24"/>
        </w:rPr>
        <w:t xml:space="preserve"> </w:t>
      </w:r>
      <w:r w:rsidRPr="00941BC9">
        <w:rPr>
          <w:rFonts w:ascii="Palatino Linotype" w:hAnsi="Palatino Linotype"/>
          <w:sz w:val="24"/>
          <w:szCs w:val="24"/>
        </w:rPr>
        <w:t>reasonable</w:t>
      </w:r>
      <w:r w:rsidRPr="00941BC9" w:rsidR="00DC2F66">
        <w:rPr>
          <w:rFonts w:ascii="Palatino Linotype" w:hAnsi="Palatino Linotype"/>
          <w:sz w:val="24"/>
          <w:szCs w:val="24"/>
        </w:rPr>
        <w:t xml:space="preserve"> </w:t>
      </w:r>
      <w:r w:rsidRPr="00941BC9">
        <w:rPr>
          <w:rFonts w:ascii="Palatino Linotype" w:hAnsi="Palatino Linotype"/>
          <w:sz w:val="24"/>
          <w:szCs w:val="24"/>
        </w:rPr>
        <w:t>and prudent for all purposes, and that any payments to be made by</w:t>
      </w:r>
      <w:r w:rsidRPr="00941BC9" w:rsidR="00DC2F66">
        <w:rPr>
          <w:rFonts w:ascii="Palatino Linotype" w:hAnsi="Palatino Linotype"/>
          <w:sz w:val="24"/>
          <w:szCs w:val="24"/>
        </w:rPr>
        <w:t xml:space="preserve"> </w:t>
      </w:r>
      <w:r w:rsidRPr="00941BC9">
        <w:rPr>
          <w:rFonts w:ascii="Palatino Linotype" w:hAnsi="Palatino Linotype"/>
          <w:sz w:val="24"/>
          <w:szCs w:val="24"/>
        </w:rPr>
        <w:t>PG&amp;E pursuant to each Agreement are recoverable in full by PG&amp;E.</w:t>
      </w:r>
    </w:p>
    <w:p w:rsidRPr="00941BC9" w:rsidR="00DC2F66" w:rsidP="00963097" w:rsidRDefault="00A648F7" w14:paraId="1270CF81" w14:textId="034ACFB9">
      <w:pPr>
        <w:pStyle w:val="ListParagraph"/>
        <w:numPr>
          <w:ilvl w:val="0"/>
          <w:numId w:val="20"/>
        </w:numPr>
        <w:spacing w:after="120"/>
        <w:ind w:left="360"/>
        <w:rPr>
          <w:rFonts w:ascii="Palatino Linotype" w:hAnsi="Palatino Linotype"/>
          <w:sz w:val="24"/>
          <w:szCs w:val="24"/>
        </w:rPr>
      </w:pPr>
      <w:r w:rsidRPr="00941BC9">
        <w:rPr>
          <w:rFonts w:ascii="Palatino Linotype" w:hAnsi="Palatino Linotype"/>
          <w:sz w:val="24"/>
          <w:szCs w:val="24"/>
        </w:rPr>
        <w:t>Finds that any procurement pursuant to each Agreement is procurement from</w:t>
      </w:r>
      <w:r w:rsidRPr="00941BC9" w:rsidR="00DC2F66">
        <w:rPr>
          <w:rFonts w:ascii="Palatino Linotype" w:hAnsi="Palatino Linotype"/>
          <w:sz w:val="24"/>
          <w:szCs w:val="24"/>
        </w:rPr>
        <w:t xml:space="preserve"> </w:t>
      </w:r>
      <w:r w:rsidRPr="00941BC9">
        <w:rPr>
          <w:rFonts w:ascii="Palatino Linotype" w:hAnsi="Palatino Linotype"/>
          <w:sz w:val="24"/>
          <w:szCs w:val="24"/>
        </w:rPr>
        <w:t xml:space="preserve">eligible renewable energy resources for purposes of determining </w:t>
      </w:r>
      <w:r w:rsidR="00EA2588">
        <w:rPr>
          <w:rFonts w:ascii="Palatino Linotype" w:hAnsi="Palatino Linotype"/>
          <w:sz w:val="24"/>
          <w:szCs w:val="24"/>
        </w:rPr>
        <w:br/>
      </w:r>
      <w:r w:rsidRPr="00941BC9">
        <w:rPr>
          <w:rFonts w:ascii="Palatino Linotype" w:hAnsi="Palatino Linotype"/>
          <w:sz w:val="24"/>
          <w:szCs w:val="24"/>
        </w:rPr>
        <w:t>PG&amp;E’s</w:t>
      </w:r>
      <w:r w:rsidRPr="00941BC9" w:rsidR="00DC2F66">
        <w:rPr>
          <w:rFonts w:ascii="Palatino Linotype" w:hAnsi="Palatino Linotype"/>
          <w:sz w:val="24"/>
          <w:szCs w:val="24"/>
        </w:rPr>
        <w:t xml:space="preserve"> </w:t>
      </w:r>
      <w:r w:rsidRPr="00941BC9">
        <w:rPr>
          <w:rFonts w:ascii="Palatino Linotype" w:hAnsi="Palatino Linotype"/>
          <w:sz w:val="24"/>
          <w:szCs w:val="24"/>
        </w:rPr>
        <w:t xml:space="preserve">compliance with any obligation that it may have to procure eligible </w:t>
      </w:r>
      <w:r w:rsidRPr="00941BC9">
        <w:rPr>
          <w:rFonts w:ascii="Palatino Linotype" w:hAnsi="Palatino Linotype"/>
          <w:sz w:val="24"/>
          <w:szCs w:val="24"/>
        </w:rPr>
        <w:lastRenderedPageBreak/>
        <w:t>renewable</w:t>
      </w:r>
      <w:r w:rsidRPr="00941BC9" w:rsidR="00DC2F66">
        <w:rPr>
          <w:rFonts w:ascii="Palatino Linotype" w:hAnsi="Palatino Linotype"/>
          <w:sz w:val="24"/>
          <w:szCs w:val="24"/>
        </w:rPr>
        <w:t xml:space="preserve"> </w:t>
      </w:r>
      <w:r w:rsidRPr="00941BC9">
        <w:rPr>
          <w:rFonts w:ascii="Palatino Linotype" w:hAnsi="Palatino Linotype"/>
          <w:sz w:val="24"/>
          <w:szCs w:val="24"/>
        </w:rPr>
        <w:t>energy resources pursuant to the California RPS (Public Utilities Code Section</w:t>
      </w:r>
      <w:r w:rsidRPr="00941BC9" w:rsidR="00DC2F66">
        <w:rPr>
          <w:rFonts w:ascii="Palatino Linotype" w:hAnsi="Palatino Linotype"/>
          <w:sz w:val="24"/>
          <w:szCs w:val="24"/>
        </w:rPr>
        <w:t xml:space="preserve"> </w:t>
      </w:r>
      <w:r w:rsidRPr="00941BC9">
        <w:rPr>
          <w:rFonts w:ascii="Palatino Linotype" w:hAnsi="Palatino Linotype"/>
          <w:sz w:val="24"/>
          <w:szCs w:val="24"/>
        </w:rPr>
        <w:t xml:space="preserve">399.11 et seq.), D.03-06-071, D.06-10-050, D.11-12-020, D.11-12-052, </w:t>
      </w:r>
      <w:r w:rsidR="00EA2588">
        <w:rPr>
          <w:rFonts w:ascii="Palatino Linotype" w:hAnsi="Palatino Linotype"/>
          <w:sz w:val="24"/>
          <w:szCs w:val="24"/>
        </w:rPr>
        <w:br/>
      </w:r>
      <w:r w:rsidRPr="00941BC9">
        <w:rPr>
          <w:rFonts w:ascii="Palatino Linotype" w:hAnsi="Palatino Linotype"/>
          <w:sz w:val="24"/>
          <w:szCs w:val="24"/>
        </w:rPr>
        <w:t>D. 19-06-023 or other applicable law.</w:t>
      </w:r>
    </w:p>
    <w:p w:rsidRPr="00941BC9" w:rsidR="00A648F7" w:rsidP="00963097" w:rsidRDefault="00A648F7" w14:paraId="2A309FD5" w14:textId="33A77AE6">
      <w:pPr>
        <w:pStyle w:val="ListParagraph"/>
        <w:numPr>
          <w:ilvl w:val="0"/>
          <w:numId w:val="20"/>
        </w:numPr>
        <w:spacing w:after="120"/>
        <w:ind w:left="360"/>
        <w:rPr>
          <w:rFonts w:ascii="Palatino Linotype" w:hAnsi="Palatino Linotype"/>
          <w:sz w:val="24"/>
          <w:szCs w:val="24"/>
        </w:rPr>
      </w:pPr>
      <w:r w:rsidRPr="00941BC9">
        <w:rPr>
          <w:rFonts w:ascii="Palatino Linotype" w:hAnsi="Palatino Linotype"/>
          <w:sz w:val="24"/>
          <w:szCs w:val="24"/>
        </w:rPr>
        <w:t>Finds that all procurement and administrative costs, as provided by Public Utilities</w:t>
      </w:r>
      <w:r w:rsidRPr="00941BC9" w:rsidR="004C1843">
        <w:rPr>
          <w:rFonts w:ascii="Palatino Linotype" w:hAnsi="Palatino Linotype"/>
          <w:sz w:val="24"/>
          <w:szCs w:val="24"/>
        </w:rPr>
        <w:t xml:space="preserve"> </w:t>
      </w:r>
      <w:r w:rsidRPr="00941BC9">
        <w:rPr>
          <w:rFonts w:ascii="Palatino Linotype" w:hAnsi="Palatino Linotype"/>
          <w:sz w:val="24"/>
          <w:szCs w:val="24"/>
        </w:rPr>
        <w:t xml:space="preserve">Code Section 399.13(g), associated with each </w:t>
      </w:r>
      <w:r w:rsidRPr="00941BC9" w:rsidR="005B319D">
        <w:rPr>
          <w:rFonts w:ascii="Palatino Linotype" w:hAnsi="Palatino Linotype"/>
          <w:sz w:val="24"/>
          <w:szCs w:val="24"/>
        </w:rPr>
        <w:t>Agreement,</w:t>
      </w:r>
      <w:r w:rsidRPr="00941BC9">
        <w:rPr>
          <w:rFonts w:ascii="Palatino Linotype" w:hAnsi="Palatino Linotype"/>
          <w:sz w:val="24"/>
          <w:szCs w:val="24"/>
        </w:rPr>
        <w:t xml:space="preserve"> shall be recovered in</w:t>
      </w:r>
      <w:r w:rsidRPr="00941BC9" w:rsidR="004C1843">
        <w:rPr>
          <w:rFonts w:ascii="Palatino Linotype" w:hAnsi="Palatino Linotype"/>
          <w:sz w:val="24"/>
          <w:szCs w:val="24"/>
        </w:rPr>
        <w:t xml:space="preserve"> </w:t>
      </w:r>
      <w:r w:rsidRPr="00941BC9">
        <w:rPr>
          <w:rFonts w:ascii="Palatino Linotype" w:hAnsi="Palatino Linotype"/>
          <w:sz w:val="24"/>
          <w:szCs w:val="24"/>
        </w:rPr>
        <w:t>rates.</w:t>
      </w:r>
    </w:p>
    <w:p w:rsidRPr="00941BC9" w:rsidR="00A648F7" w:rsidP="00963097" w:rsidRDefault="00A648F7" w14:paraId="2670708B" w14:textId="5C43F5ED">
      <w:pPr>
        <w:pStyle w:val="ListParagraph"/>
        <w:numPr>
          <w:ilvl w:val="0"/>
          <w:numId w:val="20"/>
        </w:numPr>
        <w:spacing w:after="120"/>
        <w:ind w:left="360"/>
        <w:rPr>
          <w:rFonts w:ascii="Palatino Linotype" w:hAnsi="Palatino Linotype"/>
          <w:sz w:val="24"/>
          <w:szCs w:val="24"/>
        </w:rPr>
      </w:pPr>
      <w:r w:rsidRPr="00941BC9">
        <w:rPr>
          <w:rFonts w:ascii="Palatino Linotype" w:hAnsi="Palatino Linotype"/>
          <w:sz w:val="24"/>
          <w:szCs w:val="24"/>
        </w:rPr>
        <w:t>Adopts the following finding of fact and conclusion of law in support of CPUC</w:t>
      </w:r>
    </w:p>
    <w:p w:rsidRPr="00941BC9" w:rsidR="00A648F7" w:rsidP="00963097" w:rsidRDefault="00A648F7" w14:paraId="429A46E2" w14:textId="77777777">
      <w:pPr>
        <w:pStyle w:val="ListParagraph"/>
        <w:spacing w:after="120"/>
        <w:ind w:left="360"/>
        <w:rPr>
          <w:rFonts w:ascii="Palatino Linotype" w:hAnsi="Palatino Linotype"/>
          <w:sz w:val="24"/>
          <w:szCs w:val="24"/>
        </w:rPr>
      </w:pPr>
      <w:r w:rsidRPr="00941BC9">
        <w:rPr>
          <w:rFonts w:ascii="Palatino Linotype" w:hAnsi="Palatino Linotype"/>
          <w:sz w:val="24"/>
          <w:szCs w:val="24"/>
        </w:rPr>
        <w:t>Approval:</w:t>
      </w:r>
    </w:p>
    <w:p w:rsidRPr="00941BC9" w:rsidR="00A648F7" w:rsidP="00963097" w:rsidRDefault="00A648F7" w14:paraId="78743419" w14:textId="339E2365">
      <w:pPr>
        <w:pStyle w:val="ListParagraph"/>
        <w:spacing w:after="120"/>
        <w:ind w:left="360"/>
        <w:rPr>
          <w:rFonts w:ascii="Palatino Linotype" w:hAnsi="Palatino Linotype"/>
          <w:sz w:val="24"/>
          <w:szCs w:val="24"/>
        </w:rPr>
      </w:pPr>
      <w:r w:rsidRPr="00941BC9">
        <w:rPr>
          <w:rFonts w:ascii="Palatino Linotype" w:hAnsi="Palatino Linotype"/>
          <w:sz w:val="24"/>
          <w:szCs w:val="24"/>
        </w:rPr>
        <w:t>a. Each Agreement is consistent with PG&amp;E’s 2023 RPS Procurement Plan.</w:t>
      </w:r>
    </w:p>
    <w:p w:rsidRPr="00941BC9" w:rsidR="00A648F7" w:rsidP="00963097" w:rsidRDefault="00A648F7" w14:paraId="0096DDA5" w14:textId="77777777">
      <w:pPr>
        <w:pStyle w:val="ListParagraph"/>
        <w:spacing w:after="120"/>
        <w:ind w:left="360"/>
        <w:rPr>
          <w:rFonts w:ascii="Palatino Linotype" w:hAnsi="Palatino Linotype"/>
          <w:sz w:val="24"/>
          <w:szCs w:val="24"/>
        </w:rPr>
      </w:pPr>
      <w:r w:rsidRPr="00941BC9">
        <w:rPr>
          <w:rFonts w:ascii="Palatino Linotype" w:hAnsi="Palatino Linotype"/>
          <w:sz w:val="24"/>
          <w:szCs w:val="24"/>
        </w:rPr>
        <w:t>b. The terms of each Agreement are reasonable.</w:t>
      </w:r>
    </w:p>
    <w:p w:rsidRPr="00941BC9" w:rsidR="00A648F7" w:rsidP="00963097" w:rsidRDefault="00A648F7" w14:paraId="3EBF8CB8" w14:textId="146507FE">
      <w:pPr>
        <w:pStyle w:val="ListParagraph"/>
        <w:numPr>
          <w:ilvl w:val="0"/>
          <w:numId w:val="20"/>
        </w:numPr>
        <w:spacing w:after="120"/>
        <w:ind w:left="360"/>
        <w:rPr>
          <w:rFonts w:ascii="Palatino Linotype" w:hAnsi="Palatino Linotype"/>
          <w:sz w:val="24"/>
          <w:szCs w:val="24"/>
        </w:rPr>
      </w:pPr>
      <w:r w:rsidRPr="00941BC9">
        <w:rPr>
          <w:rFonts w:ascii="Palatino Linotype" w:hAnsi="Palatino Linotype"/>
          <w:sz w:val="24"/>
          <w:szCs w:val="24"/>
        </w:rPr>
        <w:t>Adopts the following finding of fact and conclusion of law in support of cost</w:t>
      </w:r>
      <w:r w:rsidRPr="00941BC9" w:rsidR="00DC2F66">
        <w:rPr>
          <w:rFonts w:ascii="Palatino Linotype" w:hAnsi="Palatino Linotype"/>
          <w:sz w:val="24"/>
          <w:szCs w:val="24"/>
        </w:rPr>
        <w:t xml:space="preserve"> </w:t>
      </w:r>
      <w:r w:rsidRPr="00941BC9">
        <w:rPr>
          <w:rFonts w:ascii="Palatino Linotype" w:hAnsi="Palatino Linotype"/>
          <w:sz w:val="24"/>
          <w:szCs w:val="24"/>
        </w:rPr>
        <w:t>recovery for each Agreement:</w:t>
      </w:r>
    </w:p>
    <w:p w:rsidRPr="00941BC9" w:rsidR="00A648F7" w:rsidP="00963097" w:rsidRDefault="00A648F7" w14:paraId="1BE15046" w14:textId="680F9AA9">
      <w:pPr>
        <w:pStyle w:val="ListParagraph"/>
        <w:spacing w:after="120"/>
        <w:ind w:left="360"/>
        <w:rPr>
          <w:rFonts w:ascii="Palatino Linotype" w:hAnsi="Palatino Linotype"/>
          <w:sz w:val="24"/>
          <w:szCs w:val="24"/>
        </w:rPr>
      </w:pPr>
      <w:r w:rsidRPr="00941BC9">
        <w:rPr>
          <w:rFonts w:ascii="Palatino Linotype" w:hAnsi="Palatino Linotype"/>
          <w:sz w:val="24"/>
          <w:szCs w:val="24"/>
        </w:rPr>
        <w:t>a. The utility’s net costs under each Agreement shall be recovered through</w:t>
      </w:r>
      <w:r w:rsidRPr="00941BC9" w:rsidR="00DC2F66">
        <w:rPr>
          <w:rFonts w:ascii="Palatino Linotype" w:hAnsi="Palatino Linotype"/>
          <w:sz w:val="24"/>
          <w:szCs w:val="24"/>
        </w:rPr>
        <w:t xml:space="preserve"> </w:t>
      </w:r>
      <w:r w:rsidR="00EA2588">
        <w:rPr>
          <w:rFonts w:ascii="Palatino Linotype" w:hAnsi="Palatino Linotype"/>
          <w:sz w:val="24"/>
          <w:szCs w:val="24"/>
        </w:rPr>
        <w:br/>
      </w:r>
      <w:r w:rsidRPr="00941BC9">
        <w:rPr>
          <w:rFonts w:ascii="Palatino Linotype" w:hAnsi="Palatino Linotype"/>
          <w:sz w:val="24"/>
          <w:szCs w:val="24"/>
        </w:rPr>
        <w:t>PG&amp;E’s Portfolio Allocation Balancing Account.</w:t>
      </w:r>
    </w:p>
    <w:p w:rsidRPr="00941BC9" w:rsidR="00A648F7" w:rsidP="00963097" w:rsidRDefault="00A648F7" w14:paraId="6807680E" w14:textId="731AEFFB">
      <w:pPr>
        <w:pStyle w:val="ListParagraph"/>
        <w:spacing w:after="120"/>
        <w:ind w:left="360"/>
        <w:rPr>
          <w:rFonts w:ascii="Palatino Linotype" w:hAnsi="Palatino Linotype"/>
          <w:sz w:val="24"/>
          <w:szCs w:val="24"/>
        </w:rPr>
      </w:pPr>
      <w:r w:rsidRPr="00941BC9">
        <w:rPr>
          <w:rFonts w:ascii="Palatino Linotype" w:hAnsi="Palatino Linotype"/>
          <w:sz w:val="24"/>
          <w:szCs w:val="24"/>
        </w:rPr>
        <w:t>b. Any above-market cost that may arise from each Agreement is subject to</w:t>
      </w:r>
      <w:r w:rsidRPr="00941BC9" w:rsidR="00DC2F66">
        <w:rPr>
          <w:rFonts w:ascii="Palatino Linotype" w:hAnsi="Palatino Linotype"/>
          <w:sz w:val="24"/>
          <w:szCs w:val="24"/>
        </w:rPr>
        <w:t xml:space="preserve"> </w:t>
      </w:r>
      <w:r w:rsidRPr="00941BC9">
        <w:rPr>
          <w:rFonts w:ascii="Palatino Linotype" w:hAnsi="Palatino Linotype"/>
          <w:sz w:val="24"/>
          <w:szCs w:val="24"/>
        </w:rPr>
        <w:t xml:space="preserve">the provisions of D.21-06-035 as a 2021 </w:t>
      </w:r>
      <w:r w:rsidRPr="00941BC9" w:rsidR="007B5817">
        <w:rPr>
          <w:rFonts w:ascii="Palatino Linotype" w:hAnsi="Palatino Linotype"/>
          <w:sz w:val="24"/>
          <w:szCs w:val="24"/>
        </w:rPr>
        <w:t>Power Charge Indifference Adjustment (“</w:t>
      </w:r>
      <w:r w:rsidRPr="00941BC9">
        <w:rPr>
          <w:rFonts w:ascii="Palatino Linotype" w:hAnsi="Palatino Linotype"/>
          <w:sz w:val="24"/>
          <w:szCs w:val="24"/>
        </w:rPr>
        <w:t>PCIA</w:t>
      </w:r>
      <w:r w:rsidRPr="00941BC9" w:rsidR="007B5817">
        <w:rPr>
          <w:rFonts w:ascii="Palatino Linotype" w:hAnsi="Palatino Linotype"/>
          <w:sz w:val="24"/>
          <w:szCs w:val="24"/>
        </w:rPr>
        <w:t xml:space="preserve">”) </w:t>
      </w:r>
      <w:r w:rsidRPr="00941BC9">
        <w:rPr>
          <w:rFonts w:ascii="Palatino Linotype" w:hAnsi="Palatino Linotype"/>
          <w:sz w:val="24"/>
          <w:szCs w:val="24"/>
        </w:rPr>
        <w:t>-eligible contract and</w:t>
      </w:r>
      <w:r w:rsidRPr="00941BC9" w:rsidR="00DC2F66">
        <w:rPr>
          <w:rFonts w:ascii="Palatino Linotype" w:hAnsi="Palatino Linotype"/>
          <w:sz w:val="24"/>
          <w:szCs w:val="24"/>
        </w:rPr>
        <w:t xml:space="preserve"> </w:t>
      </w:r>
      <w:r w:rsidRPr="00941BC9">
        <w:rPr>
          <w:rFonts w:ascii="Palatino Linotype" w:hAnsi="Palatino Linotype"/>
          <w:sz w:val="24"/>
          <w:szCs w:val="24"/>
        </w:rPr>
        <w:t>recorded to the Portfolio Allocation Balancing Account</w:t>
      </w:r>
      <w:r w:rsidRPr="00941BC9" w:rsidR="007B5817">
        <w:rPr>
          <w:rFonts w:ascii="Palatino Linotype" w:hAnsi="Palatino Linotype"/>
          <w:sz w:val="24"/>
          <w:szCs w:val="24"/>
        </w:rPr>
        <w:t xml:space="preserve"> (“PABA”)</w:t>
      </w:r>
      <w:r w:rsidRPr="00941BC9">
        <w:rPr>
          <w:rFonts w:ascii="Palatino Linotype" w:hAnsi="Palatino Linotype"/>
          <w:sz w:val="24"/>
          <w:szCs w:val="24"/>
        </w:rPr>
        <w:t>.</w:t>
      </w:r>
    </w:p>
    <w:p w:rsidRPr="00941BC9" w:rsidR="00A648F7" w:rsidP="00963097" w:rsidRDefault="00A648F7" w14:paraId="66C694E3" w14:textId="1D8B65F0">
      <w:pPr>
        <w:pStyle w:val="ListParagraph"/>
        <w:numPr>
          <w:ilvl w:val="0"/>
          <w:numId w:val="20"/>
        </w:numPr>
        <w:spacing w:after="120"/>
        <w:ind w:left="360"/>
        <w:rPr>
          <w:rFonts w:ascii="Palatino Linotype" w:hAnsi="Palatino Linotype"/>
          <w:sz w:val="24"/>
          <w:szCs w:val="24"/>
        </w:rPr>
      </w:pPr>
      <w:r w:rsidRPr="00941BC9">
        <w:rPr>
          <w:rFonts w:ascii="Palatino Linotype" w:hAnsi="Palatino Linotype"/>
          <w:sz w:val="24"/>
          <w:szCs w:val="24"/>
        </w:rPr>
        <w:t>Adopts the following findings with respect to resource compliance with the EPS</w:t>
      </w:r>
      <w:r w:rsidRPr="00941BC9" w:rsidR="00DC2F66">
        <w:rPr>
          <w:rFonts w:ascii="Palatino Linotype" w:hAnsi="Palatino Linotype"/>
          <w:sz w:val="24"/>
          <w:szCs w:val="24"/>
        </w:rPr>
        <w:t xml:space="preserve"> </w:t>
      </w:r>
      <w:r w:rsidRPr="00941BC9">
        <w:rPr>
          <w:rFonts w:ascii="Palatino Linotype" w:hAnsi="Palatino Linotype"/>
          <w:sz w:val="24"/>
          <w:szCs w:val="24"/>
        </w:rPr>
        <w:t xml:space="preserve">adopted </w:t>
      </w:r>
      <w:proofErr w:type="gramStart"/>
      <w:r w:rsidRPr="00941BC9">
        <w:rPr>
          <w:rFonts w:ascii="Palatino Linotype" w:hAnsi="Palatino Linotype"/>
          <w:sz w:val="24"/>
          <w:szCs w:val="24"/>
        </w:rPr>
        <w:t>in</w:t>
      </w:r>
      <w:proofErr w:type="gramEnd"/>
      <w:r w:rsidRPr="00941BC9">
        <w:rPr>
          <w:rFonts w:ascii="Palatino Linotype" w:hAnsi="Palatino Linotype"/>
          <w:sz w:val="24"/>
          <w:szCs w:val="24"/>
        </w:rPr>
        <w:t xml:space="preserve"> R.06-04-009:</w:t>
      </w:r>
    </w:p>
    <w:p w:rsidRPr="00941BC9" w:rsidR="00A648F7" w:rsidP="00963097" w:rsidRDefault="00A648F7" w14:paraId="2E3FF67F" w14:textId="70E08BE5">
      <w:pPr>
        <w:pStyle w:val="ListParagraph"/>
        <w:spacing w:after="120"/>
        <w:ind w:left="360"/>
        <w:rPr>
          <w:rFonts w:ascii="Palatino Linotype" w:hAnsi="Palatino Linotype"/>
          <w:sz w:val="24"/>
          <w:szCs w:val="24"/>
        </w:rPr>
      </w:pPr>
      <w:r w:rsidRPr="00941BC9">
        <w:rPr>
          <w:rFonts w:ascii="Palatino Linotype" w:hAnsi="Palatino Linotype"/>
          <w:sz w:val="24"/>
          <w:szCs w:val="24"/>
        </w:rPr>
        <w:t>a. Each Agreement is not a form of covered procurement subject to the EPS,</w:t>
      </w:r>
      <w:r w:rsidRPr="00941BC9" w:rsidR="00DC2F66">
        <w:rPr>
          <w:rFonts w:ascii="Palatino Linotype" w:hAnsi="Palatino Linotype"/>
          <w:sz w:val="24"/>
          <w:szCs w:val="24"/>
        </w:rPr>
        <w:t xml:space="preserve"> </w:t>
      </w:r>
      <w:r w:rsidRPr="00941BC9">
        <w:rPr>
          <w:rFonts w:ascii="Palatino Linotype" w:hAnsi="Palatino Linotype"/>
          <w:sz w:val="24"/>
          <w:szCs w:val="24"/>
        </w:rPr>
        <w:t>because the generating facility has an expected capacity factor of less than</w:t>
      </w:r>
      <w:r w:rsidRPr="00941BC9" w:rsidR="00DC2F66">
        <w:rPr>
          <w:rFonts w:ascii="Palatino Linotype" w:hAnsi="Palatino Linotype"/>
          <w:sz w:val="24"/>
          <w:szCs w:val="24"/>
        </w:rPr>
        <w:t xml:space="preserve"> </w:t>
      </w:r>
      <w:r w:rsidRPr="00941BC9">
        <w:rPr>
          <w:rFonts w:ascii="Palatino Linotype" w:hAnsi="Palatino Linotype"/>
          <w:sz w:val="24"/>
          <w:szCs w:val="24"/>
        </w:rPr>
        <w:t>60 percent and, therefore, is not baseload generation under paragraph</w:t>
      </w:r>
      <w:r w:rsidRPr="00941BC9" w:rsidR="00DC2F66">
        <w:rPr>
          <w:rFonts w:ascii="Palatino Linotype" w:hAnsi="Palatino Linotype"/>
          <w:sz w:val="24"/>
          <w:szCs w:val="24"/>
        </w:rPr>
        <w:t xml:space="preserve"> </w:t>
      </w:r>
      <w:r w:rsidRPr="00941BC9">
        <w:rPr>
          <w:rFonts w:ascii="Palatino Linotype" w:hAnsi="Palatino Linotype"/>
          <w:sz w:val="24"/>
          <w:szCs w:val="24"/>
        </w:rPr>
        <w:t>1(a)(ii) and 3(2)(a) of the adopted Interim EPS Rules.</w:t>
      </w:r>
    </w:p>
    <w:p w:rsidRPr="00941BC9" w:rsidR="00A648F7" w:rsidP="00690C2B" w:rsidRDefault="00A648F7" w14:paraId="17C026E8" w14:textId="39AD36EA">
      <w:pPr>
        <w:pStyle w:val="ListParagraph"/>
        <w:numPr>
          <w:ilvl w:val="0"/>
          <w:numId w:val="20"/>
        </w:numPr>
        <w:ind w:left="360"/>
        <w:rPr>
          <w:rFonts w:ascii="Palatino Linotype" w:hAnsi="Palatino Linotype"/>
          <w:sz w:val="24"/>
          <w:szCs w:val="24"/>
        </w:rPr>
      </w:pPr>
      <w:r w:rsidRPr="00941BC9">
        <w:rPr>
          <w:rFonts w:ascii="Palatino Linotype" w:hAnsi="Palatino Linotype"/>
          <w:sz w:val="24"/>
          <w:szCs w:val="24"/>
        </w:rPr>
        <w:t>Adopts a finding of fact and conclusion of law that deliveries from each Agreement</w:t>
      </w:r>
      <w:r w:rsidRPr="00941BC9" w:rsidR="004C1843">
        <w:rPr>
          <w:rFonts w:ascii="Palatino Linotype" w:hAnsi="Palatino Linotype"/>
          <w:sz w:val="24"/>
          <w:szCs w:val="24"/>
        </w:rPr>
        <w:t xml:space="preserve"> </w:t>
      </w:r>
      <w:r w:rsidRPr="00941BC9">
        <w:rPr>
          <w:rFonts w:ascii="Palatino Linotype" w:hAnsi="Palatino Linotype"/>
          <w:sz w:val="24"/>
          <w:szCs w:val="24"/>
        </w:rPr>
        <w:t>shall be categorized as procurement under the portfolio content category specified</w:t>
      </w:r>
      <w:r w:rsidRPr="00941BC9" w:rsidR="004C1843">
        <w:rPr>
          <w:rFonts w:ascii="Palatino Linotype" w:hAnsi="Palatino Linotype"/>
          <w:sz w:val="24"/>
          <w:szCs w:val="24"/>
        </w:rPr>
        <w:t xml:space="preserve"> </w:t>
      </w:r>
      <w:r w:rsidRPr="00941BC9">
        <w:rPr>
          <w:rFonts w:ascii="Palatino Linotype" w:hAnsi="Palatino Linotype"/>
          <w:sz w:val="24"/>
          <w:szCs w:val="24"/>
        </w:rPr>
        <w:t xml:space="preserve">in Public Utilities Code Section 399.16(b)(1)(A), subject to the </w:t>
      </w:r>
      <w:r w:rsidR="00EA2588">
        <w:rPr>
          <w:rFonts w:ascii="Palatino Linotype" w:hAnsi="Palatino Linotype"/>
          <w:sz w:val="24"/>
          <w:szCs w:val="24"/>
        </w:rPr>
        <w:br/>
      </w:r>
      <w:r w:rsidRPr="00941BC9">
        <w:rPr>
          <w:rFonts w:ascii="Palatino Linotype" w:hAnsi="Palatino Linotype"/>
          <w:sz w:val="24"/>
          <w:szCs w:val="24"/>
        </w:rPr>
        <w:t>Commission’s after</w:t>
      </w:r>
      <w:r w:rsidRPr="00941BC9" w:rsidR="000449A4">
        <w:rPr>
          <w:rFonts w:ascii="Palatino Linotype" w:hAnsi="Palatino Linotype"/>
          <w:sz w:val="24"/>
          <w:szCs w:val="24"/>
        </w:rPr>
        <w:t>-</w:t>
      </w:r>
      <w:r w:rsidRPr="00941BC9">
        <w:rPr>
          <w:rFonts w:ascii="Palatino Linotype" w:hAnsi="Palatino Linotype"/>
          <w:sz w:val="24"/>
          <w:szCs w:val="24"/>
        </w:rPr>
        <w:t>the-fact verification that all applicable criteria have been met.</w:t>
      </w:r>
    </w:p>
    <w:p w:rsidRPr="00941BC9" w:rsidR="005D14BB" w:rsidP="00A648F7" w:rsidRDefault="005D14BB" w14:paraId="1828D31C" w14:textId="77777777">
      <w:pPr>
        <w:rPr>
          <w:rFonts w:ascii="Palatino Linotype" w:hAnsi="Palatino Linotype"/>
          <w:sz w:val="24"/>
          <w:szCs w:val="24"/>
        </w:rPr>
      </w:pPr>
    </w:p>
    <w:p w:rsidRPr="00941BC9" w:rsidR="00E903D3" w:rsidP="00690C2B" w:rsidRDefault="00E903D3" w14:paraId="7789DE9A" w14:textId="77777777">
      <w:pPr>
        <w:pStyle w:val="standard"/>
        <w:widowControl w:val="0"/>
        <w:spacing w:after="120" w:line="240" w:lineRule="auto"/>
        <w:ind w:firstLine="0"/>
        <w:rPr>
          <w:rFonts w:ascii="Palatino Linotype" w:hAnsi="Palatino Linotype"/>
          <w:b/>
          <w:bCs/>
          <w:sz w:val="24"/>
          <w:szCs w:val="24"/>
        </w:rPr>
      </w:pPr>
      <w:r w:rsidRPr="00941BC9">
        <w:rPr>
          <w:rFonts w:ascii="Palatino Linotype" w:hAnsi="Palatino Linotype"/>
          <w:b/>
          <w:bCs/>
          <w:sz w:val="24"/>
          <w:szCs w:val="24"/>
        </w:rPr>
        <w:t>Energy Division evaluated the Mid-Term Reliability Contracts based on the following criteria:</w:t>
      </w:r>
    </w:p>
    <w:p w:rsidRPr="00941BC9" w:rsidR="00E903D3" w:rsidP="00CA2DCD" w:rsidRDefault="00E903D3" w14:paraId="1936CAF3" w14:textId="161D1C26">
      <w:pPr>
        <w:pStyle w:val="standard"/>
        <w:widowControl w:val="0"/>
        <w:numPr>
          <w:ilvl w:val="0"/>
          <w:numId w:val="6"/>
        </w:numPr>
        <w:spacing w:line="240" w:lineRule="auto"/>
        <w:ind w:left="1080"/>
        <w:rPr>
          <w:rFonts w:ascii="Palatino Linotype" w:hAnsi="Palatino Linotype"/>
          <w:sz w:val="24"/>
          <w:szCs w:val="24"/>
        </w:rPr>
      </w:pPr>
      <w:r w:rsidRPr="00941BC9">
        <w:rPr>
          <w:rFonts w:ascii="Palatino Linotype" w:hAnsi="Palatino Linotype"/>
          <w:sz w:val="24"/>
          <w:szCs w:val="24"/>
        </w:rPr>
        <w:t>Consistency with D.21-06-035 and D.23-02-</w:t>
      </w:r>
      <w:proofErr w:type="gramStart"/>
      <w:r w:rsidRPr="00941BC9">
        <w:rPr>
          <w:rFonts w:ascii="Palatino Linotype" w:hAnsi="Palatino Linotype"/>
          <w:sz w:val="24"/>
          <w:szCs w:val="24"/>
        </w:rPr>
        <w:t>040;</w:t>
      </w:r>
      <w:proofErr w:type="gramEnd"/>
    </w:p>
    <w:p w:rsidRPr="00941BC9" w:rsidR="00E903D3" w:rsidP="00CA2DCD" w:rsidRDefault="00E903D3" w14:paraId="66148DB0" w14:textId="7B22EEF4">
      <w:pPr>
        <w:pStyle w:val="standard"/>
        <w:widowControl w:val="0"/>
        <w:numPr>
          <w:ilvl w:val="0"/>
          <w:numId w:val="6"/>
        </w:numPr>
        <w:spacing w:line="240" w:lineRule="auto"/>
        <w:ind w:left="1080"/>
        <w:rPr>
          <w:rFonts w:ascii="Palatino Linotype" w:hAnsi="Palatino Linotype"/>
          <w:sz w:val="24"/>
          <w:szCs w:val="24"/>
        </w:rPr>
      </w:pPr>
      <w:proofErr w:type="gramStart"/>
      <w:r w:rsidRPr="00941BC9">
        <w:rPr>
          <w:rFonts w:ascii="Palatino Linotype" w:hAnsi="Palatino Linotype"/>
          <w:sz w:val="24"/>
          <w:szCs w:val="24"/>
        </w:rPr>
        <w:t>Consistency</w:t>
      </w:r>
      <w:proofErr w:type="gramEnd"/>
      <w:r w:rsidRPr="00941BC9">
        <w:rPr>
          <w:rFonts w:ascii="Palatino Linotype" w:hAnsi="Palatino Linotype"/>
          <w:sz w:val="24"/>
          <w:szCs w:val="24"/>
        </w:rPr>
        <w:t xml:space="preserve"> with </w:t>
      </w:r>
      <w:r w:rsidRPr="00941BC9" w:rsidR="009E2D5B">
        <w:rPr>
          <w:rFonts w:ascii="Palatino Linotype" w:hAnsi="Palatino Linotype"/>
          <w:sz w:val="24"/>
          <w:szCs w:val="24"/>
        </w:rPr>
        <w:t>PG&amp;E’s</w:t>
      </w:r>
      <w:r w:rsidRPr="00941BC9">
        <w:rPr>
          <w:rFonts w:ascii="Palatino Linotype" w:hAnsi="Palatino Linotype"/>
          <w:sz w:val="24"/>
          <w:szCs w:val="24"/>
        </w:rPr>
        <w:t xml:space="preserve"> 2023 Renewable Portfolio Standard Procurement </w:t>
      </w:r>
      <w:proofErr w:type="gramStart"/>
      <w:r w:rsidRPr="00941BC9">
        <w:rPr>
          <w:rFonts w:ascii="Palatino Linotype" w:hAnsi="Palatino Linotype"/>
          <w:sz w:val="24"/>
          <w:szCs w:val="24"/>
        </w:rPr>
        <w:t>Plan;</w:t>
      </w:r>
      <w:proofErr w:type="gramEnd"/>
    </w:p>
    <w:p w:rsidRPr="00941BC9" w:rsidR="00E903D3" w:rsidP="00CA2DCD" w:rsidRDefault="00E903D3" w14:paraId="3D8C88BB" w14:textId="3400DC92">
      <w:pPr>
        <w:pStyle w:val="standard"/>
        <w:widowControl w:val="0"/>
        <w:numPr>
          <w:ilvl w:val="0"/>
          <w:numId w:val="6"/>
        </w:numPr>
        <w:spacing w:line="240" w:lineRule="auto"/>
        <w:ind w:left="1080"/>
        <w:rPr>
          <w:rFonts w:ascii="Palatino Linotype" w:hAnsi="Palatino Linotype"/>
          <w:sz w:val="24"/>
          <w:szCs w:val="24"/>
        </w:rPr>
      </w:pPr>
      <w:r w:rsidRPr="00941BC9">
        <w:rPr>
          <w:rFonts w:ascii="Palatino Linotype" w:hAnsi="Palatino Linotype"/>
          <w:sz w:val="24"/>
          <w:szCs w:val="24"/>
        </w:rPr>
        <w:t xml:space="preserve">Procurement Methodology, Evaluation, and Cost </w:t>
      </w:r>
      <w:proofErr w:type="gramStart"/>
      <w:r w:rsidRPr="00941BC9">
        <w:rPr>
          <w:rFonts w:ascii="Palatino Linotype" w:hAnsi="Palatino Linotype"/>
          <w:sz w:val="24"/>
          <w:szCs w:val="24"/>
        </w:rPr>
        <w:t>Reasonableness;</w:t>
      </w:r>
      <w:proofErr w:type="gramEnd"/>
      <w:r w:rsidRPr="00941BC9">
        <w:rPr>
          <w:rFonts w:ascii="Palatino Linotype" w:hAnsi="Palatino Linotype"/>
          <w:sz w:val="24"/>
          <w:szCs w:val="24"/>
        </w:rPr>
        <w:t xml:space="preserve"> </w:t>
      </w:r>
    </w:p>
    <w:p w:rsidRPr="00941BC9" w:rsidR="00F6503D" w:rsidP="00F6503D" w:rsidRDefault="00F6503D" w14:paraId="1F247BC1" w14:textId="4CB1B493">
      <w:pPr>
        <w:pStyle w:val="standard"/>
        <w:widowControl w:val="0"/>
        <w:numPr>
          <w:ilvl w:val="0"/>
          <w:numId w:val="6"/>
        </w:numPr>
        <w:spacing w:line="240" w:lineRule="auto"/>
        <w:ind w:left="1080"/>
        <w:rPr>
          <w:rFonts w:ascii="Palatino Linotype" w:hAnsi="Palatino Linotype"/>
          <w:sz w:val="24"/>
          <w:szCs w:val="24"/>
        </w:rPr>
      </w:pPr>
      <w:r w:rsidRPr="00941BC9">
        <w:rPr>
          <w:rFonts w:ascii="Palatino Linotype" w:hAnsi="Palatino Linotype"/>
          <w:sz w:val="24"/>
          <w:szCs w:val="24"/>
        </w:rPr>
        <w:t>Independent Evaluator</w:t>
      </w:r>
      <w:r w:rsidRPr="00941BC9" w:rsidR="00EE2C62">
        <w:rPr>
          <w:rFonts w:ascii="Palatino Linotype" w:hAnsi="Palatino Linotype"/>
          <w:sz w:val="24"/>
          <w:szCs w:val="24"/>
        </w:rPr>
        <w:t xml:space="preserve"> (</w:t>
      </w:r>
      <w:r w:rsidRPr="00941BC9" w:rsidR="00C90C8E">
        <w:rPr>
          <w:rFonts w:ascii="Palatino Linotype" w:hAnsi="Palatino Linotype"/>
          <w:sz w:val="24"/>
          <w:szCs w:val="24"/>
        </w:rPr>
        <w:t>“</w:t>
      </w:r>
      <w:r w:rsidRPr="00941BC9" w:rsidR="00EE2C62">
        <w:rPr>
          <w:rFonts w:ascii="Palatino Linotype" w:hAnsi="Palatino Linotype"/>
          <w:sz w:val="24"/>
          <w:szCs w:val="24"/>
        </w:rPr>
        <w:t>IE</w:t>
      </w:r>
      <w:r w:rsidRPr="00941BC9" w:rsidR="00C90C8E">
        <w:rPr>
          <w:rFonts w:ascii="Palatino Linotype" w:hAnsi="Palatino Linotype"/>
          <w:sz w:val="24"/>
          <w:szCs w:val="24"/>
        </w:rPr>
        <w:t>”</w:t>
      </w:r>
      <w:r w:rsidRPr="00941BC9" w:rsidR="00EE2C62">
        <w:rPr>
          <w:rFonts w:ascii="Palatino Linotype" w:hAnsi="Palatino Linotype"/>
          <w:sz w:val="24"/>
          <w:szCs w:val="24"/>
        </w:rPr>
        <w:t>)</w:t>
      </w:r>
      <w:r w:rsidRPr="00941BC9">
        <w:rPr>
          <w:rFonts w:ascii="Palatino Linotype" w:hAnsi="Palatino Linotype"/>
          <w:sz w:val="24"/>
          <w:szCs w:val="24"/>
        </w:rPr>
        <w:t xml:space="preserve"> </w:t>
      </w:r>
      <w:proofErr w:type="gramStart"/>
      <w:r w:rsidRPr="00941BC9">
        <w:rPr>
          <w:rFonts w:ascii="Palatino Linotype" w:hAnsi="Palatino Linotype"/>
          <w:sz w:val="24"/>
          <w:szCs w:val="24"/>
        </w:rPr>
        <w:t>Review;</w:t>
      </w:r>
      <w:proofErr w:type="gramEnd"/>
    </w:p>
    <w:p w:rsidRPr="00941BC9" w:rsidR="00F6503D" w:rsidP="00F6503D" w:rsidRDefault="00F6503D" w14:paraId="55AC5BB3" w14:textId="41B0A3E1">
      <w:pPr>
        <w:pStyle w:val="standard"/>
        <w:widowControl w:val="0"/>
        <w:numPr>
          <w:ilvl w:val="0"/>
          <w:numId w:val="6"/>
        </w:numPr>
        <w:spacing w:line="240" w:lineRule="auto"/>
        <w:ind w:left="1080"/>
        <w:rPr>
          <w:rFonts w:ascii="Palatino Linotype" w:hAnsi="Palatino Linotype"/>
          <w:sz w:val="24"/>
          <w:szCs w:val="24"/>
        </w:rPr>
      </w:pPr>
      <w:r w:rsidRPr="00941BC9">
        <w:rPr>
          <w:rFonts w:ascii="Palatino Linotype" w:hAnsi="Palatino Linotype"/>
          <w:sz w:val="24"/>
          <w:szCs w:val="24"/>
        </w:rPr>
        <w:t xml:space="preserve">Procurement Review Group </w:t>
      </w:r>
      <w:proofErr w:type="gramStart"/>
      <w:r w:rsidRPr="00941BC9">
        <w:rPr>
          <w:rFonts w:ascii="Palatino Linotype" w:hAnsi="Palatino Linotype"/>
          <w:sz w:val="24"/>
          <w:szCs w:val="24"/>
        </w:rPr>
        <w:t>Participation;</w:t>
      </w:r>
      <w:proofErr w:type="gramEnd"/>
    </w:p>
    <w:p w:rsidRPr="00941BC9" w:rsidR="00E903D3" w:rsidP="00CA2DCD" w:rsidRDefault="00E903D3" w14:paraId="53664812" w14:textId="201A8D8E">
      <w:pPr>
        <w:pStyle w:val="standard"/>
        <w:widowControl w:val="0"/>
        <w:numPr>
          <w:ilvl w:val="0"/>
          <w:numId w:val="6"/>
        </w:numPr>
        <w:spacing w:line="240" w:lineRule="auto"/>
        <w:ind w:left="1080"/>
        <w:rPr>
          <w:rFonts w:ascii="Palatino Linotype" w:hAnsi="Palatino Linotype"/>
          <w:sz w:val="24"/>
          <w:szCs w:val="24"/>
        </w:rPr>
      </w:pPr>
      <w:proofErr w:type="gramStart"/>
      <w:r w:rsidRPr="00941BC9">
        <w:rPr>
          <w:rFonts w:ascii="Palatino Linotype" w:hAnsi="Palatino Linotype"/>
          <w:sz w:val="24"/>
          <w:szCs w:val="24"/>
        </w:rPr>
        <w:t>Consistency</w:t>
      </w:r>
      <w:proofErr w:type="gramEnd"/>
      <w:r w:rsidRPr="00941BC9">
        <w:rPr>
          <w:rFonts w:ascii="Palatino Linotype" w:hAnsi="Palatino Linotype"/>
          <w:sz w:val="24"/>
          <w:szCs w:val="24"/>
        </w:rPr>
        <w:t xml:space="preserve"> with RPS Standard Terms and </w:t>
      </w:r>
      <w:proofErr w:type="gramStart"/>
      <w:r w:rsidRPr="00941BC9">
        <w:rPr>
          <w:rFonts w:ascii="Palatino Linotype" w:hAnsi="Palatino Linotype"/>
          <w:sz w:val="24"/>
          <w:szCs w:val="24"/>
        </w:rPr>
        <w:t>Conditions;</w:t>
      </w:r>
      <w:proofErr w:type="gramEnd"/>
    </w:p>
    <w:p w:rsidRPr="00941BC9" w:rsidR="00E903D3" w:rsidP="00CA2DCD" w:rsidRDefault="00E903D3" w14:paraId="77F3BCE5" w14:textId="05DCE17E">
      <w:pPr>
        <w:pStyle w:val="standard"/>
        <w:widowControl w:val="0"/>
        <w:numPr>
          <w:ilvl w:val="0"/>
          <w:numId w:val="6"/>
        </w:numPr>
        <w:spacing w:line="240" w:lineRule="auto"/>
        <w:ind w:left="1080"/>
        <w:rPr>
          <w:rFonts w:ascii="Palatino Linotype" w:hAnsi="Palatino Linotype"/>
          <w:sz w:val="24"/>
          <w:szCs w:val="24"/>
        </w:rPr>
      </w:pPr>
      <w:proofErr w:type="gramStart"/>
      <w:r w:rsidRPr="00941BC9">
        <w:rPr>
          <w:rFonts w:ascii="Palatino Linotype" w:hAnsi="Palatino Linotype"/>
          <w:sz w:val="24"/>
          <w:szCs w:val="24"/>
        </w:rPr>
        <w:t>Consistency</w:t>
      </w:r>
      <w:proofErr w:type="gramEnd"/>
      <w:r w:rsidRPr="00941BC9">
        <w:rPr>
          <w:rFonts w:ascii="Palatino Linotype" w:hAnsi="Palatino Linotype"/>
          <w:sz w:val="24"/>
          <w:szCs w:val="24"/>
        </w:rPr>
        <w:t xml:space="preserve"> with Portfolio Content Categories </w:t>
      </w:r>
      <w:proofErr w:type="gramStart"/>
      <w:r w:rsidRPr="00941BC9">
        <w:rPr>
          <w:rFonts w:ascii="Palatino Linotype" w:hAnsi="Palatino Linotype"/>
          <w:sz w:val="24"/>
          <w:szCs w:val="24"/>
        </w:rPr>
        <w:t>Requirements;</w:t>
      </w:r>
      <w:proofErr w:type="gramEnd"/>
    </w:p>
    <w:p w:rsidRPr="00941BC9" w:rsidR="00E903D3" w:rsidP="00CA2DCD" w:rsidRDefault="00E903D3" w14:paraId="5CA29347" w14:textId="05C36177">
      <w:pPr>
        <w:pStyle w:val="standard"/>
        <w:widowControl w:val="0"/>
        <w:numPr>
          <w:ilvl w:val="0"/>
          <w:numId w:val="6"/>
        </w:numPr>
        <w:spacing w:line="240" w:lineRule="auto"/>
        <w:ind w:left="1080"/>
        <w:rPr>
          <w:rFonts w:ascii="Palatino Linotype" w:hAnsi="Palatino Linotype"/>
          <w:sz w:val="24"/>
          <w:szCs w:val="24"/>
        </w:rPr>
      </w:pPr>
      <w:proofErr w:type="gramStart"/>
      <w:r w:rsidRPr="00941BC9">
        <w:rPr>
          <w:rFonts w:ascii="Palatino Linotype" w:hAnsi="Palatino Linotype"/>
          <w:sz w:val="24"/>
          <w:szCs w:val="24"/>
        </w:rPr>
        <w:lastRenderedPageBreak/>
        <w:t>Consistency</w:t>
      </w:r>
      <w:proofErr w:type="gramEnd"/>
      <w:r w:rsidRPr="00941BC9">
        <w:rPr>
          <w:rFonts w:ascii="Palatino Linotype" w:hAnsi="Palatino Linotype"/>
          <w:sz w:val="24"/>
          <w:szCs w:val="24"/>
        </w:rPr>
        <w:t xml:space="preserve"> with the Long-Term Contracting </w:t>
      </w:r>
      <w:proofErr w:type="gramStart"/>
      <w:r w:rsidRPr="00941BC9">
        <w:rPr>
          <w:rFonts w:ascii="Palatino Linotype" w:hAnsi="Palatino Linotype"/>
          <w:sz w:val="24"/>
          <w:szCs w:val="24"/>
        </w:rPr>
        <w:t>Requirement;</w:t>
      </w:r>
      <w:proofErr w:type="gramEnd"/>
      <w:r w:rsidRPr="00941BC9">
        <w:rPr>
          <w:rFonts w:ascii="Palatino Linotype" w:hAnsi="Palatino Linotype"/>
          <w:sz w:val="24"/>
          <w:szCs w:val="24"/>
        </w:rPr>
        <w:t xml:space="preserve"> </w:t>
      </w:r>
    </w:p>
    <w:p w:rsidRPr="00941BC9" w:rsidR="005F2346" w:rsidP="005F2346" w:rsidRDefault="005F2346" w14:paraId="05E8B3CE" w14:textId="77777777">
      <w:pPr>
        <w:pStyle w:val="standard"/>
        <w:widowControl w:val="0"/>
        <w:numPr>
          <w:ilvl w:val="0"/>
          <w:numId w:val="6"/>
        </w:numPr>
        <w:spacing w:line="240" w:lineRule="auto"/>
        <w:ind w:left="1080"/>
        <w:rPr>
          <w:rFonts w:ascii="Palatino Linotype" w:hAnsi="Palatino Linotype"/>
          <w:sz w:val="24"/>
          <w:szCs w:val="24"/>
        </w:rPr>
      </w:pPr>
      <w:r w:rsidRPr="00941BC9">
        <w:rPr>
          <w:rFonts w:ascii="Palatino Linotype" w:hAnsi="Palatino Linotype"/>
          <w:sz w:val="24"/>
          <w:szCs w:val="24"/>
        </w:rPr>
        <w:t xml:space="preserve">RPS Eligibility and CPUC </w:t>
      </w:r>
      <w:proofErr w:type="gramStart"/>
      <w:r w:rsidRPr="00941BC9">
        <w:rPr>
          <w:rFonts w:ascii="Palatino Linotype" w:hAnsi="Palatino Linotype"/>
          <w:sz w:val="24"/>
          <w:szCs w:val="24"/>
        </w:rPr>
        <w:t>Approval;</w:t>
      </w:r>
      <w:proofErr w:type="gramEnd"/>
    </w:p>
    <w:p w:rsidRPr="00941BC9" w:rsidR="00E903D3" w:rsidP="00CA2DCD" w:rsidRDefault="00E903D3" w14:paraId="63F8EED2" w14:textId="337EB8AB">
      <w:pPr>
        <w:pStyle w:val="standard"/>
        <w:widowControl w:val="0"/>
        <w:numPr>
          <w:ilvl w:val="0"/>
          <w:numId w:val="6"/>
        </w:numPr>
        <w:spacing w:line="240" w:lineRule="auto"/>
        <w:ind w:left="1080"/>
        <w:rPr>
          <w:rFonts w:ascii="Palatino Linotype" w:hAnsi="Palatino Linotype"/>
          <w:sz w:val="24"/>
          <w:szCs w:val="24"/>
        </w:rPr>
      </w:pPr>
      <w:r w:rsidRPr="00941BC9">
        <w:rPr>
          <w:rFonts w:ascii="Palatino Linotype" w:hAnsi="Palatino Linotype"/>
          <w:sz w:val="24"/>
          <w:szCs w:val="24"/>
        </w:rPr>
        <w:t xml:space="preserve">Disadvantaged Community </w:t>
      </w:r>
      <w:proofErr w:type="gramStart"/>
      <w:r w:rsidRPr="00941BC9">
        <w:rPr>
          <w:rFonts w:ascii="Palatino Linotype" w:hAnsi="Palatino Linotype"/>
          <w:sz w:val="24"/>
          <w:szCs w:val="24"/>
        </w:rPr>
        <w:t>Goals;</w:t>
      </w:r>
      <w:proofErr w:type="gramEnd"/>
    </w:p>
    <w:p w:rsidRPr="00941BC9" w:rsidR="005F2346" w:rsidP="009E2D5B" w:rsidRDefault="00E903D3" w14:paraId="2B11A8C4" w14:textId="77777777">
      <w:pPr>
        <w:pStyle w:val="standard"/>
        <w:widowControl w:val="0"/>
        <w:numPr>
          <w:ilvl w:val="0"/>
          <w:numId w:val="6"/>
        </w:numPr>
        <w:spacing w:line="240" w:lineRule="auto"/>
        <w:ind w:left="1080"/>
        <w:rPr>
          <w:rFonts w:ascii="Palatino Linotype" w:hAnsi="Palatino Linotype"/>
          <w:sz w:val="24"/>
          <w:szCs w:val="24"/>
        </w:rPr>
      </w:pPr>
      <w:r w:rsidRPr="00941BC9">
        <w:rPr>
          <w:rFonts w:ascii="Palatino Linotype" w:hAnsi="Palatino Linotype"/>
          <w:sz w:val="24"/>
          <w:szCs w:val="24"/>
        </w:rPr>
        <w:t xml:space="preserve">Compliance with the Interim Greenhouse Gas Emissions Performance </w:t>
      </w:r>
      <w:proofErr w:type="gramStart"/>
      <w:r w:rsidRPr="00941BC9">
        <w:rPr>
          <w:rFonts w:ascii="Palatino Linotype" w:hAnsi="Palatino Linotype"/>
          <w:sz w:val="24"/>
          <w:szCs w:val="24"/>
        </w:rPr>
        <w:t>Standard;</w:t>
      </w:r>
      <w:proofErr w:type="gramEnd"/>
      <w:r w:rsidRPr="00941BC9">
        <w:rPr>
          <w:rFonts w:ascii="Palatino Linotype" w:hAnsi="Palatino Linotype"/>
          <w:sz w:val="24"/>
          <w:szCs w:val="24"/>
        </w:rPr>
        <w:t xml:space="preserve"> </w:t>
      </w:r>
    </w:p>
    <w:p w:rsidRPr="00941BC9" w:rsidR="00E903D3" w:rsidP="00102D96" w:rsidRDefault="005F2346" w14:paraId="4FF888EF" w14:textId="39CD202B">
      <w:pPr>
        <w:pStyle w:val="standard"/>
        <w:widowControl w:val="0"/>
        <w:numPr>
          <w:ilvl w:val="0"/>
          <w:numId w:val="6"/>
        </w:numPr>
        <w:spacing w:line="240" w:lineRule="auto"/>
        <w:ind w:left="1080"/>
        <w:rPr>
          <w:rFonts w:ascii="Palatino Linotype" w:hAnsi="Palatino Linotype"/>
          <w:sz w:val="24"/>
          <w:szCs w:val="24"/>
        </w:rPr>
      </w:pPr>
      <w:r w:rsidRPr="00941BC9">
        <w:rPr>
          <w:rFonts w:ascii="Palatino Linotype" w:hAnsi="Palatino Linotype"/>
          <w:sz w:val="24"/>
          <w:szCs w:val="24"/>
        </w:rPr>
        <w:t>Disadvantaged Community Goals</w:t>
      </w:r>
      <w:r w:rsidRPr="00941BC9" w:rsidR="001D5365">
        <w:rPr>
          <w:rFonts w:ascii="Palatino Linotype" w:hAnsi="Palatino Linotype"/>
          <w:sz w:val="24"/>
          <w:szCs w:val="24"/>
        </w:rPr>
        <w:t xml:space="preserve">; </w:t>
      </w:r>
      <w:r w:rsidRPr="00941BC9" w:rsidR="00E903D3">
        <w:rPr>
          <w:rFonts w:ascii="Palatino Linotype" w:hAnsi="Palatino Linotype"/>
          <w:sz w:val="24"/>
          <w:szCs w:val="24"/>
        </w:rPr>
        <w:t>and</w:t>
      </w:r>
      <w:r w:rsidRPr="00941BC9" w:rsidR="00F16F6B">
        <w:rPr>
          <w:rFonts w:ascii="Palatino Linotype" w:hAnsi="Palatino Linotype"/>
          <w:sz w:val="24"/>
          <w:szCs w:val="24"/>
        </w:rPr>
        <w:t xml:space="preserve"> </w:t>
      </w:r>
      <w:r w:rsidRPr="00941BC9" w:rsidR="00E903D3">
        <w:rPr>
          <w:rFonts w:ascii="Palatino Linotype" w:hAnsi="Palatino Linotype"/>
          <w:sz w:val="24"/>
          <w:szCs w:val="24"/>
        </w:rPr>
        <w:t>Cost Recovery.</w:t>
      </w:r>
    </w:p>
    <w:p w:rsidRPr="00941BC9" w:rsidR="00D72B88" w:rsidP="005759C6" w:rsidRDefault="00D72B88" w14:paraId="2D97F646" w14:textId="20899457">
      <w:pPr>
        <w:pStyle w:val="standard"/>
        <w:widowControl w:val="0"/>
        <w:spacing w:before="120" w:after="240" w:line="240" w:lineRule="auto"/>
        <w:ind w:firstLine="0"/>
        <w:rPr>
          <w:rFonts w:ascii="Palatino Linotype" w:hAnsi="Palatino Linotype"/>
          <w:sz w:val="24"/>
          <w:szCs w:val="24"/>
        </w:rPr>
      </w:pPr>
      <w:r w:rsidRPr="00941BC9">
        <w:rPr>
          <w:rFonts w:ascii="Palatino Linotype" w:hAnsi="Palatino Linotype"/>
          <w:b/>
          <w:bCs/>
          <w:sz w:val="24"/>
          <w:szCs w:val="24"/>
        </w:rPr>
        <w:t>Co</w:t>
      </w:r>
      <w:r w:rsidRPr="00941BC9" w:rsidR="00E513BA">
        <w:rPr>
          <w:rFonts w:ascii="Palatino Linotype" w:hAnsi="Palatino Linotype"/>
          <w:b/>
          <w:bCs/>
          <w:sz w:val="24"/>
          <w:szCs w:val="24"/>
        </w:rPr>
        <w:t>nsistency</w:t>
      </w:r>
      <w:r w:rsidRPr="00941BC9">
        <w:rPr>
          <w:rFonts w:ascii="Palatino Linotype" w:hAnsi="Palatino Linotype"/>
          <w:b/>
          <w:bCs/>
          <w:sz w:val="24"/>
          <w:szCs w:val="24"/>
        </w:rPr>
        <w:t xml:space="preserve"> with D.21-06-035 and D.23-02-040</w:t>
      </w:r>
    </w:p>
    <w:p w:rsidRPr="00941BC9" w:rsidR="00D72B88" w:rsidP="008405E8" w:rsidRDefault="00D72B88" w14:paraId="39CF9F17" w14:textId="2CED5B47">
      <w:pPr>
        <w:pStyle w:val="standard"/>
        <w:spacing w:after="120" w:line="240" w:lineRule="auto"/>
        <w:ind w:firstLine="0"/>
        <w:rPr>
          <w:rFonts w:ascii="Palatino Linotype" w:hAnsi="Palatino Linotype"/>
          <w:sz w:val="24"/>
          <w:szCs w:val="24"/>
        </w:rPr>
      </w:pPr>
      <w:r w:rsidRPr="00941BC9">
        <w:rPr>
          <w:rFonts w:ascii="Palatino Linotype" w:hAnsi="Palatino Linotype"/>
          <w:sz w:val="24"/>
          <w:szCs w:val="24"/>
        </w:rPr>
        <w:t>D.21-06-035, Ordering Paragraphs (OP) 3, as follows:</w:t>
      </w:r>
    </w:p>
    <w:p w:rsidRPr="00941BC9" w:rsidR="00D72B88" w:rsidP="00D72B88" w:rsidRDefault="00D72B88" w14:paraId="6D171004" w14:textId="77777777">
      <w:pPr>
        <w:pStyle w:val="standard"/>
        <w:spacing w:line="240" w:lineRule="auto"/>
        <w:rPr>
          <w:rFonts w:ascii="Palatino Linotype" w:hAnsi="Palatino Linotype"/>
          <w:sz w:val="24"/>
          <w:szCs w:val="24"/>
        </w:rPr>
      </w:pPr>
      <w:r w:rsidRPr="00941BC9">
        <w:rPr>
          <w:rFonts w:ascii="Palatino Linotype" w:hAnsi="Palatino Linotype"/>
          <w:sz w:val="24"/>
          <w:szCs w:val="24"/>
        </w:rPr>
        <w:t>OP 3: All load-serving entities named in Table 6 of this order, plus the individual</w:t>
      </w:r>
    </w:p>
    <w:p w:rsidRPr="00941BC9" w:rsidR="00D72B88" w:rsidP="00D72B88" w:rsidRDefault="00D72B88" w14:paraId="28CE616A" w14:textId="77777777">
      <w:pPr>
        <w:pStyle w:val="standard"/>
        <w:spacing w:line="240" w:lineRule="auto"/>
        <w:ind w:left="720" w:firstLine="0"/>
        <w:rPr>
          <w:rFonts w:ascii="Palatino Linotype" w:hAnsi="Palatino Linotype"/>
          <w:sz w:val="24"/>
          <w:szCs w:val="24"/>
        </w:rPr>
      </w:pPr>
      <w:r w:rsidRPr="00941BC9">
        <w:rPr>
          <w:rFonts w:ascii="Palatino Linotype" w:hAnsi="Palatino Linotype"/>
          <w:sz w:val="24"/>
          <w:szCs w:val="24"/>
        </w:rPr>
        <w:t>electric service providers who will receive their individual allocations confidentially from Commission staff, shall procure the September net qualifying capacity amounts given in Table 6, and shall file and serve on the service list of this proceeding or any successor proceeding compliance filings according to the</w:t>
      </w:r>
    </w:p>
    <w:p w:rsidRPr="00941BC9" w:rsidR="00D72B88" w:rsidP="00D72B88" w:rsidRDefault="00D72B88" w14:paraId="107BF202" w14:textId="466D0985">
      <w:pPr>
        <w:pStyle w:val="standard"/>
        <w:spacing w:line="240" w:lineRule="auto"/>
        <w:rPr>
          <w:rFonts w:ascii="Palatino Linotype" w:hAnsi="Palatino Linotype"/>
          <w:sz w:val="24"/>
          <w:szCs w:val="24"/>
        </w:rPr>
      </w:pPr>
      <w:r w:rsidRPr="00941BC9">
        <w:rPr>
          <w:rFonts w:ascii="Palatino Linotype" w:hAnsi="Palatino Linotype"/>
          <w:sz w:val="24"/>
          <w:szCs w:val="24"/>
        </w:rPr>
        <w:t>schedule given in Table 7 of this order.</w:t>
      </w:r>
      <w:r w:rsidRPr="00941BC9" w:rsidR="001545BE">
        <w:rPr>
          <w:rStyle w:val="FootnoteReference"/>
          <w:rFonts w:ascii="Palatino Linotype" w:hAnsi="Palatino Linotype"/>
          <w:sz w:val="24"/>
          <w:szCs w:val="24"/>
        </w:rPr>
        <w:footnoteReference w:id="7"/>
      </w:r>
    </w:p>
    <w:p w:rsidRPr="00941BC9" w:rsidR="0012467F" w:rsidP="00D72B88" w:rsidRDefault="0012467F" w14:paraId="701D8910" w14:textId="77777777">
      <w:pPr>
        <w:pStyle w:val="standard"/>
        <w:spacing w:line="240" w:lineRule="auto"/>
        <w:rPr>
          <w:rFonts w:ascii="Palatino Linotype" w:hAnsi="Palatino Linotype"/>
          <w:sz w:val="24"/>
          <w:szCs w:val="24"/>
        </w:rPr>
      </w:pPr>
    </w:p>
    <w:p w:rsidRPr="00941BC9" w:rsidR="000A305A" w:rsidP="00B71683" w:rsidRDefault="001B07F5" w14:paraId="402E8473" w14:textId="40D6D7BE">
      <w:pPr>
        <w:pStyle w:val="standard"/>
        <w:spacing w:line="240" w:lineRule="auto"/>
        <w:ind w:firstLine="0"/>
        <w:rPr>
          <w:rFonts w:ascii="Palatino Linotype" w:hAnsi="Palatino Linotype"/>
          <w:sz w:val="24"/>
          <w:szCs w:val="24"/>
        </w:rPr>
      </w:pPr>
      <w:r w:rsidRPr="00941BC9">
        <w:rPr>
          <w:rFonts w:ascii="Palatino Linotype" w:hAnsi="Palatino Linotype"/>
          <w:sz w:val="24"/>
          <w:szCs w:val="24"/>
        </w:rPr>
        <w:t>Specifically, Table 6</w:t>
      </w:r>
      <w:r w:rsidRPr="00941BC9" w:rsidR="00FE6397">
        <w:rPr>
          <w:rFonts w:ascii="Palatino Linotype" w:hAnsi="Palatino Linotype"/>
          <w:sz w:val="24"/>
          <w:szCs w:val="24"/>
        </w:rPr>
        <w:t xml:space="preserve"> requires </w:t>
      </w:r>
      <w:r w:rsidRPr="00941BC9" w:rsidR="00D72B88">
        <w:rPr>
          <w:rFonts w:ascii="Palatino Linotype" w:hAnsi="Palatino Linotype"/>
          <w:sz w:val="24"/>
          <w:szCs w:val="24"/>
        </w:rPr>
        <w:t xml:space="preserve">PG&amp;E </w:t>
      </w:r>
      <w:r w:rsidRPr="00941BC9" w:rsidR="00FE6397">
        <w:rPr>
          <w:rFonts w:ascii="Palatino Linotype" w:hAnsi="Palatino Linotype"/>
          <w:sz w:val="24"/>
          <w:szCs w:val="24"/>
        </w:rPr>
        <w:t xml:space="preserve">to </w:t>
      </w:r>
      <w:r w:rsidRPr="00941BC9" w:rsidR="00211DB8">
        <w:rPr>
          <w:rFonts w:ascii="Palatino Linotype" w:hAnsi="Palatino Linotype"/>
          <w:sz w:val="24"/>
          <w:szCs w:val="24"/>
        </w:rPr>
        <w:t>procure 2,302 MW</w:t>
      </w:r>
      <w:r w:rsidRPr="00941BC9" w:rsidR="009C75B2">
        <w:rPr>
          <w:rFonts w:ascii="Palatino Linotype" w:hAnsi="Palatino Linotype"/>
          <w:sz w:val="24"/>
          <w:szCs w:val="24"/>
        </w:rPr>
        <w:t xml:space="preserve"> </w:t>
      </w:r>
      <w:r w:rsidRPr="00941BC9" w:rsidR="003B3009">
        <w:rPr>
          <w:rFonts w:ascii="Palatino Linotype" w:hAnsi="Palatino Linotype"/>
          <w:sz w:val="24"/>
          <w:szCs w:val="24"/>
        </w:rPr>
        <w:t>September NQC</w:t>
      </w:r>
      <w:r w:rsidRPr="00941BC9">
        <w:rPr>
          <w:rFonts w:ascii="Palatino Linotype" w:hAnsi="Palatino Linotype"/>
          <w:sz w:val="24"/>
          <w:szCs w:val="24"/>
        </w:rPr>
        <w:t>.  PG&amp;E</w:t>
      </w:r>
      <w:r w:rsidRPr="00941BC9" w:rsidR="00211DB8">
        <w:rPr>
          <w:rFonts w:ascii="Palatino Linotype" w:hAnsi="Palatino Linotype"/>
          <w:sz w:val="24"/>
          <w:szCs w:val="24"/>
        </w:rPr>
        <w:t xml:space="preserve"> </w:t>
      </w:r>
      <w:r w:rsidRPr="00941BC9" w:rsidR="00086263">
        <w:rPr>
          <w:rFonts w:ascii="Palatino Linotype" w:hAnsi="Palatino Linotype"/>
          <w:sz w:val="24"/>
          <w:szCs w:val="24"/>
        </w:rPr>
        <w:t>asserts in submitting</w:t>
      </w:r>
      <w:r w:rsidRPr="00941BC9" w:rsidR="00D72B88">
        <w:rPr>
          <w:rFonts w:ascii="Palatino Linotype" w:hAnsi="Palatino Linotype"/>
          <w:sz w:val="24"/>
          <w:szCs w:val="24"/>
        </w:rPr>
        <w:t xml:space="preserve"> </w:t>
      </w:r>
      <w:r w:rsidRPr="00941BC9">
        <w:rPr>
          <w:rFonts w:ascii="Palatino Linotype" w:hAnsi="Palatino Linotype"/>
          <w:sz w:val="24"/>
          <w:szCs w:val="24"/>
        </w:rPr>
        <w:t>AL</w:t>
      </w:r>
      <w:r w:rsidRPr="00941BC9" w:rsidR="00D72B88">
        <w:rPr>
          <w:rFonts w:ascii="Palatino Linotype" w:hAnsi="Palatino Linotype"/>
          <w:sz w:val="24"/>
          <w:szCs w:val="24"/>
        </w:rPr>
        <w:t xml:space="preserve"> </w:t>
      </w:r>
      <w:r w:rsidRPr="00941BC9" w:rsidR="0017739B">
        <w:rPr>
          <w:rFonts w:ascii="Palatino Linotype" w:hAnsi="Palatino Linotype"/>
          <w:sz w:val="24"/>
          <w:szCs w:val="24"/>
        </w:rPr>
        <w:t xml:space="preserve">7299-E </w:t>
      </w:r>
      <w:r w:rsidRPr="00941BC9" w:rsidR="00086263">
        <w:rPr>
          <w:rFonts w:ascii="Palatino Linotype" w:hAnsi="Palatino Linotype"/>
          <w:sz w:val="24"/>
          <w:szCs w:val="24"/>
        </w:rPr>
        <w:t xml:space="preserve">it is </w:t>
      </w:r>
      <w:r w:rsidRPr="00941BC9" w:rsidR="00D72B88">
        <w:rPr>
          <w:rFonts w:ascii="Palatino Linotype" w:hAnsi="Palatino Linotype"/>
          <w:sz w:val="24"/>
          <w:szCs w:val="24"/>
        </w:rPr>
        <w:t xml:space="preserve">seeking Commission approval of the Agreements to satisfy </w:t>
      </w:r>
      <w:r w:rsidRPr="00941BC9" w:rsidR="00211DB8">
        <w:rPr>
          <w:rFonts w:ascii="Palatino Linotype" w:hAnsi="Palatino Linotype"/>
          <w:sz w:val="24"/>
          <w:szCs w:val="24"/>
        </w:rPr>
        <w:t>these</w:t>
      </w:r>
      <w:r w:rsidRPr="00941BC9" w:rsidR="00D72B88">
        <w:rPr>
          <w:rFonts w:ascii="Palatino Linotype" w:hAnsi="Palatino Linotype"/>
          <w:sz w:val="24"/>
          <w:szCs w:val="24"/>
        </w:rPr>
        <w:t xml:space="preserve"> procurement obligations</w:t>
      </w:r>
      <w:r w:rsidRPr="00941BC9" w:rsidR="00211DB8">
        <w:rPr>
          <w:rFonts w:ascii="Palatino Linotype" w:hAnsi="Palatino Linotype"/>
          <w:sz w:val="24"/>
          <w:szCs w:val="24"/>
        </w:rPr>
        <w:t xml:space="preserve"> </w:t>
      </w:r>
      <w:r w:rsidRPr="00941BC9">
        <w:rPr>
          <w:rFonts w:ascii="Palatino Linotype" w:hAnsi="Palatino Linotype"/>
          <w:sz w:val="24"/>
          <w:szCs w:val="24"/>
        </w:rPr>
        <w:t xml:space="preserve">and </w:t>
      </w:r>
      <w:r w:rsidRPr="00941BC9" w:rsidR="00A64280">
        <w:rPr>
          <w:rFonts w:ascii="Palatino Linotype" w:hAnsi="Palatino Linotype"/>
          <w:sz w:val="24"/>
          <w:szCs w:val="24"/>
        </w:rPr>
        <w:t>asserts that t</w:t>
      </w:r>
      <w:r w:rsidRPr="00941BC9" w:rsidR="00D72B88">
        <w:rPr>
          <w:rFonts w:ascii="Palatino Linotype" w:hAnsi="Palatino Linotype"/>
          <w:sz w:val="24"/>
          <w:szCs w:val="24"/>
        </w:rPr>
        <w:t>he Agreements are intended to meet the incremental September NQC requirements of D.21-06-035</w:t>
      </w:r>
      <w:r w:rsidRPr="00941BC9" w:rsidR="00086263">
        <w:rPr>
          <w:rFonts w:ascii="Palatino Linotype" w:hAnsi="Palatino Linotype"/>
          <w:sz w:val="24"/>
          <w:szCs w:val="24"/>
        </w:rPr>
        <w:t xml:space="preserve"> consistent with OP 3</w:t>
      </w:r>
      <w:r w:rsidRPr="00941BC9" w:rsidR="00D72B88">
        <w:rPr>
          <w:rFonts w:ascii="Palatino Linotype" w:hAnsi="Palatino Linotype"/>
          <w:sz w:val="24"/>
          <w:szCs w:val="24"/>
        </w:rPr>
        <w:t>.</w:t>
      </w:r>
    </w:p>
    <w:p w:rsidRPr="00941BC9" w:rsidR="00D05F01" w:rsidP="005A1038" w:rsidRDefault="00D72B88" w14:paraId="2ADFBBFB" w14:textId="184C3F8B">
      <w:pPr>
        <w:pStyle w:val="standard"/>
        <w:spacing w:before="120" w:after="120" w:line="240" w:lineRule="auto"/>
        <w:ind w:firstLine="0"/>
        <w:rPr>
          <w:rFonts w:ascii="Palatino Linotype" w:hAnsi="Palatino Linotype"/>
          <w:sz w:val="24"/>
          <w:szCs w:val="24"/>
        </w:rPr>
      </w:pPr>
      <w:r w:rsidRPr="00941BC9">
        <w:rPr>
          <w:rFonts w:ascii="Palatino Linotype" w:hAnsi="Palatino Linotype"/>
          <w:sz w:val="24"/>
          <w:szCs w:val="24"/>
        </w:rPr>
        <w:t>D.21-06-035, OP 6</w:t>
      </w:r>
      <w:r w:rsidRPr="00941BC9" w:rsidR="0086258D">
        <w:rPr>
          <w:rFonts w:ascii="Palatino Linotype" w:hAnsi="Palatino Linotype"/>
          <w:sz w:val="24"/>
          <w:szCs w:val="24"/>
        </w:rPr>
        <w:t>,</w:t>
      </w:r>
      <w:r w:rsidRPr="00941BC9" w:rsidR="001D5517">
        <w:rPr>
          <w:rFonts w:ascii="Palatino Linotype" w:hAnsi="Palatino Linotype"/>
          <w:sz w:val="24"/>
          <w:szCs w:val="24"/>
        </w:rPr>
        <w:t xml:space="preserve"> also</w:t>
      </w:r>
      <w:r w:rsidRPr="00941BC9" w:rsidR="00821235">
        <w:rPr>
          <w:rFonts w:ascii="Palatino Linotype" w:hAnsi="Palatino Linotype"/>
          <w:sz w:val="24"/>
          <w:szCs w:val="24"/>
        </w:rPr>
        <w:t xml:space="preserve"> requires</w:t>
      </w:r>
      <w:r w:rsidRPr="00941BC9">
        <w:rPr>
          <w:rFonts w:ascii="Palatino Linotype" w:hAnsi="Palatino Linotype"/>
          <w:sz w:val="24"/>
          <w:szCs w:val="24"/>
        </w:rPr>
        <w:t xml:space="preserve">: </w:t>
      </w:r>
    </w:p>
    <w:p w:rsidRPr="00941BC9" w:rsidR="00D72B88" w:rsidP="00622821" w:rsidRDefault="00626B44" w14:paraId="58CB5843" w14:textId="1D3B4B8D">
      <w:pPr>
        <w:pStyle w:val="standard"/>
        <w:spacing w:line="240" w:lineRule="auto"/>
        <w:ind w:left="720" w:firstLine="0"/>
        <w:rPr>
          <w:rFonts w:ascii="Palatino Linotype" w:hAnsi="Palatino Linotype"/>
          <w:sz w:val="24"/>
          <w:szCs w:val="24"/>
        </w:rPr>
      </w:pPr>
      <w:r w:rsidRPr="00941BC9">
        <w:rPr>
          <w:rFonts w:ascii="Palatino Linotype" w:hAnsi="Palatino Linotype"/>
          <w:sz w:val="24"/>
          <w:szCs w:val="24"/>
        </w:rPr>
        <w:t>Collectively, t</w:t>
      </w:r>
      <w:r w:rsidRPr="00941BC9" w:rsidR="00651404">
        <w:rPr>
          <w:rFonts w:ascii="Palatino Linotype" w:hAnsi="Palatino Linotype"/>
          <w:sz w:val="24"/>
          <w:szCs w:val="24"/>
        </w:rPr>
        <w:t>o</w:t>
      </w:r>
      <w:r w:rsidRPr="00941BC9" w:rsidR="00D72B88">
        <w:rPr>
          <w:rFonts w:ascii="Palatino Linotype" w:hAnsi="Palatino Linotype"/>
          <w:sz w:val="24"/>
          <w:szCs w:val="24"/>
        </w:rPr>
        <w:t xml:space="preserve"> ensure that the capacity retiring at the </w:t>
      </w:r>
      <w:r w:rsidRPr="00941BC9" w:rsidR="004D4212">
        <w:rPr>
          <w:rFonts w:ascii="Palatino Linotype" w:hAnsi="Palatino Linotype"/>
          <w:sz w:val="24"/>
          <w:szCs w:val="24"/>
        </w:rPr>
        <w:t xml:space="preserve">Diablo Canyon Power Plant </w:t>
      </w:r>
      <w:r w:rsidRPr="00941BC9" w:rsidR="00D72B88">
        <w:rPr>
          <w:rFonts w:ascii="Palatino Linotype" w:hAnsi="Palatino Linotype"/>
          <w:sz w:val="24"/>
          <w:szCs w:val="24"/>
        </w:rPr>
        <w:t>is replaced</w:t>
      </w:r>
      <w:r w:rsidRPr="00941BC9" w:rsidR="0012467F">
        <w:rPr>
          <w:rFonts w:ascii="Palatino Linotype" w:hAnsi="Palatino Linotype"/>
          <w:sz w:val="24"/>
          <w:szCs w:val="24"/>
        </w:rPr>
        <w:t xml:space="preserve"> </w:t>
      </w:r>
      <w:r w:rsidRPr="00941BC9" w:rsidR="00D72B88">
        <w:rPr>
          <w:rFonts w:ascii="Palatino Linotype" w:hAnsi="Palatino Linotype"/>
          <w:sz w:val="24"/>
          <w:szCs w:val="24"/>
        </w:rPr>
        <w:t xml:space="preserve">entirely with </w:t>
      </w:r>
      <w:r w:rsidRPr="00941BC9" w:rsidR="004D4212">
        <w:rPr>
          <w:rFonts w:ascii="Palatino Linotype" w:hAnsi="Palatino Linotype"/>
          <w:sz w:val="24"/>
          <w:szCs w:val="24"/>
        </w:rPr>
        <w:t>zero-</w:t>
      </w:r>
      <w:r w:rsidRPr="00941BC9" w:rsidR="00D72B88">
        <w:rPr>
          <w:rFonts w:ascii="Palatino Linotype" w:hAnsi="Palatino Linotype"/>
          <w:sz w:val="24"/>
          <w:szCs w:val="24"/>
        </w:rPr>
        <w:t>emitting resources, all load-serving entities shall collectively</w:t>
      </w:r>
      <w:r w:rsidRPr="00941BC9" w:rsidR="0012467F">
        <w:rPr>
          <w:rFonts w:ascii="Palatino Linotype" w:hAnsi="Palatino Linotype"/>
          <w:sz w:val="24"/>
          <w:szCs w:val="24"/>
        </w:rPr>
        <w:t xml:space="preserve"> </w:t>
      </w:r>
      <w:r w:rsidRPr="00941BC9" w:rsidR="00D72B88">
        <w:rPr>
          <w:rFonts w:ascii="Palatino Linotype" w:hAnsi="Palatino Linotype"/>
          <w:sz w:val="24"/>
          <w:szCs w:val="24"/>
        </w:rPr>
        <w:t>procure a minimum of 2,500 megawatts (MW) of incremental zero emissions</w:t>
      </w:r>
      <w:r w:rsidRPr="00941BC9" w:rsidR="0012467F">
        <w:rPr>
          <w:rFonts w:ascii="Palatino Linotype" w:hAnsi="Palatino Linotype"/>
          <w:sz w:val="24"/>
          <w:szCs w:val="24"/>
        </w:rPr>
        <w:t xml:space="preserve"> </w:t>
      </w:r>
      <w:r w:rsidRPr="00941BC9" w:rsidR="00D72B88">
        <w:rPr>
          <w:rFonts w:ascii="Palatino Linotype" w:hAnsi="Palatino Linotype"/>
          <w:sz w:val="24"/>
          <w:szCs w:val="24"/>
        </w:rPr>
        <w:t xml:space="preserve">capacity out of the total of 11,500 MW required in </w:t>
      </w:r>
      <w:r w:rsidRPr="00941BC9" w:rsidR="004D4212">
        <w:rPr>
          <w:rFonts w:ascii="Palatino Linotype" w:hAnsi="Palatino Linotype"/>
          <w:sz w:val="24"/>
          <w:szCs w:val="24"/>
        </w:rPr>
        <w:t>this decision</w:t>
      </w:r>
      <w:r w:rsidRPr="00941BC9" w:rsidR="00D72B88">
        <w:rPr>
          <w:rFonts w:ascii="Palatino Linotype" w:hAnsi="Palatino Linotype"/>
          <w:sz w:val="24"/>
          <w:szCs w:val="24"/>
        </w:rPr>
        <w:t>. The zero emitting</w:t>
      </w:r>
      <w:r w:rsidRPr="00941BC9" w:rsidR="0012467F">
        <w:rPr>
          <w:rFonts w:ascii="Palatino Linotype" w:hAnsi="Palatino Linotype"/>
          <w:sz w:val="24"/>
          <w:szCs w:val="24"/>
        </w:rPr>
        <w:t xml:space="preserve"> </w:t>
      </w:r>
      <w:r w:rsidRPr="00941BC9" w:rsidR="00D72B88">
        <w:rPr>
          <w:rFonts w:ascii="Palatino Linotype" w:hAnsi="Palatino Linotype"/>
          <w:sz w:val="24"/>
          <w:szCs w:val="24"/>
        </w:rPr>
        <w:t>capacity shall have the following characteristics:</w:t>
      </w:r>
    </w:p>
    <w:p w:rsidRPr="00941BC9" w:rsidR="00D72B88" w:rsidP="00622821" w:rsidRDefault="00B0129B" w14:paraId="0C05E938" w14:textId="08BE4FB3">
      <w:pPr>
        <w:pStyle w:val="standard"/>
        <w:spacing w:line="240" w:lineRule="auto"/>
        <w:ind w:left="1440" w:firstLine="0"/>
        <w:rPr>
          <w:rFonts w:ascii="Palatino Linotype" w:hAnsi="Palatino Linotype"/>
          <w:sz w:val="24"/>
          <w:szCs w:val="24"/>
        </w:rPr>
      </w:pPr>
      <w:r w:rsidRPr="00941BC9">
        <w:rPr>
          <w:rFonts w:ascii="Palatino Linotype" w:hAnsi="Palatino Linotype"/>
          <w:sz w:val="24"/>
          <w:szCs w:val="24"/>
        </w:rPr>
        <w:t>a</w:t>
      </w:r>
      <w:r w:rsidRPr="00941BC9" w:rsidR="00D22B31">
        <w:rPr>
          <w:rFonts w:ascii="Palatino Linotype" w:hAnsi="Palatino Linotype"/>
          <w:sz w:val="24"/>
          <w:szCs w:val="24"/>
        </w:rPr>
        <w:t>.</w:t>
      </w:r>
      <w:r w:rsidRPr="00941BC9" w:rsidR="00D72B88">
        <w:rPr>
          <w:rFonts w:ascii="Palatino Linotype" w:hAnsi="Palatino Linotype"/>
          <w:sz w:val="24"/>
          <w:szCs w:val="24"/>
        </w:rPr>
        <w:t xml:space="preserve"> Be from a generation resource, or a generation resource paired with storage (physically or contractually);</w:t>
      </w:r>
      <w:r w:rsidRPr="00941BC9" w:rsidR="00574B48">
        <w:rPr>
          <w:rFonts w:ascii="Palatino Linotype" w:hAnsi="Palatino Linotype"/>
          <w:sz w:val="24"/>
          <w:szCs w:val="24"/>
        </w:rPr>
        <w:t xml:space="preserve"> or a demand response </w:t>
      </w:r>
      <w:proofErr w:type="gramStart"/>
      <w:r w:rsidRPr="00941BC9" w:rsidR="00574B48">
        <w:rPr>
          <w:rFonts w:ascii="Palatino Linotype" w:hAnsi="Palatino Linotype"/>
          <w:sz w:val="24"/>
          <w:szCs w:val="24"/>
        </w:rPr>
        <w:t>resource;</w:t>
      </w:r>
      <w:proofErr w:type="gramEnd"/>
    </w:p>
    <w:p w:rsidRPr="00941BC9" w:rsidR="00D72B88" w:rsidP="00622821" w:rsidRDefault="00D72B88" w14:paraId="59D0CBE1" w14:textId="77777777">
      <w:pPr>
        <w:pStyle w:val="standard"/>
        <w:spacing w:line="240" w:lineRule="auto"/>
        <w:ind w:left="1440" w:firstLine="0"/>
        <w:rPr>
          <w:rFonts w:ascii="Palatino Linotype" w:hAnsi="Palatino Linotype"/>
          <w:sz w:val="24"/>
          <w:szCs w:val="24"/>
        </w:rPr>
      </w:pPr>
      <w:r w:rsidRPr="00941BC9">
        <w:rPr>
          <w:rFonts w:ascii="Palatino Linotype" w:hAnsi="Palatino Linotype"/>
          <w:sz w:val="24"/>
          <w:szCs w:val="24"/>
        </w:rPr>
        <w:t>b. Be available every day from 5 p.m. to 10 p.m. (the beginning of hour</w:t>
      </w:r>
    </w:p>
    <w:p w:rsidRPr="00941BC9" w:rsidR="00D72B88" w:rsidP="00622821" w:rsidRDefault="00D72B88" w14:paraId="3A2A5BF8" w14:textId="77777777">
      <w:pPr>
        <w:pStyle w:val="standard"/>
        <w:spacing w:line="240" w:lineRule="auto"/>
        <w:ind w:left="1440" w:firstLine="0"/>
        <w:rPr>
          <w:rFonts w:ascii="Palatino Linotype" w:hAnsi="Palatino Linotype"/>
          <w:sz w:val="24"/>
          <w:szCs w:val="24"/>
        </w:rPr>
      </w:pPr>
      <w:r w:rsidRPr="00941BC9">
        <w:rPr>
          <w:rFonts w:ascii="Palatino Linotype" w:hAnsi="Palatino Linotype"/>
          <w:sz w:val="24"/>
          <w:szCs w:val="24"/>
        </w:rPr>
        <w:t>ending 1800 through the end of hour ending 2200), Pacific Time, at a minimum; and</w:t>
      </w:r>
    </w:p>
    <w:p w:rsidRPr="00941BC9" w:rsidR="00D72B88" w:rsidP="00622821" w:rsidRDefault="00D72B88" w14:paraId="0616FBC9" w14:textId="77777777">
      <w:pPr>
        <w:pStyle w:val="standard"/>
        <w:spacing w:line="240" w:lineRule="auto"/>
        <w:ind w:left="1440" w:firstLine="0"/>
        <w:rPr>
          <w:rFonts w:ascii="Palatino Linotype" w:hAnsi="Palatino Linotype"/>
          <w:sz w:val="24"/>
          <w:szCs w:val="24"/>
        </w:rPr>
      </w:pPr>
      <w:r w:rsidRPr="00941BC9">
        <w:rPr>
          <w:rFonts w:ascii="Palatino Linotype" w:hAnsi="Palatino Linotype"/>
          <w:sz w:val="24"/>
          <w:szCs w:val="24"/>
        </w:rPr>
        <w:t>c. Be able to deliver at least 5 megawatt-hours of energy during each</w:t>
      </w:r>
    </w:p>
    <w:p w:rsidRPr="00941BC9" w:rsidR="00D72B88" w:rsidP="00F00D35" w:rsidRDefault="00D72B88" w14:paraId="57400D4F" w14:textId="25FA08BA">
      <w:pPr>
        <w:pStyle w:val="standard"/>
        <w:spacing w:after="120" w:line="240" w:lineRule="auto"/>
        <w:ind w:left="1440" w:firstLine="0"/>
        <w:rPr>
          <w:rFonts w:ascii="Palatino Linotype" w:hAnsi="Palatino Linotype"/>
          <w:sz w:val="24"/>
          <w:szCs w:val="24"/>
        </w:rPr>
      </w:pPr>
      <w:r w:rsidRPr="00941BC9">
        <w:rPr>
          <w:rFonts w:ascii="Palatino Linotype" w:hAnsi="Palatino Linotype"/>
          <w:sz w:val="24"/>
          <w:szCs w:val="24"/>
        </w:rPr>
        <w:t>of these daily periods for every megawatt of incremental capacity</w:t>
      </w:r>
      <w:r w:rsidRPr="00941BC9" w:rsidR="00F16F6B">
        <w:rPr>
          <w:rFonts w:ascii="Palatino Linotype" w:hAnsi="Palatino Linotype"/>
          <w:sz w:val="24"/>
          <w:szCs w:val="24"/>
        </w:rPr>
        <w:t xml:space="preserve"> </w:t>
      </w:r>
      <w:r w:rsidRPr="00941BC9">
        <w:rPr>
          <w:rFonts w:ascii="Palatino Linotype" w:hAnsi="Palatino Linotype"/>
          <w:sz w:val="24"/>
          <w:szCs w:val="24"/>
        </w:rPr>
        <w:t>claimed.</w:t>
      </w:r>
    </w:p>
    <w:p w:rsidRPr="00941BC9" w:rsidR="00D72B88" w:rsidP="00102FC9" w:rsidRDefault="001E233B" w14:paraId="117C90BA" w14:textId="395C739D">
      <w:pPr>
        <w:pStyle w:val="standard"/>
        <w:spacing w:before="120" w:after="120" w:line="240" w:lineRule="auto"/>
        <w:ind w:firstLine="0"/>
        <w:rPr>
          <w:rFonts w:ascii="Palatino Linotype" w:hAnsi="Palatino Linotype"/>
          <w:sz w:val="24"/>
          <w:szCs w:val="24"/>
        </w:rPr>
      </w:pPr>
      <w:r w:rsidRPr="00941BC9">
        <w:rPr>
          <w:rFonts w:ascii="Palatino Linotype" w:hAnsi="Palatino Linotype"/>
          <w:sz w:val="24"/>
          <w:szCs w:val="24"/>
        </w:rPr>
        <w:lastRenderedPageBreak/>
        <w:t>I</w:t>
      </w:r>
      <w:r w:rsidRPr="00941BC9" w:rsidR="001D5517">
        <w:rPr>
          <w:rFonts w:ascii="Palatino Linotype" w:hAnsi="Palatino Linotype"/>
          <w:sz w:val="24"/>
          <w:szCs w:val="24"/>
        </w:rPr>
        <w:t>n AL 7299-E</w:t>
      </w:r>
      <w:r w:rsidRPr="00941BC9" w:rsidR="009534C2">
        <w:rPr>
          <w:rFonts w:ascii="Palatino Linotype" w:hAnsi="Palatino Linotype"/>
          <w:sz w:val="24"/>
          <w:szCs w:val="24"/>
        </w:rPr>
        <w:t>,</w:t>
      </w:r>
      <w:r w:rsidRPr="00941BC9" w:rsidR="001D5517">
        <w:rPr>
          <w:rFonts w:ascii="Palatino Linotype" w:hAnsi="Palatino Linotype"/>
          <w:sz w:val="24"/>
          <w:szCs w:val="24"/>
        </w:rPr>
        <w:t xml:space="preserve"> PG&amp;E</w:t>
      </w:r>
      <w:r w:rsidRPr="00941BC9" w:rsidR="004E1CF3">
        <w:rPr>
          <w:rFonts w:ascii="Palatino Linotype" w:hAnsi="Palatino Linotype"/>
          <w:sz w:val="24"/>
          <w:szCs w:val="24"/>
        </w:rPr>
        <w:t xml:space="preserve"> asserts that</w:t>
      </w:r>
      <w:r w:rsidRPr="00941BC9" w:rsidR="001D5517">
        <w:rPr>
          <w:rFonts w:ascii="Palatino Linotype" w:hAnsi="Palatino Linotype"/>
          <w:sz w:val="24"/>
          <w:szCs w:val="24"/>
        </w:rPr>
        <w:t xml:space="preserve"> the entire capacity of the Atlas South Project and the Arlington Project count incrementally towards meeting PG&amp;E’s IRP MTR requirements. In making </w:t>
      </w:r>
      <w:r w:rsidRPr="00941BC9" w:rsidR="004E0B68">
        <w:rPr>
          <w:rFonts w:ascii="Palatino Linotype" w:hAnsi="Palatino Linotype"/>
          <w:sz w:val="24"/>
          <w:szCs w:val="24"/>
        </w:rPr>
        <w:t>this</w:t>
      </w:r>
      <w:r w:rsidRPr="00941BC9" w:rsidR="001D5517">
        <w:rPr>
          <w:rFonts w:ascii="Palatino Linotype" w:hAnsi="Palatino Linotype"/>
          <w:sz w:val="24"/>
          <w:szCs w:val="24"/>
        </w:rPr>
        <w:t xml:space="preserve"> request</w:t>
      </w:r>
      <w:r w:rsidRPr="00941BC9" w:rsidR="00F75D6B">
        <w:rPr>
          <w:rFonts w:ascii="Palatino Linotype" w:hAnsi="Palatino Linotype"/>
          <w:sz w:val="24"/>
          <w:szCs w:val="24"/>
        </w:rPr>
        <w:t xml:space="preserve"> for approval and affirmation</w:t>
      </w:r>
      <w:r w:rsidRPr="00941BC9" w:rsidR="004F589F">
        <w:rPr>
          <w:rFonts w:ascii="Palatino Linotype" w:hAnsi="Palatino Linotype"/>
          <w:sz w:val="24"/>
          <w:szCs w:val="24"/>
        </w:rPr>
        <w:t xml:space="preserve"> of meeting D. 21-06-035 requirements</w:t>
      </w:r>
      <w:r w:rsidRPr="00941BC9" w:rsidR="001D5517">
        <w:rPr>
          <w:rFonts w:ascii="Palatino Linotype" w:hAnsi="Palatino Linotype"/>
          <w:sz w:val="24"/>
          <w:szCs w:val="24"/>
        </w:rPr>
        <w:t xml:space="preserve">, </w:t>
      </w:r>
      <w:r w:rsidRPr="00941BC9" w:rsidR="00086263">
        <w:rPr>
          <w:rFonts w:ascii="Palatino Linotype" w:hAnsi="Palatino Linotype"/>
          <w:sz w:val="24"/>
          <w:szCs w:val="24"/>
        </w:rPr>
        <w:t xml:space="preserve">PG&amp;E </w:t>
      </w:r>
      <w:r w:rsidRPr="00941BC9" w:rsidR="007A1970">
        <w:rPr>
          <w:rFonts w:ascii="Palatino Linotype" w:hAnsi="Palatino Linotype"/>
          <w:sz w:val="24"/>
          <w:szCs w:val="24"/>
        </w:rPr>
        <w:t>contends</w:t>
      </w:r>
      <w:r w:rsidRPr="00941BC9" w:rsidR="00086263">
        <w:rPr>
          <w:rFonts w:ascii="Palatino Linotype" w:hAnsi="Palatino Linotype"/>
          <w:sz w:val="24"/>
          <w:szCs w:val="24"/>
        </w:rPr>
        <w:t xml:space="preserve"> in AL 7299-E that t</w:t>
      </w:r>
      <w:r w:rsidRPr="00941BC9" w:rsidR="00D72B88">
        <w:rPr>
          <w:rFonts w:ascii="Palatino Linotype" w:hAnsi="Palatino Linotype"/>
          <w:sz w:val="24"/>
          <w:szCs w:val="24"/>
        </w:rPr>
        <w:t>he projects are not included in the baseline generator list published by CPUC staff</w:t>
      </w:r>
      <w:r w:rsidRPr="00941BC9" w:rsidR="00086263">
        <w:rPr>
          <w:rFonts w:ascii="Palatino Linotype" w:hAnsi="Palatino Linotype"/>
          <w:sz w:val="24"/>
          <w:szCs w:val="24"/>
        </w:rPr>
        <w:t xml:space="preserve"> </w:t>
      </w:r>
      <w:r w:rsidRPr="00941BC9" w:rsidR="00D72B88">
        <w:rPr>
          <w:rFonts w:ascii="Palatino Linotype" w:hAnsi="Palatino Linotype"/>
          <w:sz w:val="24"/>
          <w:szCs w:val="24"/>
        </w:rPr>
        <w:t xml:space="preserve">pursuant to D.21-06-035 and </w:t>
      </w:r>
      <w:r w:rsidRPr="00941BC9" w:rsidR="00D05F01">
        <w:rPr>
          <w:rFonts w:ascii="Palatino Linotype" w:hAnsi="Palatino Linotype"/>
          <w:sz w:val="24"/>
          <w:szCs w:val="24"/>
        </w:rPr>
        <w:t xml:space="preserve">therefore </w:t>
      </w:r>
      <w:r w:rsidRPr="00941BC9" w:rsidR="00D72B88">
        <w:rPr>
          <w:rFonts w:ascii="Palatino Linotype" w:hAnsi="Palatino Linotype"/>
          <w:sz w:val="24"/>
          <w:szCs w:val="24"/>
        </w:rPr>
        <w:t>are incremental resources to the baseline.</w:t>
      </w:r>
      <w:r w:rsidRPr="00941BC9" w:rsidR="00C23EA5">
        <w:rPr>
          <w:rFonts w:ascii="Palatino Linotype" w:hAnsi="Palatino Linotype"/>
          <w:sz w:val="24"/>
          <w:szCs w:val="24"/>
          <w:vertAlign w:val="superscript"/>
        </w:rPr>
        <w:footnoteReference w:id="8"/>
      </w:r>
      <w:r w:rsidRPr="00941BC9" w:rsidR="00D72B88">
        <w:rPr>
          <w:rFonts w:ascii="Palatino Linotype" w:hAnsi="Palatino Linotype"/>
          <w:sz w:val="24"/>
          <w:szCs w:val="24"/>
        </w:rPr>
        <w:t xml:space="preserve"> PG&amp;E </w:t>
      </w:r>
      <w:r w:rsidRPr="00941BC9" w:rsidR="00086263">
        <w:rPr>
          <w:rFonts w:ascii="Palatino Linotype" w:hAnsi="Palatino Linotype"/>
          <w:sz w:val="24"/>
          <w:szCs w:val="24"/>
        </w:rPr>
        <w:t xml:space="preserve">also </w:t>
      </w:r>
      <w:r w:rsidRPr="00941BC9" w:rsidR="002C62D9">
        <w:rPr>
          <w:rFonts w:ascii="Palatino Linotype" w:hAnsi="Palatino Linotype"/>
          <w:sz w:val="24"/>
          <w:szCs w:val="24"/>
        </w:rPr>
        <w:t>asserts</w:t>
      </w:r>
      <w:r w:rsidRPr="00941BC9" w:rsidR="00FA717F">
        <w:rPr>
          <w:rFonts w:ascii="Palatino Linotype" w:hAnsi="Palatino Linotype"/>
          <w:sz w:val="24"/>
          <w:szCs w:val="24"/>
        </w:rPr>
        <w:t xml:space="preserve"> </w:t>
      </w:r>
      <w:r w:rsidRPr="00941BC9" w:rsidR="002C62D9">
        <w:rPr>
          <w:rFonts w:ascii="Palatino Linotype" w:hAnsi="Palatino Linotype"/>
          <w:sz w:val="24"/>
          <w:szCs w:val="24"/>
        </w:rPr>
        <w:t xml:space="preserve">that it </w:t>
      </w:r>
      <w:r w:rsidRPr="00941BC9" w:rsidR="00D72B88">
        <w:rPr>
          <w:rFonts w:ascii="Palatino Linotype" w:hAnsi="Palatino Linotype"/>
          <w:sz w:val="24"/>
          <w:szCs w:val="24"/>
        </w:rPr>
        <w:t>will pair</w:t>
      </w:r>
      <w:r w:rsidRPr="00941BC9" w:rsidR="00DD331F">
        <w:rPr>
          <w:rFonts w:ascii="Palatino Linotype" w:hAnsi="Palatino Linotype"/>
          <w:sz w:val="24"/>
          <w:szCs w:val="24"/>
        </w:rPr>
        <w:t xml:space="preserve"> </w:t>
      </w:r>
      <w:r w:rsidRPr="00941BC9" w:rsidR="00D72B88">
        <w:rPr>
          <w:rFonts w:ascii="Palatino Linotype" w:hAnsi="Palatino Linotype"/>
          <w:sz w:val="24"/>
          <w:szCs w:val="24"/>
        </w:rPr>
        <w:t xml:space="preserve">the generation of the </w:t>
      </w:r>
      <w:r w:rsidRPr="00941BC9" w:rsidR="00651404">
        <w:rPr>
          <w:rFonts w:ascii="Palatino Linotype" w:hAnsi="Palatino Linotype"/>
          <w:sz w:val="24"/>
          <w:szCs w:val="24"/>
        </w:rPr>
        <w:t xml:space="preserve">Arlington Valley </w:t>
      </w:r>
      <w:r w:rsidRPr="00941BC9" w:rsidR="00995952">
        <w:rPr>
          <w:rFonts w:ascii="Palatino Linotype" w:hAnsi="Palatino Linotype"/>
          <w:sz w:val="24"/>
          <w:szCs w:val="24"/>
        </w:rPr>
        <w:t xml:space="preserve">and Atlas </w:t>
      </w:r>
      <w:r w:rsidRPr="00941BC9" w:rsidR="00D72B88">
        <w:rPr>
          <w:rFonts w:ascii="Palatino Linotype" w:hAnsi="Palatino Linotype"/>
          <w:sz w:val="24"/>
          <w:szCs w:val="24"/>
        </w:rPr>
        <w:t>project</w:t>
      </w:r>
      <w:r w:rsidRPr="00941BC9" w:rsidR="00995952">
        <w:rPr>
          <w:rFonts w:ascii="Palatino Linotype" w:hAnsi="Palatino Linotype"/>
          <w:sz w:val="24"/>
          <w:szCs w:val="24"/>
        </w:rPr>
        <w:t>s</w:t>
      </w:r>
      <w:r w:rsidRPr="00941BC9" w:rsidR="00D72B88">
        <w:rPr>
          <w:rFonts w:ascii="Palatino Linotype" w:hAnsi="Palatino Linotype"/>
          <w:sz w:val="24"/>
          <w:szCs w:val="24"/>
        </w:rPr>
        <w:t xml:space="preserve"> with Commission-approved standalone storage resources</w:t>
      </w:r>
      <w:r w:rsidRPr="00941BC9" w:rsidR="00DD331F">
        <w:rPr>
          <w:rFonts w:ascii="Palatino Linotype" w:hAnsi="Palatino Linotype"/>
          <w:sz w:val="24"/>
          <w:szCs w:val="24"/>
        </w:rPr>
        <w:t xml:space="preserve"> </w:t>
      </w:r>
      <w:r w:rsidRPr="00941BC9" w:rsidR="00D72B88">
        <w:rPr>
          <w:rFonts w:ascii="Palatino Linotype" w:hAnsi="Palatino Linotype"/>
          <w:sz w:val="24"/>
          <w:szCs w:val="24"/>
        </w:rPr>
        <w:t xml:space="preserve">to enable the MWs to </w:t>
      </w:r>
      <w:r w:rsidRPr="00941BC9" w:rsidR="004664A9">
        <w:rPr>
          <w:rFonts w:ascii="Palatino Linotype" w:hAnsi="Palatino Linotype"/>
          <w:sz w:val="24"/>
          <w:szCs w:val="24"/>
        </w:rPr>
        <w:t>qualify</w:t>
      </w:r>
      <w:r w:rsidRPr="00941BC9" w:rsidR="00D72B88">
        <w:rPr>
          <w:rFonts w:ascii="Palatino Linotype" w:hAnsi="Palatino Linotype"/>
          <w:sz w:val="24"/>
          <w:szCs w:val="24"/>
        </w:rPr>
        <w:t xml:space="preserve"> toward the zero emissions procurement requirements</w:t>
      </w:r>
      <w:r w:rsidRPr="00941BC9" w:rsidR="00DD331F">
        <w:rPr>
          <w:rFonts w:ascii="Palatino Linotype" w:hAnsi="Palatino Linotype"/>
          <w:sz w:val="24"/>
          <w:szCs w:val="24"/>
        </w:rPr>
        <w:t xml:space="preserve"> </w:t>
      </w:r>
      <w:r w:rsidRPr="00941BC9" w:rsidR="00D72B88">
        <w:rPr>
          <w:rFonts w:ascii="Palatino Linotype" w:hAnsi="Palatino Linotype"/>
          <w:sz w:val="24"/>
          <w:szCs w:val="24"/>
        </w:rPr>
        <w:t>of OP 6 of D.21-06-35</w:t>
      </w:r>
      <w:r w:rsidRPr="00941BC9" w:rsidR="00651404">
        <w:rPr>
          <w:rFonts w:ascii="Palatino Linotype" w:hAnsi="Palatino Linotype"/>
          <w:sz w:val="24"/>
          <w:szCs w:val="24"/>
        </w:rPr>
        <w:t>.</w:t>
      </w:r>
      <w:r w:rsidRPr="00941BC9" w:rsidR="004E40FC">
        <w:rPr>
          <w:rFonts w:ascii="Palatino Linotype" w:hAnsi="Palatino Linotype"/>
          <w:sz w:val="24"/>
          <w:szCs w:val="24"/>
        </w:rPr>
        <w:t xml:space="preserve"> </w:t>
      </w:r>
      <w:r w:rsidRPr="00941BC9" w:rsidR="00365736">
        <w:rPr>
          <w:rFonts w:ascii="Palatino Linotype" w:hAnsi="Palatino Linotype"/>
          <w:sz w:val="24"/>
          <w:szCs w:val="24"/>
        </w:rPr>
        <w:t xml:space="preserve">Further, PG&amp;E </w:t>
      </w:r>
      <w:r w:rsidRPr="00941BC9" w:rsidR="00032B3A">
        <w:rPr>
          <w:rFonts w:ascii="Palatino Linotype" w:hAnsi="Palatino Linotype"/>
          <w:sz w:val="24"/>
          <w:szCs w:val="24"/>
        </w:rPr>
        <w:t>claims</w:t>
      </w:r>
      <w:r w:rsidRPr="00941BC9" w:rsidR="00365736">
        <w:rPr>
          <w:rFonts w:ascii="Palatino Linotype" w:hAnsi="Palatino Linotype"/>
          <w:sz w:val="24"/>
          <w:szCs w:val="24"/>
        </w:rPr>
        <w:t xml:space="preserve"> that t</w:t>
      </w:r>
      <w:r w:rsidRPr="00941BC9" w:rsidR="00D72B88">
        <w:rPr>
          <w:rFonts w:ascii="Palatino Linotype" w:hAnsi="Palatino Linotype"/>
          <w:sz w:val="24"/>
          <w:szCs w:val="24"/>
        </w:rPr>
        <w:t>he Atlas agreement also meets the requirements set forth in D.23-02-040, OP 2</w:t>
      </w:r>
      <w:r w:rsidRPr="00941BC9" w:rsidR="001D5517">
        <w:rPr>
          <w:rFonts w:ascii="Palatino Linotype" w:hAnsi="Palatino Linotype"/>
          <w:sz w:val="24"/>
          <w:szCs w:val="24"/>
        </w:rPr>
        <w:t xml:space="preserve"> which states</w:t>
      </w:r>
      <w:r w:rsidRPr="00941BC9" w:rsidR="00D72B88">
        <w:rPr>
          <w:rFonts w:ascii="Palatino Linotype" w:hAnsi="Palatino Linotype"/>
          <w:sz w:val="24"/>
          <w:szCs w:val="24"/>
        </w:rPr>
        <w:t>:</w:t>
      </w:r>
    </w:p>
    <w:p w:rsidRPr="00941BC9" w:rsidR="004E40FC" w:rsidP="00622821" w:rsidRDefault="00D72B88" w14:paraId="6BF9DF4F" w14:textId="0AF28CBC">
      <w:pPr>
        <w:autoSpaceDE w:val="0"/>
        <w:autoSpaceDN w:val="0"/>
        <w:adjustRightInd w:val="0"/>
        <w:ind w:left="720"/>
        <w:rPr>
          <w:rFonts w:ascii="Palatino Linotype" w:hAnsi="Palatino Linotype" w:cs="Arial"/>
          <w:sz w:val="24"/>
          <w:szCs w:val="24"/>
        </w:rPr>
      </w:pPr>
      <w:r w:rsidRPr="00941BC9">
        <w:rPr>
          <w:rFonts w:ascii="Palatino Linotype" w:hAnsi="Palatino Linotype" w:cs="Arial"/>
          <w:sz w:val="24"/>
          <w:szCs w:val="24"/>
        </w:rPr>
        <w:t xml:space="preserve">All </w:t>
      </w:r>
      <w:r w:rsidRPr="00941BC9" w:rsidR="0056061A">
        <w:rPr>
          <w:rFonts w:ascii="Palatino Linotype" w:hAnsi="Palatino Linotype" w:cs="Arial"/>
          <w:sz w:val="24"/>
          <w:szCs w:val="24"/>
        </w:rPr>
        <w:t xml:space="preserve">load-serving entities (LSEs) </w:t>
      </w:r>
      <w:r w:rsidRPr="00941BC9">
        <w:rPr>
          <w:rFonts w:ascii="Palatino Linotype" w:hAnsi="Palatino Linotype" w:cs="Arial"/>
          <w:sz w:val="24"/>
          <w:szCs w:val="24"/>
        </w:rPr>
        <w:t xml:space="preserve">required to procure capacity by </w:t>
      </w:r>
      <w:r w:rsidRPr="00941BC9" w:rsidR="008431CF">
        <w:rPr>
          <w:rFonts w:ascii="Palatino Linotype" w:hAnsi="Palatino Linotype" w:cs="Arial"/>
          <w:sz w:val="24"/>
          <w:szCs w:val="24"/>
        </w:rPr>
        <w:t xml:space="preserve">Decision </w:t>
      </w:r>
      <w:r w:rsidR="00EA2588">
        <w:rPr>
          <w:rFonts w:ascii="Palatino Linotype" w:hAnsi="Palatino Linotype" w:cs="Arial"/>
          <w:sz w:val="24"/>
          <w:szCs w:val="24"/>
        </w:rPr>
        <w:br/>
      </w:r>
      <w:r w:rsidRPr="00941BC9" w:rsidR="008431CF">
        <w:rPr>
          <w:rFonts w:ascii="Palatino Linotype" w:hAnsi="Palatino Linotype" w:cs="Arial"/>
          <w:sz w:val="24"/>
          <w:szCs w:val="24"/>
        </w:rPr>
        <w:t xml:space="preserve">(D.) </w:t>
      </w:r>
      <w:r w:rsidRPr="00941BC9">
        <w:rPr>
          <w:rFonts w:ascii="Palatino Linotype" w:hAnsi="Palatino Linotype" w:cs="Arial"/>
          <w:sz w:val="24"/>
          <w:szCs w:val="24"/>
        </w:rPr>
        <w:t xml:space="preserve">21-06-035 shall procure an additional combined total of 2,000 MW of September </w:t>
      </w:r>
      <w:r w:rsidRPr="00941BC9" w:rsidR="009757AB">
        <w:rPr>
          <w:rFonts w:ascii="Palatino Linotype" w:hAnsi="Palatino Linotype" w:cs="Arial"/>
          <w:sz w:val="24"/>
          <w:szCs w:val="24"/>
        </w:rPr>
        <w:t>net qualifying capacity (</w:t>
      </w:r>
      <w:r w:rsidRPr="00941BC9">
        <w:rPr>
          <w:rFonts w:ascii="Palatino Linotype" w:hAnsi="Palatino Linotype" w:cs="Arial"/>
          <w:sz w:val="24"/>
          <w:szCs w:val="24"/>
        </w:rPr>
        <w:t>NQC</w:t>
      </w:r>
      <w:r w:rsidRPr="00941BC9" w:rsidR="009757AB">
        <w:rPr>
          <w:rFonts w:ascii="Palatino Linotype" w:hAnsi="Palatino Linotype" w:cs="Arial"/>
          <w:sz w:val="24"/>
          <w:szCs w:val="24"/>
        </w:rPr>
        <w:t>)</w:t>
      </w:r>
      <w:r w:rsidRPr="00941BC9">
        <w:rPr>
          <w:rFonts w:ascii="Palatino Linotype" w:hAnsi="Palatino Linotype" w:cs="Arial"/>
          <w:sz w:val="24"/>
          <w:szCs w:val="24"/>
        </w:rPr>
        <w:t xml:space="preserve"> from non-emitting, storage, and/or renewable resources in 2026 and 2027, with resources required to be online by June 1 of each year.</w:t>
      </w:r>
      <w:r w:rsidRPr="00941BC9" w:rsidR="00C63120">
        <w:rPr>
          <w:rFonts w:ascii="Palatino Linotype" w:hAnsi="Palatino Linotype"/>
          <w:sz w:val="24"/>
          <w:szCs w:val="24"/>
        </w:rPr>
        <w:t xml:space="preserve"> </w:t>
      </w:r>
      <w:r w:rsidRPr="00941BC9" w:rsidR="00C63120">
        <w:rPr>
          <w:rFonts w:ascii="Palatino Linotype" w:hAnsi="Palatino Linotype" w:cs="Arial"/>
          <w:sz w:val="24"/>
          <w:szCs w:val="24"/>
        </w:rPr>
        <w:t xml:space="preserve">The long lead-time resources required by D.21-06-035 may be brought online by June 1, 2028, such that the total NQC of all LSEs adds to </w:t>
      </w:r>
      <w:r w:rsidR="00EA2588">
        <w:rPr>
          <w:rFonts w:ascii="Palatino Linotype" w:hAnsi="Palatino Linotype" w:cs="Arial"/>
          <w:sz w:val="24"/>
          <w:szCs w:val="24"/>
        </w:rPr>
        <w:br/>
      </w:r>
      <w:r w:rsidRPr="00941BC9" w:rsidR="00C63120">
        <w:rPr>
          <w:rFonts w:ascii="Palatino Linotype" w:hAnsi="Palatino Linotype" w:cs="Arial"/>
          <w:sz w:val="24"/>
          <w:szCs w:val="24"/>
        </w:rPr>
        <w:t xml:space="preserve">2,000 MW in each of the years 2026, 2027, and 2028. Commission staff are not required to evaluate or approve extension requests to postpone long lead-time resource procurement to 2028. The extension to June 1, </w:t>
      </w:r>
      <w:r w:rsidRPr="00941BC9" w:rsidR="00E6397F">
        <w:rPr>
          <w:rFonts w:ascii="Palatino Linotype" w:hAnsi="Palatino Linotype" w:cs="Arial"/>
          <w:sz w:val="24"/>
          <w:szCs w:val="24"/>
        </w:rPr>
        <w:t>2028,</w:t>
      </w:r>
      <w:r w:rsidRPr="00941BC9" w:rsidR="00C63120">
        <w:rPr>
          <w:rFonts w:ascii="Palatino Linotype" w:hAnsi="Palatino Linotype" w:cs="Arial"/>
          <w:sz w:val="24"/>
          <w:szCs w:val="24"/>
        </w:rPr>
        <w:t xml:space="preserve"> for long lead-time resources is authorized for all load serving entities.</w:t>
      </w:r>
    </w:p>
    <w:p w:rsidRPr="00941BC9" w:rsidR="001545BE" w:rsidP="00651404" w:rsidRDefault="001545BE" w14:paraId="353BCB91" w14:textId="77777777">
      <w:pPr>
        <w:autoSpaceDE w:val="0"/>
        <w:autoSpaceDN w:val="0"/>
        <w:adjustRightInd w:val="0"/>
        <w:rPr>
          <w:rFonts w:ascii="Palatino Linotype" w:hAnsi="Palatino Linotype" w:cs="Arial"/>
          <w:sz w:val="24"/>
          <w:szCs w:val="24"/>
        </w:rPr>
      </w:pPr>
    </w:p>
    <w:p w:rsidRPr="00941BC9" w:rsidR="00D72B88" w:rsidRDefault="009D1109" w14:paraId="72C8FC72" w14:textId="160DB448">
      <w:pPr>
        <w:spacing w:before="120"/>
        <w:rPr>
          <w:rFonts w:ascii="Palatino Linotype" w:hAnsi="Palatino Linotype" w:cs="Arial"/>
          <w:sz w:val="24"/>
          <w:szCs w:val="24"/>
        </w:rPr>
      </w:pPr>
      <w:r w:rsidRPr="00941BC9">
        <w:rPr>
          <w:rFonts w:ascii="Palatino Linotype" w:hAnsi="Palatino Linotype" w:cs="Arial"/>
          <w:sz w:val="24"/>
          <w:szCs w:val="24"/>
        </w:rPr>
        <w:t xml:space="preserve">As PG&amp;E claims, </w:t>
      </w:r>
      <w:r w:rsidRPr="00941BC9" w:rsidR="00365736">
        <w:rPr>
          <w:rFonts w:ascii="Palatino Linotype" w:hAnsi="Palatino Linotype" w:cs="Arial"/>
          <w:sz w:val="24"/>
          <w:szCs w:val="24"/>
        </w:rPr>
        <w:t>Arlington Valley and Atlas</w:t>
      </w:r>
      <w:r w:rsidRPr="00941BC9" w:rsidR="008A4A8F">
        <w:rPr>
          <w:rFonts w:ascii="Palatino Linotype" w:hAnsi="Palatino Linotype" w:cs="Arial"/>
          <w:sz w:val="24"/>
          <w:szCs w:val="24"/>
        </w:rPr>
        <w:t xml:space="preserve"> </w:t>
      </w:r>
      <w:r w:rsidRPr="00941BC9" w:rsidR="00B670E2">
        <w:rPr>
          <w:rFonts w:ascii="Palatino Linotype" w:hAnsi="Palatino Linotype" w:cs="Arial"/>
          <w:sz w:val="24"/>
          <w:szCs w:val="24"/>
        </w:rPr>
        <w:t>South</w:t>
      </w:r>
      <w:r w:rsidRPr="00941BC9" w:rsidR="008A4A8F">
        <w:rPr>
          <w:rFonts w:ascii="Palatino Linotype" w:hAnsi="Palatino Linotype" w:cs="Arial"/>
          <w:sz w:val="24"/>
          <w:szCs w:val="24"/>
        </w:rPr>
        <w:t xml:space="preserve"> projects</w:t>
      </w:r>
      <w:r w:rsidRPr="00941BC9" w:rsidR="00365736">
        <w:rPr>
          <w:rFonts w:ascii="Palatino Linotype" w:hAnsi="Palatino Linotype" w:cs="Arial"/>
          <w:sz w:val="24"/>
          <w:szCs w:val="24"/>
        </w:rPr>
        <w:t xml:space="preserve"> are not included in the baseline generator list published by CPUC staff pursuant to D.21-06-035 and therefore</w:t>
      </w:r>
      <w:r w:rsidRPr="00941BC9" w:rsidR="00F72D73">
        <w:rPr>
          <w:rFonts w:ascii="Palatino Linotype" w:hAnsi="Palatino Linotype" w:cs="Arial"/>
          <w:sz w:val="24"/>
          <w:szCs w:val="24"/>
        </w:rPr>
        <w:t>,</w:t>
      </w:r>
      <w:r w:rsidRPr="00941BC9" w:rsidR="00365736">
        <w:rPr>
          <w:rFonts w:ascii="Palatino Linotype" w:hAnsi="Palatino Linotype" w:cs="Arial"/>
          <w:sz w:val="24"/>
          <w:szCs w:val="24"/>
        </w:rPr>
        <w:t xml:space="preserve"> </w:t>
      </w:r>
      <w:r w:rsidRPr="00941BC9" w:rsidR="008A4A8F">
        <w:rPr>
          <w:rFonts w:ascii="Palatino Linotype" w:hAnsi="Palatino Linotype" w:cs="Arial"/>
          <w:sz w:val="24"/>
          <w:szCs w:val="24"/>
        </w:rPr>
        <w:t xml:space="preserve">they </w:t>
      </w:r>
      <w:r w:rsidRPr="00941BC9" w:rsidR="00365736">
        <w:rPr>
          <w:rFonts w:ascii="Palatino Linotype" w:hAnsi="Palatino Linotype" w:cs="Arial"/>
          <w:sz w:val="24"/>
          <w:szCs w:val="24"/>
        </w:rPr>
        <w:t>are incremental resources to the baseline</w:t>
      </w:r>
      <w:r w:rsidRPr="00941BC9" w:rsidR="008A4A8F">
        <w:rPr>
          <w:rFonts w:ascii="Palatino Linotype" w:hAnsi="Palatino Linotype" w:cs="Arial"/>
          <w:sz w:val="24"/>
          <w:szCs w:val="24"/>
        </w:rPr>
        <w:t>.</w:t>
      </w:r>
      <w:r w:rsidRPr="00941BC9" w:rsidR="00365736">
        <w:rPr>
          <w:rFonts w:ascii="Palatino Linotype" w:hAnsi="Palatino Linotype" w:cs="Arial"/>
          <w:sz w:val="24"/>
          <w:szCs w:val="24"/>
        </w:rPr>
        <w:t xml:space="preserve"> </w:t>
      </w:r>
      <w:r w:rsidRPr="00941BC9" w:rsidR="00690778">
        <w:rPr>
          <w:rFonts w:ascii="Palatino Linotype" w:hAnsi="Palatino Linotype" w:cs="Arial"/>
          <w:sz w:val="24"/>
          <w:szCs w:val="24"/>
        </w:rPr>
        <w:t xml:space="preserve">Further, </w:t>
      </w:r>
      <w:r w:rsidRPr="00941BC9" w:rsidR="00387E80">
        <w:rPr>
          <w:rFonts w:ascii="Palatino Linotype" w:hAnsi="Palatino Linotype" w:cs="Arial"/>
          <w:sz w:val="24"/>
          <w:szCs w:val="24"/>
        </w:rPr>
        <w:t xml:space="preserve">the </w:t>
      </w:r>
      <w:r w:rsidRPr="00941BC9" w:rsidR="00EE2C62">
        <w:rPr>
          <w:rFonts w:ascii="Palatino Linotype" w:hAnsi="Palatino Linotype"/>
          <w:sz w:val="24"/>
          <w:szCs w:val="24"/>
        </w:rPr>
        <w:t xml:space="preserve">Independent </w:t>
      </w:r>
      <w:proofErr w:type="gramStart"/>
      <w:r w:rsidRPr="00941BC9" w:rsidR="00EE2C62">
        <w:rPr>
          <w:rFonts w:ascii="Palatino Linotype" w:hAnsi="Palatino Linotype"/>
          <w:sz w:val="24"/>
          <w:szCs w:val="24"/>
        </w:rPr>
        <w:t xml:space="preserve">Evaluator </w:t>
      </w:r>
      <w:r w:rsidRPr="00941BC9" w:rsidR="00690778">
        <w:rPr>
          <w:rFonts w:ascii="Palatino Linotype" w:hAnsi="Palatino Linotype"/>
          <w:sz w:val="24"/>
          <w:szCs w:val="24"/>
        </w:rPr>
        <w:t xml:space="preserve"> believes</w:t>
      </w:r>
      <w:proofErr w:type="gramEnd"/>
      <w:r w:rsidRPr="00941BC9" w:rsidR="00690778">
        <w:rPr>
          <w:rFonts w:ascii="Palatino Linotype" w:hAnsi="Palatino Linotype"/>
          <w:sz w:val="24"/>
          <w:szCs w:val="24"/>
        </w:rPr>
        <w:t xml:space="preserve"> that the Arlington Valley Solar Energy, LLC project should have a reasonable probability of success for completing the project by March 1, 2026. In addition, the I</w:t>
      </w:r>
      <w:r w:rsidRPr="00941BC9" w:rsidR="00986666">
        <w:rPr>
          <w:rFonts w:ascii="Palatino Linotype" w:hAnsi="Palatino Linotype"/>
          <w:sz w:val="24"/>
          <w:szCs w:val="24"/>
        </w:rPr>
        <w:t xml:space="preserve">ndependent </w:t>
      </w:r>
      <w:r w:rsidRPr="00941BC9" w:rsidR="00690778">
        <w:rPr>
          <w:rFonts w:ascii="Palatino Linotype" w:hAnsi="Palatino Linotype"/>
          <w:sz w:val="24"/>
          <w:szCs w:val="24"/>
        </w:rPr>
        <w:t>E</w:t>
      </w:r>
      <w:r w:rsidRPr="00941BC9" w:rsidR="0015528C">
        <w:rPr>
          <w:rFonts w:ascii="Palatino Linotype" w:hAnsi="Palatino Linotype"/>
          <w:sz w:val="24"/>
          <w:szCs w:val="24"/>
        </w:rPr>
        <w:t>valuator (IE)</w:t>
      </w:r>
      <w:r w:rsidRPr="00941BC9" w:rsidR="00690778">
        <w:rPr>
          <w:rFonts w:ascii="Palatino Linotype" w:hAnsi="Palatino Linotype"/>
          <w:sz w:val="24"/>
          <w:szCs w:val="24"/>
        </w:rPr>
        <w:t xml:space="preserve"> notes that the project meets PG&amp;E’s objective for securing contracts with projects with COD dates over the next few years.  However, </w:t>
      </w:r>
      <w:r w:rsidRPr="00941BC9" w:rsidR="00690778">
        <w:rPr>
          <w:rFonts w:ascii="Palatino Linotype" w:hAnsi="Palatino Linotype" w:cs="Arial"/>
          <w:sz w:val="24"/>
          <w:szCs w:val="24"/>
        </w:rPr>
        <w:t>g</w:t>
      </w:r>
      <w:r w:rsidRPr="00941BC9" w:rsidR="00D72B88">
        <w:rPr>
          <w:rFonts w:ascii="Palatino Linotype" w:hAnsi="Palatino Linotype" w:cs="Arial"/>
          <w:sz w:val="24"/>
          <w:szCs w:val="24"/>
        </w:rPr>
        <w:t xml:space="preserve">iven that the </w:t>
      </w:r>
      <w:r w:rsidRPr="00941BC9" w:rsidR="00532F33">
        <w:rPr>
          <w:rFonts w:ascii="Palatino Linotype" w:hAnsi="Palatino Linotype" w:cs="Arial"/>
          <w:sz w:val="24"/>
          <w:szCs w:val="24"/>
        </w:rPr>
        <w:t xml:space="preserve">Atlas </w:t>
      </w:r>
      <w:r w:rsidRPr="00941BC9" w:rsidR="00D72B88">
        <w:rPr>
          <w:rFonts w:ascii="Palatino Linotype" w:hAnsi="Palatino Linotype" w:cs="Arial"/>
          <w:sz w:val="24"/>
          <w:szCs w:val="24"/>
        </w:rPr>
        <w:t>project</w:t>
      </w:r>
      <w:r w:rsidRPr="00941BC9" w:rsidR="00B3271E">
        <w:rPr>
          <w:rFonts w:ascii="Palatino Linotype" w:hAnsi="Palatino Linotype" w:cs="Arial"/>
          <w:sz w:val="24"/>
          <w:szCs w:val="24"/>
        </w:rPr>
        <w:t>’s</w:t>
      </w:r>
      <w:r w:rsidRPr="00941BC9" w:rsidR="00D72B88">
        <w:rPr>
          <w:rFonts w:ascii="Palatino Linotype" w:hAnsi="Palatino Linotype" w:cs="Arial"/>
          <w:sz w:val="24"/>
          <w:szCs w:val="24"/>
        </w:rPr>
        <w:t xml:space="preserve"> </w:t>
      </w:r>
      <w:r w:rsidRPr="00941BC9" w:rsidR="00B3271E">
        <w:rPr>
          <w:rFonts w:ascii="Palatino Linotype" w:hAnsi="Palatino Linotype" w:cs="Arial"/>
          <w:sz w:val="24"/>
          <w:szCs w:val="24"/>
        </w:rPr>
        <w:t xml:space="preserve">COD is </w:t>
      </w:r>
      <w:r w:rsidRPr="00941BC9" w:rsidR="00D72B88">
        <w:rPr>
          <w:rFonts w:ascii="Palatino Linotype" w:hAnsi="Palatino Linotype" w:cs="Arial"/>
          <w:sz w:val="24"/>
          <w:szCs w:val="24"/>
        </w:rPr>
        <w:t>June 1, 2026,</w:t>
      </w:r>
      <w:r w:rsidRPr="00941BC9" w:rsidR="00651404">
        <w:rPr>
          <w:rFonts w:ascii="Palatino Linotype" w:hAnsi="Palatino Linotype" w:cs="Arial"/>
          <w:sz w:val="24"/>
          <w:szCs w:val="24"/>
        </w:rPr>
        <w:t xml:space="preserve"> </w:t>
      </w:r>
      <w:r w:rsidRPr="00941BC9" w:rsidR="00B3271E">
        <w:rPr>
          <w:rFonts w:ascii="Palatino Linotype" w:hAnsi="Palatino Linotype" w:cs="Arial"/>
          <w:sz w:val="24"/>
          <w:szCs w:val="24"/>
        </w:rPr>
        <w:t>it does not qualify for the zero-emission requirement because the COD is</w:t>
      </w:r>
      <w:r w:rsidRPr="00941BC9">
        <w:rPr>
          <w:rFonts w:ascii="Palatino Linotype" w:hAnsi="Palatino Linotype" w:cs="Arial"/>
          <w:sz w:val="24"/>
          <w:szCs w:val="24"/>
        </w:rPr>
        <w:t xml:space="preserve"> </w:t>
      </w:r>
      <w:r w:rsidRPr="00941BC9" w:rsidR="00651404">
        <w:rPr>
          <w:rFonts w:ascii="Palatino Linotype" w:hAnsi="Palatino Linotype" w:cs="Arial"/>
          <w:sz w:val="24"/>
          <w:szCs w:val="24"/>
        </w:rPr>
        <w:t>past the due date to</w:t>
      </w:r>
      <w:r w:rsidRPr="00941BC9" w:rsidR="00C6034F">
        <w:rPr>
          <w:rFonts w:ascii="Palatino Linotype" w:hAnsi="Palatino Linotype" w:cs="Arial"/>
          <w:sz w:val="24"/>
          <w:szCs w:val="24"/>
        </w:rPr>
        <w:t xml:space="preserve"> </w:t>
      </w:r>
      <w:r w:rsidRPr="00941BC9" w:rsidR="00651404">
        <w:rPr>
          <w:rFonts w:ascii="Palatino Linotype" w:hAnsi="Palatino Linotype" w:cs="Arial"/>
          <w:sz w:val="24"/>
          <w:szCs w:val="24"/>
        </w:rPr>
        <w:t xml:space="preserve">qualify. </w:t>
      </w:r>
      <w:r w:rsidRPr="00941BC9" w:rsidR="00600178">
        <w:rPr>
          <w:rFonts w:ascii="Palatino Linotype" w:hAnsi="Palatino Linotype" w:cs="Arial"/>
          <w:sz w:val="24"/>
          <w:szCs w:val="24"/>
        </w:rPr>
        <w:t xml:space="preserve">Thus, </w:t>
      </w:r>
      <w:r w:rsidRPr="00941BC9" w:rsidR="00651404">
        <w:rPr>
          <w:rFonts w:ascii="Palatino Linotype" w:hAnsi="Palatino Linotype" w:cs="Arial"/>
          <w:sz w:val="24"/>
          <w:szCs w:val="24"/>
        </w:rPr>
        <w:t xml:space="preserve">PG&amp;E must provide a bridge resource to fill </w:t>
      </w:r>
      <w:r w:rsidRPr="00941BC9" w:rsidR="00600178">
        <w:rPr>
          <w:rFonts w:ascii="Palatino Linotype" w:hAnsi="Palatino Linotype" w:cs="Arial"/>
          <w:sz w:val="24"/>
          <w:szCs w:val="24"/>
        </w:rPr>
        <w:t xml:space="preserve">the </w:t>
      </w:r>
      <w:r w:rsidRPr="00941BC9" w:rsidR="00651404">
        <w:rPr>
          <w:rFonts w:ascii="Palatino Linotype" w:hAnsi="Palatino Linotype" w:cs="Arial"/>
          <w:sz w:val="24"/>
          <w:szCs w:val="24"/>
        </w:rPr>
        <w:t>gap</w:t>
      </w:r>
      <w:r w:rsidRPr="00941BC9" w:rsidR="00600178">
        <w:rPr>
          <w:rFonts w:ascii="Palatino Linotype" w:hAnsi="Palatino Linotype" w:cs="Arial"/>
          <w:sz w:val="24"/>
          <w:szCs w:val="24"/>
        </w:rPr>
        <w:t xml:space="preserve"> between the requirement date and project’s COD</w:t>
      </w:r>
      <w:r w:rsidRPr="00941BC9" w:rsidR="000F2B98">
        <w:rPr>
          <w:rFonts w:ascii="Palatino Linotype" w:hAnsi="Palatino Linotype" w:cs="Arial"/>
          <w:sz w:val="24"/>
          <w:szCs w:val="24"/>
        </w:rPr>
        <w:t xml:space="preserve"> to qualify</w:t>
      </w:r>
      <w:r w:rsidRPr="00941BC9" w:rsidR="00651404">
        <w:rPr>
          <w:rFonts w:ascii="Palatino Linotype" w:hAnsi="Palatino Linotype" w:cs="Arial"/>
          <w:sz w:val="24"/>
          <w:szCs w:val="24"/>
        </w:rPr>
        <w:t xml:space="preserve">. </w:t>
      </w:r>
      <w:r w:rsidRPr="00941BC9" w:rsidR="00D72B88">
        <w:rPr>
          <w:rFonts w:ascii="Palatino Linotype" w:hAnsi="Palatino Linotype" w:cs="Arial"/>
          <w:sz w:val="24"/>
          <w:szCs w:val="24"/>
        </w:rPr>
        <w:t xml:space="preserve"> </w:t>
      </w:r>
      <w:r w:rsidRPr="00941BC9" w:rsidR="00836CE8">
        <w:rPr>
          <w:rFonts w:ascii="Palatino Linotype" w:hAnsi="Palatino Linotype" w:cs="Arial"/>
          <w:sz w:val="24"/>
          <w:szCs w:val="24"/>
        </w:rPr>
        <w:t xml:space="preserve">Therefore, the Arlington Valley and Atlas </w:t>
      </w:r>
      <w:r w:rsidRPr="00941BC9" w:rsidR="00B670E2">
        <w:rPr>
          <w:rFonts w:ascii="Palatino Linotype" w:hAnsi="Palatino Linotype" w:cs="Arial"/>
          <w:sz w:val="24"/>
          <w:szCs w:val="24"/>
        </w:rPr>
        <w:t>South</w:t>
      </w:r>
      <w:r w:rsidRPr="00941BC9" w:rsidR="00836CE8">
        <w:rPr>
          <w:rFonts w:ascii="Palatino Linotype" w:hAnsi="Palatino Linotype" w:cs="Arial"/>
          <w:sz w:val="24"/>
          <w:szCs w:val="24"/>
        </w:rPr>
        <w:t xml:space="preserve"> projects </w:t>
      </w:r>
      <w:r w:rsidRPr="00941BC9" w:rsidR="004E1A4B">
        <w:rPr>
          <w:rFonts w:ascii="Palatino Linotype" w:hAnsi="Palatino Linotype" w:cs="Arial"/>
          <w:sz w:val="24"/>
          <w:szCs w:val="24"/>
        </w:rPr>
        <w:t xml:space="preserve">appear consistent with the general NQC procurement category requirements of D.21-06-035 and </w:t>
      </w:r>
      <w:r w:rsidR="00EA2588">
        <w:rPr>
          <w:rFonts w:ascii="Palatino Linotype" w:hAnsi="Palatino Linotype" w:cs="Arial"/>
          <w:sz w:val="24"/>
          <w:szCs w:val="24"/>
        </w:rPr>
        <w:br/>
      </w:r>
      <w:r w:rsidRPr="00941BC9" w:rsidR="004E1A4B">
        <w:rPr>
          <w:rFonts w:ascii="Palatino Linotype" w:hAnsi="Palatino Linotype" w:cs="Arial"/>
          <w:sz w:val="24"/>
          <w:szCs w:val="24"/>
        </w:rPr>
        <w:t xml:space="preserve">D.23-02-040 </w:t>
      </w:r>
      <w:r w:rsidRPr="00941BC9" w:rsidR="0086681B">
        <w:rPr>
          <w:rFonts w:ascii="Palatino Linotype" w:hAnsi="Palatino Linotype" w:cs="Arial"/>
          <w:sz w:val="24"/>
          <w:szCs w:val="24"/>
        </w:rPr>
        <w:t xml:space="preserve">if the generation from both is paired with CPUC approved standalone </w:t>
      </w:r>
      <w:r w:rsidRPr="00941BC9" w:rsidR="0086681B">
        <w:rPr>
          <w:rFonts w:ascii="Palatino Linotype" w:hAnsi="Palatino Linotype" w:cs="Arial"/>
          <w:sz w:val="24"/>
          <w:szCs w:val="24"/>
        </w:rPr>
        <w:lastRenderedPageBreak/>
        <w:t xml:space="preserve">storage and the </w:t>
      </w:r>
      <w:r w:rsidRPr="00941BC9" w:rsidR="00EC57BF">
        <w:rPr>
          <w:rFonts w:ascii="Palatino Linotype" w:hAnsi="Palatino Linotype" w:cs="Arial"/>
          <w:sz w:val="24"/>
          <w:szCs w:val="24"/>
        </w:rPr>
        <w:t xml:space="preserve">PG&amp;E secures a bridge resource that fills the gap between </w:t>
      </w:r>
      <w:r w:rsidRPr="00941BC9" w:rsidR="00A13AD3">
        <w:rPr>
          <w:rFonts w:ascii="Palatino Linotype" w:hAnsi="Palatino Linotype" w:cs="Arial"/>
          <w:sz w:val="24"/>
          <w:szCs w:val="24"/>
        </w:rPr>
        <w:t>the Atlas COD and June 1, 2026.</w:t>
      </w:r>
    </w:p>
    <w:p w:rsidRPr="00941BC9" w:rsidR="001E0FF3" w:rsidP="004301AC" w:rsidRDefault="000B6347" w14:paraId="12C546C4" w14:textId="26C9F989">
      <w:pPr>
        <w:spacing w:before="120" w:after="120"/>
        <w:rPr>
          <w:rFonts w:ascii="Palatino Linotype" w:hAnsi="Palatino Linotype"/>
          <w:sz w:val="24"/>
          <w:szCs w:val="24"/>
        </w:rPr>
      </w:pPr>
      <w:r w:rsidRPr="00941BC9">
        <w:rPr>
          <w:rFonts w:ascii="Palatino Linotype" w:hAnsi="Palatino Linotype"/>
          <w:sz w:val="24"/>
          <w:szCs w:val="24"/>
        </w:rPr>
        <w:t xml:space="preserve">PG&amp;E </w:t>
      </w:r>
      <w:r w:rsidRPr="00941BC9" w:rsidR="00387E80">
        <w:rPr>
          <w:rFonts w:ascii="Palatino Linotype" w:hAnsi="Palatino Linotype"/>
          <w:sz w:val="24"/>
          <w:szCs w:val="24"/>
        </w:rPr>
        <w:t xml:space="preserve">procurements </w:t>
      </w:r>
      <w:r w:rsidRPr="00941BC9">
        <w:rPr>
          <w:rFonts w:ascii="Palatino Linotype" w:hAnsi="Palatino Linotype"/>
          <w:sz w:val="24"/>
          <w:szCs w:val="24"/>
        </w:rPr>
        <w:t xml:space="preserve">related to </w:t>
      </w:r>
      <w:r w:rsidRPr="00941BC9" w:rsidR="00C21576">
        <w:rPr>
          <w:rFonts w:ascii="Palatino Linotype" w:hAnsi="Palatino Linotype"/>
          <w:sz w:val="24"/>
          <w:szCs w:val="24"/>
        </w:rPr>
        <w:t xml:space="preserve">IRP MTR procurement </w:t>
      </w:r>
      <w:r w:rsidRPr="00941BC9" w:rsidR="001C12C4">
        <w:rPr>
          <w:rFonts w:ascii="Palatino Linotype" w:hAnsi="Palatino Linotype"/>
          <w:sz w:val="24"/>
          <w:szCs w:val="24"/>
        </w:rPr>
        <w:t>requirements</w:t>
      </w:r>
      <w:r w:rsidRPr="00941BC9">
        <w:rPr>
          <w:rFonts w:ascii="Palatino Linotype" w:hAnsi="Palatino Linotype"/>
          <w:sz w:val="24"/>
          <w:szCs w:val="24"/>
        </w:rPr>
        <w:t xml:space="preserve"> </w:t>
      </w:r>
      <w:r w:rsidRPr="00941BC9" w:rsidR="00720D75">
        <w:rPr>
          <w:rFonts w:ascii="Palatino Linotype" w:hAnsi="Palatino Linotype"/>
          <w:sz w:val="24"/>
          <w:szCs w:val="24"/>
        </w:rPr>
        <w:t xml:space="preserve">requested in </w:t>
      </w:r>
      <w:r w:rsidR="00EA2588">
        <w:rPr>
          <w:rFonts w:ascii="Palatino Linotype" w:hAnsi="Palatino Linotype"/>
          <w:sz w:val="24"/>
          <w:szCs w:val="24"/>
        </w:rPr>
        <w:br/>
      </w:r>
      <w:r w:rsidRPr="00941BC9" w:rsidR="00720D75">
        <w:rPr>
          <w:rFonts w:ascii="Palatino Linotype" w:hAnsi="Palatino Linotype"/>
          <w:sz w:val="24"/>
          <w:szCs w:val="24"/>
        </w:rPr>
        <w:t xml:space="preserve">AL 7299-E </w:t>
      </w:r>
      <w:r w:rsidRPr="00941BC9">
        <w:rPr>
          <w:rFonts w:ascii="Palatino Linotype" w:hAnsi="Palatino Linotype"/>
          <w:sz w:val="24"/>
          <w:szCs w:val="24"/>
        </w:rPr>
        <w:t>should be approved</w:t>
      </w:r>
      <w:r w:rsidRPr="00941BC9" w:rsidR="00CE0A0D">
        <w:rPr>
          <w:rFonts w:ascii="Palatino Linotype" w:hAnsi="Palatino Linotype"/>
          <w:sz w:val="24"/>
          <w:szCs w:val="24"/>
        </w:rPr>
        <w:t xml:space="preserve">, but this contract review does not confer compliance with D.21-06-035, which can only be assessed via IRP </w:t>
      </w:r>
      <w:r w:rsidRPr="00941BC9" w:rsidR="00C21576">
        <w:rPr>
          <w:rFonts w:ascii="Palatino Linotype" w:hAnsi="Palatino Linotype"/>
          <w:sz w:val="24"/>
          <w:szCs w:val="24"/>
        </w:rPr>
        <w:t xml:space="preserve">MTR </w:t>
      </w:r>
      <w:r w:rsidRPr="00941BC9" w:rsidR="00CE0A0D">
        <w:rPr>
          <w:rFonts w:ascii="Palatino Linotype" w:hAnsi="Palatino Linotype"/>
          <w:sz w:val="24"/>
          <w:szCs w:val="24"/>
        </w:rPr>
        <w:t>compliance filings.</w:t>
      </w:r>
    </w:p>
    <w:p w:rsidRPr="00941BC9" w:rsidR="008964BF" w:rsidP="004301AC" w:rsidRDefault="008964BF" w14:paraId="4AB54283" w14:textId="2F425D6D">
      <w:pPr>
        <w:keepNext/>
        <w:spacing w:after="120"/>
        <w:rPr>
          <w:rFonts w:ascii="Palatino Linotype" w:hAnsi="Palatino Linotype"/>
          <w:b/>
          <w:sz w:val="24"/>
          <w:szCs w:val="24"/>
        </w:rPr>
      </w:pPr>
      <w:proofErr w:type="gramStart"/>
      <w:r w:rsidRPr="00941BC9">
        <w:rPr>
          <w:rFonts w:ascii="Palatino Linotype" w:hAnsi="Palatino Linotype"/>
          <w:b/>
          <w:sz w:val="24"/>
          <w:szCs w:val="24"/>
        </w:rPr>
        <w:t>Consistency</w:t>
      </w:r>
      <w:proofErr w:type="gramEnd"/>
      <w:r w:rsidRPr="00941BC9">
        <w:rPr>
          <w:rFonts w:ascii="Palatino Linotype" w:hAnsi="Palatino Linotype"/>
          <w:b/>
          <w:sz w:val="24"/>
          <w:szCs w:val="24"/>
        </w:rPr>
        <w:t xml:space="preserve"> with </w:t>
      </w:r>
      <w:r w:rsidRPr="00941BC9" w:rsidR="0064588C">
        <w:rPr>
          <w:rFonts w:ascii="Palatino Linotype" w:hAnsi="Palatino Linotype"/>
          <w:b/>
          <w:sz w:val="24"/>
          <w:szCs w:val="24"/>
        </w:rPr>
        <w:t>PG&amp;E’s</w:t>
      </w:r>
      <w:r w:rsidRPr="00941BC9">
        <w:rPr>
          <w:rFonts w:ascii="Palatino Linotype" w:hAnsi="Palatino Linotype"/>
          <w:b/>
          <w:sz w:val="24"/>
          <w:szCs w:val="24"/>
        </w:rPr>
        <w:t xml:space="preserve"> 2023 Renewable Portfolio Standard Procurement Plan</w:t>
      </w:r>
    </w:p>
    <w:p w:rsidRPr="00941BC9" w:rsidR="007333A5" w:rsidP="007602B4" w:rsidRDefault="007333A5" w14:paraId="14661489" w14:textId="2D76CC45">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 xml:space="preserve">On December 14, 2023, the CPUC issued D.23-12-008 conditionally approving </w:t>
      </w:r>
      <w:r w:rsidR="00EA2588">
        <w:rPr>
          <w:rFonts w:ascii="Palatino Linotype" w:hAnsi="Palatino Linotype" w:cs="Arial"/>
          <w:sz w:val="24"/>
          <w:szCs w:val="24"/>
        </w:rPr>
        <w:br/>
      </w:r>
      <w:r w:rsidRPr="00941BC9">
        <w:rPr>
          <w:rFonts w:ascii="Palatino Linotype" w:hAnsi="Palatino Linotype" w:cs="ArialMT"/>
          <w:sz w:val="24"/>
          <w:szCs w:val="24"/>
        </w:rPr>
        <w:t xml:space="preserve">PG&amp;E’s 2023 Renewable Portfolio Standard Procurement Plan (“RPS Plan”). </w:t>
      </w:r>
      <w:r w:rsidRPr="00941BC9">
        <w:rPr>
          <w:rFonts w:ascii="Palatino Linotype" w:hAnsi="Palatino Linotype" w:cs="Arial"/>
          <w:sz w:val="24"/>
          <w:szCs w:val="24"/>
        </w:rPr>
        <w:t xml:space="preserve">Consistent with the decision guidelines PG&amp;E filed its final 2023 RPS Plan on January 22, 2024, as well as an updated public version on March 22, 2024. </w:t>
      </w:r>
      <w:r w:rsidRPr="00941BC9">
        <w:rPr>
          <w:rFonts w:ascii="Palatino Linotype" w:hAnsi="Palatino Linotype" w:cs="ArialMT"/>
          <w:sz w:val="24"/>
          <w:szCs w:val="24"/>
        </w:rPr>
        <w:t xml:space="preserve">PG&amp;E’s Final 2023 RPS Plan was approved as part of a Notice of Approval of Final </w:t>
      </w:r>
      <w:r w:rsidRPr="00941BC9">
        <w:rPr>
          <w:rFonts w:ascii="Palatino Linotype" w:hAnsi="Palatino Linotype" w:cs="Arial"/>
          <w:sz w:val="24"/>
          <w:szCs w:val="24"/>
        </w:rPr>
        <w:t xml:space="preserve">2023 RPS Plans sent out on April 8, </w:t>
      </w:r>
      <w:r w:rsidRPr="00941BC9" w:rsidR="00E6397F">
        <w:rPr>
          <w:rFonts w:ascii="Palatino Linotype" w:hAnsi="Palatino Linotype" w:cs="Arial"/>
          <w:sz w:val="24"/>
          <w:szCs w:val="24"/>
        </w:rPr>
        <w:t>2023,</w:t>
      </w:r>
      <w:r w:rsidRPr="00941BC9">
        <w:rPr>
          <w:rFonts w:ascii="Palatino Linotype" w:hAnsi="Palatino Linotype" w:cs="Arial"/>
          <w:sz w:val="24"/>
          <w:szCs w:val="24"/>
        </w:rPr>
        <w:t xml:space="preserve"> by the </w:t>
      </w:r>
      <w:r w:rsidRPr="00941BC9" w:rsidR="00551134">
        <w:rPr>
          <w:rFonts w:ascii="Palatino Linotype" w:hAnsi="Palatino Linotype" w:cs="Arial"/>
          <w:sz w:val="24"/>
          <w:szCs w:val="24"/>
        </w:rPr>
        <w:t>CPUC.</w:t>
      </w:r>
      <w:r w:rsidRPr="00941BC9">
        <w:rPr>
          <w:rFonts w:ascii="Palatino Linotype" w:hAnsi="Palatino Linotype" w:cs="Arial"/>
          <w:sz w:val="24"/>
          <w:szCs w:val="24"/>
        </w:rPr>
        <w:t xml:space="preserve"> As stated in its Final 2023 RPS Plan, PG&amp;E expects that it will procure new RPS-eligible resources </w:t>
      </w:r>
      <w:proofErr w:type="gramStart"/>
      <w:r w:rsidRPr="00941BC9">
        <w:rPr>
          <w:rFonts w:ascii="Palatino Linotype" w:hAnsi="Palatino Linotype" w:cs="Arial"/>
          <w:sz w:val="24"/>
          <w:szCs w:val="24"/>
        </w:rPr>
        <w:t>in order to</w:t>
      </w:r>
      <w:proofErr w:type="gramEnd"/>
      <w:r w:rsidRPr="00941BC9">
        <w:rPr>
          <w:rFonts w:ascii="Palatino Linotype" w:hAnsi="Palatino Linotype" w:cs="Arial"/>
          <w:sz w:val="24"/>
          <w:szCs w:val="24"/>
        </w:rPr>
        <w:t xml:space="preserve"> meet its MTR requirements.</w:t>
      </w:r>
    </w:p>
    <w:p w:rsidRPr="00941BC9" w:rsidR="007333A5" w:rsidP="004301AC" w:rsidRDefault="007333A5" w14:paraId="2B2E779B" w14:textId="77777777">
      <w:pPr>
        <w:autoSpaceDE w:val="0"/>
        <w:autoSpaceDN w:val="0"/>
        <w:adjustRightInd w:val="0"/>
        <w:spacing w:before="120"/>
        <w:rPr>
          <w:rFonts w:ascii="Palatino Linotype" w:hAnsi="Palatino Linotype" w:cs="Arial"/>
          <w:sz w:val="24"/>
          <w:szCs w:val="24"/>
        </w:rPr>
      </w:pPr>
      <w:r w:rsidRPr="00941BC9">
        <w:rPr>
          <w:rFonts w:ascii="Palatino Linotype" w:hAnsi="Palatino Linotype" w:cs="ArialMT"/>
          <w:sz w:val="24"/>
          <w:szCs w:val="24"/>
        </w:rPr>
        <w:t xml:space="preserve">As stated in PG&amp;E’s Final 2023 RPS Procurement Plan, PG&amp;E has sufficient RPS </w:t>
      </w:r>
      <w:r w:rsidRPr="00941BC9">
        <w:rPr>
          <w:rFonts w:ascii="Palatino Linotype" w:hAnsi="Palatino Linotype" w:cs="Arial"/>
          <w:sz w:val="24"/>
          <w:szCs w:val="24"/>
        </w:rPr>
        <w:t>bank volume to meet its near-term RPS compliance needs, however it will need to procure incremental RPS resources to meet long-term procurement obligations.</w:t>
      </w:r>
    </w:p>
    <w:p w:rsidRPr="00941BC9" w:rsidR="007333A5" w:rsidP="004301AC" w:rsidRDefault="007333A5" w14:paraId="30AF32C0" w14:textId="530BCEBD">
      <w:pPr>
        <w:autoSpaceDE w:val="0"/>
        <w:autoSpaceDN w:val="0"/>
        <w:adjustRightInd w:val="0"/>
        <w:spacing w:before="120"/>
        <w:rPr>
          <w:rFonts w:ascii="Palatino Linotype" w:hAnsi="Palatino Linotype"/>
          <w:sz w:val="24"/>
          <w:szCs w:val="24"/>
        </w:rPr>
      </w:pPr>
      <w:r w:rsidRPr="00941BC9">
        <w:rPr>
          <w:rFonts w:ascii="Palatino Linotype" w:hAnsi="Palatino Linotype" w:cs="Arial"/>
          <w:sz w:val="24"/>
          <w:szCs w:val="24"/>
        </w:rPr>
        <w:t xml:space="preserve">The </w:t>
      </w:r>
      <w:r w:rsidRPr="00941BC9" w:rsidR="004C1843">
        <w:rPr>
          <w:rFonts w:ascii="Palatino Linotype" w:hAnsi="Palatino Linotype" w:cs="Arial"/>
          <w:sz w:val="24"/>
          <w:szCs w:val="24"/>
        </w:rPr>
        <w:t xml:space="preserve">RPS Plan </w:t>
      </w:r>
      <w:r w:rsidRPr="00941BC9">
        <w:rPr>
          <w:rFonts w:ascii="Palatino Linotype" w:hAnsi="Palatino Linotype" w:cs="Arial"/>
          <w:sz w:val="24"/>
          <w:szCs w:val="24"/>
        </w:rPr>
        <w:t xml:space="preserve">recognizes that resources procured to meet other regulatory requirements or as part of other programs (i.e. </w:t>
      </w:r>
      <w:proofErr w:type="spellStart"/>
      <w:r w:rsidRPr="00941BC9">
        <w:rPr>
          <w:rFonts w:ascii="Palatino Linotype" w:hAnsi="Palatino Linotype" w:cs="Arial"/>
          <w:sz w:val="24"/>
          <w:szCs w:val="24"/>
        </w:rPr>
        <w:t>BioMAT</w:t>
      </w:r>
      <w:proofErr w:type="spellEnd"/>
      <w:r w:rsidRPr="00941BC9">
        <w:rPr>
          <w:rFonts w:ascii="Palatino Linotype" w:hAnsi="Palatino Linotype" w:cs="Arial"/>
          <w:sz w:val="24"/>
          <w:szCs w:val="24"/>
        </w:rPr>
        <w:t xml:space="preserve">/ </w:t>
      </w:r>
      <w:proofErr w:type="spellStart"/>
      <w:r w:rsidRPr="00941BC9">
        <w:rPr>
          <w:rFonts w:ascii="Palatino Linotype" w:hAnsi="Palatino Linotype" w:cs="Arial"/>
          <w:sz w:val="24"/>
          <w:szCs w:val="24"/>
        </w:rPr>
        <w:t>ReMAT</w:t>
      </w:r>
      <w:proofErr w:type="spellEnd"/>
      <w:r w:rsidRPr="00941BC9">
        <w:rPr>
          <w:rFonts w:ascii="Palatino Linotype" w:hAnsi="Palatino Linotype" w:cs="Arial"/>
          <w:sz w:val="24"/>
          <w:szCs w:val="24"/>
        </w:rPr>
        <w:t xml:space="preserve">), specifically in </w:t>
      </w:r>
      <w:r w:rsidRPr="00941BC9">
        <w:rPr>
          <w:rFonts w:ascii="Palatino Linotype" w:hAnsi="Palatino Linotype" w:cs="ArialMT"/>
          <w:sz w:val="24"/>
          <w:szCs w:val="24"/>
        </w:rPr>
        <w:t xml:space="preserve">this case procurement to meet MTR requirements, may contribute to PG&amp;E’s RPS </w:t>
      </w:r>
      <w:r w:rsidRPr="00941BC9">
        <w:rPr>
          <w:rFonts w:ascii="Palatino Linotype" w:hAnsi="Palatino Linotype" w:cs="Arial"/>
          <w:sz w:val="24"/>
          <w:szCs w:val="24"/>
        </w:rPr>
        <w:t xml:space="preserve">compliance needs. </w:t>
      </w:r>
    </w:p>
    <w:p w:rsidRPr="00941BC9" w:rsidR="006E3B68" w:rsidP="004301AC" w:rsidRDefault="006E3B68" w14:paraId="4EC51965" w14:textId="3D956352">
      <w:pPr>
        <w:autoSpaceDE w:val="0"/>
        <w:autoSpaceDN w:val="0"/>
        <w:adjustRightInd w:val="0"/>
        <w:spacing w:before="120"/>
        <w:rPr>
          <w:rFonts w:ascii="Palatino Linotype" w:hAnsi="Palatino Linotype" w:cs="ArialMT"/>
          <w:sz w:val="24"/>
          <w:szCs w:val="24"/>
        </w:rPr>
      </w:pPr>
      <w:r w:rsidRPr="00941BC9">
        <w:rPr>
          <w:rFonts w:ascii="Palatino Linotype" w:hAnsi="Palatino Linotype" w:cs="ArialMT"/>
          <w:sz w:val="24"/>
          <w:szCs w:val="24"/>
        </w:rPr>
        <w:t xml:space="preserve">The Agreements are for renewable energy with long-term (i.e., greater than 10 years) deliveries beginning in 2026. Therefore, </w:t>
      </w:r>
      <w:r w:rsidRPr="00941BC9">
        <w:rPr>
          <w:rFonts w:ascii="Palatino Linotype" w:hAnsi="Palatino Linotype" w:cs="ArialMT"/>
          <w:sz w:val="24"/>
          <w:szCs w:val="24"/>
          <w:u w:val="single"/>
        </w:rPr>
        <w:t>the procurement facilitated by the MTR contracts is consistent with PG&amp;E’s long-term incremental renewable resource needs as identified in its 2023 RPS Plan</w:t>
      </w:r>
      <w:r w:rsidRPr="00941BC9">
        <w:rPr>
          <w:rFonts w:ascii="Palatino Linotype" w:hAnsi="Palatino Linotype" w:cs="ArialMT"/>
          <w:sz w:val="24"/>
          <w:szCs w:val="24"/>
        </w:rPr>
        <w:t>.</w:t>
      </w:r>
    </w:p>
    <w:p w:rsidRPr="00941BC9" w:rsidR="00A648F7" w:rsidP="005759C6" w:rsidRDefault="00297311" w14:paraId="580FB8A0" w14:textId="081FCB2F">
      <w:pPr>
        <w:spacing w:before="120" w:after="240"/>
        <w:rPr>
          <w:rFonts w:ascii="Palatino Linotype" w:hAnsi="Palatino Linotype"/>
          <w:b/>
          <w:bCs/>
          <w:sz w:val="24"/>
          <w:szCs w:val="24"/>
        </w:rPr>
      </w:pPr>
      <w:bookmarkStart w:name="_Hlk175735640" w:id="1"/>
      <w:r w:rsidRPr="00941BC9">
        <w:rPr>
          <w:rFonts w:ascii="Palatino Linotype" w:hAnsi="Palatino Linotype"/>
          <w:b/>
          <w:bCs/>
          <w:sz w:val="24"/>
          <w:szCs w:val="24"/>
        </w:rPr>
        <w:t>Procurement Methodology, Evaluation, and Cost Reasonableness</w:t>
      </w:r>
    </w:p>
    <w:bookmarkEnd w:id="1"/>
    <w:p w:rsidRPr="00941BC9" w:rsidR="00016EE8" w:rsidP="004301AC" w:rsidRDefault="002E3765" w14:paraId="19B02BB7" w14:textId="456839AA">
      <w:pPr>
        <w:autoSpaceDE w:val="0"/>
        <w:autoSpaceDN w:val="0"/>
        <w:adjustRightInd w:val="0"/>
        <w:spacing w:after="120"/>
        <w:rPr>
          <w:rFonts w:ascii="Palatino Linotype" w:hAnsi="Palatino Linotype" w:cs="Arial"/>
          <w:sz w:val="24"/>
          <w:szCs w:val="24"/>
        </w:rPr>
      </w:pPr>
      <w:r w:rsidRPr="00941BC9">
        <w:rPr>
          <w:rFonts w:ascii="Palatino Linotype" w:hAnsi="Palatino Linotype" w:cs="Arial"/>
          <w:sz w:val="24"/>
          <w:szCs w:val="24"/>
        </w:rPr>
        <w:t xml:space="preserve">On February 7, 2023, PG&amp;E issued its Mid-Term Reliability Request for Offers </w:t>
      </w:r>
      <w:r w:rsidRPr="00941BC9">
        <w:rPr>
          <w:rFonts w:ascii="Palatino Linotype" w:hAnsi="Palatino Linotype" w:cs="ArialMT"/>
          <w:sz w:val="24"/>
          <w:szCs w:val="24"/>
        </w:rPr>
        <w:t xml:space="preserve">– </w:t>
      </w:r>
      <w:r w:rsidRPr="00941BC9">
        <w:rPr>
          <w:rFonts w:ascii="Palatino Linotype" w:hAnsi="Palatino Linotype" w:cs="Arial"/>
          <w:sz w:val="24"/>
          <w:szCs w:val="24"/>
        </w:rPr>
        <w:t xml:space="preserve">Phase 3 (MTR RFO </w:t>
      </w:r>
      <w:r w:rsidRPr="00941BC9">
        <w:rPr>
          <w:rFonts w:ascii="Palatino Linotype" w:hAnsi="Palatino Linotype" w:cs="ArialMT"/>
          <w:sz w:val="24"/>
          <w:szCs w:val="24"/>
        </w:rPr>
        <w:t xml:space="preserve">– </w:t>
      </w:r>
      <w:r w:rsidRPr="00941BC9">
        <w:rPr>
          <w:rFonts w:ascii="Palatino Linotype" w:hAnsi="Palatino Linotype" w:cs="Arial"/>
          <w:sz w:val="24"/>
          <w:szCs w:val="24"/>
        </w:rPr>
        <w:t>Phase 3), to continue making progress toward its procurement requirements and to solicit offers to purchase incremental NQC with online dates beginning June 1, 2024, through June 1, 2030, to qualify for various procurement categories.</w:t>
      </w:r>
      <w:r w:rsidRPr="00941BC9" w:rsidR="00B6547C">
        <w:rPr>
          <w:rStyle w:val="FootnoteReference"/>
          <w:rFonts w:ascii="Palatino Linotype" w:hAnsi="Palatino Linotype" w:cs="Arial"/>
          <w:sz w:val="24"/>
          <w:szCs w:val="24"/>
        </w:rPr>
        <w:footnoteReference w:id="9"/>
      </w:r>
      <w:r w:rsidRPr="00941BC9">
        <w:rPr>
          <w:rFonts w:ascii="Palatino Linotype" w:hAnsi="Palatino Linotype" w:cs="Arial"/>
          <w:sz w:val="24"/>
          <w:szCs w:val="24"/>
        </w:rPr>
        <w:t xml:space="preserve"> </w:t>
      </w:r>
      <w:r w:rsidRPr="00941BC9" w:rsidR="00B6547C">
        <w:rPr>
          <w:rFonts w:ascii="Palatino Linotype" w:hAnsi="Palatino Linotype" w:cs="Arial"/>
          <w:sz w:val="24"/>
          <w:szCs w:val="24"/>
        </w:rPr>
        <w:t xml:space="preserve">The agreements reviewed herein arise from the MTR RFO </w:t>
      </w:r>
      <w:r w:rsidRPr="00941BC9" w:rsidR="00B6547C">
        <w:rPr>
          <w:rFonts w:ascii="Palatino Linotype" w:hAnsi="Palatino Linotype" w:cs="ArialMT"/>
          <w:sz w:val="24"/>
          <w:szCs w:val="24"/>
        </w:rPr>
        <w:t xml:space="preserve">– </w:t>
      </w:r>
      <w:r w:rsidRPr="00941BC9" w:rsidR="00B6547C">
        <w:rPr>
          <w:rFonts w:ascii="Palatino Linotype" w:hAnsi="Palatino Linotype" w:cs="Arial"/>
          <w:sz w:val="24"/>
          <w:szCs w:val="24"/>
        </w:rPr>
        <w:t xml:space="preserve">Phase 3. </w:t>
      </w:r>
      <w:r w:rsidRPr="00941BC9" w:rsidR="00874696">
        <w:rPr>
          <w:rFonts w:ascii="Palatino Linotype" w:hAnsi="Palatino Linotype"/>
          <w:sz w:val="24"/>
          <w:szCs w:val="24"/>
        </w:rPr>
        <w:t xml:space="preserve">As noted previously, </w:t>
      </w:r>
      <w:r w:rsidRPr="00941BC9" w:rsidR="00B6547C">
        <w:rPr>
          <w:rFonts w:ascii="Palatino Linotype" w:hAnsi="Palatino Linotype"/>
          <w:sz w:val="24"/>
          <w:szCs w:val="24"/>
        </w:rPr>
        <w:t>PG&amp;E’s purpose of MTR RFO – Phase 3 was</w:t>
      </w:r>
      <w:r w:rsidRPr="00941BC9" w:rsidR="00D8573D">
        <w:rPr>
          <w:rFonts w:ascii="Palatino Linotype" w:hAnsi="Palatino Linotype"/>
          <w:sz w:val="24"/>
          <w:szCs w:val="24"/>
        </w:rPr>
        <w:t xml:space="preserve"> to</w:t>
      </w:r>
      <w:r w:rsidRPr="00941BC9" w:rsidR="00B6547C">
        <w:rPr>
          <w:rFonts w:ascii="Palatino Linotype" w:hAnsi="Palatino Linotype"/>
          <w:sz w:val="24"/>
          <w:szCs w:val="24"/>
        </w:rPr>
        <w:t xml:space="preserve"> </w:t>
      </w:r>
      <w:r w:rsidRPr="00941BC9" w:rsidR="00D8573D">
        <w:rPr>
          <w:rFonts w:ascii="Palatino Linotype" w:hAnsi="Palatino Linotype"/>
          <w:sz w:val="24"/>
          <w:szCs w:val="24"/>
        </w:rPr>
        <w:t xml:space="preserve">solicit resources </w:t>
      </w:r>
      <w:r w:rsidRPr="00941BC9" w:rsidR="00874696">
        <w:rPr>
          <w:rFonts w:ascii="Palatino Linotype" w:hAnsi="Palatino Linotype"/>
          <w:sz w:val="24"/>
          <w:szCs w:val="24"/>
        </w:rPr>
        <w:t xml:space="preserve">to comply with the requirements under D.21-06-035, </w:t>
      </w:r>
      <w:r w:rsidRPr="00941BC9" w:rsidR="00D8573D">
        <w:rPr>
          <w:rFonts w:ascii="Palatino Linotype" w:hAnsi="Palatino Linotype"/>
          <w:sz w:val="24"/>
          <w:szCs w:val="24"/>
        </w:rPr>
        <w:t xml:space="preserve">such that </w:t>
      </w:r>
      <w:r w:rsidRPr="00941BC9" w:rsidR="00C15ECD">
        <w:rPr>
          <w:rFonts w:ascii="Palatino Linotype" w:hAnsi="Palatino Linotype"/>
          <w:sz w:val="24"/>
          <w:szCs w:val="24"/>
        </w:rPr>
        <w:t xml:space="preserve">the energy procured under </w:t>
      </w:r>
      <w:r w:rsidRPr="00941BC9" w:rsidR="00D8573D">
        <w:rPr>
          <w:rFonts w:ascii="Palatino Linotype" w:hAnsi="Palatino Linotype"/>
          <w:sz w:val="24"/>
          <w:szCs w:val="24"/>
        </w:rPr>
        <w:lastRenderedPageBreak/>
        <w:t xml:space="preserve">resulting </w:t>
      </w:r>
      <w:r w:rsidRPr="00941BC9" w:rsidR="00874696">
        <w:rPr>
          <w:rFonts w:ascii="Palatino Linotype" w:hAnsi="Palatino Linotype"/>
          <w:sz w:val="24"/>
          <w:szCs w:val="24"/>
        </w:rPr>
        <w:t xml:space="preserve">agreements </w:t>
      </w:r>
      <w:r w:rsidRPr="00941BC9" w:rsidR="00D8573D">
        <w:rPr>
          <w:rFonts w:ascii="Palatino Linotype" w:hAnsi="Palatino Linotype"/>
          <w:sz w:val="24"/>
          <w:szCs w:val="24"/>
        </w:rPr>
        <w:t xml:space="preserve">could </w:t>
      </w:r>
      <w:r w:rsidRPr="00941BC9" w:rsidR="00C15ECD">
        <w:rPr>
          <w:rFonts w:ascii="Palatino Linotype" w:hAnsi="Palatino Linotype"/>
          <w:sz w:val="24"/>
          <w:szCs w:val="24"/>
        </w:rPr>
        <w:t>be</w:t>
      </w:r>
      <w:r w:rsidRPr="00941BC9" w:rsidR="00874696">
        <w:rPr>
          <w:rFonts w:ascii="Palatino Linotype" w:hAnsi="Palatino Linotype"/>
          <w:sz w:val="24"/>
          <w:szCs w:val="24"/>
        </w:rPr>
        <w:t xml:space="preserve"> counted toward PG&amp;E’s integrated resource plan (IRP) and RPS procurement </w:t>
      </w:r>
      <w:r w:rsidRPr="00941BC9" w:rsidR="00D8573D">
        <w:rPr>
          <w:rFonts w:ascii="Palatino Linotype" w:hAnsi="Palatino Linotype"/>
          <w:sz w:val="24"/>
          <w:szCs w:val="24"/>
        </w:rPr>
        <w:t>requirements</w:t>
      </w:r>
      <w:r w:rsidRPr="00941BC9" w:rsidR="00874696">
        <w:rPr>
          <w:rFonts w:ascii="Palatino Linotype" w:hAnsi="Palatino Linotype"/>
          <w:sz w:val="24"/>
          <w:szCs w:val="24"/>
        </w:rPr>
        <w:t>.</w:t>
      </w:r>
      <w:r w:rsidRPr="00941BC9" w:rsidR="00F23580">
        <w:rPr>
          <w:rFonts w:ascii="Palatino Linotype" w:hAnsi="Palatino Linotype"/>
          <w:sz w:val="24"/>
          <w:szCs w:val="24"/>
        </w:rPr>
        <w:t xml:space="preserve"> </w:t>
      </w:r>
    </w:p>
    <w:p w:rsidRPr="00941BC9" w:rsidR="002E3765" w:rsidP="004301AC" w:rsidRDefault="00016EE8" w14:paraId="28AAFA70" w14:textId="4A7918A2">
      <w:pPr>
        <w:autoSpaceDE w:val="0"/>
        <w:autoSpaceDN w:val="0"/>
        <w:adjustRightInd w:val="0"/>
        <w:spacing w:after="120"/>
        <w:rPr>
          <w:rFonts w:ascii="Palatino Linotype" w:hAnsi="Palatino Linotype" w:cs="Arial"/>
          <w:sz w:val="24"/>
          <w:szCs w:val="24"/>
        </w:rPr>
      </w:pPr>
      <w:r w:rsidRPr="00941BC9">
        <w:rPr>
          <w:rFonts w:ascii="Palatino Linotype" w:hAnsi="Palatino Linotype" w:cs="Arial"/>
          <w:sz w:val="24"/>
          <w:szCs w:val="24"/>
        </w:rPr>
        <w:t>In the following section, the</w:t>
      </w:r>
      <w:r w:rsidRPr="00941BC9" w:rsidR="002E3765">
        <w:rPr>
          <w:rFonts w:ascii="Palatino Linotype" w:hAnsi="Palatino Linotype" w:cs="Arial"/>
          <w:sz w:val="24"/>
          <w:szCs w:val="24"/>
        </w:rPr>
        <w:t xml:space="preserve"> CPUC Staff </w:t>
      </w:r>
      <w:r w:rsidRPr="00941BC9" w:rsidR="00EB29BC">
        <w:rPr>
          <w:rFonts w:ascii="Palatino Linotype" w:hAnsi="Palatino Linotype" w:cs="Arial"/>
          <w:sz w:val="24"/>
          <w:szCs w:val="24"/>
        </w:rPr>
        <w:t xml:space="preserve">describes </w:t>
      </w:r>
      <w:r w:rsidRPr="00941BC9" w:rsidR="00922C89">
        <w:rPr>
          <w:rFonts w:ascii="Palatino Linotype" w:hAnsi="Palatino Linotype" w:cs="Arial"/>
          <w:sz w:val="24"/>
          <w:szCs w:val="24"/>
        </w:rPr>
        <w:t xml:space="preserve">PG&amp;E’s </w:t>
      </w:r>
      <w:r w:rsidRPr="00941BC9" w:rsidR="002E3765">
        <w:rPr>
          <w:rFonts w:ascii="Palatino Linotype" w:hAnsi="Palatino Linotype" w:cs="Arial"/>
          <w:sz w:val="24"/>
          <w:szCs w:val="24"/>
        </w:rPr>
        <w:t xml:space="preserve">procurement methodology, evaluation process and </w:t>
      </w:r>
      <w:r w:rsidRPr="00941BC9" w:rsidR="00922C89">
        <w:rPr>
          <w:rFonts w:ascii="Palatino Linotype" w:hAnsi="Palatino Linotype" w:cs="Arial"/>
          <w:sz w:val="24"/>
          <w:szCs w:val="24"/>
        </w:rPr>
        <w:t xml:space="preserve">determination of </w:t>
      </w:r>
      <w:r w:rsidRPr="00941BC9" w:rsidR="002E3765">
        <w:rPr>
          <w:rFonts w:ascii="Palatino Linotype" w:hAnsi="Palatino Linotype" w:cs="Arial"/>
          <w:sz w:val="24"/>
          <w:szCs w:val="24"/>
        </w:rPr>
        <w:t>cost reasonableness</w:t>
      </w:r>
      <w:r w:rsidRPr="00941BC9" w:rsidR="00D8573D">
        <w:rPr>
          <w:rFonts w:ascii="Palatino Linotype" w:hAnsi="Palatino Linotype" w:cs="Arial"/>
          <w:sz w:val="24"/>
          <w:szCs w:val="24"/>
        </w:rPr>
        <w:t xml:space="preserve"> </w:t>
      </w:r>
      <w:r w:rsidRPr="00941BC9" w:rsidR="00922C89">
        <w:rPr>
          <w:rFonts w:ascii="Palatino Linotype" w:hAnsi="Palatino Linotype" w:cs="Arial"/>
          <w:sz w:val="24"/>
          <w:szCs w:val="24"/>
        </w:rPr>
        <w:t>as well as</w:t>
      </w:r>
      <w:r w:rsidRPr="00941BC9" w:rsidR="00D8573D">
        <w:rPr>
          <w:rFonts w:ascii="Palatino Linotype" w:hAnsi="Palatino Linotype" w:cs="Arial"/>
          <w:sz w:val="24"/>
          <w:szCs w:val="24"/>
        </w:rPr>
        <w:t xml:space="preserve"> provide </w:t>
      </w:r>
      <w:r w:rsidRPr="00941BC9" w:rsidR="00922C89">
        <w:rPr>
          <w:rFonts w:ascii="Palatino Linotype" w:hAnsi="Palatino Linotype" w:cs="Arial"/>
          <w:sz w:val="24"/>
          <w:szCs w:val="24"/>
        </w:rPr>
        <w:t>our</w:t>
      </w:r>
      <w:r w:rsidRPr="00941BC9" w:rsidR="00D8573D">
        <w:rPr>
          <w:rFonts w:ascii="Palatino Linotype" w:hAnsi="Palatino Linotype" w:cs="Arial"/>
          <w:sz w:val="24"/>
          <w:szCs w:val="24"/>
        </w:rPr>
        <w:t xml:space="preserve"> findings</w:t>
      </w:r>
      <w:r w:rsidRPr="00941BC9" w:rsidR="002E3765">
        <w:rPr>
          <w:rFonts w:ascii="Palatino Linotype" w:hAnsi="Palatino Linotype" w:cs="Arial"/>
          <w:sz w:val="24"/>
          <w:szCs w:val="24"/>
        </w:rPr>
        <w:t xml:space="preserve">. </w:t>
      </w:r>
      <w:r w:rsidRPr="00941BC9" w:rsidR="00B6547C">
        <w:rPr>
          <w:rFonts w:ascii="Palatino Linotype" w:hAnsi="Palatino Linotype" w:cs="Arial"/>
          <w:sz w:val="24"/>
          <w:szCs w:val="24"/>
        </w:rPr>
        <w:t>In both AL 7299-E and the Independent Evaluator Report on PG&amp;E’s Mid-Term Reliability RFO – Phase 3 Final Draft Report</w:t>
      </w:r>
      <w:r w:rsidRPr="00941BC9" w:rsidR="00B6547C">
        <w:rPr>
          <w:rStyle w:val="FootnoteReference"/>
          <w:rFonts w:ascii="Palatino Linotype" w:hAnsi="Palatino Linotype" w:cs="Arial"/>
          <w:sz w:val="24"/>
          <w:szCs w:val="24"/>
        </w:rPr>
        <w:footnoteReference w:id="10"/>
      </w:r>
      <w:r w:rsidRPr="00941BC9" w:rsidR="00B6547C">
        <w:rPr>
          <w:rFonts w:ascii="Palatino Linotype" w:hAnsi="Palatino Linotype" w:cs="Arial"/>
          <w:sz w:val="24"/>
          <w:szCs w:val="24"/>
        </w:rPr>
        <w:t xml:space="preserve">, the RFO process is described in detail. </w:t>
      </w:r>
    </w:p>
    <w:p w:rsidRPr="00941BC9" w:rsidR="00A916FB" w:rsidP="005B319D" w:rsidRDefault="00BA6615" w14:paraId="15D82F34" w14:textId="31D26CF1">
      <w:pPr>
        <w:pStyle w:val="Heading1"/>
        <w:keepNext w:val="0"/>
        <w:spacing w:after="120"/>
        <w:rPr>
          <w:rFonts w:ascii="Palatino Linotype" w:hAnsi="Palatino Linotype" w:cs="Arial"/>
          <w:bCs/>
          <w:caps w:val="0"/>
          <w:kern w:val="0"/>
          <w:sz w:val="24"/>
          <w:szCs w:val="24"/>
          <w:u w:val="none"/>
        </w:rPr>
      </w:pPr>
      <w:r w:rsidRPr="00941BC9">
        <w:rPr>
          <w:rFonts w:ascii="Palatino Linotype" w:hAnsi="Palatino Linotype" w:cs="Arial"/>
          <w:bCs/>
          <w:caps w:val="0"/>
          <w:kern w:val="0"/>
          <w:sz w:val="24"/>
          <w:szCs w:val="24"/>
          <w:u w:val="none"/>
        </w:rPr>
        <w:t xml:space="preserve">A. </w:t>
      </w:r>
      <w:r w:rsidRPr="00941BC9" w:rsidR="00A916FB">
        <w:rPr>
          <w:rFonts w:ascii="Palatino Linotype" w:hAnsi="Palatino Linotype" w:cs="Arial"/>
          <w:bCs/>
          <w:caps w:val="0"/>
          <w:kern w:val="0"/>
          <w:sz w:val="24"/>
          <w:szCs w:val="24"/>
          <w:u w:val="none"/>
        </w:rPr>
        <w:t>RFO Structure and Process</w:t>
      </w:r>
    </w:p>
    <w:p w:rsidRPr="00941BC9" w:rsidR="00A916FB" w:rsidP="00B43DE9" w:rsidRDefault="00A916FB" w14:paraId="219788E7" w14:textId="77777777">
      <w:pPr>
        <w:pStyle w:val="Heading1"/>
        <w:keepNext w:val="0"/>
        <w:spacing w:before="0" w:after="0"/>
        <w:rPr>
          <w:rFonts w:ascii="Palatino Linotype" w:hAnsi="Palatino Linotype" w:cs="Arial"/>
          <w:b w:val="0"/>
          <w:caps w:val="0"/>
          <w:kern w:val="0"/>
          <w:sz w:val="24"/>
          <w:szCs w:val="24"/>
          <w:u w:val="none"/>
        </w:rPr>
      </w:pPr>
      <w:bookmarkStart w:name="_Hlk175737239" w:id="2"/>
      <w:bookmarkStart w:name="_Hlk175735785" w:id="3"/>
      <w:r w:rsidRPr="00941BC9">
        <w:rPr>
          <w:rFonts w:ascii="Palatino Linotype" w:hAnsi="Palatino Linotype" w:cs="Arial"/>
          <w:b w:val="0"/>
          <w:caps w:val="0"/>
          <w:kern w:val="0"/>
          <w:sz w:val="24"/>
          <w:szCs w:val="24"/>
          <w:u w:val="none"/>
        </w:rPr>
        <w:t>PG&amp;E issued its MTR RFO – Phase 3 on February 7, 2023, to solicit offers to purchase</w:t>
      </w:r>
    </w:p>
    <w:p w:rsidRPr="00941BC9" w:rsidR="00A916FB" w:rsidP="00B43DE9" w:rsidRDefault="00A916FB" w14:paraId="4D6BC36F" w14:textId="77777777">
      <w:pPr>
        <w:pStyle w:val="Heading1"/>
        <w:keepNext w:val="0"/>
        <w:spacing w:before="0" w:after="0"/>
        <w:rPr>
          <w:rFonts w:ascii="Palatino Linotype" w:hAnsi="Palatino Linotype" w:cs="Arial"/>
          <w:b w:val="0"/>
          <w:caps w:val="0"/>
          <w:kern w:val="0"/>
          <w:sz w:val="24"/>
          <w:szCs w:val="24"/>
          <w:u w:val="none"/>
        </w:rPr>
      </w:pPr>
      <w:r w:rsidRPr="00941BC9">
        <w:rPr>
          <w:rFonts w:ascii="Palatino Linotype" w:hAnsi="Palatino Linotype" w:cs="Arial"/>
          <w:b w:val="0"/>
          <w:caps w:val="0"/>
          <w:kern w:val="0"/>
          <w:sz w:val="24"/>
          <w:szCs w:val="24"/>
          <w:u w:val="none"/>
        </w:rPr>
        <w:t>incremental NQC with online dates beginning June 1, 2023, through June 1, 2030, to</w:t>
      </w:r>
    </w:p>
    <w:p w:rsidRPr="00941BC9" w:rsidR="00A916FB" w:rsidP="00B43DE9" w:rsidRDefault="00A916FB" w14:paraId="3A355809" w14:textId="77777777">
      <w:pPr>
        <w:pStyle w:val="Heading1"/>
        <w:keepNext w:val="0"/>
        <w:spacing w:before="0" w:after="0"/>
        <w:rPr>
          <w:rFonts w:ascii="Palatino Linotype" w:hAnsi="Palatino Linotype" w:cs="Arial"/>
          <w:b w:val="0"/>
          <w:caps w:val="0"/>
          <w:kern w:val="0"/>
          <w:sz w:val="24"/>
          <w:szCs w:val="24"/>
          <w:u w:val="none"/>
        </w:rPr>
      </w:pPr>
      <w:r w:rsidRPr="00941BC9">
        <w:rPr>
          <w:rFonts w:ascii="Palatino Linotype" w:hAnsi="Palatino Linotype" w:cs="Arial"/>
          <w:b w:val="0"/>
          <w:caps w:val="0"/>
          <w:kern w:val="0"/>
          <w:sz w:val="24"/>
          <w:szCs w:val="24"/>
          <w:u w:val="none"/>
        </w:rPr>
        <w:t>qualify for the various procurement categories</w:t>
      </w:r>
      <w:bookmarkEnd w:id="2"/>
      <w:r w:rsidRPr="00941BC9">
        <w:rPr>
          <w:rFonts w:ascii="Palatino Linotype" w:hAnsi="Palatino Linotype" w:cs="Arial"/>
          <w:b w:val="0"/>
          <w:caps w:val="0"/>
          <w:kern w:val="0"/>
          <w:sz w:val="24"/>
          <w:szCs w:val="24"/>
          <w:u w:val="none"/>
        </w:rPr>
        <w:t>, as further described in Table 2 below</w:t>
      </w:r>
      <w:r w:rsidRPr="00941BC9">
        <w:rPr>
          <w:rStyle w:val="FootnoteReference"/>
          <w:rFonts w:ascii="Palatino Linotype" w:hAnsi="Palatino Linotype" w:cs="Arial"/>
          <w:b w:val="0"/>
          <w:caps w:val="0"/>
          <w:kern w:val="0"/>
          <w:sz w:val="24"/>
          <w:szCs w:val="24"/>
          <w:u w:val="none"/>
        </w:rPr>
        <w:footnoteReference w:id="11"/>
      </w:r>
      <w:r w:rsidRPr="00941BC9">
        <w:rPr>
          <w:rFonts w:ascii="Palatino Linotype" w:hAnsi="Palatino Linotype" w:cs="Arial"/>
          <w:b w:val="0"/>
          <w:caps w:val="0"/>
          <w:kern w:val="0"/>
          <w:sz w:val="24"/>
          <w:szCs w:val="24"/>
          <w:u w:val="none"/>
          <w:vertAlign w:val="superscript"/>
        </w:rPr>
        <w:t>,</w:t>
      </w:r>
      <w:r w:rsidRPr="00941BC9">
        <w:rPr>
          <w:rStyle w:val="FootnoteReference"/>
          <w:rFonts w:ascii="Palatino Linotype" w:hAnsi="Palatino Linotype" w:cs="Arial"/>
          <w:b w:val="0"/>
          <w:caps w:val="0"/>
          <w:kern w:val="0"/>
          <w:sz w:val="24"/>
          <w:szCs w:val="24"/>
          <w:u w:val="none"/>
        </w:rPr>
        <w:footnoteReference w:id="12"/>
      </w:r>
      <w:r w:rsidRPr="00941BC9">
        <w:rPr>
          <w:rFonts w:ascii="Palatino Linotype" w:hAnsi="Palatino Linotype" w:cs="Arial"/>
          <w:b w:val="0"/>
          <w:caps w:val="0"/>
          <w:kern w:val="0"/>
          <w:sz w:val="24"/>
          <w:szCs w:val="24"/>
          <w:u w:val="none"/>
        </w:rPr>
        <w:t>.</w:t>
      </w:r>
    </w:p>
    <w:p w:rsidRPr="00941BC9" w:rsidR="00690C2B" w:rsidP="005B319D" w:rsidRDefault="00690C2B" w14:paraId="08310470" w14:textId="77777777">
      <w:pPr>
        <w:spacing w:before="120" w:after="120"/>
        <w:rPr>
          <w:rFonts w:ascii="Palatino Linotype" w:hAnsi="Palatino Linotype"/>
          <w:b/>
          <w:bCs/>
          <w:color w:val="000000"/>
          <w:sz w:val="24"/>
          <w:szCs w:val="24"/>
        </w:rPr>
      </w:pPr>
    </w:p>
    <w:p w:rsidRPr="00941BC9" w:rsidR="003F0AB3" w:rsidP="005B319D" w:rsidRDefault="003F0AB3" w14:paraId="76C99028" w14:textId="26258376">
      <w:pPr>
        <w:spacing w:before="120" w:after="120"/>
        <w:rPr>
          <w:rFonts w:ascii="Palatino Linotype" w:hAnsi="Palatino Linotype"/>
          <w:b/>
          <w:bCs/>
          <w:color w:val="000000"/>
          <w:sz w:val="24"/>
          <w:szCs w:val="24"/>
        </w:rPr>
      </w:pPr>
      <w:r w:rsidRPr="00941BC9">
        <w:rPr>
          <w:rFonts w:ascii="Palatino Linotype" w:hAnsi="Palatino Linotype"/>
          <w:b/>
          <w:bCs/>
          <w:color w:val="000000"/>
          <w:sz w:val="24"/>
          <w:szCs w:val="24"/>
        </w:rPr>
        <w:t>TABLE 2: Phase 3 PG&amp;E Mid-Term Reliability Solicitation Resource Needs</w:t>
      </w:r>
    </w:p>
    <w:bookmarkEnd w:id="3"/>
    <w:p w:rsidRPr="00941BC9" w:rsidR="00A916FB" w:rsidP="00690C2B" w:rsidRDefault="005B319D" w14:paraId="464FBDBE" w14:textId="1B355848">
      <w:pPr>
        <w:spacing w:before="120" w:after="120"/>
        <w:rPr>
          <w:rFonts w:ascii="Palatino Linotype" w:hAnsi="Palatino Linotype"/>
          <w:sz w:val="24"/>
          <w:szCs w:val="24"/>
        </w:rPr>
      </w:pPr>
      <w:r w:rsidRPr="00941BC9">
        <w:rPr>
          <w:rFonts w:ascii="Palatino Linotype" w:hAnsi="Palatino Linotype"/>
          <w:sz w:val="24"/>
          <w:szCs w:val="24"/>
        </w:rPr>
        <w:pict>
          <v:shape id="_x0000_i1026" style="width:495pt;height:177.75pt" o:ole="" type="#_x0000_t75">
            <v:imagedata o:title="" r:id="rId14"/>
          </v:shape>
        </w:pict>
      </w:r>
    </w:p>
    <w:p w:rsidRPr="00941BC9" w:rsidR="00953AF7" w:rsidP="004301AC" w:rsidRDefault="00953AF7" w14:paraId="44DEF9AB" w14:textId="40C89478">
      <w:pPr>
        <w:pStyle w:val="standard"/>
        <w:spacing w:before="120" w:after="120" w:line="240" w:lineRule="auto"/>
        <w:ind w:firstLine="0"/>
        <w:rPr>
          <w:rFonts w:ascii="Palatino Linotype" w:hAnsi="Palatino Linotype"/>
          <w:sz w:val="24"/>
          <w:szCs w:val="24"/>
        </w:rPr>
      </w:pPr>
      <w:r w:rsidRPr="00941BC9">
        <w:rPr>
          <w:rFonts w:ascii="Palatino Linotype" w:hAnsi="Palatino Linotype"/>
          <w:sz w:val="24"/>
          <w:szCs w:val="24"/>
        </w:rPr>
        <w:t xml:space="preserve">Staff </w:t>
      </w:r>
      <w:r w:rsidRPr="00941BC9" w:rsidR="004301AC">
        <w:rPr>
          <w:rFonts w:ascii="Palatino Linotype" w:hAnsi="Palatino Linotype"/>
          <w:sz w:val="24"/>
          <w:szCs w:val="24"/>
        </w:rPr>
        <w:t>have</w:t>
      </w:r>
      <w:r w:rsidRPr="00941BC9">
        <w:rPr>
          <w:rFonts w:ascii="Palatino Linotype" w:hAnsi="Palatino Linotype"/>
          <w:sz w:val="24"/>
          <w:szCs w:val="24"/>
        </w:rPr>
        <w:t xml:space="preserve"> reviewed the RFO structure and processes utilized and found that it properly adheres to the requirements for its purposes.</w:t>
      </w:r>
    </w:p>
    <w:p w:rsidRPr="00941BC9" w:rsidR="000C4AB1" w:rsidP="008D2FC6" w:rsidRDefault="000C4AB1" w14:paraId="42396D17" w14:textId="2CAF20DF">
      <w:pPr>
        <w:pStyle w:val="standard"/>
        <w:pageBreakBefore/>
        <w:spacing w:before="120" w:after="240" w:line="240" w:lineRule="auto"/>
        <w:ind w:firstLine="0"/>
        <w:rPr>
          <w:rFonts w:ascii="Palatino Linotype" w:hAnsi="Palatino Linotype"/>
          <w:b/>
          <w:bCs/>
          <w:sz w:val="24"/>
          <w:szCs w:val="24"/>
        </w:rPr>
      </w:pPr>
      <w:r w:rsidRPr="00941BC9">
        <w:rPr>
          <w:rFonts w:ascii="Palatino Linotype" w:hAnsi="Palatino Linotype"/>
          <w:b/>
          <w:bCs/>
          <w:sz w:val="24"/>
          <w:szCs w:val="24"/>
        </w:rPr>
        <w:lastRenderedPageBreak/>
        <w:t>B. Participant Outreach</w:t>
      </w:r>
    </w:p>
    <w:p w:rsidRPr="00941BC9" w:rsidR="000C4AB1" w:rsidP="00016EE8" w:rsidRDefault="000C4AB1" w14:paraId="301AEB31" w14:textId="77777777">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 xml:space="preserve">PG&amp;E announced the issuance of the MTR RFO </w:t>
      </w:r>
      <w:r w:rsidRPr="00941BC9">
        <w:rPr>
          <w:rFonts w:ascii="Palatino Linotype" w:hAnsi="Palatino Linotype" w:cs="ArialMT"/>
          <w:sz w:val="24"/>
          <w:szCs w:val="24"/>
        </w:rPr>
        <w:t xml:space="preserve">– </w:t>
      </w:r>
      <w:r w:rsidRPr="00941BC9">
        <w:rPr>
          <w:rFonts w:ascii="Palatino Linotype" w:hAnsi="Palatino Linotype" w:cs="Arial"/>
          <w:sz w:val="24"/>
          <w:szCs w:val="24"/>
        </w:rPr>
        <w:t>Phase 3 by email notification and</w:t>
      </w:r>
    </w:p>
    <w:p w:rsidRPr="00941BC9" w:rsidR="000C4AB1" w:rsidP="00016EE8" w:rsidRDefault="000C4AB1" w14:paraId="11D1D5CD" w14:textId="41874231">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provided an e-</w:t>
      </w:r>
      <w:r w:rsidRPr="00941BC9">
        <w:rPr>
          <w:rFonts w:ascii="Palatino Linotype" w:hAnsi="Palatino Linotype" w:cs="ArialMT"/>
          <w:sz w:val="24"/>
          <w:szCs w:val="24"/>
        </w:rPr>
        <w:t xml:space="preserve">mail update to PG&amp;E’s mailing list, which included </w:t>
      </w:r>
      <w:r w:rsidRPr="00941BC9">
        <w:rPr>
          <w:rFonts w:ascii="Palatino Linotype" w:hAnsi="Palatino Linotype" w:cs="Arial"/>
          <w:sz w:val="24"/>
          <w:szCs w:val="24"/>
        </w:rPr>
        <w:t xml:space="preserve">approximately </w:t>
      </w:r>
      <w:r w:rsidR="00EA2588">
        <w:rPr>
          <w:rFonts w:ascii="Palatino Linotype" w:hAnsi="Palatino Linotype" w:cs="Arial"/>
          <w:sz w:val="24"/>
          <w:szCs w:val="24"/>
        </w:rPr>
        <w:br/>
      </w:r>
      <w:r w:rsidRPr="00941BC9">
        <w:rPr>
          <w:rFonts w:ascii="Palatino Linotype" w:hAnsi="Palatino Linotype" w:cs="Arial"/>
          <w:sz w:val="24"/>
          <w:szCs w:val="24"/>
        </w:rPr>
        <w:t>2,</w:t>
      </w:r>
      <w:r w:rsidRPr="00941BC9" w:rsidR="00D755C8">
        <w:rPr>
          <w:rFonts w:ascii="Palatino Linotype" w:hAnsi="Palatino Linotype" w:cs="Arial"/>
          <w:sz w:val="24"/>
          <w:szCs w:val="24"/>
        </w:rPr>
        <w:t>6</w:t>
      </w:r>
      <w:r w:rsidRPr="00941BC9">
        <w:rPr>
          <w:rFonts w:ascii="Palatino Linotype" w:hAnsi="Palatino Linotype" w:cs="Arial"/>
          <w:sz w:val="24"/>
          <w:szCs w:val="24"/>
        </w:rPr>
        <w:t>00</w:t>
      </w:r>
      <w:r w:rsidRPr="00941BC9" w:rsidR="00D755C8">
        <w:rPr>
          <w:rFonts w:ascii="Palatino Linotype" w:hAnsi="Palatino Linotype" w:cs="Arial"/>
          <w:sz w:val="24"/>
          <w:szCs w:val="24"/>
        </w:rPr>
        <w:t xml:space="preserve"> r</w:t>
      </w:r>
      <w:r w:rsidRPr="00941BC9">
        <w:rPr>
          <w:rFonts w:ascii="Palatino Linotype" w:hAnsi="Palatino Linotype" w:cs="Arial"/>
          <w:sz w:val="24"/>
          <w:szCs w:val="24"/>
        </w:rPr>
        <w:t>ecipients. The issuance email provided potential participants with information on the</w:t>
      </w:r>
      <w:r w:rsidRPr="00941BC9" w:rsidR="00D755C8">
        <w:rPr>
          <w:rFonts w:ascii="Palatino Linotype" w:hAnsi="Palatino Linotype" w:cs="Arial"/>
          <w:sz w:val="24"/>
          <w:szCs w:val="24"/>
        </w:rPr>
        <w:t xml:space="preserve"> </w:t>
      </w:r>
      <w:r w:rsidRPr="00941BC9">
        <w:rPr>
          <w:rFonts w:ascii="Palatino Linotype" w:hAnsi="Palatino Linotype" w:cs="Arial"/>
          <w:sz w:val="24"/>
          <w:szCs w:val="24"/>
        </w:rPr>
        <w:t>location of solicitation documents, participant webinar information, and important action items.</w:t>
      </w:r>
    </w:p>
    <w:p w:rsidRPr="00941BC9" w:rsidR="001D3029" w:rsidP="000C4AB1" w:rsidRDefault="001D3029" w14:paraId="469783A2" w14:textId="77777777">
      <w:pPr>
        <w:autoSpaceDE w:val="0"/>
        <w:autoSpaceDN w:val="0"/>
        <w:adjustRightInd w:val="0"/>
        <w:rPr>
          <w:rFonts w:ascii="Palatino Linotype" w:hAnsi="Palatino Linotype" w:cs="Arial"/>
          <w:sz w:val="24"/>
          <w:szCs w:val="24"/>
        </w:rPr>
      </w:pPr>
    </w:p>
    <w:p w:rsidRPr="00941BC9" w:rsidR="000C4AB1" w:rsidP="000C4AB1" w:rsidRDefault="000C4AB1" w14:paraId="3A03D80A" w14:textId="5D0FEA2C">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 xml:space="preserve">MTR RFO </w:t>
      </w:r>
      <w:r w:rsidRPr="00941BC9">
        <w:rPr>
          <w:rFonts w:ascii="Palatino Linotype" w:hAnsi="Palatino Linotype" w:cs="ArialMT"/>
          <w:sz w:val="24"/>
          <w:szCs w:val="24"/>
        </w:rPr>
        <w:t xml:space="preserve">– </w:t>
      </w:r>
      <w:r w:rsidRPr="00941BC9">
        <w:rPr>
          <w:rFonts w:ascii="Palatino Linotype" w:hAnsi="Palatino Linotype" w:cs="Arial"/>
          <w:sz w:val="24"/>
          <w:szCs w:val="24"/>
        </w:rPr>
        <w:t>Phase 3 documents were finalized for release on February 7, 2023, and</w:t>
      </w:r>
    </w:p>
    <w:p w:rsidRPr="00941BC9" w:rsidR="000C4AB1" w:rsidP="000C4AB1" w:rsidRDefault="000C4AB1" w14:paraId="4083C4CF" w14:textId="7D032471">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remain available on the PG&amp;E website</w:t>
      </w:r>
      <w:r w:rsidRPr="00941BC9">
        <w:rPr>
          <w:rStyle w:val="FootnoteReference"/>
          <w:rFonts w:ascii="Palatino Linotype" w:hAnsi="Palatino Linotype" w:cs="Arial"/>
          <w:sz w:val="24"/>
          <w:szCs w:val="24"/>
        </w:rPr>
        <w:footnoteReference w:id="13"/>
      </w:r>
      <w:r w:rsidRPr="00941BC9">
        <w:rPr>
          <w:rFonts w:ascii="Palatino Linotype" w:hAnsi="Palatino Linotype" w:cs="Arial"/>
          <w:sz w:val="24"/>
          <w:szCs w:val="24"/>
        </w:rPr>
        <w:t xml:space="preserve">. PG&amp;E requested offers for the MTR </w:t>
      </w:r>
      <w:r w:rsidR="00EA2588">
        <w:rPr>
          <w:rFonts w:ascii="Palatino Linotype" w:hAnsi="Palatino Linotype" w:cs="Arial"/>
          <w:sz w:val="24"/>
          <w:szCs w:val="24"/>
        </w:rPr>
        <w:br/>
      </w:r>
      <w:r w:rsidRPr="00941BC9">
        <w:rPr>
          <w:rFonts w:ascii="Palatino Linotype" w:hAnsi="Palatino Linotype" w:cs="Arial"/>
          <w:sz w:val="24"/>
          <w:szCs w:val="24"/>
        </w:rPr>
        <w:t xml:space="preserve">RFO </w:t>
      </w:r>
      <w:r w:rsidRPr="00941BC9">
        <w:rPr>
          <w:rFonts w:ascii="Palatino Linotype" w:hAnsi="Palatino Linotype" w:cs="ArialMT"/>
          <w:sz w:val="24"/>
          <w:szCs w:val="24"/>
        </w:rPr>
        <w:t xml:space="preserve">– </w:t>
      </w:r>
      <w:r w:rsidRPr="00941BC9">
        <w:rPr>
          <w:rFonts w:ascii="Palatino Linotype" w:hAnsi="Palatino Linotype" w:cs="Arial"/>
          <w:sz w:val="24"/>
          <w:szCs w:val="24"/>
        </w:rPr>
        <w:t xml:space="preserve">Phase 3 by March 16, 2023, and notified participants via e-mail of their status regarding the shortlist on May 10, 2023. Shortlisted participants were notified in an email letter of additional requirements to remain on the shortlist and be eligible for negotiations. Due to changing market conditions, PG&amp;E notified </w:t>
      </w:r>
      <w:r w:rsidRPr="00941BC9" w:rsidR="001C2DEB">
        <w:rPr>
          <w:rFonts w:ascii="Palatino Linotype" w:hAnsi="Palatino Linotype" w:cs="Arial"/>
          <w:sz w:val="24"/>
          <w:szCs w:val="24"/>
        </w:rPr>
        <w:t>the market</w:t>
      </w:r>
      <w:r w:rsidRPr="00941BC9">
        <w:rPr>
          <w:rFonts w:ascii="Palatino Linotype" w:hAnsi="Palatino Linotype" w:cs="Arial"/>
          <w:sz w:val="24"/>
          <w:szCs w:val="24"/>
        </w:rPr>
        <w:t xml:space="preserve"> participants that it had re-opened the RFO on August 21, 2023, and accepted offers through December 15, 2023. Additionally shortlisted participants were notified on a rolling basis.</w:t>
      </w:r>
    </w:p>
    <w:p w:rsidRPr="00941BC9" w:rsidR="00D755C8" w:rsidP="00155AFC" w:rsidRDefault="00D755C8" w14:paraId="1E696B91" w14:textId="493019D1">
      <w:pPr>
        <w:autoSpaceDE w:val="0"/>
        <w:autoSpaceDN w:val="0"/>
        <w:adjustRightInd w:val="0"/>
        <w:spacing w:before="120"/>
        <w:rPr>
          <w:rFonts w:ascii="Palatino Linotype" w:hAnsi="Palatino Linotype" w:cs="Arial"/>
          <w:sz w:val="24"/>
          <w:szCs w:val="24"/>
        </w:rPr>
      </w:pPr>
      <w:r w:rsidRPr="00941BC9">
        <w:rPr>
          <w:rFonts w:ascii="Palatino Linotype" w:hAnsi="Palatino Linotype" w:cs="Arial"/>
          <w:sz w:val="24"/>
          <w:szCs w:val="24"/>
        </w:rPr>
        <w:t xml:space="preserve">Staff </w:t>
      </w:r>
      <w:r w:rsidRPr="00941BC9" w:rsidR="004301AC">
        <w:rPr>
          <w:rFonts w:ascii="Palatino Linotype" w:hAnsi="Palatino Linotype" w:cs="Arial"/>
          <w:sz w:val="24"/>
          <w:szCs w:val="24"/>
        </w:rPr>
        <w:t>have</w:t>
      </w:r>
      <w:r w:rsidRPr="00941BC9">
        <w:rPr>
          <w:rFonts w:ascii="Palatino Linotype" w:hAnsi="Palatino Linotype" w:cs="Arial"/>
          <w:sz w:val="24"/>
          <w:szCs w:val="24"/>
        </w:rPr>
        <w:t xml:space="preserve"> analyzed and reviewed the participant ou</w:t>
      </w:r>
      <w:r w:rsidRPr="00941BC9" w:rsidR="00287F74">
        <w:rPr>
          <w:rFonts w:ascii="Palatino Linotype" w:hAnsi="Palatino Linotype" w:cs="Arial"/>
          <w:sz w:val="24"/>
          <w:szCs w:val="24"/>
        </w:rPr>
        <w:t xml:space="preserve">treach </w:t>
      </w:r>
      <w:r w:rsidRPr="00941BC9">
        <w:rPr>
          <w:rFonts w:ascii="Palatino Linotype" w:hAnsi="Palatino Linotype" w:cs="Arial"/>
          <w:sz w:val="24"/>
          <w:szCs w:val="24"/>
        </w:rPr>
        <w:t xml:space="preserve">process </w:t>
      </w:r>
      <w:r w:rsidRPr="00941BC9" w:rsidR="00287F74">
        <w:rPr>
          <w:rFonts w:ascii="Palatino Linotype" w:hAnsi="Palatino Linotype" w:cs="Arial"/>
          <w:sz w:val="24"/>
          <w:szCs w:val="24"/>
        </w:rPr>
        <w:t>and found it to be thorough, proper, and effective. The Commission should approve of the process.</w:t>
      </w:r>
    </w:p>
    <w:p w:rsidRPr="00941BC9" w:rsidR="000C4AB1" w:rsidP="00D552D7" w:rsidRDefault="000F2F16" w14:paraId="39C0E8B2" w14:textId="0FE128B5">
      <w:pPr>
        <w:autoSpaceDE w:val="0"/>
        <w:autoSpaceDN w:val="0"/>
        <w:adjustRightInd w:val="0"/>
        <w:spacing w:before="120" w:after="240"/>
        <w:rPr>
          <w:rFonts w:ascii="Palatino Linotype" w:hAnsi="Palatino Linotype"/>
          <w:b/>
          <w:bCs/>
          <w:sz w:val="24"/>
          <w:szCs w:val="24"/>
        </w:rPr>
      </w:pPr>
      <w:r w:rsidRPr="00941BC9">
        <w:rPr>
          <w:rFonts w:ascii="Palatino Linotype" w:hAnsi="Palatino Linotype"/>
          <w:b/>
          <w:bCs/>
          <w:sz w:val="24"/>
          <w:szCs w:val="24"/>
        </w:rPr>
        <w:t>C</w:t>
      </w:r>
      <w:r w:rsidRPr="00941BC9" w:rsidR="000C4AB1">
        <w:rPr>
          <w:rFonts w:ascii="Palatino Linotype" w:hAnsi="Palatino Linotype"/>
          <w:b/>
          <w:bCs/>
          <w:sz w:val="24"/>
          <w:szCs w:val="24"/>
        </w:rPr>
        <w:t xml:space="preserve">. RFO Bid </w:t>
      </w:r>
      <w:r w:rsidRPr="00941BC9" w:rsidR="00110188">
        <w:rPr>
          <w:rFonts w:ascii="Palatino Linotype" w:hAnsi="Palatino Linotype"/>
          <w:b/>
          <w:bCs/>
          <w:sz w:val="24"/>
          <w:szCs w:val="24"/>
        </w:rPr>
        <w:t xml:space="preserve">Evaluation Methodology and </w:t>
      </w:r>
      <w:r w:rsidRPr="00941BC9" w:rsidR="000C4AB1">
        <w:rPr>
          <w:rFonts w:ascii="Palatino Linotype" w:hAnsi="Palatino Linotype"/>
          <w:b/>
          <w:bCs/>
          <w:sz w:val="24"/>
          <w:szCs w:val="24"/>
        </w:rPr>
        <w:t>Selection</w:t>
      </w:r>
    </w:p>
    <w:p w:rsidRPr="00941BC9" w:rsidR="00B807A3" w:rsidP="007B36FD" w:rsidRDefault="00B807A3" w14:paraId="47C6E172" w14:textId="3B3A67FF">
      <w:pPr>
        <w:rPr>
          <w:rFonts w:ascii="Palatino Linotype" w:hAnsi="Palatino Linotype" w:cs="Arial"/>
          <w:sz w:val="24"/>
          <w:szCs w:val="24"/>
        </w:rPr>
      </w:pPr>
      <w:r w:rsidRPr="00941BC9">
        <w:rPr>
          <w:rFonts w:ascii="Palatino Linotype" w:hAnsi="Palatino Linotype" w:cs="Arial"/>
          <w:sz w:val="24"/>
          <w:szCs w:val="24"/>
        </w:rPr>
        <w:t xml:space="preserve">This section describes two steps in the process of the RFO Bid Selection process. The first step is to evaluate each bid </w:t>
      </w:r>
      <w:r w:rsidRPr="00941BC9" w:rsidR="00815DFB">
        <w:rPr>
          <w:rFonts w:ascii="Palatino Linotype" w:hAnsi="Palatino Linotype" w:cs="Arial"/>
          <w:sz w:val="24"/>
          <w:szCs w:val="24"/>
        </w:rPr>
        <w:t>following the Least Cost Best Fit methodology which includes evaluations in quantitative and qualitative terms. The second step describes how the “Short List” was determined from the bids which had been evaluated in the first step.</w:t>
      </w:r>
      <w:r w:rsidRPr="00941BC9">
        <w:rPr>
          <w:rFonts w:ascii="Palatino Linotype" w:hAnsi="Palatino Linotype" w:cs="Arial"/>
          <w:sz w:val="24"/>
          <w:szCs w:val="24"/>
        </w:rPr>
        <w:t xml:space="preserve"> </w:t>
      </w:r>
      <w:r w:rsidRPr="00941BC9" w:rsidR="0085536C">
        <w:rPr>
          <w:rFonts w:ascii="Palatino Linotype" w:hAnsi="Palatino Linotype" w:cs="Arial"/>
          <w:sz w:val="24"/>
          <w:szCs w:val="24"/>
        </w:rPr>
        <w:t xml:space="preserve">Details </w:t>
      </w:r>
      <w:r w:rsidRPr="00941BC9" w:rsidR="004301AC">
        <w:rPr>
          <w:rFonts w:ascii="Palatino Linotype" w:hAnsi="Palatino Linotype" w:cs="Arial"/>
          <w:sz w:val="24"/>
          <w:szCs w:val="24"/>
        </w:rPr>
        <w:t>of</w:t>
      </w:r>
      <w:r w:rsidRPr="00941BC9" w:rsidR="0085536C">
        <w:rPr>
          <w:rFonts w:ascii="Palatino Linotype" w:hAnsi="Palatino Linotype" w:cs="Arial"/>
          <w:sz w:val="24"/>
          <w:szCs w:val="24"/>
        </w:rPr>
        <w:t xml:space="preserve"> the process </w:t>
      </w:r>
      <w:r w:rsidRPr="00941BC9" w:rsidR="004301AC">
        <w:rPr>
          <w:rFonts w:ascii="Palatino Linotype" w:hAnsi="Palatino Linotype" w:cs="Arial"/>
          <w:sz w:val="24"/>
          <w:szCs w:val="24"/>
        </w:rPr>
        <w:t>are</w:t>
      </w:r>
      <w:r w:rsidRPr="00941BC9" w:rsidR="0085536C">
        <w:rPr>
          <w:rFonts w:ascii="Palatino Linotype" w:hAnsi="Palatino Linotype" w:cs="Arial"/>
          <w:sz w:val="24"/>
          <w:szCs w:val="24"/>
        </w:rPr>
        <w:t xml:space="preserve"> documented in the IE report corresponding to these transactions.</w:t>
      </w:r>
    </w:p>
    <w:p w:rsidRPr="00941BC9" w:rsidR="006E22CF" w:rsidP="00522D5D" w:rsidRDefault="00815DFB" w14:paraId="27778F1C" w14:textId="5AC8B1A7">
      <w:pPr>
        <w:spacing w:before="120" w:after="120"/>
        <w:rPr>
          <w:rFonts w:ascii="Palatino Linotype" w:hAnsi="Palatino Linotype" w:cs="Arial"/>
          <w:sz w:val="24"/>
          <w:szCs w:val="24"/>
        </w:rPr>
      </w:pPr>
      <w:r w:rsidRPr="00941BC9">
        <w:rPr>
          <w:rFonts w:ascii="Palatino Linotype" w:hAnsi="Palatino Linotype" w:cs="Arial"/>
          <w:sz w:val="24"/>
          <w:szCs w:val="24"/>
        </w:rPr>
        <w:t>T</w:t>
      </w:r>
      <w:r w:rsidRPr="00941BC9" w:rsidR="000C4AB1">
        <w:rPr>
          <w:rFonts w:ascii="Palatino Linotype" w:hAnsi="Palatino Linotype" w:cs="Arial"/>
          <w:sz w:val="24"/>
          <w:szCs w:val="24"/>
        </w:rPr>
        <w:t xml:space="preserve">he Least Cost Best Fit (“LCBF”) principles and procedures </w:t>
      </w:r>
      <w:r w:rsidRPr="00941BC9">
        <w:rPr>
          <w:rFonts w:ascii="Palatino Linotype" w:hAnsi="Palatino Linotype" w:cs="Arial"/>
          <w:sz w:val="24"/>
          <w:szCs w:val="24"/>
        </w:rPr>
        <w:t xml:space="preserve">were </w:t>
      </w:r>
      <w:r w:rsidRPr="00941BC9" w:rsidR="000C4AB1">
        <w:rPr>
          <w:rFonts w:ascii="Palatino Linotype" w:hAnsi="Palatino Linotype" w:cs="Arial"/>
          <w:sz w:val="24"/>
          <w:szCs w:val="24"/>
        </w:rPr>
        <w:t>applied</w:t>
      </w:r>
      <w:r w:rsidRPr="00941BC9">
        <w:rPr>
          <w:rFonts w:ascii="Palatino Linotype" w:hAnsi="Palatino Linotype" w:cs="Arial"/>
          <w:sz w:val="24"/>
          <w:szCs w:val="24"/>
        </w:rPr>
        <w:t xml:space="preserve"> as</w:t>
      </w:r>
      <w:r w:rsidRPr="00941BC9" w:rsidR="000C4AB1">
        <w:rPr>
          <w:rFonts w:ascii="Palatino Linotype" w:hAnsi="Palatino Linotype" w:cs="Arial"/>
          <w:sz w:val="24"/>
          <w:szCs w:val="24"/>
        </w:rPr>
        <w:t xml:space="preserve"> in other solicitations</w:t>
      </w:r>
      <w:r w:rsidRPr="00941BC9" w:rsidR="00316474">
        <w:rPr>
          <w:rFonts w:ascii="Palatino Linotype" w:hAnsi="Palatino Linotype" w:cs="Arial"/>
          <w:b/>
          <w:caps/>
          <w:sz w:val="24"/>
          <w:szCs w:val="24"/>
        </w:rPr>
        <w:t xml:space="preserve">, </w:t>
      </w:r>
      <w:r w:rsidRPr="00941BC9" w:rsidR="007B36FD">
        <w:rPr>
          <w:rFonts w:ascii="Palatino Linotype" w:hAnsi="Palatino Linotype" w:cs="Arial"/>
          <w:sz w:val="24"/>
          <w:szCs w:val="24"/>
        </w:rPr>
        <w:t xml:space="preserve">evaluating </w:t>
      </w:r>
      <w:r w:rsidRPr="00941BC9" w:rsidR="000C4AB1">
        <w:rPr>
          <w:rFonts w:ascii="Palatino Linotype" w:hAnsi="Palatino Linotype" w:cs="Arial"/>
          <w:bCs/>
          <w:sz w:val="24"/>
          <w:szCs w:val="24"/>
        </w:rPr>
        <w:t>each</w:t>
      </w:r>
      <w:r w:rsidRPr="00941BC9" w:rsidR="000C4AB1">
        <w:rPr>
          <w:rFonts w:ascii="Palatino Linotype" w:hAnsi="Palatino Linotype" w:cs="Arial"/>
          <w:sz w:val="24"/>
          <w:szCs w:val="24"/>
        </w:rPr>
        <w:t xml:space="preserve"> offer using both quantitative and qualitative criteria, each of which has a corresponding internal protocol.</w:t>
      </w:r>
    </w:p>
    <w:p w:rsidRPr="00941BC9" w:rsidR="00FC6D10" w:rsidP="00522D5D" w:rsidRDefault="003B40CE" w14:paraId="2676F066" w14:textId="1DCBB51C">
      <w:pPr>
        <w:autoSpaceDE w:val="0"/>
        <w:autoSpaceDN w:val="0"/>
        <w:adjustRightInd w:val="0"/>
        <w:rPr>
          <w:rFonts w:ascii="Palatino Linotype" w:hAnsi="Palatino Linotype" w:cs="CIDFont+F7"/>
          <w:sz w:val="24"/>
          <w:szCs w:val="24"/>
        </w:rPr>
      </w:pPr>
      <w:r w:rsidRPr="00941BC9">
        <w:rPr>
          <w:rFonts w:ascii="Palatino Linotype" w:hAnsi="Palatino Linotype" w:cs="CIDFont+F7"/>
          <w:sz w:val="24"/>
          <w:szCs w:val="24"/>
        </w:rPr>
        <w:t xml:space="preserve">From a quantitative perspective, an evaluation will be performed on all offers </w:t>
      </w:r>
      <w:r w:rsidRPr="00941BC9">
        <w:rPr>
          <w:rFonts w:ascii="Palatino Linotype" w:hAnsi="Palatino Linotype" w:cs="Arial"/>
          <w:sz w:val="24"/>
          <w:szCs w:val="24"/>
        </w:rPr>
        <w:t>by first calculating each project’s Net Market Value (“NMV”).</w:t>
      </w:r>
      <w:r w:rsidRPr="00941BC9" w:rsidR="0085536C">
        <w:rPr>
          <w:rFonts w:ascii="Palatino Linotype" w:hAnsi="Palatino Linotype" w:cs="Arial"/>
          <w:sz w:val="24"/>
          <w:szCs w:val="24"/>
        </w:rPr>
        <w:t xml:space="preserve"> Then where possible, adjustments were made with the inclusion of the Compliance Adder (a factor that credits the value if the project is incremental to meeting compliance requirements) and a Portfolio Fit Adjustment (a factor that credits the valuation if the project is a good fit </w:t>
      </w:r>
      <w:r w:rsidRPr="00941BC9" w:rsidR="0085536C">
        <w:rPr>
          <w:rFonts w:ascii="Palatino Linotype" w:hAnsi="Palatino Linotype" w:cs="Arial"/>
          <w:sz w:val="24"/>
          <w:szCs w:val="24"/>
        </w:rPr>
        <w:lastRenderedPageBreak/>
        <w:t>within the portfolio of projects). The resulti</w:t>
      </w:r>
      <w:r w:rsidRPr="00941BC9" w:rsidR="00FC6D10">
        <w:rPr>
          <w:rFonts w:ascii="Palatino Linotype" w:hAnsi="Palatino Linotype" w:cs="Arial"/>
          <w:sz w:val="24"/>
          <w:szCs w:val="24"/>
        </w:rPr>
        <w:t>n</w:t>
      </w:r>
      <w:r w:rsidRPr="00941BC9" w:rsidR="0085536C">
        <w:rPr>
          <w:rFonts w:ascii="Palatino Linotype" w:hAnsi="Palatino Linotype" w:cs="Arial"/>
          <w:sz w:val="24"/>
          <w:szCs w:val="24"/>
        </w:rPr>
        <w:t>g score is called the Adjusted NMV.</w:t>
      </w:r>
      <w:r w:rsidRPr="00941BC9" w:rsidR="00FC6D10">
        <w:rPr>
          <w:rFonts w:ascii="Palatino Linotype" w:hAnsi="Palatino Linotype" w:cs="Arial"/>
          <w:sz w:val="24"/>
          <w:szCs w:val="24"/>
        </w:rPr>
        <w:t xml:space="preserve"> </w:t>
      </w:r>
      <w:r w:rsidRPr="00941BC9" w:rsidR="00FC6D10">
        <w:rPr>
          <w:rFonts w:ascii="Palatino Linotype" w:hAnsi="Palatino Linotype" w:cs="CIDFont+F7"/>
          <w:sz w:val="24"/>
          <w:szCs w:val="24"/>
        </w:rPr>
        <w:t>The quantitative valuation compares an offer’s cost to its benefits. The cost may consist</w:t>
      </w:r>
    </w:p>
    <w:p w:rsidRPr="00941BC9" w:rsidR="00FC6D10" w:rsidP="00522D5D" w:rsidRDefault="00FC6D10" w14:paraId="3BF133E0" w14:textId="77777777">
      <w:pPr>
        <w:autoSpaceDE w:val="0"/>
        <w:autoSpaceDN w:val="0"/>
        <w:adjustRightInd w:val="0"/>
        <w:rPr>
          <w:rFonts w:ascii="Palatino Linotype" w:hAnsi="Palatino Linotype" w:cs="CIDFont+F7"/>
          <w:sz w:val="24"/>
          <w:szCs w:val="24"/>
        </w:rPr>
      </w:pPr>
      <w:r w:rsidRPr="00941BC9">
        <w:rPr>
          <w:rFonts w:ascii="Palatino Linotype" w:hAnsi="Palatino Linotype" w:cs="CIDFont+F7"/>
          <w:sz w:val="24"/>
          <w:szCs w:val="24"/>
        </w:rPr>
        <w:t>of the contract fixed cost, variable cost, and transmission network upgrade costs. The</w:t>
      </w:r>
    </w:p>
    <w:p w:rsidRPr="00941BC9" w:rsidR="00FC6D10" w:rsidP="00522D5D" w:rsidRDefault="00FC6D10" w14:paraId="2F5FE268" w14:textId="77777777">
      <w:pPr>
        <w:autoSpaceDE w:val="0"/>
        <w:autoSpaceDN w:val="0"/>
        <w:adjustRightInd w:val="0"/>
        <w:rPr>
          <w:rFonts w:ascii="Palatino Linotype" w:hAnsi="Palatino Linotype" w:cs="CIDFont+F7"/>
          <w:sz w:val="24"/>
          <w:szCs w:val="24"/>
        </w:rPr>
      </w:pPr>
      <w:r w:rsidRPr="00941BC9">
        <w:rPr>
          <w:rFonts w:ascii="Palatino Linotype" w:hAnsi="Palatino Linotype" w:cs="CIDFont+F7"/>
          <w:sz w:val="24"/>
          <w:szCs w:val="24"/>
        </w:rPr>
        <w:t>benefits may consist of capacity value and energy value to the extent provided in the</w:t>
      </w:r>
    </w:p>
    <w:p w:rsidRPr="00941BC9" w:rsidR="003B40CE" w:rsidP="00522D5D" w:rsidRDefault="00FC6D10" w14:paraId="7606A6F2" w14:textId="49746E0E">
      <w:pPr>
        <w:autoSpaceDE w:val="0"/>
        <w:autoSpaceDN w:val="0"/>
        <w:adjustRightInd w:val="0"/>
        <w:spacing w:after="120"/>
        <w:rPr>
          <w:rFonts w:ascii="Palatino Linotype" w:hAnsi="Palatino Linotype" w:cs="Arial"/>
          <w:sz w:val="24"/>
          <w:szCs w:val="24"/>
        </w:rPr>
      </w:pPr>
      <w:r w:rsidRPr="00941BC9">
        <w:rPr>
          <w:rFonts w:ascii="Palatino Linotype" w:hAnsi="Palatino Linotype" w:cs="CIDFont+F7"/>
          <w:sz w:val="24"/>
          <w:szCs w:val="24"/>
        </w:rPr>
        <w:t>agreement. The Adjusted NMV takes the various factors into account so that the bids can be compared.</w:t>
      </w:r>
    </w:p>
    <w:p w:rsidRPr="00941BC9" w:rsidR="00FC6D10" w:rsidP="00155AFC" w:rsidRDefault="0085536C" w14:paraId="774769E4" w14:textId="7F29620B">
      <w:pPr>
        <w:pStyle w:val="standard"/>
        <w:spacing w:line="240" w:lineRule="auto"/>
        <w:ind w:firstLine="0"/>
        <w:rPr>
          <w:rFonts w:ascii="Palatino Linotype" w:hAnsi="Palatino Linotype" w:cs="Arial"/>
          <w:sz w:val="24"/>
          <w:szCs w:val="24"/>
        </w:rPr>
      </w:pPr>
      <w:r w:rsidRPr="00941BC9">
        <w:rPr>
          <w:rFonts w:ascii="Palatino Linotype" w:hAnsi="Palatino Linotype" w:cs="Arial"/>
          <w:sz w:val="24"/>
          <w:szCs w:val="24"/>
        </w:rPr>
        <w:t>The qualitative assessment</w:t>
      </w:r>
      <w:r w:rsidRPr="00941BC9" w:rsidR="0027601C">
        <w:rPr>
          <w:rFonts w:ascii="Palatino Linotype" w:hAnsi="Palatino Linotype" w:cs="Arial"/>
          <w:sz w:val="24"/>
          <w:szCs w:val="24"/>
        </w:rPr>
        <w:t>s</w:t>
      </w:r>
      <w:r w:rsidRPr="00941BC9">
        <w:rPr>
          <w:rFonts w:ascii="Palatino Linotype" w:hAnsi="Palatino Linotype" w:cs="Arial"/>
          <w:sz w:val="24"/>
          <w:szCs w:val="24"/>
        </w:rPr>
        <w:t xml:space="preserve"> of the third-party offers were evaluated </w:t>
      </w:r>
      <w:r w:rsidRPr="00941BC9" w:rsidR="0027601C">
        <w:rPr>
          <w:rFonts w:ascii="Palatino Linotype" w:hAnsi="Palatino Linotype" w:cs="Arial"/>
          <w:sz w:val="24"/>
          <w:szCs w:val="24"/>
        </w:rPr>
        <w:t xml:space="preserve">using a composite rating score which was derived from the scores from eleven criteria which represented the project’s viability. </w:t>
      </w:r>
      <w:r w:rsidRPr="00941BC9" w:rsidR="00FC6D10">
        <w:rPr>
          <w:rFonts w:ascii="Palatino Linotype" w:hAnsi="Palatino Linotype" w:cs="Arial"/>
          <w:sz w:val="24"/>
          <w:szCs w:val="24"/>
        </w:rPr>
        <w:t>The qualitative factors were such qualities which could impact the value of the offer such as interconnection status, ability to procure long lead-time equipment, site control, credit, safety history, previous adverse commercial experience, agreement or term sheet modifications, ability to meet the Initial Delivery Date, including commercial preferences for earlier dates; supply chain responsibilities status, developer experience, location and completeness of offers.</w:t>
      </w:r>
    </w:p>
    <w:p w:rsidRPr="00941BC9" w:rsidR="00FC6D10" w:rsidRDefault="00FC6D10" w14:paraId="410C359D" w14:textId="77777777">
      <w:pPr>
        <w:autoSpaceDE w:val="0"/>
        <w:autoSpaceDN w:val="0"/>
        <w:adjustRightInd w:val="0"/>
        <w:rPr>
          <w:rFonts w:ascii="Palatino Linotype" w:hAnsi="Palatino Linotype" w:cs="Arial"/>
          <w:sz w:val="24"/>
          <w:szCs w:val="24"/>
        </w:rPr>
      </w:pPr>
    </w:p>
    <w:p w:rsidRPr="00941BC9" w:rsidR="0085536C" w:rsidRDefault="0027601C" w14:paraId="4B3E389B" w14:textId="72C4C16D">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 xml:space="preserve">For utility-owned generation, PG&amp;E used criteria addressing Eligibility, Technology, and Safety. Details on the criterion and the process </w:t>
      </w:r>
      <w:r w:rsidRPr="00941BC9" w:rsidR="004301AC">
        <w:rPr>
          <w:rFonts w:ascii="Palatino Linotype" w:hAnsi="Palatino Linotype" w:cs="Arial"/>
          <w:sz w:val="24"/>
          <w:szCs w:val="24"/>
        </w:rPr>
        <w:t>are</w:t>
      </w:r>
      <w:r w:rsidRPr="00941BC9">
        <w:rPr>
          <w:rFonts w:ascii="Palatino Linotype" w:hAnsi="Palatino Linotype" w:cs="Arial"/>
          <w:sz w:val="24"/>
          <w:szCs w:val="24"/>
        </w:rPr>
        <w:t xml:space="preserve"> described in the IE report as well.</w:t>
      </w:r>
    </w:p>
    <w:p w:rsidRPr="00941BC9" w:rsidR="0085536C" w:rsidP="00AB349E" w:rsidRDefault="0027601C" w14:paraId="5778437E" w14:textId="3F4C7C6B">
      <w:pPr>
        <w:autoSpaceDE w:val="0"/>
        <w:autoSpaceDN w:val="0"/>
        <w:adjustRightInd w:val="0"/>
        <w:spacing w:before="120" w:after="120"/>
        <w:rPr>
          <w:rFonts w:ascii="Palatino Linotype" w:hAnsi="Palatino Linotype" w:cs="Arial"/>
          <w:sz w:val="24"/>
          <w:szCs w:val="24"/>
        </w:rPr>
      </w:pPr>
      <w:r w:rsidRPr="00941BC9">
        <w:rPr>
          <w:rFonts w:ascii="Palatino Linotype" w:hAnsi="Palatino Linotype" w:cs="Arial"/>
          <w:sz w:val="24"/>
          <w:szCs w:val="24"/>
        </w:rPr>
        <w:t>The projects’ adjusted NMV and qualitative scores were ranked from the highest to the lowest.</w:t>
      </w:r>
    </w:p>
    <w:p w:rsidRPr="00941BC9" w:rsidR="00815DFB" w:rsidP="00522D5D" w:rsidRDefault="00815DFB" w14:paraId="279C9FB4" w14:textId="466917AA">
      <w:pPr>
        <w:spacing w:after="120"/>
        <w:rPr>
          <w:rFonts w:ascii="Palatino Linotype" w:hAnsi="Palatino Linotype" w:cs="Arial"/>
          <w:sz w:val="24"/>
          <w:szCs w:val="24"/>
        </w:rPr>
      </w:pPr>
      <w:r w:rsidRPr="00941BC9">
        <w:rPr>
          <w:rFonts w:ascii="Palatino Linotype" w:hAnsi="Palatino Linotype" w:cs="Arial"/>
          <w:sz w:val="24"/>
          <w:szCs w:val="24"/>
        </w:rPr>
        <w:t xml:space="preserve">Staff </w:t>
      </w:r>
      <w:proofErr w:type="gramStart"/>
      <w:r w:rsidRPr="00941BC9" w:rsidR="00AB349E">
        <w:rPr>
          <w:rFonts w:ascii="Palatino Linotype" w:hAnsi="Palatino Linotype" w:cs="Arial"/>
          <w:sz w:val="24"/>
          <w:szCs w:val="24"/>
        </w:rPr>
        <w:t>has</w:t>
      </w:r>
      <w:proofErr w:type="gramEnd"/>
      <w:r w:rsidRPr="00941BC9" w:rsidR="00AB349E">
        <w:rPr>
          <w:rFonts w:ascii="Palatino Linotype" w:hAnsi="Palatino Linotype" w:cs="Arial"/>
          <w:sz w:val="24"/>
          <w:szCs w:val="24"/>
        </w:rPr>
        <w:t xml:space="preserve"> reviewed this process and acknowledges </w:t>
      </w:r>
      <w:r w:rsidRPr="00941BC9">
        <w:rPr>
          <w:rFonts w:ascii="Palatino Linotype" w:hAnsi="Palatino Linotype" w:cs="Arial"/>
          <w:sz w:val="24"/>
          <w:szCs w:val="24"/>
        </w:rPr>
        <w:t xml:space="preserve">that </w:t>
      </w:r>
      <w:r w:rsidRPr="00941BC9">
        <w:rPr>
          <w:rFonts w:ascii="Palatino Linotype" w:hAnsi="Palatino Linotype" w:cs="CIDFont+F7"/>
          <w:sz w:val="24"/>
          <w:szCs w:val="24"/>
          <w:u w:val="single"/>
        </w:rPr>
        <w:t>PG&amp;E’s evaluation methodology is consistent with Least Cost Best Fit principles</w:t>
      </w:r>
      <w:r w:rsidRPr="00941BC9" w:rsidR="00140F1C">
        <w:rPr>
          <w:rFonts w:ascii="Palatino Linotype" w:hAnsi="Palatino Linotype" w:cs="CIDFont+F7"/>
          <w:sz w:val="24"/>
          <w:szCs w:val="24"/>
        </w:rPr>
        <w:t xml:space="preserve">. The cost aspect is accounted for by calculating the adjusted NMV and ranking the projects in order of the value of the adjusted NMV. Then the best fit aspects are analyzed </w:t>
      </w:r>
      <w:proofErr w:type="gramStart"/>
      <w:r w:rsidRPr="00941BC9" w:rsidR="00140F1C">
        <w:rPr>
          <w:rFonts w:ascii="Palatino Linotype" w:hAnsi="Palatino Linotype" w:cs="CIDFont+F7"/>
          <w:sz w:val="24"/>
          <w:szCs w:val="24"/>
        </w:rPr>
        <w:t>through the use of</w:t>
      </w:r>
      <w:proofErr w:type="gramEnd"/>
      <w:r w:rsidRPr="00941BC9" w:rsidR="00140F1C">
        <w:rPr>
          <w:rFonts w:ascii="Palatino Linotype" w:hAnsi="Palatino Linotype" w:cs="CIDFont+F7"/>
          <w:sz w:val="24"/>
          <w:szCs w:val="24"/>
        </w:rPr>
        <w:t xml:space="preserve"> the qualitative assessments to see which projects offer the best fit for the project portfolio. Staff </w:t>
      </w:r>
      <w:proofErr w:type="gramStart"/>
      <w:r w:rsidRPr="00941BC9" w:rsidR="00140F1C">
        <w:rPr>
          <w:rFonts w:ascii="Palatino Linotype" w:hAnsi="Palatino Linotype" w:cs="CIDFont+F7"/>
          <w:sz w:val="24"/>
          <w:szCs w:val="24"/>
        </w:rPr>
        <w:t>has</w:t>
      </w:r>
      <w:proofErr w:type="gramEnd"/>
      <w:r w:rsidRPr="00941BC9" w:rsidR="00140F1C">
        <w:rPr>
          <w:rFonts w:ascii="Palatino Linotype" w:hAnsi="Palatino Linotype" w:cs="CIDFont+F7"/>
          <w:sz w:val="24"/>
          <w:szCs w:val="24"/>
        </w:rPr>
        <w:t xml:space="preserve"> verified that it was </w:t>
      </w:r>
      <w:r w:rsidRPr="00941BC9" w:rsidR="00AB349E">
        <w:rPr>
          <w:rFonts w:ascii="Palatino Linotype" w:hAnsi="Palatino Linotype" w:cs="CIDFont+F7"/>
          <w:sz w:val="24"/>
          <w:szCs w:val="24"/>
        </w:rPr>
        <w:t xml:space="preserve">through the </w:t>
      </w:r>
      <w:r w:rsidRPr="00941BC9">
        <w:rPr>
          <w:rFonts w:ascii="Palatino Linotype" w:hAnsi="Palatino Linotype" w:cs="CIDFont+F7"/>
          <w:sz w:val="24"/>
          <w:szCs w:val="24"/>
        </w:rPr>
        <w:t>incorporati</w:t>
      </w:r>
      <w:r w:rsidRPr="00941BC9" w:rsidR="00AB349E">
        <w:rPr>
          <w:rFonts w:ascii="Palatino Linotype" w:hAnsi="Palatino Linotype" w:cs="CIDFont+F7"/>
          <w:sz w:val="24"/>
          <w:szCs w:val="24"/>
        </w:rPr>
        <w:t>on of both q</w:t>
      </w:r>
      <w:r w:rsidRPr="00941BC9">
        <w:rPr>
          <w:rFonts w:ascii="Palatino Linotype" w:hAnsi="Palatino Linotype" w:cs="CIDFont+F7"/>
          <w:sz w:val="24"/>
          <w:szCs w:val="24"/>
        </w:rPr>
        <w:t>uantitative and qualitative factors</w:t>
      </w:r>
      <w:r w:rsidRPr="00941BC9" w:rsidR="00140F1C">
        <w:rPr>
          <w:rFonts w:ascii="Palatino Linotype" w:hAnsi="Palatino Linotype" w:cs="CIDFont+F7"/>
          <w:sz w:val="24"/>
          <w:szCs w:val="24"/>
        </w:rPr>
        <w:t xml:space="preserve"> that was the</w:t>
      </w:r>
      <w:r w:rsidRPr="00941BC9">
        <w:rPr>
          <w:rFonts w:ascii="Palatino Linotype" w:hAnsi="Palatino Linotype" w:cs="CIDFont+F7"/>
          <w:sz w:val="24"/>
          <w:szCs w:val="24"/>
        </w:rPr>
        <w:t xml:space="preserve"> basis for determining </w:t>
      </w:r>
      <w:r w:rsidRPr="00941BC9" w:rsidR="00140F1C">
        <w:rPr>
          <w:rFonts w:ascii="Palatino Linotype" w:hAnsi="Palatino Linotype" w:cs="CIDFont+F7"/>
          <w:sz w:val="24"/>
          <w:szCs w:val="24"/>
        </w:rPr>
        <w:t xml:space="preserve">the </w:t>
      </w:r>
      <w:r w:rsidRPr="00941BC9">
        <w:rPr>
          <w:rFonts w:ascii="Palatino Linotype" w:hAnsi="Palatino Linotype" w:cs="CIDFont+F7"/>
          <w:sz w:val="24"/>
          <w:szCs w:val="24"/>
        </w:rPr>
        <w:t>shortlist of projects</w:t>
      </w:r>
      <w:r w:rsidRPr="00941BC9" w:rsidR="00AB349E">
        <w:rPr>
          <w:rFonts w:ascii="Palatino Linotype" w:hAnsi="Palatino Linotype" w:cs="CIDFont+F7"/>
          <w:sz w:val="24"/>
          <w:szCs w:val="24"/>
        </w:rPr>
        <w:t>.</w:t>
      </w:r>
    </w:p>
    <w:p w:rsidRPr="00941BC9" w:rsidR="007B36FD" w:rsidP="007B36FD" w:rsidRDefault="00B807A3" w14:paraId="5E9C08D9" w14:textId="3B220DD3">
      <w:pPr>
        <w:rPr>
          <w:rFonts w:ascii="Palatino Linotype" w:hAnsi="Palatino Linotype"/>
          <w:sz w:val="24"/>
          <w:szCs w:val="24"/>
        </w:rPr>
      </w:pPr>
      <w:r w:rsidRPr="00941BC9">
        <w:rPr>
          <w:rFonts w:ascii="Palatino Linotype" w:hAnsi="Palatino Linotype" w:cs="Arial"/>
          <w:sz w:val="24"/>
          <w:szCs w:val="24"/>
        </w:rPr>
        <w:t>F</w:t>
      </w:r>
      <w:r w:rsidRPr="00941BC9" w:rsidR="007B36FD">
        <w:rPr>
          <w:rFonts w:ascii="Palatino Linotype" w:hAnsi="Palatino Linotype"/>
          <w:sz w:val="24"/>
          <w:szCs w:val="24"/>
        </w:rPr>
        <w:t>or</w:t>
      </w:r>
      <w:r w:rsidRPr="00941BC9">
        <w:rPr>
          <w:rFonts w:ascii="Palatino Linotype" w:hAnsi="Palatino Linotype"/>
          <w:sz w:val="24"/>
          <w:szCs w:val="24"/>
        </w:rPr>
        <w:t xml:space="preserve"> the</w:t>
      </w:r>
      <w:r w:rsidRPr="00941BC9" w:rsidR="007B36FD">
        <w:rPr>
          <w:rFonts w:ascii="Palatino Linotype" w:hAnsi="Palatino Linotype"/>
          <w:sz w:val="24"/>
          <w:szCs w:val="24"/>
        </w:rPr>
        <w:t xml:space="preserve"> shortlist selection, PG&amp;E selected the shortlist based on </w:t>
      </w:r>
      <w:r w:rsidRPr="00941BC9" w:rsidR="003F2698">
        <w:rPr>
          <w:rFonts w:ascii="Palatino Linotype" w:hAnsi="Palatino Linotype"/>
          <w:sz w:val="24"/>
          <w:szCs w:val="24"/>
        </w:rPr>
        <w:t>certain</w:t>
      </w:r>
      <w:r w:rsidRPr="00941BC9" w:rsidR="007B36FD">
        <w:rPr>
          <w:rFonts w:ascii="Palatino Linotype" w:hAnsi="Palatino Linotype"/>
          <w:sz w:val="24"/>
          <w:szCs w:val="24"/>
        </w:rPr>
        <w:t xml:space="preserve"> guiding principles</w:t>
      </w:r>
      <w:r w:rsidRPr="00941BC9" w:rsidR="003F2698">
        <w:rPr>
          <w:rFonts w:ascii="Palatino Linotype" w:hAnsi="Palatino Linotype"/>
          <w:sz w:val="24"/>
          <w:szCs w:val="24"/>
        </w:rPr>
        <w:t xml:space="preserve"> which are described in Appendix B.</w:t>
      </w:r>
      <w:r w:rsidRPr="00941BC9" w:rsidR="007B36FD">
        <w:rPr>
          <w:rFonts w:ascii="Palatino Linotype" w:hAnsi="Palatino Linotype"/>
          <w:sz w:val="24"/>
          <w:szCs w:val="24"/>
        </w:rPr>
        <w:t xml:space="preserve"> </w:t>
      </w:r>
    </w:p>
    <w:p w:rsidRPr="00941BC9" w:rsidR="00703134" w:rsidP="00AB349E" w:rsidRDefault="000C4AB1" w14:paraId="26D66B16" w14:textId="2C2AB198">
      <w:pPr>
        <w:pStyle w:val="Heading1"/>
        <w:keepNext w:val="0"/>
        <w:widowControl w:val="0"/>
        <w:spacing w:after="120"/>
        <w:rPr>
          <w:rFonts w:ascii="Palatino Linotype" w:hAnsi="Palatino Linotype" w:cs="Arial"/>
          <w:b w:val="0"/>
          <w:caps w:val="0"/>
          <w:kern w:val="0"/>
          <w:sz w:val="24"/>
          <w:szCs w:val="24"/>
          <w:u w:val="none"/>
        </w:rPr>
      </w:pPr>
      <w:r w:rsidRPr="00941BC9">
        <w:rPr>
          <w:rFonts w:ascii="Palatino Linotype" w:hAnsi="Palatino Linotype" w:cs="Arial"/>
          <w:b w:val="0"/>
          <w:caps w:val="0"/>
          <w:kern w:val="0"/>
          <w:sz w:val="24"/>
          <w:szCs w:val="24"/>
          <w:u w:val="none"/>
        </w:rPr>
        <w:t xml:space="preserve">The evaluation procedure protocol was described </w:t>
      </w:r>
      <w:r w:rsidRPr="00941BC9" w:rsidR="00AB349E">
        <w:rPr>
          <w:rFonts w:ascii="Palatino Linotype" w:hAnsi="Palatino Linotype" w:cs="Arial"/>
          <w:b w:val="0"/>
          <w:caps w:val="0"/>
          <w:kern w:val="0"/>
          <w:sz w:val="24"/>
          <w:szCs w:val="24"/>
          <w:u w:val="none"/>
        </w:rPr>
        <w:t>in detail with</w:t>
      </w:r>
      <w:r w:rsidRPr="00941BC9">
        <w:rPr>
          <w:rFonts w:ascii="Palatino Linotype" w:hAnsi="Palatino Linotype" w:cs="Arial"/>
          <w:b w:val="0"/>
          <w:caps w:val="0"/>
          <w:kern w:val="0"/>
          <w:sz w:val="24"/>
          <w:szCs w:val="24"/>
          <w:u w:val="none"/>
        </w:rPr>
        <w:t xml:space="preserve">in the RFO materials on how the criteria </w:t>
      </w:r>
      <w:r w:rsidRPr="00941BC9" w:rsidR="008E4BA3">
        <w:rPr>
          <w:rFonts w:ascii="Palatino Linotype" w:hAnsi="Palatino Linotype" w:cs="Arial"/>
          <w:b w:val="0"/>
          <w:caps w:val="0"/>
          <w:kern w:val="0"/>
          <w:sz w:val="24"/>
          <w:szCs w:val="24"/>
          <w:u w:val="none"/>
        </w:rPr>
        <w:t>were</w:t>
      </w:r>
      <w:r w:rsidRPr="00941BC9" w:rsidR="00AB349E">
        <w:rPr>
          <w:rFonts w:ascii="Palatino Linotype" w:hAnsi="Palatino Linotype" w:cs="Arial"/>
          <w:b w:val="0"/>
          <w:caps w:val="0"/>
          <w:kern w:val="0"/>
          <w:sz w:val="24"/>
          <w:szCs w:val="24"/>
          <w:u w:val="none"/>
        </w:rPr>
        <w:t xml:space="preserve"> combined </w:t>
      </w:r>
      <w:r w:rsidRPr="00941BC9">
        <w:rPr>
          <w:rFonts w:ascii="Palatino Linotype" w:hAnsi="Palatino Linotype" w:cs="Arial"/>
          <w:b w:val="0"/>
          <w:caps w:val="0"/>
          <w:kern w:val="0"/>
          <w:sz w:val="24"/>
          <w:szCs w:val="24"/>
          <w:u w:val="none"/>
        </w:rPr>
        <w:t xml:space="preserve">to determine the ranking of the offers and the basis for shortlist selection. </w:t>
      </w:r>
    </w:p>
    <w:p w:rsidRPr="00941BC9" w:rsidR="000C4AB1" w:rsidP="000C4AB1" w:rsidRDefault="000C4AB1" w14:paraId="38ABD420" w14:textId="20A9D491">
      <w:pPr>
        <w:pStyle w:val="Heading1"/>
        <w:keepNext w:val="0"/>
        <w:widowControl w:val="0"/>
        <w:spacing w:before="0" w:after="0"/>
        <w:rPr>
          <w:rFonts w:ascii="Palatino Linotype" w:hAnsi="Palatino Linotype" w:cs="Arial"/>
          <w:b w:val="0"/>
          <w:caps w:val="0"/>
          <w:kern w:val="0"/>
          <w:sz w:val="24"/>
          <w:szCs w:val="24"/>
          <w:u w:val="none"/>
        </w:rPr>
      </w:pPr>
      <w:r w:rsidRPr="00941BC9">
        <w:rPr>
          <w:rFonts w:ascii="Palatino Linotype" w:hAnsi="Palatino Linotype" w:cs="Arial"/>
          <w:b w:val="0"/>
          <w:caps w:val="0"/>
          <w:kern w:val="0"/>
          <w:sz w:val="24"/>
          <w:szCs w:val="24"/>
          <w:u w:val="none"/>
        </w:rPr>
        <w:t>The Independent Evaluator (IE)</w:t>
      </w:r>
      <w:r w:rsidRPr="00941BC9" w:rsidR="00F00D35">
        <w:rPr>
          <w:rFonts w:ascii="Palatino Linotype" w:hAnsi="Palatino Linotype" w:cs="Arial"/>
          <w:b w:val="0"/>
          <w:caps w:val="0"/>
          <w:kern w:val="0"/>
          <w:sz w:val="24"/>
          <w:szCs w:val="24"/>
          <w:u w:val="none"/>
        </w:rPr>
        <w:t xml:space="preserve"> actively observed this bid selection process and approved its results.</w:t>
      </w:r>
      <w:r w:rsidRPr="00941BC9" w:rsidR="00AB349E">
        <w:rPr>
          <w:rFonts w:ascii="Palatino Linotype" w:hAnsi="Palatino Linotype" w:cs="Arial"/>
          <w:b w:val="0"/>
          <w:caps w:val="0"/>
          <w:kern w:val="0"/>
          <w:sz w:val="24"/>
          <w:szCs w:val="24"/>
          <w:u w:val="none"/>
        </w:rPr>
        <w:t xml:space="preserve"> </w:t>
      </w:r>
      <w:r w:rsidRPr="00941BC9" w:rsidR="00AB349E">
        <w:rPr>
          <w:rFonts w:ascii="Palatino Linotype" w:hAnsi="Palatino Linotype" w:cs="Arial"/>
          <w:b w:val="0"/>
          <w:caps w:val="0"/>
          <w:kern w:val="0"/>
          <w:sz w:val="24"/>
          <w:szCs w:val="24"/>
        </w:rPr>
        <w:t xml:space="preserve">Staff </w:t>
      </w:r>
      <w:proofErr w:type="gramStart"/>
      <w:r w:rsidRPr="00941BC9" w:rsidR="00AB349E">
        <w:rPr>
          <w:rFonts w:ascii="Palatino Linotype" w:hAnsi="Palatino Linotype" w:cs="Arial"/>
          <w:b w:val="0"/>
          <w:caps w:val="0"/>
          <w:kern w:val="0"/>
          <w:sz w:val="24"/>
          <w:szCs w:val="24"/>
        </w:rPr>
        <w:t>has</w:t>
      </w:r>
      <w:proofErr w:type="gramEnd"/>
      <w:r w:rsidRPr="00941BC9" w:rsidR="00AB349E">
        <w:rPr>
          <w:rFonts w:ascii="Palatino Linotype" w:hAnsi="Palatino Linotype" w:cs="Arial"/>
          <w:b w:val="0"/>
          <w:caps w:val="0"/>
          <w:kern w:val="0"/>
          <w:sz w:val="24"/>
          <w:szCs w:val="24"/>
        </w:rPr>
        <w:t xml:space="preserve"> reviewed the short-list selection process and found its process and results to be reasonable</w:t>
      </w:r>
      <w:r w:rsidRPr="00941BC9" w:rsidR="002530FE">
        <w:rPr>
          <w:rFonts w:ascii="Palatino Linotype" w:hAnsi="Palatino Linotype" w:cs="Arial"/>
          <w:b w:val="0"/>
          <w:caps w:val="0"/>
          <w:kern w:val="0"/>
          <w:sz w:val="24"/>
          <w:szCs w:val="24"/>
        </w:rPr>
        <w:t xml:space="preserve"> based on PG&amp;E’s consistency with </w:t>
      </w:r>
      <w:r w:rsidRPr="00941BC9" w:rsidR="003A2625">
        <w:rPr>
          <w:rFonts w:ascii="Palatino Linotype" w:hAnsi="Palatino Linotype" w:cs="Arial"/>
          <w:b w:val="0"/>
          <w:caps w:val="0"/>
          <w:kern w:val="0"/>
          <w:sz w:val="24"/>
          <w:szCs w:val="24"/>
        </w:rPr>
        <w:t>its protocols and least-cost, best-</w:t>
      </w:r>
      <w:r w:rsidRPr="00941BC9" w:rsidR="005E44E6">
        <w:rPr>
          <w:rFonts w:ascii="Palatino Linotype" w:hAnsi="Palatino Linotype" w:cs="Arial"/>
          <w:b w:val="0"/>
          <w:caps w:val="0"/>
          <w:kern w:val="0"/>
          <w:sz w:val="24"/>
          <w:szCs w:val="24"/>
        </w:rPr>
        <w:t>fit principles</w:t>
      </w:r>
      <w:r w:rsidRPr="00941BC9" w:rsidR="00AB349E">
        <w:rPr>
          <w:rFonts w:ascii="Palatino Linotype" w:hAnsi="Palatino Linotype" w:cs="Arial"/>
          <w:b w:val="0"/>
          <w:caps w:val="0"/>
          <w:kern w:val="0"/>
          <w:sz w:val="24"/>
          <w:szCs w:val="24"/>
          <w:u w:val="none"/>
        </w:rPr>
        <w:t>.</w:t>
      </w:r>
      <w:r w:rsidRPr="00941BC9" w:rsidR="00397408">
        <w:rPr>
          <w:rFonts w:ascii="Palatino Linotype" w:hAnsi="Palatino Linotype"/>
          <w:sz w:val="24"/>
          <w:szCs w:val="24"/>
        </w:rPr>
        <w:t xml:space="preserve"> </w:t>
      </w:r>
    </w:p>
    <w:p w:rsidRPr="00941BC9" w:rsidR="000C4AB1" w:rsidP="00D552D7" w:rsidRDefault="000F2F16" w14:paraId="32F592D6" w14:textId="4EF086D5">
      <w:pPr>
        <w:autoSpaceDE w:val="0"/>
        <w:autoSpaceDN w:val="0"/>
        <w:adjustRightInd w:val="0"/>
        <w:spacing w:before="120" w:after="240"/>
        <w:rPr>
          <w:rFonts w:ascii="Palatino Linotype" w:hAnsi="Palatino Linotype"/>
          <w:b/>
          <w:bCs/>
          <w:sz w:val="24"/>
          <w:szCs w:val="24"/>
        </w:rPr>
      </w:pPr>
      <w:r w:rsidRPr="00941BC9">
        <w:rPr>
          <w:rFonts w:ascii="Palatino Linotype" w:hAnsi="Palatino Linotype"/>
          <w:b/>
          <w:bCs/>
          <w:sz w:val="24"/>
          <w:szCs w:val="24"/>
        </w:rPr>
        <w:lastRenderedPageBreak/>
        <w:t>D</w:t>
      </w:r>
      <w:r w:rsidRPr="00941BC9" w:rsidR="000C4AB1">
        <w:rPr>
          <w:rFonts w:ascii="Palatino Linotype" w:hAnsi="Palatino Linotype"/>
          <w:b/>
          <w:bCs/>
          <w:sz w:val="24"/>
          <w:szCs w:val="24"/>
        </w:rPr>
        <w:t>. Selected Projects – Arlington Valley Solar Energy, LLC and Atlas Solar XI. LLC</w:t>
      </w:r>
    </w:p>
    <w:p w:rsidRPr="00941BC9" w:rsidR="00016EE8" w:rsidP="00016EE8" w:rsidRDefault="00340162" w14:paraId="5631EA23" w14:textId="133234B0">
      <w:pPr>
        <w:pStyle w:val="Heading1"/>
        <w:keepNext w:val="0"/>
        <w:widowControl w:val="0"/>
        <w:spacing w:before="0" w:after="120"/>
        <w:rPr>
          <w:rFonts w:ascii="Palatino Linotype" w:hAnsi="Palatino Linotype" w:cs="Arial"/>
          <w:b w:val="0"/>
          <w:caps w:val="0"/>
          <w:kern w:val="0"/>
          <w:sz w:val="24"/>
          <w:szCs w:val="24"/>
          <w:u w:val="none"/>
        </w:rPr>
      </w:pPr>
      <w:r w:rsidRPr="00941BC9">
        <w:rPr>
          <w:rFonts w:ascii="Palatino Linotype" w:hAnsi="Palatino Linotype" w:cs="Arial"/>
          <w:b w:val="0"/>
          <w:caps w:val="0"/>
          <w:kern w:val="0"/>
          <w:sz w:val="24"/>
          <w:szCs w:val="24"/>
          <w:u w:val="none"/>
        </w:rPr>
        <w:t xml:space="preserve">From PG&amp;E’s MTR RFO – Phase 3 </w:t>
      </w:r>
      <w:r w:rsidRPr="00941BC9" w:rsidR="000C4AB1">
        <w:rPr>
          <w:rFonts w:ascii="Palatino Linotype" w:hAnsi="Palatino Linotype" w:cs="Arial"/>
          <w:b w:val="0"/>
          <w:caps w:val="0"/>
          <w:kern w:val="0"/>
          <w:sz w:val="24"/>
          <w:szCs w:val="24"/>
          <w:u w:val="none"/>
        </w:rPr>
        <w:t>PG&amp;E executed two PPAs for zero emissions product from intermittent RPS projects, The Arlington Project owned by Arlington Valley Solar Energy, LLC and the Atlas South Project owned by Atlas Solar XI, LLC</w:t>
      </w:r>
      <w:r w:rsidRPr="00941BC9">
        <w:rPr>
          <w:rFonts w:ascii="Palatino Linotype" w:hAnsi="Palatino Linotype" w:cs="Arial"/>
          <w:b w:val="0"/>
          <w:caps w:val="0"/>
          <w:kern w:val="0"/>
          <w:sz w:val="24"/>
          <w:szCs w:val="24"/>
          <w:u w:val="none"/>
        </w:rPr>
        <w:t xml:space="preserve"> based on the </w:t>
      </w:r>
      <w:r w:rsidRPr="00941BC9" w:rsidR="00015434">
        <w:rPr>
          <w:rFonts w:ascii="Palatino Linotype" w:hAnsi="Palatino Linotype" w:cs="Arial"/>
          <w:b w:val="0"/>
          <w:caps w:val="0"/>
          <w:kern w:val="0"/>
          <w:sz w:val="24"/>
          <w:szCs w:val="24"/>
          <w:u w:val="none"/>
        </w:rPr>
        <w:t>above-described</w:t>
      </w:r>
      <w:r w:rsidRPr="00941BC9">
        <w:rPr>
          <w:rFonts w:ascii="Palatino Linotype" w:hAnsi="Palatino Linotype" w:cs="Arial"/>
          <w:b w:val="0"/>
          <w:caps w:val="0"/>
          <w:kern w:val="0"/>
          <w:sz w:val="24"/>
          <w:szCs w:val="24"/>
          <w:u w:val="none"/>
        </w:rPr>
        <w:t xml:space="preserve"> solicitation and </w:t>
      </w:r>
      <w:r w:rsidRPr="00941BC9" w:rsidR="00FA71EF">
        <w:rPr>
          <w:rFonts w:ascii="Palatino Linotype" w:hAnsi="Palatino Linotype" w:cs="Arial"/>
          <w:b w:val="0"/>
          <w:caps w:val="0"/>
          <w:kern w:val="0"/>
          <w:sz w:val="24"/>
          <w:szCs w:val="24"/>
          <w:u w:val="none"/>
        </w:rPr>
        <w:t>evaluation methodology</w:t>
      </w:r>
      <w:r w:rsidRPr="00941BC9" w:rsidR="000C4AB1">
        <w:rPr>
          <w:rFonts w:ascii="Palatino Linotype" w:hAnsi="Palatino Linotype" w:cs="Arial"/>
          <w:b w:val="0"/>
          <w:caps w:val="0"/>
          <w:kern w:val="0"/>
          <w:sz w:val="24"/>
          <w:szCs w:val="24"/>
          <w:u w:val="none"/>
        </w:rPr>
        <w:t>.</w:t>
      </w:r>
    </w:p>
    <w:p w:rsidRPr="00941BC9" w:rsidR="000C4AB1" w:rsidP="00016EE8" w:rsidRDefault="000C4AB1" w14:paraId="52B4786A" w14:textId="33B9A0A2">
      <w:pPr>
        <w:pStyle w:val="Heading1"/>
        <w:keepNext w:val="0"/>
        <w:widowControl w:val="0"/>
        <w:spacing w:before="0" w:after="0"/>
        <w:rPr>
          <w:rFonts w:ascii="Palatino Linotype" w:hAnsi="Palatino Linotype" w:cs="Arial"/>
          <w:b w:val="0"/>
          <w:caps w:val="0"/>
          <w:kern w:val="0"/>
          <w:sz w:val="24"/>
          <w:szCs w:val="24"/>
          <w:u w:val="none"/>
        </w:rPr>
      </w:pPr>
      <w:r w:rsidRPr="00941BC9">
        <w:rPr>
          <w:rFonts w:ascii="Palatino Linotype" w:hAnsi="Palatino Linotype" w:cs="Arial"/>
          <w:b w:val="0"/>
          <w:caps w:val="0"/>
          <w:kern w:val="0"/>
          <w:sz w:val="24"/>
          <w:szCs w:val="24"/>
          <w:u w:val="none"/>
        </w:rPr>
        <w:t>Arlington Valley Solar Energy, LLC is a part of RWE Clean Energy, LLC, whose ultimate parent company is RWE AG.</w:t>
      </w:r>
      <w:r w:rsidRPr="00941BC9" w:rsidR="00016EE8">
        <w:rPr>
          <w:rFonts w:ascii="Palatino Linotype" w:hAnsi="Palatino Linotype" w:cs="Arial"/>
          <w:b w:val="0"/>
          <w:caps w:val="0"/>
          <w:kern w:val="0"/>
          <w:sz w:val="24"/>
          <w:szCs w:val="24"/>
          <w:u w:val="none"/>
        </w:rPr>
        <w:t xml:space="preserve"> </w:t>
      </w:r>
      <w:r w:rsidRPr="00941BC9">
        <w:rPr>
          <w:rFonts w:ascii="Palatino Linotype" w:hAnsi="Palatino Linotype" w:cs="Arial"/>
          <w:b w:val="0"/>
          <w:caps w:val="0"/>
          <w:kern w:val="0"/>
          <w:sz w:val="24"/>
          <w:szCs w:val="24"/>
          <w:u w:val="none"/>
        </w:rPr>
        <w:t>The Arlington Project is a transmission-connected 150.5 MW Energy Only solar resource located in Maricopa County, Arizona, with its first point of interconnection with the CAISO. PG&amp;E’s share of the project is 75 MWs.</w:t>
      </w:r>
    </w:p>
    <w:p w:rsidRPr="00941BC9" w:rsidR="000C4AB1" w:rsidP="00016EE8" w:rsidRDefault="000C4AB1" w14:paraId="707C4E6D" w14:textId="77777777">
      <w:pPr>
        <w:pStyle w:val="Heading1"/>
        <w:keepNext w:val="0"/>
        <w:widowControl w:val="0"/>
        <w:spacing w:after="0"/>
        <w:rPr>
          <w:rFonts w:ascii="Palatino Linotype" w:hAnsi="Palatino Linotype" w:cs="Arial"/>
          <w:b w:val="0"/>
          <w:caps w:val="0"/>
          <w:kern w:val="0"/>
          <w:sz w:val="24"/>
          <w:szCs w:val="24"/>
          <w:u w:val="none"/>
        </w:rPr>
      </w:pPr>
      <w:r w:rsidRPr="00941BC9">
        <w:rPr>
          <w:rFonts w:ascii="Palatino Linotype" w:hAnsi="Palatino Linotype" w:cs="Arial"/>
          <w:b w:val="0"/>
          <w:caps w:val="0"/>
          <w:kern w:val="0"/>
          <w:sz w:val="24"/>
          <w:szCs w:val="24"/>
          <w:u w:val="none"/>
        </w:rPr>
        <w:t>Atlas Solar XI, LLC is a part of 174 Power Global, whose ultimate parent is part of the</w:t>
      </w:r>
    </w:p>
    <w:p w:rsidRPr="00941BC9" w:rsidR="000C4AB1" w:rsidP="00016EE8" w:rsidRDefault="000C4AB1" w14:paraId="6E0BCDF7" w14:textId="7C9A10A9">
      <w:pPr>
        <w:pStyle w:val="Heading1"/>
        <w:keepNext w:val="0"/>
        <w:widowControl w:val="0"/>
        <w:spacing w:before="0" w:after="0"/>
        <w:rPr>
          <w:rFonts w:ascii="Palatino Linotype" w:hAnsi="Palatino Linotype" w:cs="Arial"/>
          <w:b w:val="0"/>
          <w:caps w:val="0"/>
          <w:kern w:val="0"/>
          <w:sz w:val="24"/>
          <w:szCs w:val="24"/>
          <w:u w:val="none"/>
        </w:rPr>
      </w:pPr>
      <w:proofErr w:type="spellStart"/>
      <w:r w:rsidRPr="00941BC9">
        <w:rPr>
          <w:rFonts w:ascii="Palatino Linotype" w:hAnsi="Palatino Linotype" w:cs="Arial"/>
          <w:b w:val="0"/>
          <w:caps w:val="0"/>
          <w:kern w:val="0"/>
          <w:sz w:val="24"/>
          <w:szCs w:val="24"/>
          <w:u w:val="none"/>
        </w:rPr>
        <w:t>Hanhwa</w:t>
      </w:r>
      <w:proofErr w:type="spellEnd"/>
      <w:r w:rsidRPr="00941BC9">
        <w:rPr>
          <w:rFonts w:ascii="Palatino Linotype" w:hAnsi="Palatino Linotype" w:cs="Arial"/>
          <w:b w:val="0"/>
          <w:caps w:val="0"/>
          <w:kern w:val="0"/>
          <w:sz w:val="24"/>
          <w:szCs w:val="24"/>
          <w:u w:val="none"/>
        </w:rPr>
        <w:t xml:space="preserve"> group of companies.</w:t>
      </w:r>
      <w:r w:rsidRPr="00941BC9" w:rsidR="00897962">
        <w:rPr>
          <w:rFonts w:ascii="Palatino Linotype" w:hAnsi="Palatino Linotype" w:cs="Arial"/>
          <w:b w:val="0"/>
          <w:caps w:val="0"/>
          <w:kern w:val="0"/>
          <w:sz w:val="24"/>
          <w:szCs w:val="24"/>
          <w:u w:val="none"/>
        </w:rPr>
        <w:t xml:space="preserve"> </w:t>
      </w:r>
      <w:r w:rsidRPr="00941BC9">
        <w:rPr>
          <w:rFonts w:ascii="Palatino Linotype" w:hAnsi="Palatino Linotype" w:cs="Arial"/>
          <w:b w:val="0"/>
          <w:caps w:val="0"/>
          <w:kern w:val="0"/>
          <w:sz w:val="24"/>
          <w:szCs w:val="24"/>
          <w:u w:val="none"/>
        </w:rPr>
        <w:t xml:space="preserve">The Atlas South Project is a transmission-connected </w:t>
      </w:r>
      <w:r w:rsidR="00EA2588">
        <w:rPr>
          <w:rFonts w:ascii="Palatino Linotype" w:hAnsi="Palatino Linotype" w:cs="Arial"/>
          <w:b w:val="0"/>
          <w:caps w:val="0"/>
          <w:kern w:val="0"/>
          <w:sz w:val="24"/>
          <w:szCs w:val="24"/>
          <w:u w:val="none"/>
        </w:rPr>
        <w:br/>
      </w:r>
      <w:r w:rsidRPr="00941BC9">
        <w:rPr>
          <w:rFonts w:ascii="Palatino Linotype" w:hAnsi="Palatino Linotype" w:cs="Arial"/>
          <w:b w:val="0"/>
          <w:caps w:val="0"/>
          <w:kern w:val="0"/>
          <w:sz w:val="24"/>
          <w:szCs w:val="24"/>
          <w:u w:val="none"/>
        </w:rPr>
        <w:t>200 MW solar resource located in</w:t>
      </w:r>
      <w:r w:rsidRPr="00941BC9" w:rsidR="00897962">
        <w:rPr>
          <w:rFonts w:ascii="Palatino Linotype" w:hAnsi="Palatino Linotype" w:cs="Arial"/>
          <w:b w:val="0"/>
          <w:caps w:val="0"/>
          <w:kern w:val="0"/>
          <w:sz w:val="24"/>
          <w:szCs w:val="24"/>
          <w:u w:val="none"/>
        </w:rPr>
        <w:t xml:space="preserve"> </w:t>
      </w:r>
      <w:r w:rsidRPr="00941BC9">
        <w:rPr>
          <w:rFonts w:ascii="Palatino Linotype" w:hAnsi="Palatino Linotype" w:cs="Arial"/>
          <w:b w:val="0"/>
          <w:caps w:val="0"/>
          <w:kern w:val="0"/>
          <w:sz w:val="24"/>
          <w:szCs w:val="24"/>
          <w:u w:val="none"/>
        </w:rPr>
        <w:t>Salome, Arizona, with its first point of interconnection with the CAISO. The project</w:t>
      </w:r>
      <w:r w:rsidRPr="00941BC9" w:rsidR="00897962">
        <w:rPr>
          <w:rFonts w:ascii="Palatino Linotype" w:hAnsi="Palatino Linotype" w:cs="Arial"/>
          <w:b w:val="0"/>
          <w:caps w:val="0"/>
          <w:kern w:val="0"/>
          <w:sz w:val="24"/>
          <w:szCs w:val="24"/>
          <w:u w:val="none"/>
        </w:rPr>
        <w:t xml:space="preserve"> </w:t>
      </w:r>
      <w:r w:rsidRPr="00941BC9">
        <w:rPr>
          <w:rFonts w:ascii="Palatino Linotype" w:hAnsi="Palatino Linotype" w:cs="Arial"/>
          <w:b w:val="0"/>
          <w:caps w:val="0"/>
          <w:kern w:val="0"/>
          <w:sz w:val="24"/>
          <w:szCs w:val="24"/>
          <w:u w:val="none"/>
        </w:rPr>
        <w:t xml:space="preserve">received </w:t>
      </w:r>
      <w:r w:rsidRPr="00941BC9" w:rsidR="00A30BD1">
        <w:rPr>
          <w:rFonts w:ascii="Palatino Linotype" w:hAnsi="Palatino Linotype" w:cs="Arial"/>
          <w:b w:val="0"/>
          <w:caps w:val="0"/>
          <w:kern w:val="0"/>
          <w:sz w:val="24"/>
          <w:szCs w:val="24"/>
          <w:u w:val="none"/>
        </w:rPr>
        <w:t xml:space="preserve">full capacity deliverability status </w:t>
      </w:r>
      <w:r w:rsidRPr="00941BC9">
        <w:rPr>
          <w:rFonts w:ascii="Palatino Linotype" w:hAnsi="Palatino Linotype" w:cs="Arial"/>
          <w:b w:val="0"/>
          <w:caps w:val="0"/>
          <w:kern w:val="0"/>
          <w:sz w:val="24"/>
          <w:szCs w:val="24"/>
          <w:u w:val="none"/>
        </w:rPr>
        <w:t>in the 2024 CAISO Transmission Plan Deliverability allocation process.</w:t>
      </w:r>
    </w:p>
    <w:p w:rsidRPr="00941BC9" w:rsidR="00FA71EF" w:rsidP="00624386" w:rsidRDefault="00FA71EF" w14:paraId="06EBE3AF" w14:textId="77777777">
      <w:pPr>
        <w:pStyle w:val="standard"/>
        <w:spacing w:line="240" w:lineRule="auto"/>
        <w:ind w:firstLine="0"/>
        <w:rPr>
          <w:rFonts w:ascii="Palatino Linotype" w:hAnsi="Palatino Linotype"/>
          <w:sz w:val="24"/>
          <w:szCs w:val="24"/>
        </w:rPr>
      </w:pPr>
    </w:p>
    <w:p w:rsidRPr="00941BC9" w:rsidR="00FA71EF" w:rsidP="001A037E" w:rsidRDefault="00FA71EF" w14:paraId="4AD3A43C" w14:textId="42DE853A">
      <w:pPr>
        <w:pStyle w:val="standard"/>
        <w:spacing w:line="240" w:lineRule="auto"/>
        <w:ind w:firstLine="0"/>
        <w:rPr>
          <w:rFonts w:ascii="Palatino Linotype" w:hAnsi="Palatino Linotype" w:cs="Arial"/>
          <w:b/>
          <w:caps/>
          <w:sz w:val="24"/>
          <w:szCs w:val="24"/>
        </w:rPr>
      </w:pPr>
      <w:r w:rsidRPr="00941BC9">
        <w:rPr>
          <w:rFonts w:ascii="Palatino Linotype" w:hAnsi="Palatino Linotype" w:cs="Arial"/>
          <w:bCs/>
          <w:caps/>
          <w:sz w:val="24"/>
          <w:szCs w:val="24"/>
          <w:u w:val="single"/>
        </w:rPr>
        <w:t>t</w:t>
      </w:r>
      <w:r w:rsidRPr="00941BC9">
        <w:rPr>
          <w:rFonts w:ascii="Palatino Linotype" w:hAnsi="Palatino Linotype" w:cs="Arial"/>
          <w:sz w:val="24"/>
          <w:szCs w:val="24"/>
          <w:u w:val="single"/>
        </w:rPr>
        <w:t xml:space="preserve">he Arlington Valley Solar Energy, LLC and </w:t>
      </w:r>
      <w:r w:rsidRPr="00941BC9" w:rsidR="00BE5265">
        <w:rPr>
          <w:rFonts w:ascii="Palatino Linotype" w:hAnsi="Palatino Linotype" w:cs="Arial"/>
          <w:sz w:val="24"/>
          <w:szCs w:val="24"/>
          <w:u w:val="single"/>
        </w:rPr>
        <w:t xml:space="preserve">Atlas Solar XI, LLC </w:t>
      </w:r>
      <w:r w:rsidRPr="00941BC9" w:rsidR="001A037E">
        <w:rPr>
          <w:rFonts w:ascii="Palatino Linotype" w:hAnsi="Palatino Linotype" w:cs="Arial"/>
          <w:sz w:val="24"/>
          <w:szCs w:val="24"/>
          <w:u w:val="single"/>
        </w:rPr>
        <w:t>PPA</w:t>
      </w:r>
      <w:r w:rsidRPr="00941BC9" w:rsidR="001A037E">
        <w:rPr>
          <w:rFonts w:ascii="Palatino Linotype" w:hAnsi="Palatino Linotype" w:cs="Arial"/>
          <w:sz w:val="24"/>
          <w:szCs w:val="24"/>
        </w:rPr>
        <w:t xml:space="preserve"> </w:t>
      </w:r>
      <w:r w:rsidRPr="00941BC9">
        <w:rPr>
          <w:rFonts w:ascii="Palatino Linotype" w:hAnsi="Palatino Linotype" w:cs="Arial"/>
          <w:sz w:val="24"/>
          <w:szCs w:val="24"/>
          <w:u w:val="single"/>
        </w:rPr>
        <w:t xml:space="preserve">costs presented in PG&amp;E AL </w:t>
      </w:r>
      <w:r w:rsidRPr="00941BC9">
        <w:rPr>
          <w:rFonts w:ascii="Palatino Linotype" w:hAnsi="Palatino Linotype" w:cs="Arial"/>
          <w:bCs/>
          <w:caps/>
          <w:sz w:val="24"/>
          <w:szCs w:val="24"/>
          <w:u w:val="single"/>
        </w:rPr>
        <w:t>7299</w:t>
      </w:r>
      <w:r w:rsidRPr="00941BC9">
        <w:rPr>
          <w:rFonts w:ascii="Palatino Linotype" w:hAnsi="Palatino Linotype" w:cs="Arial"/>
          <w:sz w:val="24"/>
          <w:szCs w:val="24"/>
          <w:u w:val="single"/>
        </w:rPr>
        <w:t>-E are reasonable based on the robust competitive solicitation and bid evaluation methodology</w:t>
      </w:r>
      <w:r w:rsidRPr="00941BC9">
        <w:rPr>
          <w:rFonts w:ascii="Palatino Linotype" w:hAnsi="Palatino Linotype" w:cs="Arial"/>
          <w:b/>
          <w:caps/>
          <w:sz w:val="24"/>
          <w:szCs w:val="24"/>
        </w:rPr>
        <w:t>.</w:t>
      </w:r>
    </w:p>
    <w:p w:rsidRPr="00941BC9" w:rsidR="005928DC" w:rsidP="00624386" w:rsidRDefault="005928DC" w14:paraId="7D5E2144" w14:textId="77777777">
      <w:pPr>
        <w:pStyle w:val="standard"/>
        <w:spacing w:line="240" w:lineRule="auto"/>
        <w:ind w:firstLine="0"/>
        <w:rPr>
          <w:rFonts w:ascii="Palatino Linotype" w:hAnsi="Palatino Linotype"/>
          <w:b/>
          <w:caps/>
          <w:sz w:val="24"/>
          <w:szCs w:val="24"/>
        </w:rPr>
      </w:pPr>
    </w:p>
    <w:p w:rsidRPr="00941BC9" w:rsidR="006A59EA" w:rsidP="00CA2DCD" w:rsidRDefault="000F2F16" w14:paraId="1B6D78A2" w14:textId="43442E82">
      <w:pPr>
        <w:autoSpaceDE w:val="0"/>
        <w:autoSpaceDN w:val="0"/>
        <w:adjustRightInd w:val="0"/>
        <w:spacing w:before="120" w:after="120"/>
        <w:rPr>
          <w:rFonts w:ascii="Palatino Linotype" w:hAnsi="Palatino Linotype"/>
          <w:b/>
          <w:bCs/>
          <w:sz w:val="24"/>
          <w:szCs w:val="24"/>
        </w:rPr>
      </w:pPr>
      <w:r w:rsidRPr="00941BC9">
        <w:rPr>
          <w:rFonts w:ascii="Palatino Linotype" w:hAnsi="Palatino Linotype"/>
          <w:b/>
          <w:bCs/>
          <w:sz w:val="24"/>
          <w:szCs w:val="24"/>
        </w:rPr>
        <w:t>E</w:t>
      </w:r>
      <w:r w:rsidRPr="00941BC9" w:rsidR="006A59EA">
        <w:rPr>
          <w:rFonts w:ascii="Palatino Linotype" w:hAnsi="Palatino Linotype"/>
          <w:b/>
          <w:bCs/>
          <w:sz w:val="24"/>
          <w:szCs w:val="24"/>
        </w:rPr>
        <w:t>. Independent Evaluator</w:t>
      </w:r>
      <w:r w:rsidRPr="00941BC9" w:rsidR="00C90C8E">
        <w:rPr>
          <w:rFonts w:ascii="Palatino Linotype" w:hAnsi="Palatino Linotype"/>
          <w:b/>
          <w:bCs/>
          <w:sz w:val="24"/>
          <w:szCs w:val="24"/>
        </w:rPr>
        <w:t xml:space="preserve"> (IE)</w:t>
      </w:r>
    </w:p>
    <w:p w:rsidRPr="00941BC9" w:rsidR="00E97078" w:rsidP="00297311" w:rsidRDefault="00297311" w14:paraId="0408AD06" w14:textId="110CF6EB">
      <w:pPr>
        <w:rPr>
          <w:rFonts w:ascii="Palatino Linotype" w:hAnsi="Palatino Linotype"/>
          <w:sz w:val="24"/>
          <w:szCs w:val="24"/>
        </w:rPr>
      </w:pPr>
      <w:r w:rsidRPr="00941BC9">
        <w:rPr>
          <w:rFonts w:ascii="Palatino Linotype" w:hAnsi="Palatino Linotype"/>
          <w:sz w:val="24"/>
          <w:szCs w:val="24"/>
        </w:rPr>
        <w:t>PG&amp;E retained Merrimack Energy as the IE for its MTR solicitation efforts, which</w:t>
      </w:r>
      <w:r w:rsidRPr="00941BC9" w:rsidR="008754AF">
        <w:rPr>
          <w:rFonts w:ascii="Palatino Linotype" w:hAnsi="Palatino Linotype"/>
          <w:sz w:val="24"/>
          <w:szCs w:val="24"/>
        </w:rPr>
        <w:t xml:space="preserve"> </w:t>
      </w:r>
      <w:r w:rsidRPr="00941BC9">
        <w:rPr>
          <w:rFonts w:ascii="Palatino Linotype" w:hAnsi="Palatino Linotype"/>
          <w:sz w:val="24"/>
          <w:szCs w:val="24"/>
        </w:rPr>
        <w:t xml:space="preserve">participated in and undertook </w:t>
      </w:r>
      <w:r w:rsidRPr="00941BC9" w:rsidR="008754AF">
        <w:rPr>
          <w:rFonts w:ascii="Palatino Linotype" w:hAnsi="Palatino Linotype"/>
          <w:sz w:val="24"/>
          <w:szCs w:val="24"/>
        </w:rPr>
        <w:t>several</w:t>
      </w:r>
      <w:r w:rsidRPr="00941BC9">
        <w:rPr>
          <w:rFonts w:ascii="Palatino Linotype" w:hAnsi="Palatino Linotype"/>
          <w:sz w:val="24"/>
          <w:szCs w:val="24"/>
        </w:rPr>
        <w:t xml:space="preserve"> activities in connection with the solicitation</w:t>
      </w:r>
      <w:r w:rsidRPr="00941BC9" w:rsidR="008754AF">
        <w:rPr>
          <w:rFonts w:ascii="Palatino Linotype" w:hAnsi="Palatino Linotype"/>
          <w:sz w:val="24"/>
          <w:szCs w:val="24"/>
        </w:rPr>
        <w:t xml:space="preserve"> </w:t>
      </w:r>
      <w:r w:rsidRPr="00941BC9">
        <w:rPr>
          <w:rFonts w:ascii="Palatino Linotype" w:hAnsi="Palatino Linotype"/>
          <w:sz w:val="24"/>
          <w:szCs w:val="24"/>
        </w:rPr>
        <w:t>process.</w:t>
      </w:r>
      <w:r w:rsidRPr="00941BC9" w:rsidR="00A55E61">
        <w:rPr>
          <w:rStyle w:val="FootnoteReference"/>
          <w:rFonts w:ascii="Palatino Linotype" w:hAnsi="Palatino Linotype"/>
          <w:sz w:val="24"/>
          <w:szCs w:val="24"/>
        </w:rPr>
        <w:footnoteReference w:id="14"/>
      </w:r>
      <w:r w:rsidRPr="00941BC9" w:rsidR="00A55E61">
        <w:rPr>
          <w:rFonts w:ascii="Palatino Linotype" w:hAnsi="Palatino Linotype"/>
          <w:sz w:val="24"/>
          <w:szCs w:val="24"/>
        </w:rPr>
        <w:t xml:space="preserve"> </w:t>
      </w:r>
      <w:r w:rsidRPr="00941BC9">
        <w:rPr>
          <w:rFonts w:ascii="Palatino Linotype" w:hAnsi="Palatino Linotype"/>
          <w:sz w:val="24"/>
          <w:szCs w:val="24"/>
        </w:rPr>
        <w:t>In the IE Report attached to AL 7299-E, Merrimack Energy provides an</w:t>
      </w:r>
      <w:r w:rsidRPr="00941BC9" w:rsidR="008754AF">
        <w:rPr>
          <w:rFonts w:ascii="Palatino Linotype" w:hAnsi="Palatino Linotype"/>
          <w:sz w:val="24"/>
          <w:szCs w:val="24"/>
        </w:rPr>
        <w:t xml:space="preserve"> </w:t>
      </w:r>
      <w:r w:rsidRPr="00941BC9">
        <w:rPr>
          <w:rFonts w:ascii="Palatino Linotype" w:hAnsi="Palatino Linotype"/>
          <w:sz w:val="24"/>
          <w:szCs w:val="24"/>
        </w:rPr>
        <w:t>evaluation of the MTR RFO – Phase 3’s outreach activities and solicitation robustness,</w:t>
      </w:r>
      <w:r w:rsidRPr="00941BC9" w:rsidR="008754AF">
        <w:rPr>
          <w:rFonts w:ascii="Palatino Linotype" w:hAnsi="Palatino Linotype"/>
          <w:sz w:val="24"/>
          <w:szCs w:val="24"/>
        </w:rPr>
        <w:t xml:space="preserve"> </w:t>
      </w:r>
      <w:r w:rsidRPr="00941BC9">
        <w:rPr>
          <w:rFonts w:ascii="Palatino Linotype" w:hAnsi="Palatino Linotype"/>
          <w:sz w:val="24"/>
          <w:szCs w:val="24"/>
        </w:rPr>
        <w:t>PG&amp;E’s bid evaluation and selection methodology, administration of the solicitation</w:t>
      </w:r>
      <w:r w:rsidRPr="00941BC9" w:rsidR="008754AF">
        <w:rPr>
          <w:rFonts w:ascii="Palatino Linotype" w:hAnsi="Palatino Linotype"/>
          <w:sz w:val="24"/>
          <w:szCs w:val="24"/>
        </w:rPr>
        <w:t xml:space="preserve"> </w:t>
      </w:r>
      <w:r w:rsidRPr="00941BC9" w:rsidR="00E6397F">
        <w:rPr>
          <w:rFonts w:ascii="Palatino Linotype" w:hAnsi="Palatino Linotype"/>
          <w:sz w:val="24"/>
          <w:szCs w:val="24"/>
        </w:rPr>
        <w:t xml:space="preserve"> </w:t>
      </w:r>
      <w:r w:rsidRPr="00941BC9">
        <w:rPr>
          <w:rFonts w:ascii="Palatino Linotype" w:hAnsi="Palatino Linotype"/>
          <w:sz w:val="24"/>
          <w:szCs w:val="24"/>
        </w:rPr>
        <w:t>states that the process was undertaken in a “fair and equitable manner” and that based</w:t>
      </w:r>
      <w:r w:rsidRPr="00941BC9" w:rsidR="008754AF">
        <w:rPr>
          <w:rFonts w:ascii="Palatino Linotype" w:hAnsi="Palatino Linotype"/>
          <w:sz w:val="24"/>
          <w:szCs w:val="24"/>
        </w:rPr>
        <w:t xml:space="preserve"> </w:t>
      </w:r>
      <w:r w:rsidRPr="00941BC9">
        <w:rPr>
          <w:rFonts w:ascii="Palatino Linotype" w:hAnsi="Palatino Linotype"/>
          <w:sz w:val="24"/>
          <w:szCs w:val="24"/>
        </w:rPr>
        <w:t>on both the need for capacity and limited availability of higher value and viable</w:t>
      </w:r>
      <w:r w:rsidRPr="00941BC9" w:rsidR="008754AF">
        <w:rPr>
          <w:rFonts w:ascii="Palatino Linotype" w:hAnsi="Palatino Linotype"/>
          <w:sz w:val="24"/>
          <w:szCs w:val="24"/>
        </w:rPr>
        <w:t xml:space="preserve"> </w:t>
      </w:r>
      <w:r w:rsidRPr="00941BC9">
        <w:rPr>
          <w:rFonts w:ascii="Palatino Linotype" w:hAnsi="Palatino Linotype"/>
          <w:sz w:val="24"/>
          <w:szCs w:val="24"/>
        </w:rPr>
        <w:t>resources available in the 2024-2026 timeframe, it recommends approval of the MTR</w:t>
      </w:r>
      <w:r w:rsidRPr="00941BC9" w:rsidR="008754AF">
        <w:rPr>
          <w:rFonts w:ascii="Palatino Linotype" w:hAnsi="Palatino Linotype"/>
          <w:sz w:val="24"/>
          <w:szCs w:val="24"/>
        </w:rPr>
        <w:t xml:space="preserve"> </w:t>
      </w:r>
      <w:r w:rsidRPr="00941BC9">
        <w:rPr>
          <w:rFonts w:ascii="Palatino Linotype" w:hAnsi="Palatino Linotype"/>
          <w:sz w:val="24"/>
          <w:szCs w:val="24"/>
        </w:rPr>
        <w:t>contract herein.</w:t>
      </w:r>
      <w:r w:rsidRPr="00941BC9" w:rsidR="004958EC">
        <w:rPr>
          <w:rFonts w:ascii="Palatino Linotype" w:hAnsi="Palatino Linotype"/>
          <w:sz w:val="24"/>
          <w:szCs w:val="24"/>
        </w:rPr>
        <w:t xml:space="preserve"> </w:t>
      </w:r>
      <w:r w:rsidRPr="00941BC9" w:rsidR="00455150">
        <w:rPr>
          <w:rFonts w:ascii="Palatino Linotype" w:hAnsi="Palatino Linotype" w:cs="Arial"/>
          <w:sz w:val="24"/>
          <w:szCs w:val="24"/>
        </w:rPr>
        <w:t>The IE deemed in their report that the outreach was conducted openly and efficiently and resulted in a</w:t>
      </w:r>
      <w:r w:rsidRPr="00941BC9" w:rsidR="008754AF">
        <w:rPr>
          <w:rFonts w:ascii="Palatino Linotype" w:hAnsi="Palatino Linotype" w:cs="Arial"/>
          <w:sz w:val="24"/>
          <w:szCs w:val="24"/>
        </w:rPr>
        <w:t xml:space="preserve"> </w:t>
      </w:r>
      <w:r w:rsidRPr="00941BC9" w:rsidR="00455150">
        <w:rPr>
          <w:rFonts w:ascii="Palatino Linotype" w:hAnsi="Palatino Linotype" w:cs="Arial"/>
          <w:sz w:val="24"/>
          <w:szCs w:val="24"/>
        </w:rPr>
        <w:t xml:space="preserve">reasonably robust response. </w:t>
      </w:r>
      <w:r w:rsidRPr="00941BC9" w:rsidR="00CA1111">
        <w:rPr>
          <w:rFonts w:ascii="Palatino Linotype" w:hAnsi="Palatino Linotype" w:cs="Arial"/>
          <w:sz w:val="24"/>
          <w:szCs w:val="24"/>
        </w:rPr>
        <w:t xml:space="preserve">Also, as noted </w:t>
      </w:r>
      <w:r w:rsidRPr="00941BC9" w:rsidR="005B22A1">
        <w:rPr>
          <w:rFonts w:ascii="Palatino Linotype" w:hAnsi="Palatino Linotype" w:cs="Arial"/>
          <w:sz w:val="24"/>
          <w:szCs w:val="24"/>
        </w:rPr>
        <w:t>above,</w:t>
      </w:r>
      <w:r w:rsidRPr="00941BC9" w:rsidR="00CA1111">
        <w:rPr>
          <w:rFonts w:ascii="Palatino Linotype" w:hAnsi="Palatino Linotype" w:cs="Arial"/>
          <w:sz w:val="24"/>
          <w:szCs w:val="24"/>
        </w:rPr>
        <w:t xml:space="preserve"> the IE deemed PG&amp;E’s RFO solicitation and bid selection processes to be reasonable. </w:t>
      </w:r>
      <w:r w:rsidRPr="00941BC9" w:rsidR="00335073">
        <w:rPr>
          <w:rFonts w:ascii="Palatino Linotype" w:hAnsi="Palatino Linotype" w:cs="Arial"/>
          <w:sz w:val="24"/>
          <w:szCs w:val="24"/>
        </w:rPr>
        <w:t xml:space="preserve">The IE’s conclusions were in part due to its use of a </w:t>
      </w:r>
      <w:r w:rsidRPr="00941BC9" w:rsidR="00335073">
        <w:rPr>
          <w:rFonts w:ascii="Palatino Linotype" w:hAnsi="Palatino Linotype"/>
          <w:sz w:val="24"/>
          <w:szCs w:val="24"/>
        </w:rPr>
        <w:t xml:space="preserve">PG&amp;E developed internal integration model to compile all input and output data for each of the offers. This model provides a detailed summary of the components of the costs and benefits for each offer, </w:t>
      </w:r>
      <w:proofErr w:type="gramStart"/>
      <w:r w:rsidRPr="00941BC9" w:rsidR="00335073">
        <w:rPr>
          <w:rFonts w:ascii="Palatino Linotype" w:hAnsi="Palatino Linotype"/>
          <w:sz w:val="24"/>
          <w:szCs w:val="24"/>
        </w:rPr>
        <w:t xml:space="preserve">on a </w:t>
      </w:r>
      <w:r w:rsidRPr="00941BC9" w:rsidR="00335073">
        <w:rPr>
          <w:rFonts w:ascii="Palatino Linotype" w:hAnsi="Palatino Linotype"/>
          <w:sz w:val="24"/>
          <w:szCs w:val="24"/>
        </w:rPr>
        <w:lastRenderedPageBreak/>
        <w:t>monthly basis</w:t>
      </w:r>
      <w:proofErr w:type="gramEnd"/>
      <w:r w:rsidRPr="00941BC9" w:rsidR="00335073">
        <w:rPr>
          <w:rFonts w:ascii="Palatino Linotype" w:hAnsi="Palatino Linotype"/>
          <w:sz w:val="24"/>
          <w:szCs w:val="24"/>
        </w:rPr>
        <w:t xml:space="preserve">, including nominal and discounted dollars, and provides other pertinent data for each offer which allowed the IE to undertake a detailed review of the evaluation results for each offer. The model structure allowed the IE to key in an offer number for each offer and the input and output data for each offer was provided for review and assessment of the reasonableness of PG&amp;E’s evaluation results as well as identification of any questions or comments about the results. </w:t>
      </w:r>
      <w:r w:rsidRPr="00941BC9" w:rsidR="00C30222">
        <w:rPr>
          <w:rFonts w:ascii="Palatino Linotype" w:hAnsi="Palatino Linotype" w:cs="Arial"/>
          <w:sz w:val="24"/>
          <w:szCs w:val="24"/>
        </w:rPr>
        <w:t>Further, t</w:t>
      </w:r>
      <w:r w:rsidRPr="00941BC9" w:rsidR="00C30222">
        <w:rPr>
          <w:rFonts w:ascii="Palatino Linotype" w:hAnsi="Palatino Linotype"/>
          <w:sz w:val="24"/>
          <w:szCs w:val="24"/>
        </w:rPr>
        <w:t xml:space="preserve">he IE has attested in its reports that the solicitation process was quite thorough and reasonable, and the selection was fair and unbiased. </w:t>
      </w:r>
    </w:p>
    <w:p w:rsidRPr="00941BC9" w:rsidR="00371EE8" w:rsidP="00297311" w:rsidRDefault="00371EE8" w14:paraId="4D800C1C" w14:textId="77777777">
      <w:pPr>
        <w:rPr>
          <w:rFonts w:ascii="Palatino Linotype" w:hAnsi="Palatino Linotype"/>
          <w:sz w:val="24"/>
          <w:szCs w:val="24"/>
        </w:rPr>
      </w:pPr>
    </w:p>
    <w:p w:rsidRPr="00941BC9" w:rsidR="00297311" w:rsidP="00297311" w:rsidRDefault="008754AF" w14:paraId="15FE87D2" w14:textId="54DA15B8">
      <w:pPr>
        <w:rPr>
          <w:rFonts w:ascii="Palatino Linotype" w:hAnsi="Palatino Linotype"/>
          <w:sz w:val="24"/>
          <w:szCs w:val="24"/>
        </w:rPr>
      </w:pPr>
      <w:r w:rsidRPr="00941BC9">
        <w:rPr>
          <w:rFonts w:ascii="Palatino Linotype" w:hAnsi="Palatino Linotype"/>
          <w:sz w:val="24"/>
          <w:szCs w:val="24"/>
        </w:rPr>
        <w:t>T</w:t>
      </w:r>
      <w:r w:rsidRPr="00941BC9" w:rsidR="00E6397F">
        <w:rPr>
          <w:rFonts w:ascii="Palatino Linotype" w:hAnsi="Palatino Linotype"/>
          <w:sz w:val="24"/>
          <w:szCs w:val="24"/>
        </w:rPr>
        <w:t xml:space="preserve">he IE </w:t>
      </w:r>
      <w:r w:rsidRPr="00941BC9">
        <w:rPr>
          <w:rFonts w:ascii="Palatino Linotype" w:hAnsi="Palatino Linotype"/>
          <w:sz w:val="24"/>
          <w:szCs w:val="24"/>
        </w:rPr>
        <w:t>concluded in their report</w:t>
      </w:r>
      <w:r w:rsidRPr="00941BC9" w:rsidR="00E6397F">
        <w:rPr>
          <w:rFonts w:ascii="Palatino Linotype" w:hAnsi="Palatino Linotype"/>
          <w:sz w:val="24"/>
          <w:szCs w:val="24"/>
        </w:rPr>
        <w:t xml:space="preserve"> that the process was undertaken in a fair and equitable manner and all participants were treated fairly. The IE received no complaints or criticisms </w:t>
      </w:r>
      <w:r w:rsidRPr="00941BC9" w:rsidR="000639DA">
        <w:rPr>
          <w:rFonts w:ascii="Palatino Linotype" w:hAnsi="Palatino Linotype"/>
          <w:sz w:val="24"/>
          <w:szCs w:val="24"/>
        </w:rPr>
        <w:t>about the process.</w:t>
      </w:r>
      <w:r w:rsidRPr="00941BC9" w:rsidR="00335073">
        <w:rPr>
          <w:rFonts w:ascii="Palatino Linotype" w:hAnsi="Palatino Linotype"/>
          <w:sz w:val="24"/>
          <w:szCs w:val="24"/>
        </w:rPr>
        <w:t xml:space="preserve"> Thus, </w:t>
      </w:r>
      <w:r w:rsidRPr="00941BC9" w:rsidR="00335073">
        <w:rPr>
          <w:rFonts w:ascii="Palatino Linotype" w:hAnsi="Palatino Linotype"/>
          <w:sz w:val="24"/>
          <w:szCs w:val="24"/>
          <w:u w:val="single"/>
        </w:rPr>
        <w:t>consistent with D.04-12-048 and D.06-05-039, an IE oversaw PG&amp;E’s MTR solicitation and negotiations of the Agreements</w:t>
      </w:r>
      <w:r w:rsidRPr="00941BC9" w:rsidR="00335073">
        <w:rPr>
          <w:rFonts w:ascii="Palatino Linotype" w:hAnsi="Palatino Linotype"/>
          <w:sz w:val="24"/>
          <w:szCs w:val="24"/>
        </w:rPr>
        <w:t>.</w:t>
      </w:r>
    </w:p>
    <w:p w:rsidRPr="00941BC9" w:rsidR="00511982" w:rsidP="00297311" w:rsidRDefault="00511982" w14:paraId="4D3A122F" w14:textId="77777777">
      <w:pPr>
        <w:rPr>
          <w:rFonts w:ascii="Palatino Linotype" w:hAnsi="Palatino Linotype"/>
          <w:sz w:val="24"/>
          <w:szCs w:val="24"/>
        </w:rPr>
      </w:pPr>
    </w:p>
    <w:p w:rsidRPr="00941BC9" w:rsidR="006A59EA" w:rsidP="006A59EA" w:rsidRDefault="000F2F16" w14:paraId="2E3D0D6E" w14:textId="279D8367">
      <w:pPr>
        <w:pStyle w:val="BodyText"/>
        <w:spacing w:after="120" w:line="23" w:lineRule="atLeast"/>
        <w:rPr>
          <w:rFonts w:ascii="Palatino Linotype" w:hAnsi="Palatino Linotype"/>
          <w:bCs/>
          <w:sz w:val="24"/>
          <w:szCs w:val="24"/>
        </w:rPr>
      </w:pPr>
      <w:r w:rsidRPr="00941BC9">
        <w:rPr>
          <w:rFonts w:ascii="Palatino Linotype" w:hAnsi="Palatino Linotype"/>
          <w:bCs/>
          <w:sz w:val="24"/>
          <w:szCs w:val="24"/>
        </w:rPr>
        <w:t>F</w:t>
      </w:r>
      <w:r w:rsidRPr="00941BC9" w:rsidR="006A59EA">
        <w:rPr>
          <w:rFonts w:ascii="Palatino Linotype" w:hAnsi="Palatino Linotype"/>
          <w:bCs/>
          <w:sz w:val="24"/>
          <w:szCs w:val="24"/>
        </w:rPr>
        <w:t>. Procurement Review Group (“PRG”) Participation</w:t>
      </w:r>
    </w:p>
    <w:p w:rsidRPr="00941BC9" w:rsidR="006A59EA" w:rsidP="006A59EA" w:rsidRDefault="006A59EA" w14:paraId="77390282" w14:textId="77777777">
      <w:pPr>
        <w:pStyle w:val="BodyText"/>
        <w:spacing w:after="240" w:line="23" w:lineRule="atLeast"/>
        <w:rPr>
          <w:rFonts w:ascii="Palatino Linotype" w:hAnsi="Palatino Linotype"/>
          <w:b w:val="0"/>
          <w:sz w:val="24"/>
          <w:szCs w:val="24"/>
        </w:rPr>
      </w:pPr>
      <w:r w:rsidRPr="00941BC9">
        <w:rPr>
          <w:rFonts w:ascii="Palatino Linotype" w:hAnsi="Palatino Linotype"/>
          <w:b w:val="0"/>
          <w:sz w:val="24"/>
          <w:szCs w:val="24"/>
        </w:rPr>
        <w:t xml:space="preserve">The Commission established the PRG </w:t>
      </w:r>
      <w:proofErr w:type="gramStart"/>
      <w:r w:rsidRPr="00941BC9">
        <w:rPr>
          <w:rFonts w:ascii="Palatino Linotype" w:hAnsi="Palatino Linotype"/>
          <w:b w:val="0"/>
          <w:sz w:val="24"/>
          <w:szCs w:val="24"/>
        </w:rPr>
        <w:t>in</w:t>
      </w:r>
      <w:proofErr w:type="gramEnd"/>
      <w:r w:rsidRPr="00941BC9">
        <w:rPr>
          <w:rFonts w:ascii="Palatino Linotype" w:hAnsi="Palatino Linotype"/>
          <w:b w:val="0"/>
          <w:sz w:val="24"/>
          <w:szCs w:val="24"/>
        </w:rPr>
        <w:t xml:space="preserve"> D.02-08-071.  The PRG reviews and assesses the details of the utilities’ overall procurement strategy, solicitations, specific proposed procurement contracts and other procurement processes prior to submitting filings to the Commission as a mechanism for procurement review by non-market participants.</w:t>
      </w:r>
    </w:p>
    <w:p w:rsidRPr="00941BC9" w:rsidR="00746312" w:rsidP="000F4989" w:rsidRDefault="00746312" w14:paraId="7080D22A" w14:textId="77777777">
      <w:pPr>
        <w:pStyle w:val="BodyText"/>
        <w:rPr>
          <w:rFonts w:ascii="Palatino Linotype" w:hAnsi="Palatino Linotype"/>
          <w:b w:val="0"/>
          <w:bCs/>
          <w:sz w:val="24"/>
          <w:szCs w:val="24"/>
        </w:rPr>
      </w:pPr>
      <w:r w:rsidRPr="00941BC9">
        <w:rPr>
          <w:rFonts w:ascii="Palatino Linotype" w:hAnsi="Palatino Linotype"/>
          <w:b w:val="0"/>
          <w:bCs/>
          <w:sz w:val="24"/>
          <w:szCs w:val="24"/>
        </w:rPr>
        <w:t>On November 6, 2023, PG&amp;E presented a solicitation overview, offer summary, and</w:t>
      </w:r>
    </w:p>
    <w:p w:rsidRPr="00941BC9" w:rsidR="004B5E14" w:rsidP="004817BB" w:rsidRDefault="00746312" w14:paraId="79BFA834" w14:textId="5E88DA47">
      <w:pPr>
        <w:pStyle w:val="BodyText"/>
        <w:rPr>
          <w:rFonts w:ascii="Palatino Linotype" w:hAnsi="Palatino Linotype"/>
          <w:bCs/>
          <w:sz w:val="24"/>
          <w:szCs w:val="24"/>
        </w:rPr>
      </w:pPr>
      <w:r w:rsidRPr="00941BC9">
        <w:rPr>
          <w:rFonts w:ascii="Palatino Linotype" w:hAnsi="Palatino Linotype"/>
          <w:b w:val="0"/>
          <w:sz w:val="24"/>
          <w:szCs w:val="24"/>
        </w:rPr>
        <w:t xml:space="preserve">shortlist materials </w:t>
      </w:r>
      <w:proofErr w:type="gramStart"/>
      <w:r w:rsidRPr="00941BC9">
        <w:rPr>
          <w:rFonts w:ascii="Palatino Linotype" w:hAnsi="Palatino Linotype"/>
          <w:b w:val="0"/>
          <w:sz w:val="24"/>
          <w:szCs w:val="24"/>
        </w:rPr>
        <w:t>to</w:t>
      </w:r>
      <w:proofErr w:type="gramEnd"/>
      <w:r w:rsidRPr="00941BC9">
        <w:rPr>
          <w:rFonts w:ascii="Palatino Linotype" w:hAnsi="Palatino Linotype"/>
          <w:b w:val="0"/>
          <w:sz w:val="24"/>
          <w:szCs w:val="24"/>
        </w:rPr>
        <w:t xml:space="preserve"> the Procurement Review Group (PRG). </w:t>
      </w:r>
      <w:r w:rsidRPr="00941BC9" w:rsidR="00BE52AF">
        <w:rPr>
          <w:rFonts w:ascii="Palatino Linotype" w:hAnsi="Palatino Linotype"/>
          <w:b w:val="0"/>
          <w:bCs/>
          <w:sz w:val="24"/>
          <w:szCs w:val="24"/>
        </w:rPr>
        <w:t xml:space="preserve">The materials included: the MTR RFO – Phase 3 requirements, offers received, and PG&amp;E’s proposed shortlist. On January 31, 2024, PG&amp;E presented a solicitation overview, offer summary, and shortlist materials to the PRG regarding the second procurement transaction. The presentation included: the MTR RFO – Phase 3 requirements, offers received, and PG&amp;E’s proposed shortlist. PG&amp;E sent the PRG an email on February 8, 2024, notifying the PRG of its intent </w:t>
      </w:r>
      <w:r w:rsidRPr="00941BC9" w:rsidR="00BE52AF">
        <w:rPr>
          <w:rFonts w:ascii="Palatino Linotype" w:hAnsi="Palatino Linotype"/>
          <w:b w:val="0"/>
          <w:sz w:val="24"/>
          <w:szCs w:val="24"/>
        </w:rPr>
        <w:t>to execute this transaction</w:t>
      </w:r>
      <w:r w:rsidRPr="00941BC9" w:rsidR="002C2F32">
        <w:rPr>
          <w:rFonts w:ascii="Palatino Linotype" w:hAnsi="Palatino Linotype"/>
          <w:b w:val="0"/>
          <w:sz w:val="24"/>
          <w:szCs w:val="24"/>
        </w:rPr>
        <w:t xml:space="preserve">.  </w:t>
      </w:r>
      <w:r w:rsidRPr="00941BC9" w:rsidR="00B6547C">
        <w:rPr>
          <w:rFonts w:ascii="Palatino Linotype" w:hAnsi="Palatino Linotype"/>
          <w:b w:val="0"/>
          <w:bCs/>
          <w:sz w:val="24"/>
          <w:szCs w:val="24"/>
        </w:rPr>
        <w:t xml:space="preserve">PG&amp;E sent the PRG an email on March 22, </w:t>
      </w:r>
      <w:r w:rsidRPr="00941BC9" w:rsidR="00B6547C">
        <w:rPr>
          <w:rFonts w:ascii="Palatino Linotype" w:hAnsi="Palatino Linotype"/>
          <w:b w:val="0"/>
          <w:sz w:val="24"/>
          <w:szCs w:val="24"/>
        </w:rPr>
        <w:t xml:space="preserve">2024, noting its intent to execute the first procurement transaction. </w:t>
      </w:r>
      <w:r w:rsidRPr="00941BC9" w:rsidR="004B5E14">
        <w:rPr>
          <w:rFonts w:ascii="Palatino Linotype" w:hAnsi="Palatino Linotype"/>
          <w:b w:val="0"/>
          <w:bCs/>
          <w:sz w:val="24"/>
          <w:szCs w:val="24"/>
          <w:u w:val="single"/>
        </w:rPr>
        <w:t>Pursuant to D.02-08-071 PG&amp;E’s Procurement Review Group participated in the review of the MTR contracts</w:t>
      </w:r>
      <w:r w:rsidRPr="00941BC9" w:rsidR="004B5E14">
        <w:rPr>
          <w:rFonts w:ascii="Palatino Linotype" w:hAnsi="Palatino Linotype"/>
          <w:b w:val="0"/>
          <w:bCs/>
          <w:sz w:val="24"/>
          <w:szCs w:val="24"/>
        </w:rPr>
        <w:t>.</w:t>
      </w:r>
    </w:p>
    <w:p w:rsidRPr="00941BC9" w:rsidR="000A3BA6" w:rsidP="00D552D7" w:rsidRDefault="000A3BA6" w14:paraId="5140DB33" w14:textId="77777777">
      <w:pPr>
        <w:keepNext/>
        <w:spacing w:before="120" w:after="120"/>
        <w:rPr>
          <w:rFonts w:ascii="Palatino Linotype" w:hAnsi="Palatino Linotype"/>
          <w:b/>
          <w:sz w:val="24"/>
          <w:szCs w:val="24"/>
        </w:rPr>
      </w:pPr>
      <w:r w:rsidRPr="00941BC9">
        <w:rPr>
          <w:rFonts w:ascii="Palatino Linotype" w:hAnsi="Palatino Linotype"/>
          <w:b/>
          <w:sz w:val="24"/>
          <w:szCs w:val="24"/>
        </w:rPr>
        <w:t>Consistency with RPS Standard Terms and Conditions</w:t>
      </w:r>
    </w:p>
    <w:p w:rsidRPr="00941BC9" w:rsidR="000A3BA6" w:rsidP="000A3BA6" w:rsidRDefault="000A3BA6" w14:paraId="40261F46" w14:textId="77777777">
      <w:pPr>
        <w:rPr>
          <w:rFonts w:ascii="Palatino Linotype" w:hAnsi="Palatino Linotype"/>
          <w:sz w:val="24"/>
          <w:szCs w:val="24"/>
        </w:rPr>
      </w:pPr>
      <w:r w:rsidRPr="00941BC9">
        <w:rPr>
          <w:rFonts w:ascii="Palatino Linotype" w:hAnsi="Palatino Linotype"/>
          <w:sz w:val="24"/>
          <w:szCs w:val="24"/>
        </w:rPr>
        <w:t xml:space="preserve">The Commission adopted a set of standard terms and conditions (“STCs”) required in RPS contracts, five of which are considered “non-modifiable.”  The STCs were compiled in D.08-04-009 and subsequently amended in D.08-08-028, D.10-03-021, as modified by D.11-01-025, and D.13-11-024.     </w:t>
      </w:r>
    </w:p>
    <w:p w:rsidRPr="00941BC9" w:rsidR="000A3BA6" w:rsidP="000A3BA6" w:rsidRDefault="000A3BA6" w14:paraId="118AA1EA" w14:textId="77777777">
      <w:pPr>
        <w:rPr>
          <w:rFonts w:ascii="Palatino Linotype" w:hAnsi="Palatino Linotype"/>
          <w:sz w:val="24"/>
          <w:szCs w:val="24"/>
        </w:rPr>
      </w:pPr>
    </w:p>
    <w:p w:rsidRPr="00941BC9" w:rsidR="000A3BA6" w:rsidP="000A3BA6" w:rsidRDefault="000A3BA6" w14:paraId="0E724D8D" w14:textId="42BE56A8">
      <w:pPr>
        <w:rPr>
          <w:rFonts w:ascii="Palatino Linotype" w:hAnsi="Palatino Linotype"/>
          <w:sz w:val="24"/>
          <w:szCs w:val="24"/>
        </w:rPr>
      </w:pPr>
      <w:r w:rsidRPr="00941BC9">
        <w:rPr>
          <w:rFonts w:ascii="Palatino Linotype" w:hAnsi="Palatino Linotype"/>
          <w:sz w:val="24"/>
          <w:szCs w:val="24"/>
          <w:u w:val="single"/>
        </w:rPr>
        <w:lastRenderedPageBreak/>
        <w:t xml:space="preserve">The </w:t>
      </w:r>
      <w:r w:rsidRPr="00941BC9" w:rsidR="00F96F28">
        <w:rPr>
          <w:rFonts w:ascii="Palatino Linotype" w:hAnsi="Palatino Linotype"/>
          <w:sz w:val="24"/>
          <w:szCs w:val="24"/>
          <w:u w:val="single"/>
        </w:rPr>
        <w:t>Agreements</w:t>
      </w:r>
      <w:r w:rsidRPr="00941BC9">
        <w:rPr>
          <w:rFonts w:ascii="Palatino Linotype" w:hAnsi="Palatino Linotype"/>
          <w:sz w:val="24"/>
          <w:szCs w:val="24"/>
          <w:u w:val="single"/>
        </w:rPr>
        <w:t xml:space="preserve"> include the Commission adopted RPS “non-modifiable” standard terms and conditions, as set forth in D.08-04-009, D.08-08-028, D.10-03-021, as modified by D.11-01-025, and D.13-11-024</w:t>
      </w:r>
      <w:r w:rsidRPr="00941BC9">
        <w:rPr>
          <w:rFonts w:ascii="Palatino Linotype" w:hAnsi="Palatino Linotype"/>
          <w:sz w:val="24"/>
          <w:szCs w:val="24"/>
        </w:rPr>
        <w:t>.</w:t>
      </w:r>
    </w:p>
    <w:p w:rsidRPr="00941BC9" w:rsidR="00AD1DD8" w:rsidP="00D552D7" w:rsidRDefault="00AD1DD8" w14:paraId="149CF2AC" w14:textId="77777777">
      <w:pPr>
        <w:pStyle w:val="BodyText"/>
        <w:keepNext/>
        <w:spacing w:before="120" w:after="120"/>
        <w:rPr>
          <w:rFonts w:ascii="Palatino Linotype" w:hAnsi="Palatino Linotype"/>
          <w:sz w:val="24"/>
          <w:szCs w:val="24"/>
        </w:rPr>
      </w:pPr>
      <w:proofErr w:type="gramStart"/>
      <w:r w:rsidRPr="00941BC9">
        <w:rPr>
          <w:rFonts w:ascii="Palatino Linotype" w:hAnsi="Palatino Linotype"/>
          <w:sz w:val="24"/>
          <w:szCs w:val="24"/>
        </w:rPr>
        <w:t>Consistency</w:t>
      </w:r>
      <w:proofErr w:type="gramEnd"/>
      <w:r w:rsidRPr="00941BC9">
        <w:rPr>
          <w:rFonts w:ascii="Palatino Linotype" w:hAnsi="Palatino Linotype"/>
          <w:sz w:val="24"/>
          <w:szCs w:val="24"/>
        </w:rPr>
        <w:t xml:space="preserve"> with Portfolio Content Categories Requirements</w:t>
      </w:r>
    </w:p>
    <w:p w:rsidRPr="00941BC9" w:rsidR="00137E6B" w:rsidP="00AD1DD8" w:rsidRDefault="00AD1DD8" w14:paraId="0D6E1C39" w14:textId="24792821">
      <w:pPr>
        <w:pStyle w:val="BodyText"/>
        <w:rPr>
          <w:rFonts w:ascii="Palatino Linotype" w:hAnsi="Palatino Linotype"/>
          <w:b w:val="0"/>
          <w:bCs/>
          <w:sz w:val="24"/>
          <w:szCs w:val="24"/>
        </w:rPr>
      </w:pPr>
      <w:r w:rsidRPr="00941BC9">
        <w:rPr>
          <w:rFonts w:ascii="Palatino Linotype" w:hAnsi="Palatino Linotype"/>
          <w:b w:val="0"/>
          <w:bCs/>
          <w:sz w:val="24"/>
          <w:szCs w:val="24"/>
        </w:rPr>
        <w:t xml:space="preserve">In D.11-12-052, the Commission defined and implemented portfolio content categories (“PCC”) for the RPS program and required the investor-owned utilities to provide information to the Director of Energy Division regarding the proposed contract’s PCC classification in each advice letter seeking Commission-approval of an RPS-eligible contract. The purpose of </w:t>
      </w:r>
      <w:proofErr w:type="gramStart"/>
      <w:r w:rsidRPr="00941BC9">
        <w:rPr>
          <w:rFonts w:ascii="Palatino Linotype" w:hAnsi="Palatino Linotype"/>
          <w:b w:val="0"/>
          <w:bCs/>
          <w:sz w:val="24"/>
          <w:szCs w:val="24"/>
        </w:rPr>
        <w:t>the</w:t>
      </w:r>
      <w:proofErr w:type="gramEnd"/>
      <w:r w:rsidRPr="00941BC9">
        <w:rPr>
          <w:rFonts w:ascii="Palatino Linotype" w:hAnsi="Palatino Linotype"/>
          <w:b w:val="0"/>
          <w:bCs/>
          <w:sz w:val="24"/>
          <w:szCs w:val="24"/>
        </w:rPr>
        <w:t xml:space="preserve"> information is to ensure the contracts’ RPS eligibility and allow the Commission to evaluate the claimed </w:t>
      </w:r>
      <w:r w:rsidRPr="00941BC9" w:rsidR="00D56DA1">
        <w:rPr>
          <w:rFonts w:ascii="Palatino Linotype" w:hAnsi="Palatino Linotype"/>
          <w:b w:val="0"/>
          <w:bCs/>
          <w:sz w:val="24"/>
          <w:szCs w:val="24"/>
        </w:rPr>
        <w:t>PCC</w:t>
      </w:r>
      <w:r w:rsidRPr="00941BC9">
        <w:rPr>
          <w:rFonts w:ascii="Palatino Linotype" w:hAnsi="Palatino Linotype"/>
          <w:b w:val="0"/>
          <w:bCs/>
          <w:sz w:val="24"/>
          <w:szCs w:val="24"/>
        </w:rPr>
        <w:t xml:space="preserve"> of the proposed contracts and the risks and value to ratepayers if the proposed contracts ultimately result in renewable energy credits in another, less preferred, portfolio content category. </w:t>
      </w:r>
    </w:p>
    <w:p w:rsidRPr="00941BC9" w:rsidR="00137E6B" w:rsidP="00AD1DD8" w:rsidRDefault="00137E6B" w14:paraId="6ABBF7CC" w14:textId="77777777">
      <w:pPr>
        <w:pStyle w:val="BodyText"/>
        <w:rPr>
          <w:rFonts w:ascii="Palatino Linotype" w:hAnsi="Palatino Linotype"/>
          <w:b w:val="0"/>
          <w:bCs/>
          <w:sz w:val="24"/>
          <w:szCs w:val="24"/>
        </w:rPr>
      </w:pPr>
    </w:p>
    <w:p w:rsidRPr="00941BC9" w:rsidR="00D876DE" w:rsidP="00D876DE" w:rsidRDefault="001751D4" w14:paraId="7B8ED8EB" w14:textId="5705309C">
      <w:pPr>
        <w:pStyle w:val="BodyText"/>
        <w:rPr>
          <w:rFonts w:ascii="Palatino Linotype" w:hAnsi="Palatino Linotype"/>
          <w:b w:val="0"/>
          <w:sz w:val="24"/>
          <w:szCs w:val="24"/>
        </w:rPr>
      </w:pPr>
      <w:r w:rsidRPr="00941BC9">
        <w:rPr>
          <w:rFonts w:ascii="Palatino Linotype" w:hAnsi="Palatino Linotype"/>
          <w:b w:val="0"/>
          <w:sz w:val="24"/>
          <w:szCs w:val="24"/>
        </w:rPr>
        <w:t xml:space="preserve">In AL 7299-E </w:t>
      </w:r>
      <w:r w:rsidRPr="00941BC9" w:rsidR="00137E6B">
        <w:rPr>
          <w:rFonts w:ascii="Palatino Linotype" w:hAnsi="Palatino Linotype"/>
          <w:b w:val="0"/>
          <w:sz w:val="24"/>
          <w:szCs w:val="24"/>
        </w:rPr>
        <w:t>PG&amp;E</w:t>
      </w:r>
      <w:r w:rsidRPr="00941BC9">
        <w:rPr>
          <w:rFonts w:ascii="Palatino Linotype" w:hAnsi="Palatino Linotype"/>
          <w:b w:val="0"/>
          <w:sz w:val="24"/>
          <w:szCs w:val="24"/>
        </w:rPr>
        <w:t xml:space="preserve"> provides that it</w:t>
      </w:r>
      <w:r w:rsidRPr="00941BC9" w:rsidR="00137E6B">
        <w:rPr>
          <w:rFonts w:ascii="Palatino Linotype" w:hAnsi="Palatino Linotype"/>
          <w:b w:val="0"/>
          <w:sz w:val="24"/>
          <w:szCs w:val="24"/>
        </w:rPr>
        <w:t xml:space="preserve"> anticipates the facilities associated with the transactions will be certified for</w:t>
      </w:r>
      <w:r w:rsidRPr="00941BC9" w:rsidR="0031084A">
        <w:rPr>
          <w:rFonts w:ascii="Palatino Linotype" w:hAnsi="Palatino Linotype"/>
          <w:b w:val="0"/>
          <w:sz w:val="24"/>
          <w:szCs w:val="24"/>
        </w:rPr>
        <w:t xml:space="preserve"> </w:t>
      </w:r>
      <w:r w:rsidRPr="00941BC9" w:rsidR="00137E6B">
        <w:rPr>
          <w:rFonts w:ascii="Palatino Linotype" w:hAnsi="Palatino Linotype"/>
          <w:b w:val="0"/>
          <w:sz w:val="24"/>
          <w:szCs w:val="24"/>
        </w:rPr>
        <w:t xml:space="preserve">California RPS eligibility. Further, </w:t>
      </w:r>
      <w:r w:rsidRPr="00941BC9" w:rsidR="0031084A">
        <w:rPr>
          <w:rFonts w:ascii="Palatino Linotype" w:hAnsi="Palatino Linotype"/>
          <w:b w:val="0"/>
          <w:sz w:val="24"/>
          <w:szCs w:val="24"/>
        </w:rPr>
        <w:t xml:space="preserve">PG&amp;E provides that </w:t>
      </w:r>
      <w:r w:rsidRPr="00941BC9" w:rsidR="00137E6B">
        <w:rPr>
          <w:rFonts w:ascii="Palatino Linotype" w:hAnsi="Palatino Linotype"/>
          <w:b w:val="0"/>
          <w:sz w:val="24"/>
          <w:szCs w:val="24"/>
        </w:rPr>
        <w:t>the first point of interconnection for generation</w:t>
      </w:r>
      <w:r w:rsidRPr="00941BC9" w:rsidR="0031084A">
        <w:rPr>
          <w:rFonts w:ascii="Palatino Linotype" w:hAnsi="Palatino Linotype"/>
          <w:b w:val="0"/>
          <w:sz w:val="24"/>
          <w:szCs w:val="24"/>
        </w:rPr>
        <w:t xml:space="preserve"> </w:t>
      </w:r>
      <w:r w:rsidRPr="00941BC9" w:rsidR="00137E6B">
        <w:rPr>
          <w:rFonts w:ascii="Palatino Linotype" w:hAnsi="Palatino Linotype"/>
          <w:b w:val="0"/>
          <w:sz w:val="24"/>
          <w:szCs w:val="24"/>
        </w:rPr>
        <w:t xml:space="preserve">facilities associated with the two transactions included in </w:t>
      </w:r>
      <w:r w:rsidRPr="00941BC9" w:rsidR="00EB2295">
        <w:rPr>
          <w:rFonts w:ascii="Palatino Linotype" w:hAnsi="Palatino Linotype"/>
          <w:b w:val="0"/>
          <w:sz w:val="24"/>
          <w:szCs w:val="24"/>
        </w:rPr>
        <w:t>AL</w:t>
      </w:r>
      <w:r w:rsidRPr="00941BC9" w:rsidR="00137E6B">
        <w:rPr>
          <w:rFonts w:ascii="Palatino Linotype" w:hAnsi="Palatino Linotype"/>
          <w:b w:val="0"/>
          <w:sz w:val="24"/>
          <w:szCs w:val="24"/>
        </w:rPr>
        <w:t xml:space="preserve"> 7299-E is within</w:t>
      </w:r>
      <w:r w:rsidRPr="00941BC9" w:rsidR="0031084A">
        <w:rPr>
          <w:rFonts w:ascii="Palatino Linotype" w:hAnsi="Palatino Linotype"/>
          <w:b w:val="0"/>
          <w:sz w:val="24"/>
          <w:szCs w:val="24"/>
        </w:rPr>
        <w:t xml:space="preserve"> </w:t>
      </w:r>
      <w:r w:rsidRPr="00941BC9" w:rsidR="003A6FDE">
        <w:rPr>
          <w:rFonts w:ascii="Palatino Linotype" w:hAnsi="Palatino Linotype"/>
          <w:b w:val="0"/>
          <w:sz w:val="24"/>
          <w:szCs w:val="24"/>
        </w:rPr>
        <w:t xml:space="preserve">CAISO, </w:t>
      </w:r>
      <w:r w:rsidRPr="00941BC9" w:rsidR="00137E6B">
        <w:rPr>
          <w:rFonts w:ascii="Palatino Linotype" w:hAnsi="Palatino Linotype"/>
          <w:b w:val="0"/>
          <w:sz w:val="24"/>
          <w:szCs w:val="24"/>
        </w:rPr>
        <w:t xml:space="preserve">a </w:t>
      </w:r>
      <w:r w:rsidRPr="00941BC9" w:rsidR="00DB47A6">
        <w:rPr>
          <w:rFonts w:ascii="Palatino Linotype" w:hAnsi="Palatino Linotype"/>
          <w:b w:val="0"/>
          <w:sz w:val="24"/>
          <w:szCs w:val="24"/>
        </w:rPr>
        <w:t>California Balancing Area</w:t>
      </w:r>
      <w:r w:rsidRPr="00941BC9" w:rsidR="00137E6B">
        <w:rPr>
          <w:rFonts w:ascii="Palatino Linotype" w:hAnsi="Palatino Linotype"/>
          <w:b w:val="0"/>
          <w:sz w:val="24"/>
          <w:szCs w:val="24"/>
        </w:rPr>
        <w:t>.</w:t>
      </w:r>
      <w:r w:rsidRPr="00941BC9" w:rsidR="00A51A68">
        <w:rPr>
          <w:rStyle w:val="FootnoteReference"/>
          <w:rFonts w:ascii="Palatino Linotype" w:hAnsi="Palatino Linotype"/>
          <w:b w:val="0"/>
          <w:sz w:val="24"/>
          <w:szCs w:val="24"/>
        </w:rPr>
        <w:footnoteReference w:id="15"/>
      </w:r>
      <w:r w:rsidRPr="00941BC9" w:rsidR="00137E6B">
        <w:rPr>
          <w:rFonts w:ascii="Palatino Linotype" w:hAnsi="Palatino Linotype"/>
          <w:b w:val="0"/>
          <w:sz w:val="24"/>
          <w:szCs w:val="24"/>
        </w:rPr>
        <w:t xml:space="preserve"> PG&amp;</w:t>
      </w:r>
      <w:proofErr w:type="gramStart"/>
      <w:r w:rsidRPr="00941BC9" w:rsidR="00137E6B">
        <w:rPr>
          <w:rFonts w:ascii="Palatino Linotype" w:hAnsi="Palatino Linotype"/>
          <w:b w:val="0"/>
          <w:sz w:val="24"/>
          <w:szCs w:val="24"/>
        </w:rPr>
        <w:t>E is also procuring</w:t>
      </w:r>
      <w:proofErr w:type="gramEnd"/>
      <w:r w:rsidRPr="00941BC9" w:rsidR="00137E6B">
        <w:rPr>
          <w:rFonts w:ascii="Palatino Linotype" w:hAnsi="Palatino Linotype"/>
          <w:b w:val="0"/>
          <w:sz w:val="24"/>
          <w:szCs w:val="24"/>
        </w:rPr>
        <w:t xml:space="preserve"> bundled energy and RECs from the </w:t>
      </w:r>
      <w:r w:rsidRPr="00941BC9" w:rsidR="00551134">
        <w:rPr>
          <w:rFonts w:ascii="Palatino Linotype" w:hAnsi="Palatino Linotype"/>
          <w:b w:val="0"/>
          <w:sz w:val="24"/>
          <w:szCs w:val="24"/>
        </w:rPr>
        <w:t>facility and</w:t>
      </w:r>
      <w:r w:rsidRPr="00941BC9" w:rsidR="00EB2295">
        <w:rPr>
          <w:rFonts w:ascii="Palatino Linotype" w:hAnsi="Palatino Linotype"/>
          <w:b w:val="0"/>
          <w:sz w:val="24"/>
          <w:szCs w:val="24"/>
        </w:rPr>
        <w:t xml:space="preserve"> </w:t>
      </w:r>
      <w:r w:rsidRPr="00941BC9" w:rsidR="00137E6B">
        <w:rPr>
          <w:rFonts w:ascii="Palatino Linotype" w:hAnsi="Palatino Linotype"/>
          <w:b w:val="0"/>
          <w:sz w:val="24"/>
          <w:szCs w:val="24"/>
        </w:rPr>
        <w:t>presents compliance with the Commission’s RPS Standard Terms and Conditions as</w:t>
      </w:r>
      <w:r w:rsidRPr="00941BC9" w:rsidR="00EB2295">
        <w:rPr>
          <w:rFonts w:ascii="Palatino Linotype" w:hAnsi="Palatino Linotype"/>
          <w:b w:val="0"/>
          <w:sz w:val="24"/>
          <w:szCs w:val="24"/>
        </w:rPr>
        <w:t xml:space="preserve"> </w:t>
      </w:r>
      <w:r w:rsidRPr="00941BC9" w:rsidR="00137E6B">
        <w:rPr>
          <w:rFonts w:ascii="Palatino Linotype" w:hAnsi="Palatino Linotype"/>
          <w:b w:val="0"/>
          <w:sz w:val="24"/>
          <w:szCs w:val="24"/>
        </w:rPr>
        <w:t>part of its advice letter. As a result, PG&amp;E expects the classification of the RECs to be</w:t>
      </w:r>
      <w:r w:rsidRPr="00941BC9" w:rsidR="00EB2295">
        <w:rPr>
          <w:rFonts w:ascii="Palatino Linotype" w:hAnsi="Palatino Linotype"/>
          <w:b w:val="0"/>
          <w:sz w:val="24"/>
          <w:szCs w:val="24"/>
        </w:rPr>
        <w:t xml:space="preserve"> </w:t>
      </w:r>
      <w:r w:rsidRPr="00941BC9" w:rsidR="00137E6B">
        <w:rPr>
          <w:rFonts w:ascii="Palatino Linotype" w:hAnsi="Palatino Linotype"/>
          <w:b w:val="0"/>
          <w:sz w:val="24"/>
          <w:szCs w:val="24"/>
        </w:rPr>
        <w:t>PCC</w:t>
      </w:r>
      <w:r w:rsidRPr="00941BC9">
        <w:rPr>
          <w:rFonts w:ascii="Palatino Linotype" w:hAnsi="Palatino Linotype"/>
          <w:b w:val="0"/>
          <w:sz w:val="24"/>
          <w:szCs w:val="24"/>
        </w:rPr>
        <w:t xml:space="preserve"> </w:t>
      </w:r>
      <w:r w:rsidRPr="00941BC9" w:rsidR="00137E6B">
        <w:rPr>
          <w:rFonts w:ascii="Palatino Linotype" w:hAnsi="Palatino Linotype"/>
          <w:b w:val="0"/>
          <w:sz w:val="24"/>
          <w:szCs w:val="24"/>
        </w:rPr>
        <w:t>1.</w:t>
      </w:r>
      <w:r w:rsidRPr="00941BC9" w:rsidR="00AD1DD8">
        <w:rPr>
          <w:rFonts w:ascii="Palatino Linotype" w:hAnsi="Palatino Linotype"/>
          <w:b w:val="0"/>
          <w:sz w:val="24"/>
          <w:szCs w:val="24"/>
        </w:rPr>
        <w:t xml:space="preserve"> </w:t>
      </w:r>
      <w:r w:rsidRPr="00941BC9" w:rsidR="00D876DE">
        <w:rPr>
          <w:rFonts w:ascii="Palatino Linotype" w:hAnsi="Palatino Linotype"/>
          <w:b w:val="0"/>
          <w:bCs/>
          <w:sz w:val="24"/>
          <w:szCs w:val="24"/>
          <w:u w:val="single"/>
        </w:rPr>
        <w:t xml:space="preserve">Consistent with D.11-12-052, PG&amp;E provided information in AL </w:t>
      </w:r>
      <w:r w:rsidRPr="00941BC9" w:rsidR="00796E38">
        <w:rPr>
          <w:rFonts w:ascii="Palatino Linotype" w:hAnsi="Palatino Linotype"/>
          <w:b w:val="0"/>
          <w:bCs/>
          <w:sz w:val="24"/>
          <w:szCs w:val="24"/>
          <w:u w:val="single"/>
        </w:rPr>
        <w:t>7299-E</w:t>
      </w:r>
      <w:r w:rsidRPr="00941BC9" w:rsidR="00D876DE">
        <w:rPr>
          <w:rFonts w:ascii="Palatino Linotype" w:hAnsi="Palatino Linotype"/>
          <w:b w:val="0"/>
          <w:bCs/>
          <w:sz w:val="24"/>
          <w:szCs w:val="24"/>
          <w:u w:val="single"/>
        </w:rPr>
        <w:t xml:space="preserve"> regarding the expected portfolio content category classification of the renewable energy credits procured pursuant to the </w:t>
      </w:r>
      <w:r w:rsidRPr="00941BC9" w:rsidR="00796E38">
        <w:rPr>
          <w:rFonts w:ascii="Palatino Linotype" w:hAnsi="Palatino Linotype"/>
          <w:b w:val="0"/>
          <w:bCs/>
          <w:sz w:val="24"/>
          <w:szCs w:val="24"/>
          <w:u w:val="single"/>
        </w:rPr>
        <w:t>Agreements</w:t>
      </w:r>
      <w:r w:rsidRPr="00941BC9" w:rsidR="00D876DE">
        <w:rPr>
          <w:rFonts w:ascii="Palatino Linotype" w:hAnsi="Palatino Linotype"/>
          <w:b w:val="0"/>
          <w:bCs/>
          <w:sz w:val="24"/>
          <w:szCs w:val="24"/>
        </w:rPr>
        <w:t xml:space="preserve">.  </w:t>
      </w:r>
    </w:p>
    <w:p w:rsidRPr="00941BC9" w:rsidR="00AD1DD8" w:rsidP="00AD1DD8" w:rsidRDefault="00AD1DD8" w14:paraId="1E9CF8C8" w14:textId="77777777">
      <w:pPr>
        <w:pStyle w:val="BodyText"/>
        <w:rPr>
          <w:rFonts w:ascii="Palatino Linotype" w:hAnsi="Palatino Linotype"/>
          <w:b w:val="0"/>
          <w:sz w:val="24"/>
          <w:szCs w:val="24"/>
          <w:u w:val="single"/>
        </w:rPr>
      </w:pPr>
    </w:p>
    <w:p w:rsidRPr="00941BC9" w:rsidR="00AD1DD8" w:rsidP="00AD1DD8" w:rsidRDefault="00AD1DD8" w14:paraId="0700C3FC" w14:textId="3D7E2F49">
      <w:pPr>
        <w:pStyle w:val="BodyText"/>
        <w:rPr>
          <w:rFonts w:ascii="Palatino Linotype" w:hAnsi="Palatino Linotype"/>
          <w:b w:val="0"/>
          <w:bCs/>
          <w:sz w:val="24"/>
          <w:szCs w:val="24"/>
        </w:rPr>
      </w:pPr>
      <w:r w:rsidRPr="00941BC9">
        <w:rPr>
          <w:rFonts w:ascii="Palatino Linotype" w:hAnsi="Palatino Linotype"/>
          <w:b w:val="0"/>
          <w:bCs/>
          <w:sz w:val="24"/>
          <w:szCs w:val="24"/>
        </w:rPr>
        <w:t xml:space="preserve">In this Resolution, the Commission makes no determination regarding the </w:t>
      </w:r>
      <w:r w:rsidR="00EA2588">
        <w:rPr>
          <w:rFonts w:ascii="Palatino Linotype" w:hAnsi="Palatino Linotype"/>
          <w:b w:val="0"/>
          <w:bCs/>
          <w:sz w:val="24"/>
          <w:szCs w:val="24"/>
        </w:rPr>
        <w:br/>
      </w:r>
      <w:r w:rsidRPr="00941BC9">
        <w:rPr>
          <w:rFonts w:ascii="Palatino Linotype" w:hAnsi="Palatino Linotype"/>
          <w:b w:val="0"/>
          <w:bCs/>
          <w:sz w:val="24"/>
          <w:szCs w:val="24"/>
        </w:rPr>
        <w:t xml:space="preserve">contracts’ PCC classification. The RPS contract evaluation process is separate from the RPS compliance and PCC classification process, which requires consideration of several factors based on various showings in a compliance filing. Thus, making a PCC classification determination in this Resolution regarding the procurement considered herein is not appropriate. </w:t>
      </w:r>
      <w:r w:rsidRPr="00941BC9" w:rsidR="00F96F28">
        <w:rPr>
          <w:rFonts w:ascii="Palatino Linotype" w:hAnsi="Palatino Linotype"/>
          <w:b w:val="0"/>
          <w:bCs/>
          <w:sz w:val="24"/>
          <w:szCs w:val="24"/>
        </w:rPr>
        <w:t>PG&amp;E</w:t>
      </w:r>
      <w:r w:rsidRPr="00941BC9">
        <w:rPr>
          <w:rFonts w:ascii="Palatino Linotype" w:hAnsi="Palatino Linotype"/>
          <w:b w:val="0"/>
          <w:bCs/>
          <w:sz w:val="24"/>
          <w:szCs w:val="24"/>
        </w:rPr>
        <w:t xml:space="preserve"> should incorporate the procurement resulting from the approved </w:t>
      </w:r>
      <w:r w:rsidRPr="00941BC9" w:rsidR="00F96F28">
        <w:rPr>
          <w:rFonts w:ascii="Palatino Linotype" w:hAnsi="Palatino Linotype"/>
          <w:b w:val="0"/>
          <w:bCs/>
          <w:sz w:val="24"/>
          <w:szCs w:val="24"/>
        </w:rPr>
        <w:t>Agreements</w:t>
      </w:r>
      <w:r w:rsidRPr="00941BC9">
        <w:rPr>
          <w:rFonts w:ascii="Palatino Linotype" w:hAnsi="Palatino Linotype"/>
          <w:b w:val="0"/>
          <w:bCs/>
          <w:sz w:val="24"/>
          <w:szCs w:val="24"/>
        </w:rPr>
        <w:t xml:space="preserve"> and all applicable supporting documentation to demonstrate PCC classification in the appropriate compliance showings consistent with all applicable RPS program rules.</w:t>
      </w:r>
    </w:p>
    <w:p w:rsidRPr="00941BC9" w:rsidR="00AD1DD8" w:rsidP="00D552D7" w:rsidRDefault="00AD1DD8" w14:paraId="436B5E48" w14:textId="77777777">
      <w:pPr>
        <w:pStyle w:val="BodyText"/>
        <w:keepNext/>
        <w:spacing w:before="120" w:after="120" w:line="23" w:lineRule="atLeast"/>
        <w:rPr>
          <w:rFonts w:ascii="Palatino Linotype" w:hAnsi="Palatino Linotype"/>
          <w:bCs/>
          <w:sz w:val="24"/>
          <w:szCs w:val="24"/>
        </w:rPr>
      </w:pPr>
      <w:r w:rsidRPr="00941BC9">
        <w:rPr>
          <w:rFonts w:ascii="Palatino Linotype" w:hAnsi="Palatino Linotype"/>
          <w:bCs/>
          <w:sz w:val="24"/>
          <w:szCs w:val="24"/>
        </w:rPr>
        <w:lastRenderedPageBreak/>
        <w:t xml:space="preserve">Consistency with Long-Term Contracting Requirement </w:t>
      </w:r>
    </w:p>
    <w:p w:rsidRPr="00941BC9" w:rsidR="00AD1DD8" w:rsidP="00AD1DD8" w:rsidRDefault="00AD1DD8" w14:paraId="090CD1CB" w14:textId="2314B705">
      <w:pPr>
        <w:pStyle w:val="BodyText"/>
        <w:spacing w:line="23" w:lineRule="atLeast"/>
        <w:rPr>
          <w:rFonts w:ascii="Palatino Linotype" w:hAnsi="Palatino Linotype"/>
          <w:b w:val="0"/>
          <w:sz w:val="24"/>
          <w:szCs w:val="24"/>
        </w:rPr>
      </w:pPr>
      <w:r w:rsidRPr="00941BC9">
        <w:rPr>
          <w:rFonts w:ascii="Palatino Linotype" w:hAnsi="Palatino Linotype"/>
          <w:b w:val="0"/>
          <w:sz w:val="24"/>
          <w:szCs w:val="24"/>
        </w:rPr>
        <w:t>In D.12-06-038, the Commission established a long-term contracting requirement that must be met in order for retail sellers to count RPS procurement from contracts less than ten years in duration for compliance with the RPS program.</w:t>
      </w:r>
      <w:r w:rsidRPr="00941BC9">
        <w:rPr>
          <w:rFonts w:ascii="Palatino Linotype" w:hAnsi="Palatino Linotype"/>
          <w:b w:val="0"/>
          <w:sz w:val="24"/>
          <w:szCs w:val="24"/>
          <w:vertAlign w:val="superscript"/>
        </w:rPr>
        <w:footnoteReference w:id="16"/>
      </w:r>
      <w:r w:rsidRPr="00941BC9">
        <w:rPr>
          <w:rFonts w:ascii="Palatino Linotype" w:hAnsi="Palatino Linotype"/>
          <w:b w:val="0"/>
          <w:sz w:val="24"/>
          <w:szCs w:val="24"/>
        </w:rPr>
        <w:t xml:space="preserve">  In D.17-06-026 the Commission implemented the new long-term contracting requirements established by SB 350.</w:t>
      </w:r>
      <w:r w:rsidRPr="00941BC9">
        <w:rPr>
          <w:rStyle w:val="FootnoteReference"/>
          <w:rFonts w:ascii="Palatino Linotype" w:hAnsi="Palatino Linotype"/>
          <w:b w:val="0"/>
          <w:sz w:val="24"/>
          <w:szCs w:val="24"/>
        </w:rPr>
        <w:footnoteReference w:id="17"/>
      </w:r>
      <w:r w:rsidRPr="00941BC9">
        <w:rPr>
          <w:rFonts w:ascii="Palatino Linotype" w:hAnsi="Palatino Linotype"/>
          <w:b w:val="0"/>
          <w:sz w:val="24"/>
          <w:szCs w:val="24"/>
        </w:rPr>
        <w:t xml:space="preserve">  D.17-06-026 also afforded retail sellers the option to elect early compliance with the long-term contracting requirements of SB 350,</w:t>
      </w:r>
      <w:r w:rsidRPr="00941BC9">
        <w:rPr>
          <w:rStyle w:val="FootnoteReference"/>
          <w:rFonts w:ascii="Palatino Linotype" w:hAnsi="Palatino Linotype"/>
          <w:b w:val="0"/>
          <w:sz w:val="24"/>
          <w:szCs w:val="24"/>
        </w:rPr>
        <w:footnoteReference w:id="18"/>
      </w:r>
      <w:r w:rsidRPr="00941BC9">
        <w:rPr>
          <w:rFonts w:ascii="Palatino Linotype" w:hAnsi="Palatino Linotype"/>
          <w:b w:val="0"/>
          <w:sz w:val="24"/>
          <w:szCs w:val="24"/>
        </w:rPr>
        <w:t xml:space="preserve"> which </w:t>
      </w:r>
      <w:r w:rsidRPr="00941BC9" w:rsidR="00503E91">
        <w:rPr>
          <w:rFonts w:ascii="Palatino Linotype" w:hAnsi="Palatino Linotype"/>
          <w:b w:val="0"/>
          <w:sz w:val="24"/>
          <w:szCs w:val="24"/>
        </w:rPr>
        <w:t>PG&amp;E</w:t>
      </w:r>
      <w:r w:rsidRPr="00941BC9">
        <w:rPr>
          <w:rFonts w:ascii="Palatino Linotype" w:hAnsi="Palatino Linotype"/>
          <w:b w:val="0"/>
          <w:sz w:val="24"/>
          <w:szCs w:val="24"/>
        </w:rPr>
        <w:t xml:space="preserve"> elected to by letter to the Commission on August 28, 2017.  </w:t>
      </w:r>
    </w:p>
    <w:p w:rsidRPr="00941BC9" w:rsidR="00AD1DD8" w:rsidP="00AD1DD8" w:rsidRDefault="00AD1DD8" w14:paraId="4BD8FFDC" w14:textId="77777777">
      <w:pPr>
        <w:spacing w:line="23" w:lineRule="atLeast"/>
        <w:rPr>
          <w:rFonts w:ascii="Palatino Linotype" w:hAnsi="Palatino Linotype"/>
          <w:sz w:val="24"/>
          <w:szCs w:val="24"/>
          <w:u w:val="single"/>
        </w:rPr>
      </w:pPr>
    </w:p>
    <w:p w:rsidRPr="00941BC9" w:rsidR="00AD1DD8" w:rsidP="00AD1DD8" w:rsidRDefault="00AD1DD8" w14:paraId="5EDC6DB7" w14:textId="262728B9">
      <w:pPr>
        <w:spacing w:line="23" w:lineRule="atLeast"/>
        <w:rPr>
          <w:rFonts w:ascii="Palatino Linotype" w:hAnsi="Palatino Linotype"/>
          <w:sz w:val="24"/>
          <w:szCs w:val="24"/>
        </w:rPr>
      </w:pPr>
      <w:r w:rsidRPr="00941BC9">
        <w:rPr>
          <w:rFonts w:ascii="Palatino Linotype" w:hAnsi="Palatino Linotype"/>
          <w:sz w:val="24"/>
          <w:szCs w:val="24"/>
        </w:rPr>
        <w:t xml:space="preserve">The </w:t>
      </w:r>
      <w:r w:rsidRPr="00941BC9" w:rsidR="00C62BD6">
        <w:rPr>
          <w:rFonts w:ascii="Palatino Linotype" w:hAnsi="Palatino Linotype"/>
          <w:sz w:val="24"/>
          <w:szCs w:val="24"/>
        </w:rPr>
        <w:t xml:space="preserve">PG&amp;E </w:t>
      </w:r>
      <w:r w:rsidRPr="00941BC9">
        <w:rPr>
          <w:rFonts w:ascii="Palatino Linotype" w:hAnsi="Palatino Linotype"/>
          <w:sz w:val="24"/>
          <w:szCs w:val="24"/>
        </w:rPr>
        <w:t>MTR contracts each have a 15</w:t>
      </w:r>
      <w:r w:rsidRPr="00941BC9" w:rsidR="007E1A3F">
        <w:rPr>
          <w:rFonts w:ascii="Palatino Linotype" w:hAnsi="Palatino Linotype"/>
          <w:sz w:val="24"/>
          <w:szCs w:val="24"/>
        </w:rPr>
        <w:t>-</w:t>
      </w:r>
      <w:r w:rsidRPr="00941BC9">
        <w:rPr>
          <w:rFonts w:ascii="Palatino Linotype" w:hAnsi="Palatino Linotype"/>
          <w:sz w:val="24"/>
          <w:szCs w:val="24"/>
        </w:rPr>
        <w:t>year term and are for procurement beginning in Compliance Period 2025-2027.</w:t>
      </w:r>
    </w:p>
    <w:p w:rsidRPr="00941BC9" w:rsidR="00AD1DD8" w:rsidP="00AD1DD8" w:rsidRDefault="00AD1DD8" w14:paraId="4969FAAB" w14:textId="77777777">
      <w:pPr>
        <w:spacing w:line="23" w:lineRule="atLeast"/>
        <w:rPr>
          <w:rFonts w:ascii="Palatino Linotype" w:hAnsi="Palatino Linotype"/>
          <w:sz w:val="24"/>
          <w:szCs w:val="24"/>
          <w:u w:val="single"/>
        </w:rPr>
      </w:pPr>
    </w:p>
    <w:p w:rsidRPr="00941BC9" w:rsidR="00AD1DD8" w:rsidP="00AD1DD8" w:rsidRDefault="00AD1DD8" w14:paraId="01C24F43" w14:textId="2CE8E228">
      <w:pPr>
        <w:spacing w:line="23" w:lineRule="atLeast"/>
        <w:rPr>
          <w:rFonts w:ascii="Palatino Linotype" w:hAnsi="Palatino Linotype"/>
          <w:sz w:val="24"/>
          <w:szCs w:val="24"/>
        </w:rPr>
      </w:pPr>
      <w:r w:rsidRPr="00941BC9">
        <w:rPr>
          <w:rFonts w:ascii="Palatino Linotype" w:hAnsi="Palatino Linotype"/>
          <w:sz w:val="24"/>
          <w:szCs w:val="24"/>
          <w:u w:val="single"/>
        </w:rPr>
        <w:t xml:space="preserve">Because each MTR contract in </w:t>
      </w:r>
      <w:r w:rsidRPr="00941BC9" w:rsidR="00C62BD6">
        <w:rPr>
          <w:rFonts w:ascii="Palatino Linotype" w:hAnsi="Palatino Linotype"/>
          <w:sz w:val="24"/>
          <w:szCs w:val="24"/>
          <w:u w:val="single"/>
        </w:rPr>
        <w:t>PG&amp;E</w:t>
      </w:r>
      <w:r w:rsidRPr="00941BC9">
        <w:rPr>
          <w:rFonts w:ascii="Palatino Linotype" w:hAnsi="Palatino Linotype"/>
          <w:sz w:val="24"/>
          <w:szCs w:val="24"/>
          <w:u w:val="single"/>
        </w:rPr>
        <w:t xml:space="preserve"> AL </w:t>
      </w:r>
      <w:r w:rsidRPr="00941BC9" w:rsidR="00C62BD6">
        <w:rPr>
          <w:rFonts w:ascii="Palatino Linotype" w:hAnsi="Palatino Linotype"/>
          <w:sz w:val="24"/>
          <w:szCs w:val="24"/>
          <w:u w:val="single"/>
        </w:rPr>
        <w:t>7299</w:t>
      </w:r>
      <w:r w:rsidRPr="00941BC9">
        <w:rPr>
          <w:rFonts w:ascii="Palatino Linotype" w:hAnsi="Palatino Linotype"/>
          <w:sz w:val="24"/>
          <w:szCs w:val="24"/>
          <w:u w:val="single"/>
        </w:rPr>
        <w:t xml:space="preserve">-E is greater than ten years in </w:t>
      </w:r>
      <w:r w:rsidRPr="00941BC9" w:rsidR="003D7F61">
        <w:rPr>
          <w:rFonts w:ascii="Palatino Linotype" w:hAnsi="Palatino Linotype"/>
          <w:sz w:val="24"/>
          <w:szCs w:val="24"/>
          <w:u w:val="single"/>
        </w:rPr>
        <w:t xml:space="preserve">length, </w:t>
      </w:r>
      <w:r w:rsidRPr="00941BC9" w:rsidR="00892976">
        <w:rPr>
          <w:rFonts w:ascii="Palatino Linotype" w:hAnsi="Palatino Linotype"/>
          <w:sz w:val="24"/>
          <w:szCs w:val="24"/>
          <w:u w:val="single"/>
        </w:rPr>
        <w:t xml:space="preserve">the </w:t>
      </w:r>
      <w:r w:rsidRPr="00941BC9" w:rsidR="003D7F61">
        <w:rPr>
          <w:rFonts w:ascii="Palatino Linotype" w:hAnsi="Palatino Linotype"/>
          <w:sz w:val="24"/>
          <w:szCs w:val="24"/>
          <w:u w:val="single"/>
        </w:rPr>
        <w:t>RPS</w:t>
      </w:r>
      <w:r w:rsidRPr="00941BC9" w:rsidR="00C62BD6">
        <w:rPr>
          <w:rFonts w:ascii="Palatino Linotype" w:hAnsi="Palatino Linotype"/>
          <w:sz w:val="24"/>
          <w:szCs w:val="24"/>
          <w:u w:val="single"/>
        </w:rPr>
        <w:t xml:space="preserve">-eligible procurement pursuant to the </w:t>
      </w:r>
      <w:r w:rsidRPr="00941BC9" w:rsidR="00892976">
        <w:rPr>
          <w:rFonts w:ascii="Palatino Linotype" w:hAnsi="Palatino Linotype"/>
          <w:sz w:val="24"/>
          <w:szCs w:val="24"/>
          <w:u w:val="single"/>
        </w:rPr>
        <w:t xml:space="preserve">Agreements </w:t>
      </w:r>
      <w:r w:rsidRPr="00941BC9" w:rsidR="00C62BD6">
        <w:rPr>
          <w:rFonts w:ascii="Palatino Linotype" w:hAnsi="Palatino Linotype"/>
          <w:sz w:val="24"/>
          <w:szCs w:val="24"/>
          <w:u w:val="single"/>
        </w:rPr>
        <w:t xml:space="preserve">will contribute to </w:t>
      </w:r>
      <w:r w:rsidR="00EA2588">
        <w:rPr>
          <w:rFonts w:ascii="Palatino Linotype" w:hAnsi="Palatino Linotype"/>
          <w:sz w:val="24"/>
          <w:szCs w:val="24"/>
          <w:u w:val="single"/>
        </w:rPr>
        <w:br/>
      </w:r>
      <w:r w:rsidRPr="00941BC9" w:rsidR="00C62BD6">
        <w:rPr>
          <w:rFonts w:ascii="Palatino Linotype" w:hAnsi="Palatino Linotype"/>
          <w:sz w:val="24"/>
          <w:szCs w:val="24"/>
          <w:u w:val="single"/>
        </w:rPr>
        <w:t>PG&amp;E’s long-term contacting requirement established in D.17-06-26 beginning in Compliance Period 2025-2027</w:t>
      </w:r>
      <w:r w:rsidRPr="00941BC9" w:rsidR="00C62BD6">
        <w:rPr>
          <w:rFonts w:ascii="Palatino Linotype" w:hAnsi="Palatino Linotype"/>
          <w:sz w:val="24"/>
          <w:szCs w:val="24"/>
        </w:rPr>
        <w:t>.</w:t>
      </w:r>
    </w:p>
    <w:p w:rsidRPr="00941BC9" w:rsidR="001B7975" w:rsidP="00D552D7" w:rsidRDefault="001B7975" w14:paraId="68FCCD6C" w14:textId="77777777">
      <w:pPr>
        <w:spacing w:before="120" w:after="120"/>
        <w:rPr>
          <w:rFonts w:ascii="Palatino Linotype" w:hAnsi="Palatino Linotype"/>
          <w:b/>
          <w:sz w:val="24"/>
          <w:szCs w:val="24"/>
        </w:rPr>
      </w:pPr>
      <w:r w:rsidRPr="00941BC9">
        <w:rPr>
          <w:rFonts w:ascii="Palatino Linotype" w:hAnsi="Palatino Linotype"/>
          <w:b/>
          <w:sz w:val="24"/>
          <w:szCs w:val="24"/>
        </w:rPr>
        <w:t xml:space="preserve">RPS Eligibility and CPUC Approval </w:t>
      </w:r>
    </w:p>
    <w:p w:rsidRPr="00941BC9" w:rsidR="001B7975" w:rsidP="001B7975" w:rsidRDefault="001B7975" w14:paraId="4561A5AA" w14:textId="77777777">
      <w:pPr>
        <w:rPr>
          <w:rFonts w:ascii="Palatino Linotype" w:hAnsi="Palatino Linotype"/>
          <w:sz w:val="24"/>
          <w:szCs w:val="24"/>
        </w:rPr>
      </w:pPr>
      <w:r w:rsidRPr="00941BC9">
        <w:rPr>
          <w:rFonts w:ascii="Palatino Linotype" w:hAnsi="Palatino Linotype"/>
          <w:sz w:val="24"/>
          <w:szCs w:val="24"/>
        </w:rPr>
        <w:t>Pursuant to Section 399.13, the California Energy Commission (“CEC”) certifies eligible renewable energy resources.  Generation from a resource that is not CEC-certified cannot be used to meet RPS requirements.  To ensure that only CEC-certified energy is procured under a Commission-approved RPS contract, the Commission has required standard and non-modifiable “eligibility” language in all RPS contracts.  That language requires a seller to warrant that the project qualifies and is certified by the CEC as an “eligible renewable energy resource,” that the project’s output delivered to the buyer qualifies under the requirements of the RPS, and that the seller uses commercially reasonable efforts to maintain eligibility should there be a change in law affecting eligibility.</w:t>
      </w:r>
      <w:r w:rsidRPr="00941BC9">
        <w:rPr>
          <w:rStyle w:val="FootnoteReference"/>
          <w:rFonts w:ascii="Palatino Linotype" w:hAnsi="Palatino Linotype"/>
          <w:sz w:val="24"/>
          <w:szCs w:val="24"/>
        </w:rPr>
        <w:footnoteReference w:id="19"/>
      </w:r>
      <w:r w:rsidRPr="00941BC9">
        <w:rPr>
          <w:rFonts w:ascii="Palatino Linotype" w:hAnsi="Palatino Linotype"/>
          <w:sz w:val="24"/>
          <w:szCs w:val="24"/>
        </w:rPr>
        <w:t xml:space="preserve"> </w:t>
      </w:r>
    </w:p>
    <w:p w:rsidRPr="00941BC9" w:rsidR="001B7975" w:rsidP="001B7975" w:rsidRDefault="00C21576" w14:paraId="543F2EDB" w14:textId="7F1AF49E">
      <w:pPr>
        <w:rPr>
          <w:rFonts w:ascii="Palatino Linotype" w:hAnsi="Palatino Linotype"/>
          <w:sz w:val="24"/>
          <w:szCs w:val="24"/>
        </w:rPr>
      </w:pPr>
      <w:r w:rsidRPr="00941BC9">
        <w:rPr>
          <w:rFonts w:ascii="Palatino Linotype" w:hAnsi="Palatino Linotype"/>
          <w:sz w:val="24"/>
          <w:szCs w:val="24"/>
        </w:rPr>
        <w:t>T</w:t>
      </w:r>
      <w:r w:rsidRPr="00941BC9" w:rsidR="001B7975">
        <w:rPr>
          <w:rFonts w:ascii="Palatino Linotype" w:hAnsi="Palatino Linotype"/>
          <w:sz w:val="24"/>
          <w:szCs w:val="24"/>
        </w:rPr>
        <w:t>he Commission requires a standard and non-modifiable clause in all RPS-eligible contracts that requires “CPUC Approval” of a contract to include an explicit finding that “</w:t>
      </w:r>
      <w:r w:rsidRPr="00941BC9" w:rsidR="001B7975">
        <w:rPr>
          <w:rFonts w:ascii="Palatino Linotype" w:hAnsi="Palatino Linotype"/>
          <w:sz w:val="24"/>
          <w:szCs w:val="24"/>
          <w:u w:val="single"/>
        </w:rPr>
        <w:t xml:space="preserve">any procurement pursuant to this Agreement is procurement from an eligible renewable energy resource for purposes of determining Buyer's compliance with any </w:t>
      </w:r>
      <w:r w:rsidRPr="00941BC9" w:rsidR="001B7975">
        <w:rPr>
          <w:rFonts w:ascii="Palatino Linotype" w:hAnsi="Palatino Linotype"/>
          <w:sz w:val="24"/>
          <w:szCs w:val="24"/>
          <w:u w:val="single"/>
        </w:rPr>
        <w:lastRenderedPageBreak/>
        <w:t>obligation that it may have to procure eligible renewable energy resources pursuant to the California Renewables Portfolio Standard (</w:t>
      </w:r>
      <w:r w:rsidRPr="00941BC9" w:rsidR="001B7975">
        <w:rPr>
          <w:rFonts w:ascii="Palatino Linotype" w:hAnsi="Palatino Linotype"/>
          <w:i/>
          <w:iCs/>
          <w:sz w:val="24"/>
          <w:szCs w:val="24"/>
          <w:u w:val="single"/>
        </w:rPr>
        <w:t>Public Utilities Code Sections 399.11</w:t>
      </w:r>
      <w:r w:rsidRPr="00941BC9" w:rsidR="001B7975">
        <w:rPr>
          <w:rFonts w:ascii="Palatino Linotype" w:hAnsi="Palatino Linotype"/>
          <w:sz w:val="24"/>
          <w:szCs w:val="24"/>
          <w:u w:val="single"/>
        </w:rPr>
        <w:t xml:space="preserve"> </w:t>
      </w:r>
      <w:r w:rsidRPr="00941BC9" w:rsidR="001B7975">
        <w:rPr>
          <w:rFonts w:ascii="Palatino Linotype" w:hAnsi="Palatino Linotype"/>
          <w:i/>
          <w:iCs/>
          <w:sz w:val="24"/>
          <w:szCs w:val="24"/>
          <w:u w:val="single"/>
        </w:rPr>
        <w:t>et seq.</w:t>
      </w:r>
      <w:r w:rsidRPr="00941BC9" w:rsidR="001B7975">
        <w:rPr>
          <w:rFonts w:ascii="Palatino Linotype" w:hAnsi="Palatino Linotype"/>
          <w:sz w:val="24"/>
          <w:szCs w:val="24"/>
          <w:u w:val="single"/>
        </w:rPr>
        <w:t>), D.11-12-020 and D.11-12-052, or other applicable law</w:t>
      </w:r>
      <w:r w:rsidRPr="00941BC9" w:rsidR="001B7975">
        <w:rPr>
          <w:rFonts w:ascii="Palatino Linotype" w:hAnsi="Palatino Linotype"/>
          <w:sz w:val="24"/>
          <w:szCs w:val="24"/>
        </w:rPr>
        <w:t>.”</w:t>
      </w:r>
      <w:r w:rsidRPr="00941BC9" w:rsidR="001B7975">
        <w:rPr>
          <w:rStyle w:val="FootnoteReference"/>
          <w:rFonts w:ascii="Palatino Linotype" w:hAnsi="Palatino Linotype"/>
          <w:sz w:val="24"/>
          <w:szCs w:val="24"/>
        </w:rPr>
        <w:footnoteReference w:id="20"/>
      </w:r>
      <w:r w:rsidRPr="00941BC9" w:rsidR="001B7975">
        <w:rPr>
          <w:rFonts w:ascii="Palatino Linotype" w:hAnsi="Palatino Linotype"/>
          <w:sz w:val="24"/>
          <w:szCs w:val="24"/>
        </w:rPr>
        <w:tab/>
      </w:r>
    </w:p>
    <w:p w:rsidRPr="00941BC9" w:rsidR="001B7975" w:rsidP="001B7975" w:rsidRDefault="001B7975" w14:paraId="16F56E4A" w14:textId="77777777">
      <w:pPr>
        <w:rPr>
          <w:rFonts w:ascii="Palatino Linotype" w:hAnsi="Palatino Linotype"/>
          <w:sz w:val="24"/>
          <w:szCs w:val="24"/>
        </w:rPr>
      </w:pPr>
    </w:p>
    <w:p w:rsidRPr="00941BC9" w:rsidR="001B7975" w:rsidP="001B7975" w:rsidRDefault="001B7975" w14:paraId="6094C17B" w14:textId="77777777">
      <w:pPr>
        <w:rPr>
          <w:rFonts w:ascii="Palatino Linotype" w:hAnsi="Palatino Linotype"/>
          <w:sz w:val="24"/>
          <w:szCs w:val="24"/>
        </w:rPr>
      </w:pPr>
      <w:r w:rsidRPr="00941BC9">
        <w:rPr>
          <w:rFonts w:ascii="Palatino Linotype" w:hAnsi="Palatino Linotype"/>
          <w:sz w:val="24"/>
          <w:szCs w:val="24"/>
        </w:rPr>
        <w:t>Notwithstanding this language, given that the Commission has no jurisdiction to determine whether a project is an “eligible renewable energy resource” for RPS purposes, this finding and the effectiveness of the non-modifiable “eligibility” language is contingent on the CEC’s certification of each of the three projects as “eligible renewable energy resources.”  The contract language that each project is procurement from an “eligible renewable energy resource” must be a true statement at the time of the first delivery of energy, not at the signing of the PPA or at the issuance of this Resolution.</w:t>
      </w:r>
    </w:p>
    <w:p w:rsidRPr="00941BC9" w:rsidR="001B7975" w:rsidP="001B7975" w:rsidRDefault="001B7975" w14:paraId="45CF7927" w14:textId="77777777">
      <w:pPr>
        <w:rPr>
          <w:rFonts w:ascii="Palatino Linotype" w:hAnsi="Palatino Linotype"/>
          <w:sz w:val="24"/>
          <w:szCs w:val="24"/>
        </w:rPr>
      </w:pPr>
    </w:p>
    <w:p w:rsidRPr="00941BC9" w:rsidR="001B7975" w:rsidP="001B7975" w:rsidRDefault="001B7975" w14:paraId="4367B578" w14:textId="77777777">
      <w:pPr>
        <w:rPr>
          <w:rFonts w:ascii="Palatino Linotype" w:hAnsi="Palatino Linotype"/>
          <w:sz w:val="24"/>
          <w:szCs w:val="24"/>
        </w:rPr>
      </w:pPr>
      <w:r w:rsidRPr="00941BC9">
        <w:rPr>
          <w:rFonts w:ascii="Palatino Linotype" w:hAnsi="Palatino Linotype"/>
          <w:sz w:val="24"/>
          <w:szCs w:val="24"/>
        </w:rPr>
        <w:t xml:space="preserve">While we include the required </w:t>
      </w:r>
      <w:proofErr w:type="gramStart"/>
      <w:r w:rsidRPr="00941BC9">
        <w:rPr>
          <w:rFonts w:ascii="Palatino Linotype" w:hAnsi="Palatino Linotype"/>
          <w:sz w:val="24"/>
          <w:szCs w:val="24"/>
        </w:rPr>
        <w:t>finding</w:t>
      </w:r>
      <w:proofErr w:type="gramEnd"/>
      <w:r w:rsidRPr="00941BC9">
        <w:rPr>
          <w:rFonts w:ascii="Palatino Linotype" w:hAnsi="Palatino Linotype"/>
          <w:sz w:val="24"/>
          <w:szCs w:val="24"/>
        </w:rPr>
        <w:t xml:space="preserve"> here, </w:t>
      </w:r>
      <w:r w:rsidRPr="00941BC9">
        <w:rPr>
          <w:rFonts w:ascii="Palatino Linotype" w:hAnsi="Palatino Linotype"/>
          <w:sz w:val="24"/>
          <w:szCs w:val="24"/>
          <w:u w:val="single"/>
        </w:rPr>
        <w:t>this finding has never been intended, and shall not be read now, to allow the generation from a non-RPS-eligible resource to count towards an RPS compliance obligation absent CEC certification</w:t>
      </w:r>
      <w:r w:rsidRPr="00941BC9">
        <w:rPr>
          <w:rFonts w:ascii="Palatino Linotype" w:hAnsi="Palatino Linotype"/>
          <w:sz w:val="24"/>
          <w:szCs w:val="24"/>
        </w:rPr>
        <w:t xml:space="preserve">.  Nor shall such finding absolve the seller of its obligation to obtain CEC certification, or the utility of its obligation to pursue remedies for breach of contract.  Such contract enforcement activities shall be reviewed pursuant to the Commission’s authority to review the utilities’ administration of such contracts. </w:t>
      </w:r>
    </w:p>
    <w:p w:rsidRPr="00941BC9" w:rsidR="001D4922" w:rsidP="00D552D7" w:rsidRDefault="001D4922" w14:paraId="33CD2079" w14:textId="77777777">
      <w:pPr>
        <w:spacing w:before="120" w:after="120"/>
        <w:rPr>
          <w:rFonts w:ascii="Palatino Linotype" w:hAnsi="Palatino Linotype"/>
          <w:b/>
          <w:sz w:val="24"/>
          <w:szCs w:val="24"/>
        </w:rPr>
      </w:pPr>
      <w:bookmarkStart w:name="_Hlk525207788" w:id="4"/>
      <w:bookmarkStart w:name="_Hlk525207705" w:id="5"/>
      <w:r w:rsidRPr="00941BC9">
        <w:rPr>
          <w:rFonts w:ascii="Palatino Linotype" w:hAnsi="Palatino Linotype"/>
          <w:b/>
          <w:sz w:val="24"/>
          <w:szCs w:val="24"/>
        </w:rPr>
        <w:t>Disadvantaged Community Goals</w:t>
      </w:r>
    </w:p>
    <w:bookmarkEnd w:id="4"/>
    <w:p w:rsidRPr="00941BC9" w:rsidR="001D4922" w:rsidP="001D4922" w:rsidRDefault="001D4922" w14:paraId="5F638085" w14:textId="39C37B96">
      <w:pPr>
        <w:rPr>
          <w:rFonts w:ascii="Palatino Linotype" w:hAnsi="Palatino Linotype"/>
          <w:sz w:val="24"/>
          <w:szCs w:val="24"/>
        </w:rPr>
      </w:pPr>
      <w:r w:rsidRPr="00941BC9">
        <w:rPr>
          <w:rFonts w:ascii="Palatino Linotype" w:hAnsi="Palatino Linotype"/>
          <w:sz w:val="24"/>
          <w:szCs w:val="24"/>
        </w:rPr>
        <w:t xml:space="preserve">Senate Bill 350 (de León, Chapter 547, Stats. 2015) and SB 2 (1X) (Simitian, Stats. 2011, ch.1) contain disadvantaged community goals that are cross-cutting and therefore will be integrated into all policy areas. The Commission typically analyzes California project locations relative to such communities using the </w:t>
      </w:r>
      <w:proofErr w:type="spellStart"/>
      <w:r w:rsidRPr="00941BC9">
        <w:rPr>
          <w:rFonts w:ascii="Palatino Linotype" w:hAnsi="Palatino Linotype"/>
          <w:sz w:val="24"/>
          <w:szCs w:val="24"/>
        </w:rPr>
        <w:t>CalEnviroScreen</w:t>
      </w:r>
      <w:proofErr w:type="spellEnd"/>
      <w:r w:rsidRPr="00941BC9">
        <w:rPr>
          <w:rFonts w:ascii="Palatino Linotype" w:hAnsi="Palatino Linotype"/>
          <w:sz w:val="24"/>
          <w:szCs w:val="24"/>
        </w:rPr>
        <w:t xml:space="preserve"> tool and </w:t>
      </w:r>
      <w:proofErr w:type="gramStart"/>
      <w:r w:rsidRPr="00941BC9">
        <w:rPr>
          <w:rFonts w:ascii="Palatino Linotype" w:hAnsi="Palatino Linotype"/>
          <w:sz w:val="24"/>
          <w:szCs w:val="24"/>
        </w:rPr>
        <w:t>considers</w:t>
      </w:r>
      <w:proofErr w:type="gramEnd"/>
      <w:r w:rsidRPr="00941BC9">
        <w:rPr>
          <w:rFonts w:ascii="Palatino Linotype" w:hAnsi="Palatino Linotype"/>
          <w:sz w:val="24"/>
          <w:szCs w:val="24"/>
        </w:rPr>
        <w:t xml:space="preserve"> disadvantaged communities to be those census tracts in the top 25 percent overall as well as those in the top five percent of pollution burden.</w:t>
      </w:r>
      <w:r w:rsidRPr="00941BC9">
        <w:rPr>
          <w:rStyle w:val="FootnoteReference"/>
          <w:rFonts w:ascii="Palatino Linotype" w:hAnsi="Palatino Linotype"/>
          <w:sz w:val="24"/>
          <w:szCs w:val="24"/>
        </w:rPr>
        <w:footnoteReference w:id="21"/>
      </w:r>
      <w:r w:rsidRPr="00941BC9" w:rsidR="008800EF">
        <w:rPr>
          <w:rFonts w:ascii="Palatino Linotype" w:hAnsi="Palatino Linotype"/>
          <w:sz w:val="24"/>
          <w:szCs w:val="24"/>
        </w:rPr>
        <w:t xml:space="preserve"> However, </w:t>
      </w:r>
      <w:r w:rsidRPr="00941BC9" w:rsidR="008D7F90">
        <w:rPr>
          <w:rFonts w:ascii="Palatino Linotype" w:hAnsi="Palatino Linotype"/>
          <w:sz w:val="24"/>
          <w:szCs w:val="24"/>
        </w:rPr>
        <w:t xml:space="preserve">as these projects </w:t>
      </w:r>
      <w:proofErr w:type="gramStart"/>
      <w:r w:rsidRPr="00941BC9" w:rsidR="008D7F90">
        <w:rPr>
          <w:rFonts w:ascii="Palatino Linotype" w:hAnsi="Palatino Linotype"/>
          <w:sz w:val="24"/>
          <w:szCs w:val="24"/>
        </w:rPr>
        <w:t>are located in</w:t>
      </w:r>
      <w:proofErr w:type="gramEnd"/>
      <w:r w:rsidRPr="00941BC9" w:rsidR="008D7F90">
        <w:rPr>
          <w:rFonts w:ascii="Palatino Linotype" w:hAnsi="Palatino Linotype"/>
          <w:sz w:val="24"/>
          <w:szCs w:val="24"/>
        </w:rPr>
        <w:t xml:space="preserve"> Arizona, </w:t>
      </w:r>
      <w:proofErr w:type="spellStart"/>
      <w:r w:rsidRPr="00941BC9" w:rsidR="008D7F90">
        <w:rPr>
          <w:rFonts w:ascii="Palatino Linotype" w:hAnsi="Palatino Linotype"/>
          <w:sz w:val="24"/>
          <w:szCs w:val="24"/>
        </w:rPr>
        <w:t>CalEnviroScreen</w:t>
      </w:r>
      <w:proofErr w:type="spellEnd"/>
      <w:r w:rsidRPr="00941BC9" w:rsidR="008D7F90">
        <w:rPr>
          <w:rFonts w:ascii="Palatino Linotype" w:hAnsi="Palatino Linotype"/>
          <w:sz w:val="24"/>
          <w:szCs w:val="24"/>
        </w:rPr>
        <w:t xml:space="preserve"> is not an available tool. Th</w:t>
      </w:r>
      <w:r w:rsidRPr="00941BC9" w:rsidR="001C2DEB">
        <w:rPr>
          <w:rFonts w:ascii="Palatino Linotype" w:hAnsi="Palatino Linotype"/>
          <w:sz w:val="24"/>
          <w:szCs w:val="24"/>
        </w:rPr>
        <w:t>i</w:t>
      </w:r>
      <w:r w:rsidRPr="00941BC9" w:rsidR="008D7F90">
        <w:rPr>
          <w:rFonts w:ascii="Palatino Linotype" w:hAnsi="Palatino Linotype"/>
          <w:sz w:val="24"/>
          <w:szCs w:val="24"/>
        </w:rPr>
        <w:t>s analysis relies on the federal Climate and Economic Justice Screening Tool (CEJST)</w:t>
      </w:r>
      <w:r w:rsidRPr="00941BC9" w:rsidR="00A573A0">
        <w:rPr>
          <w:rFonts w:ascii="Palatino Linotype" w:hAnsi="Palatino Linotype"/>
          <w:sz w:val="24"/>
          <w:szCs w:val="24"/>
        </w:rPr>
        <w:t xml:space="preserve">, a tool that </w:t>
      </w:r>
      <w:r w:rsidRPr="00941BC9" w:rsidR="008800EF">
        <w:rPr>
          <w:rFonts w:ascii="Palatino Linotype" w:hAnsi="Palatino Linotype"/>
          <w:sz w:val="24"/>
          <w:szCs w:val="24"/>
        </w:rPr>
        <w:t xml:space="preserve">has been used by Federal programs such as the Justice40 Initiative to identify disadvantaged </w:t>
      </w:r>
      <w:r w:rsidRPr="00941BC9" w:rsidR="008800EF">
        <w:rPr>
          <w:rFonts w:ascii="Palatino Linotype" w:hAnsi="Palatino Linotype"/>
          <w:sz w:val="24"/>
          <w:szCs w:val="24"/>
        </w:rPr>
        <w:lastRenderedPageBreak/>
        <w:t>communities that are marginalized by underinvestment and overburdened by pollution.</w:t>
      </w:r>
      <w:r w:rsidRPr="00941BC9" w:rsidR="008800EF">
        <w:rPr>
          <w:rStyle w:val="FootnoteReference"/>
          <w:rFonts w:ascii="Palatino Linotype" w:hAnsi="Palatino Linotype"/>
          <w:sz w:val="24"/>
          <w:szCs w:val="24"/>
        </w:rPr>
        <w:footnoteReference w:id="22"/>
      </w:r>
    </w:p>
    <w:p w:rsidRPr="00941BC9" w:rsidR="001D4922" w:rsidP="001D4922" w:rsidRDefault="001D4922" w14:paraId="074661DC" w14:textId="77777777">
      <w:pPr>
        <w:rPr>
          <w:rFonts w:ascii="Palatino Linotype" w:hAnsi="Palatino Linotype"/>
          <w:sz w:val="24"/>
          <w:szCs w:val="24"/>
        </w:rPr>
      </w:pPr>
    </w:p>
    <w:p w:rsidRPr="00941BC9" w:rsidR="001D4922" w:rsidP="00CA2DCD" w:rsidRDefault="00026516" w14:paraId="099A9992" w14:textId="272DC035">
      <w:pPr>
        <w:rPr>
          <w:rFonts w:ascii="Palatino Linotype" w:hAnsi="Palatino Linotype"/>
          <w:sz w:val="24"/>
          <w:szCs w:val="24"/>
        </w:rPr>
      </w:pPr>
      <w:bookmarkStart w:name="_Hlk525813903" w:id="6"/>
      <w:r w:rsidRPr="00941BC9">
        <w:rPr>
          <w:rFonts w:ascii="Palatino Linotype" w:hAnsi="Palatino Linotype"/>
          <w:sz w:val="24"/>
          <w:szCs w:val="24"/>
        </w:rPr>
        <w:t>PG&amp;E</w:t>
      </w:r>
      <w:r w:rsidRPr="00941BC9" w:rsidR="001D4922">
        <w:rPr>
          <w:rFonts w:ascii="Palatino Linotype" w:hAnsi="Palatino Linotype"/>
          <w:sz w:val="24"/>
          <w:szCs w:val="24"/>
        </w:rPr>
        <w:t xml:space="preserve"> noted in AL </w:t>
      </w:r>
      <w:r w:rsidRPr="00941BC9">
        <w:rPr>
          <w:rFonts w:ascii="Palatino Linotype" w:hAnsi="Palatino Linotype"/>
          <w:sz w:val="24"/>
          <w:szCs w:val="24"/>
        </w:rPr>
        <w:t>7299</w:t>
      </w:r>
      <w:r w:rsidRPr="00941BC9" w:rsidR="001D4922">
        <w:rPr>
          <w:rFonts w:ascii="Palatino Linotype" w:hAnsi="Palatino Linotype"/>
          <w:sz w:val="24"/>
          <w:szCs w:val="24"/>
        </w:rPr>
        <w:t xml:space="preserve">-E that consistent with Public Utilities Code Section 454.52(a)(1)(I), </w:t>
      </w:r>
      <w:r w:rsidRPr="00941BC9">
        <w:rPr>
          <w:rFonts w:ascii="Palatino Linotype" w:hAnsi="Palatino Linotype"/>
          <w:sz w:val="24"/>
          <w:szCs w:val="24"/>
        </w:rPr>
        <w:t>PG&amp;E</w:t>
      </w:r>
      <w:r w:rsidRPr="00941BC9" w:rsidR="001D4922">
        <w:rPr>
          <w:rFonts w:ascii="Palatino Linotype" w:hAnsi="Palatino Linotype"/>
          <w:sz w:val="24"/>
          <w:szCs w:val="24"/>
        </w:rPr>
        <w:t xml:space="preserve"> placed early priority on projects located in disadvantaged communities and expressed a preference for energy resources located in such communities as part of its solicitation process</w:t>
      </w:r>
      <w:r w:rsidRPr="00941BC9" w:rsidR="00A83B11">
        <w:rPr>
          <w:rFonts w:ascii="Palatino Linotype" w:hAnsi="Palatino Linotype"/>
          <w:sz w:val="24"/>
          <w:szCs w:val="24"/>
        </w:rPr>
        <w:t xml:space="preserve">. </w:t>
      </w:r>
      <w:r w:rsidRPr="00941BC9" w:rsidR="003A1F0A">
        <w:rPr>
          <w:rFonts w:ascii="Palatino Linotype" w:hAnsi="Palatino Linotype"/>
          <w:sz w:val="24"/>
          <w:szCs w:val="24"/>
        </w:rPr>
        <w:t>Participants submitting offers into PG&amp;E’s Mid-Term Reliability – Phase 3 RFO are required to indicate whether a project is located within a disadvantaged community as part of their offer submittal</w:t>
      </w:r>
      <w:r w:rsidRPr="00941BC9" w:rsidR="00F343C9">
        <w:rPr>
          <w:rFonts w:ascii="Palatino Linotype" w:hAnsi="Palatino Linotype"/>
          <w:sz w:val="24"/>
          <w:szCs w:val="24"/>
        </w:rPr>
        <w:t xml:space="preserve">. </w:t>
      </w:r>
      <w:r w:rsidRPr="00941BC9" w:rsidR="003A1F0A">
        <w:rPr>
          <w:rFonts w:ascii="Palatino Linotype" w:hAnsi="Palatino Linotype"/>
          <w:sz w:val="24"/>
          <w:szCs w:val="24"/>
        </w:rPr>
        <w:t>The Arlington Valley and Atlas South projects are not</w:t>
      </w:r>
      <w:r w:rsidRPr="00941BC9" w:rsidR="00A83B11">
        <w:rPr>
          <w:rFonts w:ascii="Palatino Linotype" w:hAnsi="Palatino Linotype"/>
          <w:sz w:val="24"/>
          <w:szCs w:val="24"/>
        </w:rPr>
        <w:t xml:space="preserve"> </w:t>
      </w:r>
      <w:r w:rsidRPr="00941BC9" w:rsidR="003A1F0A">
        <w:rPr>
          <w:rFonts w:ascii="Palatino Linotype" w:hAnsi="Palatino Linotype"/>
          <w:sz w:val="24"/>
          <w:szCs w:val="24"/>
        </w:rPr>
        <w:t>located within a disadvantaged community.</w:t>
      </w:r>
      <w:r w:rsidRPr="00941BC9" w:rsidR="00D93446">
        <w:rPr>
          <w:rFonts w:ascii="Palatino Linotype" w:hAnsi="Palatino Linotype"/>
          <w:sz w:val="24"/>
          <w:szCs w:val="24"/>
        </w:rPr>
        <w:t xml:space="preserve"> </w:t>
      </w:r>
      <w:r w:rsidRPr="00941BC9" w:rsidR="00EE3A79">
        <w:rPr>
          <w:rFonts w:ascii="Palatino Linotype" w:hAnsi="Palatino Linotype"/>
          <w:sz w:val="24"/>
          <w:szCs w:val="24"/>
        </w:rPr>
        <w:t>Also, n</w:t>
      </w:r>
      <w:r w:rsidRPr="00941BC9" w:rsidR="00F66C73">
        <w:rPr>
          <w:rFonts w:ascii="Palatino Linotype" w:hAnsi="Palatino Linotype"/>
          <w:sz w:val="24"/>
          <w:szCs w:val="24"/>
        </w:rPr>
        <w:t>either</w:t>
      </w:r>
      <w:r w:rsidRPr="00941BC9" w:rsidR="00A83B11">
        <w:rPr>
          <w:rFonts w:ascii="Palatino Linotype" w:hAnsi="Palatino Linotype"/>
          <w:sz w:val="24"/>
          <w:szCs w:val="24"/>
        </w:rPr>
        <w:t xml:space="preserve"> </w:t>
      </w:r>
      <w:r w:rsidRPr="00941BC9" w:rsidR="001D4922">
        <w:rPr>
          <w:rFonts w:ascii="Palatino Linotype" w:hAnsi="Palatino Linotype"/>
          <w:sz w:val="24"/>
          <w:szCs w:val="24"/>
        </w:rPr>
        <w:t xml:space="preserve">of the projects </w:t>
      </w:r>
      <w:r w:rsidRPr="00941BC9" w:rsidR="00F66C73">
        <w:rPr>
          <w:rFonts w:ascii="Palatino Linotype" w:hAnsi="Palatino Linotype"/>
          <w:sz w:val="24"/>
          <w:szCs w:val="24"/>
        </w:rPr>
        <w:t>are</w:t>
      </w:r>
      <w:r w:rsidRPr="00941BC9" w:rsidR="001D4922">
        <w:rPr>
          <w:rFonts w:ascii="Palatino Linotype" w:hAnsi="Palatino Linotype"/>
          <w:sz w:val="24"/>
          <w:szCs w:val="24"/>
        </w:rPr>
        <w:t xml:space="preserve"> located on Tribal lands.</w:t>
      </w:r>
      <w:bookmarkEnd w:id="5"/>
      <w:bookmarkEnd w:id="6"/>
    </w:p>
    <w:p w:rsidRPr="00941BC9" w:rsidR="00B7585C" w:rsidP="00D552D7" w:rsidRDefault="00B7585C" w14:paraId="763623B9" w14:textId="77777777">
      <w:pPr>
        <w:spacing w:before="120" w:after="120"/>
        <w:rPr>
          <w:rFonts w:ascii="Palatino Linotype" w:hAnsi="Palatino Linotype"/>
          <w:b/>
          <w:sz w:val="24"/>
          <w:szCs w:val="24"/>
          <w:highlight w:val="yellow"/>
        </w:rPr>
      </w:pPr>
      <w:r w:rsidRPr="00941BC9">
        <w:rPr>
          <w:rFonts w:ascii="Palatino Linotype" w:hAnsi="Palatino Linotype"/>
          <w:b/>
          <w:sz w:val="24"/>
          <w:szCs w:val="24"/>
        </w:rPr>
        <w:t>Compliance with the Interim Greenhouse Gas Emissions Performance Standard</w:t>
      </w:r>
    </w:p>
    <w:p w:rsidRPr="00941BC9" w:rsidR="00B7585C" w:rsidP="00B7585C" w:rsidRDefault="00B7585C" w14:paraId="160564CC" w14:textId="77777777">
      <w:pPr>
        <w:pStyle w:val="BodyText"/>
        <w:widowControl w:val="0"/>
        <w:rPr>
          <w:rFonts w:ascii="Palatino Linotype" w:hAnsi="Palatino Linotype"/>
          <w:b w:val="0"/>
          <w:sz w:val="24"/>
          <w:szCs w:val="24"/>
        </w:rPr>
      </w:pPr>
      <w:r w:rsidRPr="00941BC9">
        <w:rPr>
          <w:rFonts w:ascii="Palatino Linotype" w:hAnsi="Palatino Linotype"/>
          <w:b w:val="0"/>
          <w:sz w:val="24"/>
          <w:szCs w:val="24"/>
        </w:rPr>
        <w:t>SB 1368 requires that the Commission consider emissions costs associated with new long-term (five years or greater) baseload power contracts procured on behalf of California ratepayers.</w:t>
      </w:r>
      <w:r w:rsidRPr="00941BC9">
        <w:rPr>
          <w:rStyle w:val="FootnoteReference"/>
          <w:rFonts w:ascii="Palatino Linotype" w:hAnsi="Palatino Linotype"/>
          <w:b w:val="0"/>
          <w:sz w:val="24"/>
          <w:szCs w:val="24"/>
        </w:rPr>
        <w:t xml:space="preserve"> </w:t>
      </w:r>
      <w:r w:rsidRPr="00941BC9">
        <w:rPr>
          <w:rStyle w:val="FootnoteReference"/>
          <w:rFonts w:ascii="Palatino Linotype" w:hAnsi="Palatino Linotype"/>
          <w:b w:val="0"/>
          <w:sz w:val="24"/>
          <w:szCs w:val="24"/>
        </w:rPr>
        <w:footnoteReference w:id="23"/>
      </w:r>
      <w:r w:rsidRPr="00941BC9">
        <w:rPr>
          <w:rFonts w:ascii="Palatino Linotype" w:hAnsi="Palatino Linotype"/>
          <w:b w:val="0"/>
          <w:sz w:val="24"/>
          <w:szCs w:val="24"/>
        </w:rPr>
        <w:t xml:space="preserve"> D.07-01-039 adopted an interim Emissions Performance Standard (“EPS”) that establishes an emission rate for obligated facilities at levels no greater than the greenhouse gas emissions of a combined-cycle gas turbine power plant. Generating facilities using certain renewable resources are deemed compliant with the EPS.</w:t>
      </w:r>
      <w:r w:rsidRPr="00941BC9">
        <w:rPr>
          <w:rStyle w:val="FootnoteReference"/>
          <w:rFonts w:ascii="Palatino Linotype" w:hAnsi="Palatino Linotype"/>
          <w:b w:val="0"/>
          <w:sz w:val="24"/>
          <w:szCs w:val="24"/>
        </w:rPr>
        <w:footnoteReference w:id="24"/>
      </w:r>
      <w:r w:rsidRPr="00941BC9">
        <w:rPr>
          <w:rFonts w:ascii="Palatino Linotype" w:hAnsi="Palatino Linotype"/>
          <w:b w:val="0"/>
          <w:sz w:val="24"/>
          <w:szCs w:val="24"/>
        </w:rPr>
        <w:t xml:space="preserve"> </w:t>
      </w:r>
    </w:p>
    <w:p w:rsidRPr="00941BC9" w:rsidR="00B7585C" w:rsidP="00B7585C" w:rsidRDefault="00B7585C" w14:paraId="67F8B1DC" w14:textId="77777777">
      <w:pPr>
        <w:pStyle w:val="BodyText"/>
        <w:rPr>
          <w:rFonts w:ascii="Palatino Linotype" w:hAnsi="Palatino Linotype"/>
          <w:b w:val="0"/>
          <w:sz w:val="24"/>
          <w:szCs w:val="24"/>
          <w:highlight w:val="yellow"/>
        </w:rPr>
      </w:pPr>
    </w:p>
    <w:p w:rsidRPr="00941BC9" w:rsidR="00B7585C" w:rsidP="00B7585C" w:rsidRDefault="00B7585C" w14:paraId="4ACC3743" w14:textId="283A61D0">
      <w:pPr>
        <w:pStyle w:val="BodyText"/>
        <w:rPr>
          <w:rFonts w:ascii="Palatino Linotype" w:hAnsi="Palatino Linotype"/>
          <w:b w:val="0"/>
          <w:sz w:val="24"/>
          <w:szCs w:val="24"/>
        </w:rPr>
      </w:pPr>
      <w:r w:rsidRPr="00941BC9">
        <w:rPr>
          <w:rFonts w:ascii="Palatino Linotype" w:hAnsi="Palatino Linotype"/>
          <w:b w:val="0"/>
          <w:sz w:val="24"/>
          <w:szCs w:val="24"/>
        </w:rPr>
        <w:t xml:space="preserve">In AL 7299-E, PG&amp;E states that the </w:t>
      </w:r>
      <w:r w:rsidRPr="00941BC9" w:rsidR="009F37B2">
        <w:rPr>
          <w:rFonts w:ascii="Palatino Linotype" w:hAnsi="Palatino Linotype"/>
          <w:b w:val="0"/>
          <w:sz w:val="24"/>
          <w:szCs w:val="24"/>
        </w:rPr>
        <w:t>Agreements</w:t>
      </w:r>
      <w:r w:rsidRPr="00941BC9">
        <w:rPr>
          <w:rFonts w:ascii="Palatino Linotype" w:hAnsi="Palatino Linotype"/>
          <w:b w:val="0"/>
          <w:sz w:val="24"/>
          <w:szCs w:val="24"/>
        </w:rPr>
        <w:t xml:space="preserve"> are exempted from or compliant with SB 1368 and D.07-01-039 requirements based on its underlying resources.  Both MTR contracts are for solar PV resources that have capacity factors under 60</w:t>
      </w:r>
      <w:r w:rsidRPr="00941BC9" w:rsidR="009F37B2">
        <w:rPr>
          <w:rFonts w:ascii="Palatino Linotype" w:hAnsi="Palatino Linotype"/>
          <w:b w:val="0"/>
          <w:sz w:val="24"/>
          <w:szCs w:val="24"/>
        </w:rPr>
        <w:t xml:space="preserve"> percent</w:t>
      </w:r>
      <w:r w:rsidRPr="00941BC9">
        <w:rPr>
          <w:rFonts w:ascii="Palatino Linotype" w:hAnsi="Palatino Linotype"/>
          <w:b w:val="0"/>
          <w:sz w:val="24"/>
          <w:szCs w:val="24"/>
        </w:rPr>
        <w:t xml:space="preserve"> and are therefore not covered by the EPS. Thus, </w:t>
      </w:r>
      <w:r w:rsidRPr="00941BC9">
        <w:rPr>
          <w:rFonts w:ascii="Palatino Linotype" w:hAnsi="Palatino Linotype"/>
          <w:b w:val="0"/>
          <w:sz w:val="24"/>
          <w:szCs w:val="24"/>
          <w:u w:val="single"/>
        </w:rPr>
        <w:t xml:space="preserve">the </w:t>
      </w:r>
      <w:r w:rsidRPr="00941BC9" w:rsidR="009F37B2">
        <w:rPr>
          <w:rFonts w:ascii="Palatino Linotype" w:hAnsi="Palatino Linotype"/>
          <w:b w:val="0"/>
          <w:sz w:val="24"/>
          <w:szCs w:val="24"/>
          <w:u w:val="single"/>
        </w:rPr>
        <w:t>Agreements</w:t>
      </w:r>
      <w:r w:rsidRPr="00941BC9">
        <w:rPr>
          <w:rFonts w:ascii="Palatino Linotype" w:hAnsi="Palatino Linotype"/>
          <w:b w:val="0"/>
          <w:sz w:val="24"/>
          <w:szCs w:val="24"/>
          <w:u w:val="single"/>
        </w:rPr>
        <w:t xml:space="preserve"> are found to be exempt from the Emissions Performance Standard because their resources</w:t>
      </w:r>
      <w:r w:rsidRPr="00941BC9" w:rsidR="00F54AC6">
        <w:rPr>
          <w:rFonts w:ascii="Palatino Linotype" w:hAnsi="Palatino Linotype"/>
          <w:b w:val="0"/>
          <w:sz w:val="24"/>
          <w:szCs w:val="24"/>
          <w:u w:val="single"/>
        </w:rPr>
        <w:t xml:space="preserve"> do not have any greenhouse gas emissions </w:t>
      </w:r>
      <w:r w:rsidRPr="00941BC9" w:rsidR="00533A5B">
        <w:rPr>
          <w:rFonts w:ascii="Palatino Linotype" w:hAnsi="Palatino Linotype"/>
          <w:b w:val="0"/>
          <w:sz w:val="24"/>
          <w:szCs w:val="24"/>
          <w:u w:val="single"/>
        </w:rPr>
        <w:t>and does not</w:t>
      </w:r>
      <w:r w:rsidRPr="00941BC9" w:rsidR="00F54AC6">
        <w:rPr>
          <w:rFonts w:ascii="Palatino Linotype" w:hAnsi="Palatino Linotype"/>
          <w:b w:val="0"/>
          <w:sz w:val="24"/>
          <w:szCs w:val="24"/>
          <w:u w:val="single"/>
        </w:rPr>
        <w:t xml:space="preserve"> impact air quality.</w:t>
      </w:r>
      <w:r w:rsidRPr="00941BC9">
        <w:rPr>
          <w:rFonts w:ascii="Palatino Linotype" w:hAnsi="Palatino Linotype"/>
          <w:b w:val="0"/>
          <w:sz w:val="24"/>
          <w:szCs w:val="24"/>
          <w:u w:val="single"/>
        </w:rPr>
        <w:t xml:space="preserve"> </w:t>
      </w:r>
      <w:r w:rsidRPr="00941BC9">
        <w:rPr>
          <w:rFonts w:ascii="Palatino Linotype" w:hAnsi="Palatino Linotype"/>
          <w:b w:val="0"/>
          <w:sz w:val="24"/>
          <w:szCs w:val="24"/>
        </w:rPr>
        <w:t xml:space="preserve"> </w:t>
      </w:r>
    </w:p>
    <w:p w:rsidRPr="00941BC9" w:rsidR="002C480C" w:rsidP="00113D70" w:rsidRDefault="002C480C" w14:paraId="2CD0C646" w14:textId="23D35422">
      <w:pPr>
        <w:pStyle w:val="standard"/>
        <w:widowControl w:val="0"/>
        <w:spacing w:before="120" w:after="120" w:line="240" w:lineRule="auto"/>
        <w:ind w:firstLine="0"/>
        <w:rPr>
          <w:rFonts w:ascii="Palatino Linotype" w:hAnsi="Palatino Linotype"/>
          <w:b/>
          <w:bCs/>
          <w:sz w:val="24"/>
          <w:szCs w:val="24"/>
        </w:rPr>
      </w:pPr>
      <w:r w:rsidRPr="00941BC9">
        <w:rPr>
          <w:rFonts w:ascii="Palatino Linotype" w:hAnsi="Palatino Linotype"/>
          <w:b/>
          <w:bCs/>
          <w:sz w:val="24"/>
          <w:szCs w:val="24"/>
        </w:rPr>
        <w:lastRenderedPageBreak/>
        <w:t>Cost Recovery</w:t>
      </w:r>
    </w:p>
    <w:p w:rsidRPr="00941BC9" w:rsidR="002C480C" w:rsidP="002C480C" w:rsidRDefault="002C480C" w14:paraId="60534425" w14:textId="77777777">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As described above, PG&amp;E has entered into the Agreements to meet its procurement</w:t>
      </w:r>
    </w:p>
    <w:p w:rsidRPr="00941BC9" w:rsidR="005829F6" w:rsidP="00624386" w:rsidRDefault="002C480C" w14:paraId="1205FA25" w14:textId="6761376A">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requirements ordered by D.21-06-035 and D.23-02-040.</w:t>
      </w:r>
      <w:r w:rsidRPr="00941BC9" w:rsidR="0004231A">
        <w:rPr>
          <w:rFonts w:ascii="Palatino Linotype" w:hAnsi="Palatino Linotype" w:cs="Arial"/>
          <w:sz w:val="24"/>
          <w:szCs w:val="24"/>
        </w:rPr>
        <w:t xml:space="preserve"> </w:t>
      </w:r>
      <w:r w:rsidRPr="00941BC9" w:rsidR="005829F6">
        <w:rPr>
          <w:rFonts w:ascii="Palatino Linotype" w:hAnsi="Palatino Linotype" w:cs="Arial"/>
          <w:sz w:val="24"/>
          <w:szCs w:val="24"/>
        </w:rPr>
        <w:t xml:space="preserve">Ordering Paragraph 12 of </w:t>
      </w:r>
      <w:r w:rsidR="00EA2588">
        <w:rPr>
          <w:rFonts w:ascii="Palatino Linotype" w:hAnsi="Palatino Linotype" w:cs="Arial"/>
          <w:sz w:val="24"/>
          <w:szCs w:val="24"/>
        </w:rPr>
        <w:br/>
      </w:r>
      <w:r w:rsidRPr="00941BC9" w:rsidR="005829F6">
        <w:rPr>
          <w:rFonts w:ascii="Palatino Linotype" w:hAnsi="Palatino Linotype" w:cs="Arial"/>
          <w:sz w:val="24"/>
          <w:szCs w:val="24"/>
        </w:rPr>
        <w:t>D.21-06-035 authorized PG&amp;E authorized cost recovery of the MTR procurement via the Power Charge Indifference Adjustment (PCIA): </w:t>
      </w:r>
    </w:p>
    <w:p w:rsidRPr="00941BC9" w:rsidR="005829F6" w:rsidP="00624386" w:rsidRDefault="005829F6" w14:paraId="0A5A17AA" w14:textId="77777777">
      <w:pPr>
        <w:autoSpaceDE w:val="0"/>
        <w:autoSpaceDN w:val="0"/>
        <w:adjustRightInd w:val="0"/>
        <w:ind w:left="450"/>
        <w:rPr>
          <w:rFonts w:ascii="Palatino Linotype" w:hAnsi="Palatino Linotype" w:cs="Arial"/>
          <w:sz w:val="24"/>
          <w:szCs w:val="24"/>
        </w:rPr>
      </w:pPr>
      <w:r w:rsidRPr="00941BC9">
        <w:rPr>
          <w:rFonts w:ascii="Palatino Linotype" w:hAnsi="Palatino Linotype" w:cs="Arial"/>
          <w:sz w:val="24"/>
          <w:szCs w:val="24"/>
        </w:rPr>
        <w:t xml:space="preserve">To the extent that any resources procured in response to this order are subject to allocation using the [PCIA], the date of that adjustment shall be vintaged by the date of this order. Pacific Gas and Electric Company, Southern California Edison Company, and San Diego Gas &amp; Electric Company shall each file Tier 2 advice letters to update their balancing accounts to address the PCIA treatment </w:t>
      </w:r>
      <w:proofErr w:type="gramStart"/>
      <w:r w:rsidRPr="00941BC9">
        <w:rPr>
          <w:rFonts w:ascii="Palatino Linotype" w:hAnsi="Palatino Linotype" w:cs="Arial"/>
          <w:sz w:val="24"/>
          <w:szCs w:val="24"/>
        </w:rPr>
        <w:t>as a result of</w:t>
      </w:r>
      <w:proofErr w:type="gramEnd"/>
      <w:r w:rsidRPr="00941BC9">
        <w:rPr>
          <w:rFonts w:ascii="Palatino Linotype" w:hAnsi="Palatino Linotype" w:cs="Arial"/>
          <w:sz w:val="24"/>
          <w:szCs w:val="24"/>
        </w:rPr>
        <w:t xml:space="preserve"> this order. </w:t>
      </w:r>
    </w:p>
    <w:p w:rsidRPr="00941BC9" w:rsidR="002C480C" w:rsidP="00963097" w:rsidRDefault="002C480C" w14:paraId="4CB7C9EA" w14:textId="1797BF84">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 xml:space="preserve">Since the Agreements are entered into to meet the procurement requirements of </w:t>
      </w:r>
      <w:r w:rsidR="00EA2588">
        <w:rPr>
          <w:rFonts w:ascii="Palatino Linotype" w:hAnsi="Palatino Linotype" w:cs="Arial"/>
          <w:sz w:val="24"/>
          <w:szCs w:val="24"/>
        </w:rPr>
        <w:br/>
      </w:r>
      <w:r w:rsidRPr="00941BC9">
        <w:rPr>
          <w:rFonts w:ascii="Palatino Linotype" w:hAnsi="Palatino Linotype" w:cs="Arial"/>
          <w:sz w:val="24"/>
          <w:szCs w:val="24"/>
        </w:rPr>
        <w:t xml:space="preserve">D.21-06-035 and D.23-02-040, </w:t>
      </w:r>
      <w:r w:rsidRPr="00941BC9" w:rsidR="003B1F52">
        <w:rPr>
          <w:rFonts w:ascii="Palatino Linotype" w:hAnsi="Palatino Linotype" w:cs="Arial"/>
          <w:sz w:val="24"/>
          <w:szCs w:val="24"/>
          <w:u w:val="single"/>
        </w:rPr>
        <w:t>Staff find</w:t>
      </w:r>
      <w:r w:rsidRPr="00941BC9" w:rsidR="00D971D6">
        <w:rPr>
          <w:rFonts w:ascii="Palatino Linotype" w:hAnsi="Palatino Linotype" w:cs="Arial"/>
          <w:sz w:val="24"/>
          <w:szCs w:val="24"/>
          <w:u w:val="single"/>
        </w:rPr>
        <w:t>s that</w:t>
      </w:r>
      <w:r w:rsidRPr="00941BC9" w:rsidR="003B1F52">
        <w:rPr>
          <w:rFonts w:ascii="Palatino Linotype" w:hAnsi="Palatino Linotype" w:cs="Arial"/>
          <w:sz w:val="24"/>
          <w:szCs w:val="24"/>
          <w:u w:val="single"/>
        </w:rPr>
        <w:t xml:space="preserve"> </w:t>
      </w:r>
      <w:r w:rsidRPr="00941BC9">
        <w:rPr>
          <w:rFonts w:ascii="Palatino Linotype" w:hAnsi="Palatino Linotype" w:cs="Arial"/>
          <w:sz w:val="24"/>
          <w:szCs w:val="24"/>
          <w:u w:val="single"/>
        </w:rPr>
        <w:t>the costs associated with the Agreements are eligible for</w:t>
      </w:r>
      <w:r w:rsidRPr="00941BC9" w:rsidR="0004231A">
        <w:rPr>
          <w:rFonts w:ascii="Palatino Linotype" w:hAnsi="Palatino Linotype" w:cs="Arial"/>
          <w:sz w:val="24"/>
          <w:szCs w:val="24"/>
          <w:u w:val="single"/>
        </w:rPr>
        <w:t xml:space="preserve"> </w:t>
      </w:r>
      <w:r w:rsidRPr="00941BC9">
        <w:rPr>
          <w:rFonts w:ascii="Palatino Linotype" w:hAnsi="Palatino Linotype" w:cs="Arial"/>
          <w:sz w:val="24"/>
          <w:szCs w:val="24"/>
          <w:u w:val="single"/>
        </w:rPr>
        <w:t>recovery under the Power Charge Indifference Adjustment (PCIA) with an assigned</w:t>
      </w:r>
      <w:r w:rsidRPr="00941BC9" w:rsidR="0004231A">
        <w:rPr>
          <w:rFonts w:ascii="Palatino Linotype" w:hAnsi="Palatino Linotype" w:cs="Arial"/>
          <w:sz w:val="24"/>
          <w:szCs w:val="24"/>
          <w:u w:val="single"/>
        </w:rPr>
        <w:t xml:space="preserve"> </w:t>
      </w:r>
      <w:r w:rsidRPr="00941BC9">
        <w:rPr>
          <w:rFonts w:ascii="Palatino Linotype" w:hAnsi="Palatino Linotype" w:cs="Arial"/>
          <w:sz w:val="24"/>
          <w:szCs w:val="24"/>
          <w:u w:val="single"/>
        </w:rPr>
        <w:t xml:space="preserve">vintage of 2021 for the duration of the </w:t>
      </w:r>
      <w:r w:rsidRPr="00941BC9">
        <w:rPr>
          <w:rFonts w:ascii="Palatino Linotype" w:hAnsi="Palatino Linotype" w:cs="ArialMT"/>
          <w:sz w:val="24"/>
          <w:szCs w:val="24"/>
          <w:u w:val="single"/>
        </w:rPr>
        <w:t xml:space="preserve">Agreements’ </w:t>
      </w:r>
      <w:r w:rsidRPr="00941BC9">
        <w:rPr>
          <w:rFonts w:ascii="Palatino Linotype" w:hAnsi="Palatino Linotype" w:cs="Arial"/>
          <w:sz w:val="24"/>
          <w:szCs w:val="24"/>
          <w:u w:val="single"/>
        </w:rPr>
        <w:t>term</w:t>
      </w:r>
      <w:r w:rsidRPr="00941BC9">
        <w:rPr>
          <w:rFonts w:ascii="Palatino Linotype" w:hAnsi="Palatino Linotype" w:cs="Arial"/>
          <w:sz w:val="24"/>
          <w:szCs w:val="24"/>
        </w:rPr>
        <w:t>.</w:t>
      </w:r>
      <w:r w:rsidRPr="00941BC9">
        <w:rPr>
          <w:rStyle w:val="FootnoteReference"/>
          <w:rFonts w:ascii="Palatino Linotype" w:hAnsi="Palatino Linotype" w:cs="Arial"/>
          <w:sz w:val="24"/>
          <w:szCs w:val="24"/>
        </w:rPr>
        <w:footnoteReference w:id="25"/>
      </w:r>
      <w:r w:rsidRPr="00941BC9">
        <w:rPr>
          <w:rFonts w:ascii="Palatino Linotype" w:hAnsi="Palatino Linotype" w:cs="Arial"/>
          <w:sz w:val="24"/>
          <w:szCs w:val="24"/>
        </w:rPr>
        <w:t xml:space="preserve"> </w:t>
      </w:r>
      <w:r w:rsidRPr="00941BC9">
        <w:rPr>
          <w:rFonts w:ascii="Palatino Linotype" w:hAnsi="Palatino Linotype" w:cs="Arial"/>
          <w:sz w:val="24"/>
          <w:szCs w:val="24"/>
          <w:u w:val="single"/>
        </w:rPr>
        <w:t>The Agreements</w:t>
      </w:r>
      <w:r w:rsidRPr="00941BC9">
        <w:rPr>
          <w:rFonts w:ascii="Palatino Linotype" w:hAnsi="Palatino Linotype" w:cs="ArialMT"/>
          <w:sz w:val="24"/>
          <w:szCs w:val="24"/>
          <w:u w:val="single"/>
        </w:rPr>
        <w:t xml:space="preserve">’ </w:t>
      </w:r>
      <w:r w:rsidRPr="00941BC9">
        <w:rPr>
          <w:rFonts w:ascii="Palatino Linotype" w:hAnsi="Palatino Linotype" w:cs="Arial"/>
          <w:sz w:val="24"/>
          <w:szCs w:val="24"/>
          <w:u w:val="single"/>
        </w:rPr>
        <w:t>costs</w:t>
      </w:r>
      <w:r w:rsidRPr="00941BC9" w:rsidR="0004231A">
        <w:rPr>
          <w:rFonts w:ascii="Palatino Linotype" w:hAnsi="Palatino Linotype" w:cs="Arial"/>
          <w:sz w:val="24"/>
          <w:szCs w:val="24"/>
          <w:u w:val="single"/>
        </w:rPr>
        <w:t xml:space="preserve"> </w:t>
      </w:r>
      <w:r w:rsidRPr="00941BC9">
        <w:rPr>
          <w:rFonts w:ascii="Palatino Linotype" w:hAnsi="Palatino Linotype" w:cs="Arial"/>
          <w:sz w:val="24"/>
          <w:szCs w:val="24"/>
          <w:u w:val="single"/>
        </w:rPr>
        <w:t>recovered through the PCIA shall be net of any CAISO charges and market revenues,</w:t>
      </w:r>
      <w:r w:rsidRPr="00941BC9" w:rsidR="0004231A">
        <w:rPr>
          <w:rFonts w:ascii="Palatino Linotype" w:hAnsi="Palatino Linotype" w:cs="Arial"/>
          <w:sz w:val="24"/>
          <w:szCs w:val="24"/>
          <w:u w:val="single"/>
        </w:rPr>
        <w:t xml:space="preserve"> </w:t>
      </w:r>
      <w:r w:rsidRPr="00941BC9">
        <w:rPr>
          <w:rFonts w:ascii="Palatino Linotype" w:hAnsi="Palatino Linotype" w:cs="Arial"/>
          <w:sz w:val="24"/>
          <w:szCs w:val="24"/>
          <w:u w:val="single"/>
        </w:rPr>
        <w:t>and net of any RA capacity value and RPS attribute value retained for bundled service</w:t>
      </w:r>
      <w:r w:rsidRPr="00941BC9" w:rsidR="0004231A">
        <w:rPr>
          <w:rFonts w:ascii="Palatino Linotype" w:hAnsi="Palatino Linotype" w:cs="Arial"/>
          <w:sz w:val="24"/>
          <w:szCs w:val="24"/>
          <w:u w:val="single"/>
        </w:rPr>
        <w:t xml:space="preserve"> </w:t>
      </w:r>
      <w:r w:rsidRPr="00941BC9">
        <w:rPr>
          <w:rFonts w:ascii="Palatino Linotype" w:hAnsi="Palatino Linotype" w:cs="Arial"/>
          <w:sz w:val="24"/>
          <w:szCs w:val="24"/>
          <w:u w:val="single"/>
        </w:rPr>
        <w:t>customers</w:t>
      </w:r>
      <w:r w:rsidRPr="00941BC9">
        <w:rPr>
          <w:rFonts w:ascii="Palatino Linotype" w:hAnsi="Palatino Linotype" w:cs="Arial"/>
          <w:sz w:val="24"/>
          <w:szCs w:val="24"/>
        </w:rPr>
        <w:t>.</w:t>
      </w:r>
    </w:p>
    <w:p w:rsidRPr="00941BC9" w:rsidR="007830CC" w:rsidP="00D552D7" w:rsidRDefault="007830CC" w14:paraId="5618EB10" w14:textId="77777777">
      <w:pPr>
        <w:pStyle w:val="Heading1"/>
        <w:spacing w:after="120"/>
        <w:rPr>
          <w:rFonts w:ascii="Palatino Linotype" w:hAnsi="Palatino Linotype"/>
          <w:caps w:val="0"/>
          <w:sz w:val="24"/>
          <w:szCs w:val="24"/>
          <w:u w:val="none"/>
        </w:rPr>
      </w:pPr>
      <w:r w:rsidRPr="00941BC9">
        <w:rPr>
          <w:rFonts w:ascii="Palatino Linotype" w:hAnsi="Palatino Linotype"/>
          <w:caps w:val="0"/>
          <w:sz w:val="24"/>
          <w:szCs w:val="24"/>
          <w:u w:val="none"/>
        </w:rPr>
        <w:t>Confidential Information</w:t>
      </w:r>
    </w:p>
    <w:p w:rsidRPr="00941BC9" w:rsidR="007830CC" w:rsidP="007830CC" w:rsidRDefault="007830CC" w14:paraId="14FEA326" w14:textId="77777777">
      <w:pPr>
        <w:rPr>
          <w:rFonts w:ascii="Palatino Linotype" w:hAnsi="Palatino Linotype"/>
          <w:sz w:val="24"/>
          <w:szCs w:val="24"/>
        </w:rPr>
      </w:pPr>
      <w:r w:rsidRPr="00941BC9">
        <w:rPr>
          <w:rFonts w:ascii="Palatino Linotype" w:hAnsi="Palatino Linotype"/>
          <w:sz w:val="24"/>
          <w:szCs w:val="24"/>
        </w:rPr>
        <w:t xml:space="preserve">The Commission, through the implementation of Pub. Util. Code § 454.5(g), has determined in D.06-06-066, as modified by D.07-05-032 and D.21-11-029, that certain material submitted to the Commission </w:t>
      </w:r>
      <w:proofErr w:type="gramStart"/>
      <w:r w:rsidRPr="00941BC9">
        <w:rPr>
          <w:rFonts w:ascii="Palatino Linotype" w:hAnsi="Palatino Linotype"/>
          <w:sz w:val="24"/>
          <w:szCs w:val="24"/>
        </w:rPr>
        <w:t>as</w:t>
      </w:r>
      <w:proofErr w:type="gramEnd"/>
      <w:r w:rsidRPr="00941BC9">
        <w:rPr>
          <w:rFonts w:ascii="Palatino Linotype" w:hAnsi="Palatino Linotype"/>
          <w:sz w:val="24"/>
          <w:szCs w:val="24"/>
        </w:rPr>
        <w:t xml:space="preserve"> confidential should be kept confidential to ensure that market sensitive data does not influence the behavior of bidders in future RPS solicitations. D.06-06-066, as modified, adopted a time limit on the confidentiality of specific terms in RPS contracts.  Such information, such as price, may be kept confidential until 30 days after the commercial operation date/energy delivery start date or eighteen months from the date of Commission approval, whichever comes first or one year after contract termination, except contracts between IOUs and their affiliates, which are public. </w:t>
      </w:r>
    </w:p>
    <w:p w:rsidRPr="00941BC9" w:rsidR="002935FF" w:rsidP="002935FF" w:rsidRDefault="002935FF" w14:paraId="3C1A8004" w14:textId="77777777">
      <w:pPr>
        <w:rPr>
          <w:rFonts w:ascii="Palatino Linotype" w:hAnsi="Palatino Linotype"/>
          <w:sz w:val="24"/>
          <w:szCs w:val="24"/>
        </w:rPr>
      </w:pPr>
      <w:r w:rsidRPr="00941BC9">
        <w:rPr>
          <w:rFonts w:ascii="Palatino Linotype" w:hAnsi="Palatino Linotype"/>
          <w:sz w:val="24"/>
          <w:szCs w:val="24"/>
        </w:rPr>
        <w:t>The confidential appendices marked "[REDACTED]" in the public copy of this resolution, as well as the confidential portions of the advice letter, should remain confidential at this time.</w:t>
      </w:r>
    </w:p>
    <w:p w:rsidRPr="00941BC9" w:rsidR="00CF17DE" w:rsidRDefault="00CF17DE" w14:paraId="16A82360" w14:textId="77777777">
      <w:pPr>
        <w:pStyle w:val="Heading1"/>
        <w:rPr>
          <w:rFonts w:ascii="Palatino Linotype" w:hAnsi="Palatino Linotype"/>
          <w:sz w:val="24"/>
          <w:szCs w:val="24"/>
        </w:rPr>
      </w:pPr>
      <w:r w:rsidRPr="00941BC9">
        <w:rPr>
          <w:rFonts w:ascii="Palatino Linotype" w:hAnsi="Palatino Linotype"/>
          <w:sz w:val="24"/>
          <w:szCs w:val="24"/>
        </w:rPr>
        <w:lastRenderedPageBreak/>
        <w:t>Comments</w:t>
      </w:r>
    </w:p>
    <w:p w:rsidRPr="00941BC9" w:rsidR="00B63077" w:rsidP="00FC1428" w:rsidRDefault="00B63077" w14:paraId="5138A95F" w14:textId="339AF4E9">
      <w:pPr>
        <w:autoSpaceDE w:val="0"/>
        <w:autoSpaceDN w:val="0"/>
        <w:adjustRightInd w:val="0"/>
        <w:rPr>
          <w:rFonts w:ascii="Palatino Linotype" w:hAnsi="Palatino Linotype" w:cs="Arial"/>
          <w:sz w:val="24"/>
          <w:szCs w:val="24"/>
        </w:rPr>
      </w:pPr>
      <w:r w:rsidRPr="00941BC9">
        <w:rPr>
          <w:rFonts w:ascii="Palatino Linotype" w:hAnsi="Palatino Linotype" w:cs="Arial"/>
          <w:sz w:val="24"/>
          <w:szCs w:val="24"/>
        </w:rPr>
        <w:t xml:space="preserve">This is an uncontested matter in which the resolution grants the relief requested.  Accordingly, pursuant to PU Code 311(g)(2), the otherwise applicable </w:t>
      </w:r>
      <w:r w:rsidR="00EA2588">
        <w:rPr>
          <w:rFonts w:ascii="Palatino Linotype" w:hAnsi="Palatino Linotype" w:cs="Arial"/>
          <w:sz w:val="24"/>
          <w:szCs w:val="24"/>
        </w:rPr>
        <w:br/>
      </w:r>
      <w:r w:rsidRPr="00941BC9">
        <w:rPr>
          <w:rFonts w:ascii="Palatino Linotype" w:hAnsi="Palatino Linotype" w:cs="Arial"/>
          <w:sz w:val="24"/>
          <w:szCs w:val="24"/>
        </w:rPr>
        <w:t>30-day period for public review and comment is being waived.</w:t>
      </w:r>
    </w:p>
    <w:p w:rsidRPr="00941BC9" w:rsidR="00FC1428" w:rsidP="00FC1428" w:rsidRDefault="00FC1428" w14:paraId="463BA38C" w14:textId="379E040C">
      <w:pPr>
        <w:autoSpaceDE w:val="0"/>
        <w:autoSpaceDN w:val="0"/>
        <w:adjustRightInd w:val="0"/>
        <w:rPr>
          <w:rFonts w:ascii="Palatino Linotype" w:hAnsi="Palatino Linotype" w:cs="Arial"/>
          <w:sz w:val="24"/>
          <w:szCs w:val="24"/>
        </w:rPr>
      </w:pPr>
    </w:p>
    <w:p w:rsidRPr="00941BC9" w:rsidR="00CF17DE" w:rsidP="00113D70" w:rsidRDefault="00CF17DE" w14:paraId="07618DBE" w14:textId="6339339E">
      <w:pPr>
        <w:pStyle w:val="Heading1"/>
        <w:rPr>
          <w:rFonts w:ascii="Palatino Linotype" w:hAnsi="Palatino Linotype"/>
          <w:sz w:val="24"/>
          <w:szCs w:val="24"/>
        </w:rPr>
      </w:pPr>
      <w:r w:rsidRPr="00941BC9">
        <w:rPr>
          <w:rFonts w:ascii="Palatino Linotype" w:hAnsi="Palatino Linotype"/>
          <w:sz w:val="24"/>
          <w:szCs w:val="24"/>
        </w:rPr>
        <w:t>Findings</w:t>
      </w:r>
      <w:r w:rsidR="00941BC9">
        <w:rPr>
          <w:rFonts w:ascii="Palatino Linotype" w:hAnsi="Palatino Linotype"/>
          <w:sz w:val="24"/>
          <w:szCs w:val="24"/>
        </w:rPr>
        <w:t xml:space="preserve"> AND CONCLUSIONS</w:t>
      </w:r>
    </w:p>
    <w:p w:rsidRPr="00941BC9" w:rsidR="00D5433F" w:rsidP="004E40FC" w:rsidRDefault="00D5433F" w14:paraId="53A19ECE" w14:textId="041F18C6">
      <w:pPr>
        <w:pStyle w:val="ListParagraph"/>
        <w:numPr>
          <w:ilvl w:val="0"/>
          <w:numId w:val="25"/>
        </w:numPr>
        <w:spacing w:before="240"/>
        <w:ind w:left="360"/>
        <w:contextualSpacing w:val="0"/>
        <w:rPr>
          <w:rFonts w:ascii="Palatino Linotype" w:hAnsi="Palatino Linotype"/>
          <w:sz w:val="24"/>
          <w:szCs w:val="24"/>
        </w:rPr>
      </w:pPr>
      <w:r w:rsidRPr="00941BC9">
        <w:rPr>
          <w:rFonts w:ascii="Palatino Linotype" w:hAnsi="Palatino Linotype"/>
          <w:sz w:val="24"/>
          <w:szCs w:val="24"/>
        </w:rPr>
        <w:t xml:space="preserve">By </w:t>
      </w:r>
      <w:r w:rsidRPr="00941BC9" w:rsidR="006D580F">
        <w:rPr>
          <w:rFonts w:ascii="Palatino Linotype" w:hAnsi="Palatino Linotype"/>
          <w:sz w:val="24"/>
          <w:szCs w:val="24"/>
        </w:rPr>
        <w:t xml:space="preserve">AL </w:t>
      </w:r>
      <w:r w:rsidRPr="00941BC9">
        <w:rPr>
          <w:rFonts w:ascii="Palatino Linotype" w:hAnsi="Palatino Linotype"/>
          <w:sz w:val="24"/>
          <w:szCs w:val="24"/>
        </w:rPr>
        <w:t xml:space="preserve">7299-E, filed on June 18, 2024, PG&amp;E has submitted for approval two </w:t>
      </w:r>
      <w:r w:rsidRPr="00941BC9" w:rsidR="00781AE2">
        <w:rPr>
          <w:rFonts w:ascii="Palatino Linotype" w:hAnsi="Palatino Linotype"/>
          <w:sz w:val="24"/>
          <w:szCs w:val="24"/>
        </w:rPr>
        <w:t>power purchase agreements</w:t>
      </w:r>
      <w:r w:rsidRPr="00941BC9">
        <w:rPr>
          <w:rFonts w:ascii="Palatino Linotype" w:hAnsi="Palatino Linotype"/>
          <w:sz w:val="24"/>
          <w:szCs w:val="24"/>
        </w:rPr>
        <w:t xml:space="preserve"> that are intended to partially meet PG&amp;E’s D.21-06-035 and D.23-02-040 requirements.</w:t>
      </w:r>
    </w:p>
    <w:p w:rsidRPr="00941BC9" w:rsidR="00FA39AC" w:rsidP="004E40FC" w:rsidRDefault="00FA39AC" w14:paraId="14929915" w14:textId="62C724BA">
      <w:pPr>
        <w:pStyle w:val="ListParagraph"/>
        <w:numPr>
          <w:ilvl w:val="0"/>
          <w:numId w:val="25"/>
        </w:numPr>
        <w:spacing w:before="240"/>
        <w:ind w:left="360"/>
        <w:contextualSpacing w:val="0"/>
        <w:rPr>
          <w:rFonts w:ascii="Palatino Linotype" w:hAnsi="Palatino Linotype"/>
          <w:sz w:val="24"/>
          <w:szCs w:val="24"/>
        </w:rPr>
      </w:pPr>
      <w:bookmarkStart w:name="_Hlk175821976" w:id="7"/>
      <w:r w:rsidRPr="00941BC9">
        <w:rPr>
          <w:rFonts w:ascii="Palatino Linotype" w:hAnsi="Palatino Linotype"/>
          <w:sz w:val="24"/>
          <w:szCs w:val="24"/>
        </w:rPr>
        <w:t xml:space="preserve">The resources secured by each </w:t>
      </w:r>
      <w:r w:rsidRPr="00941BC9" w:rsidR="009547C8">
        <w:rPr>
          <w:rFonts w:ascii="Palatino Linotype" w:hAnsi="Palatino Linotype"/>
          <w:sz w:val="24"/>
          <w:szCs w:val="24"/>
        </w:rPr>
        <w:t>Arlington</w:t>
      </w:r>
      <w:r w:rsidRPr="00941BC9" w:rsidR="0073472C">
        <w:rPr>
          <w:rFonts w:ascii="Palatino Linotype" w:hAnsi="Palatino Linotype"/>
          <w:sz w:val="24"/>
          <w:szCs w:val="24"/>
        </w:rPr>
        <w:t xml:space="preserve"> Project and Atlas South Project </w:t>
      </w:r>
      <w:r w:rsidRPr="00941BC9" w:rsidR="009547C8">
        <w:rPr>
          <w:rFonts w:ascii="Palatino Linotype" w:hAnsi="Palatino Linotype"/>
          <w:sz w:val="24"/>
          <w:szCs w:val="24"/>
        </w:rPr>
        <w:t xml:space="preserve">agreements (Agreements) </w:t>
      </w:r>
      <w:r w:rsidRPr="00941BC9">
        <w:rPr>
          <w:rFonts w:ascii="Palatino Linotype" w:hAnsi="Palatino Linotype"/>
          <w:sz w:val="24"/>
          <w:szCs w:val="24"/>
        </w:rPr>
        <w:t>presented in Advice</w:t>
      </w:r>
      <w:r w:rsidRPr="00941BC9" w:rsidR="00D5433F">
        <w:rPr>
          <w:rFonts w:ascii="Palatino Linotype" w:hAnsi="Palatino Linotype"/>
          <w:sz w:val="24"/>
          <w:szCs w:val="24"/>
        </w:rPr>
        <w:t xml:space="preserve"> </w:t>
      </w:r>
      <w:r w:rsidRPr="00941BC9">
        <w:rPr>
          <w:rFonts w:ascii="Palatino Linotype" w:hAnsi="Palatino Linotype"/>
          <w:sz w:val="24"/>
          <w:szCs w:val="24"/>
        </w:rPr>
        <w:t>Letter 7299-</w:t>
      </w:r>
      <w:r w:rsidRPr="00941BC9" w:rsidR="007E1A3F">
        <w:rPr>
          <w:rFonts w:ascii="Palatino Linotype" w:hAnsi="Palatino Linotype"/>
          <w:sz w:val="24"/>
          <w:szCs w:val="24"/>
        </w:rPr>
        <w:t xml:space="preserve">E </w:t>
      </w:r>
      <w:r w:rsidRPr="00941BC9" w:rsidR="00862824">
        <w:rPr>
          <w:rFonts w:ascii="Palatino Linotype" w:hAnsi="Palatino Linotype"/>
          <w:sz w:val="24"/>
          <w:szCs w:val="24"/>
        </w:rPr>
        <w:t>appear</w:t>
      </w:r>
      <w:r w:rsidRPr="00941BC9" w:rsidR="00F6224E">
        <w:rPr>
          <w:rFonts w:ascii="Palatino Linotype" w:hAnsi="Palatino Linotype"/>
          <w:sz w:val="24"/>
          <w:szCs w:val="24"/>
        </w:rPr>
        <w:t xml:space="preserve"> consistent with</w:t>
      </w:r>
      <w:r w:rsidRPr="00941BC9" w:rsidR="00D13D84">
        <w:rPr>
          <w:rFonts w:ascii="Palatino Linotype" w:hAnsi="Palatino Linotype"/>
          <w:sz w:val="24"/>
          <w:szCs w:val="24"/>
        </w:rPr>
        <w:t xml:space="preserve"> </w:t>
      </w:r>
      <w:r w:rsidRPr="00941BC9">
        <w:rPr>
          <w:rFonts w:ascii="Palatino Linotype" w:hAnsi="Palatino Linotype"/>
          <w:sz w:val="24"/>
          <w:szCs w:val="24"/>
        </w:rPr>
        <w:t>the general procurement category requirement</w:t>
      </w:r>
      <w:r w:rsidRPr="00941BC9" w:rsidR="007E1A3F">
        <w:rPr>
          <w:rFonts w:ascii="Palatino Linotype" w:hAnsi="Palatino Linotype"/>
          <w:sz w:val="24"/>
          <w:szCs w:val="24"/>
        </w:rPr>
        <w:t>s</w:t>
      </w:r>
      <w:r w:rsidRPr="00941BC9">
        <w:rPr>
          <w:rFonts w:ascii="Palatino Linotype" w:hAnsi="Palatino Linotype"/>
          <w:sz w:val="24"/>
          <w:szCs w:val="24"/>
        </w:rPr>
        <w:t xml:space="preserve"> of D.21-06-035 and D.23-02-040 and are</w:t>
      </w:r>
      <w:r w:rsidRPr="00941BC9" w:rsidR="00D5433F">
        <w:rPr>
          <w:rFonts w:ascii="Palatino Linotype" w:hAnsi="Palatino Linotype"/>
          <w:sz w:val="24"/>
          <w:szCs w:val="24"/>
        </w:rPr>
        <w:t xml:space="preserve"> </w:t>
      </w:r>
      <w:r w:rsidRPr="00941BC9" w:rsidR="00C21576">
        <w:rPr>
          <w:rFonts w:ascii="Palatino Linotype" w:hAnsi="Palatino Linotype"/>
          <w:sz w:val="24"/>
          <w:szCs w:val="24"/>
        </w:rPr>
        <w:t xml:space="preserve">identified as </w:t>
      </w:r>
      <w:r w:rsidRPr="00941BC9">
        <w:rPr>
          <w:rFonts w:ascii="Palatino Linotype" w:hAnsi="Palatino Linotype"/>
          <w:sz w:val="24"/>
          <w:szCs w:val="24"/>
        </w:rPr>
        <w:t xml:space="preserve">incremental to the </w:t>
      </w:r>
      <w:r w:rsidRPr="00941BC9" w:rsidR="00C21576">
        <w:rPr>
          <w:rFonts w:ascii="Palatino Linotype" w:hAnsi="Palatino Linotype"/>
          <w:sz w:val="24"/>
          <w:szCs w:val="24"/>
        </w:rPr>
        <w:t xml:space="preserve">established </w:t>
      </w:r>
      <w:r w:rsidRPr="00941BC9">
        <w:rPr>
          <w:rFonts w:ascii="Palatino Linotype" w:hAnsi="Palatino Linotype"/>
          <w:sz w:val="24"/>
          <w:szCs w:val="24"/>
        </w:rPr>
        <w:t>baseline</w:t>
      </w:r>
      <w:r w:rsidRPr="00941BC9" w:rsidR="00C21576">
        <w:rPr>
          <w:rFonts w:ascii="Palatino Linotype" w:hAnsi="Palatino Linotype"/>
          <w:sz w:val="24"/>
          <w:szCs w:val="24"/>
        </w:rPr>
        <w:t>, as required by the orders</w:t>
      </w:r>
      <w:r w:rsidRPr="00941BC9">
        <w:rPr>
          <w:rFonts w:ascii="Palatino Linotype" w:hAnsi="Palatino Linotype"/>
          <w:sz w:val="24"/>
          <w:szCs w:val="24"/>
        </w:rPr>
        <w:t>.</w:t>
      </w:r>
      <w:r w:rsidRPr="00941BC9" w:rsidR="00C21576">
        <w:rPr>
          <w:rFonts w:ascii="Palatino Linotype" w:hAnsi="Palatino Linotype"/>
          <w:sz w:val="24"/>
          <w:szCs w:val="24"/>
        </w:rPr>
        <w:t xml:space="preserve"> This finding does not definitively determine compliance with PG&amp;E’s IRP MTR Compliance obligations, which will be reviewed via IRP MTR compliance review filings.</w:t>
      </w:r>
    </w:p>
    <w:p w:rsidRPr="00941BC9" w:rsidR="00C04F7B" w:rsidP="004E40FC" w:rsidRDefault="00C04F7B" w14:paraId="2DF84084" w14:textId="77777777">
      <w:pPr>
        <w:pStyle w:val="ListParagraph"/>
        <w:numPr>
          <w:ilvl w:val="0"/>
          <w:numId w:val="25"/>
        </w:numPr>
        <w:spacing w:before="240"/>
        <w:ind w:left="360"/>
        <w:contextualSpacing w:val="0"/>
        <w:rPr>
          <w:rFonts w:ascii="Palatino Linotype" w:hAnsi="Palatino Linotype"/>
          <w:sz w:val="24"/>
          <w:szCs w:val="24"/>
        </w:rPr>
      </w:pPr>
      <w:r w:rsidRPr="00941BC9">
        <w:rPr>
          <w:rFonts w:ascii="Palatino Linotype" w:hAnsi="Palatino Linotype"/>
          <w:sz w:val="24"/>
          <w:szCs w:val="24"/>
        </w:rPr>
        <w:t>Each Agreement is consistent with PG&amp;E’s 2023 RPS Procurement Plan.</w:t>
      </w:r>
    </w:p>
    <w:p w:rsidRPr="00941BC9" w:rsidR="003B11D1" w:rsidP="004E40FC" w:rsidRDefault="003B11D1" w14:paraId="5B3BD0A5" w14:textId="7F4AD545">
      <w:pPr>
        <w:pStyle w:val="ListParagraph"/>
        <w:numPr>
          <w:ilvl w:val="0"/>
          <w:numId w:val="25"/>
        </w:numPr>
        <w:spacing w:before="240"/>
        <w:ind w:left="360"/>
        <w:contextualSpacing w:val="0"/>
        <w:rPr>
          <w:rFonts w:ascii="Palatino Linotype" w:hAnsi="Palatino Linotype"/>
          <w:sz w:val="24"/>
          <w:szCs w:val="24"/>
        </w:rPr>
      </w:pPr>
      <w:r w:rsidRPr="00941BC9">
        <w:rPr>
          <w:rFonts w:ascii="Palatino Linotype" w:hAnsi="Palatino Linotype"/>
          <w:sz w:val="24"/>
          <w:szCs w:val="24"/>
        </w:rPr>
        <w:t xml:space="preserve">PG&amp;E’s methodology and evaluation of its </w:t>
      </w:r>
      <w:r w:rsidRPr="00941BC9" w:rsidR="00884C78">
        <w:rPr>
          <w:rFonts w:ascii="Palatino Linotype" w:hAnsi="Palatino Linotype"/>
          <w:sz w:val="24"/>
          <w:szCs w:val="24"/>
        </w:rPr>
        <w:t xml:space="preserve">MTR </w:t>
      </w:r>
      <w:r w:rsidRPr="00941BC9" w:rsidR="008C3DDC">
        <w:rPr>
          <w:rFonts w:ascii="Palatino Linotype" w:hAnsi="Palatino Linotype"/>
          <w:sz w:val="24"/>
          <w:szCs w:val="24"/>
        </w:rPr>
        <w:t xml:space="preserve">RFO </w:t>
      </w:r>
      <w:r w:rsidRPr="00941BC9" w:rsidR="00884C78">
        <w:rPr>
          <w:rFonts w:ascii="Palatino Linotype" w:hAnsi="Palatino Linotype"/>
          <w:sz w:val="24"/>
          <w:szCs w:val="24"/>
        </w:rPr>
        <w:t xml:space="preserve">– Phase 3 solicitation </w:t>
      </w:r>
      <w:r w:rsidRPr="00941BC9" w:rsidR="00884C78">
        <w:rPr>
          <w:rFonts w:ascii="Palatino Linotype" w:hAnsi="Palatino Linotype" w:cs="CIDFont+F7"/>
          <w:sz w:val="24"/>
          <w:szCs w:val="24"/>
        </w:rPr>
        <w:t>is consistent with Least-Cost, Best-Fit principles</w:t>
      </w:r>
      <w:r w:rsidRPr="00941BC9" w:rsidR="003E5251">
        <w:rPr>
          <w:rFonts w:ascii="Palatino Linotype" w:hAnsi="Palatino Linotype" w:cs="CIDFont+F7"/>
          <w:sz w:val="24"/>
          <w:szCs w:val="24"/>
        </w:rPr>
        <w:t xml:space="preserve"> </w:t>
      </w:r>
      <w:r w:rsidRPr="00941BC9" w:rsidR="00FD118E">
        <w:rPr>
          <w:rFonts w:ascii="Palatino Linotype" w:hAnsi="Palatino Linotype" w:cs="CIDFont+F7"/>
          <w:sz w:val="24"/>
          <w:szCs w:val="24"/>
        </w:rPr>
        <w:t>a</w:t>
      </w:r>
      <w:r w:rsidRPr="00941BC9" w:rsidR="003E5251">
        <w:rPr>
          <w:rFonts w:ascii="Palatino Linotype" w:hAnsi="Palatino Linotype" w:cs="CIDFont+F7"/>
          <w:sz w:val="24"/>
          <w:szCs w:val="24"/>
        </w:rPr>
        <w:t xml:space="preserve">nd the </w:t>
      </w:r>
      <w:r w:rsidRPr="00941BC9" w:rsidR="00FD118E">
        <w:rPr>
          <w:rFonts w:ascii="Palatino Linotype" w:hAnsi="Palatino Linotype" w:cs="CIDFont+F7"/>
          <w:sz w:val="24"/>
          <w:szCs w:val="24"/>
        </w:rPr>
        <w:t>Agreement</w:t>
      </w:r>
      <w:r w:rsidRPr="00941BC9" w:rsidR="003E5251">
        <w:rPr>
          <w:rFonts w:ascii="Palatino Linotype" w:hAnsi="Palatino Linotype" w:cs="CIDFont+F7"/>
          <w:sz w:val="24"/>
          <w:szCs w:val="24"/>
        </w:rPr>
        <w:t xml:space="preserve"> costs are reasonable based on the robust competitive solicitation and bid evaluation methodology</w:t>
      </w:r>
      <w:r w:rsidRPr="00941BC9" w:rsidR="00FD118E">
        <w:rPr>
          <w:rFonts w:ascii="Palatino Linotype" w:hAnsi="Palatino Linotype" w:cs="CIDFont+F7"/>
          <w:sz w:val="24"/>
          <w:szCs w:val="24"/>
        </w:rPr>
        <w:t>.</w:t>
      </w:r>
    </w:p>
    <w:p w:rsidRPr="00941BC9" w:rsidR="00CE15E8" w:rsidP="004E40FC" w:rsidRDefault="00CE15E8" w14:paraId="4738359B" w14:textId="6AE48128">
      <w:pPr>
        <w:pStyle w:val="ListParagraph"/>
        <w:numPr>
          <w:ilvl w:val="0"/>
          <w:numId w:val="25"/>
        </w:numPr>
        <w:spacing w:before="240"/>
        <w:ind w:left="360"/>
        <w:contextualSpacing w:val="0"/>
        <w:rPr>
          <w:rFonts w:ascii="Palatino Linotype" w:hAnsi="Palatino Linotype"/>
          <w:sz w:val="24"/>
          <w:szCs w:val="24"/>
        </w:rPr>
      </w:pPr>
      <w:r w:rsidRPr="00941BC9">
        <w:rPr>
          <w:rFonts w:ascii="Palatino Linotype" w:hAnsi="Palatino Linotype"/>
          <w:sz w:val="24"/>
          <w:szCs w:val="24"/>
        </w:rPr>
        <w:t>Consistent with D.04-12-048 and D.06-05-039, an IE oversaw PG&amp;E’s MTR solicitation and negotiations of the Agreements.</w:t>
      </w:r>
    </w:p>
    <w:p w:rsidRPr="00941BC9" w:rsidR="00426667" w:rsidP="004E40FC" w:rsidRDefault="00426667" w14:paraId="771CF30D" w14:textId="77777777">
      <w:pPr>
        <w:pStyle w:val="ListParagraph"/>
        <w:numPr>
          <w:ilvl w:val="0"/>
          <w:numId w:val="25"/>
        </w:numPr>
        <w:spacing w:before="240"/>
        <w:ind w:left="360"/>
        <w:contextualSpacing w:val="0"/>
        <w:rPr>
          <w:rFonts w:ascii="Palatino Linotype" w:hAnsi="Palatino Linotype"/>
          <w:sz w:val="24"/>
          <w:szCs w:val="24"/>
        </w:rPr>
      </w:pPr>
      <w:r w:rsidRPr="00941BC9">
        <w:rPr>
          <w:rFonts w:ascii="Palatino Linotype" w:hAnsi="Palatino Linotype"/>
          <w:sz w:val="24"/>
          <w:szCs w:val="24"/>
        </w:rPr>
        <w:t>Pursuant to D.02-08-071 PG&amp;E’s Procurement Review Group participated in the review of the MTR contracts.</w:t>
      </w:r>
    </w:p>
    <w:p w:rsidRPr="00941BC9" w:rsidR="000332AE" w:rsidP="004E40FC" w:rsidRDefault="000332AE" w14:paraId="4F3D2EB3" w14:textId="77777777">
      <w:pPr>
        <w:pStyle w:val="ListParagraph"/>
        <w:numPr>
          <w:ilvl w:val="0"/>
          <w:numId w:val="25"/>
        </w:numPr>
        <w:spacing w:before="240"/>
        <w:ind w:left="360"/>
        <w:contextualSpacing w:val="0"/>
        <w:rPr>
          <w:rFonts w:ascii="Palatino Linotype" w:hAnsi="Palatino Linotype"/>
          <w:sz w:val="24"/>
          <w:szCs w:val="24"/>
        </w:rPr>
      </w:pPr>
      <w:r w:rsidRPr="00941BC9">
        <w:rPr>
          <w:rFonts w:ascii="Palatino Linotype" w:hAnsi="Palatino Linotype"/>
          <w:sz w:val="24"/>
          <w:szCs w:val="24"/>
        </w:rPr>
        <w:t>The Agreements include the Commission adopted RPS “non-modifiable” standard terms and conditions, as set forth in D.08-04-009, D.08-08-028, D.10-03- 021, as modified by D.11-01-025, and D.13-11-024.</w:t>
      </w:r>
    </w:p>
    <w:p w:rsidRPr="00941BC9" w:rsidR="00043EFB" w:rsidP="00043EFB" w:rsidRDefault="000332AE" w14:paraId="5A08974F" w14:textId="1A77CB6F">
      <w:pPr>
        <w:pStyle w:val="ListParagraph"/>
        <w:numPr>
          <w:ilvl w:val="0"/>
          <w:numId w:val="25"/>
        </w:numPr>
        <w:spacing w:before="240"/>
        <w:ind w:left="360"/>
        <w:contextualSpacing w:val="0"/>
        <w:rPr>
          <w:rFonts w:ascii="Palatino Linotype" w:hAnsi="Palatino Linotype"/>
          <w:b/>
          <w:sz w:val="24"/>
          <w:szCs w:val="24"/>
        </w:rPr>
      </w:pPr>
      <w:r w:rsidRPr="00941BC9">
        <w:rPr>
          <w:rFonts w:ascii="Palatino Linotype" w:hAnsi="Palatino Linotype"/>
          <w:sz w:val="24"/>
          <w:szCs w:val="24"/>
        </w:rPr>
        <w:t xml:space="preserve">Consistent with D.11-12-052, </w:t>
      </w:r>
      <w:r w:rsidRPr="00941BC9" w:rsidR="0001623D">
        <w:rPr>
          <w:rFonts w:ascii="Palatino Linotype" w:hAnsi="Palatino Linotype"/>
          <w:sz w:val="24"/>
          <w:szCs w:val="24"/>
        </w:rPr>
        <w:t>PG</w:t>
      </w:r>
      <w:r w:rsidRPr="00941BC9">
        <w:rPr>
          <w:rFonts w:ascii="Palatino Linotype" w:hAnsi="Palatino Linotype"/>
          <w:sz w:val="24"/>
          <w:szCs w:val="24"/>
        </w:rPr>
        <w:t xml:space="preserve">&amp;E provided information in AL </w:t>
      </w:r>
      <w:r w:rsidRPr="00941BC9" w:rsidR="0001623D">
        <w:rPr>
          <w:rFonts w:ascii="Palatino Linotype" w:hAnsi="Palatino Linotype"/>
          <w:sz w:val="24"/>
          <w:szCs w:val="24"/>
        </w:rPr>
        <w:t>7299-E</w:t>
      </w:r>
      <w:r w:rsidRPr="00941BC9">
        <w:rPr>
          <w:rFonts w:ascii="Palatino Linotype" w:hAnsi="Palatino Linotype"/>
          <w:sz w:val="24"/>
          <w:szCs w:val="24"/>
        </w:rPr>
        <w:t xml:space="preserve"> regarding the expected portfolio content category classification of the renewable energy credits procured pursuant to the </w:t>
      </w:r>
      <w:r w:rsidRPr="00941BC9" w:rsidR="00525596">
        <w:rPr>
          <w:rFonts w:ascii="Palatino Linotype" w:hAnsi="Palatino Linotype"/>
          <w:sz w:val="24"/>
          <w:szCs w:val="24"/>
        </w:rPr>
        <w:t>Arlington and Atlas South</w:t>
      </w:r>
      <w:r w:rsidRPr="00941BC9">
        <w:rPr>
          <w:rFonts w:ascii="Palatino Linotype" w:hAnsi="Palatino Linotype"/>
          <w:sz w:val="24"/>
          <w:szCs w:val="24"/>
        </w:rPr>
        <w:t xml:space="preserve"> PPA</w:t>
      </w:r>
      <w:r w:rsidRPr="00941BC9" w:rsidR="00F67761">
        <w:rPr>
          <w:rFonts w:ascii="Palatino Linotype" w:hAnsi="Palatino Linotype"/>
          <w:sz w:val="24"/>
          <w:szCs w:val="24"/>
        </w:rPr>
        <w:t>s</w:t>
      </w:r>
      <w:r w:rsidRPr="00941BC9">
        <w:rPr>
          <w:rFonts w:ascii="Palatino Linotype" w:hAnsi="Palatino Linotype"/>
          <w:sz w:val="24"/>
          <w:szCs w:val="24"/>
        </w:rPr>
        <w:t>. </w:t>
      </w:r>
    </w:p>
    <w:p w:rsidRPr="00941BC9" w:rsidR="00A7430F" w:rsidP="00E7284E" w:rsidRDefault="00D833BC" w14:paraId="2EF362E2" w14:textId="053A7E72">
      <w:pPr>
        <w:pStyle w:val="ListParagraph"/>
        <w:numPr>
          <w:ilvl w:val="0"/>
          <w:numId w:val="25"/>
        </w:numPr>
        <w:spacing w:before="240"/>
        <w:ind w:left="360"/>
        <w:contextualSpacing w:val="0"/>
        <w:rPr>
          <w:rFonts w:ascii="Palatino Linotype" w:hAnsi="Palatino Linotype"/>
          <w:sz w:val="24"/>
          <w:szCs w:val="24"/>
        </w:rPr>
      </w:pPr>
      <w:r w:rsidRPr="00941BC9">
        <w:rPr>
          <w:rFonts w:ascii="Palatino Linotype" w:hAnsi="Palatino Linotype"/>
          <w:sz w:val="24"/>
          <w:szCs w:val="24"/>
        </w:rPr>
        <w:lastRenderedPageBreak/>
        <w:t xml:space="preserve">Because each MTR contract in PG&amp;E AL 7299-E is greater than ten years in length, RPS-eligible procurement pursuant to the contracts will contribute to </w:t>
      </w:r>
      <w:r w:rsidR="00EA2588">
        <w:rPr>
          <w:rFonts w:ascii="Palatino Linotype" w:hAnsi="Palatino Linotype"/>
          <w:sz w:val="24"/>
          <w:szCs w:val="24"/>
        </w:rPr>
        <w:br/>
      </w:r>
      <w:r w:rsidRPr="00941BC9">
        <w:rPr>
          <w:rFonts w:ascii="Palatino Linotype" w:hAnsi="Palatino Linotype"/>
          <w:sz w:val="24"/>
          <w:szCs w:val="24"/>
        </w:rPr>
        <w:t>PG&amp;E’s long-term cont</w:t>
      </w:r>
      <w:r w:rsidRPr="00941BC9" w:rsidR="001C2DEB">
        <w:rPr>
          <w:rFonts w:ascii="Palatino Linotype" w:hAnsi="Palatino Linotype"/>
          <w:sz w:val="24"/>
          <w:szCs w:val="24"/>
        </w:rPr>
        <w:t>r</w:t>
      </w:r>
      <w:r w:rsidRPr="00941BC9">
        <w:rPr>
          <w:rFonts w:ascii="Palatino Linotype" w:hAnsi="Palatino Linotype"/>
          <w:sz w:val="24"/>
          <w:szCs w:val="24"/>
        </w:rPr>
        <w:t>acting</w:t>
      </w:r>
      <w:r w:rsidRPr="00941BC9" w:rsidR="00457EDE">
        <w:rPr>
          <w:rFonts w:ascii="Palatino Linotype" w:hAnsi="Palatino Linotype"/>
          <w:sz w:val="24"/>
          <w:szCs w:val="24"/>
        </w:rPr>
        <w:t xml:space="preserve"> </w:t>
      </w:r>
      <w:r w:rsidRPr="00941BC9" w:rsidR="00C21576">
        <w:rPr>
          <w:rFonts w:ascii="Palatino Linotype" w:hAnsi="Palatino Linotype"/>
          <w:sz w:val="24"/>
          <w:szCs w:val="24"/>
        </w:rPr>
        <w:t xml:space="preserve">RPS </w:t>
      </w:r>
      <w:r w:rsidRPr="00941BC9" w:rsidR="00457EDE">
        <w:rPr>
          <w:rFonts w:ascii="Palatino Linotype" w:hAnsi="Palatino Linotype"/>
          <w:sz w:val="24"/>
          <w:szCs w:val="24"/>
        </w:rPr>
        <w:t>procurement</w:t>
      </w:r>
      <w:r w:rsidRPr="00941BC9">
        <w:rPr>
          <w:rFonts w:ascii="Palatino Linotype" w:hAnsi="Palatino Linotype"/>
          <w:sz w:val="24"/>
          <w:szCs w:val="24"/>
        </w:rPr>
        <w:t xml:space="preserve"> requirement established in </w:t>
      </w:r>
      <w:r w:rsidR="00EA2588">
        <w:rPr>
          <w:rFonts w:ascii="Palatino Linotype" w:hAnsi="Palatino Linotype"/>
          <w:sz w:val="24"/>
          <w:szCs w:val="24"/>
        </w:rPr>
        <w:br/>
      </w:r>
      <w:r w:rsidRPr="00941BC9">
        <w:rPr>
          <w:rFonts w:ascii="Palatino Linotype" w:hAnsi="Palatino Linotype"/>
          <w:sz w:val="24"/>
          <w:szCs w:val="24"/>
        </w:rPr>
        <w:t>D.17-06-26 beginning in Compliance Period 2025-2027</w:t>
      </w:r>
      <w:r w:rsidRPr="00941BC9" w:rsidR="004228D7">
        <w:rPr>
          <w:rFonts w:ascii="Palatino Linotype" w:hAnsi="Palatino Linotype"/>
          <w:sz w:val="24"/>
          <w:szCs w:val="24"/>
        </w:rPr>
        <w:t>.</w:t>
      </w:r>
    </w:p>
    <w:bookmarkEnd w:id="7"/>
    <w:p w:rsidRPr="00941BC9" w:rsidR="00D026E6" w:rsidDel="004B5E14" w:rsidP="004E40FC" w:rsidRDefault="00D026E6" w14:paraId="58AD902B" w14:textId="247E0D57">
      <w:pPr>
        <w:pStyle w:val="ListParagraph"/>
        <w:numPr>
          <w:ilvl w:val="0"/>
          <w:numId w:val="25"/>
        </w:numPr>
        <w:spacing w:before="240"/>
        <w:ind w:left="360"/>
        <w:contextualSpacing w:val="0"/>
        <w:rPr>
          <w:rFonts w:ascii="Palatino Linotype" w:hAnsi="Palatino Linotype"/>
          <w:sz w:val="24"/>
          <w:szCs w:val="24"/>
        </w:rPr>
      </w:pPr>
      <w:r w:rsidRPr="00941BC9" w:rsidDel="00C04F7B">
        <w:rPr>
          <w:rFonts w:ascii="Palatino Linotype" w:hAnsi="Palatino Linotype"/>
          <w:sz w:val="24"/>
          <w:szCs w:val="24"/>
        </w:rPr>
        <w:t>Procurement pursuant to the Agreements must be an eligible renewable energy resource certified by the California Energy Commission for purposes of determining Pacific Gas and Electric</w:t>
      </w:r>
      <w:r w:rsidRPr="00941BC9" w:rsidDel="00C04F7B" w:rsidR="006A0F8C">
        <w:rPr>
          <w:rFonts w:ascii="Palatino Linotype" w:hAnsi="Palatino Linotype"/>
          <w:sz w:val="24"/>
          <w:szCs w:val="24"/>
        </w:rPr>
        <w:t xml:space="preserve"> Company’s</w:t>
      </w:r>
      <w:r w:rsidRPr="00941BC9" w:rsidDel="00C04F7B">
        <w:rPr>
          <w:rFonts w:ascii="Palatino Linotype" w:hAnsi="Palatino Linotype"/>
          <w:sz w:val="24"/>
          <w:szCs w:val="24"/>
        </w:rPr>
        <w:t xml:space="preserve"> compliance with any obligation that it may have to procure eligible renewable energy resources pursuant to the California Renewables Portfolio Standard (Sections 399.11, et seq.), D.11-12-020 and </w:t>
      </w:r>
      <w:r w:rsidR="00941BC9">
        <w:rPr>
          <w:rFonts w:ascii="Palatino Linotype" w:hAnsi="Palatino Linotype"/>
          <w:sz w:val="24"/>
          <w:szCs w:val="24"/>
        </w:rPr>
        <w:br/>
      </w:r>
      <w:r w:rsidRPr="00941BC9" w:rsidDel="00C04F7B">
        <w:rPr>
          <w:rFonts w:ascii="Palatino Linotype" w:hAnsi="Palatino Linotype"/>
          <w:sz w:val="24"/>
          <w:szCs w:val="24"/>
        </w:rPr>
        <w:t xml:space="preserve">D.11-12-052, or other applicable law on or before the first delivery of energy. </w:t>
      </w:r>
    </w:p>
    <w:p w:rsidRPr="00941BC9" w:rsidR="00301017" w:rsidP="004E40FC" w:rsidRDefault="00D026E6" w14:paraId="36230A8E" w14:textId="34EED1EF">
      <w:pPr>
        <w:pStyle w:val="ListParagraph"/>
        <w:numPr>
          <w:ilvl w:val="0"/>
          <w:numId w:val="25"/>
        </w:numPr>
        <w:spacing w:before="240"/>
        <w:ind w:left="360"/>
        <w:contextualSpacing w:val="0"/>
        <w:rPr>
          <w:rFonts w:ascii="Palatino Linotype" w:hAnsi="Palatino Linotype"/>
          <w:sz w:val="24"/>
          <w:szCs w:val="24"/>
        </w:rPr>
      </w:pPr>
      <w:r w:rsidRPr="00941BC9" w:rsidDel="00C04F7B">
        <w:rPr>
          <w:rFonts w:ascii="Palatino Linotype" w:hAnsi="Palatino Linotype"/>
          <w:sz w:val="24"/>
          <w:szCs w:val="24"/>
        </w:rPr>
        <w:t>This above finding has never been intended, and shall not be read now, to allow the generation from a non-Renewables Portfolio Standard-eligible resource to count towards a Renewables Portfolio Standard compliance obligation absent California Energy Commission certification.  Nor shall such a finding absolve the seller of its obligation to obtain California Energy Commission certification, or the utility of its obligation to pursue remedies for breach of contract</w:t>
      </w:r>
      <w:r w:rsidRPr="00941BC9" w:rsidR="00301017">
        <w:rPr>
          <w:rFonts w:ascii="Palatino Linotype" w:hAnsi="Palatino Linotype"/>
          <w:sz w:val="24"/>
          <w:szCs w:val="24"/>
        </w:rPr>
        <w:t>. Each Agreement is not a form of covered procurement subject to the EPS,</w:t>
      </w:r>
      <w:r w:rsidRPr="00941BC9" w:rsidR="00A42665">
        <w:rPr>
          <w:rFonts w:ascii="Palatino Linotype" w:hAnsi="Palatino Linotype"/>
          <w:sz w:val="24"/>
          <w:szCs w:val="24"/>
        </w:rPr>
        <w:t xml:space="preserve"> </w:t>
      </w:r>
      <w:r w:rsidRPr="00941BC9" w:rsidR="00301017">
        <w:rPr>
          <w:rFonts w:ascii="Palatino Linotype" w:hAnsi="Palatino Linotype"/>
          <w:sz w:val="24"/>
          <w:szCs w:val="24"/>
        </w:rPr>
        <w:t>because the generating facility has an expected capacity factor of less than</w:t>
      </w:r>
      <w:r w:rsidRPr="00941BC9" w:rsidR="00D4724A">
        <w:rPr>
          <w:rFonts w:ascii="Palatino Linotype" w:hAnsi="Palatino Linotype"/>
          <w:sz w:val="24"/>
          <w:szCs w:val="24"/>
        </w:rPr>
        <w:t xml:space="preserve"> </w:t>
      </w:r>
      <w:r w:rsidRPr="00941BC9" w:rsidR="00301017">
        <w:rPr>
          <w:rFonts w:ascii="Palatino Linotype" w:hAnsi="Palatino Linotype"/>
          <w:sz w:val="24"/>
          <w:szCs w:val="24"/>
        </w:rPr>
        <w:t>60 percent and, therefore, is not baseload generation under paragraph</w:t>
      </w:r>
      <w:r w:rsidRPr="00941BC9" w:rsidR="006D580F">
        <w:rPr>
          <w:rFonts w:ascii="Palatino Linotype" w:hAnsi="Palatino Linotype"/>
          <w:sz w:val="24"/>
          <w:szCs w:val="24"/>
        </w:rPr>
        <w:t xml:space="preserve"> </w:t>
      </w:r>
      <w:r w:rsidRPr="00941BC9" w:rsidR="00301017">
        <w:rPr>
          <w:rFonts w:ascii="Palatino Linotype" w:hAnsi="Palatino Linotype"/>
          <w:sz w:val="24"/>
          <w:szCs w:val="24"/>
        </w:rPr>
        <w:t>1(a)(ii) and 3(2)(a) of the adopted Interim EPS Rules.</w:t>
      </w:r>
    </w:p>
    <w:p w:rsidRPr="00941BC9" w:rsidR="00FA39AC" w:rsidP="004E40FC" w:rsidRDefault="00FA39AC" w14:paraId="7A1E403D" w14:textId="7B51B433">
      <w:pPr>
        <w:pStyle w:val="ListParagraph"/>
        <w:numPr>
          <w:ilvl w:val="0"/>
          <w:numId w:val="25"/>
        </w:numPr>
        <w:spacing w:before="240"/>
        <w:ind w:left="360"/>
        <w:contextualSpacing w:val="0"/>
        <w:rPr>
          <w:rFonts w:ascii="Palatino Linotype" w:hAnsi="Palatino Linotype"/>
          <w:sz w:val="24"/>
          <w:szCs w:val="24"/>
        </w:rPr>
      </w:pPr>
      <w:r w:rsidRPr="00941BC9">
        <w:rPr>
          <w:rFonts w:ascii="Palatino Linotype" w:hAnsi="Palatino Linotype"/>
          <w:sz w:val="24"/>
          <w:szCs w:val="24"/>
        </w:rPr>
        <w:t>PG&amp;E’s net costs under each Agreement shall be recovered through</w:t>
      </w:r>
      <w:r w:rsidRPr="00941BC9" w:rsidR="00C117B5">
        <w:rPr>
          <w:rFonts w:ascii="Palatino Linotype" w:hAnsi="Palatino Linotype"/>
          <w:sz w:val="24"/>
          <w:szCs w:val="24"/>
        </w:rPr>
        <w:t xml:space="preserve"> </w:t>
      </w:r>
      <w:r w:rsidRPr="00941BC9">
        <w:rPr>
          <w:rFonts w:ascii="Palatino Linotype" w:hAnsi="Palatino Linotype"/>
          <w:sz w:val="24"/>
          <w:szCs w:val="24"/>
        </w:rPr>
        <w:t>PG&amp;E’s Portfolio Allocation Balancing Account</w:t>
      </w:r>
      <w:r w:rsidRPr="00941BC9" w:rsidR="00B93D92">
        <w:rPr>
          <w:rFonts w:ascii="Palatino Linotype" w:hAnsi="Palatino Linotype"/>
          <w:sz w:val="24"/>
          <w:szCs w:val="24"/>
        </w:rPr>
        <w:t>, subject to PG&amp;E’s prudent administration of the Agreements</w:t>
      </w:r>
      <w:r w:rsidRPr="00941BC9">
        <w:rPr>
          <w:rFonts w:ascii="Palatino Linotype" w:hAnsi="Palatino Linotype"/>
          <w:sz w:val="24"/>
          <w:szCs w:val="24"/>
        </w:rPr>
        <w:t>.</w:t>
      </w:r>
    </w:p>
    <w:p w:rsidRPr="00941BC9" w:rsidR="00FA39AC" w:rsidP="004E40FC" w:rsidRDefault="00FA39AC" w14:paraId="1E65503F" w14:textId="5D3C459B">
      <w:pPr>
        <w:pStyle w:val="ListParagraph"/>
        <w:numPr>
          <w:ilvl w:val="0"/>
          <w:numId w:val="25"/>
        </w:numPr>
        <w:spacing w:before="240"/>
        <w:ind w:left="360"/>
        <w:contextualSpacing w:val="0"/>
        <w:rPr>
          <w:rFonts w:ascii="Palatino Linotype" w:hAnsi="Palatino Linotype"/>
          <w:sz w:val="24"/>
          <w:szCs w:val="24"/>
        </w:rPr>
      </w:pPr>
      <w:r w:rsidRPr="00941BC9">
        <w:rPr>
          <w:rFonts w:ascii="Palatino Linotype" w:hAnsi="Palatino Linotype"/>
          <w:sz w:val="24"/>
          <w:szCs w:val="24"/>
        </w:rPr>
        <w:t>Any above-market cost that may arise from each Agreement is subject to</w:t>
      </w:r>
      <w:r w:rsidRPr="00941BC9" w:rsidR="00C117B5">
        <w:rPr>
          <w:rFonts w:ascii="Palatino Linotype" w:hAnsi="Palatino Linotype"/>
          <w:sz w:val="24"/>
          <w:szCs w:val="24"/>
        </w:rPr>
        <w:t xml:space="preserve"> </w:t>
      </w:r>
      <w:r w:rsidRPr="00941BC9">
        <w:rPr>
          <w:rFonts w:ascii="Palatino Linotype" w:hAnsi="Palatino Linotype"/>
          <w:sz w:val="24"/>
          <w:szCs w:val="24"/>
        </w:rPr>
        <w:t>the provisions of D.21-06-035 as a 2021 PCIA-eligible contract and</w:t>
      </w:r>
      <w:r w:rsidRPr="00941BC9" w:rsidR="00C117B5">
        <w:rPr>
          <w:rFonts w:ascii="Palatino Linotype" w:hAnsi="Palatino Linotype"/>
          <w:sz w:val="24"/>
          <w:szCs w:val="24"/>
        </w:rPr>
        <w:t xml:space="preserve"> </w:t>
      </w:r>
      <w:r w:rsidRPr="00941BC9">
        <w:rPr>
          <w:rFonts w:ascii="Palatino Linotype" w:hAnsi="Palatino Linotype"/>
          <w:sz w:val="24"/>
          <w:szCs w:val="24"/>
        </w:rPr>
        <w:t>recorded to the Portfolio Allocation Balancing Account.</w:t>
      </w:r>
    </w:p>
    <w:p w:rsidRPr="00941BC9" w:rsidR="001B3778" w:rsidP="00422648" w:rsidRDefault="002935FF" w14:paraId="217C0D7F" w14:textId="5112ADCB">
      <w:pPr>
        <w:pStyle w:val="ListParagraph"/>
        <w:numPr>
          <w:ilvl w:val="0"/>
          <w:numId w:val="25"/>
        </w:numPr>
        <w:spacing w:before="240"/>
        <w:ind w:left="360"/>
        <w:contextualSpacing w:val="0"/>
        <w:rPr>
          <w:rFonts w:ascii="Palatino Linotype" w:hAnsi="Palatino Linotype"/>
          <w:sz w:val="24"/>
          <w:szCs w:val="24"/>
        </w:rPr>
      </w:pPr>
      <w:proofErr w:type="gramStart"/>
      <w:r w:rsidRPr="00941BC9">
        <w:rPr>
          <w:rFonts w:ascii="Palatino Linotype" w:hAnsi="Palatino Linotype"/>
          <w:sz w:val="24"/>
          <w:szCs w:val="24"/>
        </w:rPr>
        <w:t>The confidential appendices,</w:t>
      </w:r>
      <w:proofErr w:type="gramEnd"/>
      <w:r w:rsidRPr="00941BC9">
        <w:rPr>
          <w:rFonts w:ascii="Palatino Linotype" w:hAnsi="Palatino Linotype"/>
          <w:sz w:val="24"/>
          <w:szCs w:val="24"/>
        </w:rPr>
        <w:t xml:space="preserve"> marked "[REDACTED]" in the public copy of this Resolution, as well as the confidential portions of Advice Letter 7299-E, should remain confidential at this time.</w:t>
      </w:r>
    </w:p>
    <w:p w:rsidRPr="00941BC9" w:rsidR="00CF17DE" w:rsidP="0032478B" w:rsidRDefault="00CF17DE" w14:paraId="03EBB768" w14:textId="77777777">
      <w:pPr>
        <w:pStyle w:val="Heading1"/>
        <w:pageBreakBefore/>
        <w:rPr>
          <w:rFonts w:ascii="Palatino Linotype" w:hAnsi="Palatino Linotype"/>
          <w:sz w:val="24"/>
          <w:szCs w:val="24"/>
        </w:rPr>
      </w:pPr>
      <w:proofErr w:type="gramStart"/>
      <w:r w:rsidRPr="00941BC9">
        <w:rPr>
          <w:rFonts w:ascii="Palatino Linotype" w:hAnsi="Palatino Linotype"/>
          <w:sz w:val="24"/>
          <w:szCs w:val="24"/>
        </w:rPr>
        <w:lastRenderedPageBreak/>
        <w:t>Therefore</w:t>
      </w:r>
      <w:proofErr w:type="gramEnd"/>
      <w:r w:rsidRPr="00941BC9">
        <w:rPr>
          <w:rFonts w:ascii="Palatino Linotype" w:hAnsi="Palatino Linotype"/>
          <w:sz w:val="24"/>
          <w:szCs w:val="24"/>
        </w:rPr>
        <w:t xml:space="preserve"> it is ordered that:</w:t>
      </w:r>
    </w:p>
    <w:p w:rsidRPr="00941BC9" w:rsidR="00B43DE9" w:rsidP="00B43DE9" w:rsidRDefault="00213454" w14:paraId="0DF8398A" w14:textId="77777777">
      <w:pPr>
        <w:keepNext/>
        <w:rPr>
          <w:rFonts w:ascii="Palatino Linotype" w:hAnsi="Palatino Linotype" w:cs="Arial"/>
          <w:sz w:val="24"/>
          <w:szCs w:val="24"/>
        </w:rPr>
      </w:pPr>
      <w:r w:rsidRPr="00941BC9">
        <w:rPr>
          <w:rFonts w:ascii="Palatino Linotype" w:hAnsi="Palatino Linotype"/>
          <w:snapToGrid w:val="0"/>
          <w:sz w:val="24"/>
          <w:szCs w:val="24"/>
        </w:rPr>
        <w:t xml:space="preserve">The request of Pacific Gas and Electric Company </w:t>
      </w:r>
      <w:r w:rsidRPr="00941BC9" w:rsidR="004328A1">
        <w:rPr>
          <w:rFonts w:ascii="Palatino Linotype" w:hAnsi="Palatino Linotype"/>
          <w:snapToGrid w:val="0"/>
          <w:sz w:val="24"/>
          <w:szCs w:val="24"/>
        </w:rPr>
        <w:t>for</w:t>
      </w:r>
      <w:r w:rsidRPr="00941BC9">
        <w:rPr>
          <w:rFonts w:ascii="Palatino Linotype" w:hAnsi="Palatino Linotype"/>
          <w:snapToGrid w:val="0"/>
          <w:sz w:val="24"/>
          <w:szCs w:val="24"/>
        </w:rPr>
        <w:t xml:space="preserve"> </w:t>
      </w:r>
      <w:r w:rsidRPr="00941BC9" w:rsidR="004328A1">
        <w:rPr>
          <w:rFonts w:ascii="Palatino Linotype" w:hAnsi="Palatino Linotype"/>
          <w:snapToGrid w:val="0"/>
          <w:sz w:val="24"/>
          <w:szCs w:val="24"/>
        </w:rPr>
        <w:t xml:space="preserve">approval of </w:t>
      </w:r>
      <w:r w:rsidRPr="00941BC9">
        <w:rPr>
          <w:rFonts w:ascii="Palatino Linotype" w:hAnsi="Palatino Linotype"/>
          <w:snapToGrid w:val="0"/>
          <w:sz w:val="24"/>
          <w:szCs w:val="24"/>
        </w:rPr>
        <w:t>the</w:t>
      </w:r>
      <w:r w:rsidRPr="00941BC9">
        <w:rPr>
          <w:rFonts w:ascii="Palatino Linotype" w:hAnsi="Palatino Linotype"/>
          <w:sz w:val="24"/>
          <w:szCs w:val="24"/>
        </w:rPr>
        <w:t xml:space="preserve"> two Power Purchase Agreements </w:t>
      </w:r>
      <w:r w:rsidRPr="00941BC9" w:rsidR="00C04F7B">
        <w:rPr>
          <w:rFonts w:ascii="Palatino Linotype" w:hAnsi="Palatino Linotype"/>
          <w:sz w:val="24"/>
          <w:szCs w:val="24"/>
        </w:rPr>
        <w:t>with</w:t>
      </w:r>
      <w:r w:rsidRPr="00941BC9">
        <w:rPr>
          <w:rFonts w:ascii="Palatino Linotype" w:hAnsi="Palatino Linotype"/>
          <w:snapToGrid w:val="0"/>
          <w:sz w:val="24"/>
          <w:szCs w:val="24"/>
        </w:rPr>
        <w:t xml:space="preserve"> </w:t>
      </w:r>
      <w:r w:rsidRPr="00941BC9">
        <w:rPr>
          <w:rFonts w:ascii="Palatino Linotype" w:hAnsi="Palatino Linotype" w:cs="Arial"/>
          <w:sz w:val="24"/>
          <w:szCs w:val="24"/>
        </w:rPr>
        <w:t>the Arlington Project owned by Arlington Valley Solar Energy, LLC and the Atlas South Project owned by Atlas Solar XI, LLC</w:t>
      </w:r>
      <w:r w:rsidRPr="00941BC9" w:rsidR="004328A1">
        <w:rPr>
          <w:rFonts w:ascii="Palatino Linotype" w:hAnsi="Palatino Linotype" w:cs="Arial"/>
          <w:sz w:val="24"/>
          <w:szCs w:val="24"/>
        </w:rPr>
        <w:t>, as requested in AL 7299-E, is approved.</w:t>
      </w:r>
    </w:p>
    <w:p w:rsidRPr="00941BC9" w:rsidR="00B43DE9" w:rsidP="00B43DE9" w:rsidRDefault="00B43DE9" w14:paraId="2D227F25" w14:textId="77777777">
      <w:pPr>
        <w:keepNext/>
        <w:rPr>
          <w:rFonts w:ascii="Palatino Linotype" w:hAnsi="Palatino Linotype" w:cs="Arial"/>
          <w:sz w:val="24"/>
          <w:szCs w:val="24"/>
        </w:rPr>
      </w:pPr>
    </w:p>
    <w:p w:rsidRPr="00941BC9" w:rsidR="00941BC9" w:rsidP="00941BC9" w:rsidRDefault="00941BC9" w14:paraId="444ABFA4"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941BC9">
        <w:rPr>
          <w:rFonts w:ascii="Palatino Linotype" w:hAnsi="Palatino Linotype" w:eastAsia="Palatino Linotype"/>
          <w:sz w:val="24"/>
          <w:szCs w:val="24"/>
        </w:rPr>
        <w:t>This Resolution is effective today.</w:t>
      </w:r>
    </w:p>
    <w:p w:rsidRPr="00941BC9" w:rsidR="00941BC9" w:rsidP="00941BC9" w:rsidRDefault="00941BC9" w14:paraId="02A6BE70"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941BC9" w:rsidR="00941BC9" w:rsidP="00941BC9" w:rsidRDefault="00941BC9" w14:paraId="51E48995"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941BC9" w:rsidR="00941BC9" w:rsidP="00941BC9" w:rsidRDefault="00941BC9" w14:paraId="477EEA21"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941BC9" w:rsidR="00941BC9" w:rsidP="00941BC9" w:rsidRDefault="00941BC9" w14:paraId="6AE8CC07"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t xml:space="preserve">Commissioner Signature blocks to be added </w:t>
      </w:r>
    </w:p>
    <w:p w:rsidRPr="00941BC9" w:rsidR="00941BC9" w:rsidP="00941BC9" w:rsidRDefault="00941BC9" w14:paraId="7FE812CA"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r>
      <w:r w:rsidRPr="00941BC9">
        <w:rPr>
          <w:rFonts w:ascii="Palatino Linotype" w:hAnsi="Palatino Linotype" w:eastAsia="Palatino Linotype"/>
          <w:sz w:val="24"/>
          <w:szCs w:val="24"/>
        </w:rPr>
        <w:tab/>
        <w:t xml:space="preserve">upon adoption of the resolution </w:t>
      </w:r>
    </w:p>
    <w:p w:rsidRPr="00941BC9" w:rsidR="00941BC9" w:rsidP="00941BC9" w:rsidRDefault="00941BC9" w14:paraId="0525BF1B"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941BC9" w:rsidR="00941BC9" w:rsidP="00941BC9" w:rsidRDefault="00941BC9" w14:paraId="14211BB2"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941BC9" w:rsidR="00941BC9" w:rsidP="00941BC9" w:rsidRDefault="00941BC9" w14:paraId="55302792"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941BC9" w:rsidR="00941BC9" w:rsidP="00941BC9" w:rsidRDefault="00941BC9" w14:paraId="336AF6D0" w14:textId="4962F798">
      <w:pPr>
        <w:suppressAutoHyphens/>
        <w:spacing w:after="480"/>
        <w:rPr>
          <w:rFonts w:ascii="Palatino Linotype" w:hAnsi="Palatino Linotype" w:eastAsia="SimSun"/>
          <w:sz w:val="24"/>
        </w:rPr>
      </w:pPr>
      <w:r w:rsidRPr="00941BC9">
        <w:rPr>
          <w:rFonts w:ascii="Palatino Linotype" w:hAnsi="Palatino Linotype" w:eastAsia="SimSun"/>
          <w:sz w:val="24"/>
        </w:rPr>
        <w:t xml:space="preserve">The foregoing resolution was duly introduced, passed and adopted at a conference of the Public Utilities Commission of the State of California held on </w:t>
      </w:r>
      <w:r>
        <w:rPr>
          <w:rFonts w:ascii="Palatino Linotype" w:hAnsi="Palatino Linotype" w:eastAsia="SimSun"/>
          <w:sz w:val="24"/>
        </w:rPr>
        <w:t>April 3, 2025</w:t>
      </w:r>
      <w:r w:rsidRPr="00941BC9">
        <w:rPr>
          <w:rFonts w:ascii="Palatino Linotype" w:hAnsi="Palatino Linotype" w:eastAsia="SimSun"/>
          <w:sz w:val="24"/>
        </w:rPr>
        <w:t>; the following Commissioners voting favorably thereon:</w:t>
      </w:r>
    </w:p>
    <w:p w:rsidRPr="00941BC9" w:rsidR="00941BC9" w:rsidP="00941BC9" w:rsidRDefault="00941BC9" w14:paraId="298B5D2F"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941BC9" w:rsidR="00941BC9" w:rsidP="00941BC9" w:rsidRDefault="00941BC9" w14:paraId="6282A2D2"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941BC9" w:rsidR="00941BC9" w:rsidP="00941BC9" w:rsidRDefault="00941BC9" w14:paraId="48AD4ED2" w14:textId="77777777">
      <w:pPr>
        <w:keepNext/>
        <w:rPr>
          <w:rFonts w:ascii="Palatino Linotype" w:hAnsi="Palatino Linotype" w:eastAsia="Palatino Linotype"/>
          <w:kern w:val="2"/>
          <w:sz w:val="24"/>
          <w:szCs w:val="24"/>
          <w14:ligatures w14:val="standardContextual"/>
        </w:rPr>
      </w:pPr>
      <w:r w:rsidRPr="00941BC9">
        <w:rPr>
          <w:rFonts w:ascii="Palatino Linotype" w:hAnsi="Palatino Linotype" w:eastAsia="Palatino Linotype"/>
          <w:kern w:val="2"/>
          <w:sz w:val="24"/>
          <w:szCs w:val="24"/>
          <w14:ligatures w14:val="standardContextual"/>
        </w:rPr>
        <w:t xml:space="preserve">Dated </w:t>
      </w:r>
      <w:r w:rsidRPr="00941BC9">
        <w:rPr>
          <w:rFonts w:ascii="Palatino Linotype" w:hAnsi="Palatino Linotype" w:eastAsia="Palatino Linotype"/>
          <w:kern w:val="2"/>
          <w:sz w:val="24"/>
          <w:szCs w:val="24"/>
          <w:u w:val="single"/>
          <w14:ligatures w14:val="standardContextual"/>
        </w:rPr>
        <w:t xml:space="preserve">                                                                 </w:t>
      </w:r>
      <w:proofErr w:type="gramStart"/>
      <w:r w:rsidRPr="00941BC9">
        <w:rPr>
          <w:rFonts w:ascii="Palatino Linotype" w:hAnsi="Palatino Linotype" w:eastAsia="Palatino Linotype"/>
          <w:kern w:val="2"/>
          <w:sz w:val="24"/>
          <w:szCs w:val="24"/>
          <w:u w:val="single"/>
          <w14:ligatures w14:val="standardContextual"/>
        </w:rPr>
        <w:t xml:space="preserve">  </w:t>
      </w:r>
      <w:r w:rsidRPr="00941BC9">
        <w:rPr>
          <w:rFonts w:ascii="Palatino Linotype" w:hAnsi="Palatino Linotype" w:eastAsia="Palatino Linotype"/>
          <w:kern w:val="2"/>
          <w:sz w:val="24"/>
          <w:szCs w:val="24"/>
          <w14:ligatures w14:val="standardContextual"/>
        </w:rPr>
        <w:t>,</w:t>
      </w:r>
      <w:proofErr w:type="gramEnd"/>
      <w:r w:rsidRPr="00941BC9">
        <w:rPr>
          <w:rFonts w:ascii="Palatino Linotype" w:hAnsi="Palatino Linotype" w:eastAsia="Palatino Linotype"/>
          <w:kern w:val="2"/>
          <w:sz w:val="24"/>
          <w:szCs w:val="24"/>
          <w14:ligatures w14:val="standardContextual"/>
        </w:rPr>
        <w:t xml:space="preserve"> at &lt;Voting meeting location&gt;, California</w:t>
      </w:r>
      <w:r w:rsidRPr="00941BC9">
        <w:rPr>
          <w:rFonts w:ascii="Palatino Linotype" w:hAnsi="Palatino Linotype" w:eastAsia="Palatino Linotype"/>
          <w:kern w:val="2"/>
          <w:sz w:val="24"/>
          <w:szCs w:val="24"/>
          <w14:ligatures w14:val="standardContextual"/>
        </w:rPr>
        <w:tab/>
      </w:r>
    </w:p>
    <w:p w:rsidRPr="00941BC9" w:rsidR="00941BC9" w:rsidP="00941BC9" w:rsidRDefault="00941BC9" w14:paraId="3BB5A3C8" w14:textId="77777777">
      <w:pPr>
        <w:keepNext/>
        <w:rPr>
          <w:rFonts w:ascii="Palatino Linotype" w:hAnsi="Palatino Linotype" w:eastAsia="Palatino Linotype"/>
          <w:kern w:val="2"/>
          <w:sz w:val="24"/>
          <w:szCs w:val="24"/>
          <w14:ligatures w14:val="standardContextual"/>
        </w:rPr>
      </w:pPr>
    </w:p>
    <w:p w:rsidRPr="00941BC9" w:rsidR="00CF17DE" w:rsidRDefault="00CF17DE" w14:paraId="2DA44F60" w14:textId="77777777">
      <w:pPr>
        <w:tabs>
          <w:tab w:val="left" w:pos="720"/>
          <w:tab w:val="left" w:pos="1152"/>
          <w:tab w:val="left" w:pos="1728"/>
          <w:tab w:val="left" w:pos="3168"/>
          <w:tab w:val="left" w:pos="5040"/>
        </w:tabs>
        <w:ind w:right="144"/>
        <w:rPr>
          <w:rFonts w:ascii="Palatino Linotype" w:hAnsi="Palatino Linotype"/>
          <w:sz w:val="24"/>
          <w:szCs w:val="24"/>
        </w:rPr>
      </w:pPr>
    </w:p>
    <w:p w:rsidRPr="00941BC9" w:rsidR="00CF17DE" w:rsidRDefault="00CF17DE" w14:paraId="1385E60D" w14:textId="77777777">
      <w:pPr>
        <w:tabs>
          <w:tab w:val="left" w:pos="720"/>
          <w:tab w:val="left" w:pos="1152"/>
          <w:tab w:val="left" w:pos="1728"/>
          <w:tab w:val="left" w:pos="3168"/>
          <w:tab w:val="left" w:pos="5040"/>
        </w:tabs>
        <w:ind w:right="144"/>
        <w:rPr>
          <w:rFonts w:ascii="Palatino Linotype" w:hAnsi="Palatino Linotype"/>
          <w:sz w:val="24"/>
          <w:szCs w:val="24"/>
        </w:rPr>
      </w:pPr>
    </w:p>
    <w:p w:rsidRPr="00941BC9" w:rsidR="009E795A" w:rsidRDefault="009E795A" w14:paraId="656FDEB5" w14:textId="77777777">
      <w:pPr>
        <w:tabs>
          <w:tab w:val="left" w:pos="720"/>
          <w:tab w:val="left" w:pos="1152"/>
          <w:tab w:val="left" w:pos="1728"/>
          <w:tab w:val="left" w:pos="3168"/>
          <w:tab w:val="left" w:pos="5040"/>
        </w:tabs>
        <w:ind w:right="144"/>
        <w:rPr>
          <w:rFonts w:ascii="Palatino Linotype" w:hAnsi="Palatino Linotype"/>
          <w:sz w:val="24"/>
          <w:szCs w:val="24"/>
        </w:rPr>
      </w:pPr>
    </w:p>
    <w:p w:rsidRPr="00941BC9" w:rsidR="009E795A" w:rsidRDefault="009E795A" w14:paraId="2261032F" w14:textId="77777777">
      <w:pPr>
        <w:tabs>
          <w:tab w:val="left" w:pos="720"/>
          <w:tab w:val="left" w:pos="1152"/>
          <w:tab w:val="left" w:pos="1728"/>
          <w:tab w:val="left" w:pos="3168"/>
          <w:tab w:val="left" w:pos="5040"/>
        </w:tabs>
        <w:ind w:right="144"/>
        <w:rPr>
          <w:rFonts w:ascii="Palatino Linotype" w:hAnsi="Palatino Linotype"/>
          <w:sz w:val="24"/>
          <w:szCs w:val="24"/>
        </w:rPr>
      </w:pPr>
    </w:p>
    <w:p w:rsidRPr="00941BC9" w:rsidR="009E795A" w:rsidRDefault="009E795A" w14:paraId="0803B11C" w14:textId="77777777">
      <w:pPr>
        <w:tabs>
          <w:tab w:val="left" w:pos="720"/>
          <w:tab w:val="left" w:pos="1152"/>
          <w:tab w:val="left" w:pos="1728"/>
          <w:tab w:val="left" w:pos="3168"/>
          <w:tab w:val="left" w:pos="5040"/>
        </w:tabs>
        <w:ind w:right="144"/>
        <w:rPr>
          <w:rFonts w:ascii="Palatino Linotype" w:hAnsi="Palatino Linotype"/>
          <w:sz w:val="24"/>
          <w:szCs w:val="24"/>
        </w:rPr>
      </w:pPr>
    </w:p>
    <w:p w:rsidRPr="00941BC9" w:rsidR="009E795A" w:rsidRDefault="009E795A" w14:paraId="5ACF6E13" w14:textId="77777777">
      <w:pPr>
        <w:tabs>
          <w:tab w:val="left" w:pos="720"/>
          <w:tab w:val="left" w:pos="1152"/>
          <w:tab w:val="left" w:pos="1728"/>
          <w:tab w:val="left" w:pos="3168"/>
          <w:tab w:val="left" w:pos="5040"/>
        </w:tabs>
        <w:ind w:right="144"/>
        <w:rPr>
          <w:rFonts w:ascii="Palatino Linotype" w:hAnsi="Palatino Linotype"/>
          <w:sz w:val="24"/>
          <w:szCs w:val="24"/>
        </w:rPr>
      </w:pPr>
    </w:p>
    <w:p w:rsidRPr="00941BC9" w:rsidR="009E795A" w:rsidRDefault="009E795A" w14:paraId="0191B01D" w14:textId="77777777">
      <w:pPr>
        <w:tabs>
          <w:tab w:val="left" w:pos="720"/>
          <w:tab w:val="left" w:pos="1152"/>
          <w:tab w:val="left" w:pos="1728"/>
          <w:tab w:val="left" w:pos="3168"/>
          <w:tab w:val="left" w:pos="5040"/>
        </w:tabs>
        <w:ind w:right="144"/>
        <w:rPr>
          <w:rFonts w:ascii="Palatino Linotype" w:hAnsi="Palatino Linotype"/>
          <w:sz w:val="24"/>
          <w:szCs w:val="24"/>
        </w:rPr>
      </w:pPr>
    </w:p>
    <w:p w:rsidRPr="00941BC9" w:rsidR="009E795A" w:rsidRDefault="009E795A" w14:paraId="1DE90381" w14:textId="77777777">
      <w:pPr>
        <w:tabs>
          <w:tab w:val="left" w:pos="720"/>
          <w:tab w:val="left" w:pos="1152"/>
          <w:tab w:val="left" w:pos="1728"/>
          <w:tab w:val="left" w:pos="3168"/>
          <w:tab w:val="left" w:pos="5040"/>
        </w:tabs>
        <w:ind w:right="144"/>
        <w:rPr>
          <w:rFonts w:ascii="Palatino Linotype" w:hAnsi="Palatino Linotype"/>
          <w:sz w:val="24"/>
          <w:szCs w:val="24"/>
        </w:rPr>
      </w:pPr>
    </w:p>
    <w:p w:rsidRPr="00941BC9" w:rsidR="00014DEC" w:rsidP="00E34D85" w:rsidRDefault="00014DEC" w14:paraId="2018FFB7" w14:textId="77777777">
      <w:pPr>
        <w:pageBreakBefore/>
        <w:tabs>
          <w:tab w:val="left" w:pos="720"/>
          <w:tab w:val="left" w:pos="1152"/>
          <w:tab w:val="left" w:pos="1728"/>
          <w:tab w:val="left" w:pos="3168"/>
          <w:tab w:val="left" w:pos="5040"/>
        </w:tabs>
        <w:ind w:right="144"/>
        <w:jc w:val="center"/>
        <w:rPr>
          <w:rFonts w:ascii="Palatino Linotype" w:hAnsi="Palatino Linotype"/>
          <w:b/>
          <w:sz w:val="24"/>
          <w:szCs w:val="24"/>
          <w:u w:val="single"/>
        </w:rPr>
      </w:pPr>
      <w:r w:rsidRPr="00941BC9">
        <w:rPr>
          <w:rFonts w:ascii="Palatino Linotype" w:hAnsi="Palatino Linotype"/>
          <w:b/>
          <w:sz w:val="24"/>
          <w:szCs w:val="24"/>
          <w:u w:val="single"/>
        </w:rPr>
        <w:lastRenderedPageBreak/>
        <w:t>Confidential Appendix A</w:t>
      </w:r>
    </w:p>
    <w:p w:rsidRPr="00941BC9" w:rsidR="00014DEC" w:rsidP="00014DEC" w:rsidRDefault="00014DEC" w14:paraId="7A16C5CD" w14:textId="77777777">
      <w:pPr>
        <w:jc w:val="center"/>
        <w:rPr>
          <w:rFonts w:ascii="Palatino Linotype" w:hAnsi="Palatino Linotype"/>
          <w:sz w:val="24"/>
          <w:szCs w:val="24"/>
        </w:rPr>
      </w:pPr>
      <w:r w:rsidRPr="00941BC9">
        <w:rPr>
          <w:rFonts w:ascii="Palatino Linotype" w:hAnsi="Palatino Linotype"/>
          <w:sz w:val="24"/>
          <w:szCs w:val="24"/>
        </w:rPr>
        <w:t xml:space="preserve">Summary of Major Contract Terms </w:t>
      </w:r>
    </w:p>
    <w:p w:rsidRPr="00941BC9" w:rsidR="00B43DE9" w:rsidP="00014DEC" w:rsidRDefault="00B43DE9" w14:paraId="627B126B" w14:textId="77777777">
      <w:pPr>
        <w:jc w:val="center"/>
        <w:rPr>
          <w:rFonts w:ascii="Palatino Linotype" w:hAnsi="Palatino Linotype"/>
          <w:sz w:val="24"/>
          <w:szCs w:val="24"/>
        </w:rPr>
      </w:pPr>
    </w:p>
    <w:p w:rsidRPr="00941BC9" w:rsidR="005741E9" w:rsidP="002935FF" w:rsidRDefault="002935FF" w14:paraId="1D11095B" w14:textId="151B06E4">
      <w:pPr>
        <w:jc w:val="center"/>
        <w:rPr>
          <w:rFonts w:ascii="Palatino Linotype" w:hAnsi="Palatino Linotype"/>
          <w:sz w:val="24"/>
          <w:szCs w:val="24"/>
        </w:rPr>
      </w:pPr>
      <w:r w:rsidRPr="00941BC9">
        <w:rPr>
          <w:rFonts w:ascii="Palatino Linotype" w:hAnsi="Palatino Linotype"/>
          <w:sz w:val="24"/>
          <w:szCs w:val="24"/>
        </w:rPr>
        <w:t>REDACTED</w:t>
      </w:r>
    </w:p>
    <w:p w:rsidRPr="00941BC9" w:rsidR="005741E9" w:rsidP="005741E9" w:rsidRDefault="005741E9" w14:paraId="4B7BB992" w14:textId="307CEA02">
      <w:pPr>
        <w:spacing w:after="160" w:line="259" w:lineRule="auto"/>
        <w:jc w:val="center"/>
        <w:rPr>
          <w:rFonts w:ascii="Palatino Linotype" w:hAnsi="Palatino Linotype"/>
          <w:b/>
          <w:sz w:val="24"/>
          <w:szCs w:val="24"/>
          <w:u w:val="single"/>
        </w:rPr>
      </w:pPr>
    </w:p>
    <w:p w:rsidRPr="00941BC9" w:rsidR="005741E9" w:rsidP="005741E9" w:rsidRDefault="005741E9" w14:paraId="000F00E1" w14:textId="77777777">
      <w:pPr>
        <w:spacing w:after="160" w:line="259" w:lineRule="auto"/>
        <w:jc w:val="center"/>
        <w:rPr>
          <w:rFonts w:ascii="Palatino Linotype" w:hAnsi="Palatino Linotype"/>
          <w:b/>
          <w:sz w:val="24"/>
          <w:szCs w:val="24"/>
          <w:u w:val="single"/>
        </w:rPr>
      </w:pPr>
    </w:p>
    <w:p w:rsidRPr="00941BC9" w:rsidR="00B43DE9" w:rsidP="005741E9" w:rsidRDefault="00B43DE9" w14:paraId="308E2BF6" w14:textId="77777777">
      <w:pPr>
        <w:spacing w:after="160" w:line="259" w:lineRule="auto"/>
        <w:jc w:val="center"/>
        <w:rPr>
          <w:rFonts w:ascii="Palatino Linotype" w:hAnsi="Palatino Linotype"/>
          <w:b/>
          <w:sz w:val="24"/>
          <w:szCs w:val="24"/>
          <w:u w:val="single"/>
        </w:rPr>
      </w:pPr>
    </w:p>
    <w:p w:rsidRPr="00941BC9" w:rsidR="00014DEC" w:rsidP="002935FF" w:rsidRDefault="00014DEC" w14:paraId="3DBD44CB" w14:textId="4EC53F02">
      <w:pPr>
        <w:pageBreakBefore/>
        <w:spacing w:after="160" w:line="259" w:lineRule="auto"/>
        <w:jc w:val="center"/>
        <w:rPr>
          <w:rFonts w:ascii="Palatino Linotype" w:hAnsi="Palatino Linotype"/>
          <w:b/>
          <w:sz w:val="24"/>
          <w:szCs w:val="24"/>
          <w:u w:val="single"/>
        </w:rPr>
      </w:pPr>
      <w:r w:rsidRPr="00941BC9">
        <w:rPr>
          <w:rFonts w:ascii="Palatino Linotype" w:hAnsi="Palatino Linotype"/>
          <w:b/>
          <w:sz w:val="24"/>
          <w:szCs w:val="24"/>
          <w:u w:val="single"/>
        </w:rPr>
        <w:lastRenderedPageBreak/>
        <w:t>Confidential Appendix B</w:t>
      </w:r>
    </w:p>
    <w:p w:rsidRPr="00941BC9" w:rsidR="00014DEC" w:rsidP="00014DEC" w:rsidRDefault="00014DEC" w14:paraId="2104F192" w14:textId="3B41CDDA">
      <w:pPr>
        <w:spacing w:after="240"/>
        <w:jc w:val="center"/>
        <w:rPr>
          <w:rFonts w:ascii="Palatino Linotype" w:hAnsi="Palatino Linotype"/>
          <w:b/>
          <w:sz w:val="24"/>
          <w:szCs w:val="24"/>
        </w:rPr>
      </w:pPr>
      <w:r w:rsidRPr="00941BC9">
        <w:rPr>
          <w:rFonts w:ascii="Palatino Linotype" w:hAnsi="Palatino Linotype"/>
          <w:b/>
          <w:sz w:val="24"/>
          <w:szCs w:val="24"/>
        </w:rPr>
        <w:t>Procurement Evaluation and Cost Reasonableness</w:t>
      </w:r>
    </w:p>
    <w:p w:rsidRPr="00941BC9" w:rsidR="002935FF" w:rsidP="002935FF" w:rsidRDefault="002935FF" w14:paraId="51E0124E" w14:textId="77777777">
      <w:pPr>
        <w:jc w:val="center"/>
        <w:rPr>
          <w:rFonts w:ascii="Palatino Linotype" w:hAnsi="Palatino Linotype"/>
          <w:sz w:val="24"/>
          <w:szCs w:val="24"/>
        </w:rPr>
      </w:pPr>
      <w:r w:rsidRPr="00941BC9">
        <w:rPr>
          <w:rFonts w:ascii="Palatino Linotype" w:hAnsi="Palatino Linotype"/>
          <w:sz w:val="24"/>
          <w:szCs w:val="24"/>
        </w:rPr>
        <w:t>REDACTED</w:t>
      </w:r>
    </w:p>
    <w:p w:rsidRPr="00941BC9" w:rsidR="002935FF" w:rsidP="00014DEC" w:rsidRDefault="002935FF" w14:paraId="4731859F" w14:textId="77777777">
      <w:pPr>
        <w:spacing w:after="240"/>
        <w:jc w:val="center"/>
        <w:rPr>
          <w:rFonts w:ascii="Palatino Linotype" w:hAnsi="Palatino Linotype"/>
          <w:b/>
          <w:sz w:val="24"/>
          <w:szCs w:val="24"/>
        </w:rPr>
      </w:pPr>
    </w:p>
    <w:sectPr w:rsidRPr="00941BC9" w:rsidR="002935FF">
      <w:headerReference w:type="default" r:id="rId16"/>
      <w:footerReference w:type="default" r:id="rId17"/>
      <w:headerReference w:type="first" r:id="rId18"/>
      <w:footerReference w:type="firs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9804" w14:textId="77777777" w:rsidR="00242FAF" w:rsidRDefault="00242FAF">
      <w:r>
        <w:separator/>
      </w:r>
    </w:p>
  </w:endnote>
  <w:endnote w:type="continuationSeparator" w:id="0">
    <w:p w14:paraId="776FA213" w14:textId="77777777" w:rsidR="00242FAF" w:rsidRDefault="00242FAF">
      <w:r>
        <w:continuationSeparator/>
      </w:r>
    </w:p>
  </w:endnote>
  <w:endnote w:type="continuationNotice" w:id="1">
    <w:p w14:paraId="56D360CD" w14:textId="77777777" w:rsidR="00242FAF" w:rsidRDefault="00242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20000A87" w:usb1="08000000" w:usb2="00000008" w:usb3="00000000" w:csb0="000001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BookAntiqua">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18"/>
      </w:rPr>
      <w:id w:val="-989248680"/>
      <w:docPartObj>
        <w:docPartGallery w:val="Page Numbers (Bottom of Page)"/>
        <w:docPartUnique/>
      </w:docPartObj>
    </w:sdtPr>
    <w:sdtEndPr>
      <w:rPr>
        <w:noProof/>
      </w:rPr>
    </w:sdtEndPr>
    <w:sdtContent>
      <w:p w14:paraId="51F5814D" w14:textId="77777777" w:rsidR="00A916FB" w:rsidRPr="00D865A9" w:rsidRDefault="00A916FB" w:rsidP="00D865A9">
        <w:pPr>
          <w:pStyle w:val="Footer"/>
          <w:rPr>
            <w:rFonts w:ascii="Palatino Linotype" w:hAnsi="Palatino Linotype"/>
            <w:noProof/>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noProof/>
            <w:sz w:val="24"/>
            <w:szCs w:val="18"/>
          </w:rPr>
          <w:t>2</w:t>
        </w:r>
        <w:r w:rsidRPr="00D865A9">
          <w:rPr>
            <w:rFonts w:ascii="Palatino Linotype" w:hAnsi="Palatino Linotype"/>
            <w:noProof/>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99BA" w14:textId="42FF9A4A" w:rsidR="00A916FB" w:rsidRPr="001A1DB2" w:rsidRDefault="00881E3C" w:rsidP="00881E3C">
    <w:pPr>
      <w:pStyle w:val="Footer"/>
      <w:tabs>
        <w:tab w:val="clear" w:pos="4320"/>
        <w:tab w:val="center" w:pos="4680"/>
      </w:tabs>
      <w:jc w:val="left"/>
      <w:rPr>
        <w:rFonts w:ascii="Palatino Linotype" w:hAnsi="Palatino Linotype"/>
        <w:sz w:val="24"/>
        <w:szCs w:val="18"/>
      </w:rPr>
    </w:pPr>
    <w:r w:rsidRPr="00881E3C">
      <w:rPr>
        <w:rStyle w:val="PageNumber"/>
        <w:rFonts w:ascii="Tahoma" w:hAnsi="Tahoma" w:cs="Tahoma"/>
        <w:sz w:val="20"/>
      </w:rPr>
      <w:t>559252540</w:t>
    </w:r>
    <w:r>
      <w:rPr>
        <w:rStyle w:val="PageNumber"/>
        <w:rFonts w:ascii="Palatino Linotype" w:hAnsi="Palatino Linotype"/>
        <w:sz w:val="24"/>
        <w:szCs w:val="18"/>
      </w:rPr>
      <w:tab/>
    </w:r>
    <w:r w:rsidR="00A916FB" w:rsidRPr="001A1DB2">
      <w:rPr>
        <w:rStyle w:val="PageNumber"/>
        <w:rFonts w:ascii="Palatino Linotype" w:hAnsi="Palatino Linotype"/>
        <w:sz w:val="24"/>
        <w:szCs w:val="18"/>
      </w:rPr>
      <w:fldChar w:fldCharType="begin"/>
    </w:r>
    <w:r w:rsidR="00A916FB" w:rsidRPr="001A1DB2">
      <w:rPr>
        <w:rStyle w:val="PageNumber"/>
        <w:rFonts w:ascii="Palatino Linotype" w:hAnsi="Palatino Linotype"/>
        <w:sz w:val="24"/>
        <w:szCs w:val="18"/>
      </w:rPr>
      <w:instrText xml:space="preserve"> PAGE </w:instrText>
    </w:r>
    <w:r w:rsidR="00A916FB" w:rsidRPr="001A1DB2">
      <w:rPr>
        <w:rStyle w:val="PageNumber"/>
        <w:rFonts w:ascii="Palatino Linotype" w:hAnsi="Palatino Linotype"/>
        <w:sz w:val="24"/>
        <w:szCs w:val="18"/>
      </w:rPr>
      <w:fldChar w:fldCharType="separate"/>
    </w:r>
    <w:r w:rsidR="00A916FB" w:rsidRPr="001A1DB2">
      <w:rPr>
        <w:rStyle w:val="PageNumber"/>
        <w:rFonts w:ascii="Palatino Linotype" w:hAnsi="Palatino Linotype"/>
        <w:noProof/>
        <w:sz w:val="24"/>
        <w:szCs w:val="18"/>
      </w:rPr>
      <w:t>1</w:t>
    </w:r>
    <w:r w:rsidR="00A916FB"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2005B" w14:textId="77777777" w:rsidR="00242FAF" w:rsidRDefault="00242FAF">
      <w:r>
        <w:separator/>
      </w:r>
    </w:p>
  </w:footnote>
  <w:footnote w:type="continuationSeparator" w:id="0">
    <w:p w14:paraId="30107E9D" w14:textId="77777777" w:rsidR="00242FAF" w:rsidRDefault="00242FAF">
      <w:r>
        <w:continuationSeparator/>
      </w:r>
    </w:p>
  </w:footnote>
  <w:footnote w:type="continuationNotice" w:id="1">
    <w:p w14:paraId="45FADAF3" w14:textId="77777777" w:rsidR="00242FAF" w:rsidRDefault="00242FAF">
      <w:pPr>
        <w:rPr>
          <w:sz w:val="22"/>
        </w:rPr>
      </w:pPr>
    </w:p>
    <w:p w14:paraId="43AE6E2D" w14:textId="77777777" w:rsidR="00242FAF" w:rsidRDefault="00242FAF">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58D2D955" w14:textId="77777777" w:rsidR="00DC2F66" w:rsidRPr="00941BC9" w:rsidRDefault="00DC2F66" w:rsidP="00EA2588">
      <w:pPr>
        <w:autoSpaceDE w:val="0"/>
        <w:autoSpaceDN w:val="0"/>
        <w:adjustRightInd w:val="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w:t>
      </w:r>
      <w:r w:rsidRPr="00941BC9">
        <w:rPr>
          <w:rFonts w:ascii="Palatino Linotype" w:hAnsi="Palatino Linotype" w:cs="Arial"/>
          <w:sz w:val="20"/>
        </w:rPr>
        <w:t>D-21-06-</w:t>
      </w:r>
      <w:r w:rsidRPr="00941BC9">
        <w:rPr>
          <w:rFonts w:ascii="Palatino Linotype" w:hAnsi="Palatino Linotype" w:cs="ArialMT"/>
          <w:sz w:val="20"/>
        </w:rPr>
        <w:t xml:space="preserve">035, p.65. “If an IOU procures resources that would count toward both their IRP and </w:t>
      </w:r>
      <w:r w:rsidRPr="00941BC9">
        <w:rPr>
          <w:rFonts w:ascii="Palatino Linotype" w:hAnsi="Palatino Linotype" w:cs="Arial"/>
          <w:sz w:val="20"/>
        </w:rPr>
        <w:t>RPS procurement goals, the IOU should make only one request for PPA approval through a single Tier 3 advice letter, served on both the RPS and IRP proceeding servi</w:t>
      </w:r>
      <w:r w:rsidRPr="00941BC9">
        <w:rPr>
          <w:rFonts w:ascii="Palatino Linotype" w:hAnsi="Palatino Linotype" w:cs="ArialMT"/>
          <w:sz w:val="20"/>
        </w:rPr>
        <w:t>ce lists.”</w:t>
      </w:r>
    </w:p>
  </w:footnote>
  <w:footnote w:id="3">
    <w:p w14:paraId="49FFD6C8" w14:textId="77777777" w:rsidR="00E53E96" w:rsidRPr="00941BC9" w:rsidRDefault="00E53E96" w:rsidP="0086128E">
      <w:pPr>
        <w:pStyle w:val="FootnoteText"/>
        <w:widowControl w:val="0"/>
        <w:numPr>
          <w:ilvl w:val="0"/>
          <w:numId w:val="0"/>
        </w:numPr>
        <w:spacing w:after="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SB 1078 (Sher, Chapter 516, Statutes of 2002); SB 107 (Simitian, Chapter 464, Statutes of 2006); SB 1036 (Perata, Chapter 685, Statutes of 2007); SB 2 (1X) (Simitian, Chapter 1, Statutes of 2011, First Extraordinary Session); SB 350 (de León, Chapter 547, Statutes of 2015); SB 100 (de Leon, Chapter 312, Statutes of 2018).</w:t>
      </w:r>
    </w:p>
  </w:footnote>
  <w:footnote w:id="4">
    <w:p w14:paraId="76DFA519" w14:textId="77777777" w:rsidR="00E53E96" w:rsidRPr="00941BC9" w:rsidRDefault="00E53E96" w:rsidP="0086128E">
      <w:pPr>
        <w:pStyle w:val="FootnoteText"/>
        <w:numPr>
          <w:ilvl w:val="0"/>
          <w:numId w:val="0"/>
        </w:numPr>
        <w:spacing w:after="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All further statutory references are to the Public Utilities Code unless otherwise specified.</w:t>
      </w:r>
    </w:p>
  </w:footnote>
  <w:footnote w:id="5">
    <w:p w14:paraId="7CCDA63E" w14:textId="77777777" w:rsidR="00E53E96" w:rsidRPr="00941BC9" w:rsidRDefault="00E53E96" w:rsidP="0086128E">
      <w:pPr>
        <w:autoSpaceDE w:val="0"/>
        <w:autoSpaceDN w:val="0"/>
        <w:adjustRightInd w:val="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w:t>
      </w:r>
      <w:r w:rsidRPr="00941BC9">
        <w:rPr>
          <w:rFonts w:ascii="Palatino Linotype" w:hAnsi="Palatino Linotype" w:cs="Palatino"/>
          <w:sz w:val="20"/>
        </w:rPr>
        <w:t xml:space="preserve">D.11-12-020 established a methodology to calculate procurement requirement quantities for the three different compliance periods covered in SB 2 (1X) (2011-2013, 2014-2016, and 2017-2020). D.16-12-040 established additional procurement requirement quantities for the three compliance periods established by SB 350: 2021-2024, 2025-2027, 2028-2030.     </w:t>
      </w:r>
    </w:p>
  </w:footnote>
  <w:footnote w:id="6">
    <w:p w14:paraId="7717B484" w14:textId="5B16D306" w:rsidR="00414BAE" w:rsidRPr="00941BC9" w:rsidRDefault="00414BAE" w:rsidP="00EA2588">
      <w:pPr>
        <w:pStyle w:val="FootnoteText"/>
        <w:numPr>
          <w:ilvl w:val="0"/>
          <w:numId w:val="0"/>
        </w:numPr>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The P50 figure is the annual average level of generation, where the output is forecasted to be exceeded 50% over a </w:t>
      </w:r>
      <w:r w:rsidR="00A639E3" w:rsidRPr="00941BC9">
        <w:rPr>
          <w:rFonts w:ascii="Palatino Linotype" w:hAnsi="Palatino Linotype"/>
          <w:sz w:val="20"/>
        </w:rPr>
        <w:t xml:space="preserve">   </w:t>
      </w:r>
      <w:r w:rsidRPr="00941BC9">
        <w:rPr>
          <w:rFonts w:ascii="Palatino Linotype" w:hAnsi="Palatino Linotype"/>
          <w:sz w:val="20"/>
        </w:rPr>
        <w:t>year.</w:t>
      </w:r>
    </w:p>
  </w:footnote>
  <w:footnote w:id="7">
    <w:p w14:paraId="7C9DEAC1" w14:textId="77777777" w:rsidR="001545BE" w:rsidRPr="00941BC9" w:rsidRDefault="001545BE" w:rsidP="00EA2588">
      <w:pPr>
        <w:pStyle w:val="FootnoteText"/>
        <w:numPr>
          <w:ilvl w:val="0"/>
          <w:numId w:val="0"/>
        </w:numPr>
        <w:ind w:left="36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See D.21-06-035. </w:t>
      </w:r>
    </w:p>
  </w:footnote>
  <w:footnote w:id="8">
    <w:p w14:paraId="5B6147AD" w14:textId="77777777" w:rsidR="00C23EA5" w:rsidRPr="00941BC9" w:rsidRDefault="00C23EA5" w:rsidP="00EA2588">
      <w:pPr>
        <w:pStyle w:val="FootnoteText"/>
        <w:numPr>
          <w:ilvl w:val="0"/>
          <w:numId w:val="0"/>
        </w:numPr>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AL 7299-E, p.11.</w:t>
      </w:r>
    </w:p>
  </w:footnote>
  <w:footnote w:id="9">
    <w:p w14:paraId="2F1DF747" w14:textId="1D2720FA" w:rsidR="00B6547C" w:rsidRPr="00941BC9" w:rsidRDefault="00B6547C" w:rsidP="00EA2588">
      <w:pPr>
        <w:pStyle w:val="FootnoteText"/>
        <w:numPr>
          <w:ilvl w:val="0"/>
          <w:numId w:val="0"/>
        </w:numPr>
        <w:ind w:left="9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w:t>
      </w:r>
      <w:r w:rsidRPr="00941BC9">
        <w:rPr>
          <w:rFonts w:ascii="Palatino Linotype" w:hAnsi="Palatino Linotype" w:cs="Arial"/>
          <w:sz w:val="20"/>
        </w:rPr>
        <w:t xml:space="preserve">Prior to this filing, PG&amp;E executed one agreement from the MTR RFO </w:t>
      </w:r>
      <w:r w:rsidRPr="00941BC9">
        <w:rPr>
          <w:rFonts w:ascii="Palatino Linotype" w:hAnsi="Palatino Linotype" w:cs="ArialMT"/>
          <w:sz w:val="20"/>
        </w:rPr>
        <w:t xml:space="preserve">– </w:t>
      </w:r>
      <w:r w:rsidRPr="00941BC9">
        <w:rPr>
          <w:rFonts w:ascii="Palatino Linotype" w:hAnsi="Palatino Linotype" w:cs="Arial"/>
          <w:sz w:val="20"/>
        </w:rPr>
        <w:t>Phase 3, which was filed as Advice Letter 7177-E.</w:t>
      </w:r>
    </w:p>
  </w:footnote>
  <w:footnote w:id="10">
    <w:p w14:paraId="399FCB3B" w14:textId="77777777" w:rsidR="00B6547C" w:rsidRPr="00941BC9" w:rsidRDefault="00B6547C" w:rsidP="00E23A79">
      <w:pPr>
        <w:pStyle w:val="FootnoteText"/>
        <w:numPr>
          <w:ilvl w:val="0"/>
          <w:numId w:val="0"/>
        </w:numPr>
        <w:spacing w:after="0"/>
        <w:ind w:left="9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Independent Evaluator Report: PG&amp;E’s Mid-Term Reliability RFO – Phase 3 Final Draft Report, prepared by Merrimack Energy Group, Inc., April 30, 2024.</w:t>
      </w:r>
    </w:p>
  </w:footnote>
  <w:footnote w:id="11">
    <w:p w14:paraId="72F4DE00" w14:textId="77777777" w:rsidR="00A916FB" w:rsidRPr="00941BC9" w:rsidRDefault="00A916FB" w:rsidP="00E23A79">
      <w:pPr>
        <w:autoSpaceDE w:val="0"/>
        <w:autoSpaceDN w:val="0"/>
        <w:adjustRightInd w:val="0"/>
        <w:rPr>
          <w:rFonts w:ascii="Palatino Linotype" w:hAnsi="Palatino Linotype" w:cs="Arial"/>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w:t>
      </w:r>
      <w:r w:rsidRPr="00941BC9">
        <w:rPr>
          <w:rFonts w:ascii="Palatino Linotype" w:hAnsi="Palatino Linotype" w:cs="Arial"/>
          <w:sz w:val="20"/>
        </w:rPr>
        <w:t>Per D.21-06-035 and D.23-02-040 resources are required to be online by June 1 for IRP</w:t>
      </w:r>
    </w:p>
    <w:p w14:paraId="36F59A71" w14:textId="77777777" w:rsidR="00A916FB" w:rsidRPr="00941BC9" w:rsidRDefault="00A916FB" w:rsidP="00E23A79">
      <w:pPr>
        <w:autoSpaceDE w:val="0"/>
        <w:autoSpaceDN w:val="0"/>
        <w:adjustRightInd w:val="0"/>
        <w:rPr>
          <w:rFonts w:ascii="Palatino Linotype" w:hAnsi="Palatino Linotype" w:cs="Arial"/>
          <w:sz w:val="20"/>
        </w:rPr>
      </w:pPr>
      <w:r w:rsidRPr="00941BC9">
        <w:rPr>
          <w:rFonts w:ascii="Palatino Linotype" w:hAnsi="Palatino Linotype" w:cs="Arial"/>
          <w:sz w:val="20"/>
        </w:rPr>
        <w:t>counting purposes. PG&amp;E has a commercial preference in 2025 and 2026 for resources that</w:t>
      </w:r>
    </w:p>
    <w:p w14:paraId="07329F05" w14:textId="77777777" w:rsidR="00A916FB" w:rsidRPr="00941BC9" w:rsidRDefault="00A916FB" w:rsidP="00E23A79">
      <w:pPr>
        <w:pStyle w:val="FootnoteText"/>
        <w:numPr>
          <w:ilvl w:val="0"/>
          <w:numId w:val="0"/>
        </w:numPr>
        <w:spacing w:after="0"/>
        <w:ind w:left="360" w:hanging="360"/>
        <w:rPr>
          <w:rFonts w:ascii="Palatino Linotype" w:hAnsi="Palatino Linotype"/>
          <w:sz w:val="20"/>
        </w:rPr>
      </w:pPr>
      <w:r w:rsidRPr="00941BC9">
        <w:rPr>
          <w:rFonts w:ascii="Palatino Linotype" w:hAnsi="Palatino Linotype" w:cs="Arial"/>
          <w:sz w:val="20"/>
        </w:rPr>
        <w:t>can be online March 1 as opposed to June 1.</w:t>
      </w:r>
    </w:p>
  </w:footnote>
  <w:footnote w:id="12">
    <w:p w14:paraId="3C0B3E9C" w14:textId="77777777" w:rsidR="00A916FB" w:rsidRPr="00941BC9" w:rsidRDefault="00A916FB" w:rsidP="00E23A79">
      <w:pPr>
        <w:autoSpaceDE w:val="0"/>
        <w:autoSpaceDN w:val="0"/>
        <w:adjustRightInd w:val="0"/>
        <w:rPr>
          <w:rFonts w:ascii="Palatino Linotype" w:hAnsi="Palatino Linotype" w:cs="Arial"/>
          <w:sz w:val="20"/>
        </w:rPr>
      </w:pPr>
      <w:r w:rsidRPr="00941BC9">
        <w:rPr>
          <w:rStyle w:val="FootnoteReference"/>
          <w:rFonts w:ascii="Palatino Linotype" w:hAnsi="Palatino Linotype"/>
          <w:sz w:val="20"/>
        </w:rPr>
        <w:footnoteRef/>
      </w:r>
      <w:r w:rsidRPr="00941BC9">
        <w:rPr>
          <w:rFonts w:ascii="Palatino Linotype" w:hAnsi="Palatino Linotype" w:cs="Arial"/>
          <w:sz w:val="20"/>
        </w:rPr>
        <w:t>For long lead-time resources, D.23-02-040 effectively moves the requirement to 2028 with</w:t>
      </w:r>
    </w:p>
    <w:p w14:paraId="166DBE91" w14:textId="77777777" w:rsidR="00A916FB" w:rsidRPr="00941BC9" w:rsidRDefault="00A916FB" w:rsidP="00E23A79">
      <w:pPr>
        <w:pStyle w:val="FootnoteText"/>
        <w:numPr>
          <w:ilvl w:val="0"/>
          <w:numId w:val="0"/>
        </w:numPr>
        <w:spacing w:after="0"/>
        <w:ind w:left="360" w:hanging="360"/>
        <w:rPr>
          <w:rFonts w:ascii="Palatino Linotype" w:hAnsi="Palatino Linotype"/>
          <w:sz w:val="20"/>
        </w:rPr>
      </w:pPr>
      <w:r w:rsidRPr="00941BC9">
        <w:rPr>
          <w:rFonts w:ascii="Palatino Linotype" w:hAnsi="Palatino Linotype" w:cs="Arial"/>
          <w:sz w:val="20"/>
        </w:rPr>
        <w:t>permission to seek an extension up to 2030 if certain conditions are met.</w:t>
      </w:r>
      <w:r w:rsidRPr="00941BC9">
        <w:rPr>
          <w:rFonts w:ascii="Palatino Linotype" w:hAnsi="Palatino Linotype"/>
          <w:sz w:val="20"/>
        </w:rPr>
        <w:t xml:space="preserve"> </w:t>
      </w:r>
    </w:p>
  </w:footnote>
  <w:footnote w:id="13">
    <w:p w14:paraId="55E97BE2" w14:textId="5C3D7AD7" w:rsidR="000C4AB1" w:rsidRPr="00941BC9" w:rsidRDefault="000C4AB1" w:rsidP="00EA2588">
      <w:pPr>
        <w:autoSpaceDE w:val="0"/>
        <w:autoSpaceDN w:val="0"/>
        <w:adjustRightInd w:val="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cs="Arial"/>
          <w:i/>
          <w:iCs/>
          <w:color w:val="000000"/>
          <w:sz w:val="20"/>
        </w:rPr>
        <w:t xml:space="preserve">See </w:t>
      </w:r>
      <w:r w:rsidRPr="00941BC9">
        <w:rPr>
          <w:rFonts w:ascii="Palatino Linotype" w:hAnsi="Palatino Linotype" w:cs="Arial"/>
          <w:color w:val="0000FF"/>
          <w:sz w:val="20"/>
        </w:rPr>
        <w:t>https://www.pge.com/en/about/doing-business-with-pge/wholesale-electric-powerprocurement/mid-term-reliability-rfo-phase-3.html</w:t>
      </w:r>
    </w:p>
  </w:footnote>
  <w:footnote w:id="14">
    <w:p w14:paraId="524B4030" w14:textId="0A303A76" w:rsidR="00A55E61" w:rsidRPr="00941BC9" w:rsidRDefault="00A55E61" w:rsidP="00EA2588">
      <w:pPr>
        <w:pStyle w:val="FootnoteText"/>
        <w:numPr>
          <w:ilvl w:val="0"/>
          <w:numId w:val="0"/>
        </w:numPr>
        <w:ind w:left="360" w:hanging="36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AL 7299-E, p.8</w:t>
      </w:r>
    </w:p>
  </w:footnote>
  <w:footnote w:id="15">
    <w:p w14:paraId="36AB13C3" w14:textId="4F5018BF" w:rsidR="00A51A68" w:rsidRPr="00941BC9" w:rsidRDefault="00A51A68" w:rsidP="00EA2588">
      <w:pPr>
        <w:pStyle w:val="FootnoteText"/>
        <w:numPr>
          <w:ilvl w:val="0"/>
          <w:numId w:val="0"/>
        </w:numPr>
        <w:ind w:left="360" w:hanging="36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AL 7199-E, p. 8</w:t>
      </w:r>
    </w:p>
  </w:footnote>
  <w:footnote w:id="16">
    <w:p w14:paraId="1667685A" w14:textId="77777777" w:rsidR="00AD1DD8" w:rsidRPr="00941BC9" w:rsidRDefault="00AD1DD8" w:rsidP="0086128E">
      <w:pPr>
        <w:pStyle w:val="FootnoteText"/>
        <w:numPr>
          <w:ilvl w:val="0"/>
          <w:numId w:val="0"/>
        </w:numPr>
        <w:spacing w:after="0"/>
        <w:ind w:left="9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For the purposes of the long-term contracting requirement, contracts of less than 10 years duration are considered “short-term” contracts. (D.12-06-038.)</w:t>
      </w:r>
    </w:p>
  </w:footnote>
  <w:footnote w:id="17">
    <w:p w14:paraId="181B0237" w14:textId="77777777" w:rsidR="00AD1DD8" w:rsidRPr="00941BC9" w:rsidRDefault="00AD1DD8" w:rsidP="0086128E">
      <w:pPr>
        <w:pStyle w:val="FootnoteText"/>
        <w:numPr>
          <w:ilvl w:val="0"/>
          <w:numId w:val="0"/>
        </w:numPr>
        <w:spacing w:after="0"/>
        <w:ind w:left="9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Pub. Util. Code Sec. 399.13: “Beginning January 1, 2021, at least 65 percent of the procurement a retail seller counts toward the renewables portfolio standard requirement of each compliance period shall be from its contracts of 10 years or more in duration…”</w:t>
      </w:r>
    </w:p>
  </w:footnote>
  <w:footnote w:id="18">
    <w:p w14:paraId="5F30C754" w14:textId="77777777" w:rsidR="00AD1DD8" w:rsidRPr="00941BC9" w:rsidRDefault="00AD1DD8" w:rsidP="0086128E">
      <w:pPr>
        <w:pStyle w:val="FootnoteText"/>
        <w:numPr>
          <w:ilvl w:val="0"/>
          <w:numId w:val="0"/>
        </w:numPr>
        <w:spacing w:after="0"/>
        <w:ind w:left="360" w:hanging="36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D.16-06-026, p. 56 (OP 23). </w:t>
      </w:r>
    </w:p>
  </w:footnote>
  <w:footnote w:id="19">
    <w:p w14:paraId="7CA9906F" w14:textId="1B2984E5" w:rsidR="001B7975" w:rsidRPr="00941BC9" w:rsidRDefault="001B7975" w:rsidP="0086128E">
      <w:pPr>
        <w:pStyle w:val="FootnoteText"/>
        <w:numPr>
          <w:ilvl w:val="0"/>
          <w:numId w:val="0"/>
        </w:numPr>
        <w:spacing w:after="0"/>
        <w:ind w:left="360" w:hanging="36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w:t>
      </w:r>
      <w:r w:rsidRPr="00941BC9">
        <w:rPr>
          <w:rFonts w:ascii="Palatino Linotype" w:hAnsi="Palatino Linotype"/>
          <w:i/>
          <w:sz w:val="20"/>
        </w:rPr>
        <w:t xml:space="preserve">See, e.g. </w:t>
      </w:r>
      <w:r w:rsidRPr="00941BC9">
        <w:rPr>
          <w:rFonts w:ascii="Palatino Linotype" w:hAnsi="Palatino Linotype"/>
          <w:sz w:val="20"/>
        </w:rPr>
        <w:t>D. 08-04-009 at Appendix A, STC 6, Eligibility.</w:t>
      </w:r>
    </w:p>
  </w:footnote>
  <w:footnote w:id="20">
    <w:p w14:paraId="1016FC58" w14:textId="77777777" w:rsidR="001B7975" w:rsidRPr="00941BC9" w:rsidRDefault="001B7975" w:rsidP="00EA2588">
      <w:pPr>
        <w:pStyle w:val="FootnoteText"/>
        <w:numPr>
          <w:ilvl w:val="0"/>
          <w:numId w:val="0"/>
        </w:numPr>
        <w:spacing w:after="0"/>
        <w:ind w:left="9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w:t>
      </w:r>
      <w:r w:rsidRPr="00941BC9">
        <w:rPr>
          <w:rFonts w:ascii="Palatino Linotype" w:hAnsi="Palatino Linotype"/>
          <w:i/>
          <w:sz w:val="20"/>
        </w:rPr>
        <w:t xml:space="preserve">See, e.g. </w:t>
      </w:r>
      <w:r w:rsidRPr="00941BC9">
        <w:rPr>
          <w:rFonts w:ascii="Palatino Linotype" w:hAnsi="Palatino Linotype"/>
          <w:sz w:val="20"/>
        </w:rPr>
        <w:t>D. 08-04-009 at Appendix A, STC 1, CPUC Approval.</w:t>
      </w:r>
    </w:p>
  </w:footnote>
  <w:footnote w:id="21">
    <w:p w14:paraId="217E4746" w14:textId="77777777" w:rsidR="001D4922" w:rsidRPr="00941BC9" w:rsidRDefault="001D4922" w:rsidP="00EA2588">
      <w:pPr>
        <w:pStyle w:val="FootnoteText"/>
        <w:numPr>
          <w:ilvl w:val="0"/>
          <w:numId w:val="0"/>
        </w:numPr>
        <w:spacing w:after="0"/>
        <w:ind w:left="9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The California Environmental Protection Agency’s Office of Environmental Health Hazard Assessment (OEHHA) created </w:t>
      </w:r>
      <w:proofErr w:type="spellStart"/>
      <w:r w:rsidRPr="00941BC9">
        <w:rPr>
          <w:rFonts w:ascii="Palatino Linotype" w:hAnsi="Palatino Linotype"/>
          <w:sz w:val="20"/>
        </w:rPr>
        <w:t>CalEnviroScreen</w:t>
      </w:r>
      <w:proofErr w:type="spellEnd"/>
      <w:r w:rsidRPr="00941BC9">
        <w:rPr>
          <w:rFonts w:ascii="Palatino Linotype" w:hAnsi="Palatino Linotype"/>
          <w:sz w:val="20"/>
        </w:rPr>
        <w:t xml:space="preserve"> through a public process </w:t>
      </w:r>
      <w:proofErr w:type="gramStart"/>
      <w:r w:rsidRPr="00941BC9">
        <w:rPr>
          <w:rFonts w:ascii="Palatino Linotype" w:hAnsi="Palatino Linotype"/>
          <w:sz w:val="20"/>
        </w:rPr>
        <w:t>in order to</w:t>
      </w:r>
      <w:proofErr w:type="gramEnd"/>
      <w:r w:rsidRPr="00941BC9">
        <w:rPr>
          <w:rFonts w:ascii="Palatino Linotype" w:hAnsi="Palatino Linotype"/>
          <w:sz w:val="20"/>
        </w:rPr>
        <w:t xml:space="preserve"> help the state identify disadvantaged communities, and the tool “uses environmental, health, and socioeconomic information to produce scores for every census tract in the state.” (https://oehha.ca.gov/calenviroscreen/.)</w:t>
      </w:r>
    </w:p>
  </w:footnote>
  <w:footnote w:id="22">
    <w:p w14:paraId="43ABB055" w14:textId="5CE786EE" w:rsidR="002E4079" w:rsidRPr="00941BC9" w:rsidRDefault="008800EF" w:rsidP="001D4642">
      <w:pPr>
        <w:pStyle w:val="FootnoteText"/>
        <w:numPr>
          <w:ilvl w:val="0"/>
          <w:numId w:val="0"/>
        </w:numPr>
        <w:spacing w:after="0"/>
        <w:ind w:left="9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w:t>
      </w:r>
      <w:r w:rsidR="008D7F90" w:rsidRPr="00941BC9">
        <w:rPr>
          <w:rFonts w:ascii="Palatino Linotype" w:hAnsi="Palatino Linotype"/>
          <w:sz w:val="20"/>
        </w:rPr>
        <w:t xml:space="preserve">President Biden’s Executive Order </w:t>
      </w:r>
      <w:r w:rsidR="00517154" w:rsidRPr="00941BC9">
        <w:rPr>
          <w:rFonts w:ascii="Palatino Linotype" w:hAnsi="Palatino Linotype"/>
          <w:sz w:val="20"/>
        </w:rPr>
        <w:t xml:space="preserve">(EO) </w:t>
      </w:r>
      <w:r w:rsidR="008D7F90" w:rsidRPr="00941BC9">
        <w:rPr>
          <w:rFonts w:ascii="Palatino Linotype" w:hAnsi="Palatino Linotype"/>
          <w:sz w:val="20"/>
        </w:rPr>
        <w:t xml:space="preserve">14008 issued on January 27, </w:t>
      </w:r>
      <w:r w:rsidR="004301AC" w:rsidRPr="00941BC9">
        <w:rPr>
          <w:rFonts w:ascii="Palatino Linotype" w:hAnsi="Palatino Linotype"/>
          <w:sz w:val="20"/>
        </w:rPr>
        <w:t>2021,</w:t>
      </w:r>
      <w:r w:rsidR="008D7F90" w:rsidRPr="00941BC9">
        <w:rPr>
          <w:rFonts w:ascii="Palatino Linotype" w:hAnsi="Palatino Linotype"/>
          <w:sz w:val="20"/>
        </w:rPr>
        <w:t xml:space="preserve"> directed the Council on Environmental Quality to develop the Climate and Economic Justice Screening Tool (CEJST) to identify communities with significant environmental, social, and economic burdens. </w:t>
      </w:r>
      <w:r w:rsidR="00517154" w:rsidRPr="00941BC9">
        <w:rPr>
          <w:rFonts w:ascii="Palatino Linotype" w:hAnsi="Palatino Linotype"/>
          <w:sz w:val="20"/>
        </w:rPr>
        <w:t>EO 14008 also established the Justice40 Initiative to focus energy, climate, and environmental funding on those communities. (</w:t>
      </w:r>
      <w:hyperlink r:id="rId1" w:history="1">
        <w:r w:rsidR="00517154" w:rsidRPr="00941BC9">
          <w:rPr>
            <w:rStyle w:val="Hyperlink"/>
            <w:rFonts w:ascii="Palatino Linotype" w:hAnsi="Palatino Linotype"/>
            <w:sz w:val="20"/>
          </w:rPr>
          <w:t>https://www.federalregister.gov/documents/2021/02/01/2021-02177/tackling-the-climate-crisis-at-home-and-abroad</w:t>
        </w:r>
      </w:hyperlink>
      <w:r w:rsidR="00517154" w:rsidRPr="00941BC9">
        <w:rPr>
          <w:rFonts w:ascii="Palatino Linotype" w:hAnsi="Palatino Linotype"/>
          <w:sz w:val="20"/>
        </w:rPr>
        <w:t>).  This order was in effect when Energy Division performed the analysis for this Resolution. On January 20, 2025, after Energy Division performed this analysis, President Trump issued EO 14148 rescinding EO 14008, which resulted in the removal of access to the CEJST through federal government channels. (https://www.federalregister.gov/documents/2025/01/28/2025-01901/initial-rescissions-of-harmful-executive-orders-and-actions).</w:t>
      </w:r>
      <w:r w:rsidR="00517154" w:rsidRPr="00941BC9" w:rsidDel="008D7F90">
        <w:rPr>
          <w:rFonts w:ascii="Palatino Linotype" w:hAnsi="Palatino Linotype"/>
          <w:sz w:val="20"/>
        </w:rPr>
        <w:t xml:space="preserve"> </w:t>
      </w:r>
      <w:r w:rsidR="0086128E" w:rsidRPr="0086128E">
        <w:rPr>
          <w:rFonts w:ascii="Palatino Linotype" w:hAnsi="Palatino Linotype"/>
          <w:sz w:val="20"/>
          <w:bdr w:val="single" w:sz="4" w:space="0" w:color="auto"/>
        </w:rPr>
        <w:t xml:space="preserve">                                                                           </w:t>
      </w:r>
      <w:r w:rsidR="0086128E">
        <w:rPr>
          <w:rFonts w:ascii="Palatino Linotype" w:hAnsi="Palatino Linotype"/>
          <w:sz w:val="20"/>
        </w:rPr>
        <w:t xml:space="preserve"> </w:t>
      </w:r>
    </w:p>
  </w:footnote>
  <w:footnote w:id="23">
    <w:p w14:paraId="1770E63A" w14:textId="77777777" w:rsidR="00B7585C" w:rsidRPr="00941BC9" w:rsidRDefault="00B7585C" w:rsidP="001D4642">
      <w:pPr>
        <w:pStyle w:val="FootnoteText"/>
        <w:numPr>
          <w:ilvl w:val="0"/>
          <w:numId w:val="0"/>
        </w:numPr>
        <w:spacing w:after="0"/>
        <w:ind w:left="90"/>
        <w:rPr>
          <w:rFonts w:ascii="Palatino Linotype" w:hAnsi="Palatino Linotype" w:cs="BookAntiqua"/>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“Baseload generation” is electricity generation at a power plant “designed and intended to provide electricity at an annualized plant capacity factor of at least 60%.”  Section </w:t>
      </w:r>
      <w:r w:rsidRPr="00941BC9">
        <w:rPr>
          <w:rFonts w:ascii="Palatino Linotype" w:hAnsi="Palatino Linotype" w:cs="BookAntiqua"/>
          <w:sz w:val="20"/>
        </w:rPr>
        <w:t>8340(a).</w:t>
      </w:r>
    </w:p>
  </w:footnote>
  <w:footnote w:id="24">
    <w:p w14:paraId="613CED39" w14:textId="77777777" w:rsidR="00B7585C" w:rsidRPr="00941BC9" w:rsidRDefault="00B7585C" w:rsidP="001D4642">
      <w:pPr>
        <w:autoSpaceDE w:val="0"/>
        <w:autoSpaceDN w:val="0"/>
        <w:adjustRightInd w:val="0"/>
        <w:rPr>
          <w:rFonts w:ascii="Palatino Linotype" w:hAnsi="Palatino Linotype"/>
          <w:sz w:val="20"/>
        </w:rPr>
      </w:pPr>
      <w:r w:rsidRPr="00941BC9">
        <w:rPr>
          <w:rStyle w:val="FootnoteReference"/>
          <w:rFonts w:ascii="Palatino Linotype" w:hAnsi="Palatino Linotype"/>
          <w:sz w:val="20"/>
        </w:rPr>
        <w:footnoteRef/>
      </w:r>
      <w:r w:rsidRPr="00941BC9">
        <w:rPr>
          <w:rStyle w:val="FootnoteReference"/>
          <w:rFonts w:ascii="Palatino Linotype" w:hAnsi="Palatino Linotype"/>
          <w:sz w:val="20"/>
        </w:rPr>
        <w:t xml:space="preserve"> </w:t>
      </w:r>
      <w:r w:rsidRPr="00941BC9">
        <w:rPr>
          <w:rFonts w:ascii="Palatino Linotype" w:hAnsi="Palatino Linotype"/>
          <w:sz w:val="20"/>
        </w:rPr>
        <w:t xml:space="preserve"> D.07-01-039, Attachment 7, p. 4.</w:t>
      </w:r>
    </w:p>
  </w:footnote>
  <w:footnote w:id="25">
    <w:p w14:paraId="3954CC93" w14:textId="30E59767" w:rsidR="002C480C" w:rsidRPr="00941BC9" w:rsidRDefault="002C480C" w:rsidP="00EA2588">
      <w:pPr>
        <w:pStyle w:val="FootnoteText"/>
        <w:numPr>
          <w:ilvl w:val="0"/>
          <w:numId w:val="0"/>
        </w:numPr>
        <w:ind w:left="360" w:hanging="360"/>
        <w:rPr>
          <w:rFonts w:ascii="Palatino Linotype" w:hAnsi="Palatino Linotype"/>
          <w:sz w:val="20"/>
        </w:rPr>
      </w:pPr>
      <w:r w:rsidRPr="00941BC9">
        <w:rPr>
          <w:rStyle w:val="FootnoteReference"/>
          <w:rFonts w:ascii="Palatino Linotype" w:hAnsi="Palatino Linotype"/>
          <w:sz w:val="20"/>
        </w:rPr>
        <w:footnoteRef/>
      </w:r>
      <w:r w:rsidRPr="00941BC9">
        <w:rPr>
          <w:rFonts w:ascii="Palatino Linotype" w:hAnsi="Palatino Linotype"/>
          <w:sz w:val="20"/>
        </w:rPr>
        <w:t xml:space="preserve"> See D.21-06-036, OP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7501" w14:textId="46A838EE" w:rsidR="00A916FB" w:rsidRPr="00D865A9" w:rsidRDefault="00A916FB">
    <w:pPr>
      <w:pStyle w:val="Header"/>
      <w:tabs>
        <w:tab w:val="clear" w:pos="4320"/>
        <w:tab w:val="clear" w:pos="8640"/>
        <w:tab w:val="center" w:pos="4680"/>
        <w:tab w:val="right" w:pos="9180"/>
      </w:tabs>
      <w:rPr>
        <w:rFonts w:ascii="Palatino Linotype" w:hAnsi="Palatino Linotype"/>
        <w:sz w:val="24"/>
        <w:szCs w:val="18"/>
      </w:rPr>
    </w:pPr>
    <w:r w:rsidRPr="00D865A9">
      <w:rPr>
        <w:rFonts w:ascii="Palatino Linotype" w:hAnsi="Palatino Linotype"/>
        <w:sz w:val="24"/>
        <w:szCs w:val="18"/>
      </w:rPr>
      <w:t xml:space="preserve">Resolution </w:t>
    </w:r>
    <w:r>
      <w:rPr>
        <w:rFonts w:ascii="Palatino Linotype" w:hAnsi="Palatino Linotype"/>
        <w:sz w:val="24"/>
        <w:szCs w:val="18"/>
      </w:rPr>
      <w:t>E-5345</w:t>
    </w:r>
    <w:r w:rsidR="00991D5A">
      <w:rPr>
        <w:rFonts w:ascii="Palatino Linotype" w:hAnsi="Palatino Linotype"/>
        <w:sz w:val="24"/>
        <w:szCs w:val="18"/>
      </w:rPr>
      <w:tab/>
    </w:r>
    <w:r w:rsidR="00941BC9">
      <w:rPr>
        <w:rFonts w:ascii="Palatino Linotype" w:hAnsi="Palatino Linotype"/>
        <w:sz w:val="24"/>
        <w:szCs w:val="18"/>
      </w:rPr>
      <w:t>DRAFT</w:t>
    </w:r>
    <w:r w:rsidRPr="00D865A9">
      <w:rPr>
        <w:rFonts w:ascii="Palatino Linotype" w:hAnsi="Palatino Linotype"/>
        <w:sz w:val="24"/>
        <w:szCs w:val="18"/>
      </w:rPr>
      <w:tab/>
    </w:r>
    <w:r w:rsidR="008D2FC6">
      <w:rPr>
        <w:rFonts w:ascii="Palatino Linotype" w:hAnsi="Palatino Linotype"/>
        <w:sz w:val="24"/>
        <w:szCs w:val="18"/>
      </w:rPr>
      <w:t xml:space="preserve">April </w:t>
    </w:r>
    <w:r w:rsidR="00991D5A">
      <w:rPr>
        <w:rFonts w:ascii="Palatino Linotype" w:hAnsi="Palatino Linotype"/>
        <w:sz w:val="24"/>
        <w:szCs w:val="18"/>
      </w:rPr>
      <w:t>3</w:t>
    </w:r>
    <w:r w:rsidR="00A30BD1">
      <w:rPr>
        <w:rFonts w:ascii="Palatino Linotype" w:hAnsi="Palatino Linotype"/>
        <w:sz w:val="24"/>
        <w:szCs w:val="18"/>
      </w:rPr>
      <w:t>, 2025</w:t>
    </w:r>
  </w:p>
  <w:p w14:paraId="282A9EA7" w14:textId="19CC175F" w:rsidR="00A916FB" w:rsidRPr="00D865A9" w:rsidRDefault="00A916FB">
    <w:pPr>
      <w:pStyle w:val="Header"/>
      <w:tabs>
        <w:tab w:val="clear" w:pos="4320"/>
        <w:tab w:val="clear" w:pos="8640"/>
        <w:tab w:val="center" w:pos="4680"/>
        <w:tab w:val="right" w:pos="9180"/>
      </w:tabs>
      <w:rPr>
        <w:rFonts w:ascii="Palatino Linotype" w:hAnsi="Palatino Linotype"/>
        <w:sz w:val="24"/>
        <w:szCs w:val="18"/>
      </w:rPr>
    </w:pPr>
    <w:r>
      <w:rPr>
        <w:rFonts w:ascii="Palatino Linotype" w:hAnsi="Palatino Linotype"/>
        <w:sz w:val="24"/>
        <w:szCs w:val="18"/>
      </w:rPr>
      <w:t xml:space="preserve">PG&amp;E </w:t>
    </w:r>
    <w:r w:rsidRPr="00D865A9">
      <w:rPr>
        <w:rFonts w:ascii="Palatino Linotype" w:hAnsi="Palatino Linotype"/>
        <w:sz w:val="24"/>
        <w:szCs w:val="18"/>
      </w:rPr>
      <w:t xml:space="preserve">AL </w:t>
    </w:r>
    <w:r>
      <w:rPr>
        <w:rFonts w:ascii="Palatino Linotype" w:hAnsi="Palatino Linotype"/>
        <w:sz w:val="24"/>
        <w:szCs w:val="18"/>
      </w:rPr>
      <w:t>7299</w:t>
    </w:r>
    <w:r w:rsidR="00BD0BF4">
      <w:rPr>
        <w:rFonts w:ascii="Palatino Linotype" w:hAnsi="Palatino Linotype"/>
        <w:sz w:val="24"/>
        <w:szCs w:val="18"/>
      </w:rPr>
      <w:t>/WWY</w:t>
    </w:r>
  </w:p>
  <w:p w14:paraId="061526BE" w14:textId="77777777" w:rsidR="00A916FB" w:rsidRPr="00D865A9" w:rsidRDefault="00A916FB">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C611" w14:textId="02DC4793" w:rsidR="00941BC9" w:rsidRPr="00941BC9" w:rsidRDefault="00941BC9" w:rsidP="00941BC9">
    <w:pPr>
      <w:pStyle w:val="Header"/>
      <w:jc w:val="center"/>
      <w:rPr>
        <w:rFonts w:ascii="Palatino Linotype" w:hAnsi="Palatino Linotype"/>
        <w:sz w:val="24"/>
        <w:szCs w:val="24"/>
      </w:rPr>
    </w:pPr>
    <w:r w:rsidRPr="00941BC9">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DD3"/>
    <w:multiLevelType w:val="hybridMultilevel"/>
    <w:tmpl w:val="A1F2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237BC"/>
    <w:multiLevelType w:val="hybridMultilevel"/>
    <w:tmpl w:val="E92CD618"/>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E64DE"/>
    <w:multiLevelType w:val="hybridMultilevel"/>
    <w:tmpl w:val="4E7A2A32"/>
    <w:lvl w:ilvl="0" w:tplc="10504730">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F55C1"/>
    <w:multiLevelType w:val="hybridMultilevel"/>
    <w:tmpl w:val="53BCE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6"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664FAF"/>
    <w:multiLevelType w:val="hybridMultilevel"/>
    <w:tmpl w:val="84262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1D6"/>
    <w:multiLevelType w:val="hybridMultilevel"/>
    <w:tmpl w:val="39A60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80B1D"/>
    <w:multiLevelType w:val="multilevel"/>
    <w:tmpl w:val="88443944"/>
    <w:lvl w:ilvl="0">
      <w:start w:val="1"/>
      <w:numFmt w:val="decimal"/>
      <w:pStyle w:val="FootnoteText"/>
      <w:lvlText w:val="%1."/>
      <w:lvlJc w:val="left"/>
      <w:pPr>
        <w:tabs>
          <w:tab w:val="num" w:pos="450"/>
        </w:tabs>
        <w:ind w:left="45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26F8414F"/>
    <w:multiLevelType w:val="hybridMultilevel"/>
    <w:tmpl w:val="23E8F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7F028E"/>
    <w:multiLevelType w:val="hybridMultilevel"/>
    <w:tmpl w:val="A538E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D3914"/>
    <w:multiLevelType w:val="hybridMultilevel"/>
    <w:tmpl w:val="C7EAF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6B51F9"/>
    <w:multiLevelType w:val="hybridMultilevel"/>
    <w:tmpl w:val="E550C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77766E7"/>
    <w:multiLevelType w:val="hybridMultilevel"/>
    <w:tmpl w:val="49D8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B1D29"/>
    <w:multiLevelType w:val="hybridMultilevel"/>
    <w:tmpl w:val="C1A0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D577CB"/>
    <w:multiLevelType w:val="hybridMultilevel"/>
    <w:tmpl w:val="E7AC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0"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D7F98"/>
    <w:multiLevelType w:val="hybridMultilevel"/>
    <w:tmpl w:val="5FCEB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EC46DE"/>
    <w:multiLevelType w:val="hybridMultilevel"/>
    <w:tmpl w:val="3488A59C"/>
    <w:lvl w:ilvl="0" w:tplc="E902A74E">
      <w:start w:val="1"/>
      <w:numFmt w:val="lowerLetter"/>
      <w:lvlText w:val="%1."/>
      <w:lvlJc w:val="left"/>
      <w:pPr>
        <w:ind w:left="720" w:hanging="360"/>
      </w:pPr>
      <w:rPr>
        <w:rFonts w:ascii="Palatino Linotype" w:eastAsia="Times New Roman" w:hAnsi="Palatino Linotype"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9C78D4"/>
    <w:multiLevelType w:val="hybridMultilevel"/>
    <w:tmpl w:val="A0520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B84711"/>
    <w:multiLevelType w:val="hybridMultilevel"/>
    <w:tmpl w:val="9EFE1974"/>
    <w:lvl w:ilvl="0" w:tplc="04090001">
      <w:start w:val="1"/>
      <w:numFmt w:val="bullet"/>
      <w:lvlText w:val=""/>
      <w:lvlJc w:val="left"/>
      <w:pPr>
        <w:ind w:left="1440" w:hanging="360"/>
      </w:pPr>
      <w:rPr>
        <w:rFonts w:ascii="Symbol" w:hAnsi="Symbol" w:hint="default"/>
      </w:rPr>
    </w:lvl>
    <w:lvl w:ilvl="1" w:tplc="BE4AC6A4">
      <w:numFmt w:val="bullet"/>
      <w:lvlText w:val="•"/>
      <w:lvlJc w:val="left"/>
      <w:pPr>
        <w:ind w:left="2520" w:hanging="720"/>
      </w:pPr>
      <w:rPr>
        <w:rFonts w:ascii="Palatino Linotype" w:eastAsia="Times New Roman" w:hAnsi="Palatino Linotyp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2476969">
    <w:abstractNumId w:val="5"/>
  </w:num>
  <w:num w:numId="2" w16cid:durableId="1179659355">
    <w:abstractNumId w:val="15"/>
  </w:num>
  <w:num w:numId="3" w16cid:durableId="1184857078">
    <w:abstractNumId w:val="10"/>
  </w:num>
  <w:num w:numId="4" w16cid:durableId="1697269902">
    <w:abstractNumId w:val="19"/>
  </w:num>
  <w:num w:numId="5" w16cid:durableId="2024938905">
    <w:abstractNumId w:val="6"/>
  </w:num>
  <w:num w:numId="6" w16cid:durableId="1129127765">
    <w:abstractNumId w:val="11"/>
  </w:num>
  <w:num w:numId="7" w16cid:durableId="245842286">
    <w:abstractNumId w:val="25"/>
  </w:num>
  <w:num w:numId="8" w16cid:durableId="423575508">
    <w:abstractNumId w:val="26"/>
  </w:num>
  <w:num w:numId="9" w16cid:durableId="174535851">
    <w:abstractNumId w:val="8"/>
  </w:num>
  <w:num w:numId="10" w16cid:durableId="1982341160">
    <w:abstractNumId w:val="20"/>
  </w:num>
  <w:num w:numId="11" w16cid:durableId="1902793005">
    <w:abstractNumId w:val="0"/>
  </w:num>
  <w:num w:numId="12" w16cid:durableId="1803886517">
    <w:abstractNumId w:val="24"/>
  </w:num>
  <w:num w:numId="13" w16cid:durableId="1592280267">
    <w:abstractNumId w:val="18"/>
  </w:num>
  <w:num w:numId="14" w16cid:durableId="1850175507">
    <w:abstractNumId w:val="12"/>
  </w:num>
  <w:num w:numId="15" w16cid:durableId="86006629">
    <w:abstractNumId w:val="22"/>
  </w:num>
  <w:num w:numId="16" w16cid:durableId="1097603433">
    <w:abstractNumId w:val="23"/>
  </w:num>
  <w:num w:numId="17" w16cid:durableId="752048867">
    <w:abstractNumId w:val="14"/>
  </w:num>
  <w:num w:numId="18" w16cid:durableId="655644153">
    <w:abstractNumId w:val="2"/>
  </w:num>
  <w:num w:numId="19" w16cid:durableId="1713576560">
    <w:abstractNumId w:val="21"/>
  </w:num>
  <w:num w:numId="20" w16cid:durableId="428283338">
    <w:abstractNumId w:val="16"/>
  </w:num>
  <w:num w:numId="21" w16cid:durableId="144128026">
    <w:abstractNumId w:val="1"/>
  </w:num>
  <w:num w:numId="22" w16cid:durableId="214204235">
    <w:abstractNumId w:val="13"/>
  </w:num>
  <w:num w:numId="23" w16cid:durableId="1240554285">
    <w:abstractNumId w:val="9"/>
  </w:num>
  <w:num w:numId="24" w16cid:durableId="347561913">
    <w:abstractNumId w:val="7"/>
  </w:num>
  <w:num w:numId="25" w16cid:durableId="1004746692">
    <w:abstractNumId w:val="4"/>
  </w:num>
  <w:num w:numId="26" w16cid:durableId="881484546">
    <w:abstractNumId w:val="3"/>
  </w:num>
  <w:num w:numId="27" w16cid:durableId="9599184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0134"/>
    <w:rsid w:val="00001CB3"/>
    <w:rsid w:val="00011C8D"/>
    <w:rsid w:val="00012928"/>
    <w:rsid w:val="00012D3A"/>
    <w:rsid w:val="00012D45"/>
    <w:rsid w:val="000140A7"/>
    <w:rsid w:val="00014DEC"/>
    <w:rsid w:val="00015434"/>
    <w:rsid w:val="00016219"/>
    <w:rsid w:val="0001623D"/>
    <w:rsid w:val="00016EE8"/>
    <w:rsid w:val="00023672"/>
    <w:rsid w:val="00024C89"/>
    <w:rsid w:val="00025975"/>
    <w:rsid w:val="00026516"/>
    <w:rsid w:val="00030CDD"/>
    <w:rsid w:val="00032B3A"/>
    <w:rsid w:val="00032F2B"/>
    <w:rsid w:val="000332AE"/>
    <w:rsid w:val="00033514"/>
    <w:rsid w:val="00034512"/>
    <w:rsid w:val="00035E49"/>
    <w:rsid w:val="00041BB9"/>
    <w:rsid w:val="0004231A"/>
    <w:rsid w:val="00043EFB"/>
    <w:rsid w:val="000449A4"/>
    <w:rsid w:val="00046556"/>
    <w:rsid w:val="00054A06"/>
    <w:rsid w:val="00055467"/>
    <w:rsid w:val="000556E9"/>
    <w:rsid w:val="000639DA"/>
    <w:rsid w:val="00067DA7"/>
    <w:rsid w:val="00070E55"/>
    <w:rsid w:val="000718DD"/>
    <w:rsid w:val="00073FA5"/>
    <w:rsid w:val="00076FA6"/>
    <w:rsid w:val="00077EDB"/>
    <w:rsid w:val="00086263"/>
    <w:rsid w:val="000870B1"/>
    <w:rsid w:val="00090457"/>
    <w:rsid w:val="000927B7"/>
    <w:rsid w:val="00093D4F"/>
    <w:rsid w:val="000A305A"/>
    <w:rsid w:val="000A3BA6"/>
    <w:rsid w:val="000A7664"/>
    <w:rsid w:val="000B5D11"/>
    <w:rsid w:val="000B6347"/>
    <w:rsid w:val="000B6E23"/>
    <w:rsid w:val="000C06A6"/>
    <w:rsid w:val="000C0E4E"/>
    <w:rsid w:val="000C2E34"/>
    <w:rsid w:val="000C4AB1"/>
    <w:rsid w:val="000C50E3"/>
    <w:rsid w:val="000D1D4B"/>
    <w:rsid w:val="000D2CBB"/>
    <w:rsid w:val="000D3A75"/>
    <w:rsid w:val="000E1C4C"/>
    <w:rsid w:val="000F2B98"/>
    <w:rsid w:val="000F2F16"/>
    <w:rsid w:val="000F4989"/>
    <w:rsid w:val="000F6609"/>
    <w:rsid w:val="00102FC9"/>
    <w:rsid w:val="00110188"/>
    <w:rsid w:val="00113744"/>
    <w:rsid w:val="00113D70"/>
    <w:rsid w:val="0012467F"/>
    <w:rsid w:val="001252A4"/>
    <w:rsid w:val="00125B75"/>
    <w:rsid w:val="00127F9E"/>
    <w:rsid w:val="001354A1"/>
    <w:rsid w:val="00136B82"/>
    <w:rsid w:val="00137E6B"/>
    <w:rsid w:val="00140F1C"/>
    <w:rsid w:val="00142FB8"/>
    <w:rsid w:val="00147FCD"/>
    <w:rsid w:val="001506F9"/>
    <w:rsid w:val="001545BE"/>
    <w:rsid w:val="00154CBB"/>
    <w:rsid w:val="0015528C"/>
    <w:rsid w:val="00155AFC"/>
    <w:rsid w:val="00165280"/>
    <w:rsid w:val="001679CF"/>
    <w:rsid w:val="001723AB"/>
    <w:rsid w:val="001751D4"/>
    <w:rsid w:val="0017739B"/>
    <w:rsid w:val="00184BC6"/>
    <w:rsid w:val="00187C6E"/>
    <w:rsid w:val="00190503"/>
    <w:rsid w:val="00192B3D"/>
    <w:rsid w:val="00196B66"/>
    <w:rsid w:val="001A037E"/>
    <w:rsid w:val="001A10DA"/>
    <w:rsid w:val="001A1DB2"/>
    <w:rsid w:val="001A3D74"/>
    <w:rsid w:val="001A438B"/>
    <w:rsid w:val="001A7ED5"/>
    <w:rsid w:val="001B07F5"/>
    <w:rsid w:val="001B125C"/>
    <w:rsid w:val="001B3778"/>
    <w:rsid w:val="001B66F3"/>
    <w:rsid w:val="001B7975"/>
    <w:rsid w:val="001C12C4"/>
    <w:rsid w:val="001C1EF4"/>
    <w:rsid w:val="001C2DEB"/>
    <w:rsid w:val="001D0527"/>
    <w:rsid w:val="001D3029"/>
    <w:rsid w:val="001D30CD"/>
    <w:rsid w:val="001D4642"/>
    <w:rsid w:val="001D4922"/>
    <w:rsid w:val="001D5365"/>
    <w:rsid w:val="001D5517"/>
    <w:rsid w:val="001D7F55"/>
    <w:rsid w:val="001E0FF3"/>
    <w:rsid w:val="001E233B"/>
    <w:rsid w:val="001E4C29"/>
    <w:rsid w:val="001F0920"/>
    <w:rsid w:val="001F2A65"/>
    <w:rsid w:val="001F4A26"/>
    <w:rsid w:val="001F5325"/>
    <w:rsid w:val="001F7F96"/>
    <w:rsid w:val="0020108F"/>
    <w:rsid w:val="00202D6D"/>
    <w:rsid w:val="00204F49"/>
    <w:rsid w:val="002065B4"/>
    <w:rsid w:val="002076D9"/>
    <w:rsid w:val="00211068"/>
    <w:rsid w:val="00211DB8"/>
    <w:rsid w:val="002130AF"/>
    <w:rsid w:val="00213454"/>
    <w:rsid w:val="002205C5"/>
    <w:rsid w:val="002205CF"/>
    <w:rsid w:val="002239D0"/>
    <w:rsid w:val="00231D17"/>
    <w:rsid w:val="00236051"/>
    <w:rsid w:val="00237760"/>
    <w:rsid w:val="00240285"/>
    <w:rsid w:val="00242FAF"/>
    <w:rsid w:val="0024459D"/>
    <w:rsid w:val="00251CFD"/>
    <w:rsid w:val="002530FE"/>
    <w:rsid w:val="0025645E"/>
    <w:rsid w:val="00261AA6"/>
    <w:rsid w:val="00261F64"/>
    <w:rsid w:val="00263224"/>
    <w:rsid w:val="0026706B"/>
    <w:rsid w:val="002678D1"/>
    <w:rsid w:val="0027601C"/>
    <w:rsid w:val="00282D87"/>
    <w:rsid w:val="0028404D"/>
    <w:rsid w:val="00287F74"/>
    <w:rsid w:val="00290E3A"/>
    <w:rsid w:val="002922DA"/>
    <w:rsid w:val="002935FF"/>
    <w:rsid w:val="002942AF"/>
    <w:rsid w:val="00297311"/>
    <w:rsid w:val="002A019A"/>
    <w:rsid w:val="002B0E49"/>
    <w:rsid w:val="002B260E"/>
    <w:rsid w:val="002B26DC"/>
    <w:rsid w:val="002B65C4"/>
    <w:rsid w:val="002C2F32"/>
    <w:rsid w:val="002C480C"/>
    <w:rsid w:val="002C62D9"/>
    <w:rsid w:val="002D1A96"/>
    <w:rsid w:val="002D1C0C"/>
    <w:rsid w:val="002D6E68"/>
    <w:rsid w:val="002E0309"/>
    <w:rsid w:val="002E039F"/>
    <w:rsid w:val="002E0D8A"/>
    <w:rsid w:val="002E3765"/>
    <w:rsid w:val="002E4079"/>
    <w:rsid w:val="002E4711"/>
    <w:rsid w:val="002F0764"/>
    <w:rsid w:val="002F0A55"/>
    <w:rsid w:val="002F45A6"/>
    <w:rsid w:val="002F56A1"/>
    <w:rsid w:val="002F7CE7"/>
    <w:rsid w:val="00301017"/>
    <w:rsid w:val="00301757"/>
    <w:rsid w:val="0031084A"/>
    <w:rsid w:val="00311345"/>
    <w:rsid w:val="00315981"/>
    <w:rsid w:val="00316474"/>
    <w:rsid w:val="00323A1F"/>
    <w:rsid w:val="0032478B"/>
    <w:rsid w:val="00324C5E"/>
    <w:rsid w:val="00333D5C"/>
    <w:rsid w:val="00335073"/>
    <w:rsid w:val="00340162"/>
    <w:rsid w:val="00343A92"/>
    <w:rsid w:val="003449ED"/>
    <w:rsid w:val="00346203"/>
    <w:rsid w:val="003550FB"/>
    <w:rsid w:val="00363323"/>
    <w:rsid w:val="003651FE"/>
    <w:rsid w:val="00365736"/>
    <w:rsid w:val="00371EE8"/>
    <w:rsid w:val="003774F8"/>
    <w:rsid w:val="00381191"/>
    <w:rsid w:val="00387E80"/>
    <w:rsid w:val="003925A0"/>
    <w:rsid w:val="00394B3A"/>
    <w:rsid w:val="00395758"/>
    <w:rsid w:val="00397408"/>
    <w:rsid w:val="00397413"/>
    <w:rsid w:val="003A0673"/>
    <w:rsid w:val="003A1F0A"/>
    <w:rsid w:val="003A2625"/>
    <w:rsid w:val="003A656B"/>
    <w:rsid w:val="003A6FDE"/>
    <w:rsid w:val="003A7D6A"/>
    <w:rsid w:val="003B012F"/>
    <w:rsid w:val="003B11D1"/>
    <w:rsid w:val="003B1781"/>
    <w:rsid w:val="003B1839"/>
    <w:rsid w:val="003B1F52"/>
    <w:rsid w:val="003B28DC"/>
    <w:rsid w:val="003B2A81"/>
    <w:rsid w:val="003B3009"/>
    <w:rsid w:val="003B40CE"/>
    <w:rsid w:val="003B6CCA"/>
    <w:rsid w:val="003C17E4"/>
    <w:rsid w:val="003C3921"/>
    <w:rsid w:val="003C4977"/>
    <w:rsid w:val="003C4F20"/>
    <w:rsid w:val="003C6C17"/>
    <w:rsid w:val="003D3DEF"/>
    <w:rsid w:val="003D64AD"/>
    <w:rsid w:val="003D688F"/>
    <w:rsid w:val="003D7F61"/>
    <w:rsid w:val="003E5251"/>
    <w:rsid w:val="003E640F"/>
    <w:rsid w:val="003F0AB3"/>
    <w:rsid w:val="003F1F13"/>
    <w:rsid w:val="003F2698"/>
    <w:rsid w:val="003F2D22"/>
    <w:rsid w:val="003F57E1"/>
    <w:rsid w:val="003F6E5A"/>
    <w:rsid w:val="003F76E6"/>
    <w:rsid w:val="0040021B"/>
    <w:rsid w:val="00400F6B"/>
    <w:rsid w:val="00404552"/>
    <w:rsid w:val="00411D6C"/>
    <w:rsid w:val="00412870"/>
    <w:rsid w:val="0041311D"/>
    <w:rsid w:val="00414270"/>
    <w:rsid w:val="00414965"/>
    <w:rsid w:val="00414BAE"/>
    <w:rsid w:val="004153A9"/>
    <w:rsid w:val="004171FD"/>
    <w:rsid w:val="004218CA"/>
    <w:rsid w:val="004228D7"/>
    <w:rsid w:val="00422988"/>
    <w:rsid w:val="004231A5"/>
    <w:rsid w:val="00423441"/>
    <w:rsid w:val="004245C8"/>
    <w:rsid w:val="00426667"/>
    <w:rsid w:val="004301AC"/>
    <w:rsid w:val="00431BF6"/>
    <w:rsid w:val="0043263F"/>
    <w:rsid w:val="00432818"/>
    <w:rsid w:val="004328A1"/>
    <w:rsid w:val="0043397A"/>
    <w:rsid w:val="00440AB7"/>
    <w:rsid w:val="00442958"/>
    <w:rsid w:val="00455150"/>
    <w:rsid w:val="00457EDE"/>
    <w:rsid w:val="00463863"/>
    <w:rsid w:val="004649A9"/>
    <w:rsid w:val="004664A9"/>
    <w:rsid w:val="00467259"/>
    <w:rsid w:val="00467956"/>
    <w:rsid w:val="00470B9B"/>
    <w:rsid w:val="00474A1C"/>
    <w:rsid w:val="004817BB"/>
    <w:rsid w:val="00487A0A"/>
    <w:rsid w:val="004905D3"/>
    <w:rsid w:val="00491338"/>
    <w:rsid w:val="004958EC"/>
    <w:rsid w:val="004B18C4"/>
    <w:rsid w:val="004B5E14"/>
    <w:rsid w:val="004C1843"/>
    <w:rsid w:val="004D275F"/>
    <w:rsid w:val="004D3212"/>
    <w:rsid w:val="004D3C24"/>
    <w:rsid w:val="004D4212"/>
    <w:rsid w:val="004D50DD"/>
    <w:rsid w:val="004E0B68"/>
    <w:rsid w:val="004E1A4B"/>
    <w:rsid w:val="004E1CF3"/>
    <w:rsid w:val="004E40FC"/>
    <w:rsid w:val="004E60DE"/>
    <w:rsid w:val="004E7CE5"/>
    <w:rsid w:val="004F589F"/>
    <w:rsid w:val="005028E8"/>
    <w:rsid w:val="00503E91"/>
    <w:rsid w:val="005061F1"/>
    <w:rsid w:val="00507D54"/>
    <w:rsid w:val="00511982"/>
    <w:rsid w:val="005145E7"/>
    <w:rsid w:val="00517154"/>
    <w:rsid w:val="005200C5"/>
    <w:rsid w:val="00522D5D"/>
    <w:rsid w:val="005249DF"/>
    <w:rsid w:val="00525596"/>
    <w:rsid w:val="00527BDA"/>
    <w:rsid w:val="00532F33"/>
    <w:rsid w:val="00533A5B"/>
    <w:rsid w:val="0053730C"/>
    <w:rsid w:val="005429E4"/>
    <w:rsid w:val="00545D4D"/>
    <w:rsid w:val="00545EF1"/>
    <w:rsid w:val="00551134"/>
    <w:rsid w:val="00551164"/>
    <w:rsid w:val="0056061A"/>
    <w:rsid w:val="0057202D"/>
    <w:rsid w:val="0057398B"/>
    <w:rsid w:val="005741E9"/>
    <w:rsid w:val="00574B48"/>
    <w:rsid w:val="005759C6"/>
    <w:rsid w:val="005764DB"/>
    <w:rsid w:val="005805BF"/>
    <w:rsid w:val="00580B86"/>
    <w:rsid w:val="005817A0"/>
    <w:rsid w:val="005823D7"/>
    <w:rsid w:val="005829F6"/>
    <w:rsid w:val="005830FD"/>
    <w:rsid w:val="005928DC"/>
    <w:rsid w:val="00592DAE"/>
    <w:rsid w:val="00593807"/>
    <w:rsid w:val="005A1038"/>
    <w:rsid w:val="005A1D58"/>
    <w:rsid w:val="005A35DF"/>
    <w:rsid w:val="005A6DC3"/>
    <w:rsid w:val="005B22A1"/>
    <w:rsid w:val="005B319D"/>
    <w:rsid w:val="005C41FF"/>
    <w:rsid w:val="005C6433"/>
    <w:rsid w:val="005D02D9"/>
    <w:rsid w:val="005D14BB"/>
    <w:rsid w:val="005D5893"/>
    <w:rsid w:val="005D6367"/>
    <w:rsid w:val="005E0417"/>
    <w:rsid w:val="005E44E6"/>
    <w:rsid w:val="005E4EC7"/>
    <w:rsid w:val="005E53D6"/>
    <w:rsid w:val="005F1942"/>
    <w:rsid w:val="005F2346"/>
    <w:rsid w:val="005F3C5C"/>
    <w:rsid w:val="005F5898"/>
    <w:rsid w:val="00600178"/>
    <w:rsid w:val="00601933"/>
    <w:rsid w:val="0060526F"/>
    <w:rsid w:val="006113D9"/>
    <w:rsid w:val="00613C9A"/>
    <w:rsid w:val="00614CAE"/>
    <w:rsid w:val="00614CB6"/>
    <w:rsid w:val="00622821"/>
    <w:rsid w:val="00624386"/>
    <w:rsid w:val="00626B44"/>
    <w:rsid w:val="0063162E"/>
    <w:rsid w:val="006448E2"/>
    <w:rsid w:val="0064588C"/>
    <w:rsid w:val="00646E45"/>
    <w:rsid w:val="006510F4"/>
    <w:rsid w:val="00651404"/>
    <w:rsid w:val="00651B48"/>
    <w:rsid w:val="006627C1"/>
    <w:rsid w:val="00664006"/>
    <w:rsid w:val="00664929"/>
    <w:rsid w:val="006665F1"/>
    <w:rsid w:val="006676AE"/>
    <w:rsid w:val="00667D0B"/>
    <w:rsid w:val="00683F72"/>
    <w:rsid w:val="00684A7B"/>
    <w:rsid w:val="00685030"/>
    <w:rsid w:val="00685889"/>
    <w:rsid w:val="00690778"/>
    <w:rsid w:val="00690C2B"/>
    <w:rsid w:val="006921F7"/>
    <w:rsid w:val="0069631C"/>
    <w:rsid w:val="006A0D73"/>
    <w:rsid w:val="006A0F8C"/>
    <w:rsid w:val="006A3045"/>
    <w:rsid w:val="006A59EA"/>
    <w:rsid w:val="006B05EE"/>
    <w:rsid w:val="006B1608"/>
    <w:rsid w:val="006B33C2"/>
    <w:rsid w:val="006B7B8B"/>
    <w:rsid w:val="006C093F"/>
    <w:rsid w:val="006C1016"/>
    <w:rsid w:val="006C7C15"/>
    <w:rsid w:val="006D0218"/>
    <w:rsid w:val="006D580F"/>
    <w:rsid w:val="006E1D52"/>
    <w:rsid w:val="006E22CF"/>
    <w:rsid w:val="006E2FF9"/>
    <w:rsid w:val="006E3B68"/>
    <w:rsid w:val="00703134"/>
    <w:rsid w:val="007069A5"/>
    <w:rsid w:val="007073B0"/>
    <w:rsid w:val="00707A86"/>
    <w:rsid w:val="00713017"/>
    <w:rsid w:val="0071660D"/>
    <w:rsid w:val="00720D75"/>
    <w:rsid w:val="00726934"/>
    <w:rsid w:val="00732227"/>
    <w:rsid w:val="00732AE7"/>
    <w:rsid w:val="007333A5"/>
    <w:rsid w:val="0073472C"/>
    <w:rsid w:val="00734CCB"/>
    <w:rsid w:val="00737469"/>
    <w:rsid w:val="0074186D"/>
    <w:rsid w:val="00741C34"/>
    <w:rsid w:val="00746312"/>
    <w:rsid w:val="007463FA"/>
    <w:rsid w:val="00751F03"/>
    <w:rsid w:val="00757755"/>
    <w:rsid w:val="007602B4"/>
    <w:rsid w:val="00766D11"/>
    <w:rsid w:val="00767DA2"/>
    <w:rsid w:val="00770DEF"/>
    <w:rsid w:val="007741A0"/>
    <w:rsid w:val="00774696"/>
    <w:rsid w:val="00775821"/>
    <w:rsid w:val="007766B7"/>
    <w:rsid w:val="0077724D"/>
    <w:rsid w:val="00780A6C"/>
    <w:rsid w:val="00781AE2"/>
    <w:rsid w:val="007830CC"/>
    <w:rsid w:val="007851A4"/>
    <w:rsid w:val="007851DF"/>
    <w:rsid w:val="0078660E"/>
    <w:rsid w:val="00791DB3"/>
    <w:rsid w:val="00796E38"/>
    <w:rsid w:val="0079767F"/>
    <w:rsid w:val="007A1970"/>
    <w:rsid w:val="007A220D"/>
    <w:rsid w:val="007A281A"/>
    <w:rsid w:val="007A4AA5"/>
    <w:rsid w:val="007A6172"/>
    <w:rsid w:val="007B36FD"/>
    <w:rsid w:val="007B4671"/>
    <w:rsid w:val="007B480B"/>
    <w:rsid w:val="007B5032"/>
    <w:rsid w:val="007B57D1"/>
    <w:rsid w:val="007B5817"/>
    <w:rsid w:val="007C43DB"/>
    <w:rsid w:val="007D578F"/>
    <w:rsid w:val="007D67CA"/>
    <w:rsid w:val="007D71E5"/>
    <w:rsid w:val="007E1A3F"/>
    <w:rsid w:val="007E6E32"/>
    <w:rsid w:val="007E73F4"/>
    <w:rsid w:val="007F47CD"/>
    <w:rsid w:val="007F6F1C"/>
    <w:rsid w:val="007F7207"/>
    <w:rsid w:val="007F7B83"/>
    <w:rsid w:val="00801D70"/>
    <w:rsid w:val="00802E84"/>
    <w:rsid w:val="0080502B"/>
    <w:rsid w:val="00805C01"/>
    <w:rsid w:val="0080650C"/>
    <w:rsid w:val="008143DD"/>
    <w:rsid w:val="00815B5F"/>
    <w:rsid w:val="00815DFB"/>
    <w:rsid w:val="008162A3"/>
    <w:rsid w:val="00821235"/>
    <w:rsid w:val="00822061"/>
    <w:rsid w:val="00833320"/>
    <w:rsid w:val="0083659D"/>
    <w:rsid w:val="0083665C"/>
    <w:rsid w:val="00836CE8"/>
    <w:rsid w:val="008405E8"/>
    <w:rsid w:val="0084093E"/>
    <w:rsid w:val="00840FC4"/>
    <w:rsid w:val="008431CF"/>
    <w:rsid w:val="008461E4"/>
    <w:rsid w:val="00852D29"/>
    <w:rsid w:val="00852F65"/>
    <w:rsid w:val="00853F0C"/>
    <w:rsid w:val="008543F0"/>
    <w:rsid w:val="0085536C"/>
    <w:rsid w:val="0085584A"/>
    <w:rsid w:val="00857BC0"/>
    <w:rsid w:val="0086128E"/>
    <w:rsid w:val="0086258D"/>
    <w:rsid w:val="00862824"/>
    <w:rsid w:val="008637BD"/>
    <w:rsid w:val="0086681B"/>
    <w:rsid w:val="00866FEB"/>
    <w:rsid w:val="00870CDA"/>
    <w:rsid w:val="008722F4"/>
    <w:rsid w:val="00874696"/>
    <w:rsid w:val="008754AF"/>
    <w:rsid w:val="008764FC"/>
    <w:rsid w:val="008800EF"/>
    <w:rsid w:val="00881E3C"/>
    <w:rsid w:val="00882AEA"/>
    <w:rsid w:val="00884C78"/>
    <w:rsid w:val="00884FAE"/>
    <w:rsid w:val="00885E97"/>
    <w:rsid w:val="0088650F"/>
    <w:rsid w:val="00891730"/>
    <w:rsid w:val="00892976"/>
    <w:rsid w:val="0089509F"/>
    <w:rsid w:val="0089620E"/>
    <w:rsid w:val="008964BF"/>
    <w:rsid w:val="00897962"/>
    <w:rsid w:val="008A1EBE"/>
    <w:rsid w:val="008A4A8F"/>
    <w:rsid w:val="008B15A4"/>
    <w:rsid w:val="008B35CE"/>
    <w:rsid w:val="008B369A"/>
    <w:rsid w:val="008C05F5"/>
    <w:rsid w:val="008C293A"/>
    <w:rsid w:val="008C3DDC"/>
    <w:rsid w:val="008C52A9"/>
    <w:rsid w:val="008C6F92"/>
    <w:rsid w:val="008D08C5"/>
    <w:rsid w:val="008D2FC6"/>
    <w:rsid w:val="008D5030"/>
    <w:rsid w:val="008D78D8"/>
    <w:rsid w:val="008D7BB7"/>
    <w:rsid w:val="008D7F90"/>
    <w:rsid w:val="008E0001"/>
    <w:rsid w:val="008E0A21"/>
    <w:rsid w:val="008E2836"/>
    <w:rsid w:val="008E45F5"/>
    <w:rsid w:val="008E4BA3"/>
    <w:rsid w:val="008E6797"/>
    <w:rsid w:val="008F1CC1"/>
    <w:rsid w:val="008F23AE"/>
    <w:rsid w:val="008F3AAE"/>
    <w:rsid w:val="009066D8"/>
    <w:rsid w:val="00915E92"/>
    <w:rsid w:val="00916DBA"/>
    <w:rsid w:val="00920BB6"/>
    <w:rsid w:val="0092205A"/>
    <w:rsid w:val="00922C89"/>
    <w:rsid w:val="00924C64"/>
    <w:rsid w:val="00926D5D"/>
    <w:rsid w:val="00930B80"/>
    <w:rsid w:val="009317E6"/>
    <w:rsid w:val="00941BC9"/>
    <w:rsid w:val="009467BB"/>
    <w:rsid w:val="00946CB5"/>
    <w:rsid w:val="00946E2C"/>
    <w:rsid w:val="00947DED"/>
    <w:rsid w:val="00950892"/>
    <w:rsid w:val="009534C2"/>
    <w:rsid w:val="00953AF7"/>
    <w:rsid w:val="009547C8"/>
    <w:rsid w:val="0095652C"/>
    <w:rsid w:val="00957428"/>
    <w:rsid w:val="00957C32"/>
    <w:rsid w:val="00963097"/>
    <w:rsid w:val="00966821"/>
    <w:rsid w:val="009672BD"/>
    <w:rsid w:val="009757AB"/>
    <w:rsid w:val="00975F51"/>
    <w:rsid w:val="009767CF"/>
    <w:rsid w:val="00976E27"/>
    <w:rsid w:val="009803D3"/>
    <w:rsid w:val="009809B1"/>
    <w:rsid w:val="00986666"/>
    <w:rsid w:val="00991D5A"/>
    <w:rsid w:val="009936EF"/>
    <w:rsid w:val="00995952"/>
    <w:rsid w:val="00997290"/>
    <w:rsid w:val="009A02A6"/>
    <w:rsid w:val="009A24A8"/>
    <w:rsid w:val="009A2F1E"/>
    <w:rsid w:val="009A50E0"/>
    <w:rsid w:val="009A5E68"/>
    <w:rsid w:val="009A5F90"/>
    <w:rsid w:val="009A6C11"/>
    <w:rsid w:val="009B07AE"/>
    <w:rsid w:val="009B148E"/>
    <w:rsid w:val="009B1D51"/>
    <w:rsid w:val="009B4683"/>
    <w:rsid w:val="009B5CA7"/>
    <w:rsid w:val="009B7805"/>
    <w:rsid w:val="009C2A97"/>
    <w:rsid w:val="009C3832"/>
    <w:rsid w:val="009C537C"/>
    <w:rsid w:val="009C75B2"/>
    <w:rsid w:val="009D1109"/>
    <w:rsid w:val="009D215F"/>
    <w:rsid w:val="009D3CCB"/>
    <w:rsid w:val="009D63EA"/>
    <w:rsid w:val="009D7160"/>
    <w:rsid w:val="009D7628"/>
    <w:rsid w:val="009D7FFE"/>
    <w:rsid w:val="009E2D5B"/>
    <w:rsid w:val="009E4A1B"/>
    <w:rsid w:val="009E6553"/>
    <w:rsid w:val="009E795A"/>
    <w:rsid w:val="009F34B4"/>
    <w:rsid w:val="009F37B2"/>
    <w:rsid w:val="00A008A2"/>
    <w:rsid w:val="00A036D8"/>
    <w:rsid w:val="00A03B83"/>
    <w:rsid w:val="00A053C8"/>
    <w:rsid w:val="00A07021"/>
    <w:rsid w:val="00A13AD3"/>
    <w:rsid w:val="00A1526C"/>
    <w:rsid w:val="00A218B6"/>
    <w:rsid w:val="00A2502E"/>
    <w:rsid w:val="00A2589E"/>
    <w:rsid w:val="00A30BD1"/>
    <w:rsid w:val="00A32525"/>
    <w:rsid w:val="00A33898"/>
    <w:rsid w:val="00A34FF9"/>
    <w:rsid w:val="00A357A8"/>
    <w:rsid w:val="00A377BF"/>
    <w:rsid w:val="00A41F65"/>
    <w:rsid w:val="00A42665"/>
    <w:rsid w:val="00A51A68"/>
    <w:rsid w:val="00A55E61"/>
    <w:rsid w:val="00A573A0"/>
    <w:rsid w:val="00A57B95"/>
    <w:rsid w:val="00A60201"/>
    <w:rsid w:val="00A61FEF"/>
    <w:rsid w:val="00A639E3"/>
    <w:rsid w:val="00A64280"/>
    <w:rsid w:val="00A648F7"/>
    <w:rsid w:val="00A70722"/>
    <w:rsid w:val="00A71675"/>
    <w:rsid w:val="00A7430F"/>
    <w:rsid w:val="00A83B11"/>
    <w:rsid w:val="00A853DD"/>
    <w:rsid w:val="00A86053"/>
    <w:rsid w:val="00A86411"/>
    <w:rsid w:val="00A902D6"/>
    <w:rsid w:val="00A90325"/>
    <w:rsid w:val="00A916FB"/>
    <w:rsid w:val="00A919E8"/>
    <w:rsid w:val="00A947B4"/>
    <w:rsid w:val="00A971CD"/>
    <w:rsid w:val="00AB33BA"/>
    <w:rsid w:val="00AB349E"/>
    <w:rsid w:val="00AB5F74"/>
    <w:rsid w:val="00AC1809"/>
    <w:rsid w:val="00AC6833"/>
    <w:rsid w:val="00AC78CE"/>
    <w:rsid w:val="00AD02C6"/>
    <w:rsid w:val="00AD1373"/>
    <w:rsid w:val="00AD1DD8"/>
    <w:rsid w:val="00AD22B9"/>
    <w:rsid w:val="00AD23D0"/>
    <w:rsid w:val="00AD3E73"/>
    <w:rsid w:val="00AD5A4A"/>
    <w:rsid w:val="00AE2A94"/>
    <w:rsid w:val="00AE664C"/>
    <w:rsid w:val="00AE75FC"/>
    <w:rsid w:val="00AE7FAC"/>
    <w:rsid w:val="00AF1DF6"/>
    <w:rsid w:val="00AF45A5"/>
    <w:rsid w:val="00AF7203"/>
    <w:rsid w:val="00B0129B"/>
    <w:rsid w:val="00B04FBD"/>
    <w:rsid w:val="00B061C7"/>
    <w:rsid w:val="00B11817"/>
    <w:rsid w:val="00B15637"/>
    <w:rsid w:val="00B17BBC"/>
    <w:rsid w:val="00B20AB3"/>
    <w:rsid w:val="00B218E9"/>
    <w:rsid w:val="00B30A35"/>
    <w:rsid w:val="00B3271E"/>
    <w:rsid w:val="00B35505"/>
    <w:rsid w:val="00B37D2E"/>
    <w:rsid w:val="00B41180"/>
    <w:rsid w:val="00B43DE9"/>
    <w:rsid w:val="00B47DB9"/>
    <w:rsid w:val="00B515EF"/>
    <w:rsid w:val="00B53268"/>
    <w:rsid w:val="00B61034"/>
    <w:rsid w:val="00B6206A"/>
    <w:rsid w:val="00B63077"/>
    <w:rsid w:val="00B63879"/>
    <w:rsid w:val="00B63F1A"/>
    <w:rsid w:val="00B64BBF"/>
    <w:rsid w:val="00B6547C"/>
    <w:rsid w:val="00B670E2"/>
    <w:rsid w:val="00B7037D"/>
    <w:rsid w:val="00B71683"/>
    <w:rsid w:val="00B7585C"/>
    <w:rsid w:val="00B7646D"/>
    <w:rsid w:val="00B7704A"/>
    <w:rsid w:val="00B807A3"/>
    <w:rsid w:val="00B927B5"/>
    <w:rsid w:val="00B93A83"/>
    <w:rsid w:val="00B93D92"/>
    <w:rsid w:val="00BA5D7B"/>
    <w:rsid w:val="00BA6615"/>
    <w:rsid w:val="00BA7D69"/>
    <w:rsid w:val="00BB13C5"/>
    <w:rsid w:val="00BC1178"/>
    <w:rsid w:val="00BD0BF4"/>
    <w:rsid w:val="00BD6558"/>
    <w:rsid w:val="00BD6FF5"/>
    <w:rsid w:val="00BE46D7"/>
    <w:rsid w:val="00BE5265"/>
    <w:rsid w:val="00BE52AF"/>
    <w:rsid w:val="00BF33C0"/>
    <w:rsid w:val="00BF683D"/>
    <w:rsid w:val="00C034B7"/>
    <w:rsid w:val="00C0373A"/>
    <w:rsid w:val="00C04F7B"/>
    <w:rsid w:val="00C07140"/>
    <w:rsid w:val="00C07D25"/>
    <w:rsid w:val="00C07DBB"/>
    <w:rsid w:val="00C117B5"/>
    <w:rsid w:val="00C13F4B"/>
    <w:rsid w:val="00C15ECD"/>
    <w:rsid w:val="00C20B90"/>
    <w:rsid w:val="00C21576"/>
    <w:rsid w:val="00C22900"/>
    <w:rsid w:val="00C23EA5"/>
    <w:rsid w:val="00C244DC"/>
    <w:rsid w:val="00C262DE"/>
    <w:rsid w:val="00C30222"/>
    <w:rsid w:val="00C42C81"/>
    <w:rsid w:val="00C57BD6"/>
    <w:rsid w:val="00C6034F"/>
    <w:rsid w:val="00C603A8"/>
    <w:rsid w:val="00C62BD6"/>
    <w:rsid w:val="00C63120"/>
    <w:rsid w:val="00C66CB9"/>
    <w:rsid w:val="00C67716"/>
    <w:rsid w:val="00C708BA"/>
    <w:rsid w:val="00C761AC"/>
    <w:rsid w:val="00C87C99"/>
    <w:rsid w:val="00C90C8E"/>
    <w:rsid w:val="00C93737"/>
    <w:rsid w:val="00C940D0"/>
    <w:rsid w:val="00C973C8"/>
    <w:rsid w:val="00CA1111"/>
    <w:rsid w:val="00CA1EC9"/>
    <w:rsid w:val="00CA25DC"/>
    <w:rsid w:val="00CA28A1"/>
    <w:rsid w:val="00CA2DCD"/>
    <w:rsid w:val="00CA4955"/>
    <w:rsid w:val="00CA4EA1"/>
    <w:rsid w:val="00CB10F9"/>
    <w:rsid w:val="00CB3D15"/>
    <w:rsid w:val="00CB42C3"/>
    <w:rsid w:val="00CC29DC"/>
    <w:rsid w:val="00CC349B"/>
    <w:rsid w:val="00CD3A01"/>
    <w:rsid w:val="00CE03B7"/>
    <w:rsid w:val="00CE0A0D"/>
    <w:rsid w:val="00CE15E8"/>
    <w:rsid w:val="00CF17DE"/>
    <w:rsid w:val="00CF1BC4"/>
    <w:rsid w:val="00CF414D"/>
    <w:rsid w:val="00D026E6"/>
    <w:rsid w:val="00D0484A"/>
    <w:rsid w:val="00D05F01"/>
    <w:rsid w:val="00D10310"/>
    <w:rsid w:val="00D10C6B"/>
    <w:rsid w:val="00D11A00"/>
    <w:rsid w:val="00D137B9"/>
    <w:rsid w:val="00D13A81"/>
    <w:rsid w:val="00D13D84"/>
    <w:rsid w:val="00D14B82"/>
    <w:rsid w:val="00D15B89"/>
    <w:rsid w:val="00D20F6C"/>
    <w:rsid w:val="00D213E7"/>
    <w:rsid w:val="00D21549"/>
    <w:rsid w:val="00D22B31"/>
    <w:rsid w:val="00D2386F"/>
    <w:rsid w:val="00D26361"/>
    <w:rsid w:val="00D33136"/>
    <w:rsid w:val="00D340E3"/>
    <w:rsid w:val="00D34BB3"/>
    <w:rsid w:val="00D351EE"/>
    <w:rsid w:val="00D35E29"/>
    <w:rsid w:val="00D4724A"/>
    <w:rsid w:val="00D47398"/>
    <w:rsid w:val="00D515F8"/>
    <w:rsid w:val="00D52F2C"/>
    <w:rsid w:val="00D5433F"/>
    <w:rsid w:val="00D552D7"/>
    <w:rsid w:val="00D553EF"/>
    <w:rsid w:val="00D56DA1"/>
    <w:rsid w:val="00D57D1D"/>
    <w:rsid w:val="00D62E41"/>
    <w:rsid w:val="00D66100"/>
    <w:rsid w:val="00D677A9"/>
    <w:rsid w:val="00D72B88"/>
    <w:rsid w:val="00D7350C"/>
    <w:rsid w:val="00D755C8"/>
    <w:rsid w:val="00D75E99"/>
    <w:rsid w:val="00D75FFA"/>
    <w:rsid w:val="00D811D5"/>
    <w:rsid w:val="00D81BBB"/>
    <w:rsid w:val="00D822FD"/>
    <w:rsid w:val="00D833BC"/>
    <w:rsid w:val="00D8573D"/>
    <w:rsid w:val="00D865A9"/>
    <w:rsid w:val="00D8679E"/>
    <w:rsid w:val="00D876DE"/>
    <w:rsid w:val="00D9189E"/>
    <w:rsid w:val="00D93446"/>
    <w:rsid w:val="00D93FEE"/>
    <w:rsid w:val="00D9604D"/>
    <w:rsid w:val="00D969CA"/>
    <w:rsid w:val="00D971D6"/>
    <w:rsid w:val="00DA2B51"/>
    <w:rsid w:val="00DA6B3E"/>
    <w:rsid w:val="00DB08CE"/>
    <w:rsid w:val="00DB1EF1"/>
    <w:rsid w:val="00DB47A6"/>
    <w:rsid w:val="00DB619F"/>
    <w:rsid w:val="00DB6F2C"/>
    <w:rsid w:val="00DB7CB9"/>
    <w:rsid w:val="00DC2F66"/>
    <w:rsid w:val="00DC72F1"/>
    <w:rsid w:val="00DD05D9"/>
    <w:rsid w:val="00DD1B9B"/>
    <w:rsid w:val="00DD331F"/>
    <w:rsid w:val="00DD3F85"/>
    <w:rsid w:val="00DE2D72"/>
    <w:rsid w:val="00DE5001"/>
    <w:rsid w:val="00DE64AB"/>
    <w:rsid w:val="00DF2F36"/>
    <w:rsid w:val="00DF35CC"/>
    <w:rsid w:val="00DF5FFE"/>
    <w:rsid w:val="00DF62F4"/>
    <w:rsid w:val="00E02127"/>
    <w:rsid w:val="00E06F13"/>
    <w:rsid w:val="00E070FA"/>
    <w:rsid w:val="00E106E5"/>
    <w:rsid w:val="00E107CC"/>
    <w:rsid w:val="00E12330"/>
    <w:rsid w:val="00E12BE7"/>
    <w:rsid w:val="00E1713D"/>
    <w:rsid w:val="00E22C39"/>
    <w:rsid w:val="00E23A79"/>
    <w:rsid w:val="00E27A89"/>
    <w:rsid w:val="00E33EBF"/>
    <w:rsid w:val="00E34D85"/>
    <w:rsid w:val="00E34FCF"/>
    <w:rsid w:val="00E35660"/>
    <w:rsid w:val="00E35F27"/>
    <w:rsid w:val="00E37D2C"/>
    <w:rsid w:val="00E40A08"/>
    <w:rsid w:val="00E423DB"/>
    <w:rsid w:val="00E42CB7"/>
    <w:rsid w:val="00E439F7"/>
    <w:rsid w:val="00E46169"/>
    <w:rsid w:val="00E462A2"/>
    <w:rsid w:val="00E510EE"/>
    <w:rsid w:val="00E513BA"/>
    <w:rsid w:val="00E53E96"/>
    <w:rsid w:val="00E56EE2"/>
    <w:rsid w:val="00E60A62"/>
    <w:rsid w:val="00E6397F"/>
    <w:rsid w:val="00E7284E"/>
    <w:rsid w:val="00E7490E"/>
    <w:rsid w:val="00E77A8F"/>
    <w:rsid w:val="00E84638"/>
    <w:rsid w:val="00E903D3"/>
    <w:rsid w:val="00E91203"/>
    <w:rsid w:val="00E918BD"/>
    <w:rsid w:val="00E928CF"/>
    <w:rsid w:val="00E97078"/>
    <w:rsid w:val="00EA1893"/>
    <w:rsid w:val="00EA2588"/>
    <w:rsid w:val="00EA2BE9"/>
    <w:rsid w:val="00EA3274"/>
    <w:rsid w:val="00EA772C"/>
    <w:rsid w:val="00EB11AB"/>
    <w:rsid w:val="00EB2295"/>
    <w:rsid w:val="00EB29BC"/>
    <w:rsid w:val="00EC0030"/>
    <w:rsid w:val="00EC08C0"/>
    <w:rsid w:val="00EC57BF"/>
    <w:rsid w:val="00EC710B"/>
    <w:rsid w:val="00EE2C62"/>
    <w:rsid w:val="00EE3A79"/>
    <w:rsid w:val="00EE4B41"/>
    <w:rsid w:val="00EE690F"/>
    <w:rsid w:val="00EF4A31"/>
    <w:rsid w:val="00EF574D"/>
    <w:rsid w:val="00F00D35"/>
    <w:rsid w:val="00F056AF"/>
    <w:rsid w:val="00F13396"/>
    <w:rsid w:val="00F14EF3"/>
    <w:rsid w:val="00F16F6B"/>
    <w:rsid w:val="00F23580"/>
    <w:rsid w:val="00F24996"/>
    <w:rsid w:val="00F26BBF"/>
    <w:rsid w:val="00F31E1B"/>
    <w:rsid w:val="00F326EE"/>
    <w:rsid w:val="00F343C9"/>
    <w:rsid w:val="00F36714"/>
    <w:rsid w:val="00F439E0"/>
    <w:rsid w:val="00F44A3E"/>
    <w:rsid w:val="00F51F8B"/>
    <w:rsid w:val="00F5260E"/>
    <w:rsid w:val="00F54AC6"/>
    <w:rsid w:val="00F551B4"/>
    <w:rsid w:val="00F6224E"/>
    <w:rsid w:val="00F63668"/>
    <w:rsid w:val="00F64BE2"/>
    <w:rsid w:val="00F6503D"/>
    <w:rsid w:val="00F66C73"/>
    <w:rsid w:val="00F67761"/>
    <w:rsid w:val="00F67A6A"/>
    <w:rsid w:val="00F72D73"/>
    <w:rsid w:val="00F74275"/>
    <w:rsid w:val="00F75D6B"/>
    <w:rsid w:val="00F83DE3"/>
    <w:rsid w:val="00F84A27"/>
    <w:rsid w:val="00F86DF3"/>
    <w:rsid w:val="00F91908"/>
    <w:rsid w:val="00F92AF4"/>
    <w:rsid w:val="00F96F28"/>
    <w:rsid w:val="00FA1E1B"/>
    <w:rsid w:val="00FA39AC"/>
    <w:rsid w:val="00FA6202"/>
    <w:rsid w:val="00FA717F"/>
    <w:rsid w:val="00FA71EF"/>
    <w:rsid w:val="00FB17AF"/>
    <w:rsid w:val="00FB701D"/>
    <w:rsid w:val="00FC1428"/>
    <w:rsid w:val="00FC1D45"/>
    <w:rsid w:val="00FC2DE4"/>
    <w:rsid w:val="00FC4385"/>
    <w:rsid w:val="00FC522D"/>
    <w:rsid w:val="00FC5C58"/>
    <w:rsid w:val="00FC6D10"/>
    <w:rsid w:val="00FD118E"/>
    <w:rsid w:val="00FD24AE"/>
    <w:rsid w:val="00FD2979"/>
    <w:rsid w:val="00FD436F"/>
    <w:rsid w:val="00FD544A"/>
    <w:rsid w:val="00FD6363"/>
    <w:rsid w:val="00FE30AA"/>
    <w:rsid w:val="00FE3764"/>
    <w:rsid w:val="00FE6397"/>
    <w:rsid w:val="00FE6C44"/>
    <w:rsid w:val="00FE6CAC"/>
    <w:rsid w:val="00FF4AFC"/>
    <w:rsid w:val="00FF7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0C7BF"/>
  <w15:docId w15:val="{DD6D45A8-A896-4137-B14C-619FE3425DEC}"/>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5FF"/>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pPr>
      <w:numPr>
        <w:numId w:val="3"/>
      </w:numPr>
      <w:tabs>
        <w:tab w:val="clear" w:pos="450"/>
        <w:tab w:val="num" w:pos="360"/>
      </w:tabs>
      <w:spacing w:after="240"/>
      <w:ind w:left="36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qFormat/>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D865A9"/>
    <w:rPr>
      <w:rFonts w:ascii="Palatino" w:hAnsi="Palatino"/>
      <w:sz w:val="26"/>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rsid w:val="006B33C2"/>
    <w:rPr>
      <w:rFonts w:ascii="Palatino" w:hAnsi="Palatino"/>
      <w:sz w:val="24"/>
    </w:rPr>
  </w:style>
  <w:style w:type="character" w:customStyle="1" w:styleId="Heading1Char">
    <w:name w:val="Heading 1 Char"/>
    <w:basedOn w:val="DefaultParagraphFont"/>
    <w:link w:val="Heading1"/>
    <w:rsid w:val="00213454"/>
    <w:rPr>
      <w:rFonts w:ascii="Helvetica" w:hAnsi="Helvetica"/>
      <w:b/>
      <w:caps/>
      <w:kern w:val="28"/>
      <w:sz w:val="26"/>
      <w:u w:val="single"/>
    </w:rPr>
  </w:style>
  <w:style w:type="paragraph" w:styleId="Revision">
    <w:name w:val="Revision"/>
    <w:hidden/>
    <w:uiPriority w:val="99"/>
    <w:semiHidden/>
    <w:rsid w:val="00474A1C"/>
    <w:rPr>
      <w:rFonts w:ascii="Palatino" w:hAnsi="Palatino"/>
      <w:sz w:val="26"/>
    </w:rPr>
  </w:style>
  <w:style w:type="character" w:styleId="CommentReference">
    <w:name w:val="annotation reference"/>
    <w:basedOn w:val="DefaultParagraphFont"/>
    <w:semiHidden/>
    <w:unhideWhenUsed/>
    <w:rsid w:val="008B369A"/>
    <w:rPr>
      <w:sz w:val="16"/>
      <w:szCs w:val="16"/>
    </w:rPr>
  </w:style>
  <w:style w:type="paragraph" w:styleId="CommentText">
    <w:name w:val="annotation text"/>
    <w:basedOn w:val="Normal"/>
    <w:link w:val="CommentTextChar"/>
    <w:unhideWhenUsed/>
    <w:rsid w:val="008B369A"/>
    <w:rPr>
      <w:sz w:val="20"/>
    </w:rPr>
  </w:style>
  <w:style w:type="character" w:customStyle="1" w:styleId="CommentTextChar">
    <w:name w:val="Comment Text Char"/>
    <w:basedOn w:val="DefaultParagraphFont"/>
    <w:link w:val="CommentText"/>
    <w:rsid w:val="008B369A"/>
    <w:rPr>
      <w:rFonts w:ascii="Palatino" w:hAnsi="Palatino"/>
    </w:rPr>
  </w:style>
  <w:style w:type="paragraph" w:styleId="CommentSubject">
    <w:name w:val="annotation subject"/>
    <w:basedOn w:val="CommentText"/>
    <w:next w:val="CommentText"/>
    <w:link w:val="CommentSubjectChar"/>
    <w:semiHidden/>
    <w:unhideWhenUsed/>
    <w:rsid w:val="008B369A"/>
    <w:rPr>
      <w:b/>
      <w:bCs/>
    </w:rPr>
  </w:style>
  <w:style w:type="character" w:customStyle="1" w:styleId="CommentSubjectChar">
    <w:name w:val="Comment Subject Char"/>
    <w:basedOn w:val="CommentTextChar"/>
    <w:link w:val="CommentSubject"/>
    <w:semiHidden/>
    <w:rsid w:val="008B369A"/>
    <w:rPr>
      <w:rFonts w:ascii="Palatino" w:hAnsi="Palatino"/>
      <w:b/>
      <w:bCs/>
    </w:rPr>
  </w:style>
  <w:style w:type="paragraph" w:styleId="BodyText">
    <w:name w:val="Body Text"/>
    <w:basedOn w:val="Normal"/>
    <w:link w:val="BodyTextChar"/>
    <w:rsid w:val="002D1A96"/>
    <w:rPr>
      <w:b/>
    </w:rPr>
  </w:style>
  <w:style w:type="character" w:customStyle="1" w:styleId="BodyTextChar">
    <w:name w:val="Body Text Char"/>
    <w:basedOn w:val="DefaultParagraphFont"/>
    <w:link w:val="BodyText"/>
    <w:rsid w:val="002D1A96"/>
    <w:rPr>
      <w:rFonts w:ascii="Palatino" w:hAnsi="Palatino"/>
      <w:b/>
      <w:sz w:val="26"/>
    </w:rPr>
  </w:style>
  <w:style w:type="paragraph" w:styleId="NoSpacing">
    <w:name w:val="No Spacing"/>
    <w:uiPriority w:val="1"/>
    <w:qFormat/>
    <w:rsid w:val="008964BF"/>
    <w:rPr>
      <w:rFonts w:ascii="Palatino" w:hAnsi="Palatino"/>
      <w:sz w:val="26"/>
    </w:rPr>
  </w:style>
  <w:style w:type="paragraph" w:styleId="Caption">
    <w:name w:val="caption"/>
    <w:basedOn w:val="Normal"/>
    <w:next w:val="Normal"/>
    <w:qFormat/>
    <w:rsid w:val="00014DEC"/>
    <w:rPr>
      <w:b/>
      <w:bCs/>
      <w:sz w:val="20"/>
    </w:rPr>
  </w:style>
  <w:style w:type="character" w:customStyle="1" w:styleId="HeaderChar">
    <w:name w:val="Header Char"/>
    <w:basedOn w:val="DefaultParagraphFont"/>
    <w:link w:val="Header"/>
    <w:rsid w:val="00192B3D"/>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088">
      <w:bodyDiv w:val="1"/>
      <w:marLeft w:val="0"/>
      <w:marRight w:val="0"/>
      <w:marTop w:val="0"/>
      <w:marBottom w:val="0"/>
      <w:divBdr>
        <w:top w:val="none" w:sz="0" w:space="0" w:color="auto"/>
        <w:left w:val="none" w:sz="0" w:space="0" w:color="auto"/>
        <w:bottom w:val="none" w:sz="0" w:space="0" w:color="auto"/>
        <w:right w:val="none" w:sz="0" w:space="0" w:color="auto"/>
      </w:divBdr>
      <w:divsChild>
        <w:div w:id="1551989637">
          <w:marLeft w:val="0"/>
          <w:marRight w:val="0"/>
          <w:marTop w:val="0"/>
          <w:marBottom w:val="0"/>
          <w:divBdr>
            <w:top w:val="none" w:sz="0" w:space="0" w:color="auto"/>
            <w:left w:val="none" w:sz="0" w:space="0" w:color="auto"/>
            <w:bottom w:val="none" w:sz="0" w:space="0" w:color="auto"/>
            <w:right w:val="none" w:sz="0" w:space="0" w:color="auto"/>
          </w:divBdr>
        </w:div>
        <w:div w:id="943196890">
          <w:marLeft w:val="0"/>
          <w:marRight w:val="0"/>
          <w:marTop w:val="0"/>
          <w:marBottom w:val="0"/>
          <w:divBdr>
            <w:top w:val="none" w:sz="0" w:space="0" w:color="auto"/>
            <w:left w:val="none" w:sz="0" w:space="0" w:color="auto"/>
            <w:bottom w:val="none" w:sz="0" w:space="0" w:color="auto"/>
            <w:right w:val="none" w:sz="0" w:space="0" w:color="auto"/>
          </w:divBdr>
        </w:div>
        <w:div w:id="1273125084">
          <w:marLeft w:val="0"/>
          <w:marRight w:val="0"/>
          <w:marTop w:val="0"/>
          <w:marBottom w:val="0"/>
          <w:divBdr>
            <w:top w:val="none" w:sz="0" w:space="0" w:color="auto"/>
            <w:left w:val="none" w:sz="0" w:space="0" w:color="auto"/>
            <w:bottom w:val="none" w:sz="0" w:space="0" w:color="auto"/>
            <w:right w:val="none" w:sz="0" w:space="0" w:color="auto"/>
          </w:divBdr>
        </w:div>
      </w:divsChild>
    </w:div>
    <w:div w:id="37895100">
      <w:bodyDiv w:val="1"/>
      <w:marLeft w:val="0"/>
      <w:marRight w:val="0"/>
      <w:marTop w:val="0"/>
      <w:marBottom w:val="0"/>
      <w:divBdr>
        <w:top w:val="none" w:sz="0" w:space="0" w:color="auto"/>
        <w:left w:val="none" w:sz="0" w:space="0" w:color="auto"/>
        <w:bottom w:val="none" w:sz="0" w:space="0" w:color="auto"/>
        <w:right w:val="none" w:sz="0" w:space="0" w:color="auto"/>
      </w:divBdr>
      <w:divsChild>
        <w:div w:id="1635671314">
          <w:marLeft w:val="0"/>
          <w:marRight w:val="0"/>
          <w:marTop w:val="0"/>
          <w:marBottom w:val="0"/>
          <w:divBdr>
            <w:top w:val="none" w:sz="0" w:space="0" w:color="auto"/>
            <w:left w:val="none" w:sz="0" w:space="0" w:color="auto"/>
            <w:bottom w:val="none" w:sz="0" w:space="0" w:color="auto"/>
            <w:right w:val="none" w:sz="0" w:space="0" w:color="auto"/>
          </w:divBdr>
          <w:divsChild>
            <w:div w:id="1173298564">
              <w:marLeft w:val="0"/>
              <w:marRight w:val="0"/>
              <w:marTop w:val="0"/>
              <w:marBottom w:val="0"/>
              <w:divBdr>
                <w:top w:val="none" w:sz="0" w:space="0" w:color="auto"/>
                <w:left w:val="none" w:sz="0" w:space="0" w:color="auto"/>
                <w:bottom w:val="none" w:sz="0" w:space="0" w:color="auto"/>
                <w:right w:val="none" w:sz="0" w:space="0" w:color="auto"/>
              </w:divBdr>
              <w:divsChild>
                <w:div w:id="1631788565">
                  <w:marLeft w:val="0"/>
                  <w:marRight w:val="0"/>
                  <w:marTop w:val="0"/>
                  <w:marBottom w:val="0"/>
                  <w:divBdr>
                    <w:top w:val="none" w:sz="0" w:space="0" w:color="auto"/>
                    <w:left w:val="none" w:sz="0" w:space="0" w:color="auto"/>
                    <w:bottom w:val="none" w:sz="0" w:space="0" w:color="auto"/>
                    <w:right w:val="none" w:sz="0" w:space="0" w:color="auto"/>
                  </w:divBdr>
                </w:div>
                <w:div w:id="1532063657">
                  <w:marLeft w:val="0"/>
                  <w:marRight w:val="0"/>
                  <w:marTop w:val="0"/>
                  <w:marBottom w:val="0"/>
                  <w:divBdr>
                    <w:top w:val="none" w:sz="0" w:space="0" w:color="auto"/>
                    <w:left w:val="none" w:sz="0" w:space="0" w:color="auto"/>
                    <w:bottom w:val="none" w:sz="0" w:space="0" w:color="auto"/>
                    <w:right w:val="none" w:sz="0" w:space="0" w:color="auto"/>
                  </w:divBdr>
                  <w:divsChild>
                    <w:div w:id="2097433278">
                      <w:marLeft w:val="0"/>
                      <w:marRight w:val="0"/>
                      <w:marTop w:val="0"/>
                      <w:marBottom w:val="0"/>
                      <w:divBdr>
                        <w:top w:val="none" w:sz="0" w:space="0" w:color="auto"/>
                        <w:left w:val="none" w:sz="0" w:space="0" w:color="auto"/>
                        <w:bottom w:val="none" w:sz="0" w:space="0" w:color="auto"/>
                        <w:right w:val="none" w:sz="0" w:space="0" w:color="auto"/>
                      </w:divBdr>
                      <w:divsChild>
                        <w:div w:id="481197869">
                          <w:marLeft w:val="0"/>
                          <w:marRight w:val="0"/>
                          <w:marTop w:val="0"/>
                          <w:marBottom w:val="0"/>
                          <w:divBdr>
                            <w:top w:val="none" w:sz="0" w:space="0" w:color="auto"/>
                            <w:left w:val="none" w:sz="0" w:space="0" w:color="auto"/>
                            <w:bottom w:val="none" w:sz="0" w:space="0" w:color="auto"/>
                            <w:right w:val="none" w:sz="0" w:space="0" w:color="auto"/>
                          </w:divBdr>
                        </w:div>
                      </w:divsChild>
                    </w:div>
                    <w:div w:id="18169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4484">
          <w:marLeft w:val="0"/>
          <w:marRight w:val="0"/>
          <w:marTop w:val="0"/>
          <w:marBottom w:val="0"/>
          <w:divBdr>
            <w:top w:val="none" w:sz="0" w:space="0" w:color="auto"/>
            <w:left w:val="none" w:sz="0" w:space="0" w:color="auto"/>
            <w:bottom w:val="none" w:sz="0" w:space="0" w:color="auto"/>
            <w:right w:val="none" w:sz="0" w:space="0" w:color="auto"/>
          </w:divBdr>
          <w:divsChild>
            <w:div w:id="892959010">
              <w:marLeft w:val="0"/>
              <w:marRight w:val="0"/>
              <w:marTop w:val="0"/>
              <w:marBottom w:val="0"/>
              <w:divBdr>
                <w:top w:val="none" w:sz="0" w:space="0" w:color="auto"/>
                <w:left w:val="none" w:sz="0" w:space="0" w:color="auto"/>
                <w:bottom w:val="none" w:sz="0" w:space="0" w:color="auto"/>
                <w:right w:val="none" w:sz="0" w:space="0" w:color="auto"/>
              </w:divBdr>
            </w:div>
          </w:divsChild>
        </w:div>
        <w:div w:id="924416629">
          <w:marLeft w:val="0"/>
          <w:marRight w:val="0"/>
          <w:marTop w:val="0"/>
          <w:marBottom w:val="0"/>
          <w:divBdr>
            <w:top w:val="none" w:sz="0" w:space="0" w:color="auto"/>
            <w:left w:val="none" w:sz="0" w:space="0" w:color="auto"/>
            <w:bottom w:val="none" w:sz="0" w:space="0" w:color="auto"/>
            <w:right w:val="none" w:sz="0" w:space="0" w:color="auto"/>
          </w:divBdr>
          <w:divsChild>
            <w:div w:id="1470126788">
              <w:marLeft w:val="0"/>
              <w:marRight w:val="0"/>
              <w:marTop w:val="0"/>
              <w:marBottom w:val="0"/>
              <w:divBdr>
                <w:top w:val="none" w:sz="0" w:space="0" w:color="auto"/>
                <w:left w:val="none" w:sz="0" w:space="0" w:color="auto"/>
                <w:bottom w:val="none" w:sz="0" w:space="0" w:color="auto"/>
                <w:right w:val="none" w:sz="0" w:space="0" w:color="auto"/>
              </w:divBdr>
              <w:divsChild>
                <w:div w:id="833111914">
                  <w:marLeft w:val="0"/>
                  <w:marRight w:val="0"/>
                  <w:marTop w:val="0"/>
                  <w:marBottom w:val="0"/>
                  <w:divBdr>
                    <w:top w:val="none" w:sz="0" w:space="0" w:color="auto"/>
                    <w:left w:val="none" w:sz="0" w:space="0" w:color="auto"/>
                    <w:bottom w:val="none" w:sz="0" w:space="0" w:color="auto"/>
                    <w:right w:val="none" w:sz="0" w:space="0" w:color="auto"/>
                  </w:divBdr>
                  <w:divsChild>
                    <w:div w:id="2087989966">
                      <w:marLeft w:val="0"/>
                      <w:marRight w:val="0"/>
                      <w:marTop w:val="0"/>
                      <w:marBottom w:val="0"/>
                      <w:divBdr>
                        <w:top w:val="none" w:sz="0" w:space="0" w:color="auto"/>
                        <w:left w:val="none" w:sz="0" w:space="0" w:color="auto"/>
                        <w:bottom w:val="none" w:sz="0" w:space="0" w:color="auto"/>
                        <w:right w:val="none" w:sz="0" w:space="0" w:color="auto"/>
                      </w:divBdr>
                      <w:divsChild>
                        <w:div w:id="1399521617">
                          <w:marLeft w:val="0"/>
                          <w:marRight w:val="0"/>
                          <w:marTop w:val="0"/>
                          <w:marBottom w:val="0"/>
                          <w:divBdr>
                            <w:top w:val="none" w:sz="0" w:space="0" w:color="auto"/>
                            <w:left w:val="none" w:sz="0" w:space="0" w:color="auto"/>
                            <w:bottom w:val="none" w:sz="0" w:space="0" w:color="auto"/>
                            <w:right w:val="none" w:sz="0" w:space="0" w:color="auto"/>
                          </w:divBdr>
                          <w:divsChild>
                            <w:div w:id="580716580">
                              <w:marLeft w:val="0"/>
                              <w:marRight w:val="0"/>
                              <w:marTop w:val="0"/>
                              <w:marBottom w:val="0"/>
                              <w:divBdr>
                                <w:top w:val="none" w:sz="0" w:space="0" w:color="auto"/>
                                <w:left w:val="none" w:sz="0" w:space="0" w:color="auto"/>
                                <w:bottom w:val="none" w:sz="0" w:space="0" w:color="auto"/>
                                <w:right w:val="none" w:sz="0" w:space="0" w:color="auto"/>
                              </w:divBdr>
                            </w:div>
                          </w:divsChild>
                        </w:div>
                        <w:div w:id="234315576">
                          <w:marLeft w:val="0"/>
                          <w:marRight w:val="0"/>
                          <w:marTop w:val="0"/>
                          <w:marBottom w:val="0"/>
                          <w:divBdr>
                            <w:top w:val="none" w:sz="0" w:space="0" w:color="auto"/>
                            <w:left w:val="none" w:sz="0" w:space="0" w:color="auto"/>
                            <w:bottom w:val="none" w:sz="0" w:space="0" w:color="auto"/>
                            <w:right w:val="none" w:sz="0" w:space="0" w:color="auto"/>
                          </w:divBdr>
                        </w:div>
                        <w:div w:id="205872242">
                          <w:marLeft w:val="0"/>
                          <w:marRight w:val="0"/>
                          <w:marTop w:val="0"/>
                          <w:marBottom w:val="0"/>
                          <w:divBdr>
                            <w:top w:val="none" w:sz="0" w:space="0" w:color="auto"/>
                            <w:left w:val="none" w:sz="0" w:space="0" w:color="auto"/>
                            <w:bottom w:val="none" w:sz="0" w:space="0" w:color="auto"/>
                            <w:right w:val="none" w:sz="0" w:space="0" w:color="auto"/>
                          </w:divBdr>
                        </w:div>
                        <w:div w:id="334110321">
                          <w:marLeft w:val="0"/>
                          <w:marRight w:val="0"/>
                          <w:marTop w:val="0"/>
                          <w:marBottom w:val="0"/>
                          <w:divBdr>
                            <w:top w:val="none" w:sz="0" w:space="0" w:color="auto"/>
                            <w:left w:val="none" w:sz="0" w:space="0" w:color="auto"/>
                            <w:bottom w:val="none" w:sz="0" w:space="0" w:color="auto"/>
                            <w:right w:val="none" w:sz="0" w:space="0" w:color="auto"/>
                          </w:divBdr>
                        </w:div>
                        <w:div w:id="775096882">
                          <w:marLeft w:val="0"/>
                          <w:marRight w:val="0"/>
                          <w:marTop w:val="0"/>
                          <w:marBottom w:val="0"/>
                          <w:divBdr>
                            <w:top w:val="none" w:sz="0" w:space="0" w:color="auto"/>
                            <w:left w:val="none" w:sz="0" w:space="0" w:color="auto"/>
                            <w:bottom w:val="none" w:sz="0" w:space="0" w:color="auto"/>
                            <w:right w:val="none" w:sz="0" w:space="0" w:color="auto"/>
                          </w:divBdr>
                          <w:divsChild>
                            <w:div w:id="1996183930">
                              <w:marLeft w:val="0"/>
                              <w:marRight w:val="0"/>
                              <w:marTop w:val="0"/>
                              <w:marBottom w:val="0"/>
                              <w:divBdr>
                                <w:top w:val="none" w:sz="0" w:space="0" w:color="auto"/>
                                <w:left w:val="none" w:sz="0" w:space="0" w:color="auto"/>
                                <w:bottom w:val="none" w:sz="0" w:space="0" w:color="auto"/>
                                <w:right w:val="none" w:sz="0" w:space="0" w:color="auto"/>
                              </w:divBdr>
                            </w:div>
                          </w:divsChild>
                        </w:div>
                        <w:div w:id="1577788178">
                          <w:marLeft w:val="0"/>
                          <w:marRight w:val="0"/>
                          <w:marTop w:val="0"/>
                          <w:marBottom w:val="0"/>
                          <w:divBdr>
                            <w:top w:val="none" w:sz="0" w:space="0" w:color="auto"/>
                            <w:left w:val="none" w:sz="0" w:space="0" w:color="auto"/>
                            <w:bottom w:val="none" w:sz="0" w:space="0" w:color="auto"/>
                            <w:right w:val="none" w:sz="0" w:space="0" w:color="auto"/>
                          </w:divBdr>
                          <w:divsChild>
                            <w:div w:id="624773642">
                              <w:marLeft w:val="0"/>
                              <w:marRight w:val="0"/>
                              <w:marTop w:val="0"/>
                              <w:marBottom w:val="0"/>
                              <w:divBdr>
                                <w:top w:val="none" w:sz="0" w:space="0" w:color="auto"/>
                                <w:left w:val="none" w:sz="0" w:space="0" w:color="auto"/>
                                <w:bottom w:val="none" w:sz="0" w:space="0" w:color="auto"/>
                                <w:right w:val="none" w:sz="0" w:space="0" w:color="auto"/>
                              </w:divBdr>
                            </w:div>
                            <w:div w:id="1278368640">
                              <w:marLeft w:val="0"/>
                              <w:marRight w:val="0"/>
                              <w:marTop w:val="0"/>
                              <w:marBottom w:val="0"/>
                              <w:divBdr>
                                <w:top w:val="none" w:sz="0" w:space="0" w:color="auto"/>
                                <w:left w:val="none" w:sz="0" w:space="0" w:color="auto"/>
                                <w:bottom w:val="none" w:sz="0" w:space="0" w:color="auto"/>
                                <w:right w:val="none" w:sz="0" w:space="0" w:color="auto"/>
                              </w:divBdr>
                              <w:divsChild>
                                <w:div w:id="1994063874">
                                  <w:marLeft w:val="0"/>
                                  <w:marRight w:val="0"/>
                                  <w:marTop w:val="0"/>
                                  <w:marBottom w:val="0"/>
                                  <w:divBdr>
                                    <w:top w:val="none" w:sz="0" w:space="0" w:color="auto"/>
                                    <w:left w:val="none" w:sz="0" w:space="0" w:color="auto"/>
                                    <w:bottom w:val="none" w:sz="0" w:space="0" w:color="auto"/>
                                    <w:right w:val="none" w:sz="0" w:space="0" w:color="auto"/>
                                  </w:divBdr>
                                  <w:divsChild>
                                    <w:div w:id="2027781281">
                                      <w:marLeft w:val="0"/>
                                      <w:marRight w:val="0"/>
                                      <w:marTop w:val="0"/>
                                      <w:marBottom w:val="0"/>
                                      <w:divBdr>
                                        <w:top w:val="none" w:sz="0" w:space="0" w:color="auto"/>
                                        <w:left w:val="none" w:sz="0" w:space="0" w:color="auto"/>
                                        <w:bottom w:val="none" w:sz="0" w:space="0" w:color="auto"/>
                                        <w:right w:val="none" w:sz="0" w:space="0" w:color="auto"/>
                                      </w:divBdr>
                                    </w:div>
                                    <w:div w:id="64568304">
                                      <w:marLeft w:val="0"/>
                                      <w:marRight w:val="0"/>
                                      <w:marTop w:val="0"/>
                                      <w:marBottom w:val="0"/>
                                      <w:divBdr>
                                        <w:top w:val="none" w:sz="0" w:space="0" w:color="auto"/>
                                        <w:left w:val="none" w:sz="0" w:space="0" w:color="auto"/>
                                        <w:bottom w:val="none" w:sz="0" w:space="0" w:color="auto"/>
                                        <w:right w:val="none" w:sz="0" w:space="0" w:color="auto"/>
                                      </w:divBdr>
                                      <w:divsChild>
                                        <w:div w:id="14823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6991">
                      <w:marLeft w:val="0"/>
                      <w:marRight w:val="0"/>
                      <w:marTop w:val="0"/>
                      <w:marBottom w:val="0"/>
                      <w:divBdr>
                        <w:top w:val="none" w:sz="0" w:space="0" w:color="auto"/>
                        <w:left w:val="none" w:sz="0" w:space="0" w:color="auto"/>
                        <w:bottom w:val="none" w:sz="0" w:space="0" w:color="auto"/>
                        <w:right w:val="none" w:sz="0" w:space="0" w:color="auto"/>
                      </w:divBdr>
                      <w:divsChild>
                        <w:div w:id="986128300">
                          <w:marLeft w:val="0"/>
                          <w:marRight w:val="0"/>
                          <w:marTop w:val="0"/>
                          <w:marBottom w:val="0"/>
                          <w:divBdr>
                            <w:top w:val="none" w:sz="0" w:space="0" w:color="auto"/>
                            <w:left w:val="none" w:sz="0" w:space="0" w:color="auto"/>
                            <w:bottom w:val="none" w:sz="0" w:space="0" w:color="auto"/>
                            <w:right w:val="none" w:sz="0" w:space="0" w:color="auto"/>
                          </w:divBdr>
                          <w:divsChild>
                            <w:div w:id="639263310">
                              <w:marLeft w:val="0"/>
                              <w:marRight w:val="0"/>
                              <w:marTop w:val="0"/>
                              <w:marBottom w:val="0"/>
                              <w:divBdr>
                                <w:top w:val="none" w:sz="0" w:space="0" w:color="auto"/>
                                <w:left w:val="none" w:sz="0" w:space="0" w:color="auto"/>
                                <w:bottom w:val="none" w:sz="0" w:space="0" w:color="auto"/>
                                <w:right w:val="none" w:sz="0" w:space="0" w:color="auto"/>
                              </w:divBdr>
                              <w:divsChild>
                                <w:div w:id="836261902">
                                  <w:marLeft w:val="0"/>
                                  <w:marRight w:val="0"/>
                                  <w:marTop w:val="0"/>
                                  <w:marBottom w:val="0"/>
                                  <w:divBdr>
                                    <w:top w:val="none" w:sz="0" w:space="0" w:color="auto"/>
                                    <w:left w:val="none" w:sz="0" w:space="0" w:color="auto"/>
                                    <w:bottom w:val="none" w:sz="0" w:space="0" w:color="auto"/>
                                    <w:right w:val="none" w:sz="0" w:space="0" w:color="auto"/>
                                  </w:divBdr>
                                </w:div>
                              </w:divsChild>
                            </w:div>
                            <w:div w:id="1944458570">
                              <w:marLeft w:val="0"/>
                              <w:marRight w:val="0"/>
                              <w:marTop w:val="0"/>
                              <w:marBottom w:val="0"/>
                              <w:divBdr>
                                <w:top w:val="none" w:sz="0" w:space="0" w:color="auto"/>
                                <w:left w:val="none" w:sz="0" w:space="0" w:color="auto"/>
                                <w:bottom w:val="none" w:sz="0" w:space="0" w:color="auto"/>
                                <w:right w:val="none" w:sz="0" w:space="0" w:color="auto"/>
                              </w:divBdr>
                              <w:divsChild>
                                <w:div w:id="1787460226">
                                  <w:marLeft w:val="0"/>
                                  <w:marRight w:val="0"/>
                                  <w:marTop w:val="0"/>
                                  <w:marBottom w:val="0"/>
                                  <w:divBdr>
                                    <w:top w:val="none" w:sz="0" w:space="0" w:color="auto"/>
                                    <w:left w:val="none" w:sz="0" w:space="0" w:color="auto"/>
                                    <w:bottom w:val="none" w:sz="0" w:space="0" w:color="auto"/>
                                    <w:right w:val="none" w:sz="0" w:space="0" w:color="auto"/>
                                  </w:divBdr>
                                </w:div>
                                <w:div w:id="1403405323">
                                  <w:marLeft w:val="0"/>
                                  <w:marRight w:val="0"/>
                                  <w:marTop w:val="0"/>
                                  <w:marBottom w:val="0"/>
                                  <w:divBdr>
                                    <w:top w:val="none" w:sz="0" w:space="0" w:color="auto"/>
                                    <w:left w:val="none" w:sz="0" w:space="0" w:color="auto"/>
                                    <w:bottom w:val="none" w:sz="0" w:space="0" w:color="auto"/>
                                    <w:right w:val="none" w:sz="0" w:space="0" w:color="auto"/>
                                  </w:divBdr>
                                  <w:divsChild>
                                    <w:div w:id="20041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39630">
                      <w:marLeft w:val="0"/>
                      <w:marRight w:val="0"/>
                      <w:marTop w:val="0"/>
                      <w:marBottom w:val="0"/>
                      <w:divBdr>
                        <w:top w:val="none" w:sz="0" w:space="0" w:color="auto"/>
                        <w:left w:val="none" w:sz="0" w:space="0" w:color="auto"/>
                        <w:bottom w:val="none" w:sz="0" w:space="0" w:color="auto"/>
                        <w:right w:val="none" w:sz="0" w:space="0" w:color="auto"/>
                      </w:divBdr>
                      <w:divsChild>
                        <w:div w:id="1526215509">
                          <w:marLeft w:val="0"/>
                          <w:marRight w:val="0"/>
                          <w:marTop w:val="0"/>
                          <w:marBottom w:val="0"/>
                          <w:divBdr>
                            <w:top w:val="none" w:sz="0" w:space="0" w:color="auto"/>
                            <w:left w:val="none" w:sz="0" w:space="0" w:color="auto"/>
                            <w:bottom w:val="none" w:sz="0" w:space="0" w:color="auto"/>
                            <w:right w:val="none" w:sz="0" w:space="0" w:color="auto"/>
                          </w:divBdr>
                          <w:divsChild>
                            <w:div w:id="813332327">
                              <w:marLeft w:val="0"/>
                              <w:marRight w:val="0"/>
                              <w:marTop w:val="0"/>
                              <w:marBottom w:val="0"/>
                              <w:divBdr>
                                <w:top w:val="none" w:sz="0" w:space="0" w:color="auto"/>
                                <w:left w:val="none" w:sz="0" w:space="0" w:color="auto"/>
                                <w:bottom w:val="none" w:sz="0" w:space="0" w:color="auto"/>
                                <w:right w:val="none" w:sz="0" w:space="0" w:color="auto"/>
                              </w:divBdr>
                            </w:div>
                            <w:div w:id="2004358001">
                              <w:marLeft w:val="0"/>
                              <w:marRight w:val="0"/>
                              <w:marTop w:val="0"/>
                              <w:marBottom w:val="0"/>
                              <w:divBdr>
                                <w:top w:val="none" w:sz="0" w:space="0" w:color="auto"/>
                                <w:left w:val="none" w:sz="0" w:space="0" w:color="auto"/>
                                <w:bottom w:val="none" w:sz="0" w:space="0" w:color="auto"/>
                                <w:right w:val="none" w:sz="0" w:space="0" w:color="auto"/>
                              </w:divBdr>
                              <w:divsChild>
                                <w:div w:id="20254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389">
                          <w:marLeft w:val="0"/>
                          <w:marRight w:val="0"/>
                          <w:marTop w:val="0"/>
                          <w:marBottom w:val="0"/>
                          <w:divBdr>
                            <w:top w:val="none" w:sz="0" w:space="0" w:color="auto"/>
                            <w:left w:val="none" w:sz="0" w:space="0" w:color="auto"/>
                            <w:bottom w:val="none" w:sz="0" w:space="0" w:color="auto"/>
                            <w:right w:val="none" w:sz="0" w:space="0" w:color="auto"/>
                          </w:divBdr>
                          <w:divsChild>
                            <w:div w:id="1847548760">
                              <w:marLeft w:val="0"/>
                              <w:marRight w:val="0"/>
                              <w:marTop w:val="0"/>
                              <w:marBottom w:val="0"/>
                              <w:divBdr>
                                <w:top w:val="none" w:sz="0" w:space="0" w:color="auto"/>
                                <w:left w:val="none" w:sz="0" w:space="0" w:color="auto"/>
                                <w:bottom w:val="none" w:sz="0" w:space="0" w:color="auto"/>
                                <w:right w:val="none" w:sz="0" w:space="0" w:color="auto"/>
                              </w:divBdr>
                            </w:div>
                            <w:div w:id="1424570954">
                              <w:marLeft w:val="0"/>
                              <w:marRight w:val="0"/>
                              <w:marTop w:val="0"/>
                              <w:marBottom w:val="0"/>
                              <w:divBdr>
                                <w:top w:val="none" w:sz="0" w:space="0" w:color="auto"/>
                                <w:left w:val="none" w:sz="0" w:space="0" w:color="auto"/>
                                <w:bottom w:val="none" w:sz="0" w:space="0" w:color="auto"/>
                                <w:right w:val="none" w:sz="0" w:space="0" w:color="auto"/>
                              </w:divBdr>
                              <w:divsChild>
                                <w:div w:id="909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524">
                          <w:marLeft w:val="0"/>
                          <w:marRight w:val="0"/>
                          <w:marTop w:val="0"/>
                          <w:marBottom w:val="0"/>
                          <w:divBdr>
                            <w:top w:val="none" w:sz="0" w:space="0" w:color="auto"/>
                            <w:left w:val="none" w:sz="0" w:space="0" w:color="auto"/>
                            <w:bottom w:val="none" w:sz="0" w:space="0" w:color="auto"/>
                            <w:right w:val="none" w:sz="0" w:space="0" w:color="auto"/>
                          </w:divBdr>
                          <w:divsChild>
                            <w:div w:id="521087609">
                              <w:marLeft w:val="0"/>
                              <w:marRight w:val="0"/>
                              <w:marTop w:val="0"/>
                              <w:marBottom w:val="0"/>
                              <w:divBdr>
                                <w:top w:val="none" w:sz="0" w:space="0" w:color="auto"/>
                                <w:left w:val="none" w:sz="0" w:space="0" w:color="auto"/>
                                <w:bottom w:val="none" w:sz="0" w:space="0" w:color="auto"/>
                                <w:right w:val="none" w:sz="0" w:space="0" w:color="auto"/>
                              </w:divBdr>
                            </w:div>
                            <w:div w:id="1474564271">
                              <w:marLeft w:val="0"/>
                              <w:marRight w:val="0"/>
                              <w:marTop w:val="0"/>
                              <w:marBottom w:val="0"/>
                              <w:divBdr>
                                <w:top w:val="none" w:sz="0" w:space="0" w:color="auto"/>
                                <w:left w:val="none" w:sz="0" w:space="0" w:color="auto"/>
                                <w:bottom w:val="none" w:sz="0" w:space="0" w:color="auto"/>
                                <w:right w:val="none" w:sz="0" w:space="0" w:color="auto"/>
                              </w:divBdr>
                              <w:divsChild>
                                <w:div w:id="5214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7966">
                      <w:marLeft w:val="0"/>
                      <w:marRight w:val="0"/>
                      <w:marTop w:val="0"/>
                      <w:marBottom w:val="0"/>
                      <w:divBdr>
                        <w:top w:val="none" w:sz="0" w:space="0" w:color="auto"/>
                        <w:left w:val="none" w:sz="0" w:space="0" w:color="auto"/>
                        <w:bottom w:val="none" w:sz="0" w:space="0" w:color="auto"/>
                        <w:right w:val="none" w:sz="0" w:space="0" w:color="auto"/>
                      </w:divBdr>
                      <w:divsChild>
                        <w:div w:id="1231379095">
                          <w:marLeft w:val="0"/>
                          <w:marRight w:val="0"/>
                          <w:marTop w:val="0"/>
                          <w:marBottom w:val="0"/>
                          <w:divBdr>
                            <w:top w:val="none" w:sz="0" w:space="0" w:color="auto"/>
                            <w:left w:val="none" w:sz="0" w:space="0" w:color="auto"/>
                            <w:bottom w:val="none" w:sz="0" w:space="0" w:color="auto"/>
                            <w:right w:val="none" w:sz="0" w:space="0" w:color="auto"/>
                          </w:divBdr>
                          <w:divsChild>
                            <w:div w:id="10770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867704">
          <w:marLeft w:val="0"/>
          <w:marRight w:val="0"/>
          <w:marTop w:val="0"/>
          <w:marBottom w:val="0"/>
          <w:divBdr>
            <w:top w:val="none" w:sz="0" w:space="0" w:color="auto"/>
            <w:left w:val="none" w:sz="0" w:space="0" w:color="auto"/>
            <w:bottom w:val="none" w:sz="0" w:space="0" w:color="auto"/>
            <w:right w:val="none" w:sz="0" w:space="0" w:color="auto"/>
          </w:divBdr>
          <w:divsChild>
            <w:div w:id="1814323434">
              <w:marLeft w:val="0"/>
              <w:marRight w:val="0"/>
              <w:marTop w:val="0"/>
              <w:marBottom w:val="0"/>
              <w:divBdr>
                <w:top w:val="none" w:sz="0" w:space="0" w:color="auto"/>
                <w:left w:val="none" w:sz="0" w:space="0" w:color="auto"/>
                <w:bottom w:val="none" w:sz="0" w:space="0" w:color="auto"/>
                <w:right w:val="none" w:sz="0" w:space="0" w:color="auto"/>
              </w:divBdr>
              <w:divsChild>
                <w:div w:id="838424173">
                  <w:marLeft w:val="0"/>
                  <w:marRight w:val="0"/>
                  <w:marTop w:val="0"/>
                  <w:marBottom w:val="0"/>
                  <w:divBdr>
                    <w:top w:val="none" w:sz="0" w:space="0" w:color="auto"/>
                    <w:left w:val="none" w:sz="0" w:space="0" w:color="auto"/>
                    <w:bottom w:val="none" w:sz="0" w:space="0" w:color="auto"/>
                    <w:right w:val="none" w:sz="0" w:space="0" w:color="auto"/>
                  </w:divBdr>
                  <w:divsChild>
                    <w:div w:id="2017614188">
                      <w:marLeft w:val="0"/>
                      <w:marRight w:val="0"/>
                      <w:marTop w:val="0"/>
                      <w:marBottom w:val="0"/>
                      <w:divBdr>
                        <w:top w:val="none" w:sz="0" w:space="0" w:color="auto"/>
                        <w:left w:val="none" w:sz="0" w:space="0" w:color="auto"/>
                        <w:bottom w:val="none" w:sz="0" w:space="0" w:color="auto"/>
                        <w:right w:val="none" w:sz="0" w:space="0" w:color="auto"/>
                      </w:divBdr>
                    </w:div>
                  </w:divsChild>
                </w:div>
                <w:div w:id="10112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61">
          <w:marLeft w:val="0"/>
          <w:marRight w:val="0"/>
          <w:marTop w:val="0"/>
          <w:marBottom w:val="0"/>
          <w:divBdr>
            <w:top w:val="none" w:sz="0" w:space="0" w:color="auto"/>
            <w:left w:val="none" w:sz="0" w:space="0" w:color="auto"/>
            <w:bottom w:val="none" w:sz="0" w:space="0" w:color="auto"/>
            <w:right w:val="none" w:sz="0" w:space="0" w:color="auto"/>
          </w:divBdr>
          <w:divsChild>
            <w:div w:id="189343767">
              <w:marLeft w:val="0"/>
              <w:marRight w:val="0"/>
              <w:marTop w:val="0"/>
              <w:marBottom w:val="0"/>
              <w:divBdr>
                <w:top w:val="none" w:sz="0" w:space="0" w:color="auto"/>
                <w:left w:val="none" w:sz="0" w:space="0" w:color="auto"/>
                <w:bottom w:val="none" w:sz="0" w:space="0" w:color="auto"/>
                <w:right w:val="none" w:sz="0" w:space="0" w:color="auto"/>
              </w:divBdr>
              <w:divsChild>
                <w:div w:id="1211386141">
                  <w:marLeft w:val="0"/>
                  <w:marRight w:val="0"/>
                  <w:marTop w:val="0"/>
                  <w:marBottom w:val="0"/>
                  <w:divBdr>
                    <w:top w:val="none" w:sz="0" w:space="0" w:color="auto"/>
                    <w:left w:val="none" w:sz="0" w:space="0" w:color="auto"/>
                    <w:bottom w:val="none" w:sz="0" w:space="0" w:color="auto"/>
                    <w:right w:val="none" w:sz="0" w:space="0" w:color="auto"/>
                  </w:divBdr>
                  <w:divsChild>
                    <w:div w:id="1067846461">
                      <w:marLeft w:val="0"/>
                      <w:marRight w:val="0"/>
                      <w:marTop w:val="0"/>
                      <w:marBottom w:val="0"/>
                      <w:divBdr>
                        <w:top w:val="none" w:sz="0" w:space="0" w:color="auto"/>
                        <w:left w:val="none" w:sz="0" w:space="0" w:color="auto"/>
                        <w:bottom w:val="none" w:sz="0" w:space="0" w:color="auto"/>
                        <w:right w:val="none" w:sz="0" w:space="0" w:color="auto"/>
                      </w:divBdr>
                    </w:div>
                    <w:div w:id="756826282">
                      <w:marLeft w:val="0"/>
                      <w:marRight w:val="0"/>
                      <w:marTop w:val="0"/>
                      <w:marBottom w:val="0"/>
                      <w:divBdr>
                        <w:top w:val="none" w:sz="0" w:space="0" w:color="auto"/>
                        <w:left w:val="none" w:sz="0" w:space="0" w:color="auto"/>
                        <w:bottom w:val="none" w:sz="0" w:space="0" w:color="auto"/>
                        <w:right w:val="none" w:sz="0" w:space="0" w:color="auto"/>
                      </w:divBdr>
                      <w:divsChild>
                        <w:div w:id="1587230281">
                          <w:marLeft w:val="0"/>
                          <w:marRight w:val="0"/>
                          <w:marTop w:val="0"/>
                          <w:marBottom w:val="0"/>
                          <w:divBdr>
                            <w:top w:val="none" w:sz="0" w:space="0" w:color="auto"/>
                            <w:left w:val="none" w:sz="0" w:space="0" w:color="auto"/>
                            <w:bottom w:val="none" w:sz="0" w:space="0" w:color="auto"/>
                            <w:right w:val="none" w:sz="0" w:space="0" w:color="auto"/>
                          </w:divBdr>
                          <w:divsChild>
                            <w:div w:id="13845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23756">
          <w:marLeft w:val="0"/>
          <w:marRight w:val="0"/>
          <w:marTop w:val="0"/>
          <w:marBottom w:val="0"/>
          <w:divBdr>
            <w:top w:val="none" w:sz="0" w:space="0" w:color="auto"/>
            <w:left w:val="none" w:sz="0" w:space="0" w:color="auto"/>
            <w:bottom w:val="none" w:sz="0" w:space="0" w:color="auto"/>
            <w:right w:val="none" w:sz="0" w:space="0" w:color="auto"/>
          </w:divBdr>
          <w:divsChild>
            <w:div w:id="657615578">
              <w:marLeft w:val="0"/>
              <w:marRight w:val="0"/>
              <w:marTop w:val="0"/>
              <w:marBottom w:val="0"/>
              <w:divBdr>
                <w:top w:val="none" w:sz="0" w:space="0" w:color="auto"/>
                <w:left w:val="none" w:sz="0" w:space="0" w:color="auto"/>
                <w:bottom w:val="none" w:sz="0" w:space="0" w:color="auto"/>
                <w:right w:val="none" w:sz="0" w:space="0" w:color="auto"/>
              </w:divBdr>
            </w:div>
          </w:divsChild>
        </w:div>
        <w:div w:id="265423768">
          <w:marLeft w:val="0"/>
          <w:marRight w:val="0"/>
          <w:marTop w:val="0"/>
          <w:marBottom w:val="0"/>
          <w:divBdr>
            <w:top w:val="none" w:sz="0" w:space="0" w:color="auto"/>
            <w:left w:val="none" w:sz="0" w:space="0" w:color="auto"/>
            <w:bottom w:val="none" w:sz="0" w:space="0" w:color="auto"/>
            <w:right w:val="none" w:sz="0" w:space="0" w:color="auto"/>
          </w:divBdr>
        </w:div>
        <w:div w:id="1166048516">
          <w:marLeft w:val="0"/>
          <w:marRight w:val="0"/>
          <w:marTop w:val="0"/>
          <w:marBottom w:val="0"/>
          <w:divBdr>
            <w:top w:val="none" w:sz="0" w:space="0" w:color="auto"/>
            <w:left w:val="none" w:sz="0" w:space="0" w:color="auto"/>
            <w:bottom w:val="none" w:sz="0" w:space="0" w:color="auto"/>
            <w:right w:val="none" w:sz="0" w:space="0" w:color="auto"/>
          </w:divBdr>
        </w:div>
        <w:div w:id="1545945249">
          <w:marLeft w:val="0"/>
          <w:marRight w:val="0"/>
          <w:marTop w:val="0"/>
          <w:marBottom w:val="0"/>
          <w:divBdr>
            <w:top w:val="none" w:sz="0" w:space="0" w:color="auto"/>
            <w:left w:val="none" w:sz="0" w:space="0" w:color="auto"/>
            <w:bottom w:val="none" w:sz="0" w:space="0" w:color="auto"/>
            <w:right w:val="none" w:sz="0" w:space="0" w:color="auto"/>
          </w:divBdr>
          <w:divsChild>
            <w:div w:id="929118791">
              <w:marLeft w:val="0"/>
              <w:marRight w:val="0"/>
              <w:marTop w:val="0"/>
              <w:marBottom w:val="0"/>
              <w:divBdr>
                <w:top w:val="none" w:sz="0" w:space="0" w:color="auto"/>
                <w:left w:val="none" w:sz="0" w:space="0" w:color="auto"/>
                <w:bottom w:val="none" w:sz="0" w:space="0" w:color="auto"/>
                <w:right w:val="none" w:sz="0" w:space="0" w:color="auto"/>
              </w:divBdr>
              <w:divsChild>
                <w:div w:id="578487344">
                  <w:marLeft w:val="0"/>
                  <w:marRight w:val="0"/>
                  <w:marTop w:val="0"/>
                  <w:marBottom w:val="0"/>
                  <w:divBdr>
                    <w:top w:val="none" w:sz="0" w:space="0" w:color="auto"/>
                    <w:left w:val="none" w:sz="0" w:space="0" w:color="auto"/>
                    <w:bottom w:val="none" w:sz="0" w:space="0" w:color="auto"/>
                    <w:right w:val="none" w:sz="0" w:space="0" w:color="auto"/>
                  </w:divBdr>
                  <w:divsChild>
                    <w:div w:id="1405567291">
                      <w:marLeft w:val="0"/>
                      <w:marRight w:val="0"/>
                      <w:marTop w:val="0"/>
                      <w:marBottom w:val="0"/>
                      <w:divBdr>
                        <w:top w:val="none" w:sz="0" w:space="0" w:color="auto"/>
                        <w:left w:val="none" w:sz="0" w:space="0" w:color="auto"/>
                        <w:bottom w:val="none" w:sz="0" w:space="0" w:color="auto"/>
                        <w:right w:val="none" w:sz="0" w:space="0" w:color="auto"/>
                      </w:divBdr>
                      <w:divsChild>
                        <w:div w:id="1303923966">
                          <w:marLeft w:val="0"/>
                          <w:marRight w:val="0"/>
                          <w:marTop w:val="0"/>
                          <w:marBottom w:val="0"/>
                          <w:divBdr>
                            <w:top w:val="none" w:sz="0" w:space="0" w:color="auto"/>
                            <w:left w:val="none" w:sz="0" w:space="0" w:color="auto"/>
                            <w:bottom w:val="none" w:sz="0" w:space="0" w:color="auto"/>
                            <w:right w:val="none" w:sz="0" w:space="0" w:color="auto"/>
                          </w:divBdr>
                          <w:divsChild>
                            <w:div w:id="348217796">
                              <w:marLeft w:val="0"/>
                              <w:marRight w:val="0"/>
                              <w:marTop w:val="0"/>
                              <w:marBottom w:val="0"/>
                              <w:divBdr>
                                <w:top w:val="none" w:sz="0" w:space="0" w:color="auto"/>
                                <w:left w:val="none" w:sz="0" w:space="0" w:color="auto"/>
                                <w:bottom w:val="none" w:sz="0" w:space="0" w:color="auto"/>
                                <w:right w:val="none" w:sz="0" w:space="0" w:color="auto"/>
                              </w:divBdr>
                              <w:divsChild>
                                <w:div w:id="1044871320">
                                  <w:marLeft w:val="0"/>
                                  <w:marRight w:val="0"/>
                                  <w:marTop w:val="0"/>
                                  <w:marBottom w:val="0"/>
                                  <w:divBdr>
                                    <w:top w:val="none" w:sz="0" w:space="0" w:color="auto"/>
                                    <w:left w:val="none" w:sz="0" w:space="0" w:color="auto"/>
                                    <w:bottom w:val="none" w:sz="0" w:space="0" w:color="auto"/>
                                    <w:right w:val="none" w:sz="0" w:space="0" w:color="auto"/>
                                  </w:divBdr>
                                  <w:divsChild>
                                    <w:div w:id="1933125196">
                                      <w:marLeft w:val="0"/>
                                      <w:marRight w:val="0"/>
                                      <w:marTop w:val="0"/>
                                      <w:marBottom w:val="0"/>
                                      <w:divBdr>
                                        <w:top w:val="none" w:sz="0" w:space="0" w:color="auto"/>
                                        <w:left w:val="none" w:sz="0" w:space="0" w:color="auto"/>
                                        <w:bottom w:val="none" w:sz="0" w:space="0" w:color="auto"/>
                                        <w:right w:val="none" w:sz="0" w:space="0" w:color="auto"/>
                                      </w:divBdr>
                                    </w:div>
                                  </w:divsChild>
                                </w:div>
                                <w:div w:id="1864593646">
                                  <w:marLeft w:val="0"/>
                                  <w:marRight w:val="0"/>
                                  <w:marTop w:val="0"/>
                                  <w:marBottom w:val="0"/>
                                  <w:divBdr>
                                    <w:top w:val="none" w:sz="0" w:space="0" w:color="auto"/>
                                    <w:left w:val="none" w:sz="0" w:space="0" w:color="auto"/>
                                    <w:bottom w:val="none" w:sz="0" w:space="0" w:color="auto"/>
                                    <w:right w:val="none" w:sz="0" w:space="0" w:color="auto"/>
                                  </w:divBdr>
                                  <w:divsChild>
                                    <w:div w:id="2003043330">
                                      <w:marLeft w:val="0"/>
                                      <w:marRight w:val="0"/>
                                      <w:marTop w:val="0"/>
                                      <w:marBottom w:val="0"/>
                                      <w:divBdr>
                                        <w:top w:val="none" w:sz="0" w:space="0" w:color="auto"/>
                                        <w:left w:val="none" w:sz="0" w:space="0" w:color="auto"/>
                                        <w:bottom w:val="none" w:sz="0" w:space="0" w:color="auto"/>
                                        <w:right w:val="none" w:sz="0" w:space="0" w:color="auto"/>
                                      </w:divBdr>
                                      <w:divsChild>
                                        <w:div w:id="599918628">
                                          <w:marLeft w:val="0"/>
                                          <w:marRight w:val="0"/>
                                          <w:marTop w:val="0"/>
                                          <w:marBottom w:val="0"/>
                                          <w:divBdr>
                                            <w:top w:val="none" w:sz="0" w:space="0" w:color="auto"/>
                                            <w:left w:val="none" w:sz="0" w:space="0" w:color="auto"/>
                                            <w:bottom w:val="none" w:sz="0" w:space="0" w:color="auto"/>
                                            <w:right w:val="none" w:sz="0" w:space="0" w:color="auto"/>
                                          </w:divBdr>
                                        </w:div>
                                        <w:div w:id="843786703">
                                          <w:marLeft w:val="0"/>
                                          <w:marRight w:val="0"/>
                                          <w:marTop w:val="0"/>
                                          <w:marBottom w:val="0"/>
                                          <w:divBdr>
                                            <w:top w:val="none" w:sz="0" w:space="0" w:color="auto"/>
                                            <w:left w:val="none" w:sz="0" w:space="0" w:color="auto"/>
                                            <w:bottom w:val="none" w:sz="0" w:space="0" w:color="auto"/>
                                            <w:right w:val="none" w:sz="0" w:space="0" w:color="auto"/>
                                          </w:divBdr>
                                          <w:divsChild>
                                            <w:div w:id="14972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808">
                                      <w:marLeft w:val="0"/>
                                      <w:marRight w:val="0"/>
                                      <w:marTop w:val="0"/>
                                      <w:marBottom w:val="0"/>
                                      <w:divBdr>
                                        <w:top w:val="none" w:sz="0" w:space="0" w:color="auto"/>
                                        <w:left w:val="none" w:sz="0" w:space="0" w:color="auto"/>
                                        <w:bottom w:val="none" w:sz="0" w:space="0" w:color="auto"/>
                                        <w:right w:val="none" w:sz="0" w:space="0" w:color="auto"/>
                                      </w:divBdr>
                                      <w:divsChild>
                                        <w:div w:id="903220941">
                                          <w:marLeft w:val="0"/>
                                          <w:marRight w:val="0"/>
                                          <w:marTop w:val="0"/>
                                          <w:marBottom w:val="0"/>
                                          <w:divBdr>
                                            <w:top w:val="none" w:sz="0" w:space="0" w:color="auto"/>
                                            <w:left w:val="none" w:sz="0" w:space="0" w:color="auto"/>
                                            <w:bottom w:val="none" w:sz="0" w:space="0" w:color="auto"/>
                                            <w:right w:val="none" w:sz="0" w:space="0" w:color="auto"/>
                                          </w:divBdr>
                                        </w:div>
                                        <w:div w:id="178352571">
                                          <w:marLeft w:val="0"/>
                                          <w:marRight w:val="0"/>
                                          <w:marTop w:val="0"/>
                                          <w:marBottom w:val="0"/>
                                          <w:divBdr>
                                            <w:top w:val="none" w:sz="0" w:space="0" w:color="auto"/>
                                            <w:left w:val="none" w:sz="0" w:space="0" w:color="auto"/>
                                            <w:bottom w:val="none" w:sz="0" w:space="0" w:color="auto"/>
                                            <w:right w:val="none" w:sz="0" w:space="0" w:color="auto"/>
                                          </w:divBdr>
                                          <w:divsChild>
                                            <w:div w:id="20400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5134">
                                      <w:marLeft w:val="0"/>
                                      <w:marRight w:val="0"/>
                                      <w:marTop w:val="0"/>
                                      <w:marBottom w:val="0"/>
                                      <w:divBdr>
                                        <w:top w:val="none" w:sz="0" w:space="0" w:color="auto"/>
                                        <w:left w:val="none" w:sz="0" w:space="0" w:color="auto"/>
                                        <w:bottom w:val="none" w:sz="0" w:space="0" w:color="auto"/>
                                        <w:right w:val="none" w:sz="0" w:space="0" w:color="auto"/>
                                      </w:divBdr>
                                      <w:divsChild>
                                        <w:div w:id="109908185">
                                          <w:marLeft w:val="0"/>
                                          <w:marRight w:val="0"/>
                                          <w:marTop w:val="0"/>
                                          <w:marBottom w:val="0"/>
                                          <w:divBdr>
                                            <w:top w:val="none" w:sz="0" w:space="0" w:color="auto"/>
                                            <w:left w:val="none" w:sz="0" w:space="0" w:color="auto"/>
                                            <w:bottom w:val="none" w:sz="0" w:space="0" w:color="auto"/>
                                            <w:right w:val="none" w:sz="0" w:space="0" w:color="auto"/>
                                          </w:divBdr>
                                        </w:div>
                                        <w:div w:id="1232545119">
                                          <w:marLeft w:val="0"/>
                                          <w:marRight w:val="0"/>
                                          <w:marTop w:val="0"/>
                                          <w:marBottom w:val="0"/>
                                          <w:divBdr>
                                            <w:top w:val="none" w:sz="0" w:space="0" w:color="auto"/>
                                            <w:left w:val="none" w:sz="0" w:space="0" w:color="auto"/>
                                            <w:bottom w:val="none" w:sz="0" w:space="0" w:color="auto"/>
                                            <w:right w:val="none" w:sz="0" w:space="0" w:color="auto"/>
                                          </w:divBdr>
                                          <w:divsChild>
                                            <w:div w:id="5021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963326">
          <w:marLeft w:val="0"/>
          <w:marRight w:val="0"/>
          <w:marTop w:val="0"/>
          <w:marBottom w:val="0"/>
          <w:divBdr>
            <w:top w:val="none" w:sz="0" w:space="0" w:color="auto"/>
            <w:left w:val="none" w:sz="0" w:space="0" w:color="auto"/>
            <w:bottom w:val="none" w:sz="0" w:space="0" w:color="auto"/>
            <w:right w:val="none" w:sz="0" w:space="0" w:color="auto"/>
          </w:divBdr>
        </w:div>
        <w:div w:id="702176723">
          <w:marLeft w:val="0"/>
          <w:marRight w:val="0"/>
          <w:marTop w:val="0"/>
          <w:marBottom w:val="0"/>
          <w:divBdr>
            <w:top w:val="none" w:sz="0" w:space="0" w:color="auto"/>
            <w:left w:val="none" w:sz="0" w:space="0" w:color="auto"/>
            <w:bottom w:val="none" w:sz="0" w:space="0" w:color="auto"/>
            <w:right w:val="none" w:sz="0" w:space="0" w:color="auto"/>
          </w:divBdr>
        </w:div>
      </w:divsChild>
    </w:div>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149374542">
      <w:bodyDiv w:val="1"/>
      <w:marLeft w:val="0"/>
      <w:marRight w:val="0"/>
      <w:marTop w:val="0"/>
      <w:marBottom w:val="0"/>
      <w:divBdr>
        <w:top w:val="none" w:sz="0" w:space="0" w:color="auto"/>
        <w:left w:val="none" w:sz="0" w:space="0" w:color="auto"/>
        <w:bottom w:val="none" w:sz="0" w:space="0" w:color="auto"/>
        <w:right w:val="none" w:sz="0" w:space="0" w:color="auto"/>
      </w:divBdr>
    </w:div>
    <w:div w:id="297540352">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388964058">
      <w:bodyDiv w:val="1"/>
      <w:marLeft w:val="0"/>
      <w:marRight w:val="0"/>
      <w:marTop w:val="0"/>
      <w:marBottom w:val="0"/>
      <w:divBdr>
        <w:top w:val="none" w:sz="0" w:space="0" w:color="auto"/>
        <w:left w:val="none" w:sz="0" w:space="0" w:color="auto"/>
        <w:bottom w:val="none" w:sz="0" w:space="0" w:color="auto"/>
        <w:right w:val="none" w:sz="0" w:space="0" w:color="auto"/>
      </w:divBdr>
    </w:div>
    <w:div w:id="462887795">
      <w:bodyDiv w:val="1"/>
      <w:marLeft w:val="0"/>
      <w:marRight w:val="0"/>
      <w:marTop w:val="0"/>
      <w:marBottom w:val="0"/>
      <w:divBdr>
        <w:top w:val="none" w:sz="0" w:space="0" w:color="auto"/>
        <w:left w:val="none" w:sz="0" w:space="0" w:color="auto"/>
        <w:bottom w:val="none" w:sz="0" w:space="0" w:color="auto"/>
        <w:right w:val="none" w:sz="0" w:space="0" w:color="auto"/>
      </w:divBdr>
    </w:div>
    <w:div w:id="474370503">
      <w:bodyDiv w:val="1"/>
      <w:marLeft w:val="0"/>
      <w:marRight w:val="0"/>
      <w:marTop w:val="0"/>
      <w:marBottom w:val="0"/>
      <w:divBdr>
        <w:top w:val="none" w:sz="0" w:space="0" w:color="auto"/>
        <w:left w:val="none" w:sz="0" w:space="0" w:color="auto"/>
        <w:bottom w:val="none" w:sz="0" w:space="0" w:color="auto"/>
        <w:right w:val="none" w:sz="0" w:space="0" w:color="auto"/>
      </w:divBdr>
    </w:div>
    <w:div w:id="492647652">
      <w:bodyDiv w:val="1"/>
      <w:marLeft w:val="0"/>
      <w:marRight w:val="0"/>
      <w:marTop w:val="0"/>
      <w:marBottom w:val="0"/>
      <w:divBdr>
        <w:top w:val="none" w:sz="0" w:space="0" w:color="auto"/>
        <w:left w:val="none" w:sz="0" w:space="0" w:color="auto"/>
        <w:bottom w:val="none" w:sz="0" w:space="0" w:color="auto"/>
        <w:right w:val="none" w:sz="0" w:space="0" w:color="auto"/>
      </w:divBdr>
    </w:div>
    <w:div w:id="582639901">
      <w:bodyDiv w:val="1"/>
      <w:marLeft w:val="0"/>
      <w:marRight w:val="0"/>
      <w:marTop w:val="0"/>
      <w:marBottom w:val="0"/>
      <w:divBdr>
        <w:top w:val="none" w:sz="0" w:space="0" w:color="auto"/>
        <w:left w:val="none" w:sz="0" w:space="0" w:color="auto"/>
        <w:bottom w:val="none" w:sz="0" w:space="0" w:color="auto"/>
        <w:right w:val="none" w:sz="0" w:space="0" w:color="auto"/>
      </w:divBdr>
    </w:div>
    <w:div w:id="597639863">
      <w:bodyDiv w:val="1"/>
      <w:marLeft w:val="0"/>
      <w:marRight w:val="0"/>
      <w:marTop w:val="0"/>
      <w:marBottom w:val="0"/>
      <w:divBdr>
        <w:top w:val="none" w:sz="0" w:space="0" w:color="auto"/>
        <w:left w:val="none" w:sz="0" w:space="0" w:color="auto"/>
        <w:bottom w:val="none" w:sz="0" w:space="0" w:color="auto"/>
        <w:right w:val="none" w:sz="0" w:space="0" w:color="auto"/>
      </w:divBdr>
    </w:div>
    <w:div w:id="600182160">
      <w:bodyDiv w:val="1"/>
      <w:marLeft w:val="0"/>
      <w:marRight w:val="0"/>
      <w:marTop w:val="0"/>
      <w:marBottom w:val="0"/>
      <w:divBdr>
        <w:top w:val="none" w:sz="0" w:space="0" w:color="auto"/>
        <w:left w:val="none" w:sz="0" w:space="0" w:color="auto"/>
        <w:bottom w:val="none" w:sz="0" w:space="0" w:color="auto"/>
        <w:right w:val="none" w:sz="0" w:space="0" w:color="auto"/>
      </w:divBdr>
    </w:div>
    <w:div w:id="798300052">
      <w:bodyDiv w:val="1"/>
      <w:marLeft w:val="0"/>
      <w:marRight w:val="0"/>
      <w:marTop w:val="0"/>
      <w:marBottom w:val="0"/>
      <w:divBdr>
        <w:top w:val="none" w:sz="0" w:space="0" w:color="auto"/>
        <w:left w:val="none" w:sz="0" w:space="0" w:color="auto"/>
        <w:bottom w:val="none" w:sz="0" w:space="0" w:color="auto"/>
        <w:right w:val="none" w:sz="0" w:space="0" w:color="auto"/>
      </w:divBdr>
    </w:div>
    <w:div w:id="818229158">
      <w:bodyDiv w:val="1"/>
      <w:marLeft w:val="0"/>
      <w:marRight w:val="0"/>
      <w:marTop w:val="0"/>
      <w:marBottom w:val="0"/>
      <w:divBdr>
        <w:top w:val="none" w:sz="0" w:space="0" w:color="auto"/>
        <w:left w:val="none" w:sz="0" w:space="0" w:color="auto"/>
        <w:bottom w:val="none" w:sz="0" w:space="0" w:color="auto"/>
        <w:right w:val="none" w:sz="0" w:space="0" w:color="auto"/>
      </w:divBdr>
    </w:div>
    <w:div w:id="843665055">
      <w:bodyDiv w:val="1"/>
      <w:marLeft w:val="0"/>
      <w:marRight w:val="0"/>
      <w:marTop w:val="0"/>
      <w:marBottom w:val="0"/>
      <w:divBdr>
        <w:top w:val="none" w:sz="0" w:space="0" w:color="auto"/>
        <w:left w:val="none" w:sz="0" w:space="0" w:color="auto"/>
        <w:bottom w:val="none" w:sz="0" w:space="0" w:color="auto"/>
        <w:right w:val="none" w:sz="0" w:space="0" w:color="auto"/>
      </w:divBdr>
    </w:div>
    <w:div w:id="847139382">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281688147">
      <w:bodyDiv w:val="1"/>
      <w:marLeft w:val="0"/>
      <w:marRight w:val="0"/>
      <w:marTop w:val="0"/>
      <w:marBottom w:val="0"/>
      <w:divBdr>
        <w:top w:val="none" w:sz="0" w:space="0" w:color="auto"/>
        <w:left w:val="none" w:sz="0" w:space="0" w:color="auto"/>
        <w:bottom w:val="none" w:sz="0" w:space="0" w:color="auto"/>
        <w:right w:val="none" w:sz="0" w:space="0" w:color="auto"/>
      </w:divBdr>
    </w:div>
    <w:div w:id="1373920259">
      <w:bodyDiv w:val="1"/>
      <w:marLeft w:val="0"/>
      <w:marRight w:val="0"/>
      <w:marTop w:val="0"/>
      <w:marBottom w:val="0"/>
      <w:divBdr>
        <w:top w:val="none" w:sz="0" w:space="0" w:color="auto"/>
        <w:left w:val="none" w:sz="0" w:space="0" w:color="auto"/>
        <w:bottom w:val="none" w:sz="0" w:space="0" w:color="auto"/>
        <w:right w:val="none" w:sz="0" w:space="0" w:color="auto"/>
      </w:divBdr>
    </w:div>
    <w:div w:id="1509103587">
      <w:bodyDiv w:val="1"/>
      <w:marLeft w:val="0"/>
      <w:marRight w:val="0"/>
      <w:marTop w:val="0"/>
      <w:marBottom w:val="0"/>
      <w:divBdr>
        <w:top w:val="none" w:sz="0" w:space="0" w:color="auto"/>
        <w:left w:val="none" w:sz="0" w:space="0" w:color="auto"/>
        <w:bottom w:val="none" w:sz="0" w:space="0" w:color="auto"/>
        <w:right w:val="none" w:sz="0" w:space="0" w:color="auto"/>
      </w:divBdr>
    </w:div>
    <w:div w:id="1585915070">
      <w:bodyDiv w:val="1"/>
      <w:marLeft w:val="0"/>
      <w:marRight w:val="0"/>
      <w:marTop w:val="0"/>
      <w:marBottom w:val="0"/>
      <w:divBdr>
        <w:top w:val="none" w:sz="0" w:space="0" w:color="auto"/>
        <w:left w:val="none" w:sz="0" w:space="0" w:color="auto"/>
        <w:bottom w:val="none" w:sz="0" w:space="0" w:color="auto"/>
        <w:right w:val="none" w:sz="0" w:space="0" w:color="auto"/>
      </w:divBdr>
      <w:divsChild>
        <w:div w:id="1708136729">
          <w:marLeft w:val="0"/>
          <w:marRight w:val="0"/>
          <w:marTop w:val="0"/>
          <w:marBottom w:val="0"/>
          <w:divBdr>
            <w:top w:val="none" w:sz="0" w:space="0" w:color="auto"/>
            <w:left w:val="none" w:sz="0" w:space="0" w:color="auto"/>
            <w:bottom w:val="none" w:sz="0" w:space="0" w:color="auto"/>
            <w:right w:val="none" w:sz="0" w:space="0" w:color="auto"/>
          </w:divBdr>
          <w:divsChild>
            <w:div w:id="93716980">
              <w:marLeft w:val="0"/>
              <w:marRight w:val="0"/>
              <w:marTop w:val="0"/>
              <w:marBottom w:val="0"/>
              <w:divBdr>
                <w:top w:val="none" w:sz="0" w:space="0" w:color="auto"/>
                <w:left w:val="none" w:sz="0" w:space="0" w:color="auto"/>
                <w:bottom w:val="none" w:sz="0" w:space="0" w:color="auto"/>
                <w:right w:val="none" w:sz="0" w:space="0" w:color="auto"/>
              </w:divBdr>
              <w:divsChild>
                <w:div w:id="2060668160">
                  <w:marLeft w:val="0"/>
                  <w:marRight w:val="0"/>
                  <w:marTop w:val="0"/>
                  <w:marBottom w:val="0"/>
                  <w:divBdr>
                    <w:top w:val="none" w:sz="0" w:space="0" w:color="auto"/>
                    <w:left w:val="none" w:sz="0" w:space="0" w:color="auto"/>
                    <w:bottom w:val="none" w:sz="0" w:space="0" w:color="auto"/>
                    <w:right w:val="none" w:sz="0" w:space="0" w:color="auto"/>
                  </w:divBdr>
                </w:div>
                <w:div w:id="991105319">
                  <w:marLeft w:val="0"/>
                  <w:marRight w:val="0"/>
                  <w:marTop w:val="0"/>
                  <w:marBottom w:val="0"/>
                  <w:divBdr>
                    <w:top w:val="none" w:sz="0" w:space="0" w:color="auto"/>
                    <w:left w:val="none" w:sz="0" w:space="0" w:color="auto"/>
                    <w:bottom w:val="none" w:sz="0" w:space="0" w:color="auto"/>
                    <w:right w:val="none" w:sz="0" w:space="0" w:color="auto"/>
                  </w:divBdr>
                  <w:divsChild>
                    <w:div w:id="712311850">
                      <w:marLeft w:val="0"/>
                      <w:marRight w:val="0"/>
                      <w:marTop w:val="0"/>
                      <w:marBottom w:val="0"/>
                      <w:divBdr>
                        <w:top w:val="none" w:sz="0" w:space="0" w:color="auto"/>
                        <w:left w:val="none" w:sz="0" w:space="0" w:color="auto"/>
                        <w:bottom w:val="none" w:sz="0" w:space="0" w:color="auto"/>
                        <w:right w:val="none" w:sz="0" w:space="0" w:color="auto"/>
                      </w:divBdr>
                      <w:divsChild>
                        <w:div w:id="1795059434">
                          <w:marLeft w:val="0"/>
                          <w:marRight w:val="0"/>
                          <w:marTop w:val="0"/>
                          <w:marBottom w:val="0"/>
                          <w:divBdr>
                            <w:top w:val="none" w:sz="0" w:space="0" w:color="auto"/>
                            <w:left w:val="none" w:sz="0" w:space="0" w:color="auto"/>
                            <w:bottom w:val="none" w:sz="0" w:space="0" w:color="auto"/>
                            <w:right w:val="none" w:sz="0" w:space="0" w:color="auto"/>
                          </w:divBdr>
                        </w:div>
                      </w:divsChild>
                    </w:div>
                    <w:div w:id="12551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61119">
          <w:marLeft w:val="0"/>
          <w:marRight w:val="0"/>
          <w:marTop w:val="0"/>
          <w:marBottom w:val="0"/>
          <w:divBdr>
            <w:top w:val="none" w:sz="0" w:space="0" w:color="auto"/>
            <w:left w:val="none" w:sz="0" w:space="0" w:color="auto"/>
            <w:bottom w:val="none" w:sz="0" w:space="0" w:color="auto"/>
            <w:right w:val="none" w:sz="0" w:space="0" w:color="auto"/>
          </w:divBdr>
          <w:divsChild>
            <w:div w:id="1211308674">
              <w:marLeft w:val="0"/>
              <w:marRight w:val="0"/>
              <w:marTop w:val="0"/>
              <w:marBottom w:val="0"/>
              <w:divBdr>
                <w:top w:val="none" w:sz="0" w:space="0" w:color="auto"/>
                <w:left w:val="none" w:sz="0" w:space="0" w:color="auto"/>
                <w:bottom w:val="none" w:sz="0" w:space="0" w:color="auto"/>
                <w:right w:val="none" w:sz="0" w:space="0" w:color="auto"/>
              </w:divBdr>
            </w:div>
          </w:divsChild>
        </w:div>
        <w:div w:id="283537393">
          <w:marLeft w:val="0"/>
          <w:marRight w:val="0"/>
          <w:marTop w:val="0"/>
          <w:marBottom w:val="0"/>
          <w:divBdr>
            <w:top w:val="none" w:sz="0" w:space="0" w:color="auto"/>
            <w:left w:val="none" w:sz="0" w:space="0" w:color="auto"/>
            <w:bottom w:val="none" w:sz="0" w:space="0" w:color="auto"/>
            <w:right w:val="none" w:sz="0" w:space="0" w:color="auto"/>
          </w:divBdr>
          <w:divsChild>
            <w:div w:id="1600024761">
              <w:marLeft w:val="0"/>
              <w:marRight w:val="0"/>
              <w:marTop w:val="0"/>
              <w:marBottom w:val="0"/>
              <w:divBdr>
                <w:top w:val="none" w:sz="0" w:space="0" w:color="auto"/>
                <w:left w:val="none" w:sz="0" w:space="0" w:color="auto"/>
                <w:bottom w:val="none" w:sz="0" w:space="0" w:color="auto"/>
                <w:right w:val="none" w:sz="0" w:space="0" w:color="auto"/>
              </w:divBdr>
              <w:divsChild>
                <w:div w:id="585845534">
                  <w:marLeft w:val="0"/>
                  <w:marRight w:val="0"/>
                  <w:marTop w:val="0"/>
                  <w:marBottom w:val="0"/>
                  <w:divBdr>
                    <w:top w:val="none" w:sz="0" w:space="0" w:color="auto"/>
                    <w:left w:val="none" w:sz="0" w:space="0" w:color="auto"/>
                    <w:bottom w:val="none" w:sz="0" w:space="0" w:color="auto"/>
                    <w:right w:val="none" w:sz="0" w:space="0" w:color="auto"/>
                  </w:divBdr>
                  <w:divsChild>
                    <w:div w:id="1814061839">
                      <w:marLeft w:val="0"/>
                      <w:marRight w:val="0"/>
                      <w:marTop w:val="0"/>
                      <w:marBottom w:val="0"/>
                      <w:divBdr>
                        <w:top w:val="none" w:sz="0" w:space="0" w:color="auto"/>
                        <w:left w:val="none" w:sz="0" w:space="0" w:color="auto"/>
                        <w:bottom w:val="none" w:sz="0" w:space="0" w:color="auto"/>
                        <w:right w:val="none" w:sz="0" w:space="0" w:color="auto"/>
                      </w:divBdr>
                      <w:divsChild>
                        <w:div w:id="1573082079">
                          <w:marLeft w:val="0"/>
                          <w:marRight w:val="0"/>
                          <w:marTop w:val="0"/>
                          <w:marBottom w:val="0"/>
                          <w:divBdr>
                            <w:top w:val="none" w:sz="0" w:space="0" w:color="auto"/>
                            <w:left w:val="none" w:sz="0" w:space="0" w:color="auto"/>
                            <w:bottom w:val="none" w:sz="0" w:space="0" w:color="auto"/>
                            <w:right w:val="none" w:sz="0" w:space="0" w:color="auto"/>
                          </w:divBdr>
                          <w:divsChild>
                            <w:div w:id="1780568999">
                              <w:marLeft w:val="0"/>
                              <w:marRight w:val="0"/>
                              <w:marTop w:val="0"/>
                              <w:marBottom w:val="0"/>
                              <w:divBdr>
                                <w:top w:val="none" w:sz="0" w:space="0" w:color="auto"/>
                                <w:left w:val="none" w:sz="0" w:space="0" w:color="auto"/>
                                <w:bottom w:val="none" w:sz="0" w:space="0" w:color="auto"/>
                                <w:right w:val="none" w:sz="0" w:space="0" w:color="auto"/>
                              </w:divBdr>
                            </w:div>
                          </w:divsChild>
                        </w:div>
                        <w:div w:id="2060208155">
                          <w:marLeft w:val="0"/>
                          <w:marRight w:val="0"/>
                          <w:marTop w:val="0"/>
                          <w:marBottom w:val="0"/>
                          <w:divBdr>
                            <w:top w:val="none" w:sz="0" w:space="0" w:color="auto"/>
                            <w:left w:val="none" w:sz="0" w:space="0" w:color="auto"/>
                            <w:bottom w:val="none" w:sz="0" w:space="0" w:color="auto"/>
                            <w:right w:val="none" w:sz="0" w:space="0" w:color="auto"/>
                          </w:divBdr>
                        </w:div>
                        <w:div w:id="1065833376">
                          <w:marLeft w:val="0"/>
                          <w:marRight w:val="0"/>
                          <w:marTop w:val="0"/>
                          <w:marBottom w:val="0"/>
                          <w:divBdr>
                            <w:top w:val="none" w:sz="0" w:space="0" w:color="auto"/>
                            <w:left w:val="none" w:sz="0" w:space="0" w:color="auto"/>
                            <w:bottom w:val="none" w:sz="0" w:space="0" w:color="auto"/>
                            <w:right w:val="none" w:sz="0" w:space="0" w:color="auto"/>
                          </w:divBdr>
                        </w:div>
                        <w:div w:id="1299648418">
                          <w:marLeft w:val="0"/>
                          <w:marRight w:val="0"/>
                          <w:marTop w:val="0"/>
                          <w:marBottom w:val="0"/>
                          <w:divBdr>
                            <w:top w:val="none" w:sz="0" w:space="0" w:color="auto"/>
                            <w:left w:val="none" w:sz="0" w:space="0" w:color="auto"/>
                            <w:bottom w:val="none" w:sz="0" w:space="0" w:color="auto"/>
                            <w:right w:val="none" w:sz="0" w:space="0" w:color="auto"/>
                          </w:divBdr>
                        </w:div>
                        <w:div w:id="1647012154">
                          <w:marLeft w:val="0"/>
                          <w:marRight w:val="0"/>
                          <w:marTop w:val="0"/>
                          <w:marBottom w:val="0"/>
                          <w:divBdr>
                            <w:top w:val="none" w:sz="0" w:space="0" w:color="auto"/>
                            <w:left w:val="none" w:sz="0" w:space="0" w:color="auto"/>
                            <w:bottom w:val="none" w:sz="0" w:space="0" w:color="auto"/>
                            <w:right w:val="none" w:sz="0" w:space="0" w:color="auto"/>
                          </w:divBdr>
                          <w:divsChild>
                            <w:div w:id="1348556195">
                              <w:marLeft w:val="0"/>
                              <w:marRight w:val="0"/>
                              <w:marTop w:val="0"/>
                              <w:marBottom w:val="0"/>
                              <w:divBdr>
                                <w:top w:val="none" w:sz="0" w:space="0" w:color="auto"/>
                                <w:left w:val="none" w:sz="0" w:space="0" w:color="auto"/>
                                <w:bottom w:val="none" w:sz="0" w:space="0" w:color="auto"/>
                                <w:right w:val="none" w:sz="0" w:space="0" w:color="auto"/>
                              </w:divBdr>
                            </w:div>
                          </w:divsChild>
                        </w:div>
                        <w:div w:id="1687245115">
                          <w:marLeft w:val="0"/>
                          <w:marRight w:val="0"/>
                          <w:marTop w:val="0"/>
                          <w:marBottom w:val="0"/>
                          <w:divBdr>
                            <w:top w:val="none" w:sz="0" w:space="0" w:color="auto"/>
                            <w:left w:val="none" w:sz="0" w:space="0" w:color="auto"/>
                            <w:bottom w:val="none" w:sz="0" w:space="0" w:color="auto"/>
                            <w:right w:val="none" w:sz="0" w:space="0" w:color="auto"/>
                          </w:divBdr>
                          <w:divsChild>
                            <w:div w:id="73402741">
                              <w:marLeft w:val="0"/>
                              <w:marRight w:val="0"/>
                              <w:marTop w:val="0"/>
                              <w:marBottom w:val="0"/>
                              <w:divBdr>
                                <w:top w:val="none" w:sz="0" w:space="0" w:color="auto"/>
                                <w:left w:val="none" w:sz="0" w:space="0" w:color="auto"/>
                                <w:bottom w:val="none" w:sz="0" w:space="0" w:color="auto"/>
                                <w:right w:val="none" w:sz="0" w:space="0" w:color="auto"/>
                              </w:divBdr>
                            </w:div>
                            <w:div w:id="833181798">
                              <w:marLeft w:val="0"/>
                              <w:marRight w:val="0"/>
                              <w:marTop w:val="0"/>
                              <w:marBottom w:val="0"/>
                              <w:divBdr>
                                <w:top w:val="none" w:sz="0" w:space="0" w:color="auto"/>
                                <w:left w:val="none" w:sz="0" w:space="0" w:color="auto"/>
                                <w:bottom w:val="none" w:sz="0" w:space="0" w:color="auto"/>
                                <w:right w:val="none" w:sz="0" w:space="0" w:color="auto"/>
                              </w:divBdr>
                              <w:divsChild>
                                <w:div w:id="1429227306">
                                  <w:marLeft w:val="0"/>
                                  <w:marRight w:val="0"/>
                                  <w:marTop w:val="0"/>
                                  <w:marBottom w:val="0"/>
                                  <w:divBdr>
                                    <w:top w:val="none" w:sz="0" w:space="0" w:color="auto"/>
                                    <w:left w:val="none" w:sz="0" w:space="0" w:color="auto"/>
                                    <w:bottom w:val="none" w:sz="0" w:space="0" w:color="auto"/>
                                    <w:right w:val="none" w:sz="0" w:space="0" w:color="auto"/>
                                  </w:divBdr>
                                  <w:divsChild>
                                    <w:div w:id="1511676047">
                                      <w:marLeft w:val="0"/>
                                      <w:marRight w:val="0"/>
                                      <w:marTop w:val="0"/>
                                      <w:marBottom w:val="0"/>
                                      <w:divBdr>
                                        <w:top w:val="none" w:sz="0" w:space="0" w:color="auto"/>
                                        <w:left w:val="none" w:sz="0" w:space="0" w:color="auto"/>
                                        <w:bottom w:val="none" w:sz="0" w:space="0" w:color="auto"/>
                                        <w:right w:val="none" w:sz="0" w:space="0" w:color="auto"/>
                                      </w:divBdr>
                                    </w:div>
                                    <w:div w:id="1670907733">
                                      <w:marLeft w:val="0"/>
                                      <w:marRight w:val="0"/>
                                      <w:marTop w:val="0"/>
                                      <w:marBottom w:val="0"/>
                                      <w:divBdr>
                                        <w:top w:val="none" w:sz="0" w:space="0" w:color="auto"/>
                                        <w:left w:val="none" w:sz="0" w:space="0" w:color="auto"/>
                                        <w:bottom w:val="none" w:sz="0" w:space="0" w:color="auto"/>
                                        <w:right w:val="none" w:sz="0" w:space="0" w:color="auto"/>
                                      </w:divBdr>
                                      <w:divsChild>
                                        <w:div w:id="2310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78077">
                      <w:marLeft w:val="0"/>
                      <w:marRight w:val="0"/>
                      <w:marTop w:val="0"/>
                      <w:marBottom w:val="0"/>
                      <w:divBdr>
                        <w:top w:val="none" w:sz="0" w:space="0" w:color="auto"/>
                        <w:left w:val="none" w:sz="0" w:space="0" w:color="auto"/>
                        <w:bottom w:val="none" w:sz="0" w:space="0" w:color="auto"/>
                        <w:right w:val="none" w:sz="0" w:space="0" w:color="auto"/>
                      </w:divBdr>
                      <w:divsChild>
                        <w:div w:id="1303383105">
                          <w:marLeft w:val="0"/>
                          <w:marRight w:val="0"/>
                          <w:marTop w:val="0"/>
                          <w:marBottom w:val="0"/>
                          <w:divBdr>
                            <w:top w:val="none" w:sz="0" w:space="0" w:color="auto"/>
                            <w:left w:val="none" w:sz="0" w:space="0" w:color="auto"/>
                            <w:bottom w:val="none" w:sz="0" w:space="0" w:color="auto"/>
                            <w:right w:val="none" w:sz="0" w:space="0" w:color="auto"/>
                          </w:divBdr>
                          <w:divsChild>
                            <w:div w:id="228538285">
                              <w:marLeft w:val="0"/>
                              <w:marRight w:val="0"/>
                              <w:marTop w:val="0"/>
                              <w:marBottom w:val="0"/>
                              <w:divBdr>
                                <w:top w:val="none" w:sz="0" w:space="0" w:color="auto"/>
                                <w:left w:val="none" w:sz="0" w:space="0" w:color="auto"/>
                                <w:bottom w:val="none" w:sz="0" w:space="0" w:color="auto"/>
                                <w:right w:val="none" w:sz="0" w:space="0" w:color="auto"/>
                              </w:divBdr>
                              <w:divsChild>
                                <w:div w:id="1460875468">
                                  <w:marLeft w:val="0"/>
                                  <w:marRight w:val="0"/>
                                  <w:marTop w:val="0"/>
                                  <w:marBottom w:val="0"/>
                                  <w:divBdr>
                                    <w:top w:val="none" w:sz="0" w:space="0" w:color="auto"/>
                                    <w:left w:val="none" w:sz="0" w:space="0" w:color="auto"/>
                                    <w:bottom w:val="none" w:sz="0" w:space="0" w:color="auto"/>
                                    <w:right w:val="none" w:sz="0" w:space="0" w:color="auto"/>
                                  </w:divBdr>
                                </w:div>
                              </w:divsChild>
                            </w:div>
                            <w:div w:id="1669206563">
                              <w:marLeft w:val="0"/>
                              <w:marRight w:val="0"/>
                              <w:marTop w:val="0"/>
                              <w:marBottom w:val="0"/>
                              <w:divBdr>
                                <w:top w:val="none" w:sz="0" w:space="0" w:color="auto"/>
                                <w:left w:val="none" w:sz="0" w:space="0" w:color="auto"/>
                                <w:bottom w:val="none" w:sz="0" w:space="0" w:color="auto"/>
                                <w:right w:val="none" w:sz="0" w:space="0" w:color="auto"/>
                              </w:divBdr>
                              <w:divsChild>
                                <w:div w:id="150609463">
                                  <w:marLeft w:val="0"/>
                                  <w:marRight w:val="0"/>
                                  <w:marTop w:val="0"/>
                                  <w:marBottom w:val="0"/>
                                  <w:divBdr>
                                    <w:top w:val="none" w:sz="0" w:space="0" w:color="auto"/>
                                    <w:left w:val="none" w:sz="0" w:space="0" w:color="auto"/>
                                    <w:bottom w:val="none" w:sz="0" w:space="0" w:color="auto"/>
                                    <w:right w:val="none" w:sz="0" w:space="0" w:color="auto"/>
                                  </w:divBdr>
                                </w:div>
                                <w:div w:id="987788395">
                                  <w:marLeft w:val="0"/>
                                  <w:marRight w:val="0"/>
                                  <w:marTop w:val="0"/>
                                  <w:marBottom w:val="0"/>
                                  <w:divBdr>
                                    <w:top w:val="none" w:sz="0" w:space="0" w:color="auto"/>
                                    <w:left w:val="none" w:sz="0" w:space="0" w:color="auto"/>
                                    <w:bottom w:val="none" w:sz="0" w:space="0" w:color="auto"/>
                                    <w:right w:val="none" w:sz="0" w:space="0" w:color="auto"/>
                                  </w:divBdr>
                                  <w:divsChild>
                                    <w:div w:id="6256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959159">
                      <w:marLeft w:val="0"/>
                      <w:marRight w:val="0"/>
                      <w:marTop w:val="0"/>
                      <w:marBottom w:val="0"/>
                      <w:divBdr>
                        <w:top w:val="none" w:sz="0" w:space="0" w:color="auto"/>
                        <w:left w:val="none" w:sz="0" w:space="0" w:color="auto"/>
                        <w:bottom w:val="none" w:sz="0" w:space="0" w:color="auto"/>
                        <w:right w:val="none" w:sz="0" w:space="0" w:color="auto"/>
                      </w:divBdr>
                      <w:divsChild>
                        <w:div w:id="515506952">
                          <w:marLeft w:val="0"/>
                          <w:marRight w:val="0"/>
                          <w:marTop w:val="0"/>
                          <w:marBottom w:val="0"/>
                          <w:divBdr>
                            <w:top w:val="none" w:sz="0" w:space="0" w:color="auto"/>
                            <w:left w:val="none" w:sz="0" w:space="0" w:color="auto"/>
                            <w:bottom w:val="none" w:sz="0" w:space="0" w:color="auto"/>
                            <w:right w:val="none" w:sz="0" w:space="0" w:color="auto"/>
                          </w:divBdr>
                          <w:divsChild>
                            <w:div w:id="1633318690">
                              <w:marLeft w:val="0"/>
                              <w:marRight w:val="0"/>
                              <w:marTop w:val="0"/>
                              <w:marBottom w:val="0"/>
                              <w:divBdr>
                                <w:top w:val="none" w:sz="0" w:space="0" w:color="auto"/>
                                <w:left w:val="none" w:sz="0" w:space="0" w:color="auto"/>
                                <w:bottom w:val="none" w:sz="0" w:space="0" w:color="auto"/>
                                <w:right w:val="none" w:sz="0" w:space="0" w:color="auto"/>
                              </w:divBdr>
                            </w:div>
                            <w:div w:id="619383566">
                              <w:marLeft w:val="0"/>
                              <w:marRight w:val="0"/>
                              <w:marTop w:val="0"/>
                              <w:marBottom w:val="0"/>
                              <w:divBdr>
                                <w:top w:val="none" w:sz="0" w:space="0" w:color="auto"/>
                                <w:left w:val="none" w:sz="0" w:space="0" w:color="auto"/>
                                <w:bottom w:val="none" w:sz="0" w:space="0" w:color="auto"/>
                                <w:right w:val="none" w:sz="0" w:space="0" w:color="auto"/>
                              </w:divBdr>
                              <w:divsChild>
                                <w:div w:id="15823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522">
                          <w:marLeft w:val="0"/>
                          <w:marRight w:val="0"/>
                          <w:marTop w:val="0"/>
                          <w:marBottom w:val="0"/>
                          <w:divBdr>
                            <w:top w:val="none" w:sz="0" w:space="0" w:color="auto"/>
                            <w:left w:val="none" w:sz="0" w:space="0" w:color="auto"/>
                            <w:bottom w:val="none" w:sz="0" w:space="0" w:color="auto"/>
                            <w:right w:val="none" w:sz="0" w:space="0" w:color="auto"/>
                          </w:divBdr>
                          <w:divsChild>
                            <w:div w:id="638263384">
                              <w:marLeft w:val="0"/>
                              <w:marRight w:val="0"/>
                              <w:marTop w:val="0"/>
                              <w:marBottom w:val="0"/>
                              <w:divBdr>
                                <w:top w:val="none" w:sz="0" w:space="0" w:color="auto"/>
                                <w:left w:val="none" w:sz="0" w:space="0" w:color="auto"/>
                                <w:bottom w:val="none" w:sz="0" w:space="0" w:color="auto"/>
                                <w:right w:val="none" w:sz="0" w:space="0" w:color="auto"/>
                              </w:divBdr>
                            </w:div>
                            <w:div w:id="1959485305">
                              <w:marLeft w:val="0"/>
                              <w:marRight w:val="0"/>
                              <w:marTop w:val="0"/>
                              <w:marBottom w:val="0"/>
                              <w:divBdr>
                                <w:top w:val="none" w:sz="0" w:space="0" w:color="auto"/>
                                <w:left w:val="none" w:sz="0" w:space="0" w:color="auto"/>
                                <w:bottom w:val="none" w:sz="0" w:space="0" w:color="auto"/>
                                <w:right w:val="none" w:sz="0" w:space="0" w:color="auto"/>
                              </w:divBdr>
                              <w:divsChild>
                                <w:div w:id="1026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7842">
                          <w:marLeft w:val="0"/>
                          <w:marRight w:val="0"/>
                          <w:marTop w:val="0"/>
                          <w:marBottom w:val="0"/>
                          <w:divBdr>
                            <w:top w:val="none" w:sz="0" w:space="0" w:color="auto"/>
                            <w:left w:val="none" w:sz="0" w:space="0" w:color="auto"/>
                            <w:bottom w:val="none" w:sz="0" w:space="0" w:color="auto"/>
                            <w:right w:val="none" w:sz="0" w:space="0" w:color="auto"/>
                          </w:divBdr>
                          <w:divsChild>
                            <w:div w:id="26680348">
                              <w:marLeft w:val="0"/>
                              <w:marRight w:val="0"/>
                              <w:marTop w:val="0"/>
                              <w:marBottom w:val="0"/>
                              <w:divBdr>
                                <w:top w:val="none" w:sz="0" w:space="0" w:color="auto"/>
                                <w:left w:val="none" w:sz="0" w:space="0" w:color="auto"/>
                                <w:bottom w:val="none" w:sz="0" w:space="0" w:color="auto"/>
                                <w:right w:val="none" w:sz="0" w:space="0" w:color="auto"/>
                              </w:divBdr>
                            </w:div>
                            <w:div w:id="1044522965">
                              <w:marLeft w:val="0"/>
                              <w:marRight w:val="0"/>
                              <w:marTop w:val="0"/>
                              <w:marBottom w:val="0"/>
                              <w:divBdr>
                                <w:top w:val="none" w:sz="0" w:space="0" w:color="auto"/>
                                <w:left w:val="none" w:sz="0" w:space="0" w:color="auto"/>
                                <w:bottom w:val="none" w:sz="0" w:space="0" w:color="auto"/>
                                <w:right w:val="none" w:sz="0" w:space="0" w:color="auto"/>
                              </w:divBdr>
                              <w:divsChild>
                                <w:div w:id="21299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2377">
                      <w:marLeft w:val="0"/>
                      <w:marRight w:val="0"/>
                      <w:marTop w:val="0"/>
                      <w:marBottom w:val="0"/>
                      <w:divBdr>
                        <w:top w:val="none" w:sz="0" w:space="0" w:color="auto"/>
                        <w:left w:val="none" w:sz="0" w:space="0" w:color="auto"/>
                        <w:bottom w:val="none" w:sz="0" w:space="0" w:color="auto"/>
                        <w:right w:val="none" w:sz="0" w:space="0" w:color="auto"/>
                      </w:divBdr>
                      <w:divsChild>
                        <w:div w:id="415319872">
                          <w:marLeft w:val="0"/>
                          <w:marRight w:val="0"/>
                          <w:marTop w:val="0"/>
                          <w:marBottom w:val="0"/>
                          <w:divBdr>
                            <w:top w:val="none" w:sz="0" w:space="0" w:color="auto"/>
                            <w:left w:val="none" w:sz="0" w:space="0" w:color="auto"/>
                            <w:bottom w:val="none" w:sz="0" w:space="0" w:color="auto"/>
                            <w:right w:val="none" w:sz="0" w:space="0" w:color="auto"/>
                          </w:divBdr>
                          <w:divsChild>
                            <w:div w:id="987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11986">
          <w:marLeft w:val="0"/>
          <w:marRight w:val="0"/>
          <w:marTop w:val="0"/>
          <w:marBottom w:val="0"/>
          <w:divBdr>
            <w:top w:val="none" w:sz="0" w:space="0" w:color="auto"/>
            <w:left w:val="none" w:sz="0" w:space="0" w:color="auto"/>
            <w:bottom w:val="none" w:sz="0" w:space="0" w:color="auto"/>
            <w:right w:val="none" w:sz="0" w:space="0" w:color="auto"/>
          </w:divBdr>
          <w:divsChild>
            <w:div w:id="379404499">
              <w:marLeft w:val="0"/>
              <w:marRight w:val="0"/>
              <w:marTop w:val="0"/>
              <w:marBottom w:val="0"/>
              <w:divBdr>
                <w:top w:val="none" w:sz="0" w:space="0" w:color="auto"/>
                <w:left w:val="none" w:sz="0" w:space="0" w:color="auto"/>
                <w:bottom w:val="none" w:sz="0" w:space="0" w:color="auto"/>
                <w:right w:val="none" w:sz="0" w:space="0" w:color="auto"/>
              </w:divBdr>
              <w:divsChild>
                <w:div w:id="208037432">
                  <w:marLeft w:val="0"/>
                  <w:marRight w:val="0"/>
                  <w:marTop w:val="0"/>
                  <w:marBottom w:val="0"/>
                  <w:divBdr>
                    <w:top w:val="none" w:sz="0" w:space="0" w:color="auto"/>
                    <w:left w:val="none" w:sz="0" w:space="0" w:color="auto"/>
                    <w:bottom w:val="none" w:sz="0" w:space="0" w:color="auto"/>
                    <w:right w:val="none" w:sz="0" w:space="0" w:color="auto"/>
                  </w:divBdr>
                  <w:divsChild>
                    <w:div w:id="640185799">
                      <w:marLeft w:val="0"/>
                      <w:marRight w:val="0"/>
                      <w:marTop w:val="0"/>
                      <w:marBottom w:val="0"/>
                      <w:divBdr>
                        <w:top w:val="none" w:sz="0" w:space="0" w:color="auto"/>
                        <w:left w:val="none" w:sz="0" w:space="0" w:color="auto"/>
                        <w:bottom w:val="none" w:sz="0" w:space="0" w:color="auto"/>
                        <w:right w:val="none" w:sz="0" w:space="0" w:color="auto"/>
                      </w:divBdr>
                    </w:div>
                  </w:divsChild>
                </w:div>
                <w:div w:id="6853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5346">
          <w:marLeft w:val="0"/>
          <w:marRight w:val="0"/>
          <w:marTop w:val="0"/>
          <w:marBottom w:val="0"/>
          <w:divBdr>
            <w:top w:val="none" w:sz="0" w:space="0" w:color="auto"/>
            <w:left w:val="none" w:sz="0" w:space="0" w:color="auto"/>
            <w:bottom w:val="none" w:sz="0" w:space="0" w:color="auto"/>
            <w:right w:val="none" w:sz="0" w:space="0" w:color="auto"/>
          </w:divBdr>
          <w:divsChild>
            <w:div w:id="1349064940">
              <w:marLeft w:val="0"/>
              <w:marRight w:val="0"/>
              <w:marTop w:val="0"/>
              <w:marBottom w:val="0"/>
              <w:divBdr>
                <w:top w:val="none" w:sz="0" w:space="0" w:color="auto"/>
                <w:left w:val="none" w:sz="0" w:space="0" w:color="auto"/>
                <w:bottom w:val="none" w:sz="0" w:space="0" w:color="auto"/>
                <w:right w:val="none" w:sz="0" w:space="0" w:color="auto"/>
              </w:divBdr>
              <w:divsChild>
                <w:div w:id="1873151652">
                  <w:marLeft w:val="0"/>
                  <w:marRight w:val="0"/>
                  <w:marTop w:val="0"/>
                  <w:marBottom w:val="0"/>
                  <w:divBdr>
                    <w:top w:val="none" w:sz="0" w:space="0" w:color="auto"/>
                    <w:left w:val="none" w:sz="0" w:space="0" w:color="auto"/>
                    <w:bottom w:val="none" w:sz="0" w:space="0" w:color="auto"/>
                    <w:right w:val="none" w:sz="0" w:space="0" w:color="auto"/>
                  </w:divBdr>
                  <w:divsChild>
                    <w:div w:id="1278173068">
                      <w:marLeft w:val="0"/>
                      <w:marRight w:val="0"/>
                      <w:marTop w:val="0"/>
                      <w:marBottom w:val="0"/>
                      <w:divBdr>
                        <w:top w:val="none" w:sz="0" w:space="0" w:color="auto"/>
                        <w:left w:val="none" w:sz="0" w:space="0" w:color="auto"/>
                        <w:bottom w:val="none" w:sz="0" w:space="0" w:color="auto"/>
                        <w:right w:val="none" w:sz="0" w:space="0" w:color="auto"/>
                      </w:divBdr>
                    </w:div>
                    <w:div w:id="2095087071">
                      <w:marLeft w:val="0"/>
                      <w:marRight w:val="0"/>
                      <w:marTop w:val="0"/>
                      <w:marBottom w:val="0"/>
                      <w:divBdr>
                        <w:top w:val="none" w:sz="0" w:space="0" w:color="auto"/>
                        <w:left w:val="none" w:sz="0" w:space="0" w:color="auto"/>
                        <w:bottom w:val="none" w:sz="0" w:space="0" w:color="auto"/>
                        <w:right w:val="none" w:sz="0" w:space="0" w:color="auto"/>
                      </w:divBdr>
                      <w:divsChild>
                        <w:div w:id="769013483">
                          <w:marLeft w:val="0"/>
                          <w:marRight w:val="0"/>
                          <w:marTop w:val="0"/>
                          <w:marBottom w:val="0"/>
                          <w:divBdr>
                            <w:top w:val="none" w:sz="0" w:space="0" w:color="auto"/>
                            <w:left w:val="none" w:sz="0" w:space="0" w:color="auto"/>
                            <w:bottom w:val="none" w:sz="0" w:space="0" w:color="auto"/>
                            <w:right w:val="none" w:sz="0" w:space="0" w:color="auto"/>
                          </w:divBdr>
                          <w:divsChild>
                            <w:div w:id="7526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90873">
          <w:marLeft w:val="0"/>
          <w:marRight w:val="0"/>
          <w:marTop w:val="0"/>
          <w:marBottom w:val="0"/>
          <w:divBdr>
            <w:top w:val="none" w:sz="0" w:space="0" w:color="auto"/>
            <w:left w:val="none" w:sz="0" w:space="0" w:color="auto"/>
            <w:bottom w:val="none" w:sz="0" w:space="0" w:color="auto"/>
            <w:right w:val="none" w:sz="0" w:space="0" w:color="auto"/>
          </w:divBdr>
          <w:divsChild>
            <w:div w:id="1982147551">
              <w:marLeft w:val="0"/>
              <w:marRight w:val="0"/>
              <w:marTop w:val="0"/>
              <w:marBottom w:val="0"/>
              <w:divBdr>
                <w:top w:val="none" w:sz="0" w:space="0" w:color="auto"/>
                <w:left w:val="none" w:sz="0" w:space="0" w:color="auto"/>
                <w:bottom w:val="none" w:sz="0" w:space="0" w:color="auto"/>
                <w:right w:val="none" w:sz="0" w:space="0" w:color="auto"/>
              </w:divBdr>
            </w:div>
          </w:divsChild>
        </w:div>
        <w:div w:id="1652248306">
          <w:marLeft w:val="0"/>
          <w:marRight w:val="0"/>
          <w:marTop w:val="0"/>
          <w:marBottom w:val="0"/>
          <w:divBdr>
            <w:top w:val="none" w:sz="0" w:space="0" w:color="auto"/>
            <w:left w:val="none" w:sz="0" w:space="0" w:color="auto"/>
            <w:bottom w:val="none" w:sz="0" w:space="0" w:color="auto"/>
            <w:right w:val="none" w:sz="0" w:space="0" w:color="auto"/>
          </w:divBdr>
        </w:div>
        <w:div w:id="1264269165">
          <w:marLeft w:val="0"/>
          <w:marRight w:val="0"/>
          <w:marTop w:val="0"/>
          <w:marBottom w:val="0"/>
          <w:divBdr>
            <w:top w:val="none" w:sz="0" w:space="0" w:color="auto"/>
            <w:left w:val="none" w:sz="0" w:space="0" w:color="auto"/>
            <w:bottom w:val="none" w:sz="0" w:space="0" w:color="auto"/>
            <w:right w:val="none" w:sz="0" w:space="0" w:color="auto"/>
          </w:divBdr>
        </w:div>
        <w:div w:id="688218391">
          <w:marLeft w:val="0"/>
          <w:marRight w:val="0"/>
          <w:marTop w:val="0"/>
          <w:marBottom w:val="0"/>
          <w:divBdr>
            <w:top w:val="none" w:sz="0" w:space="0" w:color="auto"/>
            <w:left w:val="none" w:sz="0" w:space="0" w:color="auto"/>
            <w:bottom w:val="none" w:sz="0" w:space="0" w:color="auto"/>
            <w:right w:val="none" w:sz="0" w:space="0" w:color="auto"/>
          </w:divBdr>
          <w:divsChild>
            <w:div w:id="1425028664">
              <w:marLeft w:val="0"/>
              <w:marRight w:val="0"/>
              <w:marTop w:val="0"/>
              <w:marBottom w:val="0"/>
              <w:divBdr>
                <w:top w:val="none" w:sz="0" w:space="0" w:color="auto"/>
                <w:left w:val="none" w:sz="0" w:space="0" w:color="auto"/>
                <w:bottom w:val="none" w:sz="0" w:space="0" w:color="auto"/>
                <w:right w:val="none" w:sz="0" w:space="0" w:color="auto"/>
              </w:divBdr>
              <w:divsChild>
                <w:div w:id="1777822446">
                  <w:marLeft w:val="0"/>
                  <w:marRight w:val="0"/>
                  <w:marTop w:val="0"/>
                  <w:marBottom w:val="0"/>
                  <w:divBdr>
                    <w:top w:val="none" w:sz="0" w:space="0" w:color="auto"/>
                    <w:left w:val="none" w:sz="0" w:space="0" w:color="auto"/>
                    <w:bottom w:val="none" w:sz="0" w:space="0" w:color="auto"/>
                    <w:right w:val="none" w:sz="0" w:space="0" w:color="auto"/>
                  </w:divBdr>
                  <w:divsChild>
                    <w:div w:id="1071536160">
                      <w:marLeft w:val="0"/>
                      <w:marRight w:val="0"/>
                      <w:marTop w:val="0"/>
                      <w:marBottom w:val="0"/>
                      <w:divBdr>
                        <w:top w:val="none" w:sz="0" w:space="0" w:color="auto"/>
                        <w:left w:val="none" w:sz="0" w:space="0" w:color="auto"/>
                        <w:bottom w:val="none" w:sz="0" w:space="0" w:color="auto"/>
                        <w:right w:val="none" w:sz="0" w:space="0" w:color="auto"/>
                      </w:divBdr>
                      <w:divsChild>
                        <w:div w:id="339503073">
                          <w:marLeft w:val="0"/>
                          <w:marRight w:val="0"/>
                          <w:marTop w:val="0"/>
                          <w:marBottom w:val="0"/>
                          <w:divBdr>
                            <w:top w:val="none" w:sz="0" w:space="0" w:color="auto"/>
                            <w:left w:val="none" w:sz="0" w:space="0" w:color="auto"/>
                            <w:bottom w:val="none" w:sz="0" w:space="0" w:color="auto"/>
                            <w:right w:val="none" w:sz="0" w:space="0" w:color="auto"/>
                          </w:divBdr>
                          <w:divsChild>
                            <w:div w:id="1529294658">
                              <w:marLeft w:val="0"/>
                              <w:marRight w:val="0"/>
                              <w:marTop w:val="0"/>
                              <w:marBottom w:val="0"/>
                              <w:divBdr>
                                <w:top w:val="none" w:sz="0" w:space="0" w:color="auto"/>
                                <w:left w:val="none" w:sz="0" w:space="0" w:color="auto"/>
                                <w:bottom w:val="none" w:sz="0" w:space="0" w:color="auto"/>
                                <w:right w:val="none" w:sz="0" w:space="0" w:color="auto"/>
                              </w:divBdr>
                              <w:divsChild>
                                <w:div w:id="715003901">
                                  <w:marLeft w:val="0"/>
                                  <w:marRight w:val="0"/>
                                  <w:marTop w:val="0"/>
                                  <w:marBottom w:val="0"/>
                                  <w:divBdr>
                                    <w:top w:val="none" w:sz="0" w:space="0" w:color="auto"/>
                                    <w:left w:val="none" w:sz="0" w:space="0" w:color="auto"/>
                                    <w:bottom w:val="none" w:sz="0" w:space="0" w:color="auto"/>
                                    <w:right w:val="none" w:sz="0" w:space="0" w:color="auto"/>
                                  </w:divBdr>
                                  <w:divsChild>
                                    <w:div w:id="2086367728">
                                      <w:marLeft w:val="0"/>
                                      <w:marRight w:val="0"/>
                                      <w:marTop w:val="0"/>
                                      <w:marBottom w:val="0"/>
                                      <w:divBdr>
                                        <w:top w:val="none" w:sz="0" w:space="0" w:color="auto"/>
                                        <w:left w:val="none" w:sz="0" w:space="0" w:color="auto"/>
                                        <w:bottom w:val="none" w:sz="0" w:space="0" w:color="auto"/>
                                        <w:right w:val="none" w:sz="0" w:space="0" w:color="auto"/>
                                      </w:divBdr>
                                    </w:div>
                                  </w:divsChild>
                                </w:div>
                                <w:div w:id="762578213">
                                  <w:marLeft w:val="0"/>
                                  <w:marRight w:val="0"/>
                                  <w:marTop w:val="0"/>
                                  <w:marBottom w:val="0"/>
                                  <w:divBdr>
                                    <w:top w:val="none" w:sz="0" w:space="0" w:color="auto"/>
                                    <w:left w:val="none" w:sz="0" w:space="0" w:color="auto"/>
                                    <w:bottom w:val="none" w:sz="0" w:space="0" w:color="auto"/>
                                    <w:right w:val="none" w:sz="0" w:space="0" w:color="auto"/>
                                  </w:divBdr>
                                  <w:divsChild>
                                    <w:div w:id="634485293">
                                      <w:marLeft w:val="0"/>
                                      <w:marRight w:val="0"/>
                                      <w:marTop w:val="0"/>
                                      <w:marBottom w:val="0"/>
                                      <w:divBdr>
                                        <w:top w:val="none" w:sz="0" w:space="0" w:color="auto"/>
                                        <w:left w:val="none" w:sz="0" w:space="0" w:color="auto"/>
                                        <w:bottom w:val="none" w:sz="0" w:space="0" w:color="auto"/>
                                        <w:right w:val="none" w:sz="0" w:space="0" w:color="auto"/>
                                      </w:divBdr>
                                      <w:divsChild>
                                        <w:div w:id="1890218791">
                                          <w:marLeft w:val="0"/>
                                          <w:marRight w:val="0"/>
                                          <w:marTop w:val="0"/>
                                          <w:marBottom w:val="0"/>
                                          <w:divBdr>
                                            <w:top w:val="none" w:sz="0" w:space="0" w:color="auto"/>
                                            <w:left w:val="none" w:sz="0" w:space="0" w:color="auto"/>
                                            <w:bottom w:val="none" w:sz="0" w:space="0" w:color="auto"/>
                                            <w:right w:val="none" w:sz="0" w:space="0" w:color="auto"/>
                                          </w:divBdr>
                                        </w:div>
                                        <w:div w:id="1497840054">
                                          <w:marLeft w:val="0"/>
                                          <w:marRight w:val="0"/>
                                          <w:marTop w:val="0"/>
                                          <w:marBottom w:val="0"/>
                                          <w:divBdr>
                                            <w:top w:val="none" w:sz="0" w:space="0" w:color="auto"/>
                                            <w:left w:val="none" w:sz="0" w:space="0" w:color="auto"/>
                                            <w:bottom w:val="none" w:sz="0" w:space="0" w:color="auto"/>
                                            <w:right w:val="none" w:sz="0" w:space="0" w:color="auto"/>
                                          </w:divBdr>
                                          <w:divsChild>
                                            <w:div w:id="8101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3533">
                                      <w:marLeft w:val="0"/>
                                      <w:marRight w:val="0"/>
                                      <w:marTop w:val="0"/>
                                      <w:marBottom w:val="0"/>
                                      <w:divBdr>
                                        <w:top w:val="none" w:sz="0" w:space="0" w:color="auto"/>
                                        <w:left w:val="none" w:sz="0" w:space="0" w:color="auto"/>
                                        <w:bottom w:val="none" w:sz="0" w:space="0" w:color="auto"/>
                                        <w:right w:val="none" w:sz="0" w:space="0" w:color="auto"/>
                                      </w:divBdr>
                                      <w:divsChild>
                                        <w:div w:id="929041128">
                                          <w:marLeft w:val="0"/>
                                          <w:marRight w:val="0"/>
                                          <w:marTop w:val="0"/>
                                          <w:marBottom w:val="0"/>
                                          <w:divBdr>
                                            <w:top w:val="none" w:sz="0" w:space="0" w:color="auto"/>
                                            <w:left w:val="none" w:sz="0" w:space="0" w:color="auto"/>
                                            <w:bottom w:val="none" w:sz="0" w:space="0" w:color="auto"/>
                                            <w:right w:val="none" w:sz="0" w:space="0" w:color="auto"/>
                                          </w:divBdr>
                                        </w:div>
                                        <w:div w:id="765271608">
                                          <w:marLeft w:val="0"/>
                                          <w:marRight w:val="0"/>
                                          <w:marTop w:val="0"/>
                                          <w:marBottom w:val="0"/>
                                          <w:divBdr>
                                            <w:top w:val="none" w:sz="0" w:space="0" w:color="auto"/>
                                            <w:left w:val="none" w:sz="0" w:space="0" w:color="auto"/>
                                            <w:bottom w:val="none" w:sz="0" w:space="0" w:color="auto"/>
                                            <w:right w:val="none" w:sz="0" w:space="0" w:color="auto"/>
                                          </w:divBdr>
                                          <w:divsChild>
                                            <w:div w:id="3667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5617">
                                      <w:marLeft w:val="0"/>
                                      <w:marRight w:val="0"/>
                                      <w:marTop w:val="0"/>
                                      <w:marBottom w:val="0"/>
                                      <w:divBdr>
                                        <w:top w:val="none" w:sz="0" w:space="0" w:color="auto"/>
                                        <w:left w:val="none" w:sz="0" w:space="0" w:color="auto"/>
                                        <w:bottom w:val="none" w:sz="0" w:space="0" w:color="auto"/>
                                        <w:right w:val="none" w:sz="0" w:space="0" w:color="auto"/>
                                      </w:divBdr>
                                      <w:divsChild>
                                        <w:div w:id="1848322121">
                                          <w:marLeft w:val="0"/>
                                          <w:marRight w:val="0"/>
                                          <w:marTop w:val="0"/>
                                          <w:marBottom w:val="0"/>
                                          <w:divBdr>
                                            <w:top w:val="none" w:sz="0" w:space="0" w:color="auto"/>
                                            <w:left w:val="none" w:sz="0" w:space="0" w:color="auto"/>
                                            <w:bottom w:val="none" w:sz="0" w:space="0" w:color="auto"/>
                                            <w:right w:val="none" w:sz="0" w:space="0" w:color="auto"/>
                                          </w:divBdr>
                                        </w:div>
                                        <w:div w:id="1649357051">
                                          <w:marLeft w:val="0"/>
                                          <w:marRight w:val="0"/>
                                          <w:marTop w:val="0"/>
                                          <w:marBottom w:val="0"/>
                                          <w:divBdr>
                                            <w:top w:val="none" w:sz="0" w:space="0" w:color="auto"/>
                                            <w:left w:val="none" w:sz="0" w:space="0" w:color="auto"/>
                                            <w:bottom w:val="none" w:sz="0" w:space="0" w:color="auto"/>
                                            <w:right w:val="none" w:sz="0" w:space="0" w:color="auto"/>
                                          </w:divBdr>
                                          <w:divsChild>
                                            <w:div w:id="18689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590513">
          <w:marLeft w:val="0"/>
          <w:marRight w:val="0"/>
          <w:marTop w:val="0"/>
          <w:marBottom w:val="0"/>
          <w:divBdr>
            <w:top w:val="none" w:sz="0" w:space="0" w:color="auto"/>
            <w:left w:val="none" w:sz="0" w:space="0" w:color="auto"/>
            <w:bottom w:val="none" w:sz="0" w:space="0" w:color="auto"/>
            <w:right w:val="none" w:sz="0" w:space="0" w:color="auto"/>
          </w:divBdr>
        </w:div>
        <w:div w:id="1905875606">
          <w:marLeft w:val="0"/>
          <w:marRight w:val="0"/>
          <w:marTop w:val="0"/>
          <w:marBottom w:val="0"/>
          <w:divBdr>
            <w:top w:val="none" w:sz="0" w:space="0" w:color="auto"/>
            <w:left w:val="none" w:sz="0" w:space="0" w:color="auto"/>
            <w:bottom w:val="none" w:sz="0" w:space="0" w:color="auto"/>
            <w:right w:val="none" w:sz="0" w:space="0" w:color="auto"/>
          </w:divBdr>
        </w:div>
      </w:divsChild>
    </w:div>
    <w:div w:id="1794714783">
      <w:bodyDiv w:val="1"/>
      <w:marLeft w:val="0"/>
      <w:marRight w:val="0"/>
      <w:marTop w:val="0"/>
      <w:marBottom w:val="0"/>
      <w:divBdr>
        <w:top w:val="none" w:sz="0" w:space="0" w:color="auto"/>
        <w:left w:val="none" w:sz="0" w:space="0" w:color="auto"/>
        <w:bottom w:val="none" w:sz="0" w:space="0" w:color="auto"/>
        <w:right w:val="none" w:sz="0" w:space="0" w:color="auto"/>
      </w:divBdr>
      <w:divsChild>
        <w:div w:id="960842182">
          <w:marLeft w:val="0"/>
          <w:marRight w:val="0"/>
          <w:marTop w:val="0"/>
          <w:marBottom w:val="0"/>
          <w:divBdr>
            <w:top w:val="none" w:sz="0" w:space="0" w:color="auto"/>
            <w:left w:val="none" w:sz="0" w:space="0" w:color="auto"/>
            <w:bottom w:val="none" w:sz="0" w:space="0" w:color="auto"/>
            <w:right w:val="none" w:sz="0" w:space="0" w:color="auto"/>
          </w:divBdr>
        </w:div>
        <w:div w:id="1124618121">
          <w:marLeft w:val="0"/>
          <w:marRight w:val="0"/>
          <w:marTop w:val="0"/>
          <w:marBottom w:val="0"/>
          <w:divBdr>
            <w:top w:val="none" w:sz="0" w:space="0" w:color="auto"/>
            <w:left w:val="none" w:sz="0" w:space="0" w:color="auto"/>
            <w:bottom w:val="none" w:sz="0" w:space="0" w:color="auto"/>
            <w:right w:val="none" w:sz="0" w:space="0" w:color="auto"/>
          </w:divBdr>
        </w:div>
        <w:div w:id="1570143443">
          <w:marLeft w:val="0"/>
          <w:marRight w:val="0"/>
          <w:marTop w:val="0"/>
          <w:marBottom w:val="0"/>
          <w:divBdr>
            <w:top w:val="none" w:sz="0" w:space="0" w:color="auto"/>
            <w:left w:val="none" w:sz="0" w:space="0" w:color="auto"/>
            <w:bottom w:val="none" w:sz="0" w:space="0" w:color="auto"/>
            <w:right w:val="none" w:sz="0" w:space="0" w:color="auto"/>
          </w:divBdr>
        </w:div>
      </w:divsChild>
    </w:div>
    <w:div w:id="1925335400">
      <w:bodyDiv w:val="1"/>
      <w:marLeft w:val="0"/>
      <w:marRight w:val="0"/>
      <w:marTop w:val="0"/>
      <w:marBottom w:val="0"/>
      <w:divBdr>
        <w:top w:val="none" w:sz="0" w:space="0" w:color="auto"/>
        <w:left w:val="none" w:sz="0" w:space="0" w:color="auto"/>
        <w:bottom w:val="none" w:sz="0" w:space="0" w:color="auto"/>
        <w:right w:val="none" w:sz="0" w:space="0" w:color="auto"/>
      </w:divBdr>
    </w:div>
    <w:div w:id="1982924020">
      <w:bodyDiv w:val="1"/>
      <w:marLeft w:val="0"/>
      <w:marRight w:val="0"/>
      <w:marTop w:val="0"/>
      <w:marBottom w:val="0"/>
      <w:divBdr>
        <w:top w:val="none" w:sz="0" w:space="0" w:color="auto"/>
        <w:left w:val="none" w:sz="0" w:space="0" w:color="auto"/>
        <w:bottom w:val="none" w:sz="0" w:space="0" w:color="auto"/>
        <w:right w:val="none" w:sz="0" w:space="0" w:color="auto"/>
      </w:divBdr>
    </w:div>
    <w:div w:id="2052218700">
      <w:bodyDiv w:val="1"/>
      <w:marLeft w:val="0"/>
      <w:marRight w:val="0"/>
      <w:marTop w:val="0"/>
      <w:marBottom w:val="0"/>
      <w:divBdr>
        <w:top w:val="none" w:sz="0" w:space="0" w:color="auto"/>
        <w:left w:val="none" w:sz="0" w:space="0" w:color="auto"/>
        <w:bottom w:val="none" w:sz="0" w:space="0" w:color="auto"/>
        <w:right w:val="none" w:sz="0" w:space="0" w:color="auto"/>
      </w:divBdr>
    </w:div>
    <w:div w:id="2102099079">
      <w:bodyDiv w:val="1"/>
      <w:marLeft w:val="0"/>
      <w:marRight w:val="0"/>
      <w:marTop w:val="0"/>
      <w:marBottom w:val="0"/>
      <w:divBdr>
        <w:top w:val="none" w:sz="0" w:space="0" w:color="auto"/>
        <w:left w:val="none" w:sz="0" w:space="0" w:color="auto"/>
        <w:bottom w:val="none" w:sz="0" w:space="0" w:color="auto"/>
        <w:right w:val="none" w:sz="0" w:space="0" w:color="auto"/>
      </w:divBdr>
    </w:div>
    <w:div w:id="21191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puc.ca.gov/PUC/energy/Renewables/overview.htm"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emf"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1/02/01/2021-02177/tackling-the-climate-crisis-at-home-and-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16" ma:contentTypeDescription="Create a new document." ma:contentTypeScope="" ma:versionID="212937200fdbe0fa8a79ecb856283b9c">
  <xsd:schema xmlns:xsd="http://www.w3.org/2001/XMLSchema" xmlns:xs="http://www.w3.org/2001/XMLSchema" xmlns:p="http://schemas.microsoft.com/office/2006/metadata/properties" xmlns:ns3="b68f4fe1-3a55-4bcc-9c2a-17f3e71cc75b" xmlns:ns4="939e3009-1176-41fd-a24b-ed27b0027fde" targetNamespace="http://schemas.microsoft.com/office/2006/metadata/properties" ma:root="true" ma:fieldsID="df56170e6bd10abc4475beacd6c43f1c" ns3:_="" ns4:_="">
    <xsd:import namespace="b68f4fe1-3a55-4bcc-9c2a-17f3e71cc75b"/>
    <xsd:import namespace="939e3009-1176-41fd-a24b-ed27b0027f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e3009-1176-41fd-a24b-ed27b0027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68f4fe1-3a55-4bcc-9c2a-17f3e71cc7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D4174-9C7D-470A-A9C9-A0BE79303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939e3009-1176-41fd-a24b-ed27b002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36EDC-6DB8-4B5C-A4AF-A856316021D0}">
  <ds:schemaRefs>
    <ds:schemaRef ds:uri="http://schemas.openxmlformats.org/officeDocument/2006/bibliography"/>
  </ds:schemaRefs>
</ds:datastoreItem>
</file>

<file path=customXml/itemProps3.xml><?xml version="1.0" encoding="utf-8"?>
<ds:datastoreItem xmlns:ds="http://schemas.openxmlformats.org/officeDocument/2006/customXml" ds:itemID="{A3BCD9F8-D159-42B1-A8DE-300B790C266A}">
  <ds:schemaRefs>
    <ds:schemaRef ds:uri="http://schemas.microsoft.com/office/2006/metadata/properties"/>
    <ds:schemaRef ds:uri="http://schemas.microsoft.com/office/infopath/2007/PartnerControls"/>
    <ds:schemaRef ds:uri="b68f4fe1-3a55-4bcc-9c2a-17f3e71cc75b"/>
  </ds:schemaRefs>
</ds:datastoreItem>
</file>

<file path=customXml/itemProps4.xml><?xml version="1.0" encoding="utf-8"?>
<ds:datastoreItem xmlns:ds="http://schemas.openxmlformats.org/officeDocument/2006/customXml" ds:itemID="{D0C3C293-7FDC-4AA0-B5E8-53DA06B2C7D2}">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23</ap:Pages>
  <ap:Words>6335</ap:Words>
  <ap:Characters>36110</ap:Characters>
  <ap:Application>Microsoft Office Word</ap:Application>
  <ap:DocSecurity>0</ap:DocSecurity>
  <ap:Lines>300</ap:Lines>
  <ap:Paragraphs>84</ap:Paragraphs>
  <ap:ScaleCrop>false</ap:ScaleCrop>
  <ap:HeadingPairs>
    <vt:vector baseType="variant" size="2">
      <vt:variant>
        <vt:lpstr>Title</vt:lpstr>
      </vt:variant>
      <vt:variant>
        <vt:i4>1</vt:i4>
      </vt:variant>
    </vt:vector>
  </ap:HeadingPairs>
  <ap:TitlesOfParts>
    <vt:vector baseType="lpstr" size="1">
      <vt:lpstr>Resolution Template</vt:lpstr>
    </vt:vector>
  </ap:TitlesOfParts>
  <ap:Company/>
  <ap:LinksUpToDate>false</ap:LinksUpToDate>
  <ap:CharactersWithSpaces>42361</ap:CharactersWithSpaces>
  <ap:SharedDoc>false</ap:SharedDoc>
  <ap:HLinks>
    <vt:vector baseType="variant" size="12">
      <vt:variant>
        <vt:i4>327744</vt:i4>
      </vt:variant>
      <vt:variant>
        <vt:i4>3</vt:i4>
      </vt:variant>
      <vt:variant>
        <vt:i4>0</vt:i4>
      </vt:variant>
      <vt:variant>
        <vt:i4>5</vt:i4>
      </vt:variant>
      <vt:variant>
        <vt:lpwstr>http://www.cpuc.ca.gov/PUC/energy/Renewables/overview.htm</vt:lpwstr>
      </vt:variant>
      <vt:variant>
        <vt:lpwstr/>
      </vt:variant>
      <vt:variant>
        <vt:i4>7012451</vt:i4>
      </vt:variant>
      <vt:variant>
        <vt:i4>0</vt:i4>
      </vt:variant>
      <vt:variant>
        <vt:i4>0</vt:i4>
      </vt:variant>
      <vt:variant>
        <vt:i4>5</vt:i4>
      </vt:variant>
      <vt:variant>
        <vt:lpwstr>https://www.federalregister.gov/documents/2021/02/01/2021-02177/tackling-the-climate-crisis-at-home-and-abroad</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2025-03-14T14:10:51Z</dcterms:created>
  <dcterms:modified xsi:type="dcterms:W3CDTF">2025-03-14T14:10:51Z</dcterms:modified>
</cp:coreProperties>
</file>