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04456E" w:rsidR="0069569B" w:rsidP="00F83EE6" w:rsidRDefault="00EF1A50" w14:paraId="3C3C35A5" w14:textId="76108EA5">
      <w:pPr>
        <w:pStyle w:val="Header"/>
        <w:tabs>
          <w:tab w:val="clear" w:pos="8640"/>
          <w:tab w:val="right" w:pos="9360"/>
        </w:tabs>
        <w:rPr>
          <w:rFonts w:ascii="Book Antiqua" w:hAnsi="Book Antiqua"/>
          <w:b/>
        </w:rPr>
      </w:pPr>
      <w:bookmarkStart w:name="_Hlk189823127" w:id="0"/>
      <w:r w:rsidRPr="0004456E">
        <w:rPr>
          <w:rFonts w:ascii="Book Antiqua" w:hAnsi="Book Antiqua"/>
        </w:rPr>
        <w:t>ALJ</w:t>
      </w:r>
      <w:r w:rsidRPr="0004456E" w:rsidR="000B2C4A">
        <w:rPr>
          <w:rFonts w:ascii="Book Antiqua" w:hAnsi="Book Antiqua"/>
        </w:rPr>
        <w:t>/</w:t>
      </w:r>
      <w:r w:rsidR="002C4F8B">
        <w:rPr>
          <w:rFonts w:ascii="Book Antiqua" w:hAnsi="Book Antiqua"/>
        </w:rPr>
        <w:t>EFD</w:t>
      </w:r>
      <w:r w:rsidRPr="0004456E" w:rsidR="000B2C4A">
        <w:rPr>
          <w:rFonts w:ascii="Book Antiqua" w:hAnsi="Book Antiqua"/>
        </w:rPr>
        <w:t>/</w:t>
      </w:r>
      <w:r w:rsidR="00EE6CBA">
        <w:rPr>
          <w:rFonts w:ascii="Book Antiqua" w:hAnsi="Book Antiqua"/>
        </w:rPr>
        <w:t>jnf</w:t>
      </w:r>
      <w:bookmarkEnd w:id="0"/>
      <w:r w:rsidRPr="0004456E" w:rsidR="0004456E">
        <w:rPr>
          <w:rFonts w:ascii="Book Antiqua" w:hAnsi="Book Antiqua"/>
        </w:rPr>
        <w:tab/>
      </w:r>
      <w:r w:rsidR="00F83EE6">
        <w:rPr>
          <w:rFonts w:ascii="Book Antiqua" w:hAnsi="Book Antiqua"/>
        </w:rPr>
        <w:tab/>
      </w:r>
      <w:r w:rsidRPr="00F83EE6" w:rsidR="00F83EE6">
        <w:rPr>
          <w:rFonts w:ascii="Book Antiqua" w:hAnsi="Book Antiqua"/>
          <w:b/>
          <w:bCs/>
        </w:rPr>
        <w:t>Date of Issuance 3/14/2025</w:t>
      </w:r>
    </w:p>
    <w:p w:rsidR="004A7ACA" w:rsidP="004A7ACA" w:rsidRDefault="004A7ACA" w14:paraId="6489B11D" w14:textId="77777777">
      <w:pPr>
        <w:tabs>
          <w:tab w:val="left" w:pos="2196"/>
        </w:tabs>
        <w:suppressAutoHyphens/>
        <w:jc w:val="right"/>
        <w:rPr>
          <w:rFonts w:ascii="Book Antiqua" w:hAnsi="Book Antiqua"/>
          <w:b/>
          <w:bCs/>
        </w:rPr>
      </w:pPr>
    </w:p>
    <w:p w:rsidRPr="004A7ACA" w:rsidR="00F83EE6" w:rsidP="004A7ACA" w:rsidRDefault="00F83EE6" w14:paraId="7015C327" w14:textId="77777777">
      <w:pPr>
        <w:tabs>
          <w:tab w:val="left" w:pos="2196"/>
        </w:tabs>
        <w:suppressAutoHyphens/>
        <w:jc w:val="right"/>
        <w:rPr>
          <w:rFonts w:ascii="Book Antiqua" w:hAnsi="Book Antiqua"/>
          <w:b/>
          <w:bCs/>
        </w:rPr>
      </w:pPr>
    </w:p>
    <w:p w:rsidRPr="00EE6CBA" w:rsidR="00EF1A50" w:rsidP="008822C4" w:rsidRDefault="00EF1A50" w14:paraId="115C9D93" w14:textId="2B9E3967">
      <w:pPr>
        <w:suppressAutoHyphens/>
        <w:spacing w:line="276" w:lineRule="auto"/>
        <w:ind w:left="1080" w:hanging="1080"/>
        <w:rPr>
          <w:rFonts w:ascii="Book Antiqua" w:hAnsi="Book Antiqua"/>
        </w:rPr>
      </w:pPr>
      <w:r w:rsidRPr="0004456E">
        <w:rPr>
          <w:rFonts w:ascii="Book Antiqua" w:hAnsi="Book Antiqua"/>
        </w:rPr>
        <w:t>Decision</w:t>
      </w:r>
      <w:r w:rsidR="00F83EE6">
        <w:rPr>
          <w:rFonts w:ascii="Book Antiqua" w:hAnsi="Book Antiqua"/>
        </w:rPr>
        <w:t> </w:t>
      </w:r>
      <w:r w:rsidRPr="00F83EE6" w:rsidR="00F83EE6">
        <w:rPr>
          <w:rFonts w:ascii="Book Antiqua" w:hAnsi="Book Antiqua"/>
        </w:rPr>
        <w:t>25</w:t>
      </w:r>
      <w:r w:rsidR="00F83EE6">
        <w:rPr>
          <w:rFonts w:ascii="Book Antiqua" w:hAnsi="Book Antiqua"/>
        </w:rPr>
        <w:noBreakHyphen/>
      </w:r>
      <w:r w:rsidRPr="00F83EE6" w:rsidR="00F83EE6">
        <w:rPr>
          <w:rFonts w:ascii="Book Antiqua" w:hAnsi="Book Antiqua"/>
        </w:rPr>
        <w:t>03</w:t>
      </w:r>
      <w:r w:rsidR="00F83EE6">
        <w:rPr>
          <w:rFonts w:ascii="Book Antiqua" w:hAnsi="Book Antiqua"/>
        </w:rPr>
        <w:noBreakHyphen/>
      </w:r>
      <w:r w:rsidRPr="00F83EE6" w:rsidR="00F83EE6">
        <w:rPr>
          <w:rFonts w:ascii="Book Antiqua" w:hAnsi="Book Antiqua"/>
        </w:rPr>
        <w:t>003</w:t>
      </w:r>
      <w:r w:rsidR="00F83EE6">
        <w:rPr>
          <w:rFonts w:ascii="Book Antiqua" w:hAnsi="Book Antiqua"/>
        </w:rPr>
        <w:t xml:space="preserve">  March 13, 2025</w:t>
      </w:r>
    </w:p>
    <w:p w:rsidRPr="0004456E" w:rsidR="00EF1A50" w:rsidP="00EE6CBA" w:rsidRDefault="00EF1A50" w14:paraId="2915C36E" w14:textId="77777777">
      <w:pPr>
        <w:suppressAutoHyphens/>
        <w:spacing w:line="360" w:lineRule="auto"/>
        <w:rPr>
          <w:rFonts w:ascii="Book Antiqua" w:hAnsi="Book Antiqua"/>
        </w:rPr>
      </w:pPr>
    </w:p>
    <w:p w:rsidRPr="0004456E" w:rsidR="00EF1A50" w:rsidRDefault="00EF1A50" w14:paraId="42F72130" w14:textId="77777777">
      <w:pPr>
        <w:pStyle w:val="titlebar"/>
        <w:rPr>
          <w:rFonts w:ascii="Arial" w:hAnsi="Arial" w:cs="Arial"/>
          <w:sz w:val="24"/>
        </w:rPr>
      </w:pPr>
      <w:r w:rsidRPr="0004456E">
        <w:rPr>
          <w:rFonts w:ascii="Arial" w:hAnsi="Arial" w:cs="Arial"/>
          <w:sz w:val="24"/>
        </w:rPr>
        <w:t xml:space="preserve">BEFORE THE PUBLIC UTILITIES COMMISSION OF THE STATE OF </w:t>
      </w:r>
      <w:smartTag w:uri="urn:schemas-microsoft-com:office:smarttags" w:element="address">
        <w:smartTag w:uri="urn:schemas-microsoft-com:office:smarttags" w:element="Street">
          <w:smartTag w:uri="urn:schemas-microsoft-com:office:smarttags" w:element="State">
            <w:smartTag w:uri="urn:schemas-microsoft-com:office:smarttags" w:element="place">
              <w:r w:rsidRPr="0004456E">
                <w:rPr>
                  <w:rFonts w:ascii="Arial" w:hAnsi="Arial" w:cs="Arial"/>
                  <w:sz w:val="24"/>
                </w:rPr>
                <w:t>CALIFORNIA</w:t>
              </w:r>
            </w:smartTag>
          </w:smartTag>
        </w:smartTag>
      </w:smartTag>
    </w:p>
    <w:p w:rsidRPr="0004456E" w:rsidR="00EF1A50" w:rsidRDefault="00EF1A50" w14:paraId="1DC0FA31" w14:textId="77777777">
      <w:pPr>
        <w:suppressAutoHyphens/>
        <w:rPr>
          <w:rFonts w:ascii="Book Antiqua" w:hAnsi="Book Antiqua"/>
        </w:rPr>
      </w:pPr>
    </w:p>
    <w:tbl>
      <w:tblPr>
        <w:tblW w:w="9558" w:type="dxa"/>
        <w:tblLayout w:type="fixed"/>
        <w:tblLook w:val="0000" w:firstRow="0" w:lastRow="0" w:firstColumn="0" w:lastColumn="0" w:noHBand="0" w:noVBand="0"/>
      </w:tblPr>
      <w:tblGrid>
        <w:gridCol w:w="4680"/>
        <w:gridCol w:w="4878"/>
      </w:tblGrid>
      <w:tr w:rsidRPr="0004456E" w:rsidR="003143EF" w:rsidTr="00EE6CBA" w14:paraId="0B82784C" w14:textId="77777777">
        <w:tc>
          <w:tcPr>
            <w:tcW w:w="4680" w:type="dxa"/>
            <w:tcBorders>
              <w:bottom w:val="single" w:color="auto" w:sz="6" w:space="0"/>
              <w:right w:val="single" w:color="auto" w:sz="6" w:space="0"/>
            </w:tcBorders>
          </w:tcPr>
          <w:p w:rsidR="003143EF" w:rsidP="00D0594F" w:rsidRDefault="008F52A6" w14:paraId="0F4AF5C8" w14:textId="77777777">
            <w:pPr>
              <w:tabs>
                <w:tab w:val="left" w:pos="2160"/>
                <w:tab w:val="left" w:pos="3600"/>
              </w:tabs>
              <w:rPr>
                <w:rFonts w:ascii="Book Antiqua" w:hAnsi="Book Antiqua"/>
              </w:rPr>
            </w:pPr>
            <w:bookmarkStart w:name="_Hlk189823144" w:id="1"/>
            <w:bookmarkStart w:name="_Toc370798910" w:id="2"/>
            <w:r w:rsidRPr="008F52A6">
              <w:rPr>
                <w:rFonts w:ascii="Book Antiqua" w:hAnsi="Book Antiqua"/>
              </w:rPr>
              <w:t xml:space="preserve">Application of </w:t>
            </w:r>
            <w:proofErr w:type="spellStart"/>
            <w:r w:rsidRPr="008F52A6">
              <w:rPr>
                <w:rFonts w:ascii="Book Antiqua" w:hAnsi="Book Antiqua"/>
              </w:rPr>
              <w:t>WaveStreet</w:t>
            </w:r>
            <w:proofErr w:type="spellEnd"/>
            <w:r w:rsidRPr="008F52A6">
              <w:rPr>
                <w:rFonts w:ascii="Book Antiqua" w:hAnsi="Book Antiqua"/>
              </w:rPr>
              <w:t xml:space="preserve"> Managed Services, Inc. for Registration as a Non-Dominant Inter-Exchange Carrier within the State of California.</w:t>
            </w:r>
          </w:p>
          <w:p w:rsidRPr="0004456E" w:rsidR="00B433AA" w:rsidP="00D0594F" w:rsidRDefault="00B433AA" w14:paraId="49C3B42D" w14:textId="77777777">
            <w:pPr>
              <w:tabs>
                <w:tab w:val="left" w:pos="2160"/>
                <w:tab w:val="left" w:pos="3600"/>
              </w:tabs>
              <w:rPr>
                <w:rFonts w:ascii="Book Antiqua" w:hAnsi="Book Antiqua"/>
              </w:rPr>
            </w:pPr>
          </w:p>
        </w:tc>
        <w:tc>
          <w:tcPr>
            <w:tcW w:w="4878" w:type="dxa"/>
            <w:tcBorders>
              <w:left w:val="nil"/>
            </w:tcBorders>
            <w:vAlign w:val="center"/>
          </w:tcPr>
          <w:p w:rsidRPr="0004456E" w:rsidR="003143EF" w:rsidP="0004456E" w:rsidRDefault="000C1386" w14:paraId="73E3F6DD" w14:textId="77777777">
            <w:pPr>
              <w:jc w:val="center"/>
              <w:rPr>
                <w:rFonts w:ascii="Book Antiqua" w:hAnsi="Book Antiqua"/>
              </w:rPr>
            </w:pPr>
            <w:r>
              <w:rPr>
                <w:rFonts w:ascii="Book Antiqua" w:hAnsi="Book Antiqua"/>
              </w:rPr>
              <w:t>Application</w:t>
            </w:r>
            <w:r w:rsidR="008F52A6">
              <w:rPr>
                <w:rFonts w:ascii="Book Antiqua" w:hAnsi="Book Antiqua"/>
              </w:rPr>
              <w:t> </w:t>
            </w:r>
            <w:r>
              <w:rPr>
                <w:rFonts w:ascii="Book Antiqua" w:hAnsi="Book Antiqua"/>
              </w:rPr>
              <w:t>23-11-008</w:t>
            </w:r>
          </w:p>
        </w:tc>
      </w:tr>
      <w:bookmarkEnd w:id="1"/>
    </w:tbl>
    <w:p w:rsidRPr="0004456E" w:rsidR="008D6DAA" w:rsidP="008D6DAA" w:rsidRDefault="008D6DAA" w14:paraId="274DA067" w14:textId="77777777">
      <w:pPr>
        <w:suppressAutoHyphens/>
        <w:rPr>
          <w:rFonts w:ascii="Book Antiqua" w:hAnsi="Book Antiqua"/>
        </w:rPr>
      </w:pPr>
    </w:p>
    <w:p w:rsidRPr="0004456E" w:rsidR="008D6DAA" w:rsidP="008D6DAA" w:rsidRDefault="008D6DAA" w14:paraId="680F4A03" w14:textId="77777777">
      <w:pPr>
        <w:rPr>
          <w:rFonts w:ascii="Book Antiqua" w:hAnsi="Book Antiqua"/>
        </w:rPr>
      </w:pPr>
    </w:p>
    <w:p w:rsidR="008F52A6" w:rsidP="008F52A6" w:rsidRDefault="008D6DAA" w14:paraId="2D973094" w14:textId="77777777">
      <w:pPr>
        <w:pStyle w:val="Dummy0"/>
        <w:spacing w:after="0"/>
        <w:jc w:val="center"/>
        <w:sectPr w:rsidR="008F52A6" w:rsidSect="008F52A6">
          <w:footerReference w:type="default" r:id="rId11"/>
          <w:headerReference w:type="first" r:id="rId12"/>
          <w:footerReference w:type="first" r:id="rId13"/>
          <w:footnotePr>
            <w:numRestart w:val="eachSect"/>
          </w:footnotePr>
          <w:pgSz w:w="12240" w:h="15840" w:code="1"/>
          <w:pgMar w:top="1728" w:right="1440" w:bottom="1440" w:left="1440" w:header="720" w:footer="720" w:gutter="0"/>
          <w:pgNumType w:start="1"/>
          <w:cols w:space="720"/>
          <w:docGrid w:linePitch="354"/>
        </w:sectPr>
      </w:pPr>
      <w:bookmarkStart w:name="_Toc192843044" w:id="3"/>
      <w:r w:rsidRPr="0004456E">
        <w:t>DECISION GRANTING</w:t>
      </w:r>
      <w:r w:rsidR="008A7698">
        <w:t xml:space="preserve"> WAVESTREET MANAGED SERVICES, IN</w:t>
      </w:r>
      <w:r w:rsidR="00106ABB">
        <w:t>C.</w:t>
      </w:r>
      <w:r w:rsidR="008F52A6">
        <w:t xml:space="preserve"> </w:t>
      </w:r>
      <w:r w:rsidRPr="0004456E">
        <w:t>A CERTIFICATE OF PUBLIC CONVENIENCE AND</w:t>
      </w:r>
      <w:r w:rsidR="008F52A6">
        <w:t xml:space="preserve"> </w:t>
      </w:r>
      <w:r w:rsidRPr="0004456E">
        <w:t>NECESSITY TO</w:t>
      </w:r>
      <w:r w:rsidR="008F52A6">
        <w:br/>
      </w:r>
      <w:r w:rsidRPr="0004456E">
        <w:t xml:space="preserve">PROVIDE </w:t>
      </w:r>
      <w:r w:rsidRPr="00106ABB" w:rsidR="00FB029D">
        <w:t>FIXED</w:t>
      </w:r>
      <w:r w:rsidR="008F52A6">
        <w:t xml:space="preserve"> </w:t>
      </w:r>
      <w:r w:rsidRPr="00106ABB" w:rsidR="00507436">
        <w:t>INTERCONNECTED</w:t>
      </w:r>
      <w:r w:rsidR="008F52A6">
        <w:br/>
      </w:r>
      <w:r w:rsidRPr="00106ABB" w:rsidR="0062491F">
        <w:t>VOICE OVER INTERNET PROTOCOL</w:t>
      </w:r>
      <w:r w:rsidR="0062491F">
        <w:t xml:space="preserve"> SERVICES</w:t>
      </w:r>
      <w:bookmarkEnd w:id="3"/>
    </w:p>
    <w:p w:rsidRPr="00EE6CBA" w:rsidR="008F52A6" w:rsidP="008F52A6" w:rsidRDefault="008F52A6" w14:paraId="1C2F6F4A" w14:textId="77777777">
      <w:pPr>
        <w:jc w:val="center"/>
        <w:rPr>
          <w:rFonts w:ascii="Book Antiqua" w:hAnsi="Book Antiqua"/>
          <w:b/>
          <w:caps/>
          <w:szCs w:val="56"/>
        </w:rPr>
      </w:pPr>
      <w:r w:rsidRPr="00EE6CBA">
        <w:rPr>
          <w:rFonts w:ascii="Book Antiqua" w:hAnsi="Book Antiqua"/>
          <w:b/>
          <w:caps/>
          <w:szCs w:val="56"/>
        </w:rPr>
        <w:lastRenderedPageBreak/>
        <w:t>TABLE OF CONTENTS</w:t>
      </w:r>
    </w:p>
    <w:p w:rsidRPr="00EE6CBA" w:rsidR="008F52A6" w:rsidP="00FD6C03" w:rsidRDefault="008F52A6" w14:paraId="62CD3555" w14:textId="77777777">
      <w:pPr>
        <w:tabs>
          <w:tab w:val="right" w:pos="9360"/>
        </w:tabs>
        <w:spacing w:line="360" w:lineRule="auto"/>
        <w:rPr>
          <w:rFonts w:ascii="Book Antiqua" w:hAnsi="Book Antiqua" w:eastAsia="Calibri"/>
          <w:szCs w:val="22"/>
        </w:rPr>
      </w:pPr>
      <w:r w:rsidRPr="00EE6CBA">
        <w:rPr>
          <w:rFonts w:ascii="Book Antiqua" w:hAnsi="Book Antiqua" w:eastAsia="Calibri"/>
          <w:b/>
          <w:szCs w:val="22"/>
        </w:rPr>
        <w:t>Title</w:t>
      </w:r>
      <w:r w:rsidRPr="00EE6CBA">
        <w:rPr>
          <w:rFonts w:ascii="Book Antiqua" w:hAnsi="Book Antiqua" w:eastAsia="Calibri"/>
          <w:szCs w:val="22"/>
        </w:rPr>
        <w:tab/>
      </w:r>
      <w:r w:rsidRPr="00EE6CBA">
        <w:rPr>
          <w:rFonts w:ascii="Book Antiqua" w:hAnsi="Book Antiqua" w:eastAsia="Calibri"/>
          <w:b/>
          <w:szCs w:val="22"/>
        </w:rPr>
        <w:t>Page</w:t>
      </w:r>
    </w:p>
    <w:sdt>
      <w:sdtPr>
        <w:rPr>
          <w:rFonts w:ascii="Palatino" w:hAnsi="Palatino" w:eastAsia="Times New Roman"/>
          <w:szCs w:val="20"/>
        </w:rPr>
        <w:id w:val="844523641"/>
        <w:docPartObj>
          <w:docPartGallery w:val="Table of Contents"/>
          <w:docPartUnique/>
        </w:docPartObj>
      </w:sdtPr>
      <w:sdtEndPr>
        <w:rPr>
          <w:b/>
          <w:bCs/>
          <w:noProof/>
        </w:rPr>
      </w:sdtEndPr>
      <w:sdtContent>
        <w:p w:rsidR="004E123C" w:rsidRDefault="008F52A6" w14:paraId="4231123C" w14:textId="5A249798">
          <w:pPr>
            <w:pStyle w:val="TOC1"/>
            <w:tabs>
              <w:tab w:val="right" w:leader="dot" w:pos="9350"/>
            </w:tabs>
            <w:rPr>
              <w:rFonts w:asciiTheme="minorHAnsi" w:hAnsiTheme="minorHAnsi" w:cstheme="minorBidi"/>
              <w:noProof/>
              <w:kern w:val="2"/>
              <w:sz w:val="24"/>
              <w:szCs w:val="24"/>
              <w14:ligatures w14:val="standardContextual"/>
            </w:rPr>
          </w:pPr>
          <w:r w:rsidRPr="00EE6CBA">
            <w:rPr>
              <w:rFonts w:ascii="Calibri" w:hAnsi="Calibri"/>
              <w:sz w:val="22"/>
            </w:rPr>
            <w:fldChar w:fldCharType="begin"/>
          </w:r>
          <w:r w:rsidRPr="00EE6CBA">
            <w:rPr>
              <w:rFonts w:ascii="Calibri" w:hAnsi="Calibri"/>
              <w:sz w:val="22"/>
            </w:rPr>
            <w:instrText xml:space="preserve"> TOC \o "1-6" \h \z \u </w:instrText>
          </w:r>
          <w:r w:rsidRPr="00EE6CBA">
            <w:rPr>
              <w:rFonts w:ascii="Calibri" w:hAnsi="Calibri"/>
              <w:sz w:val="22"/>
            </w:rPr>
            <w:fldChar w:fldCharType="separate"/>
          </w:r>
          <w:hyperlink w:history="1" w:anchor="_Toc192843044">
            <w:r w:rsidRPr="00662A3D" w:rsidR="004E123C">
              <w:rPr>
                <w:rStyle w:val="Hyperlink"/>
                <w:noProof/>
              </w:rPr>
              <w:t>DECISION GRANTING WAVESTREET MANAGED SERVICES, INC. A CERTIFICATE OF PUBLIC CONVENIENCE AND NECESSITY TO PROVIDE FIXED INTERCONNECTED VOICE OVER INTERNET PROTOCOL SERVICES</w:t>
            </w:r>
            <w:r w:rsidR="004E123C">
              <w:rPr>
                <w:noProof/>
                <w:webHidden/>
              </w:rPr>
              <w:tab/>
            </w:r>
            <w:r w:rsidR="004E123C">
              <w:rPr>
                <w:noProof/>
                <w:webHidden/>
              </w:rPr>
              <w:fldChar w:fldCharType="begin"/>
            </w:r>
            <w:r w:rsidR="004E123C">
              <w:rPr>
                <w:noProof/>
                <w:webHidden/>
              </w:rPr>
              <w:instrText xml:space="preserve"> PAGEREF _Toc192843044 \h </w:instrText>
            </w:r>
            <w:r w:rsidR="004E123C">
              <w:rPr>
                <w:noProof/>
                <w:webHidden/>
              </w:rPr>
            </w:r>
            <w:r w:rsidR="004E123C">
              <w:rPr>
                <w:noProof/>
                <w:webHidden/>
              </w:rPr>
              <w:fldChar w:fldCharType="separate"/>
            </w:r>
            <w:r w:rsidR="004E123C">
              <w:rPr>
                <w:noProof/>
                <w:webHidden/>
              </w:rPr>
              <w:t>1</w:t>
            </w:r>
            <w:r w:rsidR="004E123C">
              <w:rPr>
                <w:noProof/>
                <w:webHidden/>
              </w:rPr>
              <w:fldChar w:fldCharType="end"/>
            </w:r>
          </w:hyperlink>
        </w:p>
        <w:p w:rsidR="004E123C" w:rsidRDefault="004E123C" w14:paraId="6F9571D1" w14:textId="64B0C677">
          <w:pPr>
            <w:pStyle w:val="TOC1"/>
            <w:tabs>
              <w:tab w:val="right" w:leader="dot" w:pos="9350"/>
            </w:tabs>
            <w:rPr>
              <w:rFonts w:asciiTheme="minorHAnsi" w:hAnsiTheme="minorHAnsi" w:cstheme="minorBidi"/>
              <w:noProof/>
              <w:kern w:val="2"/>
              <w:sz w:val="24"/>
              <w:szCs w:val="24"/>
              <w14:ligatures w14:val="standardContextual"/>
            </w:rPr>
          </w:pPr>
          <w:hyperlink w:history="1" w:anchor="_Toc192843045">
            <w:r w:rsidRPr="00662A3D">
              <w:rPr>
                <w:rStyle w:val="Hyperlink"/>
                <w:rFonts w:cs="Arial"/>
                <w:noProof/>
              </w:rPr>
              <w:t>Summary</w:t>
            </w:r>
            <w:r>
              <w:rPr>
                <w:noProof/>
                <w:webHidden/>
              </w:rPr>
              <w:tab/>
            </w:r>
            <w:r>
              <w:rPr>
                <w:noProof/>
                <w:webHidden/>
              </w:rPr>
              <w:fldChar w:fldCharType="begin"/>
            </w:r>
            <w:r>
              <w:rPr>
                <w:noProof/>
                <w:webHidden/>
              </w:rPr>
              <w:instrText xml:space="preserve"> PAGEREF _Toc192843045 \h </w:instrText>
            </w:r>
            <w:r>
              <w:rPr>
                <w:noProof/>
                <w:webHidden/>
              </w:rPr>
            </w:r>
            <w:r>
              <w:rPr>
                <w:noProof/>
                <w:webHidden/>
              </w:rPr>
              <w:fldChar w:fldCharType="separate"/>
            </w:r>
            <w:r>
              <w:rPr>
                <w:noProof/>
                <w:webHidden/>
              </w:rPr>
              <w:t>2</w:t>
            </w:r>
            <w:r>
              <w:rPr>
                <w:noProof/>
                <w:webHidden/>
              </w:rPr>
              <w:fldChar w:fldCharType="end"/>
            </w:r>
          </w:hyperlink>
        </w:p>
        <w:p w:rsidR="004E123C" w:rsidRDefault="004E123C" w14:paraId="533C5FF4" w14:textId="2BA1C71C">
          <w:pPr>
            <w:pStyle w:val="TOC1"/>
            <w:tabs>
              <w:tab w:val="right" w:leader="dot" w:pos="9350"/>
            </w:tabs>
            <w:rPr>
              <w:rFonts w:asciiTheme="minorHAnsi" w:hAnsiTheme="minorHAnsi" w:cstheme="minorBidi"/>
              <w:noProof/>
              <w:kern w:val="2"/>
              <w:sz w:val="24"/>
              <w:szCs w:val="24"/>
              <w14:ligatures w14:val="standardContextual"/>
            </w:rPr>
          </w:pPr>
          <w:hyperlink w:history="1" w:anchor="_Toc192843046">
            <w:r w:rsidRPr="00662A3D">
              <w:rPr>
                <w:rStyle w:val="Hyperlink"/>
                <w:rFonts w:cs="Arial"/>
                <w:bCs/>
                <w:iCs/>
                <w:noProof/>
              </w:rPr>
              <w:t>1.</w:t>
            </w:r>
            <w:r>
              <w:rPr>
                <w:rFonts w:asciiTheme="minorHAnsi" w:hAnsiTheme="minorHAnsi" w:cstheme="minorBidi"/>
                <w:noProof/>
                <w:kern w:val="2"/>
                <w:sz w:val="24"/>
                <w:szCs w:val="24"/>
                <w14:ligatures w14:val="standardContextual"/>
              </w:rPr>
              <w:tab/>
            </w:r>
            <w:r w:rsidRPr="00662A3D">
              <w:rPr>
                <w:rStyle w:val="Hyperlink"/>
                <w:noProof/>
              </w:rPr>
              <w:t>Background</w:t>
            </w:r>
            <w:r>
              <w:rPr>
                <w:noProof/>
                <w:webHidden/>
              </w:rPr>
              <w:tab/>
            </w:r>
            <w:r>
              <w:rPr>
                <w:noProof/>
                <w:webHidden/>
              </w:rPr>
              <w:fldChar w:fldCharType="begin"/>
            </w:r>
            <w:r>
              <w:rPr>
                <w:noProof/>
                <w:webHidden/>
              </w:rPr>
              <w:instrText xml:space="preserve"> PAGEREF _Toc192843046 \h </w:instrText>
            </w:r>
            <w:r>
              <w:rPr>
                <w:noProof/>
                <w:webHidden/>
              </w:rPr>
            </w:r>
            <w:r>
              <w:rPr>
                <w:noProof/>
                <w:webHidden/>
              </w:rPr>
              <w:fldChar w:fldCharType="separate"/>
            </w:r>
            <w:r>
              <w:rPr>
                <w:noProof/>
                <w:webHidden/>
              </w:rPr>
              <w:t>2</w:t>
            </w:r>
            <w:r>
              <w:rPr>
                <w:noProof/>
                <w:webHidden/>
              </w:rPr>
              <w:fldChar w:fldCharType="end"/>
            </w:r>
          </w:hyperlink>
        </w:p>
        <w:p w:rsidR="004E123C" w:rsidRDefault="004E123C" w14:paraId="4E39E563" w14:textId="5ADC2927">
          <w:pPr>
            <w:pStyle w:val="TOC1"/>
            <w:tabs>
              <w:tab w:val="right" w:leader="dot" w:pos="9350"/>
            </w:tabs>
            <w:rPr>
              <w:rFonts w:asciiTheme="minorHAnsi" w:hAnsiTheme="minorHAnsi" w:cstheme="minorBidi"/>
              <w:noProof/>
              <w:kern w:val="2"/>
              <w:sz w:val="24"/>
              <w:szCs w:val="24"/>
              <w14:ligatures w14:val="standardContextual"/>
            </w:rPr>
          </w:pPr>
          <w:hyperlink w:history="1" w:anchor="_Toc192843047">
            <w:r w:rsidRPr="00662A3D">
              <w:rPr>
                <w:rStyle w:val="Hyperlink"/>
                <w:rFonts w:cs="Arial"/>
                <w:bCs/>
                <w:iCs/>
                <w:noProof/>
              </w:rPr>
              <w:t>2.</w:t>
            </w:r>
            <w:r>
              <w:rPr>
                <w:rFonts w:asciiTheme="minorHAnsi" w:hAnsiTheme="minorHAnsi" w:cstheme="minorBidi"/>
                <w:noProof/>
                <w:kern w:val="2"/>
                <w:sz w:val="24"/>
                <w:szCs w:val="24"/>
                <w14:ligatures w14:val="standardContextual"/>
              </w:rPr>
              <w:tab/>
            </w:r>
            <w:r w:rsidRPr="00662A3D">
              <w:rPr>
                <w:rStyle w:val="Hyperlink"/>
                <w:noProof/>
              </w:rPr>
              <w:t>Submission</w:t>
            </w:r>
            <w:r w:rsidRPr="00662A3D">
              <w:rPr>
                <w:rStyle w:val="Hyperlink"/>
                <w:rFonts w:cs="Arial"/>
                <w:noProof/>
              </w:rPr>
              <w:t xml:space="preserve"> Date</w:t>
            </w:r>
            <w:r>
              <w:rPr>
                <w:noProof/>
                <w:webHidden/>
              </w:rPr>
              <w:tab/>
            </w:r>
            <w:r>
              <w:rPr>
                <w:noProof/>
                <w:webHidden/>
              </w:rPr>
              <w:fldChar w:fldCharType="begin"/>
            </w:r>
            <w:r>
              <w:rPr>
                <w:noProof/>
                <w:webHidden/>
              </w:rPr>
              <w:instrText xml:space="preserve"> PAGEREF _Toc192843047 \h </w:instrText>
            </w:r>
            <w:r>
              <w:rPr>
                <w:noProof/>
                <w:webHidden/>
              </w:rPr>
            </w:r>
            <w:r>
              <w:rPr>
                <w:noProof/>
                <w:webHidden/>
              </w:rPr>
              <w:fldChar w:fldCharType="separate"/>
            </w:r>
            <w:r>
              <w:rPr>
                <w:noProof/>
                <w:webHidden/>
              </w:rPr>
              <w:t>5</w:t>
            </w:r>
            <w:r>
              <w:rPr>
                <w:noProof/>
                <w:webHidden/>
              </w:rPr>
              <w:fldChar w:fldCharType="end"/>
            </w:r>
          </w:hyperlink>
        </w:p>
        <w:p w:rsidR="004E123C" w:rsidRDefault="004E123C" w14:paraId="1E21E753" w14:textId="43BBAD87">
          <w:pPr>
            <w:pStyle w:val="TOC1"/>
            <w:tabs>
              <w:tab w:val="right" w:leader="dot" w:pos="9350"/>
            </w:tabs>
            <w:rPr>
              <w:rFonts w:asciiTheme="minorHAnsi" w:hAnsiTheme="minorHAnsi" w:cstheme="minorBidi"/>
              <w:noProof/>
              <w:kern w:val="2"/>
              <w:sz w:val="24"/>
              <w:szCs w:val="24"/>
              <w14:ligatures w14:val="standardContextual"/>
            </w:rPr>
          </w:pPr>
          <w:hyperlink w:history="1" w:anchor="_Toc192843048">
            <w:r w:rsidRPr="00662A3D">
              <w:rPr>
                <w:rStyle w:val="Hyperlink"/>
                <w:rFonts w:cs="Arial"/>
                <w:bCs/>
                <w:iCs/>
                <w:noProof/>
              </w:rPr>
              <w:t>3.</w:t>
            </w:r>
            <w:r>
              <w:rPr>
                <w:rFonts w:asciiTheme="minorHAnsi" w:hAnsiTheme="minorHAnsi" w:cstheme="minorBidi"/>
                <w:noProof/>
                <w:kern w:val="2"/>
                <w:sz w:val="24"/>
                <w:szCs w:val="24"/>
                <w14:ligatures w14:val="standardContextual"/>
              </w:rPr>
              <w:tab/>
            </w:r>
            <w:r w:rsidRPr="00662A3D">
              <w:rPr>
                <w:rStyle w:val="Hyperlink"/>
                <w:noProof/>
              </w:rPr>
              <w:t>Issues Before the Commission</w:t>
            </w:r>
            <w:r>
              <w:rPr>
                <w:noProof/>
                <w:webHidden/>
              </w:rPr>
              <w:tab/>
            </w:r>
            <w:r>
              <w:rPr>
                <w:noProof/>
                <w:webHidden/>
              </w:rPr>
              <w:fldChar w:fldCharType="begin"/>
            </w:r>
            <w:r>
              <w:rPr>
                <w:noProof/>
                <w:webHidden/>
              </w:rPr>
              <w:instrText xml:space="preserve"> PAGEREF _Toc192843048 \h </w:instrText>
            </w:r>
            <w:r>
              <w:rPr>
                <w:noProof/>
                <w:webHidden/>
              </w:rPr>
            </w:r>
            <w:r>
              <w:rPr>
                <w:noProof/>
                <w:webHidden/>
              </w:rPr>
              <w:fldChar w:fldCharType="separate"/>
            </w:r>
            <w:r>
              <w:rPr>
                <w:noProof/>
                <w:webHidden/>
              </w:rPr>
              <w:t>5</w:t>
            </w:r>
            <w:r>
              <w:rPr>
                <w:noProof/>
                <w:webHidden/>
              </w:rPr>
              <w:fldChar w:fldCharType="end"/>
            </w:r>
          </w:hyperlink>
        </w:p>
        <w:p w:rsidR="004E123C" w:rsidRDefault="004E123C" w14:paraId="15B42542" w14:textId="091AB6A9">
          <w:pPr>
            <w:pStyle w:val="TOC1"/>
            <w:tabs>
              <w:tab w:val="right" w:leader="dot" w:pos="9350"/>
            </w:tabs>
            <w:rPr>
              <w:rFonts w:asciiTheme="minorHAnsi" w:hAnsiTheme="minorHAnsi" w:cstheme="minorBidi"/>
              <w:noProof/>
              <w:kern w:val="2"/>
              <w:sz w:val="24"/>
              <w:szCs w:val="24"/>
              <w14:ligatures w14:val="standardContextual"/>
            </w:rPr>
          </w:pPr>
          <w:hyperlink w:history="1" w:anchor="_Toc192843049">
            <w:r w:rsidRPr="00662A3D">
              <w:rPr>
                <w:rStyle w:val="Hyperlink"/>
                <w:rFonts w:cs="Arial"/>
                <w:bCs/>
                <w:iCs/>
                <w:noProof/>
              </w:rPr>
              <w:t>4.</w:t>
            </w:r>
            <w:r>
              <w:rPr>
                <w:rFonts w:asciiTheme="minorHAnsi" w:hAnsiTheme="minorHAnsi" w:cstheme="minorBidi"/>
                <w:noProof/>
                <w:kern w:val="2"/>
                <w:sz w:val="24"/>
                <w:szCs w:val="24"/>
                <w14:ligatures w14:val="standardContextual"/>
              </w:rPr>
              <w:tab/>
            </w:r>
            <w:r w:rsidRPr="00662A3D">
              <w:rPr>
                <w:rStyle w:val="Hyperlink"/>
                <w:noProof/>
              </w:rPr>
              <w:t>Jurisdiction</w:t>
            </w:r>
            <w:r>
              <w:rPr>
                <w:noProof/>
                <w:webHidden/>
              </w:rPr>
              <w:tab/>
            </w:r>
            <w:r>
              <w:rPr>
                <w:noProof/>
                <w:webHidden/>
              </w:rPr>
              <w:fldChar w:fldCharType="begin"/>
            </w:r>
            <w:r>
              <w:rPr>
                <w:noProof/>
                <w:webHidden/>
              </w:rPr>
              <w:instrText xml:space="preserve"> PAGEREF _Toc192843049 \h </w:instrText>
            </w:r>
            <w:r>
              <w:rPr>
                <w:noProof/>
                <w:webHidden/>
              </w:rPr>
            </w:r>
            <w:r>
              <w:rPr>
                <w:noProof/>
                <w:webHidden/>
              </w:rPr>
              <w:fldChar w:fldCharType="separate"/>
            </w:r>
            <w:r>
              <w:rPr>
                <w:noProof/>
                <w:webHidden/>
              </w:rPr>
              <w:t>5</w:t>
            </w:r>
            <w:r>
              <w:rPr>
                <w:noProof/>
                <w:webHidden/>
              </w:rPr>
              <w:fldChar w:fldCharType="end"/>
            </w:r>
          </w:hyperlink>
        </w:p>
        <w:p w:rsidR="004E123C" w:rsidRDefault="004E123C" w14:paraId="3B06211B" w14:textId="541644A5">
          <w:pPr>
            <w:pStyle w:val="TOC1"/>
            <w:tabs>
              <w:tab w:val="right" w:leader="dot" w:pos="9350"/>
            </w:tabs>
            <w:rPr>
              <w:rFonts w:asciiTheme="minorHAnsi" w:hAnsiTheme="minorHAnsi" w:cstheme="minorBidi"/>
              <w:noProof/>
              <w:kern w:val="2"/>
              <w:sz w:val="24"/>
              <w:szCs w:val="24"/>
              <w14:ligatures w14:val="standardContextual"/>
            </w:rPr>
          </w:pPr>
          <w:hyperlink w:history="1" w:anchor="_Toc192843050">
            <w:r w:rsidRPr="00662A3D">
              <w:rPr>
                <w:rStyle w:val="Hyperlink"/>
                <w:rFonts w:cs="Arial"/>
                <w:bCs/>
                <w:iCs/>
                <w:noProof/>
              </w:rPr>
              <w:t>5.</w:t>
            </w:r>
            <w:r>
              <w:rPr>
                <w:rFonts w:asciiTheme="minorHAnsi" w:hAnsiTheme="minorHAnsi" w:cstheme="minorBidi"/>
                <w:noProof/>
                <w:kern w:val="2"/>
                <w:sz w:val="24"/>
                <w:szCs w:val="24"/>
                <w14:ligatures w14:val="standardContextual"/>
              </w:rPr>
              <w:tab/>
            </w:r>
            <w:r w:rsidRPr="00662A3D">
              <w:rPr>
                <w:rStyle w:val="Hyperlink"/>
                <w:rFonts w:cs="Arial"/>
                <w:noProof/>
              </w:rPr>
              <w:t>Proposed Construction and California Environmental Quality Act (CEQA) Compliance</w:t>
            </w:r>
            <w:r>
              <w:rPr>
                <w:noProof/>
                <w:webHidden/>
              </w:rPr>
              <w:tab/>
            </w:r>
            <w:r>
              <w:rPr>
                <w:noProof/>
                <w:webHidden/>
              </w:rPr>
              <w:fldChar w:fldCharType="begin"/>
            </w:r>
            <w:r>
              <w:rPr>
                <w:noProof/>
                <w:webHidden/>
              </w:rPr>
              <w:instrText xml:space="preserve"> PAGEREF _Toc192843050 \h </w:instrText>
            </w:r>
            <w:r>
              <w:rPr>
                <w:noProof/>
                <w:webHidden/>
              </w:rPr>
            </w:r>
            <w:r>
              <w:rPr>
                <w:noProof/>
                <w:webHidden/>
              </w:rPr>
              <w:fldChar w:fldCharType="separate"/>
            </w:r>
            <w:r>
              <w:rPr>
                <w:noProof/>
                <w:webHidden/>
              </w:rPr>
              <w:t>7</w:t>
            </w:r>
            <w:r>
              <w:rPr>
                <w:noProof/>
                <w:webHidden/>
              </w:rPr>
              <w:fldChar w:fldCharType="end"/>
            </w:r>
          </w:hyperlink>
        </w:p>
        <w:p w:rsidR="004E123C" w:rsidRDefault="004E123C" w14:paraId="7530D143" w14:textId="1C1F8C60">
          <w:pPr>
            <w:pStyle w:val="TOC1"/>
            <w:tabs>
              <w:tab w:val="right" w:leader="dot" w:pos="9350"/>
            </w:tabs>
            <w:rPr>
              <w:rFonts w:asciiTheme="minorHAnsi" w:hAnsiTheme="minorHAnsi" w:cstheme="minorBidi"/>
              <w:noProof/>
              <w:kern w:val="2"/>
              <w:sz w:val="24"/>
              <w:szCs w:val="24"/>
              <w14:ligatures w14:val="standardContextual"/>
            </w:rPr>
          </w:pPr>
          <w:hyperlink w:history="1" w:anchor="_Toc192843051">
            <w:r w:rsidRPr="00662A3D">
              <w:rPr>
                <w:rStyle w:val="Hyperlink"/>
                <w:rFonts w:cs="Arial"/>
                <w:bCs/>
                <w:iCs/>
                <w:noProof/>
              </w:rPr>
              <w:t>6.</w:t>
            </w:r>
            <w:r>
              <w:rPr>
                <w:rFonts w:asciiTheme="minorHAnsi" w:hAnsiTheme="minorHAnsi" w:cstheme="minorBidi"/>
                <w:noProof/>
                <w:kern w:val="2"/>
                <w:sz w:val="24"/>
                <w:szCs w:val="24"/>
                <w14:ligatures w14:val="standardContextual"/>
              </w:rPr>
              <w:tab/>
            </w:r>
            <w:r w:rsidRPr="00662A3D">
              <w:rPr>
                <w:rStyle w:val="Hyperlink"/>
                <w:rFonts w:cs="Arial"/>
                <w:noProof/>
              </w:rPr>
              <w:t>Financial Qualifications</w:t>
            </w:r>
            <w:r>
              <w:rPr>
                <w:noProof/>
                <w:webHidden/>
              </w:rPr>
              <w:tab/>
            </w:r>
            <w:r>
              <w:rPr>
                <w:noProof/>
                <w:webHidden/>
              </w:rPr>
              <w:fldChar w:fldCharType="begin"/>
            </w:r>
            <w:r>
              <w:rPr>
                <w:noProof/>
                <w:webHidden/>
              </w:rPr>
              <w:instrText xml:space="preserve"> PAGEREF _Toc192843051 \h </w:instrText>
            </w:r>
            <w:r>
              <w:rPr>
                <w:noProof/>
                <w:webHidden/>
              </w:rPr>
            </w:r>
            <w:r>
              <w:rPr>
                <w:noProof/>
                <w:webHidden/>
              </w:rPr>
              <w:fldChar w:fldCharType="separate"/>
            </w:r>
            <w:r>
              <w:rPr>
                <w:noProof/>
                <w:webHidden/>
              </w:rPr>
              <w:t>8</w:t>
            </w:r>
            <w:r>
              <w:rPr>
                <w:noProof/>
                <w:webHidden/>
              </w:rPr>
              <w:fldChar w:fldCharType="end"/>
            </w:r>
          </w:hyperlink>
        </w:p>
        <w:p w:rsidR="004E123C" w:rsidRDefault="004E123C" w14:paraId="6CD8E9FA" w14:textId="47F83AB7">
          <w:pPr>
            <w:pStyle w:val="TOC1"/>
            <w:tabs>
              <w:tab w:val="right" w:leader="dot" w:pos="9350"/>
            </w:tabs>
            <w:rPr>
              <w:rFonts w:asciiTheme="minorHAnsi" w:hAnsiTheme="minorHAnsi" w:cstheme="minorBidi"/>
              <w:noProof/>
              <w:kern w:val="2"/>
              <w:sz w:val="24"/>
              <w:szCs w:val="24"/>
              <w14:ligatures w14:val="standardContextual"/>
            </w:rPr>
          </w:pPr>
          <w:hyperlink w:history="1" w:anchor="_Toc192843052">
            <w:r w:rsidRPr="00662A3D">
              <w:rPr>
                <w:rStyle w:val="Hyperlink"/>
                <w:rFonts w:cs="Arial"/>
                <w:bCs/>
                <w:iCs/>
                <w:noProof/>
              </w:rPr>
              <w:t>7.</w:t>
            </w:r>
            <w:r>
              <w:rPr>
                <w:rFonts w:asciiTheme="minorHAnsi" w:hAnsiTheme="minorHAnsi" w:cstheme="minorBidi"/>
                <w:noProof/>
                <w:kern w:val="2"/>
                <w:sz w:val="24"/>
                <w:szCs w:val="24"/>
                <w14:ligatures w14:val="standardContextual"/>
              </w:rPr>
              <w:tab/>
            </w:r>
            <w:r w:rsidRPr="00662A3D">
              <w:rPr>
                <w:rStyle w:val="Hyperlink"/>
                <w:rFonts w:cs="Arial"/>
                <w:noProof/>
              </w:rPr>
              <w:t>Technical Qualifications</w:t>
            </w:r>
            <w:r>
              <w:rPr>
                <w:noProof/>
                <w:webHidden/>
              </w:rPr>
              <w:tab/>
            </w:r>
            <w:r>
              <w:rPr>
                <w:noProof/>
                <w:webHidden/>
              </w:rPr>
              <w:fldChar w:fldCharType="begin"/>
            </w:r>
            <w:r>
              <w:rPr>
                <w:noProof/>
                <w:webHidden/>
              </w:rPr>
              <w:instrText xml:space="preserve"> PAGEREF _Toc192843052 \h </w:instrText>
            </w:r>
            <w:r>
              <w:rPr>
                <w:noProof/>
                <w:webHidden/>
              </w:rPr>
            </w:r>
            <w:r>
              <w:rPr>
                <w:noProof/>
                <w:webHidden/>
              </w:rPr>
              <w:fldChar w:fldCharType="separate"/>
            </w:r>
            <w:r>
              <w:rPr>
                <w:noProof/>
                <w:webHidden/>
              </w:rPr>
              <w:t>8</w:t>
            </w:r>
            <w:r>
              <w:rPr>
                <w:noProof/>
                <w:webHidden/>
              </w:rPr>
              <w:fldChar w:fldCharType="end"/>
            </w:r>
          </w:hyperlink>
        </w:p>
        <w:p w:rsidR="004E123C" w:rsidRDefault="004E123C" w14:paraId="589518B9" w14:textId="697B9355">
          <w:pPr>
            <w:pStyle w:val="TOC1"/>
            <w:tabs>
              <w:tab w:val="right" w:leader="dot" w:pos="9350"/>
            </w:tabs>
            <w:rPr>
              <w:rFonts w:asciiTheme="minorHAnsi" w:hAnsiTheme="minorHAnsi" w:cstheme="minorBidi"/>
              <w:noProof/>
              <w:kern w:val="2"/>
              <w:sz w:val="24"/>
              <w:szCs w:val="24"/>
              <w14:ligatures w14:val="standardContextual"/>
            </w:rPr>
          </w:pPr>
          <w:hyperlink w:history="1" w:anchor="_Toc192843053">
            <w:r w:rsidRPr="00662A3D">
              <w:rPr>
                <w:rStyle w:val="Hyperlink"/>
                <w:rFonts w:cs="Arial"/>
                <w:bCs/>
                <w:iCs/>
                <w:noProof/>
              </w:rPr>
              <w:t>8.</w:t>
            </w:r>
            <w:r>
              <w:rPr>
                <w:rFonts w:asciiTheme="minorHAnsi" w:hAnsiTheme="minorHAnsi" w:cstheme="minorBidi"/>
                <w:noProof/>
                <w:kern w:val="2"/>
                <w:sz w:val="24"/>
                <w:szCs w:val="24"/>
                <w14:ligatures w14:val="standardContextual"/>
              </w:rPr>
              <w:tab/>
            </w:r>
            <w:r w:rsidRPr="00662A3D">
              <w:rPr>
                <w:rStyle w:val="Hyperlink"/>
                <w:rFonts w:cs="Arial"/>
                <w:noProof/>
              </w:rPr>
              <w:t>Certification Requirements</w:t>
            </w:r>
            <w:r>
              <w:rPr>
                <w:noProof/>
                <w:webHidden/>
              </w:rPr>
              <w:tab/>
            </w:r>
            <w:r>
              <w:rPr>
                <w:noProof/>
                <w:webHidden/>
              </w:rPr>
              <w:fldChar w:fldCharType="begin"/>
            </w:r>
            <w:r>
              <w:rPr>
                <w:noProof/>
                <w:webHidden/>
              </w:rPr>
              <w:instrText xml:space="preserve"> PAGEREF _Toc192843053 \h </w:instrText>
            </w:r>
            <w:r>
              <w:rPr>
                <w:noProof/>
                <w:webHidden/>
              </w:rPr>
            </w:r>
            <w:r>
              <w:rPr>
                <w:noProof/>
                <w:webHidden/>
              </w:rPr>
              <w:fldChar w:fldCharType="separate"/>
            </w:r>
            <w:r>
              <w:rPr>
                <w:noProof/>
                <w:webHidden/>
              </w:rPr>
              <w:t>9</w:t>
            </w:r>
            <w:r>
              <w:rPr>
                <w:noProof/>
                <w:webHidden/>
              </w:rPr>
              <w:fldChar w:fldCharType="end"/>
            </w:r>
          </w:hyperlink>
        </w:p>
        <w:p w:rsidR="004E123C" w:rsidRDefault="004E123C" w14:paraId="6AE2699D" w14:textId="0858CD7B">
          <w:pPr>
            <w:pStyle w:val="TOC1"/>
            <w:tabs>
              <w:tab w:val="right" w:leader="dot" w:pos="9350"/>
            </w:tabs>
            <w:rPr>
              <w:rFonts w:asciiTheme="minorHAnsi" w:hAnsiTheme="minorHAnsi" w:cstheme="minorBidi"/>
              <w:noProof/>
              <w:kern w:val="2"/>
              <w:sz w:val="24"/>
              <w:szCs w:val="24"/>
              <w14:ligatures w14:val="standardContextual"/>
            </w:rPr>
          </w:pPr>
          <w:hyperlink w:history="1" w:anchor="_Toc192843054">
            <w:r w:rsidRPr="00662A3D">
              <w:rPr>
                <w:rStyle w:val="Hyperlink"/>
                <w:rFonts w:cs="Arial"/>
                <w:bCs/>
                <w:iCs/>
                <w:noProof/>
              </w:rPr>
              <w:t>9.</w:t>
            </w:r>
            <w:r>
              <w:rPr>
                <w:rFonts w:asciiTheme="minorHAnsi" w:hAnsiTheme="minorHAnsi" w:cstheme="minorBidi"/>
                <w:noProof/>
                <w:kern w:val="2"/>
                <w:sz w:val="24"/>
                <w:szCs w:val="24"/>
                <w14:ligatures w14:val="standardContextual"/>
              </w:rPr>
              <w:tab/>
            </w:r>
            <w:r w:rsidRPr="00662A3D">
              <w:rPr>
                <w:rStyle w:val="Hyperlink"/>
                <w:rFonts w:cs="Arial"/>
                <w:noProof/>
              </w:rPr>
              <w:t>Tariffs</w:t>
            </w:r>
            <w:r>
              <w:rPr>
                <w:noProof/>
                <w:webHidden/>
              </w:rPr>
              <w:tab/>
            </w:r>
            <w:r>
              <w:rPr>
                <w:noProof/>
                <w:webHidden/>
              </w:rPr>
              <w:fldChar w:fldCharType="begin"/>
            </w:r>
            <w:r>
              <w:rPr>
                <w:noProof/>
                <w:webHidden/>
              </w:rPr>
              <w:instrText xml:space="preserve"> PAGEREF _Toc192843054 \h </w:instrText>
            </w:r>
            <w:r>
              <w:rPr>
                <w:noProof/>
                <w:webHidden/>
              </w:rPr>
            </w:r>
            <w:r>
              <w:rPr>
                <w:noProof/>
                <w:webHidden/>
              </w:rPr>
              <w:fldChar w:fldCharType="separate"/>
            </w:r>
            <w:r>
              <w:rPr>
                <w:noProof/>
                <w:webHidden/>
              </w:rPr>
              <w:t>10</w:t>
            </w:r>
            <w:r>
              <w:rPr>
                <w:noProof/>
                <w:webHidden/>
              </w:rPr>
              <w:fldChar w:fldCharType="end"/>
            </w:r>
          </w:hyperlink>
        </w:p>
        <w:p w:rsidR="004E123C" w:rsidRDefault="004E123C" w14:paraId="0AFAA845" w14:textId="1308618B">
          <w:pPr>
            <w:pStyle w:val="TOC1"/>
            <w:tabs>
              <w:tab w:val="right" w:leader="dot" w:pos="9350"/>
            </w:tabs>
            <w:rPr>
              <w:rFonts w:asciiTheme="minorHAnsi" w:hAnsiTheme="minorHAnsi" w:cstheme="minorBidi"/>
              <w:noProof/>
              <w:kern w:val="2"/>
              <w:sz w:val="24"/>
              <w:szCs w:val="24"/>
              <w14:ligatures w14:val="standardContextual"/>
            </w:rPr>
          </w:pPr>
          <w:hyperlink w:history="1" w:anchor="_Toc192843055">
            <w:r w:rsidRPr="00662A3D">
              <w:rPr>
                <w:rStyle w:val="Hyperlink"/>
                <w:rFonts w:cs="Arial"/>
                <w:bCs/>
                <w:iCs/>
                <w:noProof/>
              </w:rPr>
              <w:t>10.</w:t>
            </w:r>
            <w:r>
              <w:rPr>
                <w:rFonts w:asciiTheme="minorHAnsi" w:hAnsiTheme="minorHAnsi" w:cstheme="minorBidi"/>
                <w:noProof/>
                <w:kern w:val="2"/>
                <w:sz w:val="24"/>
                <w:szCs w:val="24"/>
                <w14:ligatures w14:val="standardContextual"/>
              </w:rPr>
              <w:tab/>
            </w:r>
            <w:r w:rsidRPr="00662A3D">
              <w:rPr>
                <w:rStyle w:val="Hyperlink"/>
                <w:noProof/>
              </w:rPr>
              <w:t>Service Territory and Map Requirements</w:t>
            </w:r>
            <w:r>
              <w:rPr>
                <w:noProof/>
                <w:webHidden/>
              </w:rPr>
              <w:tab/>
            </w:r>
            <w:r>
              <w:rPr>
                <w:noProof/>
                <w:webHidden/>
              </w:rPr>
              <w:fldChar w:fldCharType="begin"/>
            </w:r>
            <w:r>
              <w:rPr>
                <w:noProof/>
                <w:webHidden/>
              </w:rPr>
              <w:instrText xml:space="preserve"> PAGEREF _Toc192843055 \h </w:instrText>
            </w:r>
            <w:r>
              <w:rPr>
                <w:noProof/>
                <w:webHidden/>
              </w:rPr>
            </w:r>
            <w:r>
              <w:rPr>
                <w:noProof/>
                <w:webHidden/>
              </w:rPr>
              <w:fldChar w:fldCharType="separate"/>
            </w:r>
            <w:r>
              <w:rPr>
                <w:noProof/>
                <w:webHidden/>
              </w:rPr>
              <w:t>10</w:t>
            </w:r>
            <w:r>
              <w:rPr>
                <w:noProof/>
                <w:webHidden/>
              </w:rPr>
              <w:fldChar w:fldCharType="end"/>
            </w:r>
          </w:hyperlink>
        </w:p>
        <w:p w:rsidR="004E123C" w:rsidRDefault="004E123C" w14:paraId="4D1618D6" w14:textId="1817D2AE">
          <w:pPr>
            <w:pStyle w:val="TOC1"/>
            <w:tabs>
              <w:tab w:val="right" w:leader="dot" w:pos="9350"/>
            </w:tabs>
            <w:rPr>
              <w:rFonts w:asciiTheme="minorHAnsi" w:hAnsiTheme="minorHAnsi" w:cstheme="minorBidi"/>
              <w:noProof/>
              <w:kern w:val="2"/>
              <w:sz w:val="24"/>
              <w:szCs w:val="24"/>
              <w14:ligatures w14:val="standardContextual"/>
            </w:rPr>
          </w:pPr>
          <w:hyperlink w:history="1" w:anchor="_Toc192843056">
            <w:r w:rsidRPr="00662A3D">
              <w:rPr>
                <w:rStyle w:val="Hyperlink"/>
                <w:rFonts w:cs="Arial"/>
                <w:bCs/>
                <w:iCs/>
                <w:noProof/>
              </w:rPr>
              <w:t>11.</w:t>
            </w:r>
            <w:r>
              <w:rPr>
                <w:rFonts w:asciiTheme="minorHAnsi" w:hAnsiTheme="minorHAnsi" w:cstheme="minorBidi"/>
                <w:noProof/>
                <w:kern w:val="2"/>
                <w:sz w:val="24"/>
                <w:szCs w:val="24"/>
                <w14:ligatures w14:val="standardContextual"/>
              </w:rPr>
              <w:tab/>
            </w:r>
            <w:r w:rsidRPr="00662A3D">
              <w:rPr>
                <w:rStyle w:val="Hyperlink"/>
                <w:rFonts w:cs="Arial"/>
                <w:noProof/>
              </w:rPr>
              <w:t>Request for Treatment as a  Non-dominant Interexchange Carrier</w:t>
            </w:r>
            <w:r>
              <w:rPr>
                <w:noProof/>
                <w:webHidden/>
              </w:rPr>
              <w:tab/>
            </w:r>
            <w:r>
              <w:rPr>
                <w:noProof/>
                <w:webHidden/>
              </w:rPr>
              <w:fldChar w:fldCharType="begin"/>
            </w:r>
            <w:r>
              <w:rPr>
                <w:noProof/>
                <w:webHidden/>
              </w:rPr>
              <w:instrText xml:space="preserve"> PAGEREF _Toc192843056 \h </w:instrText>
            </w:r>
            <w:r>
              <w:rPr>
                <w:noProof/>
                <w:webHidden/>
              </w:rPr>
            </w:r>
            <w:r>
              <w:rPr>
                <w:noProof/>
                <w:webHidden/>
              </w:rPr>
              <w:fldChar w:fldCharType="separate"/>
            </w:r>
            <w:r>
              <w:rPr>
                <w:noProof/>
                <w:webHidden/>
              </w:rPr>
              <w:t>11</w:t>
            </w:r>
            <w:r>
              <w:rPr>
                <w:noProof/>
                <w:webHidden/>
              </w:rPr>
              <w:fldChar w:fldCharType="end"/>
            </w:r>
          </w:hyperlink>
        </w:p>
        <w:p w:rsidR="004E123C" w:rsidRDefault="004E123C" w14:paraId="63C3A54D" w14:textId="784E687F">
          <w:pPr>
            <w:pStyle w:val="TOC1"/>
            <w:tabs>
              <w:tab w:val="right" w:leader="dot" w:pos="9350"/>
            </w:tabs>
            <w:rPr>
              <w:rFonts w:asciiTheme="minorHAnsi" w:hAnsiTheme="minorHAnsi" w:cstheme="minorBidi"/>
              <w:noProof/>
              <w:kern w:val="2"/>
              <w:sz w:val="24"/>
              <w:szCs w:val="24"/>
              <w14:ligatures w14:val="standardContextual"/>
            </w:rPr>
          </w:pPr>
          <w:hyperlink w:history="1" w:anchor="_Toc192843057">
            <w:r w:rsidRPr="00662A3D">
              <w:rPr>
                <w:rStyle w:val="Hyperlink"/>
                <w:rFonts w:cs="Arial"/>
                <w:bCs/>
                <w:iCs/>
                <w:noProof/>
              </w:rPr>
              <w:t>12.</w:t>
            </w:r>
            <w:r>
              <w:rPr>
                <w:rFonts w:asciiTheme="minorHAnsi" w:hAnsiTheme="minorHAnsi" w:cstheme="minorBidi"/>
                <w:noProof/>
                <w:kern w:val="2"/>
                <w:sz w:val="24"/>
                <w:szCs w:val="24"/>
                <w14:ligatures w14:val="standardContextual"/>
              </w:rPr>
              <w:tab/>
            </w:r>
            <w:r w:rsidRPr="00662A3D">
              <w:rPr>
                <w:rStyle w:val="Hyperlink"/>
                <w:rFonts w:cs="Arial"/>
                <w:noProof/>
              </w:rPr>
              <w:t>Safety Considerations</w:t>
            </w:r>
            <w:r>
              <w:rPr>
                <w:noProof/>
                <w:webHidden/>
              </w:rPr>
              <w:tab/>
            </w:r>
            <w:r>
              <w:rPr>
                <w:noProof/>
                <w:webHidden/>
              </w:rPr>
              <w:fldChar w:fldCharType="begin"/>
            </w:r>
            <w:r>
              <w:rPr>
                <w:noProof/>
                <w:webHidden/>
              </w:rPr>
              <w:instrText xml:space="preserve"> PAGEREF _Toc192843057 \h </w:instrText>
            </w:r>
            <w:r>
              <w:rPr>
                <w:noProof/>
                <w:webHidden/>
              </w:rPr>
            </w:r>
            <w:r>
              <w:rPr>
                <w:noProof/>
                <w:webHidden/>
              </w:rPr>
              <w:fldChar w:fldCharType="separate"/>
            </w:r>
            <w:r>
              <w:rPr>
                <w:noProof/>
                <w:webHidden/>
              </w:rPr>
              <w:t>11</w:t>
            </w:r>
            <w:r>
              <w:rPr>
                <w:noProof/>
                <w:webHidden/>
              </w:rPr>
              <w:fldChar w:fldCharType="end"/>
            </w:r>
          </w:hyperlink>
        </w:p>
        <w:p w:rsidR="004E123C" w:rsidRDefault="004E123C" w14:paraId="63A979D3" w14:textId="7CB65666">
          <w:pPr>
            <w:pStyle w:val="TOC1"/>
            <w:tabs>
              <w:tab w:val="right" w:leader="dot" w:pos="9350"/>
            </w:tabs>
            <w:rPr>
              <w:rFonts w:asciiTheme="minorHAnsi" w:hAnsiTheme="minorHAnsi" w:cstheme="minorBidi"/>
              <w:noProof/>
              <w:kern w:val="2"/>
              <w:sz w:val="24"/>
              <w:szCs w:val="24"/>
              <w14:ligatures w14:val="standardContextual"/>
            </w:rPr>
          </w:pPr>
          <w:hyperlink w:history="1" w:anchor="_Toc192843058">
            <w:r w:rsidRPr="00662A3D">
              <w:rPr>
                <w:rStyle w:val="Hyperlink"/>
                <w:rFonts w:cs="Arial"/>
                <w:bCs/>
                <w:iCs/>
                <w:noProof/>
              </w:rPr>
              <w:t>13.</w:t>
            </w:r>
            <w:r>
              <w:rPr>
                <w:rFonts w:asciiTheme="minorHAnsi" w:hAnsiTheme="minorHAnsi" w:cstheme="minorBidi"/>
                <w:noProof/>
                <w:kern w:val="2"/>
                <w:sz w:val="24"/>
                <w:szCs w:val="24"/>
                <w14:ligatures w14:val="standardContextual"/>
              </w:rPr>
              <w:tab/>
            </w:r>
            <w:r w:rsidRPr="00662A3D">
              <w:rPr>
                <w:rStyle w:val="Hyperlink"/>
                <w:rFonts w:cs="Arial"/>
                <w:noProof/>
              </w:rPr>
              <w:t>Conclusion</w:t>
            </w:r>
            <w:r>
              <w:rPr>
                <w:noProof/>
                <w:webHidden/>
              </w:rPr>
              <w:tab/>
            </w:r>
            <w:r>
              <w:rPr>
                <w:noProof/>
                <w:webHidden/>
              </w:rPr>
              <w:fldChar w:fldCharType="begin"/>
            </w:r>
            <w:r>
              <w:rPr>
                <w:noProof/>
                <w:webHidden/>
              </w:rPr>
              <w:instrText xml:space="preserve"> PAGEREF _Toc192843058 \h </w:instrText>
            </w:r>
            <w:r>
              <w:rPr>
                <w:noProof/>
                <w:webHidden/>
              </w:rPr>
            </w:r>
            <w:r>
              <w:rPr>
                <w:noProof/>
                <w:webHidden/>
              </w:rPr>
              <w:fldChar w:fldCharType="separate"/>
            </w:r>
            <w:r>
              <w:rPr>
                <w:noProof/>
                <w:webHidden/>
              </w:rPr>
              <w:t>12</w:t>
            </w:r>
            <w:r>
              <w:rPr>
                <w:noProof/>
                <w:webHidden/>
              </w:rPr>
              <w:fldChar w:fldCharType="end"/>
            </w:r>
          </w:hyperlink>
        </w:p>
        <w:p w:rsidR="004E123C" w:rsidRDefault="004E123C" w14:paraId="77B38158" w14:textId="43ABAF00">
          <w:pPr>
            <w:pStyle w:val="TOC1"/>
            <w:tabs>
              <w:tab w:val="right" w:leader="dot" w:pos="9350"/>
            </w:tabs>
            <w:rPr>
              <w:rFonts w:asciiTheme="minorHAnsi" w:hAnsiTheme="minorHAnsi" w:cstheme="minorBidi"/>
              <w:noProof/>
              <w:kern w:val="2"/>
              <w:sz w:val="24"/>
              <w:szCs w:val="24"/>
              <w14:ligatures w14:val="standardContextual"/>
            </w:rPr>
          </w:pPr>
          <w:hyperlink w:history="1" w:anchor="_Toc192843059">
            <w:r w:rsidRPr="00662A3D">
              <w:rPr>
                <w:rStyle w:val="Hyperlink"/>
                <w:rFonts w:cs="Arial"/>
                <w:bCs/>
                <w:iCs/>
                <w:noProof/>
              </w:rPr>
              <w:t>14.</w:t>
            </w:r>
            <w:r>
              <w:rPr>
                <w:rFonts w:asciiTheme="minorHAnsi" w:hAnsiTheme="minorHAnsi" w:cstheme="minorBidi"/>
                <w:noProof/>
                <w:kern w:val="2"/>
                <w:sz w:val="24"/>
                <w:szCs w:val="24"/>
                <w14:ligatures w14:val="standardContextual"/>
              </w:rPr>
              <w:tab/>
            </w:r>
            <w:r w:rsidRPr="00662A3D">
              <w:rPr>
                <w:rStyle w:val="Hyperlink"/>
                <w:rFonts w:cs="Arial"/>
                <w:noProof/>
              </w:rPr>
              <w:t>Additional Requirements for Applicants Following Commission’s Grant of CPCN</w:t>
            </w:r>
            <w:r>
              <w:rPr>
                <w:noProof/>
                <w:webHidden/>
              </w:rPr>
              <w:tab/>
            </w:r>
            <w:r>
              <w:rPr>
                <w:noProof/>
                <w:webHidden/>
              </w:rPr>
              <w:fldChar w:fldCharType="begin"/>
            </w:r>
            <w:r>
              <w:rPr>
                <w:noProof/>
                <w:webHidden/>
              </w:rPr>
              <w:instrText xml:space="preserve"> PAGEREF _Toc192843059 \h </w:instrText>
            </w:r>
            <w:r>
              <w:rPr>
                <w:noProof/>
                <w:webHidden/>
              </w:rPr>
            </w:r>
            <w:r>
              <w:rPr>
                <w:noProof/>
                <w:webHidden/>
              </w:rPr>
              <w:fldChar w:fldCharType="separate"/>
            </w:r>
            <w:r>
              <w:rPr>
                <w:noProof/>
                <w:webHidden/>
              </w:rPr>
              <w:t>13</w:t>
            </w:r>
            <w:r>
              <w:rPr>
                <w:noProof/>
                <w:webHidden/>
              </w:rPr>
              <w:fldChar w:fldCharType="end"/>
            </w:r>
          </w:hyperlink>
        </w:p>
        <w:p w:rsidR="004E123C" w:rsidRDefault="004E123C" w14:paraId="3C760A2D" w14:textId="0FC21AEC">
          <w:pPr>
            <w:pStyle w:val="TOC1"/>
            <w:tabs>
              <w:tab w:val="right" w:leader="dot" w:pos="9350"/>
            </w:tabs>
            <w:rPr>
              <w:rFonts w:asciiTheme="minorHAnsi" w:hAnsiTheme="minorHAnsi" w:cstheme="minorBidi"/>
              <w:noProof/>
              <w:kern w:val="2"/>
              <w:sz w:val="24"/>
              <w:szCs w:val="24"/>
              <w14:ligatures w14:val="standardContextual"/>
            </w:rPr>
          </w:pPr>
          <w:hyperlink w:history="1" w:anchor="_Toc192843060">
            <w:r w:rsidRPr="00662A3D">
              <w:rPr>
                <w:rStyle w:val="Hyperlink"/>
                <w:rFonts w:cs="Arial"/>
                <w:bCs/>
                <w:iCs/>
                <w:noProof/>
              </w:rPr>
              <w:t>15.</w:t>
            </w:r>
            <w:r>
              <w:rPr>
                <w:rFonts w:asciiTheme="minorHAnsi" w:hAnsiTheme="minorHAnsi" w:cstheme="minorBidi"/>
                <w:noProof/>
                <w:kern w:val="2"/>
                <w:sz w:val="24"/>
                <w:szCs w:val="24"/>
                <w14:ligatures w14:val="standardContextual"/>
              </w:rPr>
              <w:tab/>
            </w:r>
            <w:r w:rsidRPr="00662A3D">
              <w:rPr>
                <w:rStyle w:val="Hyperlink"/>
                <w:rFonts w:cs="Arial"/>
                <w:noProof/>
              </w:rPr>
              <w:t>Confidential Treatment of Documents and Other Procedural Matters</w:t>
            </w:r>
            <w:r>
              <w:rPr>
                <w:noProof/>
                <w:webHidden/>
              </w:rPr>
              <w:tab/>
            </w:r>
            <w:r>
              <w:rPr>
                <w:noProof/>
                <w:webHidden/>
              </w:rPr>
              <w:fldChar w:fldCharType="begin"/>
            </w:r>
            <w:r>
              <w:rPr>
                <w:noProof/>
                <w:webHidden/>
              </w:rPr>
              <w:instrText xml:space="preserve"> PAGEREF _Toc192843060 \h </w:instrText>
            </w:r>
            <w:r>
              <w:rPr>
                <w:noProof/>
                <w:webHidden/>
              </w:rPr>
            </w:r>
            <w:r>
              <w:rPr>
                <w:noProof/>
                <w:webHidden/>
              </w:rPr>
              <w:fldChar w:fldCharType="separate"/>
            </w:r>
            <w:r>
              <w:rPr>
                <w:noProof/>
                <w:webHidden/>
              </w:rPr>
              <w:t>14</w:t>
            </w:r>
            <w:r>
              <w:rPr>
                <w:noProof/>
                <w:webHidden/>
              </w:rPr>
              <w:fldChar w:fldCharType="end"/>
            </w:r>
          </w:hyperlink>
        </w:p>
        <w:p w:rsidR="004E123C" w:rsidRDefault="004E123C" w14:paraId="177127E8" w14:textId="18AE2A68">
          <w:pPr>
            <w:pStyle w:val="TOC1"/>
            <w:tabs>
              <w:tab w:val="right" w:leader="dot" w:pos="9350"/>
            </w:tabs>
            <w:rPr>
              <w:rFonts w:asciiTheme="minorHAnsi" w:hAnsiTheme="minorHAnsi" w:cstheme="minorBidi"/>
              <w:noProof/>
              <w:kern w:val="2"/>
              <w:sz w:val="24"/>
              <w:szCs w:val="24"/>
              <w14:ligatures w14:val="standardContextual"/>
            </w:rPr>
          </w:pPr>
          <w:hyperlink w:history="1" w:anchor="_Toc192843061">
            <w:r w:rsidRPr="00662A3D">
              <w:rPr>
                <w:rStyle w:val="Hyperlink"/>
                <w:rFonts w:cs="Arial"/>
                <w:bCs/>
                <w:iCs/>
                <w:noProof/>
              </w:rPr>
              <w:t>16.</w:t>
            </w:r>
            <w:r>
              <w:rPr>
                <w:rFonts w:asciiTheme="minorHAnsi" w:hAnsiTheme="minorHAnsi" w:cstheme="minorBidi"/>
                <w:noProof/>
                <w:kern w:val="2"/>
                <w:sz w:val="24"/>
                <w:szCs w:val="24"/>
                <w14:ligatures w14:val="standardContextual"/>
              </w:rPr>
              <w:tab/>
            </w:r>
            <w:r w:rsidRPr="00662A3D">
              <w:rPr>
                <w:rStyle w:val="Hyperlink"/>
                <w:noProof/>
              </w:rPr>
              <w:t>Summary of Public Comments</w:t>
            </w:r>
            <w:r>
              <w:rPr>
                <w:noProof/>
                <w:webHidden/>
              </w:rPr>
              <w:tab/>
            </w:r>
            <w:r>
              <w:rPr>
                <w:noProof/>
                <w:webHidden/>
              </w:rPr>
              <w:fldChar w:fldCharType="begin"/>
            </w:r>
            <w:r>
              <w:rPr>
                <w:noProof/>
                <w:webHidden/>
              </w:rPr>
              <w:instrText xml:space="preserve"> PAGEREF _Toc192843061 \h </w:instrText>
            </w:r>
            <w:r>
              <w:rPr>
                <w:noProof/>
                <w:webHidden/>
              </w:rPr>
            </w:r>
            <w:r>
              <w:rPr>
                <w:noProof/>
                <w:webHidden/>
              </w:rPr>
              <w:fldChar w:fldCharType="separate"/>
            </w:r>
            <w:r>
              <w:rPr>
                <w:noProof/>
                <w:webHidden/>
              </w:rPr>
              <w:t>15</w:t>
            </w:r>
            <w:r>
              <w:rPr>
                <w:noProof/>
                <w:webHidden/>
              </w:rPr>
              <w:fldChar w:fldCharType="end"/>
            </w:r>
          </w:hyperlink>
        </w:p>
        <w:p w:rsidR="004E123C" w:rsidRDefault="004E123C" w14:paraId="6B14B4AA" w14:textId="0F2C5B5D">
          <w:pPr>
            <w:pStyle w:val="TOC1"/>
            <w:tabs>
              <w:tab w:val="right" w:leader="dot" w:pos="9350"/>
            </w:tabs>
            <w:rPr>
              <w:rFonts w:asciiTheme="minorHAnsi" w:hAnsiTheme="minorHAnsi" w:cstheme="minorBidi"/>
              <w:noProof/>
              <w:kern w:val="2"/>
              <w:sz w:val="24"/>
              <w:szCs w:val="24"/>
              <w14:ligatures w14:val="standardContextual"/>
            </w:rPr>
          </w:pPr>
          <w:hyperlink w:history="1" w:anchor="_Toc192843062">
            <w:r w:rsidRPr="00662A3D">
              <w:rPr>
                <w:rStyle w:val="Hyperlink"/>
                <w:rFonts w:cs="Arial"/>
                <w:bCs/>
                <w:iCs/>
                <w:noProof/>
              </w:rPr>
              <w:t>17.</w:t>
            </w:r>
            <w:r>
              <w:rPr>
                <w:rFonts w:asciiTheme="minorHAnsi" w:hAnsiTheme="minorHAnsi" w:cstheme="minorBidi"/>
                <w:noProof/>
                <w:kern w:val="2"/>
                <w:sz w:val="24"/>
                <w:szCs w:val="24"/>
                <w14:ligatures w14:val="standardContextual"/>
              </w:rPr>
              <w:tab/>
            </w:r>
            <w:r w:rsidRPr="00662A3D">
              <w:rPr>
                <w:rStyle w:val="Hyperlink"/>
                <w:rFonts w:cs="Arial"/>
                <w:noProof/>
              </w:rPr>
              <w:t>Comments on Proposed Decision</w:t>
            </w:r>
            <w:r>
              <w:rPr>
                <w:noProof/>
                <w:webHidden/>
              </w:rPr>
              <w:tab/>
            </w:r>
            <w:r>
              <w:rPr>
                <w:noProof/>
                <w:webHidden/>
              </w:rPr>
              <w:fldChar w:fldCharType="begin"/>
            </w:r>
            <w:r>
              <w:rPr>
                <w:noProof/>
                <w:webHidden/>
              </w:rPr>
              <w:instrText xml:space="preserve"> PAGEREF _Toc192843062 \h </w:instrText>
            </w:r>
            <w:r>
              <w:rPr>
                <w:noProof/>
                <w:webHidden/>
              </w:rPr>
            </w:r>
            <w:r>
              <w:rPr>
                <w:noProof/>
                <w:webHidden/>
              </w:rPr>
              <w:fldChar w:fldCharType="separate"/>
            </w:r>
            <w:r>
              <w:rPr>
                <w:noProof/>
                <w:webHidden/>
              </w:rPr>
              <w:t>15</w:t>
            </w:r>
            <w:r>
              <w:rPr>
                <w:noProof/>
                <w:webHidden/>
              </w:rPr>
              <w:fldChar w:fldCharType="end"/>
            </w:r>
          </w:hyperlink>
        </w:p>
        <w:p w:rsidR="004E123C" w:rsidRDefault="004E123C" w14:paraId="1463BF3E" w14:textId="24EE1B0C">
          <w:pPr>
            <w:pStyle w:val="TOC1"/>
            <w:tabs>
              <w:tab w:val="right" w:leader="dot" w:pos="9350"/>
            </w:tabs>
            <w:rPr>
              <w:rFonts w:asciiTheme="minorHAnsi" w:hAnsiTheme="minorHAnsi" w:cstheme="minorBidi"/>
              <w:noProof/>
              <w:kern w:val="2"/>
              <w:sz w:val="24"/>
              <w:szCs w:val="24"/>
              <w14:ligatures w14:val="standardContextual"/>
            </w:rPr>
          </w:pPr>
          <w:hyperlink w:history="1" w:anchor="_Toc192843063">
            <w:r w:rsidRPr="00662A3D">
              <w:rPr>
                <w:rStyle w:val="Hyperlink"/>
                <w:rFonts w:cs="Arial"/>
                <w:bCs/>
                <w:iCs/>
                <w:noProof/>
              </w:rPr>
              <w:t>18.</w:t>
            </w:r>
            <w:r>
              <w:rPr>
                <w:rFonts w:asciiTheme="minorHAnsi" w:hAnsiTheme="minorHAnsi" w:cstheme="minorBidi"/>
                <w:noProof/>
                <w:kern w:val="2"/>
                <w:sz w:val="24"/>
                <w:szCs w:val="24"/>
                <w14:ligatures w14:val="standardContextual"/>
              </w:rPr>
              <w:tab/>
            </w:r>
            <w:r w:rsidRPr="00662A3D">
              <w:rPr>
                <w:rStyle w:val="Hyperlink"/>
                <w:rFonts w:cs="Arial"/>
                <w:noProof/>
              </w:rPr>
              <w:t>Assignment of Proceeding</w:t>
            </w:r>
            <w:r>
              <w:rPr>
                <w:noProof/>
                <w:webHidden/>
              </w:rPr>
              <w:tab/>
            </w:r>
            <w:r>
              <w:rPr>
                <w:noProof/>
                <w:webHidden/>
              </w:rPr>
              <w:fldChar w:fldCharType="begin"/>
            </w:r>
            <w:r>
              <w:rPr>
                <w:noProof/>
                <w:webHidden/>
              </w:rPr>
              <w:instrText xml:space="preserve"> PAGEREF _Toc192843063 \h </w:instrText>
            </w:r>
            <w:r>
              <w:rPr>
                <w:noProof/>
                <w:webHidden/>
              </w:rPr>
            </w:r>
            <w:r>
              <w:rPr>
                <w:noProof/>
                <w:webHidden/>
              </w:rPr>
              <w:fldChar w:fldCharType="separate"/>
            </w:r>
            <w:r>
              <w:rPr>
                <w:noProof/>
                <w:webHidden/>
              </w:rPr>
              <w:t>15</w:t>
            </w:r>
            <w:r>
              <w:rPr>
                <w:noProof/>
                <w:webHidden/>
              </w:rPr>
              <w:fldChar w:fldCharType="end"/>
            </w:r>
          </w:hyperlink>
        </w:p>
        <w:p w:rsidR="004E123C" w:rsidRDefault="004E123C" w14:paraId="51AC6D23" w14:textId="7529608F">
          <w:pPr>
            <w:pStyle w:val="TOC1"/>
            <w:tabs>
              <w:tab w:val="right" w:leader="dot" w:pos="9350"/>
            </w:tabs>
            <w:rPr>
              <w:rFonts w:asciiTheme="minorHAnsi" w:hAnsiTheme="minorHAnsi" w:cstheme="minorBidi"/>
              <w:noProof/>
              <w:kern w:val="2"/>
              <w:sz w:val="24"/>
              <w:szCs w:val="24"/>
              <w14:ligatures w14:val="standardContextual"/>
            </w:rPr>
          </w:pPr>
          <w:hyperlink w:history="1" w:anchor="_Toc192843064">
            <w:r w:rsidRPr="00662A3D">
              <w:rPr>
                <w:rStyle w:val="Hyperlink"/>
                <w:rFonts w:cs="Arial"/>
                <w:noProof/>
              </w:rPr>
              <w:t>Findings of Fact</w:t>
            </w:r>
            <w:r>
              <w:rPr>
                <w:noProof/>
                <w:webHidden/>
              </w:rPr>
              <w:tab/>
            </w:r>
            <w:r>
              <w:rPr>
                <w:noProof/>
                <w:webHidden/>
              </w:rPr>
              <w:fldChar w:fldCharType="begin"/>
            </w:r>
            <w:r>
              <w:rPr>
                <w:noProof/>
                <w:webHidden/>
              </w:rPr>
              <w:instrText xml:space="preserve"> PAGEREF _Toc192843064 \h </w:instrText>
            </w:r>
            <w:r>
              <w:rPr>
                <w:noProof/>
                <w:webHidden/>
              </w:rPr>
            </w:r>
            <w:r>
              <w:rPr>
                <w:noProof/>
                <w:webHidden/>
              </w:rPr>
              <w:fldChar w:fldCharType="separate"/>
            </w:r>
            <w:r>
              <w:rPr>
                <w:noProof/>
                <w:webHidden/>
              </w:rPr>
              <w:t>15</w:t>
            </w:r>
            <w:r>
              <w:rPr>
                <w:noProof/>
                <w:webHidden/>
              </w:rPr>
              <w:fldChar w:fldCharType="end"/>
            </w:r>
          </w:hyperlink>
        </w:p>
        <w:p w:rsidR="004E123C" w:rsidRDefault="004E123C" w14:paraId="5EE3B9B8" w14:textId="7BA07575">
          <w:pPr>
            <w:pStyle w:val="TOC1"/>
            <w:tabs>
              <w:tab w:val="right" w:leader="dot" w:pos="9350"/>
            </w:tabs>
            <w:rPr>
              <w:rFonts w:asciiTheme="minorHAnsi" w:hAnsiTheme="minorHAnsi" w:cstheme="minorBidi"/>
              <w:noProof/>
              <w:kern w:val="2"/>
              <w:sz w:val="24"/>
              <w:szCs w:val="24"/>
              <w14:ligatures w14:val="standardContextual"/>
            </w:rPr>
          </w:pPr>
          <w:hyperlink w:history="1" w:anchor="_Toc192843065">
            <w:r w:rsidRPr="00662A3D">
              <w:rPr>
                <w:rStyle w:val="Hyperlink"/>
                <w:rFonts w:cs="Arial"/>
                <w:noProof/>
              </w:rPr>
              <w:t>Conclusions of Law</w:t>
            </w:r>
            <w:r>
              <w:rPr>
                <w:noProof/>
                <w:webHidden/>
              </w:rPr>
              <w:tab/>
            </w:r>
            <w:r>
              <w:rPr>
                <w:noProof/>
                <w:webHidden/>
              </w:rPr>
              <w:fldChar w:fldCharType="begin"/>
            </w:r>
            <w:r>
              <w:rPr>
                <w:noProof/>
                <w:webHidden/>
              </w:rPr>
              <w:instrText xml:space="preserve"> PAGEREF _Toc192843065 \h </w:instrText>
            </w:r>
            <w:r>
              <w:rPr>
                <w:noProof/>
                <w:webHidden/>
              </w:rPr>
            </w:r>
            <w:r>
              <w:rPr>
                <w:noProof/>
                <w:webHidden/>
              </w:rPr>
              <w:fldChar w:fldCharType="separate"/>
            </w:r>
            <w:r>
              <w:rPr>
                <w:noProof/>
                <w:webHidden/>
              </w:rPr>
              <w:t>17</w:t>
            </w:r>
            <w:r>
              <w:rPr>
                <w:noProof/>
                <w:webHidden/>
              </w:rPr>
              <w:fldChar w:fldCharType="end"/>
            </w:r>
          </w:hyperlink>
        </w:p>
        <w:p w:rsidR="004E123C" w:rsidRDefault="004E123C" w14:paraId="6158B829" w14:textId="1B7A6E05">
          <w:pPr>
            <w:pStyle w:val="TOC1"/>
            <w:tabs>
              <w:tab w:val="right" w:leader="dot" w:pos="9350"/>
            </w:tabs>
            <w:rPr>
              <w:rFonts w:asciiTheme="minorHAnsi" w:hAnsiTheme="minorHAnsi" w:cstheme="minorBidi"/>
              <w:noProof/>
              <w:kern w:val="2"/>
              <w:sz w:val="24"/>
              <w:szCs w:val="24"/>
              <w14:ligatures w14:val="standardContextual"/>
            </w:rPr>
          </w:pPr>
          <w:hyperlink w:history="1" w:anchor="_Toc192843066">
            <w:r w:rsidRPr="00662A3D">
              <w:rPr>
                <w:rStyle w:val="Hyperlink"/>
                <w:noProof/>
              </w:rPr>
              <w:t>ORDER</w:t>
            </w:r>
            <w:r>
              <w:rPr>
                <w:noProof/>
                <w:webHidden/>
              </w:rPr>
              <w:tab/>
            </w:r>
            <w:r>
              <w:rPr>
                <w:noProof/>
                <w:webHidden/>
              </w:rPr>
              <w:fldChar w:fldCharType="begin"/>
            </w:r>
            <w:r>
              <w:rPr>
                <w:noProof/>
                <w:webHidden/>
              </w:rPr>
              <w:instrText xml:space="preserve"> PAGEREF _Toc192843066 \h </w:instrText>
            </w:r>
            <w:r>
              <w:rPr>
                <w:noProof/>
                <w:webHidden/>
              </w:rPr>
            </w:r>
            <w:r>
              <w:rPr>
                <w:noProof/>
                <w:webHidden/>
              </w:rPr>
              <w:fldChar w:fldCharType="separate"/>
            </w:r>
            <w:r>
              <w:rPr>
                <w:noProof/>
                <w:webHidden/>
              </w:rPr>
              <w:t>20</w:t>
            </w:r>
            <w:r>
              <w:rPr>
                <w:noProof/>
                <w:webHidden/>
              </w:rPr>
              <w:fldChar w:fldCharType="end"/>
            </w:r>
          </w:hyperlink>
        </w:p>
        <w:p w:rsidRPr="00EE6CBA" w:rsidR="008F52A6" w:rsidP="00F62269" w:rsidRDefault="008F52A6" w14:paraId="3BCA9D08" w14:textId="239DE173">
          <w:pPr>
            <w:tabs>
              <w:tab w:val="right" w:leader="dot" w:pos="9350"/>
            </w:tabs>
            <w:rPr>
              <w:rFonts w:ascii="Book Antiqua" w:hAnsi="Book Antiqua"/>
              <w:szCs w:val="22"/>
            </w:rPr>
          </w:pPr>
          <w:r w:rsidRPr="00EE6CBA">
            <w:rPr>
              <w:rFonts w:ascii="Calibri" w:hAnsi="Calibri"/>
              <w:sz w:val="22"/>
              <w:szCs w:val="22"/>
            </w:rPr>
            <w:fldChar w:fldCharType="end"/>
          </w:r>
        </w:p>
      </w:sdtContent>
    </w:sdt>
    <w:p w:rsidR="009156C6" w:rsidP="008F52A6" w:rsidRDefault="009156C6" w14:paraId="66F70542" w14:textId="77777777">
      <w:pPr>
        <w:rPr>
          <w:rFonts w:ascii="Book Antiqua" w:hAnsi="Book Antiqua" w:eastAsia="Calibri" w:cs="Arial"/>
          <w:b/>
          <w:bCs/>
          <w:iCs/>
          <w:szCs w:val="26"/>
        </w:rPr>
      </w:pPr>
      <w:r>
        <w:rPr>
          <w:rFonts w:ascii="Book Antiqua" w:hAnsi="Book Antiqua" w:eastAsia="Calibri" w:cs="Arial"/>
          <w:b/>
          <w:bCs/>
          <w:iCs/>
          <w:szCs w:val="26"/>
        </w:rPr>
        <w:t xml:space="preserve">Attachment A: </w:t>
      </w:r>
      <w:r w:rsidR="00F615B7">
        <w:rPr>
          <w:rFonts w:ascii="Book Antiqua" w:hAnsi="Book Antiqua" w:eastAsia="Calibri" w:cs="Arial"/>
          <w:b/>
          <w:bCs/>
          <w:iCs/>
          <w:szCs w:val="26"/>
        </w:rPr>
        <w:t xml:space="preserve"> </w:t>
      </w:r>
      <w:r w:rsidR="00484C46">
        <w:rPr>
          <w:rFonts w:ascii="Book Antiqua" w:hAnsi="Book Antiqua" w:eastAsia="Calibri" w:cs="Arial"/>
          <w:iCs/>
          <w:szCs w:val="26"/>
        </w:rPr>
        <w:t>Tariff Deficiencies</w:t>
      </w:r>
    </w:p>
    <w:p w:rsidRPr="00F615B7" w:rsidR="009156C6" w:rsidP="008F52A6" w:rsidRDefault="009156C6" w14:paraId="2D91AE83" w14:textId="77777777">
      <w:pPr>
        <w:rPr>
          <w:rFonts w:ascii="Book Antiqua" w:hAnsi="Book Antiqua" w:eastAsia="Calibri" w:cs="Arial"/>
          <w:iCs/>
          <w:szCs w:val="26"/>
        </w:rPr>
      </w:pPr>
      <w:r>
        <w:rPr>
          <w:rFonts w:ascii="Book Antiqua" w:hAnsi="Book Antiqua" w:eastAsia="Calibri" w:cs="Arial"/>
          <w:b/>
          <w:bCs/>
          <w:iCs/>
          <w:szCs w:val="26"/>
        </w:rPr>
        <w:t xml:space="preserve">Attachment B: </w:t>
      </w:r>
      <w:r w:rsidR="00F615B7">
        <w:rPr>
          <w:rFonts w:ascii="Book Antiqua" w:hAnsi="Book Antiqua" w:eastAsia="Calibri" w:cs="Arial"/>
          <w:b/>
          <w:bCs/>
          <w:iCs/>
          <w:szCs w:val="26"/>
        </w:rPr>
        <w:t xml:space="preserve"> </w:t>
      </w:r>
      <w:r w:rsidRPr="00F615B7" w:rsidR="00F615B7">
        <w:rPr>
          <w:rFonts w:ascii="Book Antiqua" w:hAnsi="Book Antiqua" w:eastAsia="Calibri" w:cs="Arial"/>
          <w:iCs/>
          <w:szCs w:val="26"/>
        </w:rPr>
        <w:t>Requirements Applicable To Competitive Local Exchange Carriers, Interexchange Carriers And Fixed Interconnected Vo</w:t>
      </w:r>
      <w:r w:rsidR="00F615B7">
        <w:rPr>
          <w:rFonts w:ascii="Book Antiqua" w:hAnsi="Book Antiqua" w:eastAsia="Calibri" w:cs="Arial"/>
          <w:iCs/>
          <w:szCs w:val="26"/>
        </w:rPr>
        <w:t>IP</w:t>
      </w:r>
      <w:r w:rsidRPr="00F615B7" w:rsidR="00F615B7">
        <w:rPr>
          <w:rFonts w:ascii="Book Antiqua" w:hAnsi="Book Antiqua" w:eastAsia="Calibri" w:cs="Arial"/>
          <w:iCs/>
          <w:szCs w:val="26"/>
        </w:rPr>
        <w:t xml:space="preserve"> Carriers (Carrier)</w:t>
      </w:r>
    </w:p>
    <w:p w:rsidR="009156C6" w:rsidP="008F52A6" w:rsidRDefault="009156C6" w14:paraId="48E0A2E4" w14:textId="77777777">
      <w:pPr>
        <w:rPr>
          <w:rFonts w:ascii="Book Antiqua" w:hAnsi="Book Antiqua" w:eastAsia="Calibri" w:cs="Arial"/>
          <w:b/>
          <w:bCs/>
          <w:iCs/>
          <w:szCs w:val="26"/>
        </w:rPr>
      </w:pPr>
      <w:r>
        <w:rPr>
          <w:rFonts w:ascii="Book Antiqua" w:hAnsi="Book Antiqua" w:eastAsia="Calibri" w:cs="Arial"/>
          <w:b/>
          <w:bCs/>
          <w:iCs/>
          <w:szCs w:val="26"/>
        </w:rPr>
        <w:t xml:space="preserve">Attachment C: </w:t>
      </w:r>
      <w:r w:rsidR="00F615B7">
        <w:rPr>
          <w:rFonts w:ascii="Book Antiqua" w:hAnsi="Book Antiqua" w:eastAsia="Calibri" w:cs="Arial"/>
          <w:b/>
          <w:bCs/>
          <w:iCs/>
          <w:szCs w:val="26"/>
        </w:rPr>
        <w:t xml:space="preserve"> </w:t>
      </w:r>
      <w:r w:rsidRPr="00F615B7" w:rsidR="00F615B7">
        <w:rPr>
          <w:rFonts w:ascii="Book Antiqua" w:hAnsi="Book Antiqua" w:eastAsia="Calibri" w:cs="Arial"/>
          <w:iCs/>
          <w:szCs w:val="26"/>
        </w:rPr>
        <w:t>Annual Report</w:t>
      </w:r>
    </w:p>
    <w:p w:rsidR="009049C2" w:rsidP="008F52A6" w:rsidRDefault="009156C6" w14:paraId="6CD5F3B8" w14:textId="77777777">
      <w:pPr>
        <w:rPr>
          <w:rFonts w:ascii="Book Antiqua" w:hAnsi="Book Antiqua" w:eastAsia="Calibri" w:cs="Arial"/>
          <w:iCs/>
          <w:szCs w:val="26"/>
        </w:rPr>
        <w:sectPr w:rsidR="009049C2" w:rsidSect="008F52A6">
          <w:headerReference w:type="default" r:id="rId14"/>
          <w:footerReference w:type="default" r:id="rId15"/>
          <w:pgSz w:w="12240" w:h="15840"/>
          <w:pgMar w:top="1728" w:right="1440" w:bottom="1440" w:left="1440" w:header="720" w:footer="720" w:gutter="0"/>
          <w:pgNumType w:fmt="lowerRoman" w:start="1"/>
          <w:cols w:space="720"/>
          <w:docGrid w:linePitch="360"/>
        </w:sectPr>
      </w:pPr>
      <w:r>
        <w:rPr>
          <w:rFonts w:ascii="Book Antiqua" w:hAnsi="Book Antiqua" w:eastAsia="Calibri" w:cs="Arial"/>
          <w:b/>
          <w:bCs/>
          <w:iCs/>
          <w:szCs w:val="26"/>
        </w:rPr>
        <w:t xml:space="preserve">Attachment D: </w:t>
      </w:r>
      <w:r w:rsidR="00F615B7">
        <w:rPr>
          <w:rFonts w:ascii="Book Antiqua" w:hAnsi="Book Antiqua" w:eastAsia="Calibri" w:cs="Arial"/>
          <w:b/>
          <w:bCs/>
          <w:iCs/>
          <w:szCs w:val="26"/>
        </w:rPr>
        <w:t xml:space="preserve"> </w:t>
      </w:r>
      <w:r w:rsidRPr="00F615B7" w:rsidR="00F615B7">
        <w:rPr>
          <w:rFonts w:ascii="Book Antiqua" w:hAnsi="Book Antiqua" w:eastAsia="Calibri" w:cs="Arial"/>
          <w:iCs/>
          <w:szCs w:val="26"/>
        </w:rPr>
        <w:t>Calendar Year Affiliate Transaction Report</w:t>
      </w:r>
    </w:p>
    <w:p w:rsidR="009049C2" w:rsidP="009049C2" w:rsidRDefault="009049C2" w14:paraId="66F3D373" w14:textId="77777777">
      <w:pPr>
        <w:pStyle w:val="main"/>
        <w:rPr>
          <w:rFonts w:ascii="Arial" w:hAnsi="Arial" w:cs="Arial"/>
        </w:rPr>
        <w:sectPr w:rsidR="009049C2" w:rsidSect="009049C2">
          <w:footerReference w:type="default" r:id="rId16"/>
          <w:footnotePr>
            <w:numRestart w:val="eachSect"/>
          </w:footnotePr>
          <w:type w:val="continuous"/>
          <w:pgSz w:w="12240" w:h="15840" w:code="1"/>
          <w:pgMar w:top="1728" w:right="1440" w:bottom="1440" w:left="1440" w:header="720" w:footer="720" w:gutter="0"/>
          <w:pgNumType w:start="2"/>
          <w:cols w:space="720"/>
          <w:docGrid w:linePitch="354"/>
        </w:sectPr>
      </w:pPr>
    </w:p>
    <w:p w:rsidRPr="009049C2" w:rsidR="009049C2" w:rsidP="009049C2" w:rsidRDefault="008F52A6" w14:paraId="3303DB7D" w14:textId="77777777">
      <w:pPr>
        <w:pStyle w:val="main"/>
        <w:rPr>
          <w:rFonts w:ascii="Arial" w:hAnsi="Arial" w:cs="Arial"/>
        </w:rPr>
      </w:pPr>
      <w:r w:rsidRPr="0004456E">
        <w:rPr>
          <w:rFonts w:ascii="Arial" w:hAnsi="Arial" w:cs="Arial"/>
        </w:rPr>
        <w:lastRenderedPageBreak/>
        <w:t>DECISION GRANTING</w:t>
      </w:r>
      <w:r>
        <w:rPr>
          <w:rFonts w:ascii="Arial" w:hAnsi="Arial" w:cs="Arial"/>
        </w:rPr>
        <w:t xml:space="preserve"> WAVESTREET MANAGED SERVICES, INC.</w:t>
      </w:r>
      <w:r w:rsidRPr="0004456E">
        <w:rPr>
          <w:rFonts w:ascii="Arial" w:hAnsi="Arial" w:cs="Arial"/>
        </w:rPr>
        <w:t xml:space="preserve"> A CERTIFICATE OF PUBLIC CONVENIENCE AND</w:t>
      </w:r>
      <w:r>
        <w:rPr>
          <w:rFonts w:ascii="Arial" w:hAnsi="Arial" w:cs="Arial"/>
        </w:rPr>
        <w:t xml:space="preserve"> </w:t>
      </w:r>
      <w:r w:rsidRPr="0004456E">
        <w:rPr>
          <w:rFonts w:ascii="Arial" w:hAnsi="Arial" w:cs="Arial"/>
        </w:rPr>
        <w:t>NECESSITY TO</w:t>
      </w:r>
      <w:r>
        <w:rPr>
          <w:rFonts w:ascii="Arial" w:hAnsi="Arial" w:cs="Arial"/>
        </w:rPr>
        <w:br/>
      </w:r>
      <w:r w:rsidRPr="009049C2" w:rsidR="009049C2">
        <w:rPr>
          <w:rFonts w:ascii="Arial" w:hAnsi="Arial" w:cs="Arial"/>
        </w:rPr>
        <w:t>PROVIDE FIXED INTERCONNECTED</w:t>
      </w:r>
    </w:p>
    <w:p w:rsidRPr="0062491F" w:rsidR="008D6DAA" w:rsidP="009049C2" w:rsidRDefault="009049C2" w14:paraId="360815CA" w14:textId="77777777">
      <w:pPr>
        <w:pStyle w:val="main"/>
        <w:spacing w:after="240"/>
        <w:rPr>
          <w:rFonts w:ascii="Arial" w:hAnsi="Arial" w:cs="Arial"/>
        </w:rPr>
      </w:pPr>
      <w:r w:rsidRPr="009049C2">
        <w:rPr>
          <w:rFonts w:ascii="Arial" w:hAnsi="Arial" w:cs="Arial"/>
        </w:rPr>
        <w:t>VOICE OVER INTERNET PROTOCOL SERVICES</w:t>
      </w:r>
    </w:p>
    <w:p w:rsidRPr="0004456E" w:rsidR="00EF1A50" w:rsidP="00EE10AE" w:rsidRDefault="00EF1A50" w14:paraId="6F38B5E1" w14:textId="77777777">
      <w:pPr>
        <w:pStyle w:val="Heading1"/>
        <w:numPr>
          <w:ilvl w:val="0"/>
          <w:numId w:val="0"/>
        </w:numPr>
        <w:rPr>
          <w:rFonts w:cs="Arial"/>
        </w:rPr>
      </w:pPr>
      <w:bookmarkStart w:name="_Toc335049167" w:id="5"/>
      <w:bookmarkStart w:name="_Toc192843045" w:id="6"/>
      <w:r w:rsidRPr="0004456E">
        <w:rPr>
          <w:rFonts w:cs="Arial"/>
        </w:rPr>
        <w:t>Summary</w:t>
      </w:r>
      <w:bookmarkEnd w:id="2"/>
      <w:bookmarkEnd w:id="5"/>
      <w:bookmarkEnd w:id="6"/>
    </w:p>
    <w:p w:rsidRPr="009A5D70" w:rsidR="00EF1A50" w:rsidP="009156C6" w:rsidRDefault="00514C0A" w14:paraId="6DA66E39" w14:textId="77777777">
      <w:pPr>
        <w:pStyle w:val="Standard"/>
      </w:pPr>
      <w:r w:rsidRPr="4372617A">
        <w:rPr>
          <w:color w:val="000000"/>
        </w:rPr>
        <w:t>Pursuant to Public</w:t>
      </w:r>
      <w:r w:rsidRPr="4372617A" w:rsidR="0004456E">
        <w:rPr>
          <w:color w:val="000000"/>
        </w:rPr>
        <w:t> </w:t>
      </w:r>
      <w:r w:rsidRPr="4372617A">
        <w:rPr>
          <w:color w:val="000000"/>
        </w:rPr>
        <w:t xml:space="preserve">Utilities Code </w:t>
      </w:r>
      <w:r w:rsidRPr="4372617A" w:rsidR="0004456E">
        <w:rPr>
          <w:rFonts w:cs="Arial"/>
          <w:color w:val="000000"/>
        </w:rPr>
        <w:t>S</w:t>
      </w:r>
      <w:r w:rsidRPr="4372617A" w:rsidR="0040574C">
        <w:rPr>
          <w:rFonts w:cs="Arial"/>
          <w:color w:val="000000"/>
        </w:rPr>
        <w:t>ection</w:t>
      </w:r>
      <w:r w:rsidRPr="4372617A" w:rsidR="00DE6AF6">
        <w:rPr>
          <w:rFonts w:cs="Arial"/>
          <w:color w:val="000000"/>
        </w:rPr>
        <w:t> </w:t>
      </w:r>
      <w:r w:rsidRPr="4372617A">
        <w:rPr>
          <w:color w:val="000000"/>
        </w:rPr>
        <w:t>1001,</w:t>
      </w:r>
      <w:r w:rsidRPr="4372617A" w:rsidR="00EF1A50">
        <w:rPr>
          <w:color w:val="000000"/>
        </w:rPr>
        <w:t xml:space="preserve"> </w:t>
      </w:r>
      <w:r w:rsidRPr="4372617A" w:rsidR="00CE1AD3">
        <w:rPr>
          <w:color w:val="000000"/>
        </w:rPr>
        <w:t>th</w:t>
      </w:r>
      <w:r w:rsidRPr="4372617A" w:rsidR="000141A3">
        <w:rPr>
          <w:color w:val="000000"/>
        </w:rPr>
        <w:t>e Commission</w:t>
      </w:r>
      <w:r w:rsidRPr="4372617A" w:rsidR="006606EC">
        <w:rPr>
          <w:color w:val="000000"/>
        </w:rPr>
        <w:t xml:space="preserve"> </w:t>
      </w:r>
      <w:r w:rsidRPr="4372617A" w:rsidR="00EF1A50">
        <w:t>grant</w:t>
      </w:r>
      <w:r w:rsidRPr="4372617A" w:rsidR="00CE1AD3">
        <w:t>s</w:t>
      </w:r>
      <w:r w:rsidR="000D5D86">
        <w:t xml:space="preserve"> </w:t>
      </w:r>
      <w:proofErr w:type="spellStart"/>
      <w:r w:rsidR="000D5D86">
        <w:t>Wave</w:t>
      </w:r>
      <w:r w:rsidR="008D7FE3">
        <w:t>Street</w:t>
      </w:r>
      <w:proofErr w:type="spellEnd"/>
      <w:r w:rsidR="008D7FE3">
        <w:t xml:space="preserve"> Managed Services, Inc.</w:t>
      </w:r>
      <w:r w:rsidRPr="4372617A" w:rsidR="00D40D24">
        <w:t xml:space="preserve"> </w:t>
      </w:r>
      <w:r w:rsidRPr="4372617A" w:rsidR="0032232E">
        <w:t xml:space="preserve">a </w:t>
      </w:r>
      <w:r w:rsidRPr="4372617A" w:rsidR="0004456E">
        <w:t>C</w:t>
      </w:r>
      <w:r w:rsidRPr="4372617A" w:rsidR="00CE5196">
        <w:t xml:space="preserve">ertificate of </w:t>
      </w:r>
      <w:r w:rsidRPr="4372617A" w:rsidR="0004456E">
        <w:t>P</w:t>
      </w:r>
      <w:r w:rsidRPr="4372617A" w:rsidR="00CE5196">
        <w:t xml:space="preserve">ublic </w:t>
      </w:r>
      <w:r w:rsidRPr="4372617A" w:rsidR="0004456E">
        <w:t>C</w:t>
      </w:r>
      <w:r w:rsidRPr="4372617A" w:rsidR="00CE5196">
        <w:t xml:space="preserve">onvenience and </w:t>
      </w:r>
      <w:r w:rsidRPr="4372617A" w:rsidR="0004456E">
        <w:t>N</w:t>
      </w:r>
      <w:r w:rsidRPr="4372617A" w:rsidR="00CE5196">
        <w:t>ecessity</w:t>
      </w:r>
      <w:r w:rsidRPr="4372617A" w:rsidR="0004456E">
        <w:t xml:space="preserve"> </w:t>
      </w:r>
      <w:r w:rsidRPr="4372617A" w:rsidR="0032232E">
        <w:t xml:space="preserve">to </w:t>
      </w:r>
      <w:r w:rsidR="00F76FC8">
        <w:t xml:space="preserve">provide </w:t>
      </w:r>
      <w:r w:rsidRPr="00C94E94" w:rsidR="000357D4">
        <w:t>non</w:t>
      </w:r>
      <w:r w:rsidRPr="00C94E94" w:rsidR="00892EF9">
        <w:t>-</w:t>
      </w:r>
      <w:r w:rsidRPr="00C94E94" w:rsidR="000357D4">
        <w:t>facilities-based</w:t>
      </w:r>
      <w:r w:rsidRPr="00C94E94" w:rsidR="0062491F">
        <w:t xml:space="preserve"> </w:t>
      </w:r>
      <w:r w:rsidRPr="00C94E94" w:rsidR="00EB5CF8">
        <w:t>f</w:t>
      </w:r>
      <w:r w:rsidRPr="00C94E94" w:rsidR="006E110A">
        <w:t xml:space="preserve">ixed </w:t>
      </w:r>
      <w:r w:rsidRPr="00C94E94" w:rsidR="00EB5CF8">
        <w:t>i</w:t>
      </w:r>
      <w:r w:rsidRPr="00C94E94" w:rsidR="006E110A">
        <w:t xml:space="preserve">nterconnected </w:t>
      </w:r>
      <w:r w:rsidRPr="00C94E94" w:rsidR="0062491F">
        <w:t>Voice over Internet Protocol services</w:t>
      </w:r>
      <w:r w:rsidRPr="4372617A" w:rsidR="00FD3454">
        <w:rPr>
          <w:b/>
          <w:bCs/>
          <w:color w:val="0000FF"/>
        </w:rPr>
        <w:t xml:space="preserve"> </w:t>
      </w:r>
      <w:r w:rsidRPr="4372617A">
        <w:t xml:space="preserve">subject to </w:t>
      </w:r>
      <w:r w:rsidRPr="4372617A" w:rsidR="00EF1A50">
        <w:t xml:space="preserve">the terms and conditions set forth </w:t>
      </w:r>
      <w:r w:rsidRPr="4372617A" w:rsidR="00831BF9">
        <w:t xml:space="preserve">in the </w:t>
      </w:r>
      <w:r w:rsidRPr="4372617A" w:rsidR="00E2653F">
        <w:t>Ordering</w:t>
      </w:r>
      <w:r w:rsidRPr="4372617A" w:rsidR="0004456E">
        <w:t> </w:t>
      </w:r>
      <w:r w:rsidRPr="4372617A" w:rsidR="00E2653F">
        <w:t>Paragraphs</w:t>
      </w:r>
      <w:r w:rsidRPr="4372617A" w:rsidR="00EF1A50">
        <w:t>.</w:t>
      </w:r>
      <w:r w:rsidRPr="009A5D70" w:rsidR="00656292">
        <w:rPr>
          <w:rStyle w:val="FootnoteReference"/>
          <w:sz w:val="26"/>
          <w:szCs w:val="26"/>
        </w:rPr>
        <w:footnoteReference w:id="2"/>
      </w:r>
    </w:p>
    <w:p w:rsidRPr="009A5D70" w:rsidR="006C6D90" w:rsidP="009156C6" w:rsidRDefault="004A46A6" w14:paraId="24DF79B8" w14:textId="77777777">
      <w:pPr>
        <w:pStyle w:val="Standard"/>
        <w:rPr>
          <w:szCs w:val="26"/>
        </w:rPr>
      </w:pPr>
      <w:r>
        <w:rPr>
          <w:szCs w:val="26"/>
        </w:rPr>
        <w:t xml:space="preserve">Application </w:t>
      </w:r>
      <w:r w:rsidR="00C94E94">
        <w:rPr>
          <w:szCs w:val="26"/>
        </w:rPr>
        <w:t>23</w:t>
      </w:r>
      <w:r>
        <w:rPr>
          <w:szCs w:val="26"/>
        </w:rPr>
        <w:t>-</w:t>
      </w:r>
      <w:r w:rsidR="00C94E94">
        <w:rPr>
          <w:szCs w:val="26"/>
        </w:rPr>
        <w:t>11</w:t>
      </w:r>
      <w:r>
        <w:rPr>
          <w:szCs w:val="26"/>
        </w:rPr>
        <w:t>-</w:t>
      </w:r>
      <w:r w:rsidR="00C94E94">
        <w:rPr>
          <w:szCs w:val="26"/>
        </w:rPr>
        <w:t>008</w:t>
      </w:r>
      <w:r w:rsidRPr="009A5D70" w:rsidR="006C6D90">
        <w:rPr>
          <w:szCs w:val="26"/>
        </w:rPr>
        <w:t xml:space="preserve"> is closed.</w:t>
      </w:r>
    </w:p>
    <w:p w:rsidRPr="00916DD1" w:rsidR="00EF1A50" w:rsidP="008F52A6" w:rsidRDefault="00EF1A50" w14:paraId="2C4D48CF" w14:textId="77777777">
      <w:pPr>
        <w:pStyle w:val="Heading1"/>
      </w:pPr>
      <w:bookmarkStart w:name="_Toc335049168" w:id="7"/>
      <w:bookmarkStart w:name="_Toc192843046" w:id="8"/>
      <w:r w:rsidRPr="00916DD1">
        <w:t>Background</w:t>
      </w:r>
      <w:bookmarkEnd w:id="7"/>
      <w:bookmarkEnd w:id="8"/>
    </w:p>
    <w:p w:rsidRPr="00383A4C" w:rsidR="00000540" w:rsidP="009156C6" w:rsidRDefault="003A05C8" w14:paraId="2BEEF32F" w14:textId="77777777">
      <w:pPr>
        <w:pStyle w:val="Standard"/>
      </w:pPr>
      <w:r w:rsidRPr="004768C6">
        <w:t xml:space="preserve">On </w:t>
      </w:r>
      <w:r w:rsidRPr="00F4183D" w:rsidR="0039794A">
        <w:t>November 8, 202</w:t>
      </w:r>
      <w:r w:rsidRPr="00F4183D" w:rsidR="00D41B47">
        <w:t>3</w:t>
      </w:r>
      <w:r w:rsidRPr="004768C6">
        <w:t>,</w:t>
      </w:r>
      <w:r w:rsidRPr="004768C6" w:rsidR="00B83BA0">
        <w:t xml:space="preserve"> </w:t>
      </w:r>
      <w:proofErr w:type="spellStart"/>
      <w:r w:rsidRPr="00F4183D" w:rsidR="00D41B47">
        <w:t>WaveStreet</w:t>
      </w:r>
      <w:proofErr w:type="spellEnd"/>
      <w:r w:rsidRPr="00F4183D" w:rsidR="00D41B47">
        <w:t xml:space="preserve"> Managed Services, Inc. (</w:t>
      </w:r>
      <w:proofErr w:type="spellStart"/>
      <w:r w:rsidRPr="00F4183D" w:rsidR="00D41B47">
        <w:t>WaveStreet</w:t>
      </w:r>
      <w:proofErr w:type="spellEnd"/>
      <w:r w:rsidRPr="00F4183D" w:rsidR="00D41B47">
        <w:t>)</w:t>
      </w:r>
      <w:r w:rsidRPr="00F4183D" w:rsidR="001917AF">
        <w:t xml:space="preserve">, a California </w:t>
      </w:r>
      <w:r w:rsidRPr="00F4183D" w:rsidR="00D41B47">
        <w:t>corporation</w:t>
      </w:r>
      <w:r w:rsidRPr="004768C6" w:rsidR="001917AF">
        <w:rPr>
          <w:color w:val="0000FF"/>
        </w:rPr>
        <w:t xml:space="preserve"> </w:t>
      </w:r>
      <w:r w:rsidRPr="0070492E" w:rsidR="001917AF">
        <w:t xml:space="preserve">authorized to </w:t>
      </w:r>
      <w:r w:rsidRPr="0070492E" w:rsidR="00C76EAB">
        <w:t>do</w:t>
      </w:r>
      <w:r w:rsidRPr="0070492E" w:rsidR="00AA2589">
        <w:t xml:space="preserve"> business</w:t>
      </w:r>
      <w:r w:rsidRPr="0070492E" w:rsidR="001917AF">
        <w:t xml:space="preserve"> in California</w:t>
      </w:r>
      <w:r w:rsidRPr="0070492E" w:rsidR="004D6A10">
        <w:t xml:space="preserve"> </w:t>
      </w:r>
      <w:r w:rsidRPr="004768C6">
        <w:t>filed an application</w:t>
      </w:r>
      <w:r w:rsidR="001C210B">
        <w:t xml:space="preserve"> </w:t>
      </w:r>
      <w:r w:rsidR="00A56BE7">
        <w:t xml:space="preserve">for a registration to operate as an interexchange carrier </w:t>
      </w:r>
      <w:r w:rsidRPr="001C210B" w:rsidR="001C210B">
        <w:t xml:space="preserve">pursuant to </w:t>
      </w:r>
      <w:r w:rsidR="00F615B7">
        <w:t>Public Utilities (</w:t>
      </w:r>
      <w:r w:rsidRPr="001C210B" w:rsidR="001C210B">
        <w:t>Pub. Util.</w:t>
      </w:r>
      <w:r w:rsidR="00F615B7">
        <w:t>)</w:t>
      </w:r>
      <w:r w:rsidRPr="001C210B" w:rsidR="001C210B">
        <w:t xml:space="preserve"> Code Section</w:t>
      </w:r>
      <w:r w:rsidR="00F615B7">
        <w:t> </w:t>
      </w:r>
      <w:r w:rsidRPr="001C210B" w:rsidR="001C210B">
        <w:t>1013, an expedited and</w:t>
      </w:r>
      <w:bookmarkStart w:name="_Hlk188632744" w:id="9"/>
      <w:r w:rsidR="008F52A6">
        <w:t xml:space="preserve"> </w:t>
      </w:r>
      <w:bookmarkEnd w:id="9"/>
      <w:r w:rsidRPr="001C210B" w:rsidR="001C210B">
        <w:t>ministerial registration process</w:t>
      </w:r>
      <w:r w:rsidR="00247106">
        <w:t>. The California Public Utilities Commission</w:t>
      </w:r>
      <w:r w:rsidR="006E4D11">
        <w:t xml:space="preserve">’s (Commission) Communications Division staff determined the application did not qualify for </w:t>
      </w:r>
      <w:r w:rsidR="001E78E9">
        <w:t xml:space="preserve">the expedited process and </w:t>
      </w:r>
      <w:r w:rsidR="004C240C">
        <w:t xml:space="preserve">the application </w:t>
      </w:r>
      <w:r w:rsidR="001E78E9">
        <w:t>was reassigned</w:t>
      </w:r>
      <w:r w:rsidR="00DD0633">
        <w:t xml:space="preserve"> to </w:t>
      </w:r>
      <w:r w:rsidR="00CF707D">
        <w:t>the</w:t>
      </w:r>
      <w:r w:rsidR="00DD0633">
        <w:t xml:space="preserve"> Administrative Law Judge (ALJ)</w:t>
      </w:r>
      <w:r w:rsidR="001E78E9">
        <w:t xml:space="preserve"> </w:t>
      </w:r>
      <w:r w:rsidR="004C240C">
        <w:t xml:space="preserve">Division </w:t>
      </w:r>
      <w:r w:rsidR="001E78E9">
        <w:t>to be evaluated</w:t>
      </w:r>
      <w:r w:rsidRPr="004768C6">
        <w:t xml:space="preserve"> </w:t>
      </w:r>
      <w:r w:rsidRPr="004768C6" w:rsidR="0032232E">
        <w:t xml:space="preserve">for </w:t>
      </w:r>
      <w:r w:rsidRPr="004768C6" w:rsidR="00EC29C5">
        <w:t xml:space="preserve">a </w:t>
      </w:r>
      <w:r w:rsidR="00877A7B">
        <w:t>C</w:t>
      </w:r>
      <w:r w:rsidRPr="007F6E2E" w:rsidR="007F6E2E">
        <w:t xml:space="preserve">ertificate of </w:t>
      </w:r>
      <w:r w:rsidR="00877A7B">
        <w:t>P</w:t>
      </w:r>
      <w:r w:rsidRPr="007F6E2E" w:rsidR="007F6E2E">
        <w:t xml:space="preserve">ublic </w:t>
      </w:r>
      <w:r w:rsidR="00877A7B">
        <w:t>C</w:t>
      </w:r>
      <w:r w:rsidRPr="007F6E2E" w:rsidR="007F6E2E">
        <w:t xml:space="preserve">onvenience and </w:t>
      </w:r>
      <w:r w:rsidR="00877A7B">
        <w:t>N</w:t>
      </w:r>
      <w:r w:rsidRPr="007F6E2E" w:rsidR="007F6E2E">
        <w:t xml:space="preserve">ecessity </w:t>
      </w:r>
      <w:r w:rsidR="007F6E2E">
        <w:t>(</w:t>
      </w:r>
      <w:r w:rsidRPr="004768C6" w:rsidR="0032232E">
        <w:t>CPCN</w:t>
      </w:r>
      <w:r w:rsidR="007F6E2E">
        <w:t>)</w:t>
      </w:r>
      <w:r w:rsidR="003A46C4">
        <w:t xml:space="preserve"> consistent with </w:t>
      </w:r>
      <w:r w:rsidRPr="001C210B" w:rsidR="003A46C4">
        <w:t>Pub. Util. Code Section 10</w:t>
      </w:r>
      <w:r w:rsidR="003A46C4">
        <w:t>01</w:t>
      </w:r>
      <w:r w:rsidRPr="00383A4C" w:rsidR="005F16A0">
        <w:t xml:space="preserve">.  </w:t>
      </w:r>
    </w:p>
    <w:p w:rsidRPr="00E13ECD" w:rsidR="00C05B72" w:rsidP="009156C6" w:rsidRDefault="00F4183D" w14:paraId="08F41E94" w14:textId="77777777">
      <w:pPr>
        <w:pStyle w:val="Standard"/>
      </w:pPr>
      <w:proofErr w:type="spellStart"/>
      <w:r w:rsidRPr="00E13ECD">
        <w:t>WaveStreet</w:t>
      </w:r>
      <w:proofErr w:type="spellEnd"/>
      <w:r w:rsidRPr="4372617A" w:rsidR="00DD5C45">
        <w:t xml:space="preserve"> </w:t>
      </w:r>
      <w:r w:rsidRPr="4372617A" w:rsidR="001C5EB5">
        <w:t xml:space="preserve">proposes </w:t>
      </w:r>
      <w:r w:rsidRPr="4372617A" w:rsidR="00DD5C45">
        <w:t>to provide</w:t>
      </w:r>
      <w:r w:rsidRPr="4372617A" w:rsidR="00DF3743">
        <w:t xml:space="preserve"> </w:t>
      </w:r>
      <w:r w:rsidRPr="4372617A" w:rsidR="37A46B56">
        <w:t>the</w:t>
      </w:r>
      <w:r w:rsidR="005060A6">
        <w:t xml:space="preserve"> </w:t>
      </w:r>
      <w:r w:rsidRPr="00E13ECD" w:rsidR="005060A6">
        <w:t xml:space="preserve">fixed interconnected </w:t>
      </w:r>
      <w:r w:rsidR="00AF0293">
        <w:t>Voice over Internet Protocol (</w:t>
      </w:r>
      <w:r w:rsidRPr="00E13ECD" w:rsidR="005060A6">
        <w:t>VoIP</w:t>
      </w:r>
      <w:r w:rsidR="00AF0293">
        <w:t>)</w:t>
      </w:r>
      <w:r w:rsidRPr="00E13ECD" w:rsidR="006A2B22">
        <w:t xml:space="preserve"> services</w:t>
      </w:r>
      <w:r w:rsidRPr="4372617A" w:rsidR="006A2B22">
        <w:t xml:space="preserve"> </w:t>
      </w:r>
      <w:r w:rsidRPr="4372617A" w:rsidR="0008163B">
        <w:t xml:space="preserve">to </w:t>
      </w:r>
      <w:r w:rsidRPr="00E13ECD" w:rsidR="0008163B">
        <w:t>business customers</w:t>
      </w:r>
      <w:r w:rsidRPr="00E13ECD" w:rsidR="005D35C5">
        <w:t xml:space="preserve"> </w:t>
      </w:r>
      <w:r w:rsidR="00365488">
        <w:t>through</w:t>
      </w:r>
      <w:r w:rsidRPr="00E13ECD" w:rsidR="005D35C5">
        <w:t xml:space="preserve"> </w:t>
      </w:r>
      <w:r w:rsidR="004C240C">
        <w:t>third party</w:t>
      </w:r>
      <w:r w:rsidRPr="00E13ECD" w:rsidR="005D35C5">
        <w:t xml:space="preserve"> </w:t>
      </w:r>
      <w:r w:rsidRPr="00E13ECD" w:rsidR="005D35C5">
        <w:lastRenderedPageBreak/>
        <w:t>provider</w:t>
      </w:r>
      <w:r w:rsidR="004C240C">
        <w:t>s</w:t>
      </w:r>
      <w:r w:rsidRPr="00E13ECD" w:rsidR="00642D04">
        <w:t xml:space="preserve">. </w:t>
      </w:r>
      <w:proofErr w:type="spellStart"/>
      <w:r w:rsidRPr="00E13ECD" w:rsidR="00642D04">
        <w:t>WaveStreet</w:t>
      </w:r>
      <w:proofErr w:type="spellEnd"/>
      <w:r w:rsidRPr="00E13ECD" w:rsidR="00642D04">
        <w:t xml:space="preserve"> currently has a resale agreement with</w:t>
      </w:r>
      <w:r w:rsidRPr="00E13ECD" w:rsidR="00CB22F6">
        <w:t xml:space="preserve"> Bandwidth, Inc.</w:t>
      </w:r>
      <w:r w:rsidR="00E13ECD">
        <w:t xml:space="preserve"> to provide VoIP services.</w:t>
      </w:r>
    </w:p>
    <w:p w:rsidR="00C05B72" w:rsidP="009156C6" w:rsidRDefault="00E13ECD" w14:paraId="1845D8B4" w14:textId="77777777">
      <w:pPr>
        <w:pStyle w:val="Standard"/>
      </w:pPr>
      <w:proofErr w:type="spellStart"/>
      <w:r w:rsidRPr="002E4E24">
        <w:t>WaveStreet</w:t>
      </w:r>
      <w:r w:rsidRPr="002E4E24" w:rsidR="00A74ED3">
        <w:t>’s</w:t>
      </w:r>
      <w:proofErr w:type="spellEnd"/>
      <w:r w:rsidRPr="004768C6" w:rsidR="00EF1A50">
        <w:t xml:space="preserve"> principal place of business is located at </w:t>
      </w:r>
      <w:r w:rsidRPr="002E4E24" w:rsidR="002E4E24">
        <w:t>901 Campisi Way, Suite 180, Campbell, CA, 95008</w:t>
      </w:r>
      <w:r w:rsidRPr="004768C6" w:rsidR="00EF1A50">
        <w:t>.</w:t>
      </w:r>
    </w:p>
    <w:p w:rsidR="003043F4" w:rsidP="00635688" w:rsidRDefault="00635688" w14:paraId="4A972910" w14:textId="77777777">
      <w:pPr>
        <w:pStyle w:val="Standard"/>
      </w:pPr>
      <w:r>
        <w:t xml:space="preserve">On May 30, 2024, a prehearing conference </w:t>
      </w:r>
      <w:r w:rsidR="00702FD1">
        <w:t xml:space="preserve">(PHC) </w:t>
      </w:r>
      <w:r>
        <w:t>was held to address the issues of law and fact, determine the need for hearing, set the schedule for resolving the matter, and address other matters as necessary.</w:t>
      </w:r>
    </w:p>
    <w:p w:rsidR="003043F4" w:rsidP="00635688" w:rsidRDefault="00635688" w14:paraId="240F2314" w14:textId="77777777">
      <w:pPr>
        <w:pStyle w:val="Standard"/>
      </w:pPr>
      <w:r>
        <w:t xml:space="preserve">On August 15, 2024, the assigned ALJ issued a ruling requesting additional information regarding </w:t>
      </w:r>
      <w:proofErr w:type="spellStart"/>
      <w:r>
        <w:t>WaveStreet’s</w:t>
      </w:r>
      <w:proofErr w:type="spellEnd"/>
      <w:r>
        <w:t xml:space="preserve"> services.</w:t>
      </w:r>
    </w:p>
    <w:p w:rsidR="003043F4" w:rsidP="00635688" w:rsidRDefault="00635688" w14:paraId="73C18F0E" w14:textId="77777777">
      <w:pPr>
        <w:pStyle w:val="Standard"/>
      </w:pPr>
      <w:r>
        <w:t>On August 16, 2024, the assigned Commissioner issued a Scoping Memo and Ruling.</w:t>
      </w:r>
    </w:p>
    <w:p w:rsidR="003043F4" w:rsidP="00635688" w:rsidRDefault="00635688" w14:paraId="6399EF4A" w14:textId="77777777">
      <w:pPr>
        <w:pStyle w:val="Standard"/>
      </w:pPr>
      <w:r>
        <w:t xml:space="preserve">On September 3, 2024, </w:t>
      </w:r>
      <w:proofErr w:type="spellStart"/>
      <w:r>
        <w:t>WaveStreet</w:t>
      </w:r>
      <w:proofErr w:type="spellEnd"/>
      <w:r>
        <w:t xml:space="preserve"> filed and served a response to the August 15, 2024, ALJ ruling.</w:t>
      </w:r>
    </w:p>
    <w:p w:rsidR="003043F4" w:rsidP="00635688" w:rsidRDefault="00635688" w14:paraId="237DD69B" w14:textId="77777777">
      <w:pPr>
        <w:pStyle w:val="Standard"/>
      </w:pPr>
      <w:r>
        <w:t xml:space="preserve">On September 20, 2024, the assigned ALJ issued a follow-up ruling requesting additional information regarding </w:t>
      </w:r>
      <w:proofErr w:type="spellStart"/>
      <w:r>
        <w:t>WaveStreet’s</w:t>
      </w:r>
      <w:proofErr w:type="spellEnd"/>
      <w:r>
        <w:t xml:space="preserve"> services.</w:t>
      </w:r>
    </w:p>
    <w:p w:rsidR="00635688" w:rsidP="00635688" w:rsidRDefault="00635688" w14:paraId="2D9EC14A" w14:textId="77777777">
      <w:pPr>
        <w:pStyle w:val="Standard"/>
      </w:pPr>
      <w:r>
        <w:t xml:space="preserve">On September 25, 2024, </w:t>
      </w:r>
      <w:proofErr w:type="spellStart"/>
      <w:r>
        <w:t>WaveStreet</w:t>
      </w:r>
      <w:proofErr w:type="spellEnd"/>
      <w:r>
        <w:t xml:space="preserve"> filed and served a response to the September 20, 2024, ALJ ruling.</w:t>
      </w:r>
    </w:p>
    <w:p w:rsidR="00635688" w:rsidP="00635688" w:rsidRDefault="00635688" w14:paraId="3E6A0A93" w14:textId="77777777">
      <w:pPr>
        <w:pStyle w:val="Standard"/>
      </w:pPr>
      <w:r w:rsidRPr="009156C6">
        <w:rPr>
          <w:color w:val="000000"/>
        </w:rPr>
        <w:t>On</w:t>
      </w:r>
      <w:r>
        <w:t xml:space="preserve"> November 12, 2024, the Commission issued Decision (D.) 24-11-003 establishing </w:t>
      </w:r>
      <w:r w:rsidR="00AF6412">
        <w:t xml:space="preserve">a </w:t>
      </w:r>
      <w:r>
        <w:t>regulatory framework for telephone corporations providing interconnected VoIP service</w:t>
      </w:r>
      <w:r w:rsidR="00AF6412">
        <w:t>s</w:t>
      </w:r>
      <w:r>
        <w:t xml:space="preserve">. Section 5.5 of D.24-11-003 outlines the formal registration process for nomadic interconnected VoIP service providers (Nomadic Registration). Section 5.5 states that nomadic-only interconnected VoIP service </w:t>
      </w:r>
      <w:r w:rsidRPr="002C2D32">
        <w:t xml:space="preserve">providers must attest under penalty of perjury that their service has the same characteristics of Vonage’s </w:t>
      </w:r>
      <w:proofErr w:type="spellStart"/>
      <w:r w:rsidRPr="002C2D32">
        <w:t>DigitalVoice</w:t>
      </w:r>
      <w:proofErr w:type="spellEnd"/>
      <w:r w:rsidRPr="002C2D32">
        <w:t xml:space="preserve"> service at issue in the F</w:t>
      </w:r>
      <w:r>
        <w:t xml:space="preserve">ederal </w:t>
      </w:r>
      <w:r w:rsidRPr="002C2D32">
        <w:t>C</w:t>
      </w:r>
      <w:r>
        <w:t xml:space="preserve">ommunications </w:t>
      </w:r>
      <w:r w:rsidRPr="002C2D32">
        <w:t>C</w:t>
      </w:r>
      <w:r>
        <w:t>ommission</w:t>
      </w:r>
      <w:r w:rsidRPr="002C2D32">
        <w:t xml:space="preserve"> Vonage Order and they do not have the capability to track intrastate and interstate calls. The Nomadic Registration process is </w:t>
      </w:r>
      <w:r w:rsidRPr="002C2D32">
        <w:lastRenderedPageBreak/>
        <w:t xml:space="preserve">delegated to the ministerial approval of the </w:t>
      </w:r>
      <w:r>
        <w:t xml:space="preserve">Commission’s </w:t>
      </w:r>
      <w:r w:rsidRPr="002C2D32">
        <w:t>Director of the Communications Division (or its successor). Upon approval, nomadic interconnected VoIP service providers will be issued a Utility ID Number and designated as utility type</w:t>
      </w:r>
      <w:r w:rsidR="00CA0692">
        <w:t xml:space="preserve"> Digital Voice Nomadic</w:t>
      </w:r>
      <w:r>
        <w:t xml:space="preserve"> </w:t>
      </w:r>
      <w:r w:rsidR="00CA0692">
        <w:t>(</w:t>
      </w:r>
      <w:r>
        <w:t>DVN</w:t>
      </w:r>
      <w:r w:rsidR="00CA0692">
        <w:t>)</w:t>
      </w:r>
      <w:r w:rsidRPr="002C2D32">
        <w:t>.</w:t>
      </w:r>
    </w:p>
    <w:p w:rsidR="00635688" w:rsidP="00635688" w:rsidRDefault="00635688" w14:paraId="05248951" w14:textId="77777777">
      <w:pPr>
        <w:pStyle w:val="Standard"/>
      </w:pPr>
      <w:r>
        <w:t>Section 5.5 also noted that if</w:t>
      </w:r>
      <w:r w:rsidRPr="002C2D32">
        <w:t xml:space="preserve"> there are any pending </w:t>
      </w:r>
      <w:r w:rsidR="003A45A8">
        <w:t xml:space="preserve">CPCN </w:t>
      </w:r>
      <w:r w:rsidRPr="002C2D32">
        <w:t xml:space="preserve">and Section 1013 applications with the Commission from companies offering only nomadic interconnected VoIP service, these applications may be dismissed. Prior to dismissal, the applicant must file in the pending docket an attestation that its service meets the qualifications for the DVN utility type, such as the one provided in </w:t>
      </w:r>
      <w:r>
        <w:t xml:space="preserve">D. 24-11-003 </w:t>
      </w:r>
      <w:r w:rsidRPr="002C2D32">
        <w:t xml:space="preserve">Appendix A. </w:t>
      </w:r>
      <w:r>
        <w:t>Those</w:t>
      </w:r>
      <w:r w:rsidRPr="002C2D32">
        <w:t xml:space="preserve"> companies must now obtain a Nomadic Registration approval from the Director of the Communications Division by filing a Nomadic Registration form.</w:t>
      </w:r>
    </w:p>
    <w:p w:rsidR="00CB57ED" w:rsidP="00635688" w:rsidRDefault="00F50FE9" w14:paraId="65B488B8" w14:textId="77777777">
      <w:pPr>
        <w:pStyle w:val="Standard"/>
      </w:pPr>
      <w:r>
        <w:t>I</w:t>
      </w:r>
      <w:r w:rsidR="00CB57ED">
        <w:t xml:space="preserve">n light of </w:t>
      </w:r>
      <w:r w:rsidR="00283321">
        <w:t>D.24-11-003</w:t>
      </w:r>
      <w:r w:rsidR="00CB57ED">
        <w:t xml:space="preserve">, </w:t>
      </w:r>
      <w:r w:rsidR="002D3DCC">
        <w:t xml:space="preserve">on November 22, 2024, </w:t>
      </w:r>
      <w:r w:rsidR="00CB57ED">
        <w:t xml:space="preserve">the </w:t>
      </w:r>
      <w:r w:rsidR="00E65C45">
        <w:t>a</w:t>
      </w:r>
      <w:r w:rsidR="00CB57ED">
        <w:t xml:space="preserve">ssigned ALJ </w:t>
      </w:r>
      <w:r>
        <w:t xml:space="preserve">issued a ruling </w:t>
      </w:r>
      <w:r w:rsidR="005053F9">
        <w:t xml:space="preserve">that </w:t>
      </w:r>
      <w:proofErr w:type="spellStart"/>
      <w:r w:rsidR="005053F9">
        <w:t>WaveStreet</w:t>
      </w:r>
      <w:proofErr w:type="spellEnd"/>
      <w:r w:rsidR="005053F9">
        <w:t xml:space="preserve"> </w:t>
      </w:r>
      <w:r w:rsidRPr="005053F9" w:rsidR="005053F9">
        <w:t>must either file and serve a signed affidavit indicating that its service meets the qualifications for the DVN utility type or provide a statement affirmatively indicating that its service does not qualify for Nomadic Registration.</w:t>
      </w:r>
      <w:r w:rsidR="00090905">
        <w:t xml:space="preserve"> The ruling noted</w:t>
      </w:r>
      <w:r w:rsidR="00AF6412">
        <w:t xml:space="preserve"> that,</w:t>
      </w:r>
      <w:r w:rsidR="00090905">
        <w:t xml:space="preserve"> if</w:t>
      </w:r>
      <w:r w:rsidRPr="005053F9" w:rsidR="005053F9">
        <w:t xml:space="preserve"> </w:t>
      </w:r>
      <w:proofErr w:type="spellStart"/>
      <w:r w:rsidRPr="005053F9" w:rsidR="005053F9">
        <w:t>WaveStreet</w:t>
      </w:r>
      <w:proofErr w:type="spellEnd"/>
      <w:r w:rsidRPr="005053F9" w:rsidR="005053F9">
        <w:t xml:space="preserve"> submit</w:t>
      </w:r>
      <w:r w:rsidR="00090905">
        <w:t>ted</w:t>
      </w:r>
      <w:r w:rsidRPr="005053F9" w:rsidR="005053F9">
        <w:t xml:space="preserve"> a completed affidavit attesting to its operations as a nomadic interconnected VoIP provider, th</w:t>
      </w:r>
      <w:r w:rsidR="00E82905">
        <w:t>e</w:t>
      </w:r>
      <w:r w:rsidRPr="005053F9" w:rsidR="005053F9">
        <w:t xml:space="preserve"> instant Application w</w:t>
      </w:r>
      <w:r w:rsidR="00E82905">
        <w:t>ould</w:t>
      </w:r>
      <w:r w:rsidRPr="005053F9" w:rsidR="005053F9">
        <w:t xml:space="preserve"> be dismissed, </w:t>
      </w:r>
      <w:proofErr w:type="spellStart"/>
      <w:r w:rsidRPr="005053F9" w:rsidR="005053F9">
        <w:t>WaveStreet</w:t>
      </w:r>
      <w:proofErr w:type="spellEnd"/>
      <w:r w:rsidRPr="005053F9" w:rsidR="005053F9">
        <w:t xml:space="preserve"> w</w:t>
      </w:r>
      <w:r w:rsidR="00E82905">
        <w:t>ould</w:t>
      </w:r>
      <w:r w:rsidRPr="005053F9" w:rsidR="005053F9">
        <w:t xml:space="preserve"> be directed to submit a Nomadic Registration, and all required fees for the Nomadic Registration w</w:t>
      </w:r>
      <w:r w:rsidR="00E82905">
        <w:t>ould</w:t>
      </w:r>
      <w:r w:rsidRPr="005053F9" w:rsidR="005053F9">
        <w:t xml:space="preserve"> be waived. Otherwise, th</w:t>
      </w:r>
      <w:r w:rsidR="008C19B9">
        <w:t>e</w:t>
      </w:r>
      <w:r w:rsidRPr="005053F9" w:rsidR="005053F9">
        <w:t xml:space="preserve"> proceeding w</w:t>
      </w:r>
      <w:r w:rsidR="008C19B9">
        <w:t>ould</w:t>
      </w:r>
      <w:r w:rsidRPr="005053F9" w:rsidR="005053F9">
        <w:t xml:space="preserve"> be processed as a request for </w:t>
      </w:r>
      <w:r w:rsidR="00AF6412">
        <w:t>non-facilities-based</w:t>
      </w:r>
      <w:r w:rsidRPr="005053F9" w:rsidR="005053F9">
        <w:t>, fixed interconnected VoIP.</w:t>
      </w:r>
    </w:p>
    <w:p w:rsidR="008C19B9" w:rsidP="00635688" w:rsidRDefault="008C19B9" w14:paraId="59EDDFB2" w14:textId="77777777">
      <w:pPr>
        <w:pStyle w:val="Standard"/>
      </w:pPr>
      <w:r>
        <w:t xml:space="preserve">On </w:t>
      </w:r>
      <w:r w:rsidR="00BE4C42">
        <w:t xml:space="preserve">December 10, 2024, </w:t>
      </w:r>
      <w:proofErr w:type="spellStart"/>
      <w:r w:rsidRPr="00BE4C42" w:rsidR="00BE4C42">
        <w:t>WaveStreet</w:t>
      </w:r>
      <w:proofErr w:type="spellEnd"/>
      <w:r w:rsidRPr="00BE4C42" w:rsidR="00BE4C42">
        <w:t xml:space="preserve"> </w:t>
      </w:r>
      <w:r w:rsidR="00E52AC9">
        <w:t>respon</w:t>
      </w:r>
      <w:r w:rsidR="00417825">
        <w:t xml:space="preserve">ded to the Service List that its proposed </w:t>
      </w:r>
      <w:r w:rsidRPr="00BE4C42" w:rsidR="00BE4C42">
        <w:t>service does not qualify for a Nomadic Registration as outlined in D.24-11-003</w:t>
      </w:r>
      <w:r w:rsidR="00417825">
        <w:t>.</w:t>
      </w:r>
    </w:p>
    <w:p w:rsidR="00C6446C" w:rsidP="00635688" w:rsidRDefault="00BA4903" w14:paraId="15AB9C3D" w14:textId="77777777">
      <w:pPr>
        <w:pStyle w:val="Standard"/>
      </w:pPr>
      <w:r>
        <w:lastRenderedPageBreak/>
        <w:t xml:space="preserve">On January </w:t>
      </w:r>
      <w:r w:rsidR="00305167">
        <w:t>22</w:t>
      </w:r>
      <w:r>
        <w:t xml:space="preserve">, 2025, </w:t>
      </w:r>
      <w:r w:rsidR="007D576C">
        <w:t xml:space="preserve">the assigned ALJ issued a ruling requesting </w:t>
      </w:r>
      <w:proofErr w:type="spellStart"/>
      <w:r w:rsidR="00C52E1B">
        <w:t>WaveStreet</w:t>
      </w:r>
      <w:proofErr w:type="spellEnd"/>
      <w:r w:rsidR="00C52E1B">
        <w:t xml:space="preserve"> to clarify </w:t>
      </w:r>
      <w:r w:rsidR="00F23B53">
        <w:t xml:space="preserve">whether they are exempt from the requirement to file a tariff, and if they are not exempt, </w:t>
      </w:r>
      <w:r w:rsidR="00311EAD">
        <w:t>to file and serve a tariff for Commission review.</w:t>
      </w:r>
    </w:p>
    <w:p w:rsidR="00BA4903" w:rsidP="00635688" w:rsidRDefault="00C6446C" w14:paraId="73958B33" w14:textId="77777777">
      <w:pPr>
        <w:pStyle w:val="Standard"/>
      </w:pPr>
      <w:r>
        <w:t>On Januar</w:t>
      </w:r>
      <w:r w:rsidR="000F6163">
        <w:t xml:space="preserve">y 28, 2025, </w:t>
      </w:r>
      <w:proofErr w:type="spellStart"/>
      <w:r w:rsidR="000F6163">
        <w:t>WaveStreet</w:t>
      </w:r>
      <w:proofErr w:type="spellEnd"/>
      <w:r w:rsidR="000F6163">
        <w:t xml:space="preserve"> filed and serve</w:t>
      </w:r>
      <w:r w:rsidR="00B8014A">
        <w:t>d a response</w:t>
      </w:r>
      <w:r w:rsidR="000F6163">
        <w:t xml:space="preserve"> to the January 22, 2025</w:t>
      </w:r>
      <w:r w:rsidR="009A05AD">
        <w:t>,</w:t>
      </w:r>
      <w:r w:rsidR="00B8014A">
        <w:t xml:space="preserve"> ALJ ruling that </w:t>
      </w:r>
      <w:r w:rsidR="00FE33CE">
        <w:t xml:space="preserve">stated their </w:t>
      </w:r>
      <w:r w:rsidR="005C4B0A">
        <w:t xml:space="preserve">proposed </w:t>
      </w:r>
      <w:r w:rsidR="00FE33CE">
        <w:t>services</w:t>
      </w:r>
      <w:r w:rsidR="005C4B0A">
        <w:t xml:space="preserve"> are exempt from the requirement to file a tariff.</w:t>
      </w:r>
    </w:p>
    <w:p w:rsidR="00333216" w:rsidP="00333216" w:rsidRDefault="00333216" w14:paraId="4B0A28D3" w14:textId="77777777">
      <w:pPr>
        <w:pStyle w:val="Heading1"/>
        <w:rPr>
          <w:rFonts w:cs="Arial"/>
        </w:rPr>
      </w:pPr>
      <w:bookmarkStart w:name="_Toc192843047" w:id="10"/>
      <w:r w:rsidRPr="008F52A6">
        <w:t>Submission</w:t>
      </w:r>
      <w:r>
        <w:rPr>
          <w:rFonts w:cs="Arial"/>
        </w:rPr>
        <w:t xml:space="preserve"> Date</w:t>
      </w:r>
      <w:bookmarkEnd w:id="10"/>
    </w:p>
    <w:p w:rsidRPr="00333216" w:rsidR="00333216" w:rsidP="009156C6" w:rsidRDefault="00333216" w14:paraId="5FCD05E2" w14:textId="77777777">
      <w:pPr>
        <w:pStyle w:val="Standard"/>
      </w:pPr>
      <w:r w:rsidRPr="4372617A">
        <w:rPr>
          <w:rFonts w:eastAsiaTheme="minorEastAsia"/>
          <w:szCs w:val="26"/>
        </w:rPr>
        <w:t xml:space="preserve">This matter was submitted on </w:t>
      </w:r>
      <w:r w:rsidR="004C5687">
        <w:rPr>
          <w:rFonts w:eastAsiaTheme="minorEastAsia"/>
          <w:szCs w:val="26"/>
        </w:rPr>
        <w:t xml:space="preserve">January </w:t>
      </w:r>
      <w:r w:rsidR="005C4B0A">
        <w:rPr>
          <w:rFonts w:eastAsiaTheme="minorEastAsia"/>
          <w:szCs w:val="26"/>
        </w:rPr>
        <w:t>28</w:t>
      </w:r>
      <w:r w:rsidR="000A04E5">
        <w:rPr>
          <w:rFonts w:eastAsiaTheme="minorEastAsia"/>
          <w:szCs w:val="26"/>
        </w:rPr>
        <w:t>, 202</w:t>
      </w:r>
      <w:r w:rsidR="004C5687">
        <w:rPr>
          <w:rFonts w:eastAsiaTheme="minorEastAsia"/>
          <w:szCs w:val="26"/>
        </w:rPr>
        <w:t>5</w:t>
      </w:r>
      <w:r w:rsidR="0036199D">
        <w:rPr>
          <w:rFonts w:eastAsiaTheme="minorEastAsia"/>
          <w:szCs w:val="26"/>
        </w:rPr>
        <w:t>,</w:t>
      </w:r>
      <w:r w:rsidRPr="00C15219">
        <w:rPr>
          <w:rFonts w:eastAsiaTheme="minorEastAsia"/>
          <w:szCs w:val="26"/>
        </w:rPr>
        <w:t xml:space="preserve"> </w:t>
      </w:r>
      <w:r w:rsidRPr="4372617A">
        <w:rPr>
          <w:rFonts w:eastAsiaTheme="minorEastAsia"/>
          <w:szCs w:val="26"/>
        </w:rPr>
        <w:t>upon</w:t>
      </w:r>
      <w:r w:rsidRPr="00C15219">
        <w:rPr>
          <w:rFonts w:eastAsiaTheme="minorEastAsia"/>
          <w:szCs w:val="26"/>
        </w:rPr>
        <w:t xml:space="preserve"> </w:t>
      </w:r>
      <w:proofErr w:type="spellStart"/>
      <w:r w:rsidRPr="00C15219" w:rsidR="000A04E5">
        <w:rPr>
          <w:rFonts w:eastAsiaTheme="minorEastAsia"/>
          <w:szCs w:val="26"/>
        </w:rPr>
        <w:t>WaveStreet</w:t>
      </w:r>
      <w:r w:rsidRPr="00C15219" w:rsidR="00C15219">
        <w:rPr>
          <w:rFonts w:eastAsiaTheme="minorEastAsia"/>
          <w:szCs w:val="26"/>
        </w:rPr>
        <w:t>’s</w:t>
      </w:r>
      <w:proofErr w:type="spellEnd"/>
      <w:r w:rsidRPr="00C15219" w:rsidR="00C15219">
        <w:rPr>
          <w:rFonts w:eastAsiaTheme="minorEastAsia"/>
          <w:szCs w:val="26"/>
        </w:rPr>
        <w:t xml:space="preserve"> response </w:t>
      </w:r>
      <w:r w:rsidR="005D158E">
        <w:rPr>
          <w:rFonts w:eastAsiaTheme="minorEastAsia"/>
          <w:szCs w:val="26"/>
        </w:rPr>
        <w:t xml:space="preserve">to </w:t>
      </w:r>
      <w:r w:rsidR="00D25A74">
        <w:rPr>
          <w:rFonts w:eastAsiaTheme="minorEastAsia"/>
          <w:szCs w:val="26"/>
        </w:rPr>
        <w:t xml:space="preserve">the assigned ALJ’s </w:t>
      </w:r>
      <w:r w:rsidR="00B64582">
        <w:rPr>
          <w:rFonts w:eastAsiaTheme="minorEastAsia"/>
          <w:szCs w:val="26"/>
        </w:rPr>
        <w:t xml:space="preserve">January </w:t>
      </w:r>
      <w:r w:rsidR="005C4B0A">
        <w:rPr>
          <w:rFonts w:eastAsiaTheme="minorEastAsia"/>
          <w:szCs w:val="26"/>
        </w:rPr>
        <w:t>22</w:t>
      </w:r>
      <w:r w:rsidR="00B64582">
        <w:rPr>
          <w:rFonts w:eastAsiaTheme="minorEastAsia"/>
          <w:szCs w:val="26"/>
        </w:rPr>
        <w:t xml:space="preserve">, 2025, </w:t>
      </w:r>
      <w:r w:rsidR="00D25A74">
        <w:rPr>
          <w:rFonts w:eastAsiaTheme="minorEastAsia"/>
          <w:szCs w:val="26"/>
        </w:rPr>
        <w:t>ruling</w:t>
      </w:r>
      <w:r w:rsidRPr="4372617A">
        <w:rPr>
          <w:color w:val="0000FF"/>
        </w:rPr>
        <w:t>.</w:t>
      </w:r>
    </w:p>
    <w:p w:rsidRPr="00F95F67" w:rsidR="00F95F67" w:rsidP="008F52A6" w:rsidRDefault="00F95F67" w14:paraId="5767AA22" w14:textId="77777777">
      <w:pPr>
        <w:pStyle w:val="Heading1"/>
      </w:pPr>
      <w:bookmarkStart w:name="_Toc8123719" w:id="11"/>
      <w:bookmarkStart w:name="_Toc133843848" w:id="12"/>
      <w:bookmarkStart w:name="_Toc192843048" w:id="13"/>
      <w:r>
        <w:t xml:space="preserve">Issues Before the </w:t>
      </w:r>
      <w:bookmarkEnd w:id="11"/>
      <w:r>
        <w:t>Commission</w:t>
      </w:r>
      <w:bookmarkEnd w:id="12"/>
      <w:bookmarkEnd w:id="13"/>
    </w:p>
    <w:p w:rsidR="0068757E" w:rsidP="009156C6" w:rsidRDefault="0068757E" w14:paraId="3EF6BDEF" w14:textId="77777777">
      <w:pPr>
        <w:pStyle w:val="Standard"/>
        <w:rPr>
          <w:color w:val="000000" w:themeColor="text1"/>
        </w:rPr>
      </w:pPr>
      <w:bookmarkStart w:name="_Hlk183523006" w:id="14"/>
      <w:r w:rsidRPr="0068757E">
        <w:rPr>
          <w:color w:val="000000" w:themeColor="text1"/>
        </w:rPr>
        <w:t xml:space="preserve">The issue in this proceeding </w:t>
      </w:r>
      <w:r w:rsidR="00767777">
        <w:rPr>
          <w:color w:val="000000" w:themeColor="text1"/>
        </w:rPr>
        <w:t>is</w:t>
      </w:r>
      <w:r w:rsidRPr="0068757E">
        <w:rPr>
          <w:color w:val="000000" w:themeColor="text1"/>
        </w:rPr>
        <w:t xml:space="preserve"> as follows:</w:t>
      </w:r>
    </w:p>
    <w:p w:rsidRPr="0068757E" w:rsidR="007B67C7" w:rsidP="00A12A67" w:rsidRDefault="007B67C7" w14:paraId="1AE13CAA" w14:textId="77777777">
      <w:pPr>
        <w:pStyle w:val="standard0"/>
        <w:numPr>
          <w:ilvl w:val="0"/>
          <w:numId w:val="12"/>
        </w:numPr>
        <w:spacing w:after="120" w:line="240" w:lineRule="auto"/>
        <w:ind w:right="1440"/>
        <w:rPr>
          <w:rFonts w:ascii="Book Antiqua" w:hAnsi="Book Antiqua"/>
          <w:color w:val="000000" w:themeColor="text1"/>
        </w:rPr>
      </w:pPr>
      <w:r w:rsidRPr="007B67C7">
        <w:rPr>
          <w:rFonts w:ascii="Book Antiqua" w:hAnsi="Book Antiqua"/>
          <w:color w:val="000000" w:themeColor="text1"/>
        </w:rPr>
        <w:t xml:space="preserve">Whether </w:t>
      </w:r>
      <w:proofErr w:type="spellStart"/>
      <w:r w:rsidRPr="007B67C7">
        <w:rPr>
          <w:rFonts w:ascii="Book Antiqua" w:hAnsi="Book Antiqua"/>
          <w:color w:val="000000" w:themeColor="text1"/>
        </w:rPr>
        <w:t>WaveStreet</w:t>
      </w:r>
      <w:proofErr w:type="spellEnd"/>
      <w:r w:rsidRPr="007B67C7">
        <w:rPr>
          <w:rFonts w:ascii="Book Antiqua" w:hAnsi="Book Antiqua"/>
          <w:color w:val="000000" w:themeColor="text1"/>
        </w:rPr>
        <w:t xml:space="preserve"> meets all of the Commission requirements, including but not limited to financial, technical, and California Environmental Quality Act requirements for a non-dominant interexchange carrier within the State of California?</w:t>
      </w:r>
    </w:p>
    <w:p w:rsidRPr="00A21194" w:rsidR="00333352" w:rsidP="008F52A6" w:rsidRDefault="00333352" w14:paraId="4DE0FA22" w14:textId="77777777">
      <w:pPr>
        <w:pStyle w:val="Heading1"/>
      </w:pPr>
      <w:bookmarkStart w:name="_Toc192843049" w:id="15"/>
      <w:bookmarkEnd w:id="14"/>
      <w:r w:rsidRPr="00333216">
        <w:t>Jurisdiction</w:t>
      </w:r>
      <w:bookmarkEnd w:id="15"/>
    </w:p>
    <w:p w:rsidRPr="006A2B22" w:rsidR="00A21194" w:rsidP="009156C6" w:rsidRDefault="00A21194" w14:paraId="4AE8C2EB" w14:textId="77777777">
      <w:pPr>
        <w:pStyle w:val="Standard"/>
        <w:rPr>
          <w:color w:val="000000"/>
          <w:szCs w:val="26"/>
          <w:shd w:val="clear" w:color="auto" w:fill="FFFFFF"/>
        </w:rPr>
      </w:pPr>
      <w:r w:rsidRPr="009156C6">
        <w:rPr>
          <w:color w:val="000000"/>
        </w:rPr>
        <w:t>The</w:t>
      </w:r>
      <w:r w:rsidRPr="00145411">
        <w:rPr>
          <w:szCs w:val="26"/>
        </w:rPr>
        <w:t xml:space="preserve"> Commission has broad jurisdiction over “public utilities</w:t>
      </w:r>
      <w:r>
        <w:rPr>
          <w:szCs w:val="26"/>
        </w:rPr>
        <w:t>,</w:t>
      </w:r>
      <w:r w:rsidRPr="00145411">
        <w:rPr>
          <w:szCs w:val="26"/>
        </w:rPr>
        <w:t>”</w:t>
      </w:r>
      <w:r w:rsidRPr="00145411">
        <w:rPr>
          <w:rStyle w:val="FootnoteReference"/>
          <w:szCs w:val="26"/>
        </w:rPr>
        <w:footnoteReference w:id="3"/>
      </w:r>
      <w:r>
        <w:rPr>
          <w:szCs w:val="26"/>
        </w:rPr>
        <w:t xml:space="preserve"> as defined in Public Utilities (Pub. Util.) Code </w:t>
      </w:r>
      <w:r w:rsidR="002F4769">
        <w:rPr>
          <w:szCs w:val="26"/>
        </w:rPr>
        <w:t>S</w:t>
      </w:r>
      <w:r>
        <w:rPr>
          <w:szCs w:val="26"/>
        </w:rPr>
        <w:t>ection 216.</w:t>
      </w:r>
      <w:r w:rsidRPr="00145411">
        <w:rPr>
          <w:rStyle w:val="FootnoteReference"/>
          <w:szCs w:val="26"/>
        </w:rPr>
        <w:footnoteReference w:id="4"/>
      </w:r>
      <w:r w:rsidRPr="00145411">
        <w:rPr>
          <w:szCs w:val="26"/>
        </w:rPr>
        <w:t xml:space="preserve">  </w:t>
      </w:r>
      <w:r w:rsidRPr="00477A18">
        <w:rPr>
          <w:szCs w:val="26"/>
        </w:rPr>
        <w:t>California’s constitution extends the Commission’s jurisdiction to companies engaged in “the transmission of telephone and telegraph messages,” which includes both public utility services and facilities</w:t>
      </w:r>
      <w:r w:rsidR="00B66EBE">
        <w:rPr>
          <w:szCs w:val="26"/>
        </w:rPr>
        <w:t>.</w:t>
      </w:r>
      <w:r w:rsidRPr="00477A18">
        <w:rPr>
          <w:rStyle w:val="FootnoteReference"/>
          <w:sz w:val="26"/>
          <w:szCs w:val="26"/>
        </w:rPr>
        <w:footnoteReference w:id="5"/>
      </w:r>
      <w:r w:rsidRPr="00477A18">
        <w:rPr>
          <w:szCs w:val="26"/>
        </w:rPr>
        <w:t xml:space="preserve"> </w:t>
      </w:r>
      <w:r>
        <w:rPr>
          <w:szCs w:val="26"/>
        </w:rPr>
        <w:t xml:space="preserve"> </w:t>
      </w:r>
      <w:r>
        <w:t xml:space="preserve">The Commission classifies entities providing two-way voice </w:t>
      </w:r>
      <w:r>
        <w:lastRenderedPageBreak/>
        <w:t>communications service for compensation within California as “telephone corporations”</w:t>
      </w:r>
      <w:r>
        <w:rPr>
          <w:rStyle w:val="FootnoteReference"/>
        </w:rPr>
        <w:footnoteReference w:id="6"/>
      </w:r>
      <w:r>
        <w:t xml:space="preserve"> and regulates them as public utilities.</w:t>
      </w:r>
      <w:r>
        <w:rPr>
          <w:rStyle w:val="FootnoteReference"/>
          <w:szCs w:val="26"/>
        </w:rPr>
        <w:footnoteReference w:id="7"/>
      </w:r>
      <w:r w:rsidRPr="0086351A">
        <w:rPr>
          <w:vertAlign w:val="superscript"/>
        </w:rPr>
        <w:t>,</w:t>
      </w:r>
      <w:r>
        <w:rPr>
          <w:rStyle w:val="FootnoteReference"/>
        </w:rPr>
        <w:footnoteReference w:id="8"/>
      </w:r>
      <w:r>
        <w:t xml:space="preserve"> </w:t>
      </w:r>
    </w:p>
    <w:p w:rsidR="00A21194" w:rsidP="009156C6" w:rsidRDefault="00A21194" w14:paraId="5E8A7FAB" w14:textId="77777777">
      <w:pPr>
        <w:pStyle w:val="Standard"/>
      </w:pPr>
      <w:r w:rsidRPr="00477A18">
        <w:rPr>
          <w:szCs w:val="26"/>
        </w:rPr>
        <w:t>As part of its regulatory authority</w:t>
      </w:r>
      <w:r>
        <w:rPr>
          <w:szCs w:val="26"/>
        </w:rPr>
        <w:t xml:space="preserve"> over “telephone corporations</w:t>
      </w:r>
      <w:r w:rsidRPr="00477A18">
        <w:rPr>
          <w:szCs w:val="26"/>
        </w:rPr>
        <w:t>,</w:t>
      </w:r>
      <w:r>
        <w:rPr>
          <w:szCs w:val="26"/>
        </w:rPr>
        <w:t>”</w:t>
      </w:r>
      <w:r w:rsidRPr="00477A18">
        <w:rPr>
          <w:szCs w:val="26"/>
        </w:rPr>
        <w:t xml:space="preserve"> the Commission authorizes certificates of public convenience and</w:t>
      </w:r>
      <w:r>
        <w:t xml:space="preserve"> necessity to “telephone corporations” seeking to construct a “line, plant, or system, or any extension thereof” in California.</w:t>
      </w:r>
      <w:r>
        <w:rPr>
          <w:rStyle w:val="FootnoteReference"/>
        </w:rPr>
        <w:footnoteReference w:id="9"/>
      </w:r>
      <w:r>
        <w:t xml:space="preserve"> Pub. Util. Code Section 233 defines a “telephone line” to include “all conduits, ducts, poles, wires, cables, instruments, and appliances, and other real estate, fixtures, and personal property owned or controlled, operated, or managed in connection with or to facilitate communication by telephone, whether such communication is had with or without the use of transmission wires.”</w:t>
      </w:r>
      <w:r w:rsidR="00510C3D">
        <w:t xml:space="preserve"> </w:t>
      </w:r>
      <w:r w:rsidRPr="00510C3D" w:rsidR="00510C3D">
        <w:t>This includes services delivered over any technology, including but not limited to, traditional copper lines, coaxial cable, fiber optic cable, and mobile or fixed wireless radios.</w:t>
      </w:r>
    </w:p>
    <w:p w:rsidRPr="004C633E" w:rsidR="003F3E04" w:rsidP="009156C6" w:rsidRDefault="003F3E04" w14:paraId="0250BC36" w14:textId="77777777">
      <w:pPr>
        <w:pStyle w:val="Standard"/>
      </w:pPr>
      <w:bookmarkStart w:name="_Hlk180076350" w:id="16"/>
      <w:bookmarkStart w:name="_Hlk183522120" w:id="17"/>
      <w:r w:rsidRPr="4372617A">
        <w:rPr>
          <w:rStyle w:val="normaltextrun"/>
          <w:color w:val="000000"/>
          <w:shd w:val="clear" w:color="auto" w:fill="FFFFFF"/>
        </w:rPr>
        <w:t xml:space="preserve">Providers of voice services, including </w:t>
      </w:r>
      <w:r w:rsidR="000427CD">
        <w:rPr>
          <w:rStyle w:val="normaltextrun"/>
          <w:color w:val="000000"/>
          <w:shd w:val="clear" w:color="auto" w:fill="FFFFFF"/>
        </w:rPr>
        <w:t xml:space="preserve">local exchange carriers, interexchange carriers, </w:t>
      </w:r>
      <w:r w:rsidRPr="4372617A">
        <w:rPr>
          <w:rStyle w:val="normaltextrun"/>
          <w:color w:val="000000"/>
          <w:shd w:val="clear" w:color="auto" w:fill="FFFFFF"/>
        </w:rPr>
        <w:t xml:space="preserve"> and interconnected VoIP service</w:t>
      </w:r>
      <w:r w:rsidR="000427CD">
        <w:rPr>
          <w:rStyle w:val="normaltextrun"/>
          <w:color w:val="000000"/>
          <w:shd w:val="clear" w:color="auto" w:fill="FFFFFF"/>
        </w:rPr>
        <w:t xml:space="preserve"> providers</w:t>
      </w:r>
      <w:r w:rsidRPr="4372617A">
        <w:rPr>
          <w:rStyle w:val="normaltextrun"/>
          <w:color w:val="000000"/>
          <w:shd w:val="clear" w:color="auto" w:fill="FFFFFF"/>
        </w:rPr>
        <w:t>, are telephone corporations subject to the Commission’s jurisdiction.</w:t>
      </w:r>
      <w:r w:rsidRPr="4372617A">
        <w:rPr>
          <w:rStyle w:val="FootnoteReference"/>
          <w:color w:val="000000"/>
          <w:shd w:val="clear" w:color="auto" w:fill="FFFFFF"/>
        </w:rPr>
        <w:footnoteReference w:id="10"/>
      </w:r>
      <w:r w:rsidRPr="4372617A">
        <w:rPr>
          <w:rStyle w:val="normaltextrun"/>
          <w:color w:val="000000"/>
          <w:shd w:val="clear" w:color="auto" w:fill="FFFFFF"/>
        </w:rPr>
        <w:t xml:space="preserve"> Providers of </w:t>
      </w:r>
      <w:r w:rsidR="000427CD">
        <w:rPr>
          <w:rStyle w:val="normaltextrun"/>
          <w:color w:val="000000"/>
          <w:shd w:val="clear" w:color="auto" w:fill="FFFFFF"/>
        </w:rPr>
        <w:t>local exchange, interexchange,</w:t>
      </w:r>
      <w:r w:rsidRPr="4372617A">
        <w:rPr>
          <w:rStyle w:val="normaltextrun"/>
          <w:color w:val="000000"/>
          <w:shd w:val="clear" w:color="auto" w:fill="FFFFFF"/>
        </w:rPr>
        <w:t xml:space="preserve"> and fixed interconnected VoIP </w:t>
      </w:r>
      <w:r w:rsidR="00212A6D">
        <w:rPr>
          <w:rStyle w:val="normaltextrun"/>
          <w:color w:val="000000"/>
          <w:shd w:val="clear" w:color="auto" w:fill="FFFFFF"/>
        </w:rPr>
        <w:t xml:space="preserve">services </w:t>
      </w:r>
      <w:r w:rsidRPr="4372617A">
        <w:rPr>
          <w:rStyle w:val="normaltextrun"/>
          <w:color w:val="000000"/>
          <w:shd w:val="clear" w:color="auto" w:fill="FFFFFF"/>
        </w:rPr>
        <w:t>must obtain a CPCN or 1013 registration license to operate in California.</w:t>
      </w:r>
      <w:r w:rsidRPr="4372617A">
        <w:rPr>
          <w:rStyle w:val="FootnoteReference"/>
          <w:color w:val="000000"/>
          <w:shd w:val="clear" w:color="auto" w:fill="FFFFFF"/>
        </w:rPr>
        <w:footnoteReference w:id="11"/>
      </w:r>
      <w:r w:rsidRPr="4372617A">
        <w:rPr>
          <w:rStyle w:val="normaltextrun"/>
          <w:color w:val="000000"/>
          <w:shd w:val="clear" w:color="auto" w:fill="FFFFFF"/>
        </w:rPr>
        <w:t xml:space="preserve"> Providers of only nomadic interconnected VoIP are subject to the Commission’s jurisdiction for rules of general applicability and preempted from licensing requirements that act </w:t>
      </w:r>
      <w:r w:rsidRPr="4372617A">
        <w:rPr>
          <w:rStyle w:val="normaltextrun"/>
          <w:color w:val="000000"/>
          <w:shd w:val="clear" w:color="auto" w:fill="FFFFFF"/>
        </w:rPr>
        <w:lastRenderedPageBreak/>
        <w:t>as barriers to market entry; these providers must obtain a nomadic registration to operate in California.</w:t>
      </w:r>
      <w:r w:rsidRPr="4372617A">
        <w:rPr>
          <w:rStyle w:val="FootnoteReference"/>
          <w:color w:val="000000"/>
          <w:shd w:val="clear" w:color="auto" w:fill="FFFFFF"/>
        </w:rPr>
        <w:footnoteReference w:id="12"/>
      </w:r>
      <w:bookmarkEnd w:id="16"/>
    </w:p>
    <w:bookmarkEnd w:id="17"/>
    <w:p w:rsidR="00393E48" w:rsidP="009156C6" w:rsidRDefault="009436CB" w14:paraId="6E51051C" w14:textId="77777777">
      <w:pPr>
        <w:pStyle w:val="Standard"/>
      </w:pPr>
      <w:proofErr w:type="spellStart"/>
      <w:r w:rsidRPr="000031DA">
        <w:rPr>
          <w:rStyle w:val="normaltextrun"/>
          <w:color w:val="000000"/>
          <w:shd w:val="clear" w:color="auto" w:fill="FFFFFF"/>
        </w:rPr>
        <w:t>WaveStreet</w:t>
      </w:r>
      <w:proofErr w:type="spellEnd"/>
      <w:r w:rsidRPr="000031DA" w:rsidR="00393E48">
        <w:rPr>
          <w:rStyle w:val="normaltextrun"/>
          <w:color w:val="000000"/>
          <w:shd w:val="clear" w:color="auto" w:fill="FFFFFF"/>
        </w:rPr>
        <w:t xml:space="preserve"> proposes to provide</w:t>
      </w:r>
      <w:r w:rsidRPr="000031DA" w:rsidR="00F71DDD">
        <w:rPr>
          <w:rStyle w:val="normaltextrun"/>
          <w:color w:val="000000"/>
          <w:shd w:val="clear" w:color="auto" w:fill="FFFFFF"/>
        </w:rPr>
        <w:t xml:space="preserve"> </w:t>
      </w:r>
      <w:r w:rsidR="006C5031">
        <w:rPr>
          <w:rStyle w:val="normaltextrun"/>
          <w:color w:val="000000"/>
          <w:shd w:val="clear" w:color="auto" w:fill="FFFFFF"/>
        </w:rPr>
        <w:t xml:space="preserve">fixed </w:t>
      </w:r>
      <w:r w:rsidRPr="000031DA" w:rsidR="00F71DDD">
        <w:rPr>
          <w:rStyle w:val="normaltextrun"/>
          <w:color w:val="000000"/>
          <w:shd w:val="clear" w:color="auto" w:fill="FFFFFF"/>
        </w:rPr>
        <w:t>interconnected VoIP service</w:t>
      </w:r>
      <w:r w:rsidR="006C5031">
        <w:rPr>
          <w:rStyle w:val="normaltextrun"/>
          <w:color w:val="000000"/>
          <w:shd w:val="clear" w:color="auto" w:fill="FFFFFF"/>
        </w:rPr>
        <w:t>s</w:t>
      </w:r>
      <w:r w:rsidRPr="000031DA" w:rsidR="00F71DDD">
        <w:rPr>
          <w:rStyle w:val="normaltextrun"/>
          <w:color w:val="000000"/>
          <w:shd w:val="clear" w:color="auto" w:fill="FFFFFF"/>
        </w:rPr>
        <w:t xml:space="preserve"> to commercial customers to supplement their current product offerings</w:t>
      </w:r>
      <w:r w:rsidRPr="000031DA" w:rsidR="000031DA">
        <w:rPr>
          <w:rStyle w:val="normaltextrun"/>
          <w:color w:val="000000"/>
          <w:shd w:val="clear" w:color="auto" w:fill="FFFFFF"/>
        </w:rPr>
        <w:t>.</w:t>
      </w:r>
      <w:r w:rsidRPr="000031DA" w:rsidR="00393E48">
        <w:rPr>
          <w:rStyle w:val="normaltextrun"/>
          <w:color w:val="000000"/>
          <w:shd w:val="clear" w:color="auto" w:fill="FFFFFF"/>
        </w:rPr>
        <w:t xml:space="preserve"> </w:t>
      </w:r>
      <w:proofErr w:type="spellStart"/>
      <w:r w:rsidRPr="000031DA" w:rsidR="000031DA">
        <w:rPr>
          <w:rStyle w:val="normaltextrun"/>
          <w:color w:val="000000"/>
          <w:shd w:val="clear" w:color="auto" w:fill="FFFFFF"/>
        </w:rPr>
        <w:t>WaveStreet</w:t>
      </w:r>
      <w:proofErr w:type="spellEnd"/>
      <w:r w:rsidRPr="000031DA" w:rsidR="000031DA">
        <w:rPr>
          <w:rStyle w:val="normaltextrun"/>
          <w:color w:val="000000"/>
          <w:shd w:val="clear" w:color="auto" w:fill="FFFFFF"/>
        </w:rPr>
        <w:t xml:space="preserve"> </w:t>
      </w:r>
      <w:r w:rsidRPr="000031DA" w:rsidR="00393E48">
        <w:rPr>
          <w:rStyle w:val="normaltextrun"/>
          <w:color w:val="000000"/>
          <w:shd w:val="clear" w:color="auto" w:fill="FFFFFF"/>
        </w:rPr>
        <w:t>is</w:t>
      </w:r>
      <w:r w:rsidRPr="4372617A" w:rsidR="00393E48">
        <w:t xml:space="preserve"> a telephone corporation and a public utility subject to the Commission’s jurisdiction.</w:t>
      </w:r>
    </w:p>
    <w:p w:rsidRPr="003E48C0" w:rsidR="00EF321F" w:rsidP="004A46A6" w:rsidRDefault="00795486" w14:paraId="353DE46F" w14:textId="77777777">
      <w:pPr>
        <w:pStyle w:val="Heading1"/>
        <w:rPr>
          <w:rFonts w:cs="Arial"/>
        </w:rPr>
      </w:pPr>
      <w:bookmarkStart w:name="_Toc335049171" w:id="18"/>
      <w:bookmarkStart w:name="_Toc192843050" w:id="19"/>
      <w:r>
        <w:rPr>
          <w:rFonts w:cs="Arial"/>
        </w:rPr>
        <w:t xml:space="preserve">Proposed Construction and </w:t>
      </w:r>
      <w:r w:rsidRPr="003E48C0" w:rsidR="00EF321F">
        <w:rPr>
          <w:rFonts w:cs="Arial"/>
        </w:rPr>
        <w:t>California Environmental Quality Act (CEQA)</w:t>
      </w:r>
      <w:bookmarkEnd w:id="18"/>
      <w:r>
        <w:rPr>
          <w:rFonts w:cs="Arial"/>
        </w:rPr>
        <w:t xml:space="preserve"> Compliance</w:t>
      </w:r>
      <w:bookmarkEnd w:id="19"/>
    </w:p>
    <w:p w:rsidR="008046CE" w:rsidP="009156C6" w:rsidRDefault="009E55F6" w14:paraId="2271380A" w14:textId="77777777">
      <w:pPr>
        <w:pStyle w:val="Standard"/>
      </w:pPr>
      <w:bookmarkStart w:name="_Hlk183522172" w:id="20"/>
      <w:proofErr w:type="spellStart"/>
      <w:r>
        <w:t>WaveStreet</w:t>
      </w:r>
      <w:proofErr w:type="spellEnd"/>
      <w:r w:rsidR="00795486">
        <w:t xml:space="preserve"> proposes to provide</w:t>
      </w:r>
      <w:r w:rsidRPr="009E55F6" w:rsidR="00795486">
        <w:t xml:space="preserve"> non-facilities-based </w:t>
      </w:r>
      <w:r w:rsidR="000101E0">
        <w:t xml:space="preserve">VoIP </w:t>
      </w:r>
      <w:r w:rsidR="00795486">
        <w:t>service</w:t>
      </w:r>
      <w:r w:rsidR="005A765C">
        <w:t>s</w:t>
      </w:r>
      <w:r w:rsidR="00795486">
        <w:t xml:space="preserve">. </w:t>
      </w:r>
      <w:bookmarkEnd w:id="20"/>
      <w:r w:rsidRPr="004768C6" w:rsidR="00EE10AE">
        <w:t xml:space="preserve">Pursuant </w:t>
      </w:r>
      <w:r w:rsidRPr="004768C6" w:rsidR="00EE10AE">
        <w:rPr>
          <w:szCs w:val="26"/>
        </w:rPr>
        <w:t xml:space="preserve">to </w:t>
      </w:r>
      <w:r w:rsidRPr="004768C6" w:rsidR="00EE10AE">
        <w:t>CEQA</w:t>
      </w:r>
      <w:r w:rsidRPr="004768C6" w:rsidR="00EE10AE">
        <w:rPr>
          <w:rStyle w:val="FootnoteReferencebyTim"/>
          <w:rFonts w:ascii="Book Antiqua" w:hAnsi="Book Antiqua"/>
        </w:rPr>
        <w:footnoteReference w:id="13"/>
      </w:r>
      <w:r w:rsidRPr="004768C6" w:rsidR="00EE10AE">
        <w:t xml:space="preserve"> and Rule</w:t>
      </w:r>
      <w:r w:rsidR="001F3BE8">
        <w:t> </w:t>
      </w:r>
      <w:r w:rsidRPr="004768C6" w:rsidR="00EE10AE">
        <w:t>2.4</w:t>
      </w:r>
      <w:r w:rsidRPr="004768C6" w:rsidR="00AC6E99">
        <w:t xml:space="preserve"> of the</w:t>
      </w:r>
      <w:r w:rsidRPr="004768C6" w:rsidR="00451B28">
        <w:t xml:space="preserve"> Commission</w:t>
      </w:r>
      <w:r w:rsidRPr="004768C6" w:rsidR="003F2108">
        <w:t>’s</w:t>
      </w:r>
      <w:r w:rsidRPr="004768C6" w:rsidR="00AC6E99">
        <w:t xml:space="preserve"> Rules of Practice and Procedure (Rules)</w:t>
      </w:r>
      <w:r w:rsidRPr="004768C6" w:rsidR="00EE10AE">
        <w:t>, the Commission acts as the designated lead agency to consider the environmental consequences of projects that are subject to</w:t>
      </w:r>
      <w:r w:rsidR="009E48B7">
        <w:t xml:space="preserve"> </w:t>
      </w:r>
      <w:r w:rsidR="005262F0">
        <w:t>the Commission’s</w:t>
      </w:r>
      <w:r w:rsidRPr="004768C6" w:rsidR="00EE10AE">
        <w:t xml:space="preserve"> approval</w:t>
      </w:r>
      <w:r w:rsidRPr="004768C6" w:rsidR="008046CE">
        <w:t xml:space="preserve"> </w:t>
      </w:r>
      <w:r w:rsidR="007B2CF5">
        <w:t>to determine any potential environmental impacts, to  avoid</w:t>
      </w:r>
      <w:r w:rsidRPr="004768C6" w:rsidR="008046CE">
        <w:t xml:space="preserve"> adverse effects, </w:t>
      </w:r>
      <w:r w:rsidR="007B2CF5">
        <w:t xml:space="preserve">investigate </w:t>
      </w:r>
      <w:r w:rsidRPr="004768C6" w:rsidR="008046CE">
        <w:t xml:space="preserve">alternatives, and </w:t>
      </w:r>
      <w:r w:rsidR="007B2CF5">
        <w:t xml:space="preserve">ensure that any affected </w:t>
      </w:r>
      <w:r w:rsidRPr="004768C6" w:rsidR="008046CE">
        <w:t xml:space="preserve">environmental </w:t>
      </w:r>
      <w:r w:rsidR="00194B03">
        <w:t xml:space="preserve">impact </w:t>
      </w:r>
      <w:r w:rsidRPr="004768C6" w:rsidR="008046CE">
        <w:t xml:space="preserve">is restored or </w:t>
      </w:r>
      <w:r w:rsidR="007B2CF5">
        <w:t>otherwise mitigated</w:t>
      </w:r>
      <w:r w:rsidRPr="004768C6" w:rsidR="008046CE">
        <w:t xml:space="preserve"> to the fullest extent possible</w:t>
      </w:r>
      <w:r w:rsidR="007B2CF5">
        <w:t xml:space="preserve"> under CEQA</w:t>
      </w:r>
      <w:r w:rsidRPr="004768C6" w:rsidR="008046CE">
        <w:t xml:space="preserve">. Since </w:t>
      </w:r>
      <w:proofErr w:type="spellStart"/>
      <w:r w:rsidRPr="003921C6" w:rsidR="003921C6">
        <w:t>WaveStreet</w:t>
      </w:r>
      <w:proofErr w:type="spellEnd"/>
      <w:r w:rsidRPr="004768C6" w:rsidR="008046CE">
        <w:t xml:space="preserve"> states that it does not intend to construct any facilities, it can be seen with certainty that there is no possibility that granting this application will have an adverse impact upon the environment.</w:t>
      </w:r>
      <w:r w:rsidR="00AA390F">
        <w:rPr>
          <w:rStyle w:val="FootnoteReference"/>
        </w:rPr>
        <w:footnoteReference w:id="14"/>
      </w:r>
      <w:r w:rsidRPr="004768C6" w:rsidR="008046CE">
        <w:t xml:space="preserve"> Before it can construct facilities, </w:t>
      </w:r>
      <w:proofErr w:type="spellStart"/>
      <w:r w:rsidRPr="003921C6" w:rsidR="00AD58E9">
        <w:t>WaveStreet</w:t>
      </w:r>
      <w:proofErr w:type="spellEnd"/>
      <w:r w:rsidRPr="004768C6" w:rsidR="008046CE">
        <w:t xml:space="preserve"> must file for additional authority and submit to any necessary CEQA review.</w:t>
      </w:r>
    </w:p>
    <w:p w:rsidRPr="004768C6" w:rsidR="004803E5" w:rsidP="009156C6" w:rsidRDefault="004803E5" w14:paraId="6C7F9692" w14:textId="77777777">
      <w:pPr>
        <w:pStyle w:val="Standard"/>
      </w:pPr>
      <w:bookmarkStart w:name="_Hlk183524174" w:id="21"/>
      <w:r>
        <w:t xml:space="preserve">Granting this CPCN </w:t>
      </w:r>
      <w:r w:rsidR="009F7D6F">
        <w:t>will benefit the</w:t>
      </w:r>
      <w:r>
        <w:t xml:space="preserve"> public interest </w:t>
      </w:r>
      <w:r w:rsidR="00B75E49">
        <w:t>by expanding the availability of technologically advanced telecommunications services within the state.</w:t>
      </w:r>
      <w:r>
        <w:t xml:space="preserve"> </w:t>
      </w:r>
    </w:p>
    <w:p w:rsidRPr="00C25ADF" w:rsidR="00EF1A50" w:rsidP="004A46A6" w:rsidRDefault="00EF1A50" w14:paraId="75C04F0E" w14:textId="77777777">
      <w:pPr>
        <w:pStyle w:val="Heading1"/>
        <w:rPr>
          <w:rFonts w:cs="Arial"/>
        </w:rPr>
      </w:pPr>
      <w:bookmarkStart w:name="_Toc335049172" w:id="22"/>
      <w:bookmarkStart w:name="_Toc192843051" w:id="23"/>
      <w:bookmarkEnd w:id="21"/>
      <w:r w:rsidRPr="00C25ADF">
        <w:rPr>
          <w:rFonts w:cs="Arial"/>
        </w:rPr>
        <w:lastRenderedPageBreak/>
        <w:t>Financial Qualifications</w:t>
      </w:r>
      <w:bookmarkEnd w:id="22"/>
      <w:bookmarkEnd w:id="23"/>
    </w:p>
    <w:p w:rsidR="000C72D8" w:rsidP="009156C6" w:rsidRDefault="00C05B72" w14:paraId="6DA5BB34" w14:textId="77777777">
      <w:pPr>
        <w:pStyle w:val="Standard"/>
        <w:rPr>
          <w:color w:val="0000FF"/>
        </w:rPr>
      </w:pPr>
      <w:r w:rsidRPr="4372617A">
        <w:rPr>
          <w:rStyle w:val="PageNumber"/>
        </w:rPr>
        <w:t>To be granted a CPCN</w:t>
      </w:r>
      <w:r w:rsidRPr="4372617A">
        <w:t xml:space="preserve"> for authority to </w:t>
      </w:r>
      <w:r w:rsidRPr="005739E6">
        <w:rPr>
          <w:rStyle w:val="PageNumber"/>
        </w:rPr>
        <w:t xml:space="preserve">provide </w:t>
      </w:r>
      <w:r w:rsidRPr="005739E6" w:rsidR="0013006F">
        <w:rPr>
          <w:rStyle w:val="PageNumber"/>
        </w:rPr>
        <w:t>non-facilities-based services</w:t>
      </w:r>
      <w:r w:rsidRPr="005739E6" w:rsidR="00380181">
        <w:rPr>
          <w:rStyle w:val="PageNumber"/>
        </w:rPr>
        <w:t xml:space="preserve">, </w:t>
      </w:r>
      <w:r w:rsidRPr="005739E6" w:rsidR="00E971A6">
        <w:rPr>
          <w:rStyle w:val="PageNumber"/>
        </w:rPr>
        <w:t>a</w:t>
      </w:r>
      <w:r w:rsidRPr="005739E6" w:rsidR="000A60D9">
        <w:rPr>
          <w:rStyle w:val="PageNumber"/>
        </w:rPr>
        <w:t xml:space="preserve"> new</w:t>
      </w:r>
      <w:r w:rsidRPr="005739E6" w:rsidR="00380181">
        <w:rPr>
          <w:rStyle w:val="PageNumber"/>
        </w:rPr>
        <w:t xml:space="preserve"> applicant</w:t>
      </w:r>
      <w:r w:rsidRPr="005739E6" w:rsidR="00E45C21">
        <w:rPr>
          <w:rStyle w:val="PageNumber"/>
        </w:rPr>
        <w:t xml:space="preserve"> </w:t>
      </w:r>
      <w:r w:rsidRPr="005739E6">
        <w:rPr>
          <w:rStyle w:val="PageNumber"/>
        </w:rPr>
        <w:t xml:space="preserve">must demonstrate that it has a minimum of </w:t>
      </w:r>
      <w:r w:rsidRPr="005739E6" w:rsidR="00AA2589">
        <w:rPr>
          <w:rStyle w:val="PageNumber"/>
        </w:rPr>
        <w:t xml:space="preserve">$25,000 </w:t>
      </w:r>
      <w:r w:rsidRPr="005739E6">
        <w:rPr>
          <w:rStyle w:val="PageNumber"/>
        </w:rPr>
        <w:t>cash or cash equivalent</w:t>
      </w:r>
      <w:r w:rsidRPr="005739E6" w:rsidR="0083182C">
        <w:rPr>
          <w:rStyle w:val="PageNumber"/>
        </w:rPr>
        <w:t>, reasonably liquid and readily available</w:t>
      </w:r>
      <w:r w:rsidRPr="005739E6">
        <w:rPr>
          <w:rStyle w:val="PageNumber"/>
        </w:rPr>
        <w:t xml:space="preserve"> to meet the firm’s start</w:t>
      </w:r>
      <w:r w:rsidRPr="005739E6" w:rsidR="00D312EE">
        <w:rPr>
          <w:rStyle w:val="PageNumber"/>
        </w:rPr>
        <w:noBreakHyphen/>
      </w:r>
      <w:r w:rsidRPr="005739E6">
        <w:rPr>
          <w:rStyle w:val="PageNumber"/>
        </w:rPr>
        <w:t>up expenses</w:t>
      </w:r>
      <w:r w:rsidRPr="4372617A">
        <w:t>.</w:t>
      </w:r>
      <w:r w:rsidRPr="00154CA2">
        <w:rPr>
          <w:rStyle w:val="FootnoteReference"/>
          <w:sz w:val="26"/>
          <w:szCs w:val="26"/>
        </w:rPr>
        <w:footnoteReference w:id="15"/>
      </w:r>
      <w:r w:rsidRPr="4372617A">
        <w:t xml:space="preserve"> </w:t>
      </w:r>
      <w:r w:rsidRPr="4372617A" w:rsidR="00B46CAC">
        <w:t xml:space="preserve">In the application, </w:t>
      </w:r>
      <w:proofErr w:type="spellStart"/>
      <w:r w:rsidRPr="003921C6" w:rsidR="00D8545A">
        <w:t>WaveStreet</w:t>
      </w:r>
      <w:proofErr w:type="spellEnd"/>
      <w:r w:rsidRPr="4372617A" w:rsidR="003B5B96">
        <w:t xml:space="preserve"> provide</w:t>
      </w:r>
      <w:r w:rsidRPr="4372617A" w:rsidR="000B303D">
        <w:t>d</w:t>
      </w:r>
      <w:r w:rsidRPr="4372617A" w:rsidR="003B5B96">
        <w:t xml:space="preserve"> </w:t>
      </w:r>
      <w:r w:rsidR="00F14C48">
        <w:t xml:space="preserve">confidential documentation </w:t>
      </w:r>
      <w:r w:rsidRPr="00341162" w:rsidR="00341162">
        <w:t xml:space="preserve">showing it had </w:t>
      </w:r>
      <w:r w:rsidRPr="4372617A" w:rsidR="005F7C73">
        <w:t>at</w:t>
      </w:r>
      <w:r w:rsidRPr="4372617A" w:rsidR="00C25ADF">
        <w:t> </w:t>
      </w:r>
      <w:r w:rsidRPr="4372617A" w:rsidR="005F7C73">
        <w:t>least</w:t>
      </w:r>
      <w:r w:rsidRPr="4372617A" w:rsidR="009C03D7">
        <w:t xml:space="preserve"> </w:t>
      </w:r>
      <w:r w:rsidRPr="00F14C48" w:rsidR="00341162">
        <w:t>$25,000</w:t>
      </w:r>
      <w:r w:rsidRPr="4372617A" w:rsidR="00926B28">
        <w:t xml:space="preserve">. </w:t>
      </w:r>
      <w:r w:rsidRPr="4372617A" w:rsidR="00405FBB">
        <w:t xml:space="preserve">Since </w:t>
      </w:r>
      <w:proofErr w:type="spellStart"/>
      <w:r w:rsidRPr="003921C6" w:rsidR="0038546D">
        <w:t>WaveStreet</w:t>
      </w:r>
      <w:proofErr w:type="spellEnd"/>
      <w:r w:rsidRPr="4372617A" w:rsidR="00A53795">
        <w:t xml:space="preserve"> </w:t>
      </w:r>
      <w:r w:rsidRPr="4372617A" w:rsidR="00591632">
        <w:t xml:space="preserve">has provided </w:t>
      </w:r>
      <w:r w:rsidR="001C155B">
        <w:t>bank statement</w:t>
      </w:r>
      <w:r w:rsidR="000964F5">
        <w:t>s</w:t>
      </w:r>
      <w:r w:rsidR="001C155B">
        <w:t xml:space="preserve"> showing</w:t>
      </w:r>
      <w:r w:rsidRPr="4372617A" w:rsidR="001C155B">
        <w:t xml:space="preserve"> </w:t>
      </w:r>
      <w:r w:rsidRPr="4372617A" w:rsidR="003B5B96">
        <w:t xml:space="preserve">it </w:t>
      </w:r>
      <w:r w:rsidRPr="4372617A" w:rsidR="00A53795">
        <w:t xml:space="preserve">possesses a minimum of </w:t>
      </w:r>
      <w:r w:rsidRPr="0038546D" w:rsidR="0083182C">
        <w:t>$25,000</w:t>
      </w:r>
      <w:r w:rsidRPr="4372617A" w:rsidR="0083182C">
        <w:t xml:space="preserve"> </w:t>
      </w:r>
      <w:r w:rsidRPr="4372617A" w:rsidR="00A53795">
        <w:t>that is reasonably liquid and available</w:t>
      </w:r>
      <w:r w:rsidRPr="4372617A" w:rsidR="00405FBB">
        <w:t>, it</w:t>
      </w:r>
      <w:r w:rsidRPr="4372617A" w:rsidR="00EF321F">
        <w:t xml:space="preserve"> demonstrated that it has sufficient funds to meet its start</w:t>
      </w:r>
      <w:r w:rsidRPr="0038546D" w:rsidR="00C25ADF">
        <w:noBreakHyphen/>
      </w:r>
      <w:r w:rsidRPr="4372617A" w:rsidR="00EF321F">
        <w:t>up expenses</w:t>
      </w:r>
      <w:r w:rsidRPr="4372617A" w:rsidR="00405FBB">
        <w:t xml:space="preserve"> and fulfilled this requirement</w:t>
      </w:r>
      <w:r w:rsidRPr="4372617A" w:rsidR="00EF321F">
        <w:t>.</w:t>
      </w:r>
      <w:r w:rsidRPr="4372617A" w:rsidR="0083182C">
        <w:t xml:space="preserve"> </w:t>
      </w:r>
      <w:proofErr w:type="spellStart"/>
      <w:r w:rsidRPr="003921C6" w:rsidR="0038546D">
        <w:t>WaveStreet</w:t>
      </w:r>
      <w:r w:rsidRPr="0038546D" w:rsidR="00A05702">
        <w:t>’s</w:t>
      </w:r>
      <w:proofErr w:type="spellEnd"/>
      <w:r w:rsidRPr="4372617A" w:rsidR="0083182C">
        <w:t xml:space="preserve"> financial documentation will be subject to verification and review by the Commission for one year to ensure that such funds are available.</w:t>
      </w:r>
      <w:r w:rsidRPr="4372617A" w:rsidR="000326A6">
        <w:t xml:space="preserve"> </w:t>
      </w:r>
      <w:r w:rsidRPr="4372617A" w:rsidR="00664FDC">
        <w:t xml:space="preserve">Accordingly, </w:t>
      </w:r>
      <w:proofErr w:type="spellStart"/>
      <w:r w:rsidRPr="003921C6" w:rsidR="00082FB1">
        <w:t>WaveStreet</w:t>
      </w:r>
      <w:proofErr w:type="spellEnd"/>
      <w:r w:rsidRPr="4372617A" w:rsidR="00664FDC">
        <w:t xml:space="preserve"> must demonstrate that </w:t>
      </w:r>
      <w:r w:rsidRPr="4372617A" w:rsidR="3D8C27C6">
        <w:t xml:space="preserve">it </w:t>
      </w:r>
      <w:r w:rsidRPr="4372617A" w:rsidR="00664FDC">
        <w:t xml:space="preserve">maintained at least </w:t>
      </w:r>
      <w:r w:rsidRPr="00082FB1" w:rsidR="00664FDC">
        <w:t>$25,000</w:t>
      </w:r>
      <w:r w:rsidRPr="4372617A" w:rsidR="00664FDC">
        <w:t xml:space="preserve"> that was reasonably liquid and available for its first year of operations by providing the Commission’s Communications Division with a confidential copy of its updated financial documentation at both six and 12 months from the issuance date of this decision by email to </w:t>
      </w:r>
      <w:hyperlink w:history="1" r:id="rId17">
        <w:r w:rsidRPr="4372617A" w:rsidR="00664FDC">
          <w:rPr>
            <w:rStyle w:val="Hyperlink"/>
          </w:rPr>
          <w:t>cdcompliance@cpuc.ca.gov</w:t>
        </w:r>
      </w:hyperlink>
      <w:r w:rsidRPr="4372617A" w:rsidR="00664FDC">
        <w:t>.</w:t>
      </w:r>
    </w:p>
    <w:p w:rsidRPr="000C72D8" w:rsidR="000326A6" w:rsidP="000C72D8" w:rsidRDefault="000C72D8" w14:paraId="0A0BA21F" w14:textId="77777777">
      <w:pPr>
        <w:pStyle w:val="standard0"/>
        <w:rPr>
          <w:rFonts w:ascii="Book Antiqua" w:hAnsi="Book Antiqua"/>
        </w:rPr>
      </w:pPr>
      <w:r w:rsidRPr="4372617A">
        <w:rPr>
          <w:rFonts w:ascii="Book Antiqua" w:hAnsi="Book Antiqua"/>
        </w:rPr>
        <w:t xml:space="preserve">In addition to demonstrating financial fitness, </w:t>
      </w:r>
      <w:proofErr w:type="spellStart"/>
      <w:r w:rsidRPr="003921C6">
        <w:t>WaveStreet</w:t>
      </w:r>
      <w:proofErr w:type="spellEnd"/>
      <w:r w:rsidRPr="4372617A">
        <w:rPr>
          <w:rFonts w:ascii="Book Antiqua" w:hAnsi="Book Antiqua"/>
          <w:b/>
          <w:bCs/>
          <w:color w:val="0000FF"/>
        </w:rPr>
        <w:t xml:space="preserve"> </w:t>
      </w:r>
      <w:r w:rsidRPr="4372617A">
        <w:rPr>
          <w:rFonts w:ascii="Book Antiqua" w:hAnsi="Book Antiqua"/>
        </w:rPr>
        <w:t>must also demonstrate it has</w:t>
      </w:r>
      <w:r>
        <w:rPr>
          <w:rFonts w:ascii="Book Antiqua" w:hAnsi="Book Antiqua"/>
        </w:rPr>
        <w:t xml:space="preserve"> an additional</w:t>
      </w:r>
      <w:r w:rsidRPr="4372617A">
        <w:rPr>
          <w:rFonts w:ascii="Book Antiqua" w:hAnsi="Book Antiqua"/>
        </w:rPr>
        <w:t xml:space="preserve"> </w:t>
      </w:r>
      <w:bookmarkStart w:name="_Hlk146873886" w:id="24"/>
      <w:r w:rsidRPr="4372617A">
        <w:rPr>
          <w:rFonts w:ascii="Book Antiqua" w:hAnsi="Book Antiqua"/>
        </w:rPr>
        <w:t>$25,000 available for deposits</w:t>
      </w:r>
      <w:r>
        <w:rPr>
          <w:rFonts w:ascii="Book Antiqua" w:hAnsi="Book Antiqua"/>
        </w:rPr>
        <w:t xml:space="preserve"> to interconnect with local exchange carriers</w:t>
      </w:r>
      <w:bookmarkEnd w:id="24"/>
      <w:r w:rsidRPr="4372617A">
        <w:rPr>
          <w:rFonts w:ascii="Book Antiqua" w:hAnsi="Book Antiqua"/>
        </w:rPr>
        <w:t xml:space="preserve">. Since </w:t>
      </w:r>
      <w:proofErr w:type="spellStart"/>
      <w:r w:rsidRPr="003921C6">
        <w:t>WaveStreet</w:t>
      </w:r>
      <w:proofErr w:type="spellEnd"/>
      <w:r w:rsidRPr="4372617A">
        <w:rPr>
          <w:rFonts w:ascii="Book Antiqua" w:hAnsi="Book Antiqua"/>
          <w:b/>
          <w:bCs/>
          <w:color w:val="0000FF"/>
        </w:rPr>
        <w:t xml:space="preserve"> </w:t>
      </w:r>
      <w:r w:rsidRPr="4372617A">
        <w:rPr>
          <w:rFonts w:ascii="Book Antiqua" w:hAnsi="Book Antiqua"/>
        </w:rPr>
        <w:t xml:space="preserve">provided documentation of its ability to pay deposits in </w:t>
      </w:r>
      <w:r w:rsidR="006E093B">
        <w:rPr>
          <w:rFonts w:ascii="Book Antiqua" w:hAnsi="Book Antiqua"/>
        </w:rPr>
        <w:t>its confidential bank statements</w:t>
      </w:r>
      <w:r w:rsidR="00C43E83">
        <w:rPr>
          <w:rFonts w:ascii="Book Antiqua" w:hAnsi="Book Antiqua"/>
        </w:rPr>
        <w:t xml:space="preserve">, </w:t>
      </w:r>
      <w:r w:rsidRPr="4372617A">
        <w:rPr>
          <w:rFonts w:ascii="Book Antiqua" w:hAnsi="Book Antiqua"/>
        </w:rPr>
        <w:t>it has met its deposit requirement.</w:t>
      </w:r>
    </w:p>
    <w:p w:rsidRPr="00425E29" w:rsidR="00EF1A50" w:rsidP="004A46A6" w:rsidRDefault="00EF1A50" w14:paraId="7B5725D9" w14:textId="77777777">
      <w:pPr>
        <w:pStyle w:val="Heading1"/>
        <w:rPr>
          <w:rFonts w:cs="Arial"/>
        </w:rPr>
      </w:pPr>
      <w:bookmarkStart w:name="_Toc335049173" w:id="25"/>
      <w:bookmarkStart w:name="_Toc192843052" w:id="26"/>
      <w:r w:rsidRPr="00425E29">
        <w:rPr>
          <w:rFonts w:cs="Arial"/>
        </w:rPr>
        <w:t>Technical Qualifications</w:t>
      </w:r>
      <w:bookmarkEnd w:id="25"/>
      <w:bookmarkEnd w:id="26"/>
      <w:r w:rsidRPr="00425E29">
        <w:rPr>
          <w:rFonts w:cs="Arial"/>
        </w:rPr>
        <w:t xml:space="preserve"> </w:t>
      </w:r>
    </w:p>
    <w:p w:rsidRPr="00425E29" w:rsidR="00EF1A50" w:rsidP="009156C6" w:rsidRDefault="00EF1A50" w14:paraId="5953E493" w14:textId="77777777">
      <w:pPr>
        <w:pStyle w:val="Standard"/>
        <w:rPr>
          <w:szCs w:val="26"/>
        </w:rPr>
      </w:pPr>
      <w:r w:rsidRPr="4372617A">
        <w:t xml:space="preserve">To be granted a CPCN for authority to provide </w:t>
      </w:r>
      <w:r w:rsidRPr="001841D6" w:rsidR="00607E4D">
        <w:t>fixed interconnected VoIP</w:t>
      </w:r>
      <w:r w:rsidRPr="4372617A">
        <w:t xml:space="preserve">, an </w:t>
      </w:r>
      <w:r w:rsidRPr="4372617A" w:rsidR="00166D2D">
        <w:t>applicant</w:t>
      </w:r>
      <w:r w:rsidRPr="4372617A">
        <w:t xml:space="preserve"> must make a reasonable showing of </w:t>
      </w:r>
      <w:r w:rsidRPr="4372617A" w:rsidR="00520E6A">
        <w:t xml:space="preserve">managerial and </w:t>
      </w:r>
      <w:r w:rsidRPr="4372617A">
        <w:t xml:space="preserve">technical </w:t>
      </w:r>
      <w:r w:rsidRPr="4372617A">
        <w:lastRenderedPageBreak/>
        <w:t>expertise in telecommunications or a related business.</w:t>
      </w:r>
      <w:r w:rsidRPr="00425E29" w:rsidR="00BA5594">
        <w:rPr>
          <w:rStyle w:val="FootnoteReference"/>
          <w:sz w:val="26"/>
          <w:szCs w:val="26"/>
        </w:rPr>
        <w:footnoteReference w:id="16"/>
      </w:r>
      <w:r w:rsidRPr="4372617A">
        <w:t xml:space="preserve"> </w:t>
      </w:r>
      <w:proofErr w:type="spellStart"/>
      <w:r w:rsidRPr="00D318CF" w:rsidR="00036C44">
        <w:t>WaveStreet</w:t>
      </w:r>
      <w:proofErr w:type="spellEnd"/>
      <w:r w:rsidRPr="4372617A" w:rsidR="0060486D">
        <w:t xml:space="preserve"> </w:t>
      </w:r>
      <w:r w:rsidRPr="4372617A">
        <w:t>supplied biographical information on its management</w:t>
      </w:r>
      <w:r w:rsidRPr="4372617A" w:rsidR="00FB7E02">
        <w:t xml:space="preserve"> in </w:t>
      </w:r>
      <w:r w:rsidR="001C1DE2">
        <w:rPr>
          <w:color w:val="000000"/>
        </w:rPr>
        <w:t>Attachment C of</w:t>
      </w:r>
      <w:r w:rsidRPr="4372617A" w:rsidR="00FB7E02">
        <w:t xml:space="preserve"> its application</w:t>
      </w:r>
      <w:r w:rsidRPr="4372617A">
        <w:t xml:space="preserve"> that </w:t>
      </w:r>
      <w:r w:rsidRPr="4372617A" w:rsidR="00FB7E02">
        <w:t>demonstrate</w:t>
      </w:r>
      <w:r w:rsidRPr="4372617A" w:rsidR="00065B01">
        <w:t>s</w:t>
      </w:r>
      <w:r w:rsidRPr="4372617A" w:rsidR="00FB7E02">
        <w:t xml:space="preserve"> </w:t>
      </w:r>
      <w:r w:rsidRPr="4372617A">
        <w:t>it has sufficient expertise and training to</w:t>
      </w:r>
      <w:r w:rsidRPr="4372617A" w:rsidR="00425E29">
        <w:t xml:space="preserve"> </w:t>
      </w:r>
      <w:r w:rsidRPr="4372617A">
        <w:t>operate as a telecommunications provider.</w:t>
      </w:r>
    </w:p>
    <w:p w:rsidRPr="005F72F7" w:rsidR="005F72F7" w:rsidP="005F72F7" w:rsidRDefault="005F72F7" w14:paraId="0274C73A" w14:textId="77777777">
      <w:pPr>
        <w:pStyle w:val="Heading1"/>
        <w:rPr>
          <w:rFonts w:cs="Arial"/>
        </w:rPr>
      </w:pPr>
      <w:bookmarkStart w:name="_Toc192843053" w:id="27"/>
      <w:r>
        <w:rPr>
          <w:rFonts w:cs="Arial"/>
        </w:rPr>
        <w:t>Certification Requirements</w:t>
      </w:r>
      <w:bookmarkEnd w:id="27"/>
      <w:r w:rsidRPr="00425E29">
        <w:rPr>
          <w:rFonts w:cs="Arial"/>
        </w:rPr>
        <w:t xml:space="preserve"> </w:t>
      </w:r>
    </w:p>
    <w:p w:rsidRPr="00425E29" w:rsidR="0039283C" w:rsidP="009156C6" w:rsidRDefault="00400039" w14:paraId="550BBE28" w14:textId="77777777">
      <w:pPr>
        <w:pStyle w:val="Standard"/>
        <w:rPr>
          <w:b/>
          <w:szCs w:val="26"/>
        </w:rPr>
      </w:pPr>
      <w:r w:rsidRPr="00425E29">
        <w:rPr>
          <w:szCs w:val="26"/>
        </w:rPr>
        <w:t xml:space="preserve">In its </w:t>
      </w:r>
      <w:r w:rsidRPr="00425E29" w:rsidR="00514C0A">
        <w:rPr>
          <w:szCs w:val="26"/>
        </w:rPr>
        <w:t>application</w:t>
      </w:r>
      <w:r w:rsidRPr="00425E29">
        <w:rPr>
          <w:szCs w:val="26"/>
        </w:rPr>
        <w:t xml:space="preserve">, </w:t>
      </w:r>
      <w:proofErr w:type="spellStart"/>
      <w:r w:rsidRPr="00D318CF" w:rsidR="00D318CF">
        <w:t>WaveStreet</w:t>
      </w:r>
      <w:proofErr w:type="spellEnd"/>
      <w:r w:rsidRPr="00425E29" w:rsidR="00EF1A50">
        <w:rPr>
          <w:szCs w:val="26"/>
        </w:rPr>
        <w:t xml:space="preserve"> </w:t>
      </w:r>
      <w:r w:rsidRPr="00425E29" w:rsidR="00714E78">
        <w:rPr>
          <w:szCs w:val="26"/>
        </w:rPr>
        <w:t>verified</w:t>
      </w:r>
      <w:r w:rsidRPr="00425E29" w:rsidR="00B46CAC">
        <w:rPr>
          <w:szCs w:val="26"/>
        </w:rPr>
        <w:t xml:space="preserve"> </w:t>
      </w:r>
      <w:r w:rsidRPr="00425E29" w:rsidR="00EF1A50">
        <w:rPr>
          <w:szCs w:val="26"/>
        </w:rPr>
        <w:t xml:space="preserve">that no one associated with or employed by </w:t>
      </w:r>
      <w:proofErr w:type="spellStart"/>
      <w:r w:rsidRPr="00D318CF" w:rsidR="00D318CF">
        <w:t>WaveStreet</w:t>
      </w:r>
      <w:proofErr w:type="spellEnd"/>
      <w:r w:rsidRPr="00425E29" w:rsidR="00EF1A50">
        <w:rPr>
          <w:szCs w:val="26"/>
        </w:rPr>
        <w:t xml:space="preserve"> as an affiliate, officer, director, partner, or owner of more</w:t>
      </w:r>
      <w:r w:rsidRPr="00425E29" w:rsidR="00425E29">
        <w:rPr>
          <w:szCs w:val="26"/>
        </w:rPr>
        <w:t> </w:t>
      </w:r>
      <w:r w:rsidRPr="00425E29" w:rsidR="00EF1A50">
        <w:rPr>
          <w:szCs w:val="26"/>
        </w:rPr>
        <w:t>than 10</w:t>
      </w:r>
      <w:r w:rsidRPr="00425E29" w:rsidR="00425E29">
        <w:rPr>
          <w:szCs w:val="26"/>
        </w:rPr>
        <w:t> </w:t>
      </w:r>
      <w:r w:rsidRPr="00425E29" w:rsidR="008F50E0">
        <w:rPr>
          <w:szCs w:val="26"/>
        </w:rPr>
        <w:t>percent</w:t>
      </w:r>
      <w:r w:rsidRPr="00425E29" w:rsidR="00EF1A50">
        <w:rPr>
          <w:szCs w:val="26"/>
        </w:rPr>
        <w:t xml:space="preserve"> of </w:t>
      </w:r>
      <w:proofErr w:type="spellStart"/>
      <w:r w:rsidRPr="00D318CF" w:rsidR="00D318CF">
        <w:t>WaveStreet</w:t>
      </w:r>
      <w:proofErr w:type="spellEnd"/>
      <w:r w:rsidRPr="00425E29" w:rsidR="00913079">
        <w:rPr>
          <w:szCs w:val="26"/>
        </w:rPr>
        <w:t xml:space="preserve">, or anyone acting in a management capacity for </w:t>
      </w:r>
      <w:proofErr w:type="spellStart"/>
      <w:r w:rsidRPr="00D318CF" w:rsidR="00D318CF">
        <w:t>WaveStreet</w:t>
      </w:r>
      <w:proofErr w:type="spellEnd"/>
    </w:p>
    <w:p w:rsidRPr="00425E29" w:rsidR="0039283C" w:rsidP="005011CA" w:rsidRDefault="0039283C" w14:paraId="3E8AE651" w14:textId="77777777">
      <w:pPr>
        <w:pStyle w:val="BlockQuote"/>
        <w:rPr>
          <w:szCs w:val="26"/>
        </w:rPr>
      </w:pPr>
      <w:r w:rsidRPr="4372617A">
        <w:t>(a)</w:t>
      </w:r>
      <w:r w:rsidRPr="4372617A" w:rsidR="00425E29">
        <w:t> </w:t>
      </w:r>
      <w:r w:rsidRPr="4372617A" w:rsidR="004F13D6">
        <w:t>held one of these positions with a company that filed for bankruptcy; (b)</w:t>
      </w:r>
      <w:r w:rsidRPr="4372617A" w:rsidR="00425E29">
        <w:t> </w:t>
      </w:r>
      <w:r w:rsidRPr="4372617A" w:rsidR="004F13D6">
        <w:t>been personally found liable, or held one of these positions with a company that has been found liable, for fraud, dishonesty, failure to disclose, or misrepresentations to consumers or others; (c)</w:t>
      </w:r>
      <w:r w:rsidRPr="4372617A" w:rsidR="00425E29">
        <w:t> </w:t>
      </w:r>
      <w:r w:rsidRPr="4372617A" w:rsidR="004F13D6">
        <w:t>been convicted of a felony; (d)</w:t>
      </w:r>
      <w:r w:rsidRPr="4372617A" w:rsidR="00425E29">
        <w:t> </w:t>
      </w:r>
      <w:r w:rsidRPr="4372617A" w:rsidR="004F13D6">
        <w:t xml:space="preserve">been </w:t>
      </w:r>
      <w:r w:rsidRPr="4372617A" w:rsidR="00270FF7">
        <w:t xml:space="preserve">(to his/her knowledge) </w:t>
      </w:r>
      <w:r w:rsidRPr="4372617A" w:rsidR="004F13D6">
        <w:t>the subject of a criminal referral by judge or public agency; (e)</w:t>
      </w:r>
      <w:r w:rsidRPr="4372617A" w:rsidR="00425E29">
        <w:t> </w:t>
      </w:r>
      <w:r w:rsidRPr="4372617A" w:rsidR="004F13D6">
        <w:t>had a telecommunications license or operating authority denied, suspended, revoked, or limited in any jurisdiction; (f)</w:t>
      </w:r>
      <w:r w:rsidRPr="4372617A" w:rsidR="00425E29">
        <w:t> </w:t>
      </w:r>
      <w:r w:rsidRPr="4372617A" w:rsidR="004F13D6">
        <w:t xml:space="preserve">personally entered into a settlement, or held one of these positions with a company that has entered into settlement of criminal or civil claims involving violations of </w:t>
      </w:r>
      <w:r w:rsidRPr="4372617A" w:rsidR="00E12872">
        <w:t>[</w:t>
      </w:r>
      <w:r w:rsidRPr="4372617A" w:rsidR="00425E29">
        <w:t>S</w:t>
      </w:r>
      <w:r w:rsidRPr="4372617A" w:rsidR="002501AA">
        <w:t>ections</w:t>
      </w:r>
      <w:r w:rsidRPr="4372617A" w:rsidR="00E12872">
        <w:t>]</w:t>
      </w:r>
      <w:r w:rsidRPr="4372617A" w:rsidR="008F50E0">
        <w:t xml:space="preserve"> </w:t>
      </w:r>
      <w:r w:rsidRPr="4372617A" w:rsidR="004F13D6">
        <w:t>17000</w:t>
      </w:r>
      <w:r w:rsidRPr="4372617A" w:rsidR="00425E29">
        <w:t> </w:t>
      </w:r>
      <w:r w:rsidRPr="4372617A" w:rsidR="004F13D6">
        <w:rPr>
          <w:i/>
          <w:iCs/>
        </w:rPr>
        <w:t>et</w:t>
      </w:r>
      <w:r w:rsidRPr="4372617A" w:rsidR="00425E29">
        <w:rPr>
          <w:i/>
          <w:iCs/>
        </w:rPr>
        <w:t> </w:t>
      </w:r>
      <w:r w:rsidRPr="4372617A" w:rsidR="004F13D6">
        <w:rPr>
          <w:i/>
          <w:iCs/>
        </w:rPr>
        <w:t>seq.,</w:t>
      </w:r>
      <w:r w:rsidRPr="4372617A" w:rsidR="004F13D6">
        <w:t xml:space="preserve"> </w:t>
      </w:r>
      <w:r w:rsidRPr="4372617A" w:rsidR="00E12872">
        <w:t>[</w:t>
      </w:r>
      <w:r w:rsidRPr="4372617A" w:rsidR="00425E29">
        <w:t>S</w:t>
      </w:r>
      <w:r w:rsidRPr="4372617A" w:rsidR="002501AA">
        <w:t>ections</w:t>
      </w:r>
      <w:r w:rsidRPr="4372617A" w:rsidR="00E12872">
        <w:t>]</w:t>
      </w:r>
      <w:r w:rsidRPr="4372617A" w:rsidR="008F50E0">
        <w:t> </w:t>
      </w:r>
      <w:r w:rsidRPr="4372617A" w:rsidR="004F13D6">
        <w:t>17200</w:t>
      </w:r>
      <w:r w:rsidRPr="4372617A" w:rsidR="00425E29">
        <w:t> </w:t>
      </w:r>
      <w:r w:rsidRPr="4372617A" w:rsidR="004F13D6">
        <w:rPr>
          <w:i/>
          <w:iCs/>
        </w:rPr>
        <w:t>et</w:t>
      </w:r>
      <w:r w:rsidRPr="4372617A" w:rsidR="00425E29">
        <w:rPr>
          <w:i/>
          <w:iCs/>
        </w:rPr>
        <w:t> </w:t>
      </w:r>
      <w:r w:rsidRPr="4372617A" w:rsidR="004F13D6">
        <w:rPr>
          <w:i/>
          <w:iCs/>
        </w:rPr>
        <w:t>seq</w:t>
      </w:r>
      <w:r w:rsidRPr="4372617A" w:rsidR="004F13D6">
        <w:t>., or</w:t>
      </w:r>
      <w:r w:rsidRPr="4372617A" w:rsidR="002501AA">
        <w:t xml:space="preserve"> </w:t>
      </w:r>
      <w:r w:rsidRPr="4372617A" w:rsidR="00E12872">
        <w:t>[</w:t>
      </w:r>
      <w:r w:rsidRPr="4372617A" w:rsidR="00425E29">
        <w:t>S</w:t>
      </w:r>
      <w:r w:rsidRPr="4372617A" w:rsidR="002501AA">
        <w:t>ections</w:t>
      </w:r>
      <w:r w:rsidRPr="4372617A" w:rsidR="00E12872">
        <w:t>]</w:t>
      </w:r>
      <w:r w:rsidRPr="4372617A" w:rsidR="00425E29">
        <w:t> </w:t>
      </w:r>
      <w:r w:rsidRPr="4372617A" w:rsidR="004F13D6">
        <w:t xml:space="preserve">17500 </w:t>
      </w:r>
      <w:r w:rsidRPr="4372617A" w:rsidR="004F13D6">
        <w:rPr>
          <w:i/>
          <w:iCs/>
        </w:rPr>
        <w:t>et</w:t>
      </w:r>
      <w:r w:rsidRPr="4372617A" w:rsidR="00425E29">
        <w:rPr>
          <w:i/>
          <w:iCs/>
        </w:rPr>
        <w:t> </w:t>
      </w:r>
      <w:r w:rsidRPr="4372617A" w:rsidR="004F13D6">
        <w:rPr>
          <w:i/>
          <w:iCs/>
        </w:rPr>
        <w:t>seq</w:t>
      </w:r>
      <w:r w:rsidRPr="4372617A" w:rsidR="004F13D6">
        <w:t>. of the California Business &amp; Professions Code, or of any other statute, regulation, or decisional law relating to fraud, dishonesty, failure to disclose, or misrepresentations to consumers or others; or (g)</w:t>
      </w:r>
      <w:r w:rsidRPr="4372617A" w:rsidR="00425E29">
        <w:t> </w:t>
      </w:r>
      <w:r w:rsidRPr="4372617A" w:rsidR="004F13D6">
        <w:t>been found to have violated any statute, law, or rule pertaining to public utilities or other regulated industries;</w:t>
      </w:r>
      <w:r w:rsidRPr="4372617A" w:rsidR="00F11F31">
        <w:t xml:space="preserve"> or</w:t>
      </w:r>
      <w:r w:rsidRPr="4372617A" w:rsidR="004F13D6">
        <w:t xml:space="preserve"> (h)</w:t>
      </w:r>
      <w:r w:rsidRPr="4372617A" w:rsidR="00425E29">
        <w:t> </w:t>
      </w:r>
      <w:r w:rsidRPr="4372617A" w:rsidR="004F13D6">
        <w:t>entered into any settlement agreements or made any voluntary payments or agreed to any other type of monetary forfeitures in resolution of any action by any regulatory body, agency, or attorney general</w:t>
      </w:r>
      <w:r w:rsidRPr="4372617A" w:rsidR="00DB246D">
        <w:t>.</w:t>
      </w:r>
      <w:r w:rsidRPr="00425E29" w:rsidR="00991DDA">
        <w:rPr>
          <w:rStyle w:val="FootnoteReference"/>
          <w:sz w:val="26"/>
          <w:szCs w:val="26"/>
        </w:rPr>
        <w:footnoteReference w:id="17"/>
      </w:r>
      <w:r w:rsidRPr="4372617A">
        <w:t xml:space="preserve"> </w:t>
      </w:r>
    </w:p>
    <w:p w:rsidRPr="003564DB" w:rsidR="00591632" w:rsidP="005011CA" w:rsidRDefault="00DB246D" w14:paraId="71B27D7A" w14:textId="77777777">
      <w:pPr>
        <w:pStyle w:val="Standard"/>
        <w:spacing w:before="180"/>
        <w:rPr>
          <w:rFonts w:cs="BookAntiqua"/>
        </w:rPr>
      </w:pPr>
      <w:bookmarkStart w:name="_Hlk146809291" w:id="28"/>
      <w:r w:rsidRPr="4372617A">
        <w:lastRenderedPageBreak/>
        <w:t xml:space="preserve">Also, to the best of </w:t>
      </w:r>
      <w:proofErr w:type="spellStart"/>
      <w:r w:rsidRPr="00D318CF" w:rsidR="002932E3">
        <w:t>WaveStreet</w:t>
      </w:r>
      <w:r w:rsidRPr="4372617A">
        <w:t>’s</w:t>
      </w:r>
      <w:proofErr w:type="spellEnd"/>
      <w:r w:rsidRPr="4372617A">
        <w:t xml:space="preserve"> knowledge, neither </w:t>
      </w:r>
      <w:proofErr w:type="spellStart"/>
      <w:r w:rsidRPr="00D318CF" w:rsidR="002932E3">
        <w:t>WaveStreet</w:t>
      </w:r>
      <w:proofErr w:type="spellEnd"/>
      <w:r w:rsidRPr="4372617A">
        <w:t xml:space="preserve">, </w:t>
      </w:r>
      <w:r w:rsidRPr="4372617A" w:rsidR="00326BEB">
        <w:t>n</w:t>
      </w:r>
      <w:r w:rsidRPr="4372617A">
        <w:t>or any affiliate, officer, director, partner, nor owner of more</w:t>
      </w:r>
      <w:r w:rsidRPr="4372617A" w:rsidR="00FF6028">
        <w:t> </w:t>
      </w:r>
      <w:r w:rsidRPr="4372617A">
        <w:t>than 10</w:t>
      </w:r>
      <w:r w:rsidRPr="4372617A" w:rsidR="00FF6028">
        <w:t> percent</w:t>
      </w:r>
      <w:r w:rsidRPr="4372617A">
        <w:t xml:space="preserve"> of </w:t>
      </w:r>
      <w:proofErr w:type="spellStart"/>
      <w:r w:rsidRPr="00D318CF" w:rsidR="002932E3">
        <w:t>WaveStreet</w:t>
      </w:r>
      <w:proofErr w:type="spellEnd"/>
      <w:r w:rsidRPr="4372617A">
        <w:t>, or any person acting in such capacity whether or not formally appointed,</w:t>
      </w:r>
      <w:r w:rsidRPr="4372617A" w:rsidR="004F13D6">
        <w:t xml:space="preserve"> is being, or has been investigated by the Federal Communications Commission or any law enforcement or regulatory agency for failure to comply with any law, rule or order.</w:t>
      </w:r>
      <w:r w:rsidRPr="00425E29" w:rsidR="00B0375A">
        <w:rPr>
          <w:rStyle w:val="FootnoteReference"/>
          <w:rFonts w:cs="BookAntiqua"/>
          <w:sz w:val="26"/>
          <w:szCs w:val="26"/>
        </w:rPr>
        <w:footnoteReference w:id="18"/>
      </w:r>
      <w:bookmarkEnd w:id="28"/>
      <w:r w:rsidRPr="4372617A" w:rsidR="003564DB">
        <w:rPr>
          <w:rFonts w:cs="BookAntiqua"/>
        </w:rPr>
        <w:t xml:space="preserve">  </w:t>
      </w:r>
      <w:r w:rsidRPr="4372617A" w:rsidR="001D7047">
        <w:t xml:space="preserve">For the </w:t>
      </w:r>
      <w:r w:rsidRPr="4372617A" w:rsidR="00D2479F">
        <w:t>foregoing reasons</w:t>
      </w:r>
      <w:r w:rsidRPr="4372617A" w:rsidR="00591632">
        <w:t xml:space="preserve">, </w:t>
      </w:r>
      <w:r w:rsidRPr="4372617A" w:rsidR="004D14BB">
        <w:t>th</w:t>
      </w:r>
      <w:r w:rsidRPr="4372617A" w:rsidR="006069F9">
        <w:t>is</w:t>
      </w:r>
      <w:r w:rsidRPr="4372617A" w:rsidR="00591632">
        <w:t xml:space="preserve"> </w:t>
      </w:r>
      <w:r w:rsidRPr="4372617A" w:rsidR="006069F9">
        <w:t>decision</w:t>
      </w:r>
      <w:r w:rsidRPr="4372617A" w:rsidR="004D14BB">
        <w:t xml:space="preserve"> </w:t>
      </w:r>
      <w:r w:rsidRPr="4372617A" w:rsidR="00591632">
        <w:t>find</w:t>
      </w:r>
      <w:r w:rsidRPr="4372617A" w:rsidR="004D14BB">
        <w:t>s</w:t>
      </w:r>
      <w:r w:rsidRPr="4372617A" w:rsidR="00591632">
        <w:t xml:space="preserve"> </w:t>
      </w:r>
      <w:r w:rsidRPr="4372617A" w:rsidR="00591632">
        <w:rPr>
          <w:rFonts w:cs="Arial"/>
        </w:rPr>
        <w:t xml:space="preserve">that </w:t>
      </w:r>
      <w:proofErr w:type="spellStart"/>
      <w:r w:rsidRPr="00D318CF" w:rsidR="002932E3">
        <w:t>WaveStreet</w:t>
      </w:r>
      <w:proofErr w:type="spellEnd"/>
      <w:r w:rsidRPr="4372617A" w:rsidR="00591632">
        <w:rPr>
          <w:rFonts w:cs="Arial"/>
        </w:rPr>
        <w:t xml:space="preserve"> </w:t>
      </w:r>
      <w:r w:rsidRPr="4372617A" w:rsidR="00C448AA">
        <w:rPr>
          <w:rFonts w:cs="Arial"/>
        </w:rPr>
        <w:t xml:space="preserve">is in compliance with the </w:t>
      </w:r>
      <w:r w:rsidRPr="4372617A" w:rsidR="00BA5594">
        <w:rPr>
          <w:rFonts w:cs="Arial"/>
        </w:rPr>
        <w:t>requirements</w:t>
      </w:r>
      <w:r w:rsidRPr="4372617A" w:rsidR="00157F2D">
        <w:rPr>
          <w:rFonts w:cs="Arial"/>
        </w:rPr>
        <w:t xml:space="preserve"> of D.</w:t>
      </w:r>
      <w:r w:rsidRPr="4372617A" w:rsidR="00CD2F5C">
        <w:rPr>
          <w:rFonts w:cs="Arial"/>
        </w:rPr>
        <w:t>13</w:t>
      </w:r>
      <w:r w:rsidR="00FF6028">
        <w:rPr>
          <w:rFonts w:cs="Arial"/>
          <w:szCs w:val="26"/>
        </w:rPr>
        <w:noBreakHyphen/>
      </w:r>
      <w:r w:rsidRPr="4372617A" w:rsidR="00CD2F5C">
        <w:rPr>
          <w:rFonts w:cs="Arial"/>
        </w:rPr>
        <w:t>05</w:t>
      </w:r>
      <w:r w:rsidR="00FF6028">
        <w:rPr>
          <w:rFonts w:cs="Arial"/>
          <w:szCs w:val="26"/>
        </w:rPr>
        <w:noBreakHyphen/>
      </w:r>
      <w:r w:rsidRPr="4372617A" w:rsidR="00157F2D">
        <w:rPr>
          <w:rFonts w:cs="Arial"/>
        </w:rPr>
        <w:t>0</w:t>
      </w:r>
      <w:r w:rsidRPr="4372617A" w:rsidR="00CD2F5C">
        <w:rPr>
          <w:rFonts w:cs="Arial"/>
        </w:rPr>
        <w:t>35</w:t>
      </w:r>
      <w:r w:rsidRPr="4372617A" w:rsidR="00B665B7">
        <w:rPr>
          <w:rFonts w:cs="Arial"/>
        </w:rPr>
        <w:t xml:space="preserve"> and D.24</w:t>
      </w:r>
      <w:r w:rsidR="00562223">
        <w:rPr>
          <w:rFonts w:cs="Arial"/>
        </w:rPr>
        <w:noBreakHyphen/>
      </w:r>
      <w:r w:rsidRPr="4372617A" w:rsidR="00B665B7">
        <w:rPr>
          <w:rFonts w:cs="Arial"/>
        </w:rPr>
        <w:t>11</w:t>
      </w:r>
      <w:r w:rsidR="00562223">
        <w:rPr>
          <w:rFonts w:cs="Arial"/>
        </w:rPr>
        <w:noBreakHyphen/>
      </w:r>
      <w:r w:rsidRPr="4372617A" w:rsidR="00B665B7">
        <w:rPr>
          <w:rFonts w:cs="Arial"/>
        </w:rPr>
        <w:t>0</w:t>
      </w:r>
      <w:r w:rsidRPr="4372617A" w:rsidR="2B2E13D8">
        <w:rPr>
          <w:rFonts w:cs="Arial"/>
        </w:rPr>
        <w:t>03</w:t>
      </w:r>
      <w:r w:rsidRPr="4372617A" w:rsidR="00BA5594">
        <w:rPr>
          <w:rFonts w:cs="Arial"/>
        </w:rPr>
        <w:t>.</w:t>
      </w:r>
    </w:p>
    <w:p w:rsidRPr="007A6236" w:rsidR="00EF1A50" w:rsidP="004A46A6" w:rsidRDefault="00EF1A50" w14:paraId="6784992B" w14:textId="77777777">
      <w:pPr>
        <w:pStyle w:val="Heading1"/>
        <w:rPr>
          <w:rFonts w:cs="Arial"/>
        </w:rPr>
      </w:pPr>
      <w:bookmarkStart w:name="_Toc335049174" w:id="29"/>
      <w:bookmarkStart w:name="_Toc192843054" w:id="30"/>
      <w:r w:rsidRPr="007A6236">
        <w:rPr>
          <w:rFonts w:cs="Arial"/>
        </w:rPr>
        <w:t>Tariffs</w:t>
      </w:r>
      <w:bookmarkEnd w:id="29"/>
      <w:bookmarkEnd w:id="30"/>
    </w:p>
    <w:p w:rsidRPr="007A6236" w:rsidR="005C52EC" w:rsidP="009156C6" w:rsidRDefault="00E87C88" w14:paraId="64F4FD88" w14:textId="77777777">
      <w:pPr>
        <w:pStyle w:val="Standard"/>
      </w:pPr>
      <w:bookmarkStart w:name="_Hlk183523289" w:id="31"/>
      <w:r w:rsidRPr="007A6236">
        <w:t xml:space="preserve">CLECs, </w:t>
      </w:r>
      <w:r w:rsidR="00B40250">
        <w:t>Interexchange Carriers</w:t>
      </w:r>
      <w:r w:rsidRPr="007A6236">
        <w:t>, and fixed interconnected VoIP providers</w:t>
      </w:r>
      <w:r w:rsidRPr="007A6236" w:rsidR="003D6A45">
        <w:t xml:space="preserve"> requesting</w:t>
      </w:r>
      <w:r w:rsidRPr="007A6236" w:rsidR="00A56223">
        <w:t xml:space="preserve"> </w:t>
      </w:r>
      <w:proofErr w:type="spellStart"/>
      <w:r w:rsidRPr="007A6236" w:rsidR="00A56223">
        <w:t>detariffed</w:t>
      </w:r>
      <w:proofErr w:type="spellEnd"/>
      <w:r w:rsidRPr="007A6236" w:rsidR="00A56223">
        <w:t xml:space="preserve"> status and may be exempt from the requirement to file tariffs provided </w:t>
      </w:r>
      <w:r w:rsidRPr="007A6236">
        <w:t>they</w:t>
      </w:r>
      <w:r w:rsidRPr="007A6236" w:rsidR="00A56223">
        <w:t xml:space="preserve"> </w:t>
      </w:r>
      <w:r w:rsidRPr="007A6236" w:rsidR="003D6A45">
        <w:t>do not provide basic service</w:t>
      </w:r>
      <w:r w:rsidRPr="007A6236" w:rsidR="00A56223">
        <w:t xml:space="preserve"> </w:t>
      </w:r>
      <w:r w:rsidRPr="007A6236" w:rsidR="009F4BF3">
        <w:t>as defined by</w:t>
      </w:r>
      <w:r w:rsidRPr="007A6236" w:rsidR="003D6A45">
        <w:t xml:space="preserve"> D.12-12-038 and compl</w:t>
      </w:r>
      <w:r w:rsidRPr="007A6236" w:rsidR="006E094D">
        <w:t>y</w:t>
      </w:r>
      <w:r w:rsidRPr="007A6236" w:rsidR="003D6A45">
        <w:t xml:space="preserve"> </w:t>
      </w:r>
      <w:r w:rsidRPr="007A6236" w:rsidR="00A56223">
        <w:t>with the consumer protection rules identified in D.98</w:t>
      </w:r>
      <w:r w:rsidRPr="007A6236" w:rsidR="00FF6028">
        <w:noBreakHyphen/>
      </w:r>
      <w:r w:rsidRPr="007A6236" w:rsidR="00A56223">
        <w:t>08</w:t>
      </w:r>
      <w:r w:rsidRPr="007A6236" w:rsidR="00FF6028">
        <w:noBreakHyphen/>
      </w:r>
      <w:r w:rsidRPr="007A6236" w:rsidR="00A56223">
        <w:t xml:space="preserve">031. </w:t>
      </w:r>
      <w:bookmarkEnd w:id="31"/>
      <w:proofErr w:type="spellStart"/>
      <w:r w:rsidRPr="007A6236" w:rsidR="007A6236">
        <w:t>WaveStreet</w:t>
      </w:r>
      <w:proofErr w:type="spellEnd"/>
      <w:r w:rsidRPr="007A6236" w:rsidR="00A56223">
        <w:t xml:space="preserve"> </w:t>
      </w:r>
      <w:r w:rsidRPr="007A6236" w:rsidR="005C52EC">
        <w:t xml:space="preserve">indicated it </w:t>
      </w:r>
      <w:r w:rsidRPr="007A6236" w:rsidR="00A56223">
        <w:t xml:space="preserve">will </w:t>
      </w:r>
      <w:r w:rsidRPr="007A6236" w:rsidR="003357E9">
        <w:t xml:space="preserve">not </w:t>
      </w:r>
      <w:r w:rsidRPr="007A6236" w:rsidR="00A56223">
        <w:t xml:space="preserve">offer </w:t>
      </w:r>
      <w:r w:rsidRPr="007A6236" w:rsidR="00C73413">
        <w:t>services that require a tarif</w:t>
      </w:r>
      <w:r w:rsidRPr="007A6236" w:rsidR="001D0E05">
        <w:t>f or schedule</w:t>
      </w:r>
      <w:r w:rsidRPr="007A6236" w:rsidR="00C73413">
        <w:t xml:space="preserve"> </w:t>
      </w:r>
      <w:r w:rsidRPr="007A6236" w:rsidR="00F168FA">
        <w:t xml:space="preserve">and therefore </w:t>
      </w:r>
      <w:proofErr w:type="spellStart"/>
      <w:r w:rsidRPr="007A6236" w:rsidR="00F168FA">
        <w:t>detariffed</w:t>
      </w:r>
      <w:proofErr w:type="spellEnd"/>
      <w:r w:rsidRPr="007A6236" w:rsidR="00F168FA">
        <w:t xml:space="preserve"> status is granted</w:t>
      </w:r>
      <w:r w:rsidRPr="007A6236" w:rsidR="00A56223">
        <w:t>.</w:t>
      </w:r>
    </w:p>
    <w:p w:rsidRPr="005011CA" w:rsidR="00C619E9" w:rsidP="009156C6" w:rsidRDefault="00C619E9" w14:paraId="25AF2E5D" w14:textId="77777777">
      <w:pPr>
        <w:pStyle w:val="Standard"/>
        <w:rPr>
          <w:i/>
          <w:iCs/>
        </w:rPr>
      </w:pPr>
      <w:r w:rsidRPr="007A6236">
        <w:t xml:space="preserve">In the future, if </w:t>
      </w:r>
      <w:proofErr w:type="spellStart"/>
      <w:r w:rsidRPr="007A6236" w:rsidR="007A6236">
        <w:t>WaveStreet</w:t>
      </w:r>
      <w:proofErr w:type="spellEnd"/>
      <w:r w:rsidRPr="007A6236">
        <w:t xml:space="preserve"> decides to offer services that require a tariff or schedule, such as basic service, Applicant must submit proposed tariffs and/or user guides to the Commission’s Communications Division </w:t>
      </w:r>
      <w:r w:rsidRPr="007A6236" w:rsidR="00F41B4A">
        <w:t>by</w:t>
      </w:r>
      <w:r w:rsidRPr="007A6236">
        <w:t xml:space="preserve"> Tier 2 Advice Letter using the </w:t>
      </w:r>
      <w:r w:rsidRPr="005011CA">
        <w:t>General Order </w:t>
      </w:r>
      <w:r w:rsidR="00F615B7">
        <w:t>(GO) </w:t>
      </w:r>
      <w:r w:rsidRPr="005011CA">
        <w:t>96B advice letter process at least 30 days before initiation of service.</w:t>
      </w:r>
      <w:r w:rsidRPr="005011CA" w:rsidR="008A3E0F">
        <w:rPr>
          <w:rStyle w:val="FootnoteReference"/>
        </w:rPr>
        <w:footnoteReference w:id="19"/>
      </w:r>
      <w:r w:rsidRPr="005011CA">
        <w:t xml:space="preserve"> </w:t>
      </w:r>
    </w:p>
    <w:p w:rsidRPr="005011CA" w:rsidR="001C16FA" w:rsidP="00F615B7" w:rsidRDefault="001C16FA" w14:paraId="4C926519" w14:textId="77777777">
      <w:pPr>
        <w:pStyle w:val="Heading1"/>
        <w:rPr>
          <w:rFonts w:ascii="Book Antiqua" w:hAnsi="Book Antiqua"/>
          <w:b w:val="0"/>
          <w:i/>
          <w:szCs w:val="26"/>
        </w:rPr>
      </w:pPr>
      <w:bookmarkStart w:name="_Toc335049175" w:id="32"/>
      <w:bookmarkStart w:name="_Toc192843055" w:id="33"/>
      <w:r w:rsidRPr="005011CA">
        <w:t>Service Territory</w:t>
      </w:r>
      <w:bookmarkEnd w:id="32"/>
      <w:r w:rsidRPr="005011CA" w:rsidR="0014772B">
        <w:t xml:space="preserve"> and Map Requirement</w:t>
      </w:r>
      <w:r w:rsidRPr="005011CA" w:rsidR="00003824">
        <w:t>s</w:t>
      </w:r>
      <w:bookmarkEnd w:id="33"/>
    </w:p>
    <w:p w:rsidRPr="00425020" w:rsidR="007F6E52" w:rsidP="009156C6" w:rsidRDefault="00557702" w14:paraId="273D5C94" w14:textId="77777777">
      <w:pPr>
        <w:pStyle w:val="Standard"/>
      </w:pPr>
      <w:r>
        <w:t>W</w:t>
      </w:r>
      <w:r w:rsidRPr="00425020" w:rsidR="007F6E52">
        <w:t xml:space="preserve">hen </w:t>
      </w:r>
      <w:r w:rsidRPr="00425020" w:rsidR="009F6187">
        <w:t>service</w:t>
      </w:r>
      <w:r w:rsidRPr="00425020" w:rsidR="007F6E52">
        <w:t xml:space="preserve"> is provided in small LEC territories, </w:t>
      </w:r>
      <w:r w:rsidRPr="00425020" w:rsidR="000978D7">
        <w:t>CLEC</w:t>
      </w:r>
      <w:r w:rsidRPr="00425020" w:rsidR="00610A8D">
        <w:t>s</w:t>
      </w:r>
      <w:r w:rsidRPr="00425020" w:rsidR="00A04ABC">
        <w:t xml:space="preserve"> </w:t>
      </w:r>
      <w:r w:rsidRPr="00425020" w:rsidR="00CF5FE1">
        <w:t>and</w:t>
      </w:r>
      <w:r w:rsidRPr="00425020" w:rsidR="00A04ABC">
        <w:t xml:space="preserve"> fixed interconnected VoIP providers are required to comply with applicable rules </w:t>
      </w:r>
      <w:r w:rsidRPr="00425020" w:rsidR="00903AA2">
        <w:t xml:space="preserve">set </w:t>
      </w:r>
      <w:r w:rsidRPr="00425020" w:rsidR="00A04ABC">
        <w:t>in D.20-08-011, as</w:t>
      </w:r>
      <w:r w:rsidRPr="00425020" w:rsidR="006C1BA5">
        <w:t xml:space="preserve"> extended to VoIP </w:t>
      </w:r>
      <w:r w:rsidRPr="00425020" w:rsidR="00BB417F">
        <w:t>providers</w:t>
      </w:r>
      <w:r w:rsidRPr="00425020" w:rsidR="00A04ABC">
        <w:t xml:space="preserve"> </w:t>
      </w:r>
      <w:r w:rsidRPr="00425020" w:rsidR="00DC4339">
        <w:t>in</w:t>
      </w:r>
      <w:r w:rsidRPr="00425020" w:rsidR="00A04ABC">
        <w:t xml:space="preserve"> D.24-11-003.</w:t>
      </w:r>
      <w:r w:rsidRPr="00425020" w:rsidR="00DC4339">
        <w:t xml:space="preserve"> Since </w:t>
      </w:r>
      <w:proofErr w:type="spellStart"/>
      <w:r w:rsidR="00477223">
        <w:t>WaveStreet</w:t>
      </w:r>
      <w:proofErr w:type="spellEnd"/>
      <w:r w:rsidRPr="00425020" w:rsidR="00DC4339">
        <w:rPr>
          <w:b/>
          <w:bCs/>
          <w:color w:val="0000FF"/>
        </w:rPr>
        <w:t xml:space="preserve"> </w:t>
      </w:r>
      <w:r w:rsidRPr="00425020" w:rsidR="00DC4339">
        <w:lastRenderedPageBreak/>
        <w:t xml:space="preserve">proposes to provide </w:t>
      </w:r>
      <w:r w:rsidRPr="008F62EE" w:rsidR="00DC4339">
        <w:t xml:space="preserve">fixed interconnected VOIP </w:t>
      </w:r>
      <w:r w:rsidRPr="00425020" w:rsidR="00DC4339">
        <w:t xml:space="preserve">services </w:t>
      </w:r>
      <w:r w:rsidR="00477223">
        <w:t>throughout California</w:t>
      </w:r>
      <w:r w:rsidRPr="00425020" w:rsidR="00F11E8E">
        <w:t xml:space="preserve">, </w:t>
      </w:r>
      <w:proofErr w:type="spellStart"/>
      <w:r w:rsidR="00477223">
        <w:t>WaveStreet</w:t>
      </w:r>
      <w:proofErr w:type="spellEnd"/>
      <w:r w:rsidRPr="00425020" w:rsidR="00F11E8E">
        <w:t xml:space="preserve"> is subject to the applicable requirements in D.20-08-011</w:t>
      </w:r>
      <w:r w:rsidR="00AD699B">
        <w:t xml:space="preserve"> when operating in small LEC territories</w:t>
      </w:r>
      <w:r w:rsidRPr="00425020" w:rsidR="00F11E8E">
        <w:t>.</w:t>
      </w:r>
    </w:p>
    <w:p w:rsidRPr="0080384F" w:rsidR="009013DE" w:rsidP="004A46A6" w:rsidRDefault="009013DE" w14:paraId="78157433" w14:textId="77777777">
      <w:pPr>
        <w:pStyle w:val="Heading1"/>
        <w:rPr>
          <w:rFonts w:cs="Arial"/>
        </w:rPr>
      </w:pPr>
      <w:bookmarkStart w:name="_Toc192843056" w:id="34"/>
      <w:r w:rsidRPr="0080384F">
        <w:rPr>
          <w:rFonts w:cs="Arial"/>
        </w:rPr>
        <w:t xml:space="preserve">Request for Treatment as a </w:t>
      </w:r>
      <w:r w:rsidR="0080384F">
        <w:rPr>
          <w:rFonts w:cs="Arial"/>
        </w:rPr>
        <w:br/>
      </w:r>
      <w:r w:rsidRPr="0080384F">
        <w:rPr>
          <w:rFonts w:cs="Arial"/>
        </w:rPr>
        <w:t xml:space="preserve">Non-dominant </w:t>
      </w:r>
      <w:r w:rsidRPr="0080384F" w:rsidR="00B363DA">
        <w:rPr>
          <w:rFonts w:cs="Arial"/>
        </w:rPr>
        <w:t xml:space="preserve">Interexchange </w:t>
      </w:r>
      <w:r w:rsidRPr="0080384F">
        <w:rPr>
          <w:rFonts w:cs="Arial"/>
        </w:rPr>
        <w:t>Carrier</w:t>
      </w:r>
      <w:bookmarkEnd w:id="34"/>
    </w:p>
    <w:p w:rsidRPr="0080384F" w:rsidR="00AD034A" w:rsidP="009156C6" w:rsidRDefault="00A56223" w14:paraId="6A17D1F2" w14:textId="77777777">
      <w:pPr>
        <w:pStyle w:val="Standard"/>
      </w:pPr>
      <w:r w:rsidRPr="0080384F">
        <w:t>Applicant</w:t>
      </w:r>
      <w:r w:rsidRPr="4372617A">
        <w:rPr>
          <w:b/>
          <w:bCs/>
          <w:color w:val="0000FF"/>
        </w:rPr>
        <w:t xml:space="preserve"> </w:t>
      </w:r>
      <w:r w:rsidRPr="0080384F">
        <w:t>requests treatment as a non</w:t>
      </w:r>
      <w:r w:rsidRPr="0080384F">
        <w:noBreakHyphen/>
        <w:t>dominant interexchange carrier (NDIEC)</w:t>
      </w:r>
      <w:r w:rsidR="00EC6B00">
        <w:t xml:space="preserve">, as detailed in </w:t>
      </w:r>
      <w:r w:rsidRPr="00DE0551" w:rsidR="00EC6B00">
        <w:t>D.85</w:t>
      </w:r>
      <w:r w:rsidR="00EC6B00">
        <w:noBreakHyphen/>
      </w:r>
      <w:r w:rsidRPr="00DE0551" w:rsidR="00EC6B00">
        <w:t>01</w:t>
      </w:r>
      <w:r w:rsidR="00EC6B00">
        <w:noBreakHyphen/>
      </w:r>
      <w:r w:rsidRPr="00DE0551" w:rsidR="00EC6B00">
        <w:t>008 and modified in D.85</w:t>
      </w:r>
      <w:r w:rsidR="00EC6B00">
        <w:noBreakHyphen/>
      </w:r>
      <w:r w:rsidRPr="00DE0551" w:rsidR="00EC6B00">
        <w:t>07</w:t>
      </w:r>
      <w:r w:rsidR="00EC6B00">
        <w:noBreakHyphen/>
      </w:r>
      <w:r w:rsidRPr="00DE0551" w:rsidR="00EC6B00">
        <w:t>081 and D.85</w:t>
      </w:r>
      <w:r w:rsidR="00EC6B00">
        <w:noBreakHyphen/>
      </w:r>
      <w:r w:rsidRPr="00DE0551" w:rsidR="00EC6B00">
        <w:t>11</w:t>
      </w:r>
      <w:r w:rsidR="00EC6B00">
        <w:noBreakHyphen/>
      </w:r>
      <w:r w:rsidRPr="00DE0551" w:rsidR="00EC6B00">
        <w:t>044</w:t>
      </w:r>
      <w:r w:rsidR="00986F75">
        <w:t>.</w:t>
      </w:r>
      <w:r w:rsidRPr="0080384F">
        <w:t xml:space="preserve"> </w:t>
      </w:r>
      <w:r w:rsidR="00AD034A">
        <w:t xml:space="preserve">The Commission </w:t>
      </w:r>
      <w:r w:rsidR="000A1303">
        <w:t xml:space="preserve">recently </w:t>
      </w:r>
      <w:r w:rsidR="00AD034A">
        <w:t>streamlined and updated the requirements for CLECs</w:t>
      </w:r>
      <w:r w:rsidR="00837B7D">
        <w:t xml:space="preserve"> and</w:t>
      </w:r>
      <w:r w:rsidR="00AD034A">
        <w:t xml:space="preserve"> NDIECs, and established a </w:t>
      </w:r>
      <w:r w:rsidR="008430E8">
        <w:t xml:space="preserve">regulatory </w:t>
      </w:r>
      <w:r w:rsidR="00AD034A">
        <w:t xml:space="preserve">framework for VoIP providers in </w:t>
      </w:r>
      <w:r w:rsidRPr="4372617A" w:rsidR="00AD034A">
        <w:t>D.24-11-0</w:t>
      </w:r>
      <w:r w:rsidRPr="4372617A" w:rsidR="7D15FA16">
        <w:t>03</w:t>
      </w:r>
      <w:r w:rsidR="00AD034A">
        <w:t xml:space="preserve">.  </w:t>
      </w:r>
      <w:r w:rsidR="008E5AEC">
        <w:t xml:space="preserve">Therefore, </w:t>
      </w:r>
      <w:proofErr w:type="spellStart"/>
      <w:r w:rsidRPr="00D318CF" w:rsidR="001154D0">
        <w:t>WaveStreet</w:t>
      </w:r>
      <w:proofErr w:type="spellEnd"/>
      <w:r w:rsidR="008E5AEC">
        <w:rPr>
          <w:b/>
          <w:color w:val="0000FF"/>
          <w:szCs w:val="26"/>
        </w:rPr>
        <w:t xml:space="preserve"> </w:t>
      </w:r>
      <w:r w:rsidR="008E5AEC">
        <w:t xml:space="preserve">is accorded all exemptions traditionally granted to NDIECs without the need for an individual grant for such treatment in this decision. Accordingly, </w:t>
      </w:r>
      <w:proofErr w:type="spellStart"/>
      <w:r w:rsidRPr="00D318CF" w:rsidR="001154D0">
        <w:t>WaveStreet</w:t>
      </w:r>
      <w:r w:rsidR="001154D0">
        <w:t>’s</w:t>
      </w:r>
      <w:proofErr w:type="spellEnd"/>
      <w:r w:rsidR="008E5AEC">
        <w:t xml:space="preserve"> request for NDIEC treatment is moot. </w:t>
      </w:r>
      <w:r w:rsidR="007C6D37">
        <w:t xml:space="preserve">Applicant must follow the requirements as </w:t>
      </w:r>
      <w:r w:rsidR="00334EDD">
        <w:t xml:space="preserve">summarized and </w:t>
      </w:r>
      <w:r w:rsidR="0040505F">
        <w:t>provided</w:t>
      </w:r>
      <w:r w:rsidR="007C6D37">
        <w:t xml:space="preserve"> </w:t>
      </w:r>
      <w:r w:rsidR="00334EDD">
        <w:t xml:space="preserve">for by </w:t>
      </w:r>
      <w:r w:rsidR="007C6D37">
        <w:t>D.24-11-0</w:t>
      </w:r>
      <w:r w:rsidR="00D58D27">
        <w:t>03</w:t>
      </w:r>
      <w:r w:rsidR="00042C13">
        <w:t>,</w:t>
      </w:r>
      <w:r w:rsidR="00D35A23">
        <w:rPr>
          <w:rStyle w:val="FootnoteReference"/>
        </w:rPr>
        <w:footnoteReference w:id="20"/>
      </w:r>
      <w:r w:rsidR="00042C13">
        <w:t xml:space="preserve"> and as indicated in Appendices B through D.</w:t>
      </w:r>
    </w:p>
    <w:p w:rsidRPr="00661D38" w:rsidR="00D009B5" w:rsidP="004A46A6" w:rsidRDefault="00D009B5" w14:paraId="2EDE0FD9" w14:textId="77777777">
      <w:pPr>
        <w:pStyle w:val="Heading1"/>
        <w:rPr>
          <w:rFonts w:cs="Arial"/>
        </w:rPr>
      </w:pPr>
      <w:bookmarkStart w:name="_Toc335049180" w:id="35"/>
      <w:bookmarkStart w:name="_Toc192843057" w:id="36"/>
      <w:r w:rsidRPr="00661D38">
        <w:rPr>
          <w:rFonts w:cs="Arial"/>
        </w:rPr>
        <w:t>Safety Considerations</w:t>
      </w:r>
      <w:bookmarkEnd w:id="36"/>
    </w:p>
    <w:p w:rsidRPr="00DE0551" w:rsidR="00D009B5" w:rsidP="009156C6" w:rsidRDefault="00D009B5" w14:paraId="1812D6FE" w14:textId="77777777">
      <w:pPr>
        <w:pStyle w:val="Standard"/>
      </w:pPr>
      <w:r w:rsidRPr="00DE0551">
        <w:t xml:space="preserve">With the adoption of the </w:t>
      </w:r>
      <w:r w:rsidRPr="00DE0551">
        <w:rPr>
          <w:i/>
        </w:rPr>
        <w:t>Safety</w:t>
      </w:r>
      <w:r w:rsidR="00661D38">
        <w:rPr>
          <w:i/>
        </w:rPr>
        <w:t> </w:t>
      </w:r>
      <w:r w:rsidRPr="00DE0551">
        <w:rPr>
          <w:i/>
        </w:rPr>
        <w:t>Policy Statement of the California Pub</w:t>
      </w:r>
      <w:r w:rsidR="00661D38">
        <w:rPr>
          <w:i/>
        </w:rPr>
        <w:t>. Util.</w:t>
      </w:r>
      <w:r w:rsidRPr="00DE0551">
        <w:rPr>
          <w:i/>
        </w:rPr>
        <w:t xml:space="preserve"> Commission</w:t>
      </w:r>
      <w:r w:rsidRPr="00DE0551">
        <w:t xml:space="preserve"> on July</w:t>
      </w:r>
      <w:r w:rsidR="00661D38">
        <w:t> </w:t>
      </w:r>
      <w:r w:rsidRPr="00DE0551">
        <w:t>10,</w:t>
      </w:r>
      <w:r w:rsidR="00661D38">
        <w:t> </w:t>
      </w:r>
      <w:r w:rsidRPr="00DE0551">
        <w:t xml:space="preserve">2014, the Commission has, among other things, heightened its focus on the potential safety implications of every proceeding. </w:t>
      </w:r>
      <w:r w:rsidR="004D14BB">
        <w:t>The Commission</w:t>
      </w:r>
      <w:r w:rsidRPr="00DE0551">
        <w:t xml:space="preserve"> considered the potential safety implications here</w:t>
      </w:r>
      <w:r w:rsidR="004D14BB">
        <w:t xml:space="preserve"> and </w:t>
      </w:r>
      <w:r w:rsidRPr="00DE0551" w:rsidR="005C41B8">
        <w:t>is</w:t>
      </w:r>
      <w:r w:rsidRPr="00DE0551">
        <w:t xml:space="preserve"> satisfied that </w:t>
      </w:r>
      <w:proofErr w:type="spellStart"/>
      <w:r w:rsidRPr="00D318CF" w:rsidR="008E1D9F">
        <w:t>WaveStreet</w:t>
      </w:r>
      <w:proofErr w:type="spellEnd"/>
      <w:r w:rsidRPr="00DE0551" w:rsidDel="001C1206" w:rsidR="001C1206">
        <w:rPr>
          <w:b/>
          <w:color w:val="0070C0"/>
        </w:rPr>
        <w:t xml:space="preserve"> </w:t>
      </w:r>
      <w:r w:rsidRPr="00DE0551">
        <w:t xml:space="preserve">will meet the Commission’s minimum safety goals and expectations of </w:t>
      </w:r>
      <w:r w:rsidRPr="008E1D9F" w:rsidR="007810D7">
        <w:t>V</w:t>
      </w:r>
      <w:r w:rsidRPr="008E1D9F" w:rsidR="00982AEC">
        <w:t>oIP providers</w:t>
      </w:r>
      <w:r w:rsidRPr="00DE0551" w:rsidR="0050179E">
        <w:t xml:space="preserve"> because:</w:t>
      </w:r>
      <w:r w:rsidR="00661D38">
        <w:t xml:space="preserve"> </w:t>
      </w:r>
      <w:r w:rsidRPr="00DE0551">
        <w:t>(1)</w:t>
      </w:r>
      <w:r w:rsidR="001F3BE8">
        <w:t> </w:t>
      </w:r>
      <w:proofErr w:type="spellStart"/>
      <w:r w:rsidRPr="00D318CF" w:rsidR="00B86547">
        <w:t>WaveStreet</w:t>
      </w:r>
      <w:proofErr w:type="spellEnd"/>
      <w:r w:rsidRPr="00DE0551" w:rsidR="00B86547">
        <w:t xml:space="preserve"> </w:t>
      </w:r>
      <w:r w:rsidRPr="00DE0551">
        <w:t xml:space="preserve">has taken steps to meet the financial requirements as set forth in this decision for </w:t>
      </w:r>
      <w:r w:rsidRPr="0099454B" w:rsidR="003C65B5">
        <w:t>VoIP provider</w:t>
      </w:r>
      <w:r w:rsidRPr="0099454B" w:rsidR="0099454B">
        <w:t>s</w:t>
      </w:r>
      <w:r w:rsidRPr="00DE0551">
        <w:t>, and (2)</w:t>
      </w:r>
      <w:r w:rsidR="00661D38">
        <w:t> </w:t>
      </w:r>
      <w:proofErr w:type="spellStart"/>
      <w:r w:rsidRPr="00D318CF" w:rsidR="0099454B">
        <w:t>WaveStreet</w:t>
      </w:r>
      <w:proofErr w:type="spellEnd"/>
      <w:r w:rsidRPr="00DE0551">
        <w:t xml:space="preserve"> is a public utility that is required pursuant to Pub.</w:t>
      </w:r>
      <w:r w:rsidR="00661D38">
        <w:t> </w:t>
      </w:r>
      <w:r w:rsidRPr="00DE0551">
        <w:t>Util. Code</w:t>
      </w:r>
      <w:r w:rsidR="00661D38">
        <w:t> S</w:t>
      </w:r>
      <w:r w:rsidR="002501AA">
        <w:t>ection</w:t>
      </w:r>
      <w:r w:rsidR="00661D38">
        <w:t> </w:t>
      </w:r>
      <w:r w:rsidRPr="00DE0551">
        <w:t xml:space="preserve">451 to “… furnish and maintain such adequate, efficient, just and </w:t>
      </w:r>
      <w:r w:rsidRPr="00DE0551">
        <w:lastRenderedPageBreak/>
        <w:t>reasonable service, instrumentalities, equipment, and facilities, including telephone facilities …  as are necessary to promote the safety, health, comfort, and convenience of its patrons, employees, and the public.”</w:t>
      </w:r>
    </w:p>
    <w:p w:rsidRPr="00661D38" w:rsidR="005A7C38" w:rsidP="004A46A6" w:rsidRDefault="005A7C38" w14:paraId="25CE9BFA" w14:textId="77777777">
      <w:pPr>
        <w:pStyle w:val="Heading1"/>
        <w:rPr>
          <w:rFonts w:cs="Arial"/>
        </w:rPr>
      </w:pPr>
      <w:bookmarkStart w:name="_Toc192843058" w:id="37"/>
      <w:r w:rsidRPr="00661D38">
        <w:rPr>
          <w:rFonts w:cs="Arial"/>
        </w:rPr>
        <w:t>Conclusion</w:t>
      </w:r>
      <w:bookmarkEnd w:id="35"/>
      <w:bookmarkEnd w:id="37"/>
    </w:p>
    <w:p w:rsidRPr="00DE0551" w:rsidR="00EF1A50" w:rsidP="009156C6" w:rsidRDefault="00A8362B" w14:paraId="02428729" w14:textId="77777777">
      <w:pPr>
        <w:pStyle w:val="Standard"/>
      </w:pPr>
      <w:proofErr w:type="spellStart"/>
      <w:r w:rsidRPr="00730029">
        <w:t>WaveStreet’s</w:t>
      </w:r>
      <w:proofErr w:type="spellEnd"/>
      <w:r w:rsidRPr="00730029" w:rsidR="00EF1A50">
        <w:t xml:space="preserve"> application conforms </w:t>
      </w:r>
      <w:r w:rsidRPr="00730029" w:rsidR="004D14BB">
        <w:t>with</w:t>
      </w:r>
      <w:r w:rsidRPr="00730029" w:rsidR="00EF1A50">
        <w:t xml:space="preserve"> </w:t>
      </w:r>
      <w:r w:rsidRPr="00730029" w:rsidR="00DB66C0">
        <w:t>the Commission’s</w:t>
      </w:r>
      <w:r w:rsidRPr="00730029" w:rsidR="00EF1A50">
        <w:t xml:space="preserve"> rules for certification as </w:t>
      </w:r>
      <w:r w:rsidRPr="00730029" w:rsidR="00590D0E">
        <w:t>a</w:t>
      </w:r>
      <w:r w:rsidRPr="00730029">
        <w:t xml:space="preserve"> </w:t>
      </w:r>
      <w:r w:rsidRPr="00730029" w:rsidR="00BD5AB9">
        <w:t xml:space="preserve">fixed </w:t>
      </w:r>
      <w:r w:rsidRPr="00730029" w:rsidR="008C1508">
        <w:t>i</w:t>
      </w:r>
      <w:r w:rsidRPr="00730029" w:rsidR="00C3137D">
        <w:t xml:space="preserve">nterconnected </w:t>
      </w:r>
      <w:r w:rsidRPr="00730029" w:rsidR="00B033BE">
        <w:t>VoIP provider</w:t>
      </w:r>
      <w:r w:rsidRPr="00730029" w:rsidR="00EF1A50">
        <w:t xml:space="preserve">. Accordingly, </w:t>
      </w:r>
      <w:r w:rsidRPr="00730029" w:rsidR="000141A3">
        <w:t xml:space="preserve">the Commission grants </w:t>
      </w:r>
      <w:proofErr w:type="spellStart"/>
      <w:r w:rsidRPr="00730029">
        <w:t>WaveStreet’s</w:t>
      </w:r>
      <w:proofErr w:type="spellEnd"/>
      <w:r w:rsidRPr="00730029" w:rsidR="00EF1A50">
        <w:t xml:space="preserve"> CPCN to provide</w:t>
      </w:r>
      <w:r w:rsidRPr="00730029" w:rsidR="00356160">
        <w:t xml:space="preserve"> </w:t>
      </w:r>
      <w:r w:rsidRPr="00730029" w:rsidR="00771A76">
        <w:t>non-facilities</w:t>
      </w:r>
      <w:r w:rsidRPr="00730029" w:rsidR="00AB12C0">
        <w:t>-</w:t>
      </w:r>
      <w:r w:rsidRPr="00730029" w:rsidR="00771A76">
        <w:t xml:space="preserve">based </w:t>
      </w:r>
      <w:r w:rsidRPr="00730029" w:rsidR="00AB12C0">
        <w:t>f</w:t>
      </w:r>
      <w:r w:rsidRPr="00730029" w:rsidR="00673BB5">
        <w:t xml:space="preserve">ixed </w:t>
      </w:r>
      <w:r w:rsidRPr="00730029" w:rsidR="00AB12C0">
        <w:t>i</w:t>
      </w:r>
      <w:r w:rsidRPr="00730029" w:rsidR="00673BB5">
        <w:t xml:space="preserve">nterconnected </w:t>
      </w:r>
      <w:r w:rsidRPr="00730029" w:rsidR="00344319">
        <w:t>V</w:t>
      </w:r>
      <w:r w:rsidRPr="00730029" w:rsidR="009A23AD">
        <w:t>oIP services</w:t>
      </w:r>
      <w:r w:rsidRPr="00730029" w:rsidDel="0030283D" w:rsidR="0030283D">
        <w:t xml:space="preserve"> </w:t>
      </w:r>
      <w:r w:rsidRPr="00730029" w:rsidR="00F020F3">
        <w:t xml:space="preserve">in the service territories </w:t>
      </w:r>
      <w:r w:rsidRPr="00730029" w:rsidR="00766840">
        <w:t xml:space="preserve">throughout California </w:t>
      </w:r>
      <w:r w:rsidRPr="00730029" w:rsidR="00EF1A50">
        <w:t xml:space="preserve">subject to compliance with the terms and conditions set forth </w:t>
      </w:r>
      <w:r w:rsidRPr="00730029" w:rsidR="00017E9D">
        <w:t>in the O</w:t>
      </w:r>
      <w:r w:rsidRPr="00730029" w:rsidR="00FF6028">
        <w:t>P</w:t>
      </w:r>
      <w:r w:rsidRPr="00730029" w:rsidR="00017E9D">
        <w:t>s</w:t>
      </w:r>
      <w:r w:rsidRPr="00730029" w:rsidR="00EF1A50">
        <w:t>.</w:t>
      </w:r>
    </w:p>
    <w:p w:rsidRPr="005011CA" w:rsidR="00840173" w:rsidP="009156C6" w:rsidRDefault="00333352" w14:paraId="4D47F25B" w14:textId="77777777">
      <w:pPr>
        <w:pStyle w:val="Standard"/>
        <w:rPr>
          <w:b/>
          <w:bCs/>
          <w:i/>
          <w:iCs/>
        </w:rPr>
      </w:pPr>
      <w:r w:rsidRPr="4372617A">
        <w:t xml:space="preserve">The CPCN granted by this decision provides benefits to </w:t>
      </w:r>
      <w:proofErr w:type="spellStart"/>
      <w:r w:rsidRPr="00D318CF" w:rsidR="0042151F">
        <w:t>WaveStreet</w:t>
      </w:r>
      <w:proofErr w:type="spellEnd"/>
      <w:r w:rsidRPr="4372617A">
        <w:t xml:space="preserve"> and corresponding obligations. </w:t>
      </w:r>
      <w:proofErr w:type="spellStart"/>
      <w:r w:rsidRPr="00D318CF" w:rsidR="0042151F">
        <w:t>WaveStreet</w:t>
      </w:r>
      <w:proofErr w:type="spellEnd"/>
      <w:r w:rsidRPr="4372617A">
        <w:t xml:space="preserve"> receives authority to operate in the prescribed service territory</w:t>
      </w:r>
      <w:r w:rsidRPr="4372617A" w:rsidR="00840173">
        <w:t>, and t</w:t>
      </w:r>
      <w:r w:rsidRPr="4372617A" w:rsidR="00446E49">
        <w:t xml:space="preserve">his authority enables </w:t>
      </w:r>
      <w:proofErr w:type="spellStart"/>
      <w:r w:rsidRPr="00D318CF" w:rsidR="0042151F">
        <w:t>WaveStreet</w:t>
      </w:r>
      <w:proofErr w:type="spellEnd"/>
      <w:r w:rsidRPr="4372617A" w:rsidR="00446E49">
        <w:t xml:space="preserve">, pursuant to </w:t>
      </w:r>
      <w:r w:rsidRPr="4372617A" w:rsidR="001F3BE8">
        <w:t>Section</w:t>
      </w:r>
      <w:r w:rsidRPr="4372617A" w:rsidR="00661D38">
        <w:t> </w:t>
      </w:r>
      <w:r w:rsidRPr="4372617A" w:rsidR="00446E49">
        <w:t xml:space="preserve">251 of the 1934 </w:t>
      </w:r>
      <w:r w:rsidRPr="005011CA" w:rsidR="00446E49">
        <w:t>Communications</w:t>
      </w:r>
      <w:r w:rsidRPr="005011CA" w:rsidR="00661D38">
        <w:t> </w:t>
      </w:r>
      <w:r w:rsidRPr="005011CA" w:rsidR="00446E49">
        <w:t>Act, as amended by the 1996</w:t>
      </w:r>
      <w:r w:rsidRPr="005011CA" w:rsidR="00661D38">
        <w:t> </w:t>
      </w:r>
      <w:r w:rsidRPr="005011CA" w:rsidR="00446E49">
        <w:t>Telecommunications</w:t>
      </w:r>
      <w:r w:rsidRPr="005011CA" w:rsidR="00661D38">
        <w:t> </w:t>
      </w:r>
      <w:r w:rsidRPr="005011CA" w:rsidR="00446E49">
        <w:t>Act (47</w:t>
      </w:r>
      <w:r w:rsidRPr="005011CA" w:rsidR="00661D38">
        <w:t> </w:t>
      </w:r>
      <w:r w:rsidRPr="005011CA" w:rsidR="00446E49">
        <w:t>U.S.C.</w:t>
      </w:r>
      <w:r w:rsidRPr="005011CA" w:rsidR="00661D38">
        <w:t> S</w:t>
      </w:r>
      <w:r w:rsidRPr="005011CA" w:rsidR="002501AA">
        <w:t>ection</w:t>
      </w:r>
      <w:r w:rsidRPr="005011CA" w:rsidR="00661D38">
        <w:t> </w:t>
      </w:r>
      <w:r w:rsidRPr="005011CA" w:rsidR="00446E49">
        <w:t>251)</w:t>
      </w:r>
      <w:r w:rsidRPr="005011CA" w:rsidR="009E135A">
        <w:t>,</w:t>
      </w:r>
      <w:r w:rsidRPr="005011CA" w:rsidR="00446E49">
        <w:t xml:space="preserve"> to interconnect with telecommunications carriers.</w:t>
      </w:r>
      <w:r w:rsidRPr="005011CA" w:rsidR="00446E49">
        <w:rPr>
          <w:rStyle w:val="FootnoteReference"/>
          <w:sz w:val="26"/>
          <w:szCs w:val="26"/>
        </w:rPr>
        <w:footnoteReference w:id="21"/>
      </w:r>
      <w:r w:rsidRPr="005011CA" w:rsidR="00684DD6">
        <w:rPr>
          <w:b/>
          <w:bCs/>
          <w:i/>
          <w:iCs/>
        </w:rPr>
        <w:t xml:space="preserve"> </w:t>
      </w:r>
    </w:p>
    <w:p w:rsidRPr="00DC60B5" w:rsidR="00333352" w:rsidP="009156C6" w:rsidRDefault="00446E49" w14:paraId="5C296B52" w14:textId="77777777">
      <w:pPr>
        <w:pStyle w:val="Standard"/>
        <w:rPr>
          <w:szCs w:val="26"/>
        </w:rPr>
      </w:pPr>
      <w:r w:rsidRPr="005011CA">
        <w:rPr>
          <w:szCs w:val="26"/>
        </w:rPr>
        <w:t xml:space="preserve">In return, </w:t>
      </w:r>
      <w:proofErr w:type="spellStart"/>
      <w:r w:rsidRPr="005011CA" w:rsidR="00684DD6">
        <w:t>WaveStreet</w:t>
      </w:r>
      <w:proofErr w:type="spellEnd"/>
      <w:r w:rsidRPr="005011CA">
        <w:rPr>
          <w:b/>
          <w:szCs w:val="26"/>
        </w:rPr>
        <w:t xml:space="preserve"> </w:t>
      </w:r>
      <w:r w:rsidRPr="005011CA">
        <w:rPr>
          <w:szCs w:val="26"/>
        </w:rPr>
        <w:t xml:space="preserve">is obligated to </w:t>
      </w:r>
      <w:r w:rsidRPr="00DE0551">
        <w:rPr>
          <w:szCs w:val="26"/>
        </w:rPr>
        <w:t>comply with all Pub</w:t>
      </w:r>
      <w:r w:rsidR="00661D38">
        <w:rPr>
          <w:szCs w:val="26"/>
        </w:rPr>
        <w:t>. Util.</w:t>
      </w:r>
      <w:r w:rsidRPr="00DE0551">
        <w:rPr>
          <w:szCs w:val="26"/>
        </w:rPr>
        <w:t xml:space="preserve"> Code provisions, Commission rules, </w:t>
      </w:r>
      <w:r w:rsidRPr="00DE0551" w:rsidR="00840173">
        <w:rPr>
          <w:szCs w:val="26"/>
        </w:rPr>
        <w:t>G</w:t>
      </w:r>
      <w:r w:rsidR="00661D38">
        <w:rPr>
          <w:szCs w:val="26"/>
        </w:rPr>
        <w:t>O</w:t>
      </w:r>
      <w:r w:rsidRPr="00DE0551" w:rsidR="00840173">
        <w:rPr>
          <w:szCs w:val="26"/>
        </w:rPr>
        <w:t>s</w:t>
      </w:r>
      <w:r w:rsidRPr="00DE0551">
        <w:rPr>
          <w:szCs w:val="26"/>
        </w:rPr>
        <w:t>, and decisions applicable to telephone corporations providing approved services.</w:t>
      </w:r>
      <w:r w:rsidRPr="00DE0551">
        <w:rPr>
          <w:b/>
          <w:bCs/>
          <w:szCs w:val="26"/>
        </w:rPr>
        <w:t xml:space="preserve"> </w:t>
      </w:r>
      <w:r w:rsidRPr="00DE0551" w:rsidR="00333352">
        <w:t xml:space="preserve">The applicable </w:t>
      </w:r>
      <w:r w:rsidRPr="00DE0551" w:rsidR="00840173">
        <w:t>statutes</w:t>
      </w:r>
      <w:r w:rsidRPr="00DE0551" w:rsidR="00333352">
        <w:t xml:space="preserve">, </w:t>
      </w:r>
      <w:r w:rsidRPr="00DE0551" w:rsidR="00840173">
        <w:t>rules</w:t>
      </w:r>
      <w:r w:rsidRPr="00DE0551" w:rsidR="00333352">
        <w:t xml:space="preserve">, </w:t>
      </w:r>
      <w:r w:rsidRPr="00DE0551" w:rsidR="00840173">
        <w:rPr>
          <w:szCs w:val="26"/>
        </w:rPr>
        <w:t>G</w:t>
      </w:r>
      <w:r w:rsidR="00661D38">
        <w:rPr>
          <w:szCs w:val="26"/>
        </w:rPr>
        <w:t>O</w:t>
      </w:r>
      <w:r w:rsidRPr="00DE0551" w:rsidR="00840173">
        <w:rPr>
          <w:szCs w:val="26"/>
        </w:rPr>
        <w:t>s, and decisions</w:t>
      </w:r>
      <w:r w:rsidRPr="00DE0551" w:rsidR="00333352">
        <w:t xml:space="preserve"> include, but are not limited to consumer protection rules, tariffing, and reporting requirements. Moreover, </w:t>
      </w:r>
      <w:proofErr w:type="spellStart"/>
      <w:r w:rsidRPr="00D318CF" w:rsidR="00684DD6">
        <w:t>WaveStreet</w:t>
      </w:r>
      <w:proofErr w:type="spellEnd"/>
      <w:r w:rsidRPr="00DE0551" w:rsidR="00333352">
        <w:t xml:space="preserve"> is obligated to pay all Commission prescribed user fees and public purpose program surcharges as set forth in the Appendix</w:t>
      </w:r>
      <w:r w:rsidR="00661D38">
        <w:t> </w:t>
      </w:r>
      <w:r w:rsidRPr="00DE0551" w:rsidR="00333352">
        <w:t>B of this decision, to comply with CEQA, and to adhere to Pub.</w:t>
      </w:r>
      <w:r w:rsidR="00661D38">
        <w:t> </w:t>
      </w:r>
      <w:r w:rsidRPr="00DE0551" w:rsidR="00333352">
        <w:t>Util. Code</w:t>
      </w:r>
      <w:r w:rsidR="00661D38">
        <w:t> S</w:t>
      </w:r>
      <w:r w:rsidR="002501AA">
        <w:t>ection</w:t>
      </w:r>
      <w:r w:rsidRPr="00DE0551" w:rsidR="00333352">
        <w:t xml:space="preserve"> 451 which states that every public utility “…shall furnish and maintain such adequate, efficient, just, and reasonable service, </w:t>
      </w:r>
      <w:r w:rsidRPr="00DE0551" w:rsidR="00333352">
        <w:lastRenderedPageBreak/>
        <w:t xml:space="preserve">instrumentalities, equipment, and facilities, including telephone facilities, as defined in </w:t>
      </w:r>
      <w:r w:rsidR="00661D38">
        <w:t>S</w:t>
      </w:r>
      <w:r w:rsidR="002501AA">
        <w:t>ection</w:t>
      </w:r>
      <w:r w:rsidR="00661D38">
        <w:t> </w:t>
      </w:r>
      <w:r w:rsidRPr="00DE0551" w:rsidR="00333352">
        <w:t>54.1 of the Civil</w:t>
      </w:r>
      <w:r w:rsidR="00661D38">
        <w:t> </w:t>
      </w:r>
      <w:r w:rsidRPr="00DE0551" w:rsidR="00333352">
        <w:t>Code, as are necessary to promote the safety, health, comfort, and convenience of its patrons, employees, and the public.”</w:t>
      </w:r>
      <w:r w:rsidR="00DC60B5">
        <w:t xml:space="preserve"> </w:t>
      </w:r>
      <w:r w:rsidRPr="003E48C0" w:rsidR="00DC60B5">
        <w:rPr>
          <w:szCs w:val="26"/>
        </w:rPr>
        <w:t>Granting this application will benefit the public interest by expanding the availability of technologically advanced telecommunications services within the state.</w:t>
      </w:r>
    </w:p>
    <w:p w:rsidR="00EF1211" w:rsidP="008F52A6" w:rsidRDefault="008D6C5C" w14:paraId="3C07069A" w14:textId="77777777">
      <w:pPr>
        <w:pStyle w:val="Heading1"/>
        <w:rPr>
          <w:rFonts w:cs="Arial"/>
        </w:rPr>
      </w:pPr>
      <w:bookmarkStart w:name="_Hlk183523551" w:id="38"/>
      <w:bookmarkStart w:name="_Toc335049181" w:id="39"/>
      <w:bookmarkStart w:name="_Toc192843059" w:id="40"/>
      <w:r>
        <w:rPr>
          <w:rFonts w:cs="Arial"/>
        </w:rPr>
        <w:t xml:space="preserve">Additional </w:t>
      </w:r>
      <w:r w:rsidR="000016B6">
        <w:rPr>
          <w:rFonts w:cs="Arial"/>
        </w:rPr>
        <w:t>Requirement</w:t>
      </w:r>
      <w:r w:rsidR="00E25FCB">
        <w:rPr>
          <w:rFonts w:cs="Arial"/>
        </w:rPr>
        <w:t>s</w:t>
      </w:r>
      <w:r w:rsidR="00EF1211">
        <w:rPr>
          <w:rFonts w:cs="Arial"/>
        </w:rPr>
        <w:t xml:space="preserve"> </w:t>
      </w:r>
      <w:r w:rsidR="00D51B78">
        <w:rPr>
          <w:rFonts w:cs="Arial"/>
        </w:rPr>
        <w:t>for Applicants Following</w:t>
      </w:r>
      <w:r>
        <w:rPr>
          <w:rFonts w:cs="Arial"/>
        </w:rPr>
        <w:t xml:space="preserve"> </w:t>
      </w:r>
      <w:r w:rsidR="00492867">
        <w:rPr>
          <w:rFonts w:cs="Arial"/>
        </w:rPr>
        <w:t xml:space="preserve">Commission’s </w:t>
      </w:r>
      <w:r>
        <w:rPr>
          <w:rFonts w:cs="Arial"/>
        </w:rPr>
        <w:t>Grant of CPCN</w:t>
      </w:r>
      <w:bookmarkEnd w:id="40"/>
      <w:r w:rsidR="00EF1211">
        <w:rPr>
          <w:rFonts w:cs="Arial"/>
        </w:rPr>
        <w:t xml:space="preserve"> </w:t>
      </w:r>
    </w:p>
    <w:p w:rsidRPr="00EF1211" w:rsidR="00EF1211" w:rsidP="009156C6" w:rsidRDefault="00EF1211" w14:paraId="7495054E" w14:textId="77777777">
      <w:pPr>
        <w:pStyle w:val="Standard"/>
      </w:pPr>
      <w:r>
        <w:t>The CPCN granted in this decision is contingent up</w:t>
      </w:r>
      <w:r w:rsidR="00FA1740">
        <w:t>on</w:t>
      </w:r>
      <w:r>
        <w:t xml:space="preserve"> </w:t>
      </w:r>
      <w:proofErr w:type="spellStart"/>
      <w:r w:rsidRPr="00D318CF" w:rsidR="00684DD6">
        <w:t>WaveStreet</w:t>
      </w:r>
      <w:r w:rsidR="00684DD6">
        <w:t>’s</w:t>
      </w:r>
      <w:proofErr w:type="spellEnd"/>
      <w:r>
        <w:t xml:space="preserve"> compliance with several requirements:  (1) </w:t>
      </w:r>
      <w:r w:rsidRPr="004624AD">
        <w:t>render</w:t>
      </w:r>
      <w:r>
        <w:t>ing</w:t>
      </w:r>
      <w:r w:rsidRPr="004624AD">
        <w:t xml:space="preserve"> service to customers </w:t>
      </w:r>
      <w:r>
        <w:t>within</w:t>
      </w:r>
      <w:r w:rsidRPr="004624AD">
        <w:t xml:space="preserve"> 12 months from the effective date of this decision</w:t>
      </w:r>
      <w:r>
        <w:t xml:space="preserve">; (2) using its assigned </w:t>
      </w:r>
      <w:r w:rsidRPr="00EB362F">
        <w:t>corporate identification number in the caption of all original filings with th</w:t>
      </w:r>
      <w:r>
        <w:t xml:space="preserve">e Commission; (3) </w:t>
      </w:r>
      <w:r w:rsidRPr="00EB362F">
        <w:t>fil</w:t>
      </w:r>
      <w:r>
        <w:t xml:space="preserve">ing in this docket </w:t>
      </w:r>
      <w:r w:rsidRPr="00EB362F">
        <w:t>a written acceptance of the certificate granted in this proceeding</w:t>
      </w:r>
      <w:r>
        <w:t xml:space="preserve"> w</w:t>
      </w:r>
      <w:r w:rsidRPr="00EB362F">
        <w:t>ithin 30</w:t>
      </w:r>
      <w:r>
        <w:t> </w:t>
      </w:r>
      <w:r w:rsidRPr="00EB362F">
        <w:t>days of the effective date of this decision</w:t>
      </w:r>
      <w:r>
        <w:t>; (4)</w:t>
      </w:r>
      <w:r w:rsidRPr="00EB362F">
        <w:t xml:space="preserve"> provid</w:t>
      </w:r>
      <w:r>
        <w:t>ing</w:t>
      </w:r>
      <w:r w:rsidRPr="00EB362F">
        <w:t xml:space="preserve"> the name, address, e</w:t>
      </w:r>
      <w:r>
        <w:noBreakHyphen/>
      </w:r>
      <w:r w:rsidRPr="00EB362F">
        <w:t xml:space="preserve">mail address, and telephone </w:t>
      </w:r>
      <w:r w:rsidRPr="005527B3">
        <w:t>number of its designated primary regulatory/official contact person to the Commission’s Communications Division w</w:t>
      </w:r>
      <w:r w:rsidRPr="005527B3">
        <w:rPr>
          <w:bCs/>
        </w:rPr>
        <w:t>ithin</w:t>
      </w:r>
      <w:r w:rsidRPr="005527B3">
        <w:t xml:space="preserve"> five days of written acceptance of its certificate</w:t>
      </w:r>
      <w:r>
        <w:t xml:space="preserve">; (5) </w:t>
      </w:r>
      <w:r w:rsidRPr="005527B3">
        <w:t>provid</w:t>
      </w:r>
      <w:r>
        <w:t>ing</w:t>
      </w:r>
      <w:r w:rsidRPr="005527B3">
        <w:t xml:space="preserve"> the name, address, e</w:t>
      </w:r>
      <w:r w:rsidRPr="005527B3">
        <w:noBreakHyphen/>
        <w:t>mail address, and telephone number of its designated contact person for purposes of resolving consumer complaints to the Commission’s Consumer Affairs Branch w</w:t>
      </w:r>
      <w:r w:rsidRPr="005527B3">
        <w:rPr>
          <w:bCs/>
        </w:rPr>
        <w:t>ithin</w:t>
      </w:r>
      <w:r w:rsidRPr="005527B3">
        <w:t xml:space="preserve"> five days of written acceptance of its certificate</w:t>
      </w:r>
      <w:r>
        <w:t>; (6)</w:t>
      </w:r>
      <w:r w:rsidRPr="4372617A">
        <w:t xml:space="preserve"> submit</w:t>
      </w:r>
      <w:r>
        <w:t>ting</w:t>
      </w:r>
      <w:r w:rsidRPr="4372617A">
        <w:t xml:space="preserve"> a Tier</w:t>
      </w:r>
      <w:r>
        <w:t xml:space="preserve"> </w:t>
      </w:r>
      <w:r w:rsidRPr="4372617A">
        <w:t xml:space="preserve">1 Advice Letter containing a copy of the license holder’s executed performance bond within </w:t>
      </w:r>
      <w:r>
        <w:t>30</w:t>
      </w:r>
      <w:r w:rsidRPr="4372617A">
        <w:t xml:space="preserve"> days of the effective date of this decision</w:t>
      </w:r>
      <w:r>
        <w:t xml:space="preserve">; (7) submitting its compliance with </w:t>
      </w:r>
      <w:r w:rsidRPr="002E4891">
        <w:t>Pub</w:t>
      </w:r>
      <w:r>
        <w:t>lic</w:t>
      </w:r>
      <w:r w:rsidRPr="002E4891">
        <w:t xml:space="preserve"> Util</w:t>
      </w:r>
      <w:r>
        <w:t>ities</w:t>
      </w:r>
      <w:r w:rsidRPr="002E4891">
        <w:t xml:space="preserve"> Code </w:t>
      </w:r>
      <w:r>
        <w:t>Section</w:t>
      </w:r>
      <w:r w:rsidRPr="002E4891">
        <w:t xml:space="preserve"> 708, Employee Identification Cards</w:t>
      </w:r>
      <w:r>
        <w:t>, to</w:t>
      </w:r>
      <w:r w:rsidRPr="002E4891">
        <w:t xml:space="preserve"> </w:t>
      </w:r>
      <w:r>
        <w:t xml:space="preserve">the </w:t>
      </w:r>
      <w:r w:rsidRPr="009A3D94">
        <w:t>Commission’s Director of the Communications Division</w:t>
      </w:r>
      <w:r>
        <w:t xml:space="preserve">, in writing, </w:t>
      </w:r>
      <w:r w:rsidRPr="002E4891">
        <w:t xml:space="preserve">by email to </w:t>
      </w:r>
      <w:hyperlink w:history="1" r:id="rId18">
        <w:r w:rsidRPr="009374C9">
          <w:rPr>
            <w:rStyle w:val="Hyperlink"/>
          </w:rPr>
          <w:t>cdcompliance@cpuc.ca.gov</w:t>
        </w:r>
      </w:hyperlink>
      <w:r>
        <w:t xml:space="preserve">, </w:t>
      </w:r>
      <w:r w:rsidRPr="009A3D94">
        <w:rPr>
          <w:iCs/>
        </w:rPr>
        <w:t>within</w:t>
      </w:r>
      <w:r w:rsidRPr="009A3D94">
        <w:t xml:space="preserve"> 60 days </w:t>
      </w:r>
      <w:r>
        <w:t>of</w:t>
      </w:r>
      <w:r w:rsidRPr="009A3D94">
        <w:t xml:space="preserve"> the effective date of this </w:t>
      </w:r>
      <w:r>
        <w:t xml:space="preserve">decision; (8) providing </w:t>
      </w:r>
      <w:r w:rsidRPr="00EB362F">
        <w:t xml:space="preserve">the date that </w:t>
      </w:r>
      <w:r>
        <w:t xml:space="preserve">competitive local </w:t>
      </w:r>
      <w:r>
        <w:lastRenderedPageBreak/>
        <w:t xml:space="preserve">exchange </w:t>
      </w:r>
      <w:r w:rsidRPr="00EB362F">
        <w:t>service is first rendered to the public,</w:t>
      </w:r>
      <w:r>
        <w:t xml:space="preserve"> to</w:t>
      </w:r>
      <w:r w:rsidRPr="00EB362F">
        <w:t xml:space="preserve"> the</w:t>
      </w:r>
      <w:r w:rsidRPr="00C47364">
        <w:t xml:space="preserve"> Commission’s Director of the Communications Division</w:t>
      </w:r>
      <w:r>
        <w:t>, in writing,</w:t>
      </w:r>
      <w:r w:rsidRPr="00EB362F">
        <w:t xml:space="preserve"> by email to </w:t>
      </w:r>
      <w:hyperlink w:history="1" r:id="rId19">
        <w:r w:rsidRPr="00EB362F">
          <w:rPr>
            <w:rStyle w:val="Hyperlink"/>
          </w:rPr>
          <w:t>cdcompliance@cpuc.ca.gov</w:t>
        </w:r>
      </w:hyperlink>
      <w:r>
        <w:rPr>
          <w:rStyle w:val="Hyperlink"/>
        </w:rPr>
        <w:t>,</w:t>
      </w:r>
      <w:r>
        <w:t xml:space="preserve"> </w:t>
      </w:r>
      <w:r w:rsidRPr="00EB362F">
        <w:t>no</w:t>
      </w:r>
      <w:r>
        <w:t> </w:t>
      </w:r>
      <w:r w:rsidRPr="00EB362F">
        <w:t>later</w:t>
      </w:r>
      <w:r>
        <w:t> </w:t>
      </w:r>
      <w:r w:rsidRPr="00EB362F">
        <w:t>than five</w:t>
      </w:r>
      <w:r>
        <w:t> </w:t>
      </w:r>
      <w:r w:rsidRPr="00EB362F">
        <w:t>days after service first begins</w:t>
      </w:r>
      <w:r>
        <w:t>.</w:t>
      </w:r>
      <w:r w:rsidRPr="00EB362F">
        <w:t xml:space="preserve"> </w:t>
      </w:r>
      <w:r w:rsidR="00ED3DF1">
        <w:t xml:space="preserve">These requirements are in addition to </w:t>
      </w:r>
      <w:proofErr w:type="spellStart"/>
      <w:r w:rsidRPr="00D318CF" w:rsidR="00A006FA">
        <w:t>WaveStreet</w:t>
      </w:r>
      <w:r w:rsidR="00A006FA">
        <w:t>’s</w:t>
      </w:r>
      <w:proofErr w:type="spellEnd"/>
      <w:r w:rsidR="00ED3DF1">
        <w:rPr>
          <w:b/>
          <w:color w:val="0000FF"/>
        </w:rPr>
        <w:t xml:space="preserve"> </w:t>
      </w:r>
      <w:r w:rsidRPr="00ED3DF1" w:rsidR="00ED3DF1">
        <w:rPr>
          <w:bCs/>
        </w:rPr>
        <w:t>ongoing obligation to</w:t>
      </w:r>
      <w:r w:rsidRPr="00ED3DF1" w:rsidR="00ED3DF1">
        <w:rPr>
          <w:b/>
        </w:rPr>
        <w:t xml:space="preserve"> </w:t>
      </w:r>
      <w:r w:rsidR="00C03808">
        <w:t>be</w:t>
      </w:r>
      <w:r w:rsidRPr="00EB362F" w:rsidR="00C03808">
        <w:t xml:space="preserve"> subject </w:t>
      </w:r>
      <w:r w:rsidR="00C03808">
        <w:t>to</w:t>
      </w:r>
      <w:r w:rsidRPr="00EB362F" w:rsidR="00C03808">
        <w:t xml:space="preserve"> all the </w:t>
      </w:r>
      <w:r w:rsidR="00C03808">
        <w:t xml:space="preserve">current </w:t>
      </w:r>
      <w:r w:rsidRPr="00EB362F" w:rsidR="00C03808">
        <w:t>requirements applicable to</w:t>
      </w:r>
      <w:r w:rsidRPr="0032141E" w:rsidR="00C03808">
        <w:t xml:space="preserve"> Voice over Internet Providers</w:t>
      </w:r>
      <w:r w:rsidRPr="00EB362F" w:rsidR="00C03808">
        <w:t xml:space="preserve"> included in Attachments</w:t>
      </w:r>
      <w:r w:rsidR="00C03808">
        <w:t> </w:t>
      </w:r>
      <w:r w:rsidRPr="00EB362F" w:rsidR="00C03808">
        <w:t>B, C, and D to this decision</w:t>
      </w:r>
      <w:r w:rsidR="00C03808">
        <w:t xml:space="preserve"> (including annual affiliate transaction reports, ongoing performance bond requirements, and payment of surcharges and user fees);</w:t>
      </w:r>
      <w:r w:rsidRPr="00EB362F" w:rsidR="00C03808">
        <w:t xml:space="preserve"> </w:t>
      </w:r>
      <w:r w:rsidR="00C03808">
        <w:t xml:space="preserve">all </w:t>
      </w:r>
      <w:r w:rsidRPr="00EB362F" w:rsidR="00C03808">
        <w:t>Consumer Protection Rules contained in GO</w:t>
      </w:r>
      <w:r w:rsidR="00F615B7">
        <w:t> </w:t>
      </w:r>
      <w:r w:rsidRPr="00EB362F" w:rsidR="00C03808">
        <w:t>168</w:t>
      </w:r>
      <w:r w:rsidR="00C03808">
        <w:t>;</w:t>
      </w:r>
      <w:r w:rsidRPr="00EB362F" w:rsidR="00C03808">
        <w:t xml:space="preserve"> and all applicable Commission rules, decisions, GOs, and statutes that pertain to California public</w:t>
      </w:r>
      <w:r w:rsidR="00C03808">
        <w:t> </w:t>
      </w:r>
      <w:r w:rsidRPr="00EB362F" w:rsidR="00C03808">
        <w:t>utilities</w:t>
      </w:r>
      <w:r w:rsidR="00C03808">
        <w:t xml:space="preserve"> on an ongoing basis</w:t>
      </w:r>
      <w:r w:rsidRPr="00EB362F" w:rsidR="00C03808">
        <w:t>.</w:t>
      </w:r>
    </w:p>
    <w:p w:rsidRPr="005011CA" w:rsidR="008046CE" w:rsidP="008F52A6" w:rsidRDefault="002C25EA" w14:paraId="13F9667E" w14:textId="77777777">
      <w:pPr>
        <w:pStyle w:val="Heading1"/>
        <w:rPr>
          <w:rFonts w:ascii="Book Antiqua" w:hAnsi="Book Antiqua"/>
          <w:b w:val="0"/>
          <w:i/>
          <w:iCs/>
        </w:rPr>
      </w:pPr>
      <w:bookmarkStart w:name="_Toc192843060" w:id="41"/>
      <w:bookmarkEnd w:id="38"/>
      <w:r>
        <w:rPr>
          <w:rFonts w:cs="Arial"/>
        </w:rPr>
        <w:t xml:space="preserve">Confidential </w:t>
      </w:r>
      <w:r w:rsidRPr="005011CA">
        <w:rPr>
          <w:rFonts w:cs="Arial"/>
        </w:rPr>
        <w:t>Treatment of Documents</w:t>
      </w:r>
      <w:r w:rsidRPr="005011CA" w:rsidR="00E00074">
        <w:rPr>
          <w:rFonts w:cs="Arial"/>
        </w:rPr>
        <w:t xml:space="preserve"> and Other Procedural Matters</w:t>
      </w:r>
      <w:bookmarkEnd w:id="39"/>
      <w:bookmarkEnd w:id="41"/>
    </w:p>
    <w:p w:rsidR="0058497E" w:rsidP="009156C6" w:rsidRDefault="00136297" w14:paraId="61DDABA4" w14:textId="77777777">
      <w:pPr>
        <w:pStyle w:val="Standard"/>
        <w:rPr>
          <w:color w:val="000000"/>
        </w:rPr>
      </w:pPr>
      <w:proofErr w:type="spellStart"/>
      <w:r w:rsidRPr="00D318CF">
        <w:t>WaveStreet</w:t>
      </w:r>
      <w:proofErr w:type="spellEnd"/>
      <w:r w:rsidR="00C64499">
        <w:rPr>
          <w:color w:val="000000"/>
        </w:rPr>
        <w:t xml:space="preserve"> </w:t>
      </w:r>
      <w:r w:rsidR="00F12866">
        <w:rPr>
          <w:color w:val="000000"/>
        </w:rPr>
        <w:t>submitted</w:t>
      </w:r>
      <w:r w:rsidR="00C64499">
        <w:rPr>
          <w:color w:val="000000"/>
        </w:rPr>
        <w:t xml:space="preserve"> financial documents </w:t>
      </w:r>
      <w:r w:rsidR="00B92516">
        <w:rPr>
          <w:color w:val="000000"/>
        </w:rPr>
        <w:t xml:space="preserve">as </w:t>
      </w:r>
      <w:r w:rsidR="00C64499">
        <w:rPr>
          <w:color w:val="000000"/>
        </w:rPr>
        <w:t xml:space="preserve">listed in </w:t>
      </w:r>
      <w:r w:rsidRPr="4372617A" w:rsidR="00C64499">
        <w:rPr>
          <w:color w:val="000000"/>
        </w:rPr>
        <w:t>D.24-11-0</w:t>
      </w:r>
      <w:r w:rsidRPr="4372617A" w:rsidR="145B76F8">
        <w:rPr>
          <w:color w:val="000000"/>
        </w:rPr>
        <w:t>03</w:t>
      </w:r>
      <w:r w:rsidR="00C64499">
        <w:rPr>
          <w:color w:val="000000"/>
        </w:rPr>
        <w:t xml:space="preserve"> Appendix F</w:t>
      </w:r>
      <w:r w:rsidR="00AF5F4B">
        <w:rPr>
          <w:color w:val="000000"/>
        </w:rPr>
        <w:t xml:space="preserve"> in </w:t>
      </w:r>
      <w:r>
        <w:rPr>
          <w:color w:val="000000"/>
        </w:rPr>
        <w:t>a confidential filing</w:t>
      </w:r>
      <w:r w:rsidR="00AF5F4B">
        <w:rPr>
          <w:color w:val="000000"/>
        </w:rPr>
        <w:t xml:space="preserve">. </w:t>
      </w:r>
      <w:bookmarkStart w:name="_Hlk183523650" w:id="42"/>
      <w:r w:rsidR="00AF5F4B">
        <w:rPr>
          <w:color w:val="000000"/>
        </w:rPr>
        <w:t xml:space="preserve">These documents </w:t>
      </w:r>
      <w:r w:rsidR="00C64499">
        <w:rPr>
          <w:color w:val="000000"/>
        </w:rPr>
        <w:t>are granted confidential treatment for a period of three years</w:t>
      </w:r>
      <w:r w:rsidR="0058497E">
        <w:rPr>
          <w:color w:val="000000"/>
        </w:rPr>
        <w:t xml:space="preserve"> without the need to file a motion for confidential treatment of the aforementioned documents</w:t>
      </w:r>
      <w:r w:rsidR="00C64499">
        <w:rPr>
          <w:color w:val="000000"/>
        </w:rPr>
        <w:t>.</w:t>
      </w:r>
      <w:r w:rsidR="00C64499">
        <w:rPr>
          <w:rStyle w:val="FootnoteReference"/>
          <w:color w:val="000000"/>
        </w:rPr>
        <w:footnoteReference w:id="22"/>
      </w:r>
      <w:r w:rsidR="003A5319">
        <w:rPr>
          <w:color w:val="000000"/>
        </w:rPr>
        <w:t xml:space="preserve"> </w:t>
      </w:r>
      <w:r w:rsidRPr="00EB362F" w:rsidR="003A5319">
        <w:t>During this three</w:t>
      </w:r>
      <w:r w:rsidR="003A5319">
        <w:t>-year</w:t>
      </w:r>
      <w:r w:rsidRPr="00EB362F" w:rsidR="003A5319">
        <w:t xml:space="preserve"> period, this information shall not be publicly disclosed except on further Commission order or </w:t>
      </w:r>
      <w:r w:rsidR="008D219B">
        <w:t>ALJ</w:t>
      </w:r>
      <w:r w:rsidRPr="00EB362F" w:rsidR="003A5319">
        <w:t xml:space="preserve"> ruling. If </w:t>
      </w:r>
      <w:proofErr w:type="spellStart"/>
      <w:r w:rsidRPr="00D318CF" w:rsidR="008D219B">
        <w:t>WaveStreet</w:t>
      </w:r>
      <w:proofErr w:type="spellEnd"/>
      <w:r w:rsidRPr="00EB362F" w:rsidR="008D219B">
        <w:t xml:space="preserve"> </w:t>
      </w:r>
      <w:r w:rsidRPr="00EB362F" w:rsidR="003A5319">
        <w:t>believes that it is necessary for this information to remain under seal for longer</w:t>
      </w:r>
      <w:r w:rsidR="003A5319">
        <w:t> </w:t>
      </w:r>
      <w:r w:rsidRPr="00EB362F" w:rsidR="003A5319">
        <w:t>than three</w:t>
      </w:r>
      <w:r w:rsidR="003A5319">
        <w:t> </w:t>
      </w:r>
      <w:r w:rsidRPr="00EB362F" w:rsidR="003A5319">
        <w:t xml:space="preserve">years, </w:t>
      </w:r>
      <w:proofErr w:type="spellStart"/>
      <w:r w:rsidRPr="00D318CF" w:rsidR="008D219B">
        <w:t>WaveStreet</w:t>
      </w:r>
      <w:proofErr w:type="spellEnd"/>
      <w:r w:rsidRPr="00EB362F" w:rsidR="003A5319">
        <w:t xml:space="preserve"> may file a motion showing good cause for extending this order by no</w:t>
      </w:r>
      <w:r w:rsidR="003A5319">
        <w:t> </w:t>
      </w:r>
      <w:r w:rsidRPr="00EB362F" w:rsidR="003A5319">
        <w:t>later</w:t>
      </w:r>
      <w:r w:rsidR="003A5319">
        <w:t> t</w:t>
      </w:r>
      <w:r w:rsidRPr="00EB362F" w:rsidR="003A5319">
        <w:t>han 30</w:t>
      </w:r>
      <w:r w:rsidR="003A5319">
        <w:t> </w:t>
      </w:r>
      <w:r w:rsidRPr="00EB362F" w:rsidR="003A5319">
        <w:t>days before the expiration of th</w:t>
      </w:r>
      <w:r w:rsidR="004A20DA">
        <w:t>e grant of confidentiality</w:t>
      </w:r>
      <w:r w:rsidRPr="00EB362F" w:rsidR="003A5319">
        <w:t>.</w:t>
      </w:r>
    </w:p>
    <w:p w:rsidRPr="00DE0551" w:rsidR="00344543" w:rsidP="009156C6" w:rsidRDefault="00344543" w14:paraId="100E9171" w14:textId="77777777">
      <w:pPr>
        <w:pStyle w:val="Standard"/>
        <w:rPr>
          <w:color w:val="000000"/>
        </w:rPr>
      </w:pPr>
      <w:bookmarkStart w:name="_Hlk183523716" w:id="43"/>
      <w:bookmarkEnd w:id="42"/>
      <w:r>
        <w:rPr>
          <w:color w:val="000000"/>
        </w:rPr>
        <w:t xml:space="preserve">All rulings by the assigned Commissioner and the assigned ALJ are affirmed. All pending motions are </w:t>
      </w:r>
      <w:r w:rsidR="001F1A7E">
        <w:rPr>
          <w:color w:val="000000"/>
        </w:rPr>
        <w:t xml:space="preserve">deemed </w:t>
      </w:r>
      <w:r>
        <w:rPr>
          <w:color w:val="000000"/>
        </w:rPr>
        <w:t>denied.</w:t>
      </w:r>
    </w:p>
    <w:p w:rsidRPr="00036329" w:rsidR="00036329" w:rsidP="00036329" w:rsidRDefault="00036329" w14:paraId="19EE4DE1" w14:textId="77777777">
      <w:pPr>
        <w:pStyle w:val="Heading1"/>
        <w:rPr>
          <w:rFonts w:cs="Arial"/>
        </w:rPr>
      </w:pPr>
      <w:bookmarkStart w:name="_Toc8123723" w:id="44"/>
      <w:bookmarkStart w:name="_Toc335049183" w:id="45"/>
      <w:bookmarkStart w:name="_Toc192843061" w:id="46"/>
      <w:bookmarkEnd w:id="43"/>
      <w:r>
        <w:lastRenderedPageBreak/>
        <w:t>Summary of Public Comments</w:t>
      </w:r>
      <w:bookmarkEnd w:id="46"/>
      <w:r>
        <w:t xml:space="preserve"> </w:t>
      </w:r>
      <w:bookmarkEnd w:id="44"/>
    </w:p>
    <w:p w:rsidRPr="00036329" w:rsidR="00036329" w:rsidP="00036329" w:rsidRDefault="00036329" w14:paraId="662E828F" w14:textId="77777777">
      <w:pPr>
        <w:pStyle w:val="Standard"/>
        <w:rPr>
          <w:rFonts w:ascii="Calibri" w:hAnsi="Calibri"/>
          <w:sz w:val="22"/>
        </w:rPr>
      </w:pPr>
      <w:r w:rsidRPr="00036329">
        <w:t>Rule 1.18 allows any member of the public to submit written comment in any Commission proceeding using the “Public Comment” tab of the online Docket Card for that proceeding on the Commission’s website.  Rule 1.18(b) requires that relevant written comment submitted in a proceeding be summarized in the final decision issued in that proceeding.</w:t>
      </w:r>
      <w:r w:rsidR="00962DB3">
        <w:t xml:space="preserve"> </w:t>
      </w:r>
      <w:r w:rsidR="00D43864">
        <w:t>No relevant written comment was submitted in this proceeding.</w:t>
      </w:r>
    </w:p>
    <w:p w:rsidRPr="00661D38" w:rsidR="00EF1A50" w:rsidP="004A46A6" w:rsidRDefault="00EF1A50" w14:paraId="21538F47" w14:textId="77777777">
      <w:pPr>
        <w:pStyle w:val="Heading1"/>
        <w:rPr>
          <w:rFonts w:cs="Arial"/>
        </w:rPr>
      </w:pPr>
      <w:bookmarkStart w:name="_Toc192843062" w:id="47"/>
      <w:r w:rsidRPr="00661D38">
        <w:rPr>
          <w:rFonts w:cs="Arial"/>
        </w:rPr>
        <w:t xml:space="preserve">Comments on </w:t>
      </w:r>
      <w:r w:rsidR="008F52A6">
        <w:rPr>
          <w:rFonts w:cs="Arial"/>
        </w:rPr>
        <w:t>Proposed</w:t>
      </w:r>
      <w:r w:rsidRPr="00661D38">
        <w:rPr>
          <w:rFonts w:cs="Arial"/>
        </w:rPr>
        <w:t xml:space="preserve"> Decision</w:t>
      </w:r>
      <w:bookmarkEnd w:id="45"/>
      <w:bookmarkEnd w:id="47"/>
    </w:p>
    <w:p w:rsidRPr="00DE0551" w:rsidR="008046CE" w:rsidP="00B02210" w:rsidRDefault="00BD609D" w14:paraId="1DAC5CC7" w14:textId="77777777">
      <w:pPr>
        <w:pStyle w:val="Standard"/>
        <w:rPr>
          <w:color w:val="000000"/>
        </w:rPr>
      </w:pPr>
      <w:r w:rsidRPr="00BD609D">
        <w:t xml:space="preserve">The proposed decision of ALJ </w:t>
      </w:r>
      <w:r w:rsidR="00D43864">
        <w:t>Eric Fredericks</w:t>
      </w:r>
      <w:r w:rsidRPr="00BD609D">
        <w:t xml:space="preserve"> in this</w:t>
      </w:r>
      <w:r>
        <w:t xml:space="preserve"> matter was mailed to the parties in accordance with Pub. Util. Code Section 311</w:t>
      </w:r>
      <w:r w:rsidR="0023261D">
        <w:t xml:space="preserve"> on February 7, 2025,</w:t>
      </w:r>
      <w:r>
        <w:t xml:space="preserve"> and comments were allowed under Rule 14.3 of the Commission’s Rules of Practice and Procedure. </w:t>
      </w:r>
      <w:r w:rsidR="0023261D">
        <w:t>No comments were filed</w:t>
      </w:r>
      <w:r w:rsidR="00EE17D1">
        <w:t xml:space="preserve"> and no </w:t>
      </w:r>
      <w:r w:rsidR="00105415">
        <w:t>revision</w:t>
      </w:r>
      <w:r w:rsidR="005E698B">
        <w:t>s</w:t>
      </w:r>
      <w:r w:rsidR="00EE17D1">
        <w:t xml:space="preserve"> were </w:t>
      </w:r>
      <w:r w:rsidR="00105415">
        <w:t>made to the proposed decision.</w:t>
      </w:r>
    </w:p>
    <w:p w:rsidRPr="00661D38" w:rsidR="00EF1A50" w:rsidP="004A46A6" w:rsidRDefault="00795814" w14:paraId="78700ACB" w14:textId="77777777">
      <w:pPr>
        <w:pStyle w:val="Heading1"/>
        <w:rPr>
          <w:rFonts w:cs="Arial"/>
        </w:rPr>
      </w:pPr>
      <w:bookmarkStart w:name="_Toc335049184" w:id="48"/>
      <w:bookmarkStart w:name="_Toc192843063" w:id="49"/>
      <w:r w:rsidRPr="00661D38">
        <w:rPr>
          <w:rFonts w:cs="Arial"/>
        </w:rPr>
        <w:t>Assignment of Proceeding</w:t>
      </w:r>
      <w:bookmarkEnd w:id="48"/>
      <w:bookmarkEnd w:id="49"/>
    </w:p>
    <w:p w:rsidRPr="00DE0551" w:rsidR="00EF1A50" w:rsidP="009156C6" w:rsidRDefault="009E23B9" w14:paraId="7D5AF90A" w14:textId="77777777">
      <w:pPr>
        <w:pStyle w:val="Standard"/>
      </w:pPr>
      <w:r>
        <w:t>Matthew Baker</w:t>
      </w:r>
      <w:r w:rsidRPr="00DE0551" w:rsidR="00EF1A50">
        <w:t xml:space="preserve"> is the </w:t>
      </w:r>
      <w:r w:rsidRPr="00DE0551" w:rsidR="00B26BFF">
        <w:t xml:space="preserve">assigned </w:t>
      </w:r>
      <w:r w:rsidRPr="00DE0551" w:rsidR="00EF1A50">
        <w:t xml:space="preserve">Commissioner and </w:t>
      </w:r>
      <w:r>
        <w:t>Eric Fredericks</w:t>
      </w:r>
      <w:r w:rsidRPr="00DE0551" w:rsidR="00EF1A50">
        <w:t xml:space="preserve"> is the assigned </w:t>
      </w:r>
      <w:r w:rsidR="001F3BE8">
        <w:t>ALJ</w:t>
      </w:r>
      <w:r w:rsidRPr="00DE0551" w:rsidR="00006662">
        <w:t xml:space="preserve"> </w:t>
      </w:r>
      <w:r w:rsidRPr="00DE0551" w:rsidR="00EF1A50">
        <w:t>in this proceeding.</w:t>
      </w:r>
    </w:p>
    <w:p w:rsidRPr="009E53B0" w:rsidR="00A94870" w:rsidP="009E135A" w:rsidRDefault="00A94870" w14:paraId="2610F908" w14:textId="77777777">
      <w:pPr>
        <w:pStyle w:val="Heading1"/>
        <w:numPr>
          <w:ilvl w:val="0"/>
          <w:numId w:val="0"/>
        </w:numPr>
        <w:rPr>
          <w:rFonts w:cs="Arial"/>
        </w:rPr>
      </w:pPr>
      <w:bookmarkStart w:name="_Toc450990219" w:id="50"/>
      <w:bookmarkStart w:name="_Toc451151266" w:id="51"/>
      <w:bookmarkStart w:name="_Toc335049185" w:id="52"/>
      <w:bookmarkStart w:name="_Toc192843064" w:id="53"/>
      <w:r w:rsidRPr="009E53B0">
        <w:rPr>
          <w:rFonts w:cs="Arial"/>
        </w:rPr>
        <w:t>Findings of Fact</w:t>
      </w:r>
      <w:bookmarkEnd w:id="50"/>
      <w:bookmarkEnd w:id="51"/>
      <w:bookmarkEnd w:id="52"/>
      <w:bookmarkEnd w:id="53"/>
    </w:p>
    <w:p w:rsidRPr="00E730D6" w:rsidR="00267F09" w:rsidP="009156C6" w:rsidRDefault="00FD33DF" w14:paraId="742E803E" w14:textId="77777777">
      <w:pPr>
        <w:pStyle w:val="FoF"/>
      </w:pPr>
      <w:proofErr w:type="spellStart"/>
      <w:r w:rsidRPr="009156C6">
        <w:t>WaveStreet</w:t>
      </w:r>
      <w:proofErr w:type="spellEnd"/>
      <w:r w:rsidRPr="00DE0551" w:rsidR="00267F09">
        <w:t xml:space="preserve"> </w:t>
      </w:r>
      <w:r w:rsidR="00267F09">
        <w:t xml:space="preserve">is a </w:t>
      </w:r>
      <w:r w:rsidRPr="00FD33DF">
        <w:t>corporation</w:t>
      </w:r>
      <w:r w:rsidR="00267F09">
        <w:t xml:space="preserve"> authorized to do business in California.</w:t>
      </w:r>
    </w:p>
    <w:p w:rsidRPr="00E730D6" w:rsidR="00E730D6" w:rsidP="009156C6" w:rsidRDefault="004C391C" w14:paraId="36FAD0A5" w14:textId="77777777">
      <w:pPr>
        <w:pStyle w:val="FoF"/>
      </w:pPr>
      <w:bookmarkStart w:name="_Hlk184730520" w:id="54"/>
      <w:bookmarkStart w:name="_Hlk183523853" w:id="55"/>
      <w:proofErr w:type="spellStart"/>
      <w:r w:rsidRPr="003845B0">
        <w:t>WaveStreet’s</w:t>
      </w:r>
      <w:proofErr w:type="spellEnd"/>
      <w:r w:rsidRPr="00DE0551">
        <w:rPr>
          <w:b/>
          <w:color w:val="0000FF"/>
        </w:rPr>
        <w:t xml:space="preserve"> </w:t>
      </w:r>
      <w:r w:rsidRPr="002D6965" w:rsidR="00E730D6">
        <w:rPr>
          <w:bCs/>
        </w:rPr>
        <w:t>principal place of business</w:t>
      </w:r>
      <w:r w:rsidRPr="002D6965" w:rsidR="00E730D6">
        <w:rPr>
          <w:szCs w:val="26"/>
        </w:rPr>
        <w:t xml:space="preserve"> </w:t>
      </w:r>
      <w:r w:rsidR="00E730D6">
        <w:rPr>
          <w:szCs w:val="26"/>
        </w:rPr>
        <w:t>is</w:t>
      </w:r>
      <w:r w:rsidRPr="004768C6" w:rsidR="00224BE2">
        <w:t xml:space="preserve"> located at </w:t>
      </w:r>
      <w:r w:rsidRPr="002E4E24" w:rsidR="00224BE2">
        <w:t>901 Campisi Way, Suite 180, Campbell, CA, 95008</w:t>
      </w:r>
      <w:r w:rsidR="00E730D6">
        <w:rPr>
          <w:szCs w:val="26"/>
        </w:rPr>
        <w:t>.</w:t>
      </w:r>
    </w:p>
    <w:bookmarkEnd w:id="54"/>
    <w:p w:rsidRPr="00850A72" w:rsidR="00850A72" w:rsidP="009156C6" w:rsidRDefault="002E202F" w14:paraId="4F23292D" w14:textId="77777777">
      <w:pPr>
        <w:pStyle w:val="FoF"/>
      </w:pPr>
      <w:proofErr w:type="spellStart"/>
      <w:r w:rsidRPr="003845B0">
        <w:t>WaveStreet</w:t>
      </w:r>
      <w:proofErr w:type="spellEnd"/>
      <w:r w:rsidRPr="00DE0551" w:rsidR="00333352">
        <w:rPr>
          <w:szCs w:val="26"/>
        </w:rPr>
        <w:t xml:space="preserve"> </w:t>
      </w:r>
      <w:r w:rsidRPr="009156C6" w:rsidR="00981DA0">
        <w:t>p</w:t>
      </w:r>
      <w:r w:rsidRPr="009156C6" w:rsidR="0040709E">
        <w:t>roposes</w:t>
      </w:r>
      <w:r w:rsidR="00981DA0">
        <w:rPr>
          <w:szCs w:val="26"/>
        </w:rPr>
        <w:t xml:space="preserve"> to provide </w:t>
      </w:r>
      <w:r w:rsidRPr="002E202F" w:rsidR="00981DA0">
        <w:rPr>
          <w:szCs w:val="26"/>
        </w:rPr>
        <w:t>fixed interconnected VoIP</w:t>
      </w:r>
      <w:r w:rsidR="00981DA0">
        <w:rPr>
          <w:szCs w:val="26"/>
        </w:rPr>
        <w:t xml:space="preserve"> services</w:t>
      </w:r>
      <w:r w:rsidRPr="00DE0551" w:rsidR="00333352">
        <w:rPr>
          <w:szCs w:val="26"/>
        </w:rPr>
        <w:t>.</w:t>
      </w:r>
      <w:bookmarkEnd w:id="55"/>
      <w:r w:rsidRPr="00DE0551" w:rsidR="00850A72">
        <w:t xml:space="preserve"> </w:t>
      </w:r>
    </w:p>
    <w:p w:rsidR="00FB7E02" w:rsidP="009156C6" w:rsidRDefault="00F12866" w14:paraId="12EF7805" w14:textId="77777777">
      <w:pPr>
        <w:pStyle w:val="FoF"/>
      </w:pPr>
      <w:proofErr w:type="spellStart"/>
      <w:r>
        <w:t>Wavestreet</w:t>
      </w:r>
      <w:proofErr w:type="spellEnd"/>
      <w:r>
        <w:t xml:space="preserve"> will not construct any facilities.</w:t>
      </w:r>
    </w:p>
    <w:p w:rsidRPr="00DE0551" w:rsidR="004E1673" w:rsidP="003845B0" w:rsidRDefault="004E1673" w14:paraId="07DC1509" w14:textId="77777777">
      <w:pPr>
        <w:pStyle w:val="FoF"/>
      </w:pPr>
      <w:bookmarkStart w:name="_Hlk183524155" w:id="56"/>
      <w:r>
        <w:t>Granting this CPCN will expand the availability of technologically advanced telecommunications services within the state.</w:t>
      </w:r>
    </w:p>
    <w:bookmarkEnd w:id="56"/>
    <w:p w:rsidRPr="00DE0551" w:rsidR="0062006F" w:rsidP="003845B0" w:rsidRDefault="00A71E8C" w14:paraId="211FBD1C" w14:textId="77777777">
      <w:pPr>
        <w:pStyle w:val="FoF"/>
      </w:pPr>
      <w:proofErr w:type="spellStart"/>
      <w:r w:rsidRPr="00FD33DF">
        <w:rPr>
          <w:szCs w:val="26"/>
        </w:rPr>
        <w:t>WaveStreet</w:t>
      </w:r>
      <w:proofErr w:type="spellEnd"/>
      <w:r w:rsidRPr="00DE0551" w:rsidR="0062006F">
        <w:t xml:space="preserve"> has a minimum of $</w:t>
      </w:r>
      <w:r>
        <w:t>25</w:t>
      </w:r>
      <w:r w:rsidRPr="00DE0551" w:rsidR="0062006F">
        <w:t>,000 of cash or cash equivalent that is reasonably liquid and readily available to meet its start</w:t>
      </w:r>
      <w:r w:rsidR="009E53B0">
        <w:noBreakHyphen/>
      </w:r>
      <w:r w:rsidRPr="00DE0551" w:rsidR="0062006F">
        <w:t>up expenses.</w:t>
      </w:r>
    </w:p>
    <w:p w:rsidRPr="00BE2CC3" w:rsidR="00BE2CC3" w:rsidP="003845B0" w:rsidRDefault="00BE2CC3" w14:paraId="59A68F8C" w14:textId="77777777">
      <w:pPr>
        <w:pStyle w:val="FoF"/>
      </w:pPr>
      <w:proofErr w:type="spellStart"/>
      <w:r>
        <w:lastRenderedPageBreak/>
        <w:t>Wavestreet</w:t>
      </w:r>
      <w:proofErr w:type="spellEnd"/>
      <w:r>
        <w:t xml:space="preserve"> </w:t>
      </w:r>
      <w:r w:rsidRPr="00DE0551">
        <w:t xml:space="preserve">has </w:t>
      </w:r>
      <w:r>
        <w:t>an additional $25,000</w:t>
      </w:r>
      <w:r w:rsidRPr="00DE0551">
        <w:t xml:space="preserve"> to cover deposits that may be required by other telephone corporations in order to provide the proposed service.</w:t>
      </w:r>
    </w:p>
    <w:p w:rsidRPr="00DE0551" w:rsidR="0062006F" w:rsidP="003845B0" w:rsidRDefault="00B74120" w14:paraId="65DDC66C" w14:textId="77777777">
      <w:pPr>
        <w:pStyle w:val="FoF"/>
      </w:pPr>
      <w:proofErr w:type="spellStart"/>
      <w:r w:rsidRPr="00FD33DF">
        <w:rPr>
          <w:szCs w:val="26"/>
        </w:rPr>
        <w:t>WaveStreet</w:t>
      </w:r>
      <w:r>
        <w:rPr>
          <w:szCs w:val="26"/>
        </w:rPr>
        <w:t>’s</w:t>
      </w:r>
      <w:proofErr w:type="spellEnd"/>
      <w:r w:rsidRPr="00155FCC" w:rsidR="0062006F">
        <w:rPr>
          <w:b/>
          <w:color w:val="0000FF"/>
        </w:rPr>
        <w:t xml:space="preserve"> </w:t>
      </w:r>
      <w:r w:rsidRPr="00DE0551" w:rsidR="0062006F">
        <w:t>management possesses sufficient experience</w:t>
      </w:r>
      <w:r w:rsidRPr="00DE0551" w:rsidR="00520E6A">
        <w:t xml:space="preserve">, </w:t>
      </w:r>
      <w:r w:rsidRPr="00DE0551" w:rsidR="0062006F">
        <w:t>knowledge</w:t>
      </w:r>
      <w:r w:rsidRPr="00DE0551" w:rsidR="00520E6A">
        <w:t>, and technical expertise</w:t>
      </w:r>
      <w:r w:rsidRPr="00DE0551" w:rsidR="0062006F">
        <w:t xml:space="preserve"> to provide</w:t>
      </w:r>
      <w:r w:rsidRPr="00F120DD" w:rsidR="0062006F">
        <w:t xml:space="preserve"> </w:t>
      </w:r>
      <w:r w:rsidRPr="00F120DD" w:rsidR="000019D5">
        <w:t>fixed interconnected VoIP</w:t>
      </w:r>
      <w:r w:rsidRPr="00F120DD" w:rsidR="0062006F">
        <w:t xml:space="preserve"> </w:t>
      </w:r>
      <w:r w:rsidRPr="00DE0551" w:rsidR="0062006F">
        <w:t>services to the public.</w:t>
      </w:r>
    </w:p>
    <w:p w:rsidRPr="00DE0551" w:rsidR="00F26A95" w:rsidP="003845B0" w:rsidRDefault="005B3BF6" w14:paraId="081211E7" w14:textId="77777777">
      <w:pPr>
        <w:pStyle w:val="FoF"/>
      </w:pPr>
      <w:bookmarkStart w:name="_Hlk183524749" w:id="57"/>
      <w:r w:rsidRPr="00DE0551">
        <w:t>N</w:t>
      </w:r>
      <w:r w:rsidRPr="00DE0551" w:rsidR="00714E78">
        <w:t xml:space="preserve">o one associated with or employed by </w:t>
      </w:r>
      <w:proofErr w:type="spellStart"/>
      <w:r w:rsidRPr="00FD33DF" w:rsidR="00F120DD">
        <w:rPr>
          <w:szCs w:val="26"/>
        </w:rPr>
        <w:t>WaveStreet</w:t>
      </w:r>
      <w:proofErr w:type="spellEnd"/>
      <w:r w:rsidRPr="00DE0551" w:rsidR="00F120DD">
        <w:t xml:space="preserve"> </w:t>
      </w:r>
      <w:r w:rsidRPr="00DE0551" w:rsidR="00714E78">
        <w:t xml:space="preserve">as an affiliate, officer, director, partner, </w:t>
      </w:r>
      <w:r w:rsidRPr="00DE0551" w:rsidR="00DA2EC4">
        <w:t xml:space="preserve">agent, </w:t>
      </w:r>
      <w:r w:rsidRPr="00DE0551" w:rsidR="00714E78">
        <w:t xml:space="preserve">or owner </w:t>
      </w:r>
      <w:r w:rsidRPr="00DE0551" w:rsidR="005D079F">
        <w:t xml:space="preserve">(directly or indirectly) </w:t>
      </w:r>
      <w:r w:rsidRPr="00DE0551" w:rsidR="00714E78">
        <w:t>of more</w:t>
      </w:r>
      <w:r w:rsidR="009E53B0">
        <w:t> </w:t>
      </w:r>
      <w:r w:rsidRPr="00DE0551" w:rsidR="00714E78">
        <w:t>than 10</w:t>
      </w:r>
      <w:r w:rsidR="009E53B0">
        <w:t> </w:t>
      </w:r>
      <w:r w:rsidRPr="00DE0551" w:rsidR="008F50E0">
        <w:t>percent</w:t>
      </w:r>
      <w:r w:rsidRPr="00DE0551" w:rsidR="00714E78">
        <w:t xml:space="preserve"> of </w:t>
      </w:r>
      <w:proofErr w:type="spellStart"/>
      <w:r w:rsidRPr="00FD33DF" w:rsidR="000E274C">
        <w:rPr>
          <w:szCs w:val="26"/>
        </w:rPr>
        <w:t>WaveStreet</w:t>
      </w:r>
      <w:proofErr w:type="spellEnd"/>
      <w:r w:rsidRPr="00DE0551" w:rsidR="00E76F0E">
        <w:t xml:space="preserve">, or anyone acting in a management capacity for </w:t>
      </w:r>
      <w:proofErr w:type="spellStart"/>
      <w:r w:rsidRPr="005011CA" w:rsidR="000E274C">
        <w:rPr>
          <w:szCs w:val="26"/>
        </w:rPr>
        <w:t>WaveStreet</w:t>
      </w:r>
      <w:proofErr w:type="spellEnd"/>
      <w:r w:rsidRPr="005011CA" w:rsidR="00DA2EC4">
        <w:rPr>
          <w:b/>
        </w:rPr>
        <w:t xml:space="preserve">: </w:t>
      </w:r>
      <w:r w:rsidRPr="00DE0551" w:rsidR="00A6220B">
        <w:rPr>
          <w:szCs w:val="26"/>
        </w:rPr>
        <w:t>(a)</w:t>
      </w:r>
      <w:r w:rsidR="009E53B0">
        <w:rPr>
          <w:szCs w:val="26"/>
        </w:rPr>
        <w:t> </w:t>
      </w:r>
      <w:r w:rsidRPr="00DE0551" w:rsidR="00A6220B">
        <w:rPr>
          <w:szCs w:val="26"/>
        </w:rPr>
        <w:t>held one of these positions with a company that filed for bankruptcy; (b)</w:t>
      </w:r>
      <w:r w:rsidR="009E53B0">
        <w:rPr>
          <w:szCs w:val="26"/>
        </w:rPr>
        <w:t> </w:t>
      </w:r>
      <w:r w:rsidRPr="00DE0551" w:rsidR="00A6220B">
        <w:rPr>
          <w:szCs w:val="26"/>
        </w:rPr>
        <w:t>been personally found liable, or held one of these positions with a company that has been found liable, for fraud, dishonesty, failure to disclose, or misrepresentations to consumers or others; (c)</w:t>
      </w:r>
      <w:r w:rsidR="009E53B0">
        <w:rPr>
          <w:szCs w:val="26"/>
        </w:rPr>
        <w:t> </w:t>
      </w:r>
      <w:r w:rsidRPr="00DE0551" w:rsidR="00A6220B">
        <w:rPr>
          <w:szCs w:val="26"/>
        </w:rPr>
        <w:t>been convicted of a felony; (d)</w:t>
      </w:r>
      <w:r w:rsidR="009E53B0">
        <w:rPr>
          <w:szCs w:val="26"/>
        </w:rPr>
        <w:t> </w:t>
      </w:r>
      <w:r w:rsidRPr="00DE0551" w:rsidR="00A6220B">
        <w:rPr>
          <w:szCs w:val="26"/>
        </w:rPr>
        <w:t>been the subject of a criminal referral by judge or public agency; (e)</w:t>
      </w:r>
      <w:r w:rsidR="009E53B0">
        <w:rPr>
          <w:szCs w:val="26"/>
        </w:rPr>
        <w:t> </w:t>
      </w:r>
      <w:r w:rsidRPr="00DE0551" w:rsidR="00A6220B">
        <w:rPr>
          <w:szCs w:val="26"/>
        </w:rPr>
        <w:t>had a telecommunications license or operating authority denied, suspended, revoked, or limited in any jurisdiction; (f)</w:t>
      </w:r>
      <w:r w:rsidR="009E53B0">
        <w:rPr>
          <w:szCs w:val="26"/>
        </w:rPr>
        <w:t> </w:t>
      </w:r>
      <w:r w:rsidRPr="00DE0551" w:rsidR="00A6220B">
        <w:rPr>
          <w:szCs w:val="26"/>
        </w:rPr>
        <w:t xml:space="preserve">personally entered into a settlement, or held one of these positions with a company that has entered into settlement of criminal or civil claims involving violations of </w:t>
      </w:r>
      <w:r w:rsidR="009E53B0">
        <w:t>S</w:t>
      </w:r>
      <w:r w:rsidR="002501AA">
        <w:t>ection</w:t>
      </w:r>
      <w:r w:rsidR="009E53B0">
        <w:t> </w:t>
      </w:r>
      <w:r w:rsidRPr="00DE0551" w:rsidR="00A6220B">
        <w:rPr>
          <w:szCs w:val="26"/>
        </w:rPr>
        <w:t>17000</w:t>
      </w:r>
      <w:r w:rsidR="009E53B0">
        <w:rPr>
          <w:szCs w:val="26"/>
        </w:rPr>
        <w:t> </w:t>
      </w:r>
      <w:r w:rsidRPr="001F3BE8" w:rsidR="00A6220B">
        <w:rPr>
          <w:i/>
          <w:szCs w:val="26"/>
        </w:rPr>
        <w:t>et</w:t>
      </w:r>
      <w:r w:rsidR="009E53B0">
        <w:rPr>
          <w:i/>
          <w:szCs w:val="26"/>
        </w:rPr>
        <w:t> </w:t>
      </w:r>
      <w:r w:rsidRPr="001F3BE8" w:rsidR="00A6220B">
        <w:rPr>
          <w:i/>
          <w:szCs w:val="26"/>
        </w:rPr>
        <w:t>seq</w:t>
      </w:r>
      <w:r w:rsidRPr="00DE0551" w:rsidR="00A6220B">
        <w:rPr>
          <w:iCs/>
          <w:szCs w:val="26"/>
        </w:rPr>
        <w:t>.,</w:t>
      </w:r>
      <w:r w:rsidRPr="00DE0551" w:rsidR="00A6220B">
        <w:rPr>
          <w:i/>
          <w:iCs/>
          <w:szCs w:val="26"/>
        </w:rPr>
        <w:t xml:space="preserve"> </w:t>
      </w:r>
      <w:r w:rsidR="009E53B0">
        <w:t>S</w:t>
      </w:r>
      <w:r w:rsidR="002501AA">
        <w:t>ection</w:t>
      </w:r>
      <w:r w:rsidR="009E53B0">
        <w:t> </w:t>
      </w:r>
      <w:r w:rsidRPr="00DE0551" w:rsidR="00A6220B">
        <w:rPr>
          <w:szCs w:val="26"/>
        </w:rPr>
        <w:t>17200</w:t>
      </w:r>
      <w:r w:rsidR="009E53B0">
        <w:rPr>
          <w:szCs w:val="26"/>
        </w:rPr>
        <w:t> </w:t>
      </w:r>
      <w:r w:rsidRPr="001F3BE8" w:rsidR="00A6220B">
        <w:rPr>
          <w:i/>
          <w:szCs w:val="26"/>
        </w:rPr>
        <w:t>et</w:t>
      </w:r>
      <w:r w:rsidR="009E53B0">
        <w:rPr>
          <w:i/>
          <w:szCs w:val="26"/>
        </w:rPr>
        <w:t> </w:t>
      </w:r>
      <w:r w:rsidRPr="001F3BE8" w:rsidR="00A6220B">
        <w:rPr>
          <w:i/>
          <w:szCs w:val="26"/>
        </w:rPr>
        <w:t>seq.,</w:t>
      </w:r>
      <w:r w:rsidRPr="00DE0551" w:rsidR="00A6220B">
        <w:rPr>
          <w:i/>
          <w:iCs/>
          <w:szCs w:val="26"/>
        </w:rPr>
        <w:t xml:space="preserve"> </w:t>
      </w:r>
      <w:r w:rsidRPr="00DE0551" w:rsidR="00A6220B">
        <w:rPr>
          <w:szCs w:val="26"/>
        </w:rPr>
        <w:t xml:space="preserve">or </w:t>
      </w:r>
      <w:r w:rsidR="009E53B0">
        <w:t>S</w:t>
      </w:r>
      <w:r w:rsidR="002501AA">
        <w:t>ection</w:t>
      </w:r>
      <w:r w:rsidR="009E53B0">
        <w:t> </w:t>
      </w:r>
      <w:r w:rsidRPr="00DE0551" w:rsidR="00A6220B">
        <w:rPr>
          <w:szCs w:val="26"/>
        </w:rPr>
        <w:t>17500</w:t>
      </w:r>
      <w:r w:rsidR="009E53B0">
        <w:rPr>
          <w:szCs w:val="26"/>
        </w:rPr>
        <w:t> </w:t>
      </w:r>
      <w:r w:rsidRPr="001F3BE8" w:rsidR="00A6220B">
        <w:rPr>
          <w:i/>
          <w:szCs w:val="26"/>
        </w:rPr>
        <w:t>et</w:t>
      </w:r>
      <w:r w:rsidR="009E53B0">
        <w:rPr>
          <w:i/>
          <w:szCs w:val="26"/>
        </w:rPr>
        <w:t> </w:t>
      </w:r>
      <w:r w:rsidRPr="001F3BE8" w:rsidR="00A6220B">
        <w:rPr>
          <w:i/>
          <w:szCs w:val="26"/>
        </w:rPr>
        <w:t>seq.</w:t>
      </w:r>
      <w:r w:rsidRPr="00DE0551" w:rsidR="00A6220B">
        <w:rPr>
          <w:iCs/>
          <w:szCs w:val="26"/>
        </w:rPr>
        <w:t xml:space="preserve"> </w:t>
      </w:r>
      <w:r w:rsidRPr="00DE0551" w:rsidR="00A6220B">
        <w:rPr>
          <w:szCs w:val="26"/>
        </w:rPr>
        <w:t>of the California Business &amp; Professions Code, or of any other statute, regulation, or decisional law relating to fraud, dishonesty, failure to disclose, or misrepresentations to consumers or others; (g)</w:t>
      </w:r>
      <w:r w:rsidR="00EB362F">
        <w:rPr>
          <w:szCs w:val="26"/>
        </w:rPr>
        <w:t> </w:t>
      </w:r>
      <w:r w:rsidRPr="00DE0551" w:rsidR="00A6220B">
        <w:rPr>
          <w:szCs w:val="26"/>
        </w:rPr>
        <w:t>been found to have violated any statute, law, or rule pertaining to public utilities or</w:t>
      </w:r>
      <w:r w:rsidRPr="00DE0551" w:rsidR="004F13D6">
        <w:rPr>
          <w:szCs w:val="26"/>
        </w:rPr>
        <w:t xml:space="preserve"> other regulated industries; </w:t>
      </w:r>
      <w:r w:rsidRPr="00DE0551" w:rsidR="009A5D3D">
        <w:rPr>
          <w:szCs w:val="26"/>
        </w:rPr>
        <w:t xml:space="preserve">or </w:t>
      </w:r>
      <w:r w:rsidRPr="00DE0551" w:rsidR="00A6220B">
        <w:rPr>
          <w:szCs w:val="26"/>
        </w:rPr>
        <w:t>(h)</w:t>
      </w:r>
      <w:r w:rsidR="00EB362F">
        <w:rPr>
          <w:szCs w:val="26"/>
        </w:rPr>
        <w:t> </w:t>
      </w:r>
      <w:r w:rsidRPr="00DE0551" w:rsidR="00A6220B">
        <w:rPr>
          <w:szCs w:val="26"/>
        </w:rPr>
        <w:t xml:space="preserve">entered into any settlement agreements or made any voluntary payments or agreed to any other type of monetary forfeitures in resolution of any action by any regulatory body, agency, </w:t>
      </w:r>
      <w:r w:rsidRPr="00DE0551" w:rsidR="004F13D6">
        <w:rPr>
          <w:szCs w:val="26"/>
        </w:rPr>
        <w:t>or attorney general</w:t>
      </w:r>
      <w:r w:rsidRPr="00DE0551" w:rsidR="00F26A95">
        <w:rPr>
          <w:szCs w:val="26"/>
        </w:rPr>
        <w:t>.</w:t>
      </w:r>
    </w:p>
    <w:bookmarkEnd w:id="57"/>
    <w:p w:rsidRPr="00DE0551" w:rsidR="00A6220B" w:rsidP="003845B0" w:rsidRDefault="00F26A95" w14:paraId="38457747" w14:textId="77777777">
      <w:pPr>
        <w:pStyle w:val="FoF"/>
      </w:pPr>
      <w:r w:rsidRPr="00DE0551">
        <w:lastRenderedPageBreak/>
        <w:t xml:space="preserve">To the best of </w:t>
      </w:r>
      <w:proofErr w:type="spellStart"/>
      <w:r w:rsidRPr="00FD33DF" w:rsidR="000E274C">
        <w:rPr>
          <w:szCs w:val="26"/>
        </w:rPr>
        <w:t>WaveStreet</w:t>
      </w:r>
      <w:r w:rsidRPr="00DE0551">
        <w:t>’s</w:t>
      </w:r>
      <w:proofErr w:type="spellEnd"/>
      <w:r w:rsidRPr="00DE0551">
        <w:t xml:space="preserve"> knowledge, neither </w:t>
      </w:r>
      <w:proofErr w:type="spellStart"/>
      <w:r w:rsidRPr="00FD33DF" w:rsidR="000E274C">
        <w:rPr>
          <w:szCs w:val="26"/>
        </w:rPr>
        <w:t>WaveStreet</w:t>
      </w:r>
      <w:proofErr w:type="spellEnd"/>
      <w:r w:rsidRPr="00DE0551">
        <w:t>, or any affiliate, officer, director, partner, nor owner of more</w:t>
      </w:r>
      <w:r w:rsidR="00EB362F">
        <w:t> </w:t>
      </w:r>
      <w:r w:rsidRPr="00DE0551">
        <w:t>than 10</w:t>
      </w:r>
      <w:r w:rsidR="00EB362F">
        <w:t> </w:t>
      </w:r>
      <w:r w:rsidRPr="00DE0551" w:rsidR="00CA0F8E">
        <w:t>percent</w:t>
      </w:r>
      <w:r w:rsidRPr="00DE0551">
        <w:t xml:space="preserve"> of </w:t>
      </w:r>
      <w:proofErr w:type="spellStart"/>
      <w:r w:rsidRPr="00FD33DF" w:rsidR="000E274C">
        <w:rPr>
          <w:szCs w:val="26"/>
        </w:rPr>
        <w:t>WaveStreet</w:t>
      </w:r>
      <w:proofErr w:type="spellEnd"/>
      <w:r w:rsidRPr="00DE0551">
        <w:t xml:space="preserve">, or any person acting in such capacity whether or not formally appointed, is being, or has been investigated by the </w:t>
      </w:r>
      <w:r w:rsidR="002F5064">
        <w:t>FCC</w:t>
      </w:r>
      <w:r w:rsidRPr="00DE0551">
        <w:t xml:space="preserve"> or any law enforcement or regulatory agency for failure to comply with any law, rule or order.</w:t>
      </w:r>
    </w:p>
    <w:p w:rsidRPr="002028E2" w:rsidR="00CD4D17" w:rsidP="003845B0" w:rsidRDefault="002028E2" w14:paraId="5BFDA6A6" w14:textId="77777777">
      <w:pPr>
        <w:pStyle w:val="FoF"/>
      </w:pPr>
      <w:proofErr w:type="spellStart"/>
      <w:r w:rsidRPr="002028E2">
        <w:rPr>
          <w:szCs w:val="26"/>
        </w:rPr>
        <w:t>WaveStreet</w:t>
      </w:r>
      <w:proofErr w:type="spellEnd"/>
      <w:r w:rsidRPr="002028E2" w:rsidR="00E16F00">
        <w:t xml:space="preserve"> requested and is eligible for exemption from tariffing requirements and must observe the consumer protection rules adopted in D.98</w:t>
      </w:r>
      <w:r w:rsidRPr="002028E2" w:rsidR="00EB362F">
        <w:noBreakHyphen/>
      </w:r>
      <w:r w:rsidRPr="002028E2" w:rsidR="00E16F00">
        <w:t>08</w:t>
      </w:r>
      <w:r w:rsidRPr="002028E2" w:rsidR="066EAE21">
        <w:t>-</w:t>
      </w:r>
      <w:r w:rsidRPr="002028E2" w:rsidR="00E16F00">
        <w:t>031</w:t>
      </w:r>
      <w:r w:rsidRPr="002028E2" w:rsidR="00DC60B5">
        <w:t xml:space="preserve"> and D.24-11</w:t>
      </w:r>
      <w:r w:rsidRPr="002028E2" w:rsidR="003B34A1">
        <w:t>-</w:t>
      </w:r>
      <w:r w:rsidRPr="002028E2" w:rsidR="00DC60B5">
        <w:t>0</w:t>
      </w:r>
      <w:r w:rsidRPr="002028E2" w:rsidR="2F0BBF51">
        <w:t>03</w:t>
      </w:r>
      <w:r w:rsidRPr="002028E2" w:rsidR="0062006F">
        <w:t>.</w:t>
      </w:r>
    </w:p>
    <w:p w:rsidRPr="002028E2" w:rsidR="00FE308F" w:rsidP="003845B0" w:rsidRDefault="00ED528F" w14:paraId="2CEF0F90" w14:textId="77777777">
      <w:pPr>
        <w:pStyle w:val="FoF"/>
      </w:pPr>
      <w:r w:rsidRPr="002028E2">
        <w:rPr>
          <w:i/>
          <w:color w:val="0000FF"/>
          <w:szCs w:val="26"/>
        </w:rPr>
        <w:t xml:space="preserve"> </w:t>
      </w:r>
      <w:proofErr w:type="spellStart"/>
      <w:r w:rsidRPr="003845B0" w:rsidR="002028E2">
        <w:t>WaveStreet</w:t>
      </w:r>
      <w:proofErr w:type="spellEnd"/>
      <w:r w:rsidRPr="002028E2">
        <w:t xml:space="preserve"> </w:t>
      </w:r>
      <w:r w:rsidRPr="002028E2" w:rsidR="00404664">
        <w:t>proposes to</w:t>
      </w:r>
      <w:r w:rsidRPr="002028E2">
        <w:t xml:space="preserve"> operate </w:t>
      </w:r>
      <w:r w:rsidRPr="002028E2" w:rsidR="00766840">
        <w:t>throughout California</w:t>
      </w:r>
      <w:r w:rsidRPr="002028E2">
        <w:t>.</w:t>
      </w:r>
    </w:p>
    <w:p w:rsidRPr="00605D3E" w:rsidR="00605D3E" w:rsidP="003845B0" w:rsidRDefault="003344F2" w14:paraId="6A34D84F" w14:textId="77777777">
      <w:pPr>
        <w:pStyle w:val="FoF"/>
      </w:pPr>
      <w:proofErr w:type="spellStart"/>
      <w:r w:rsidRPr="003845B0">
        <w:t>WaveStreet</w:t>
      </w:r>
      <w:proofErr w:type="spellEnd"/>
      <w:r w:rsidRPr="00605D3E">
        <w:t xml:space="preserve"> </w:t>
      </w:r>
      <w:r w:rsidRPr="00605D3E" w:rsidR="00605D3E">
        <w:t>is eligible for all exemptions</w:t>
      </w:r>
      <w:r w:rsidR="00605D3E">
        <w:t xml:space="preserve"> traditionally accorded NDIECs</w:t>
      </w:r>
      <w:r w:rsidR="00585F2B">
        <w:t xml:space="preserve"> through </w:t>
      </w:r>
      <w:r w:rsidR="00A2484A">
        <w:t>D.24-11-003, without need for an individual grant of such treatment in this decision.</w:t>
      </w:r>
      <w:r w:rsidRPr="00605D3E" w:rsidR="00605D3E">
        <w:t xml:space="preserve"> </w:t>
      </w:r>
    </w:p>
    <w:p w:rsidRPr="008B46C6" w:rsidR="008B46C6" w:rsidP="003845B0" w:rsidRDefault="00114BCD" w14:paraId="085B361B" w14:textId="77777777">
      <w:pPr>
        <w:pStyle w:val="FoF"/>
      </w:pPr>
      <w:proofErr w:type="spellStart"/>
      <w:r w:rsidRPr="003845B0">
        <w:t>WaveStreet</w:t>
      </w:r>
      <w:proofErr w:type="spellEnd"/>
      <w:r w:rsidR="008B46C6">
        <w:rPr>
          <w:b/>
          <w:bCs/>
          <w:color w:val="0000FF"/>
        </w:rPr>
        <w:t xml:space="preserve"> </w:t>
      </w:r>
      <w:r w:rsidRPr="008B46C6" w:rsidR="008B46C6">
        <w:t>will meet the Commission’s minimum safety goals.</w:t>
      </w:r>
    </w:p>
    <w:p w:rsidRPr="00DE0551" w:rsidR="008046CE" w:rsidP="003845B0" w:rsidRDefault="00114BCD" w14:paraId="2E375066" w14:textId="77777777">
      <w:pPr>
        <w:pStyle w:val="FoF"/>
      </w:pPr>
      <w:proofErr w:type="spellStart"/>
      <w:r w:rsidRPr="003845B0">
        <w:t>WaveStreet</w:t>
      </w:r>
      <w:proofErr w:type="spellEnd"/>
      <w:r w:rsidRPr="4372617A" w:rsidR="00E16F00">
        <w:rPr>
          <w:b/>
          <w:bCs/>
          <w:color w:val="0000FF"/>
        </w:rPr>
        <w:t xml:space="preserve"> </w:t>
      </w:r>
      <w:r w:rsidRPr="4372617A" w:rsidR="008046CE">
        <w:t>filed</w:t>
      </w:r>
      <w:r w:rsidRPr="4372617A" w:rsidR="00595514">
        <w:t xml:space="preserve"> documents which have a presumption of confidentiality pursuant to D.24-11-0</w:t>
      </w:r>
      <w:r w:rsidRPr="4372617A" w:rsidR="5B518242">
        <w:t>03</w:t>
      </w:r>
      <w:r w:rsidRPr="4372617A" w:rsidR="00595514">
        <w:t xml:space="preserve"> and GO 66-D</w:t>
      </w:r>
      <w:r w:rsidRPr="4372617A" w:rsidR="00E16F00">
        <w:rPr>
          <w:i/>
          <w:iCs/>
          <w:color w:val="0000FF"/>
        </w:rPr>
        <w:t>.</w:t>
      </w:r>
    </w:p>
    <w:p w:rsidRPr="00EB362F" w:rsidR="00A94870" w:rsidP="009B6CB1" w:rsidRDefault="00A94870" w14:paraId="1B142170" w14:textId="77777777">
      <w:pPr>
        <w:pStyle w:val="Heading1"/>
        <w:numPr>
          <w:ilvl w:val="0"/>
          <w:numId w:val="0"/>
        </w:numPr>
        <w:rPr>
          <w:rFonts w:cs="Arial"/>
        </w:rPr>
      </w:pPr>
      <w:bookmarkStart w:name="_Toc450990220" w:id="58"/>
      <w:bookmarkStart w:name="_Toc451151267" w:id="59"/>
      <w:bookmarkStart w:name="_Toc335049186" w:id="60"/>
      <w:bookmarkStart w:name="_Toc192843065" w:id="61"/>
      <w:r w:rsidRPr="00EB362F">
        <w:rPr>
          <w:rFonts w:cs="Arial"/>
        </w:rPr>
        <w:t>Conclusions of Law</w:t>
      </w:r>
      <w:bookmarkEnd w:id="58"/>
      <w:bookmarkEnd w:id="59"/>
      <w:bookmarkEnd w:id="60"/>
      <w:bookmarkEnd w:id="61"/>
    </w:p>
    <w:p w:rsidRPr="00F43A79" w:rsidR="00E453C6" w:rsidP="003845B0" w:rsidRDefault="00850B49" w14:paraId="6E538AFE" w14:textId="77777777">
      <w:pPr>
        <w:pStyle w:val="CoL"/>
      </w:pPr>
      <w:proofErr w:type="spellStart"/>
      <w:r w:rsidRPr="00FD33DF">
        <w:rPr>
          <w:szCs w:val="26"/>
        </w:rPr>
        <w:t>WaveStreet</w:t>
      </w:r>
      <w:proofErr w:type="spellEnd"/>
      <w:r w:rsidRPr="00DE0551" w:rsidR="00E453C6">
        <w:t xml:space="preserve"> should be granted a CPCN to provide</w:t>
      </w:r>
      <w:r w:rsidRPr="000A5317" w:rsidR="00E453C6">
        <w:t xml:space="preserve"> </w:t>
      </w:r>
      <w:r w:rsidR="00907A1B">
        <w:t>non-facilities-based</w:t>
      </w:r>
      <w:r w:rsidRPr="000A5317" w:rsidR="00E453C6">
        <w:t xml:space="preserve"> fixed interconnected </w:t>
      </w:r>
      <w:r w:rsidR="00C850A6">
        <w:t>VoIP</w:t>
      </w:r>
      <w:r w:rsidRPr="000A5317" w:rsidR="00E453C6">
        <w:t xml:space="preserve"> services </w:t>
      </w:r>
      <w:r w:rsidRPr="00771407" w:rsidR="00771407">
        <w:t>t</w:t>
      </w:r>
      <w:r w:rsidRPr="00771407" w:rsidR="00E453C6">
        <w:t>hroughout California,</w:t>
      </w:r>
      <w:r w:rsidRPr="00DE0551" w:rsidR="00E453C6">
        <w:t xml:space="preserve"> subject to the terms and conditions set forth in </w:t>
      </w:r>
      <w:r w:rsidR="00F43A79">
        <w:t>this decision.</w:t>
      </w:r>
    </w:p>
    <w:p w:rsidRPr="00B5463A" w:rsidR="00B5463A" w:rsidP="003845B0" w:rsidRDefault="0023451C" w14:paraId="16083327" w14:textId="77777777">
      <w:pPr>
        <w:pStyle w:val="CoL"/>
      </w:pPr>
      <w:proofErr w:type="spellStart"/>
      <w:r w:rsidRPr="00FD33DF">
        <w:rPr>
          <w:szCs w:val="26"/>
        </w:rPr>
        <w:t>WaveStreet</w:t>
      </w:r>
      <w:proofErr w:type="spellEnd"/>
      <w:r w:rsidRPr="00DE0551" w:rsidR="00B5463A">
        <w:rPr>
          <w:szCs w:val="26"/>
        </w:rPr>
        <w:t xml:space="preserve"> is a telephone corporation and a public utility as defined in Pub.</w:t>
      </w:r>
      <w:r w:rsidR="00B5463A">
        <w:rPr>
          <w:szCs w:val="26"/>
        </w:rPr>
        <w:t> </w:t>
      </w:r>
      <w:r w:rsidRPr="00DE0551" w:rsidR="00B5463A">
        <w:rPr>
          <w:szCs w:val="26"/>
        </w:rPr>
        <w:t>Util. Code</w:t>
      </w:r>
      <w:r w:rsidR="00B5463A">
        <w:rPr>
          <w:szCs w:val="26"/>
        </w:rPr>
        <w:t> S</w:t>
      </w:r>
      <w:r w:rsidR="00B5463A">
        <w:t>ections </w:t>
      </w:r>
      <w:r w:rsidRPr="00DE0551" w:rsidR="00B5463A">
        <w:rPr>
          <w:szCs w:val="26"/>
        </w:rPr>
        <w:t>234(a) and 216(a).</w:t>
      </w:r>
    </w:p>
    <w:p w:rsidRPr="00CA7555" w:rsidR="00CA7555" w:rsidP="003845B0" w:rsidRDefault="003D5D9D" w14:paraId="539F22D4" w14:textId="77777777">
      <w:pPr>
        <w:pStyle w:val="CoL"/>
      </w:pPr>
      <w:proofErr w:type="spellStart"/>
      <w:r w:rsidRPr="00FD33DF">
        <w:rPr>
          <w:szCs w:val="26"/>
        </w:rPr>
        <w:t>WaveStreet</w:t>
      </w:r>
      <w:proofErr w:type="spellEnd"/>
      <w:r w:rsidRPr="00DE0551">
        <w:t xml:space="preserve"> </w:t>
      </w:r>
      <w:r w:rsidRPr="00DE0551" w:rsidR="00CA7555">
        <w:t xml:space="preserve">should be granted </w:t>
      </w:r>
      <w:r w:rsidR="005D6B8A">
        <w:t>non-facilities-based</w:t>
      </w:r>
      <w:r w:rsidR="00CA7555">
        <w:t xml:space="preserve"> </w:t>
      </w:r>
      <w:r w:rsidR="00B864DA">
        <w:t>fixed interconnected VoIP</w:t>
      </w:r>
      <w:r w:rsidRPr="00DE0551" w:rsidR="00CA7555">
        <w:t xml:space="preserve"> authority and may not construct any facilities</w:t>
      </w:r>
      <w:r w:rsidR="00CA7555">
        <w:t>,</w:t>
      </w:r>
      <w:r w:rsidRPr="00DE0551" w:rsidR="00CA7555">
        <w:t xml:space="preserve"> </w:t>
      </w:r>
      <w:r w:rsidR="00CA7555">
        <w:t>including</w:t>
      </w:r>
      <w:r w:rsidRPr="00DE0551" w:rsidR="00CA7555">
        <w:t xml:space="preserve"> equipment in existing buildings or structures.</w:t>
      </w:r>
    </w:p>
    <w:p w:rsidRPr="00936834" w:rsidR="00AE0232" w:rsidP="003845B0" w:rsidRDefault="00AE0232" w14:paraId="1B07F9AE" w14:textId="77777777">
      <w:pPr>
        <w:pStyle w:val="CoL"/>
      </w:pPr>
      <w:bookmarkStart w:name="_Hlk183525004" w:id="62"/>
      <w:r w:rsidRPr="003845B0">
        <w:rPr>
          <w:szCs w:val="26"/>
        </w:rPr>
        <w:t>Granting</w:t>
      </w:r>
      <w:r>
        <w:t xml:space="preserve"> </w:t>
      </w:r>
      <w:proofErr w:type="spellStart"/>
      <w:r w:rsidRPr="00FD33DF" w:rsidR="00FB606C">
        <w:rPr>
          <w:szCs w:val="26"/>
        </w:rPr>
        <w:t>WaveStreet</w:t>
      </w:r>
      <w:proofErr w:type="spellEnd"/>
      <w:r>
        <w:rPr>
          <w:b/>
          <w:bCs/>
          <w:color w:val="0000FF"/>
        </w:rPr>
        <w:t xml:space="preserve"> </w:t>
      </w:r>
      <w:r w:rsidRPr="00AE0232">
        <w:t>a CPCN is in the public interest.</w:t>
      </w:r>
    </w:p>
    <w:p w:rsidR="0002014A" w:rsidP="003845B0" w:rsidRDefault="00FB606C" w14:paraId="1C0259CF" w14:textId="77777777">
      <w:pPr>
        <w:pStyle w:val="CoL"/>
      </w:pPr>
      <w:bookmarkStart w:name="_Hlk183525046" w:id="63"/>
      <w:bookmarkEnd w:id="62"/>
      <w:proofErr w:type="spellStart"/>
      <w:r w:rsidRPr="00FD33DF">
        <w:rPr>
          <w:szCs w:val="26"/>
        </w:rPr>
        <w:lastRenderedPageBreak/>
        <w:t>WaveStreet</w:t>
      </w:r>
      <w:proofErr w:type="spellEnd"/>
      <w:r w:rsidRPr="00DE0551" w:rsidR="0002014A">
        <w:t xml:space="preserve"> </w:t>
      </w:r>
      <w:r w:rsidR="0002014A">
        <w:t xml:space="preserve">meets the financial requirements </w:t>
      </w:r>
      <w:r w:rsidR="00E61596">
        <w:t xml:space="preserve">for a CPCN </w:t>
      </w:r>
      <w:r w:rsidR="0002014A">
        <w:t>pursuant to D.24</w:t>
      </w:r>
      <w:r w:rsidR="000367DC">
        <w:noBreakHyphen/>
      </w:r>
      <w:r w:rsidR="0002014A">
        <w:t>11-003.</w:t>
      </w:r>
    </w:p>
    <w:bookmarkEnd w:id="63"/>
    <w:p w:rsidRPr="00BC6CE3" w:rsidR="00BC6CE3" w:rsidP="003845B0" w:rsidRDefault="00514348" w14:paraId="213C2C9F" w14:textId="77777777">
      <w:pPr>
        <w:pStyle w:val="CoL"/>
      </w:pPr>
      <w:proofErr w:type="spellStart"/>
      <w:r w:rsidRPr="00FD33DF">
        <w:rPr>
          <w:szCs w:val="26"/>
        </w:rPr>
        <w:t>WaveStreet</w:t>
      </w:r>
      <w:proofErr w:type="spellEnd"/>
      <w:r w:rsidRPr="4372617A">
        <w:t xml:space="preserve"> </w:t>
      </w:r>
      <w:r w:rsidRPr="4372617A" w:rsidR="00BC6CE3">
        <w:t xml:space="preserve">should demonstrate that it maintained at least </w:t>
      </w:r>
      <w:r>
        <w:t>$25,000</w:t>
      </w:r>
      <w:r w:rsidRPr="4372617A" w:rsidR="00BC6CE3">
        <w:t xml:space="preserve"> that was reasonably liquid and available for its first year of operations by providing the California Public Utilities Commission’s Communications Division with a confidential copy of its updated financial documentation at both six and 12</w:t>
      </w:r>
      <w:r w:rsidR="00562223">
        <w:t> </w:t>
      </w:r>
      <w:r w:rsidRPr="4372617A" w:rsidR="00BC6CE3">
        <w:t xml:space="preserve">months from the issuance date of this decision by providing updated bank statements within eight and 14 months, respectively, as an information-only submittal by email to </w:t>
      </w:r>
      <w:hyperlink r:id="rId20">
        <w:r w:rsidRPr="4372617A" w:rsidR="00BC6CE3">
          <w:rPr>
            <w:rStyle w:val="Hyperlink"/>
          </w:rPr>
          <w:t>cdcompliance@cpuc.ca.gov</w:t>
        </w:r>
      </w:hyperlink>
      <w:r w:rsidRPr="4372617A" w:rsidR="00BC6CE3">
        <w:t>.</w:t>
      </w:r>
    </w:p>
    <w:p w:rsidR="00772A89" w:rsidP="003845B0" w:rsidRDefault="00514348" w14:paraId="1C88A21C" w14:textId="77777777">
      <w:pPr>
        <w:pStyle w:val="CoL"/>
      </w:pPr>
      <w:bookmarkStart w:name="_Hlk183525076" w:id="64"/>
      <w:proofErr w:type="spellStart"/>
      <w:r w:rsidRPr="00FD33DF">
        <w:rPr>
          <w:szCs w:val="26"/>
        </w:rPr>
        <w:t>WaveStreet</w:t>
      </w:r>
      <w:proofErr w:type="spellEnd"/>
      <w:r w:rsidRPr="00DE0551" w:rsidR="00772A89">
        <w:t xml:space="preserve"> </w:t>
      </w:r>
      <w:r w:rsidR="00772A89">
        <w:t xml:space="preserve">meets the technical managerial requirements </w:t>
      </w:r>
      <w:r w:rsidR="00E61596">
        <w:t xml:space="preserve">for a CPCN </w:t>
      </w:r>
      <w:r w:rsidR="00772A89">
        <w:t>pursuant to D.13-05-013 and D.24-11-003.</w:t>
      </w:r>
    </w:p>
    <w:p w:rsidR="00772A89" w:rsidP="003845B0" w:rsidRDefault="00443362" w14:paraId="40BFD78D" w14:textId="77777777">
      <w:pPr>
        <w:pStyle w:val="CoL"/>
      </w:pPr>
      <w:bookmarkStart w:name="_Hlk183525103" w:id="65"/>
      <w:bookmarkEnd w:id="64"/>
      <w:proofErr w:type="spellStart"/>
      <w:r w:rsidRPr="00FD33DF">
        <w:rPr>
          <w:szCs w:val="26"/>
        </w:rPr>
        <w:t>WaveStreet</w:t>
      </w:r>
      <w:proofErr w:type="spellEnd"/>
      <w:r w:rsidRPr="00DE0551" w:rsidR="00772A89">
        <w:t xml:space="preserve"> </w:t>
      </w:r>
      <w:r w:rsidR="00772A89">
        <w:t xml:space="preserve">meets the certification requirements </w:t>
      </w:r>
      <w:r w:rsidR="00E61596">
        <w:t xml:space="preserve">for a CPCN </w:t>
      </w:r>
      <w:r w:rsidR="00772A89">
        <w:t>pursuant to D.13-05-013 and D.24-11-003.</w:t>
      </w:r>
    </w:p>
    <w:p w:rsidRPr="00E270C9" w:rsidR="00BC6CE3" w:rsidP="003845B0" w:rsidRDefault="00E270C9" w14:paraId="1ABD0BB9" w14:textId="77777777">
      <w:pPr>
        <w:pStyle w:val="CoL"/>
      </w:pPr>
      <w:bookmarkStart w:name="_Hlk161468709" w:id="66"/>
      <w:bookmarkEnd w:id="65"/>
      <w:proofErr w:type="spellStart"/>
      <w:r w:rsidRPr="00E270C9">
        <w:rPr>
          <w:szCs w:val="26"/>
        </w:rPr>
        <w:t>WaveStreet</w:t>
      </w:r>
      <w:proofErr w:type="spellEnd"/>
      <w:r w:rsidRPr="00E270C9">
        <w:rPr>
          <w:bCs/>
          <w:color w:val="000000" w:themeColor="text1"/>
        </w:rPr>
        <w:t xml:space="preserve"> </w:t>
      </w:r>
      <w:r w:rsidRPr="00E270C9" w:rsidR="00BC6CE3">
        <w:rPr>
          <w:bCs/>
          <w:color w:val="000000" w:themeColor="text1"/>
        </w:rPr>
        <w:t>is exempt from tariffing.</w:t>
      </w:r>
      <w:r w:rsidRPr="00E270C9" w:rsidR="00BC6CE3">
        <w:rPr>
          <w:color w:val="000000" w:themeColor="text1"/>
        </w:rPr>
        <w:t xml:space="preserve"> In the future, if </w:t>
      </w:r>
      <w:proofErr w:type="spellStart"/>
      <w:r w:rsidRPr="00E270C9">
        <w:rPr>
          <w:szCs w:val="26"/>
        </w:rPr>
        <w:t>WaveStreet</w:t>
      </w:r>
      <w:proofErr w:type="spellEnd"/>
      <w:r w:rsidRPr="00E270C9" w:rsidR="00BC6CE3">
        <w:rPr>
          <w:color w:val="000000" w:themeColor="text1"/>
        </w:rPr>
        <w:t xml:space="preserve"> decides to offer services that require a tariff or schedule, such as basic service, Applicant should submit proposed tariffs and/or user guides to the Commission’s Communications Division via Tier 2 Advice Letters using the GO</w:t>
      </w:r>
      <w:r w:rsidR="00F615B7">
        <w:rPr>
          <w:color w:val="000000" w:themeColor="text1"/>
        </w:rPr>
        <w:t> </w:t>
      </w:r>
      <w:r w:rsidRPr="00E270C9" w:rsidR="00BC6CE3">
        <w:rPr>
          <w:color w:val="000000" w:themeColor="text1"/>
        </w:rPr>
        <w:t>96</w:t>
      </w:r>
      <w:r w:rsidRPr="00E270C9" w:rsidR="00BC6CE3">
        <w:rPr>
          <w:color w:val="000000" w:themeColor="text1"/>
        </w:rPr>
        <w:noBreakHyphen/>
        <w:t>B advice letter process at least 30 days before initiation of service.</w:t>
      </w:r>
      <w:bookmarkEnd w:id="66"/>
    </w:p>
    <w:p w:rsidRPr="002106A9" w:rsidR="00053C38" w:rsidP="003845B0" w:rsidRDefault="00143B8D" w14:paraId="61778754" w14:textId="77777777">
      <w:pPr>
        <w:pStyle w:val="CoL"/>
      </w:pPr>
      <w:bookmarkStart w:name="_Hlk183525170" w:id="67"/>
      <w:proofErr w:type="spellStart"/>
      <w:r w:rsidRPr="002106A9">
        <w:t>WaveStreet</w:t>
      </w:r>
      <w:proofErr w:type="spellEnd"/>
      <w:r w:rsidRPr="002106A9">
        <w:t xml:space="preserve"> </w:t>
      </w:r>
      <w:r w:rsidRPr="003845B0" w:rsidR="00053C38">
        <w:rPr>
          <w:szCs w:val="26"/>
        </w:rPr>
        <w:t>should</w:t>
      </w:r>
      <w:r w:rsidRPr="002106A9" w:rsidR="00053C38">
        <w:t xml:space="preserve"> be subject </w:t>
      </w:r>
      <w:r w:rsidR="007B5E60">
        <w:t xml:space="preserve">to </w:t>
      </w:r>
      <w:r w:rsidRPr="002106A9" w:rsidR="00053C38">
        <w:t>applicable rules in D.20-08-011 for operating in a small LEC territory.</w:t>
      </w:r>
      <w:bookmarkEnd w:id="67"/>
    </w:p>
    <w:p w:rsidR="00793834" w:rsidP="003845B0" w:rsidRDefault="00961728" w14:paraId="418F9A86" w14:textId="77777777">
      <w:pPr>
        <w:pStyle w:val="CoL"/>
      </w:pPr>
      <w:proofErr w:type="spellStart"/>
      <w:r w:rsidRPr="00FD33DF">
        <w:rPr>
          <w:szCs w:val="26"/>
        </w:rPr>
        <w:t>WaveStreet</w:t>
      </w:r>
      <w:r>
        <w:t>’s</w:t>
      </w:r>
      <w:proofErr w:type="spellEnd"/>
      <w:r>
        <w:t xml:space="preserve"> </w:t>
      </w:r>
      <w:r w:rsidRPr="003845B0" w:rsidR="00057E5D">
        <w:rPr>
          <w:szCs w:val="26"/>
        </w:rPr>
        <w:t>request</w:t>
      </w:r>
      <w:r w:rsidR="00AD189C">
        <w:t xml:space="preserve"> for </w:t>
      </w:r>
      <w:r w:rsidR="00057E5D">
        <w:t xml:space="preserve">NDIEC </w:t>
      </w:r>
      <w:r w:rsidR="00AD189C">
        <w:t xml:space="preserve">treatment </w:t>
      </w:r>
      <w:r w:rsidR="00CA75AA">
        <w:t>should be denied as moot</w:t>
      </w:r>
      <w:r w:rsidRPr="00DE0551" w:rsidR="00793834">
        <w:t>.</w:t>
      </w:r>
    </w:p>
    <w:p w:rsidRPr="00E453C6" w:rsidR="00CF52EB" w:rsidP="003845B0" w:rsidRDefault="00CF52EB" w14:paraId="3D27EDEE" w14:textId="77777777">
      <w:pPr>
        <w:pStyle w:val="CoL"/>
      </w:pPr>
      <w:bookmarkStart w:name="_Hlk183525242" w:id="68"/>
      <w:r w:rsidRPr="004624AD">
        <w:t xml:space="preserve">The certificate granted, and the authority for </w:t>
      </w:r>
      <w:proofErr w:type="spellStart"/>
      <w:r w:rsidRPr="00FD33DF" w:rsidR="00373DBE">
        <w:rPr>
          <w:szCs w:val="26"/>
        </w:rPr>
        <w:t>WaveStreet</w:t>
      </w:r>
      <w:proofErr w:type="spellEnd"/>
      <w:r w:rsidRPr="004624AD">
        <w:rPr>
          <w:b/>
          <w:color w:val="0000FF"/>
        </w:rPr>
        <w:t xml:space="preserve"> </w:t>
      </w:r>
      <w:r w:rsidRPr="004624AD">
        <w:t xml:space="preserve">to render service to customers </w:t>
      </w:r>
      <w:r w:rsidRPr="003845B0">
        <w:rPr>
          <w:szCs w:val="26"/>
        </w:rPr>
        <w:t>under</w:t>
      </w:r>
      <w:r w:rsidRPr="004624AD">
        <w:t xml:space="preserve"> the rates, charges, and rules authorized, </w:t>
      </w:r>
      <w:r>
        <w:t>should</w:t>
      </w:r>
      <w:r w:rsidRPr="004624AD">
        <w:t xml:space="preserve"> expire if not exercised, by offering or actively providing service on a wholesale and/or resale basis, after 12 months from the effective date of this decision. </w:t>
      </w:r>
      <w:proofErr w:type="spellStart"/>
      <w:r w:rsidRPr="00FD33DF" w:rsidR="00373DBE">
        <w:rPr>
          <w:szCs w:val="26"/>
        </w:rPr>
        <w:t>WaveStreet</w:t>
      </w:r>
      <w:proofErr w:type="spellEnd"/>
      <w:r w:rsidRPr="00E453C6">
        <w:t xml:space="preserve"> should </w:t>
      </w:r>
      <w:r w:rsidRPr="00E453C6">
        <w:lastRenderedPageBreak/>
        <w:t>be responsible for seeking approval for an extension of time to comply with this decision pursuant to Rules of Practice and Procedure Rule 16.6.</w:t>
      </w:r>
    </w:p>
    <w:p w:rsidRPr="00E9311B" w:rsidR="00CF52EB" w:rsidP="003845B0" w:rsidRDefault="00373DBE" w14:paraId="3FDFA8D7" w14:textId="77777777">
      <w:pPr>
        <w:pStyle w:val="CoL"/>
      </w:pPr>
      <w:proofErr w:type="spellStart"/>
      <w:r w:rsidRPr="00FD33DF">
        <w:rPr>
          <w:szCs w:val="26"/>
        </w:rPr>
        <w:t>WaveStreet</w:t>
      </w:r>
      <w:proofErr w:type="spellEnd"/>
      <w:r>
        <w:t xml:space="preserve"> </w:t>
      </w:r>
      <w:r w:rsidR="00CF52EB">
        <w:t xml:space="preserve">should be assigned utility identification number </w:t>
      </w:r>
      <w:r w:rsidRPr="0083236B" w:rsidR="008437D1">
        <w:t>U-7465-C</w:t>
      </w:r>
      <w:r w:rsidR="00CF52EB">
        <w:t xml:space="preserve"> and should be </w:t>
      </w:r>
      <w:r w:rsidRPr="003845B0" w:rsidR="00CF52EB">
        <w:rPr>
          <w:szCs w:val="26"/>
        </w:rPr>
        <w:t>responsible</w:t>
      </w:r>
      <w:r w:rsidR="00CF52EB">
        <w:t xml:space="preserve"> for using this as its </w:t>
      </w:r>
      <w:r w:rsidRPr="00EB362F" w:rsidR="00CF52EB">
        <w:t>corporate identification number in the caption of all original filings with this Commission, in the titles of other pleadings filed in existing cases</w:t>
      </w:r>
      <w:r w:rsidR="00CF52EB">
        <w:t>, and informal submissions to the Commission</w:t>
      </w:r>
      <w:r w:rsidRPr="00EB362F" w:rsidR="00CF52EB">
        <w:t>.</w:t>
      </w:r>
    </w:p>
    <w:p w:rsidRPr="00EB362F" w:rsidR="00CF52EB" w:rsidP="003845B0" w:rsidRDefault="0017622B" w14:paraId="025D10BB" w14:textId="77777777">
      <w:pPr>
        <w:pStyle w:val="CoL"/>
      </w:pPr>
      <w:proofErr w:type="spellStart"/>
      <w:r w:rsidRPr="00FD33DF">
        <w:rPr>
          <w:szCs w:val="26"/>
        </w:rPr>
        <w:t>WaveStreet</w:t>
      </w:r>
      <w:proofErr w:type="spellEnd"/>
      <w:r w:rsidRPr="00EB362F" w:rsidR="00CF52EB">
        <w:t xml:space="preserve"> </w:t>
      </w:r>
      <w:r w:rsidR="00CF52EB">
        <w:t>should</w:t>
      </w:r>
      <w:r w:rsidRPr="00EB362F" w:rsidR="00CF52EB">
        <w:t xml:space="preserve"> file</w:t>
      </w:r>
      <w:r w:rsidR="00CF52EB">
        <w:t xml:space="preserve"> in this docket </w:t>
      </w:r>
      <w:r w:rsidRPr="00EB362F" w:rsidR="00CF52EB">
        <w:t xml:space="preserve">a written acceptance of the certificate granted in this </w:t>
      </w:r>
      <w:r w:rsidRPr="003845B0" w:rsidR="00CF52EB">
        <w:rPr>
          <w:szCs w:val="26"/>
        </w:rPr>
        <w:t>proceeding</w:t>
      </w:r>
      <w:r w:rsidR="00CF52EB">
        <w:t xml:space="preserve"> w</w:t>
      </w:r>
      <w:r w:rsidRPr="00EB362F" w:rsidR="00CF52EB">
        <w:t>ithin 30</w:t>
      </w:r>
      <w:r w:rsidR="00CF52EB">
        <w:t> </w:t>
      </w:r>
      <w:r w:rsidRPr="00EB362F" w:rsidR="00CF52EB">
        <w:t>days of the effective date of this decision. The written acceptance filed in this docket does not reopen the proceeding</w:t>
      </w:r>
      <w:r w:rsidRPr="00EB362F" w:rsidR="00CF52EB">
        <w:rPr>
          <w:color w:val="0000FF"/>
        </w:rPr>
        <w:t>.</w:t>
      </w:r>
    </w:p>
    <w:p w:rsidRPr="00863C3E" w:rsidR="00CF52EB" w:rsidP="003845B0" w:rsidRDefault="0017622B" w14:paraId="47579A7E" w14:textId="77777777">
      <w:pPr>
        <w:pStyle w:val="CoL"/>
        <w:rPr>
          <w:iCs/>
        </w:rPr>
      </w:pPr>
      <w:proofErr w:type="spellStart"/>
      <w:r w:rsidRPr="00FD33DF">
        <w:rPr>
          <w:szCs w:val="26"/>
        </w:rPr>
        <w:t>WaveStreet</w:t>
      </w:r>
      <w:proofErr w:type="spellEnd"/>
      <w:r w:rsidRPr="00EB362F" w:rsidR="00CF52EB">
        <w:t xml:space="preserve"> </w:t>
      </w:r>
      <w:r w:rsidR="00CF52EB">
        <w:t>should</w:t>
      </w:r>
      <w:r w:rsidRPr="00EB362F" w:rsidR="00CF52EB">
        <w:t xml:space="preserve"> provide the name, address, e</w:t>
      </w:r>
      <w:r w:rsidR="00CF52EB">
        <w:noBreakHyphen/>
      </w:r>
      <w:r w:rsidRPr="00EB362F" w:rsidR="00CF52EB">
        <w:t xml:space="preserve">mail address, and telephone </w:t>
      </w:r>
      <w:r w:rsidRPr="005527B3" w:rsidR="00CF52EB">
        <w:t xml:space="preserve">number </w:t>
      </w:r>
      <w:r w:rsidRPr="003845B0" w:rsidR="00CF52EB">
        <w:rPr>
          <w:szCs w:val="26"/>
        </w:rPr>
        <w:t>of</w:t>
      </w:r>
      <w:r w:rsidRPr="005527B3" w:rsidR="00CF52EB">
        <w:t xml:space="preserve"> its designated primary regulatory/official contact person to the California Public Utilities Commission’s Communications Division w</w:t>
      </w:r>
      <w:r w:rsidRPr="005527B3" w:rsidR="00CF52EB">
        <w:rPr>
          <w:bCs/>
        </w:rPr>
        <w:t>ithin</w:t>
      </w:r>
      <w:r w:rsidRPr="005527B3" w:rsidR="00CF52EB">
        <w:t xml:space="preserve"> five days of written acceptance of its certificate.</w:t>
      </w:r>
    </w:p>
    <w:p w:rsidR="00CF52EB" w:rsidP="003845B0" w:rsidRDefault="00F3311B" w14:paraId="06CEB556" w14:textId="77777777">
      <w:pPr>
        <w:pStyle w:val="CoL"/>
        <w:rPr>
          <w:iCs/>
        </w:rPr>
      </w:pPr>
      <w:proofErr w:type="spellStart"/>
      <w:r w:rsidRPr="00FD33DF">
        <w:rPr>
          <w:szCs w:val="26"/>
        </w:rPr>
        <w:t>WaveStreet</w:t>
      </w:r>
      <w:proofErr w:type="spellEnd"/>
      <w:r w:rsidRPr="005527B3" w:rsidR="00CF52EB">
        <w:t xml:space="preserve"> </w:t>
      </w:r>
      <w:r w:rsidR="00CF52EB">
        <w:t>should</w:t>
      </w:r>
      <w:r w:rsidRPr="005527B3" w:rsidR="00CF52EB">
        <w:t xml:space="preserve"> provide the name, address, e</w:t>
      </w:r>
      <w:r w:rsidRPr="005527B3" w:rsidR="00CF52EB">
        <w:noBreakHyphen/>
        <w:t xml:space="preserve">mail address, and telephone </w:t>
      </w:r>
      <w:r w:rsidRPr="003845B0" w:rsidR="00CF52EB">
        <w:rPr>
          <w:szCs w:val="26"/>
        </w:rPr>
        <w:t>number</w:t>
      </w:r>
      <w:r w:rsidRPr="005527B3" w:rsidR="00CF52EB">
        <w:t xml:space="preserve"> of its designated contact person for purposes of resolving consumer complaints to the California Public Utilities Commission’s Consumer Affairs Branch w</w:t>
      </w:r>
      <w:r w:rsidRPr="005527B3" w:rsidR="00CF52EB">
        <w:rPr>
          <w:bCs/>
        </w:rPr>
        <w:t>ithin</w:t>
      </w:r>
      <w:r w:rsidRPr="005527B3" w:rsidR="00CF52EB">
        <w:t xml:space="preserve"> five days of written acceptance of its certificate.</w:t>
      </w:r>
    </w:p>
    <w:p w:rsidR="00CF52EB" w:rsidP="003845B0" w:rsidRDefault="00F3311B" w14:paraId="430F5B64" w14:textId="77777777">
      <w:pPr>
        <w:pStyle w:val="CoL"/>
        <w:rPr>
          <w:iCs/>
        </w:rPr>
      </w:pPr>
      <w:proofErr w:type="spellStart"/>
      <w:r w:rsidRPr="00FD33DF">
        <w:rPr>
          <w:szCs w:val="26"/>
        </w:rPr>
        <w:t>WaveStreet</w:t>
      </w:r>
      <w:proofErr w:type="spellEnd"/>
      <w:r w:rsidRPr="4372617A" w:rsidR="00CF52EB">
        <w:rPr>
          <w:color w:val="00B0F0"/>
        </w:rPr>
        <w:t xml:space="preserve"> </w:t>
      </w:r>
      <w:r w:rsidR="00CF52EB">
        <w:t>should</w:t>
      </w:r>
      <w:r w:rsidRPr="4372617A" w:rsidR="00CF52EB">
        <w:t xml:space="preserve"> submit a Tier</w:t>
      </w:r>
      <w:r w:rsidR="00CF52EB">
        <w:t xml:space="preserve"> </w:t>
      </w:r>
      <w:r w:rsidRPr="4372617A" w:rsidR="00CF52EB">
        <w:t>1 Advice Letter containing a copy of the license holder’s executed performance bond in accordance with the process established in D.10-09-017/D.11-09-026 and modified by D.13-05-035 and D</w:t>
      </w:r>
      <w:r w:rsidR="00A23006">
        <w:t>.</w:t>
      </w:r>
      <w:r w:rsidRPr="4372617A" w:rsidR="00CF52EB">
        <w:t>24</w:t>
      </w:r>
      <w:r w:rsidR="00562223">
        <w:noBreakHyphen/>
      </w:r>
      <w:r w:rsidRPr="4372617A" w:rsidR="00CF52EB">
        <w:t>11</w:t>
      </w:r>
      <w:r w:rsidR="00562223">
        <w:noBreakHyphen/>
      </w:r>
      <w:r w:rsidRPr="4372617A" w:rsidR="00CF52EB">
        <w:t xml:space="preserve">003 to the California Public Utilities Commission’s Communications Division within </w:t>
      </w:r>
      <w:r w:rsidR="00CF52EB">
        <w:t>30</w:t>
      </w:r>
      <w:r w:rsidRPr="4372617A" w:rsidR="00CF52EB">
        <w:t xml:space="preserve"> days of the effective date of this decision.</w:t>
      </w:r>
    </w:p>
    <w:p w:rsidR="00CF52EB" w:rsidP="003845B0" w:rsidRDefault="00A23006" w14:paraId="3F31D92E" w14:textId="77777777">
      <w:pPr>
        <w:pStyle w:val="CoL"/>
      </w:pPr>
      <w:proofErr w:type="spellStart"/>
      <w:r w:rsidRPr="00FD33DF">
        <w:rPr>
          <w:szCs w:val="26"/>
        </w:rPr>
        <w:t>WaveStreet</w:t>
      </w:r>
      <w:proofErr w:type="spellEnd"/>
      <w:r w:rsidRPr="002E4891" w:rsidR="00CF52EB">
        <w:t xml:space="preserve"> </w:t>
      </w:r>
      <w:r w:rsidR="00CF52EB">
        <w:t>should</w:t>
      </w:r>
      <w:r w:rsidRPr="002E4891" w:rsidR="00CF52EB">
        <w:t xml:space="preserve"> </w:t>
      </w:r>
      <w:r w:rsidR="00CF52EB">
        <w:t xml:space="preserve">submit its compliance with </w:t>
      </w:r>
      <w:r w:rsidRPr="002E4891" w:rsidR="00CF52EB">
        <w:t>Pub</w:t>
      </w:r>
      <w:r w:rsidR="00CF52EB">
        <w:t>lic</w:t>
      </w:r>
      <w:r w:rsidRPr="002E4891" w:rsidR="00CF52EB">
        <w:t xml:space="preserve"> Util</w:t>
      </w:r>
      <w:r w:rsidR="00CF52EB">
        <w:t>ities</w:t>
      </w:r>
      <w:r w:rsidRPr="002E4891" w:rsidR="00CF52EB">
        <w:t xml:space="preserve"> Code </w:t>
      </w:r>
      <w:r w:rsidR="00CF52EB">
        <w:t>Section</w:t>
      </w:r>
      <w:r w:rsidRPr="002E4891" w:rsidR="00CF52EB">
        <w:t xml:space="preserve"> 708, </w:t>
      </w:r>
      <w:r w:rsidRPr="003845B0" w:rsidR="00CF52EB">
        <w:rPr>
          <w:szCs w:val="26"/>
        </w:rPr>
        <w:t>Employee</w:t>
      </w:r>
      <w:r w:rsidRPr="002E4891" w:rsidR="00CF52EB">
        <w:t xml:space="preserve"> Identification Cards</w:t>
      </w:r>
      <w:r w:rsidR="00CF52EB">
        <w:t>, to</w:t>
      </w:r>
      <w:r w:rsidRPr="002E4891" w:rsidR="00CF52EB">
        <w:t xml:space="preserve"> </w:t>
      </w:r>
      <w:r w:rsidR="00CF52EB">
        <w:t xml:space="preserve">the </w:t>
      </w:r>
      <w:r w:rsidRPr="009A3D94" w:rsidR="00CF52EB">
        <w:t>California Public Utilities Commission’s Director of the Communications Division</w:t>
      </w:r>
      <w:r w:rsidR="00CF52EB">
        <w:t xml:space="preserve">, in writing, </w:t>
      </w:r>
      <w:r w:rsidRPr="002E4891" w:rsidR="00CF52EB">
        <w:t xml:space="preserve">by email to </w:t>
      </w:r>
      <w:hyperlink w:history="1" r:id="rId21">
        <w:r w:rsidRPr="009374C9" w:rsidR="00CF52EB">
          <w:rPr>
            <w:rStyle w:val="Hyperlink"/>
          </w:rPr>
          <w:t>cdcompliance@cpuc.ca.gov</w:t>
        </w:r>
      </w:hyperlink>
      <w:r w:rsidR="00CF52EB">
        <w:t xml:space="preserve">, </w:t>
      </w:r>
      <w:r w:rsidRPr="009A3D94" w:rsidR="00CF52EB">
        <w:rPr>
          <w:iCs/>
        </w:rPr>
        <w:t>within</w:t>
      </w:r>
      <w:r w:rsidRPr="009A3D94" w:rsidR="00CF52EB">
        <w:t xml:space="preserve"> 60 days </w:t>
      </w:r>
      <w:r w:rsidR="00CF52EB">
        <w:t>of</w:t>
      </w:r>
      <w:r w:rsidRPr="009A3D94" w:rsidR="00CF52EB">
        <w:t xml:space="preserve"> the effective date of this </w:t>
      </w:r>
      <w:r w:rsidR="00CF52EB">
        <w:t>decision.</w:t>
      </w:r>
    </w:p>
    <w:p w:rsidRPr="00C03808" w:rsidR="00C03808" w:rsidP="003845B0" w:rsidRDefault="00A23006" w14:paraId="766588FB" w14:textId="77777777">
      <w:pPr>
        <w:pStyle w:val="CoL"/>
      </w:pPr>
      <w:proofErr w:type="spellStart"/>
      <w:r w:rsidRPr="00FD33DF">
        <w:rPr>
          <w:szCs w:val="26"/>
        </w:rPr>
        <w:lastRenderedPageBreak/>
        <w:t>WaveStreet</w:t>
      </w:r>
      <w:proofErr w:type="spellEnd"/>
      <w:r w:rsidRPr="00EB362F" w:rsidR="00C03808">
        <w:t xml:space="preserve"> </w:t>
      </w:r>
      <w:r w:rsidR="00C03808">
        <w:t>should be</w:t>
      </w:r>
      <w:r w:rsidRPr="00EB362F" w:rsidR="00C03808">
        <w:t xml:space="preserve"> subject </w:t>
      </w:r>
      <w:r w:rsidR="00C03808">
        <w:t>to</w:t>
      </w:r>
      <w:r w:rsidRPr="00EB362F" w:rsidR="00C03808">
        <w:t xml:space="preserve"> all the </w:t>
      </w:r>
      <w:r w:rsidR="00C03808">
        <w:t xml:space="preserve">current </w:t>
      </w:r>
      <w:r w:rsidRPr="00EB362F" w:rsidR="00C03808">
        <w:t xml:space="preserve">requirements applicable to </w:t>
      </w:r>
      <w:r w:rsidRPr="00A23006" w:rsidR="00A72EE3">
        <w:t xml:space="preserve">fixed interconnected </w:t>
      </w:r>
      <w:r w:rsidRPr="00A23006" w:rsidR="00C03808">
        <w:t>Voice over Internet Providers</w:t>
      </w:r>
      <w:r w:rsidRPr="00EB362F" w:rsidR="00C03808">
        <w:t xml:space="preserve"> included in Attachments</w:t>
      </w:r>
      <w:r w:rsidR="00C03808">
        <w:t> </w:t>
      </w:r>
      <w:r w:rsidRPr="00EB362F" w:rsidR="00C03808">
        <w:t xml:space="preserve">B, C, and D to this </w:t>
      </w:r>
      <w:r w:rsidRPr="003845B0" w:rsidR="00C03808">
        <w:rPr>
          <w:szCs w:val="26"/>
        </w:rPr>
        <w:t>decision</w:t>
      </w:r>
      <w:r w:rsidR="00C03808">
        <w:t xml:space="preserve"> (including annual affiliate transaction reports, ongoing performance bond requirements, and payment of surcharges and user fees);</w:t>
      </w:r>
      <w:r w:rsidRPr="00EB362F" w:rsidR="00C03808">
        <w:t xml:space="preserve"> </w:t>
      </w:r>
      <w:r w:rsidR="00C03808">
        <w:t xml:space="preserve">all </w:t>
      </w:r>
      <w:r w:rsidRPr="00EB362F" w:rsidR="00C03808">
        <w:t>Consumer Protection Rules contained in GO</w:t>
      </w:r>
      <w:r w:rsidR="00F615B7">
        <w:t> </w:t>
      </w:r>
      <w:r w:rsidRPr="00EB362F" w:rsidR="00C03808">
        <w:t>168</w:t>
      </w:r>
      <w:r w:rsidR="00C03808">
        <w:t>;</w:t>
      </w:r>
      <w:r w:rsidRPr="00EB362F" w:rsidR="00C03808">
        <w:t xml:space="preserve"> and all applicable </w:t>
      </w:r>
      <w:r w:rsidR="00C03808">
        <w:t xml:space="preserve">California Public Utilities </w:t>
      </w:r>
      <w:r w:rsidRPr="00EB362F" w:rsidR="00C03808">
        <w:t>Commission rules, decisions, GOs, and statutes that pertain to California public</w:t>
      </w:r>
      <w:r w:rsidR="00C03808">
        <w:t> </w:t>
      </w:r>
      <w:r w:rsidRPr="00EB362F" w:rsidR="00C03808">
        <w:t>utilities</w:t>
      </w:r>
      <w:r w:rsidR="00C03808">
        <w:t xml:space="preserve"> on an ongoing basis</w:t>
      </w:r>
      <w:r w:rsidRPr="00EB362F" w:rsidR="00C03808">
        <w:t>.</w:t>
      </w:r>
    </w:p>
    <w:p w:rsidRPr="005675AF" w:rsidR="005675AF" w:rsidP="003845B0" w:rsidRDefault="00A23006" w14:paraId="30450C21" w14:textId="77777777">
      <w:pPr>
        <w:pStyle w:val="CoL"/>
      </w:pPr>
      <w:proofErr w:type="spellStart"/>
      <w:r w:rsidRPr="00FD33DF">
        <w:rPr>
          <w:szCs w:val="26"/>
        </w:rPr>
        <w:t>WaveStreet</w:t>
      </w:r>
      <w:r w:rsidRPr="00DE0551" w:rsidR="005675AF">
        <w:t>’s</w:t>
      </w:r>
      <w:proofErr w:type="spellEnd"/>
      <w:r w:rsidRPr="00DE0551" w:rsidR="005675AF">
        <w:t xml:space="preserve"> </w:t>
      </w:r>
      <w:r w:rsidRPr="003845B0" w:rsidR="005675AF">
        <w:rPr>
          <w:szCs w:val="26"/>
        </w:rPr>
        <w:t>financial</w:t>
      </w:r>
      <w:r w:rsidRPr="00FF06FB" w:rsidR="005675AF">
        <w:t xml:space="preserve"> documents</w:t>
      </w:r>
      <w:r w:rsidR="005675AF">
        <w:t xml:space="preserve"> should be kept under seal for a period of three years from the issuance date of this decision pursuant to D.24</w:t>
      </w:r>
      <w:r w:rsidR="00562223">
        <w:noBreakHyphen/>
      </w:r>
      <w:r w:rsidR="005675AF">
        <w:t>11</w:t>
      </w:r>
      <w:r w:rsidR="00562223">
        <w:noBreakHyphen/>
      </w:r>
      <w:r w:rsidR="005675AF">
        <w:t>003</w:t>
      </w:r>
      <w:r w:rsidRPr="00DE0551" w:rsidR="005675AF">
        <w:t>.</w:t>
      </w:r>
    </w:p>
    <w:p w:rsidRPr="00BB087E" w:rsidR="00D3163E" w:rsidP="003845B0" w:rsidRDefault="00D3163E" w14:paraId="63EF2D12" w14:textId="77777777">
      <w:pPr>
        <w:pStyle w:val="CoL"/>
        <w:rPr>
          <w:iCs/>
        </w:rPr>
      </w:pPr>
      <w:r w:rsidRPr="00BB087E">
        <w:rPr>
          <w:iCs/>
        </w:rPr>
        <w:t xml:space="preserve">All rulings </w:t>
      </w:r>
      <w:r w:rsidRPr="003845B0">
        <w:rPr>
          <w:szCs w:val="26"/>
        </w:rPr>
        <w:t>by</w:t>
      </w:r>
      <w:r w:rsidRPr="00BB087E">
        <w:rPr>
          <w:iCs/>
        </w:rPr>
        <w:t xml:space="preserve"> the assigned Commissioner and the assigned ALJ should be affirmed.</w:t>
      </w:r>
    </w:p>
    <w:p w:rsidRPr="00BB087E" w:rsidR="00D3163E" w:rsidP="003845B0" w:rsidRDefault="00D3163E" w14:paraId="69A0F8A2" w14:textId="77777777">
      <w:pPr>
        <w:pStyle w:val="CoL"/>
        <w:rPr>
          <w:iCs/>
        </w:rPr>
      </w:pPr>
      <w:r w:rsidRPr="00BB087E">
        <w:rPr>
          <w:iCs/>
        </w:rPr>
        <w:t xml:space="preserve">All pending motions should be </w:t>
      </w:r>
      <w:r w:rsidR="008B6AB0">
        <w:rPr>
          <w:iCs/>
        </w:rPr>
        <w:t xml:space="preserve">deemed </w:t>
      </w:r>
      <w:r w:rsidRPr="00BB087E">
        <w:rPr>
          <w:iCs/>
        </w:rPr>
        <w:t>denied.</w:t>
      </w:r>
    </w:p>
    <w:bookmarkEnd w:id="68"/>
    <w:p w:rsidRPr="00DE0551" w:rsidR="00A411F5" w:rsidP="003845B0" w:rsidRDefault="00A411F5" w14:paraId="5F6F4AAC" w14:textId="77777777">
      <w:pPr>
        <w:pStyle w:val="CoL"/>
      </w:pPr>
      <w:r w:rsidRPr="00DE0551">
        <w:t xml:space="preserve">This </w:t>
      </w:r>
      <w:r w:rsidRPr="003845B0">
        <w:rPr>
          <w:szCs w:val="26"/>
        </w:rPr>
        <w:t>proceeding</w:t>
      </w:r>
      <w:r w:rsidRPr="00DE0551">
        <w:t xml:space="preserve"> should be closed.</w:t>
      </w:r>
    </w:p>
    <w:p w:rsidRPr="008F52A6" w:rsidR="00A94870" w:rsidP="008F52A6" w:rsidRDefault="00A94870" w14:paraId="4B9090EF" w14:textId="77777777">
      <w:pPr>
        <w:pStyle w:val="Mainex0"/>
        <w:spacing w:before="180"/>
      </w:pPr>
      <w:bookmarkStart w:name="_Toc450990221" w:id="69"/>
      <w:bookmarkStart w:name="_Toc451151268" w:id="70"/>
      <w:bookmarkStart w:name="OLE_LINK1" w:id="71"/>
      <w:bookmarkStart w:name="OLE_LINK2" w:id="72"/>
      <w:bookmarkStart w:name="_Toc192843066" w:id="73"/>
      <w:r w:rsidRPr="008F52A6">
        <w:t>ORDER</w:t>
      </w:r>
      <w:bookmarkEnd w:id="69"/>
      <w:bookmarkEnd w:id="70"/>
      <w:bookmarkEnd w:id="73"/>
    </w:p>
    <w:bookmarkEnd w:id="71"/>
    <w:bookmarkEnd w:id="72"/>
    <w:p w:rsidRPr="00EB362F" w:rsidR="00500B02" w:rsidP="008D173F" w:rsidRDefault="00A94870" w14:paraId="0415029C" w14:textId="77777777">
      <w:pPr>
        <w:pStyle w:val="standard0"/>
        <w:keepNext/>
        <w:rPr>
          <w:rFonts w:ascii="Book Antiqua" w:hAnsi="Book Antiqua"/>
        </w:rPr>
      </w:pPr>
      <w:r w:rsidRPr="00EB362F">
        <w:rPr>
          <w:rFonts w:ascii="Book Antiqua" w:hAnsi="Book Antiqua"/>
          <w:b/>
        </w:rPr>
        <w:t>IT IS ORDERED</w:t>
      </w:r>
      <w:r w:rsidRPr="00EB362F">
        <w:rPr>
          <w:rFonts w:ascii="Book Antiqua" w:hAnsi="Book Antiqua"/>
        </w:rPr>
        <w:t xml:space="preserve"> that:</w:t>
      </w:r>
      <w:r w:rsidRPr="00EB362F" w:rsidR="00527EB4">
        <w:rPr>
          <w:rFonts w:ascii="Book Antiqua" w:hAnsi="Book Antiqua"/>
        </w:rPr>
        <w:t xml:space="preserve"> </w:t>
      </w:r>
    </w:p>
    <w:p w:rsidR="0060486D" w:rsidP="003845B0" w:rsidRDefault="0060486D" w14:paraId="3511CFB9" w14:textId="77777777">
      <w:pPr>
        <w:pStyle w:val="OP"/>
      </w:pPr>
      <w:r w:rsidRPr="00EB362F">
        <w:t xml:space="preserve">A </w:t>
      </w:r>
      <w:r w:rsidR="00EB362F">
        <w:t>C</w:t>
      </w:r>
      <w:r w:rsidRPr="00EB362F">
        <w:t xml:space="preserve">ertificate of </w:t>
      </w:r>
      <w:r w:rsidR="00EB362F">
        <w:t>P</w:t>
      </w:r>
      <w:r w:rsidRPr="00EB362F">
        <w:t xml:space="preserve">ublic </w:t>
      </w:r>
      <w:r w:rsidR="00EB362F">
        <w:t>C</w:t>
      </w:r>
      <w:r w:rsidRPr="00EB362F">
        <w:t xml:space="preserve">onvenience and </w:t>
      </w:r>
      <w:r w:rsidR="00EB362F">
        <w:t>N</w:t>
      </w:r>
      <w:r w:rsidRPr="00EB362F">
        <w:t xml:space="preserve">ecessity is granted to </w:t>
      </w:r>
      <w:proofErr w:type="spellStart"/>
      <w:r w:rsidR="001728CD">
        <w:t>WaveStreet</w:t>
      </w:r>
      <w:proofErr w:type="spellEnd"/>
      <w:r w:rsidR="001728CD">
        <w:t xml:space="preserve"> Managed Services, Inc. </w:t>
      </w:r>
      <w:r w:rsidRPr="00EB362F">
        <w:t>to provide</w:t>
      </w:r>
      <w:r w:rsidRPr="00D25A6C" w:rsidR="0000793D">
        <w:t xml:space="preserve"> </w:t>
      </w:r>
      <w:r w:rsidRPr="00D25A6C" w:rsidR="00B64F80">
        <w:t>non-facilities</w:t>
      </w:r>
      <w:r w:rsidR="005D6B8A">
        <w:t>-</w:t>
      </w:r>
      <w:r w:rsidRPr="00D25A6C" w:rsidR="00B64F80">
        <w:t xml:space="preserve">based </w:t>
      </w:r>
      <w:r w:rsidRPr="00D25A6C" w:rsidR="000022A0">
        <w:t xml:space="preserve">fixed </w:t>
      </w:r>
      <w:r w:rsidRPr="00D25A6C" w:rsidR="00B64F80">
        <w:t>interconnected V</w:t>
      </w:r>
      <w:r w:rsidRPr="00D25A6C" w:rsidR="000A5379">
        <w:t>o</w:t>
      </w:r>
      <w:r w:rsidRPr="00D25A6C" w:rsidR="00AE134B">
        <w:t>i</w:t>
      </w:r>
      <w:r w:rsidRPr="00D25A6C" w:rsidR="000A5379">
        <w:t xml:space="preserve">ce over Internet </w:t>
      </w:r>
      <w:r w:rsidRPr="00D25A6C" w:rsidR="00B64F80">
        <w:t>P</w:t>
      </w:r>
      <w:r w:rsidRPr="00D25A6C" w:rsidR="000A5379">
        <w:t>rotocol</w:t>
      </w:r>
      <w:r w:rsidRPr="00D25A6C" w:rsidR="00B64F80">
        <w:t xml:space="preserve"> services </w:t>
      </w:r>
      <w:r w:rsidR="0016199B">
        <w:t>throughout California</w:t>
      </w:r>
      <w:r w:rsidRPr="4372617A" w:rsidR="005E1C02">
        <w:rPr>
          <w:b/>
          <w:bCs/>
          <w:color w:val="0000FF"/>
        </w:rPr>
        <w:t xml:space="preserve"> </w:t>
      </w:r>
      <w:r w:rsidRPr="00EB362F">
        <w:t xml:space="preserve">subject to the terms and conditions </w:t>
      </w:r>
      <w:r w:rsidR="00D727CF">
        <w:t xml:space="preserve">set forth </w:t>
      </w:r>
      <w:r w:rsidRPr="00EB362F" w:rsidR="00A411F5">
        <w:t>in this decision</w:t>
      </w:r>
      <w:r w:rsidRPr="00EB362F">
        <w:t>.</w:t>
      </w:r>
    </w:p>
    <w:p w:rsidRPr="00CA7555" w:rsidR="009A242D" w:rsidP="003845B0" w:rsidRDefault="004679CC" w14:paraId="075AB6C4" w14:textId="77777777">
      <w:pPr>
        <w:pStyle w:val="OP"/>
      </w:pPr>
      <w:bookmarkStart w:name="_Hlk183525733" w:id="74"/>
      <w:proofErr w:type="spellStart"/>
      <w:r>
        <w:t>WaveStreet</w:t>
      </w:r>
      <w:proofErr w:type="spellEnd"/>
      <w:r>
        <w:t xml:space="preserve"> Managed Services, Inc.</w:t>
      </w:r>
      <w:r w:rsidRPr="00DE0551" w:rsidR="009A242D">
        <w:t xml:space="preserve"> may not construct any facilities</w:t>
      </w:r>
      <w:r w:rsidR="009A242D">
        <w:t>,</w:t>
      </w:r>
      <w:r w:rsidRPr="00DE0551" w:rsidR="009A242D">
        <w:t xml:space="preserve"> </w:t>
      </w:r>
      <w:r w:rsidR="009A242D">
        <w:t>including</w:t>
      </w:r>
      <w:r w:rsidRPr="00DE0551" w:rsidR="009A242D">
        <w:t xml:space="preserve"> equipment in existing buildings or structures.</w:t>
      </w:r>
      <w:bookmarkEnd w:id="74"/>
    </w:p>
    <w:p w:rsidRPr="00E453C6" w:rsidR="009A242D" w:rsidP="003845B0" w:rsidRDefault="008B7D8E" w14:paraId="3E22266A" w14:textId="77777777">
      <w:pPr>
        <w:pStyle w:val="OP"/>
      </w:pPr>
      <w:proofErr w:type="spellStart"/>
      <w:r>
        <w:t>WaveStreet</w:t>
      </w:r>
      <w:proofErr w:type="spellEnd"/>
      <w:r>
        <w:t xml:space="preserve"> Managed Services, Inc.</w:t>
      </w:r>
      <w:r w:rsidRPr="4372617A" w:rsidR="009A242D">
        <w:t xml:space="preserve"> </w:t>
      </w:r>
      <w:r w:rsidR="001B6144">
        <w:t>must</w:t>
      </w:r>
      <w:r w:rsidRPr="4372617A" w:rsidR="009A242D">
        <w:t xml:space="preserve"> demonstrate that it maintained at least</w:t>
      </w:r>
      <w:r>
        <w:t xml:space="preserve"> $25,000</w:t>
      </w:r>
      <w:r w:rsidRPr="4372617A" w:rsidR="009A242D">
        <w:t xml:space="preserve"> that was reasonably liquid and available for its first year of operations by providing the California Public Utilities Commission’s Communications Division with a confidential copy of its updated financial documentation at both six and 12 months from the issuance date of this decision </w:t>
      </w:r>
      <w:r w:rsidRPr="4372617A" w:rsidR="009A242D">
        <w:lastRenderedPageBreak/>
        <w:t xml:space="preserve">by providing updated bank statements within eight and 14 months, respectively, as an information-only submittal by email to </w:t>
      </w:r>
      <w:hyperlink r:id="rId22">
        <w:r w:rsidRPr="4372617A" w:rsidR="009A242D">
          <w:rPr>
            <w:rStyle w:val="Hyperlink"/>
          </w:rPr>
          <w:t>cdcompliance@cpuc.ca.gov</w:t>
        </w:r>
      </w:hyperlink>
      <w:r w:rsidRPr="4372617A" w:rsidR="009A242D">
        <w:t>.</w:t>
      </w:r>
    </w:p>
    <w:p w:rsidRPr="00AA614B" w:rsidR="00CF36D9" w:rsidP="003845B0" w:rsidRDefault="00965510" w14:paraId="3F28869A" w14:textId="77777777">
      <w:pPr>
        <w:pStyle w:val="OP"/>
      </w:pPr>
      <w:proofErr w:type="spellStart"/>
      <w:r w:rsidRPr="00AA614B">
        <w:t>WaveStreet</w:t>
      </w:r>
      <w:proofErr w:type="spellEnd"/>
      <w:r w:rsidRPr="00AA614B">
        <w:t xml:space="preserve"> Managed Services, Inc. </w:t>
      </w:r>
      <w:r w:rsidRPr="00AA614B" w:rsidR="00CF36D9">
        <w:t xml:space="preserve">may operate on a </w:t>
      </w:r>
      <w:proofErr w:type="spellStart"/>
      <w:r w:rsidRPr="00AA614B" w:rsidR="00CF36D9">
        <w:t>detariffed</w:t>
      </w:r>
      <w:proofErr w:type="spellEnd"/>
      <w:r w:rsidRPr="00AA614B" w:rsidR="00CF36D9">
        <w:t xml:space="preserve"> basis. In the future, if </w:t>
      </w:r>
      <w:proofErr w:type="spellStart"/>
      <w:r w:rsidRPr="00AA614B">
        <w:t>WaveStreet</w:t>
      </w:r>
      <w:proofErr w:type="spellEnd"/>
      <w:r w:rsidRPr="00AA614B">
        <w:t xml:space="preserve"> Managed Services, Inc.</w:t>
      </w:r>
      <w:r w:rsidRPr="00AA614B" w:rsidR="00CF36D9">
        <w:t xml:space="preserve"> decides to offer services that require a tariff or schedule, such as basic service, Applicant must submit proposed tariffs and/or user guides to the </w:t>
      </w:r>
      <w:r w:rsidRPr="00AA614B" w:rsidR="00922E58">
        <w:t>California Public Utilit</w:t>
      </w:r>
      <w:r w:rsidRPr="00AA614B" w:rsidR="00A303ED">
        <w:t>ies</w:t>
      </w:r>
      <w:r w:rsidRPr="00AA614B" w:rsidR="00922E58">
        <w:t xml:space="preserve"> </w:t>
      </w:r>
      <w:r w:rsidRPr="00AA614B" w:rsidR="00CF36D9">
        <w:t>Commission’s Communications Division via a Tier 2 Advice Letter using the General Order 96-B process at least 30 days before initiation of service.</w:t>
      </w:r>
    </w:p>
    <w:p w:rsidRPr="001B6144" w:rsidR="001B6144" w:rsidP="003845B0" w:rsidRDefault="008B7D8E" w14:paraId="10C09079" w14:textId="77777777">
      <w:pPr>
        <w:pStyle w:val="OP"/>
      </w:pPr>
      <w:proofErr w:type="spellStart"/>
      <w:r>
        <w:t>WaveStreet</w:t>
      </w:r>
      <w:proofErr w:type="spellEnd"/>
      <w:r>
        <w:t xml:space="preserve"> Managed Services, Inc.</w:t>
      </w:r>
      <w:r w:rsidR="003E1E0F">
        <w:t xml:space="preserve">’s </w:t>
      </w:r>
      <w:r w:rsidR="001B6144">
        <w:t>motion for</w:t>
      </w:r>
      <w:r w:rsidRPr="00DE0551" w:rsidR="001B6144">
        <w:t xml:space="preserve"> non</w:t>
      </w:r>
      <w:r w:rsidR="001B6144">
        <w:noBreakHyphen/>
      </w:r>
      <w:r w:rsidRPr="00DE0551" w:rsidR="001B6144">
        <w:t>dominant carrier status</w:t>
      </w:r>
      <w:r w:rsidR="001B6144">
        <w:t xml:space="preserve"> </w:t>
      </w:r>
      <w:r w:rsidR="007A419F">
        <w:t xml:space="preserve">treatment </w:t>
      </w:r>
      <w:r w:rsidR="001B6144">
        <w:t>is denied</w:t>
      </w:r>
      <w:r w:rsidR="005D6B8A">
        <w:t xml:space="preserve"> as moot</w:t>
      </w:r>
      <w:r w:rsidRPr="00DE0551" w:rsidR="001B6144">
        <w:t>.</w:t>
      </w:r>
    </w:p>
    <w:p w:rsidRPr="004624AD" w:rsidR="00E80BE0" w:rsidP="003845B0" w:rsidRDefault="00E80BE0" w14:paraId="46733338" w14:textId="77777777">
      <w:pPr>
        <w:pStyle w:val="OP"/>
      </w:pPr>
      <w:r w:rsidRPr="004624AD">
        <w:t>The certificate granted</w:t>
      </w:r>
      <w:r w:rsidRPr="004624AD" w:rsidR="00002BFC">
        <w:t>,</w:t>
      </w:r>
      <w:r w:rsidRPr="004624AD">
        <w:t xml:space="preserve"> and the authority </w:t>
      </w:r>
      <w:r w:rsidRPr="004624AD" w:rsidR="00C70B92">
        <w:t xml:space="preserve">for </w:t>
      </w:r>
      <w:proofErr w:type="spellStart"/>
      <w:r w:rsidR="003E1E0F">
        <w:t>WaveStreet</w:t>
      </w:r>
      <w:proofErr w:type="spellEnd"/>
      <w:r w:rsidR="003E1E0F">
        <w:t xml:space="preserve"> Managed Services, Inc.</w:t>
      </w:r>
      <w:r w:rsidRPr="004624AD" w:rsidR="00C70B92">
        <w:rPr>
          <w:b/>
          <w:color w:val="0000FF"/>
        </w:rPr>
        <w:t xml:space="preserve"> </w:t>
      </w:r>
      <w:r w:rsidRPr="004624AD">
        <w:t xml:space="preserve">to </w:t>
      </w:r>
      <w:r w:rsidRPr="004624AD" w:rsidR="002C3A83">
        <w:t>render</w:t>
      </w:r>
      <w:r w:rsidRPr="004624AD">
        <w:t xml:space="preserve"> service</w:t>
      </w:r>
      <w:r w:rsidRPr="004624AD" w:rsidR="002C3A83">
        <w:t xml:space="preserve"> to </w:t>
      </w:r>
      <w:r w:rsidRPr="004624AD" w:rsidR="00C70B92">
        <w:t xml:space="preserve">customers </w:t>
      </w:r>
      <w:r w:rsidRPr="004624AD" w:rsidR="00002BFC">
        <w:t>under the rates, charges, and rules authorized, will expire i</w:t>
      </w:r>
      <w:r w:rsidRPr="004624AD" w:rsidR="002C3A83">
        <w:t>f</w:t>
      </w:r>
      <w:r w:rsidRPr="004624AD" w:rsidR="00002BFC">
        <w:t xml:space="preserve"> not exercised</w:t>
      </w:r>
      <w:r w:rsidRPr="004624AD" w:rsidR="002C3A83">
        <w:t>, by offering or actively providing service on a whole</w:t>
      </w:r>
      <w:r w:rsidRPr="004624AD" w:rsidR="00801A82">
        <w:t>sale</w:t>
      </w:r>
      <w:r w:rsidRPr="004624AD" w:rsidR="002C3A83">
        <w:t xml:space="preserve"> and/or resale basis,</w:t>
      </w:r>
      <w:r w:rsidRPr="004624AD" w:rsidR="00002BFC">
        <w:t xml:space="preserve"> </w:t>
      </w:r>
      <w:r w:rsidRPr="004624AD" w:rsidR="002C3A83">
        <w:t>after</w:t>
      </w:r>
      <w:r w:rsidRPr="004624AD" w:rsidR="00002BFC">
        <w:t xml:space="preserve"> 12 months </w:t>
      </w:r>
      <w:r w:rsidRPr="004624AD" w:rsidR="000E6D9C">
        <w:t>from</w:t>
      </w:r>
      <w:r w:rsidRPr="004624AD" w:rsidR="00002BFC">
        <w:t xml:space="preserve"> the effective date of this decision. </w:t>
      </w:r>
      <w:proofErr w:type="spellStart"/>
      <w:r w:rsidR="003E1E0F">
        <w:t>WaveStreet</w:t>
      </w:r>
      <w:proofErr w:type="spellEnd"/>
      <w:r w:rsidR="003E1E0F">
        <w:t xml:space="preserve"> Managed Services, Inc.</w:t>
      </w:r>
      <w:r w:rsidRPr="004624AD" w:rsidR="003A45FA">
        <w:t xml:space="preserve"> is responsible for seeking approval for an extension of time to comply with this decision pursuant to Rules of Practice and Procedure</w:t>
      </w:r>
      <w:r w:rsidRPr="004624AD" w:rsidR="00B8562D">
        <w:t xml:space="preserve"> Rule 16.6.</w:t>
      </w:r>
      <w:r w:rsidRPr="004624AD" w:rsidR="003A45FA">
        <w:t xml:space="preserve"> </w:t>
      </w:r>
    </w:p>
    <w:p w:rsidRPr="00EB362F" w:rsidR="00C24750" w:rsidP="003845B0" w:rsidRDefault="00C24750" w14:paraId="4C80CD33" w14:textId="77777777">
      <w:pPr>
        <w:pStyle w:val="OP"/>
      </w:pPr>
      <w:r w:rsidRPr="00EB362F">
        <w:t xml:space="preserve">The </w:t>
      </w:r>
      <w:proofErr w:type="spellStart"/>
      <w:r w:rsidR="00EF363A">
        <w:t>WaveStreet</w:t>
      </w:r>
      <w:proofErr w:type="spellEnd"/>
      <w:r w:rsidR="00EF363A">
        <w:t xml:space="preserve"> Managed Services, Inc.</w:t>
      </w:r>
      <w:r w:rsidRPr="00EB362F">
        <w:t xml:space="preserve"> </w:t>
      </w:r>
      <w:r w:rsidR="000C3C8D">
        <w:t xml:space="preserve">is assigned </w:t>
      </w:r>
      <w:r w:rsidR="003E12E3">
        <w:t>u</w:t>
      </w:r>
      <w:r w:rsidR="000C3C8D">
        <w:t xml:space="preserve">tility </w:t>
      </w:r>
      <w:r w:rsidR="003E12E3">
        <w:t xml:space="preserve">identification number </w:t>
      </w:r>
      <w:r w:rsidRPr="0083236B" w:rsidR="0083236B">
        <w:t>U-7465-C</w:t>
      </w:r>
      <w:r w:rsidR="000C3C8D">
        <w:t xml:space="preserve"> and is responsible for using this as its </w:t>
      </w:r>
      <w:r w:rsidRPr="00EB362F">
        <w:t>corporate identification number in the caption of all original filings with th</w:t>
      </w:r>
      <w:r w:rsidR="00FA3C6F">
        <w:t>e California Public Utilities</w:t>
      </w:r>
      <w:r w:rsidRPr="00EB362F">
        <w:t xml:space="preserve"> Commission</w:t>
      </w:r>
      <w:r w:rsidR="00B2172D">
        <w:t xml:space="preserve"> (Commission)</w:t>
      </w:r>
      <w:r w:rsidRPr="00EB362F">
        <w:t>, in the titles of other pleadings filed in existing cases</w:t>
      </w:r>
      <w:r w:rsidR="004331DE">
        <w:t>,</w:t>
      </w:r>
      <w:r w:rsidR="000C3C8D">
        <w:t xml:space="preserve"> and informal submissions to the Commission</w:t>
      </w:r>
      <w:r w:rsidRPr="00EB362F">
        <w:t>.</w:t>
      </w:r>
    </w:p>
    <w:p w:rsidRPr="00EB362F" w:rsidR="00C24750" w:rsidP="003845B0" w:rsidRDefault="00DC6367" w14:paraId="044CFFEA" w14:textId="77777777">
      <w:pPr>
        <w:pStyle w:val="OP"/>
      </w:pPr>
      <w:proofErr w:type="spellStart"/>
      <w:r>
        <w:t>WaveStreet</w:t>
      </w:r>
      <w:proofErr w:type="spellEnd"/>
      <w:r>
        <w:t xml:space="preserve"> Managed Services, Inc.</w:t>
      </w:r>
      <w:r w:rsidRPr="00EB362F" w:rsidR="00C24750">
        <w:t xml:space="preserve"> must file</w:t>
      </w:r>
      <w:r w:rsidR="00D52905">
        <w:t xml:space="preserve"> </w:t>
      </w:r>
      <w:r w:rsidR="00F304D1">
        <w:t xml:space="preserve">in this docket </w:t>
      </w:r>
      <w:r w:rsidRPr="00EB362F" w:rsidR="00C24750">
        <w:t>a written acceptance of the certificate granted in this proceeding</w:t>
      </w:r>
      <w:r w:rsidR="00F304D1">
        <w:t xml:space="preserve"> w</w:t>
      </w:r>
      <w:r w:rsidRPr="00EB362F" w:rsidR="00F304D1">
        <w:t>ithin 30</w:t>
      </w:r>
      <w:r w:rsidR="00F304D1">
        <w:t> </w:t>
      </w:r>
      <w:r w:rsidRPr="00EB362F" w:rsidR="00F304D1">
        <w:t>days of the effective date of this decision</w:t>
      </w:r>
      <w:r w:rsidRPr="00EB362F" w:rsidR="00C24750">
        <w:t>. The written acceptance filed in this docket does not reopen the proceeding</w:t>
      </w:r>
      <w:r w:rsidRPr="00EB362F" w:rsidR="00C24750">
        <w:rPr>
          <w:color w:val="0000FF"/>
        </w:rPr>
        <w:t>.</w:t>
      </w:r>
    </w:p>
    <w:p w:rsidRPr="005527B3" w:rsidR="00D03315" w:rsidP="003845B0" w:rsidRDefault="00DC6367" w14:paraId="19025414" w14:textId="77777777">
      <w:pPr>
        <w:pStyle w:val="OP"/>
      </w:pPr>
      <w:proofErr w:type="spellStart"/>
      <w:r>
        <w:lastRenderedPageBreak/>
        <w:t>WaveStreet</w:t>
      </w:r>
      <w:proofErr w:type="spellEnd"/>
      <w:r>
        <w:t xml:space="preserve"> Managed Services, Inc.</w:t>
      </w:r>
      <w:r w:rsidRPr="00EB362F" w:rsidR="00D03315">
        <w:t xml:space="preserve"> must provide the name, address, e</w:t>
      </w:r>
      <w:r w:rsidR="00D03315">
        <w:noBreakHyphen/>
      </w:r>
      <w:r w:rsidRPr="00EB362F" w:rsidR="00D03315">
        <w:t xml:space="preserve">mail address, and telephone </w:t>
      </w:r>
      <w:r w:rsidRPr="005527B3" w:rsidR="00D03315">
        <w:t xml:space="preserve">number of its designated </w:t>
      </w:r>
      <w:r w:rsidRPr="005527B3" w:rsidR="004331DE">
        <w:t xml:space="preserve">primary </w:t>
      </w:r>
      <w:r w:rsidRPr="005527B3" w:rsidR="00D03315">
        <w:t>regulatory/official contact person</w:t>
      </w:r>
      <w:r w:rsidRPr="005527B3" w:rsidR="00D52905">
        <w:t xml:space="preserve"> to the California Public Utilities Commission’s Communications Division</w:t>
      </w:r>
      <w:r w:rsidRPr="005527B3" w:rsidR="00F304D1">
        <w:t xml:space="preserve"> w</w:t>
      </w:r>
      <w:r w:rsidRPr="005527B3" w:rsidR="00F304D1">
        <w:rPr>
          <w:bCs/>
        </w:rPr>
        <w:t>ithin</w:t>
      </w:r>
      <w:r w:rsidRPr="005527B3" w:rsidR="00F304D1">
        <w:t xml:space="preserve"> five</w:t>
      </w:r>
      <w:r w:rsidR="00562223">
        <w:t> </w:t>
      </w:r>
      <w:r w:rsidRPr="005527B3" w:rsidR="00F304D1">
        <w:t xml:space="preserve">days </w:t>
      </w:r>
      <w:r w:rsidRPr="005527B3" w:rsidR="0074514F">
        <w:t>of</w:t>
      </w:r>
      <w:r w:rsidRPr="005527B3" w:rsidR="00F304D1">
        <w:t xml:space="preserve"> written acceptance of its certificate</w:t>
      </w:r>
      <w:r w:rsidRPr="005527B3" w:rsidR="00D03315">
        <w:t xml:space="preserve">. </w:t>
      </w:r>
      <w:r w:rsidRPr="005527B3" w:rsidR="001032C6">
        <w:t>Refer to Attachment B for additional information related to updating contact information.</w:t>
      </w:r>
    </w:p>
    <w:p w:rsidRPr="005527B3" w:rsidR="00D03315" w:rsidP="003845B0" w:rsidRDefault="009C4E13" w14:paraId="09605338" w14:textId="77777777">
      <w:pPr>
        <w:pStyle w:val="OP"/>
      </w:pPr>
      <w:proofErr w:type="spellStart"/>
      <w:r>
        <w:t>WaveStreet</w:t>
      </w:r>
      <w:proofErr w:type="spellEnd"/>
      <w:r>
        <w:t xml:space="preserve"> Managed Services, Inc.</w:t>
      </w:r>
      <w:r w:rsidRPr="005527B3" w:rsidR="00D03315">
        <w:t xml:space="preserve"> must provide</w:t>
      </w:r>
      <w:r w:rsidRPr="005527B3" w:rsidR="00D52905">
        <w:t xml:space="preserve"> </w:t>
      </w:r>
      <w:r w:rsidRPr="005527B3" w:rsidR="00D03315">
        <w:t>the name, address, e</w:t>
      </w:r>
      <w:r w:rsidRPr="005527B3" w:rsidR="00D03315">
        <w:noBreakHyphen/>
        <w:t>mail address, and telephone number of its designated contact person for purposes of resolving consumer complaints</w:t>
      </w:r>
      <w:r w:rsidRPr="005527B3" w:rsidR="00D52905">
        <w:t xml:space="preserve"> to the California Public Utilities Commission’s Consumer Affairs Branch</w:t>
      </w:r>
      <w:r w:rsidRPr="005527B3" w:rsidR="00F304D1">
        <w:t xml:space="preserve"> w</w:t>
      </w:r>
      <w:r w:rsidRPr="005527B3" w:rsidR="00F304D1">
        <w:rPr>
          <w:bCs/>
        </w:rPr>
        <w:t>ithin</w:t>
      </w:r>
      <w:r w:rsidRPr="005527B3" w:rsidR="00F304D1">
        <w:t xml:space="preserve"> five days </w:t>
      </w:r>
      <w:r w:rsidRPr="005527B3" w:rsidR="0074514F">
        <w:t>of</w:t>
      </w:r>
      <w:r w:rsidRPr="005527B3" w:rsidR="00F304D1">
        <w:t xml:space="preserve"> written acceptance of its certificate</w:t>
      </w:r>
      <w:r w:rsidRPr="005527B3" w:rsidR="00D03315">
        <w:t xml:space="preserve">. </w:t>
      </w:r>
      <w:r w:rsidRPr="005527B3" w:rsidR="001032C6">
        <w:t>Refer to Attachment B for additional information related to updating contact information.</w:t>
      </w:r>
    </w:p>
    <w:p w:rsidRPr="007124B2" w:rsidR="00BD161F" w:rsidP="003845B0" w:rsidRDefault="7DCEAA73" w14:paraId="4F65378D" w14:textId="77777777">
      <w:pPr>
        <w:pStyle w:val="OP"/>
      </w:pPr>
      <w:r w:rsidRPr="6E847363">
        <w:rPr>
          <w:b/>
          <w:bCs/>
          <w:color w:val="0000FF"/>
        </w:rPr>
        <w:t xml:space="preserve"> </w:t>
      </w:r>
      <w:proofErr w:type="spellStart"/>
      <w:r w:rsidR="009C4E13">
        <w:t>WaveStreet</w:t>
      </w:r>
      <w:proofErr w:type="spellEnd"/>
      <w:r w:rsidR="009C4E13">
        <w:t xml:space="preserve"> Managed Services, Inc.</w:t>
      </w:r>
      <w:r w:rsidRPr="4372617A" w:rsidR="000E7B0F">
        <w:rPr>
          <w:color w:val="00B0F0"/>
        </w:rPr>
        <w:t xml:space="preserve"> </w:t>
      </w:r>
      <w:r w:rsidRPr="4372617A" w:rsidR="000E7B0F">
        <w:t>must submit a Tier</w:t>
      </w:r>
      <w:r w:rsidR="00F97D6B">
        <w:t xml:space="preserve"> </w:t>
      </w:r>
      <w:r w:rsidRPr="4372617A" w:rsidR="000E7B0F">
        <w:t xml:space="preserve">1 Advice Letter </w:t>
      </w:r>
      <w:r w:rsidRPr="4372617A" w:rsidR="00F304D1">
        <w:t xml:space="preserve">containing a copy of the license holder’s executed performance bond in accordance </w:t>
      </w:r>
      <w:bookmarkStart w:name="_Hlk183526091" w:id="75"/>
      <w:r w:rsidRPr="4372617A" w:rsidR="00F304D1">
        <w:t>with</w:t>
      </w:r>
      <w:r w:rsidRPr="4372617A" w:rsidR="009D68FE">
        <w:t xml:space="preserve"> the process established in D</w:t>
      </w:r>
      <w:r w:rsidR="00495219">
        <w:t xml:space="preserve">ecision (D.) </w:t>
      </w:r>
      <w:r w:rsidRPr="4372617A" w:rsidR="009D68FE">
        <w:t xml:space="preserve">10-09-017/D.11-09-026 and modified by D.13-05-035 and </w:t>
      </w:r>
      <w:r w:rsidRPr="4372617A" w:rsidR="00F304D1">
        <w:t>D</w:t>
      </w:r>
      <w:r w:rsidR="00495219">
        <w:t>.</w:t>
      </w:r>
      <w:r w:rsidRPr="4372617A" w:rsidR="00F56BEC">
        <w:t>24-11-</w:t>
      </w:r>
      <w:r w:rsidRPr="4372617A" w:rsidR="5986BDB3">
        <w:t>003</w:t>
      </w:r>
      <w:bookmarkEnd w:id="75"/>
      <w:r w:rsidRPr="4372617A" w:rsidR="00F304D1">
        <w:t xml:space="preserve"> </w:t>
      </w:r>
      <w:r w:rsidRPr="4372617A" w:rsidR="000E7B0F">
        <w:t xml:space="preserve">to the </w:t>
      </w:r>
      <w:r w:rsidRPr="4372617A" w:rsidR="004331DE">
        <w:t>California Public Utilities Commission</w:t>
      </w:r>
      <w:r w:rsidRPr="4372617A" w:rsidR="00DD1FB0">
        <w:t>’</w:t>
      </w:r>
      <w:r w:rsidRPr="4372617A" w:rsidR="004331DE">
        <w:t xml:space="preserve">s </w:t>
      </w:r>
      <w:r w:rsidRPr="4372617A" w:rsidR="000E7B0F">
        <w:t xml:space="preserve">Communications Division </w:t>
      </w:r>
      <w:r w:rsidRPr="4372617A" w:rsidR="00F304D1">
        <w:t xml:space="preserve">within </w:t>
      </w:r>
      <w:r w:rsidR="00402F4F">
        <w:t>30</w:t>
      </w:r>
      <w:r w:rsidRPr="4372617A" w:rsidR="00402F4F">
        <w:t xml:space="preserve"> </w:t>
      </w:r>
      <w:r w:rsidRPr="4372617A" w:rsidR="00F304D1">
        <w:t xml:space="preserve">days </w:t>
      </w:r>
      <w:r w:rsidRPr="4372617A" w:rsidR="007D562D">
        <w:t>of</w:t>
      </w:r>
      <w:r w:rsidRPr="4372617A" w:rsidR="00BA03A6">
        <w:t xml:space="preserve"> </w:t>
      </w:r>
      <w:r w:rsidRPr="4372617A" w:rsidR="007D562D">
        <w:t xml:space="preserve">the </w:t>
      </w:r>
      <w:r w:rsidRPr="4372617A" w:rsidR="00BA03A6">
        <w:t>effective date</w:t>
      </w:r>
      <w:r w:rsidRPr="4372617A" w:rsidR="004932B8">
        <w:t xml:space="preserve"> of</w:t>
      </w:r>
      <w:r w:rsidRPr="4372617A" w:rsidR="00BA03A6">
        <w:t xml:space="preserve"> this decision</w:t>
      </w:r>
      <w:r w:rsidRPr="4372617A" w:rsidR="003838A5">
        <w:t xml:space="preserve">. </w:t>
      </w:r>
      <w:r w:rsidRPr="4372617A" w:rsidR="007124B2">
        <w:t xml:space="preserve">Refer to Attachment B for additional </w:t>
      </w:r>
      <w:r w:rsidRPr="4372617A" w:rsidR="003E12E3">
        <w:t xml:space="preserve">information on </w:t>
      </w:r>
      <w:r w:rsidRPr="4372617A" w:rsidR="00A41EFC">
        <w:t xml:space="preserve">annual </w:t>
      </w:r>
      <w:r w:rsidRPr="4372617A" w:rsidR="007124B2">
        <w:t>performance bond requirements.</w:t>
      </w:r>
    </w:p>
    <w:p w:rsidR="009A3D94" w:rsidP="003845B0" w:rsidRDefault="009C4E13" w14:paraId="7910FC81" w14:textId="77777777">
      <w:pPr>
        <w:pStyle w:val="OP"/>
      </w:pPr>
      <w:proofErr w:type="spellStart"/>
      <w:r>
        <w:t>WaveStreet</w:t>
      </w:r>
      <w:proofErr w:type="spellEnd"/>
      <w:r>
        <w:t xml:space="preserve"> Managed Services, Inc.</w:t>
      </w:r>
      <w:r w:rsidRPr="002E4891" w:rsidR="009A3D94">
        <w:t xml:space="preserve"> must </w:t>
      </w:r>
      <w:r w:rsidR="001777D0">
        <w:t xml:space="preserve">submit its compliance with </w:t>
      </w:r>
      <w:r w:rsidRPr="002E4891" w:rsidR="001777D0">
        <w:t>Pub</w:t>
      </w:r>
      <w:r w:rsidR="001777D0">
        <w:t>lic</w:t>
      </w:r>
      <w:r w:rsidRPr="002E4891" w:rsidR="001777D0">
        <w:t xml:space="preserve"> Util</w:t>
      </w:r>
      <w:r w:rsidR="001777D0">
        <w:t>ities</w:t>
      </w:r>
      <w:r w:rsidRPr="002E4891" w:rsidR="001777D0">
        <w:t xml:space="preserve"> Code </w:t>
      </w:r>
      <w:r w:rsidR="001777D0">
        <w:t>Section</w:t>
      </w:r>
      <w:r w:rsidRPr="002E4891" w:rsidR="001777D0">
        <w:t xml:space="preserve"> 708, Employee Identification Cards</w:t>
      </w:r>
      <w:r w:rsidR="001777D0">
        <w:t>, to</w:t>
      </w:r>
      <w:r w:rsidRPr="002E4891" w:rsidR="00F304D1">
        <w:t xml:space="preserve"> </w:t>
      </w:r>
      <w:r w:rsidR="00F304D1">
        <w:t xml:space="preserve">the </w:t>
      </w:r>
      <w:r w:rsidRPr="009A3D94" w:rsidR="00F304D1">
        <w:t>California Public Utilities Commission’s Director of the Communications Division</w:t>
      </w:r>
      <w:r w:rsidR="00F304D1">
        <w:t xml:space="preserve">, </w:t>
      </w:r>
      <w:r w:rsidR="009A3D94">
        <w:t xml:space="preserve">in writing, </w:t>
      </w:r>
      <w:r w:rsidRPr="002E4891" w:rsidR="009A3D94">
        <w:t xml:space="preserve">by email to </w:t>
      </w:r>
      <w:hyperlink w:history="1" r:id="rId23">
        <w:r w:rsidRPr="009374C9" w:rsidR="009A3D94">
          <w:rPr>
            <w:rStyle w:val="Hyperlink"/>
          </w:rPr>
          <w:t>cdcompliance@cpuc.ca.gov</w:t>
        </w:r>
      </w:hyperlink>
      <w:r w:rsidR="009A3D94">
        <w:t>,</w:t>
      </w:r>
      <w:r w:rsidR="00F304D1">
        <w:t xml:space="preserve"> </w:t>
      </w:r>
      <w:r w:rsidRPr="009A3D94" w:rsidR="00F304D1">
        <w:rPr>
          <w:iCs/>
        </w:rPr>
        <w:t>within</w:t>
      </w:r>
      <w:r w:rsidRPr="009A3D94" w:rsidR="00F304D1">
        <w:t xml:space="preserve"> 60 days </w:t>
      </w:r>
      <w:r w:rsidR="0074514F">
        <w:t>of</w:t>
      </w:r>
      <w:r w:rsidRPr="009A3D94" w:rsidR="00F304D1">
        <w:t xml:space="preserve"> the effective date of this </w:t>
      </w:r>
      <w:r w:rsidR="001777D0">
        <w:t>decision.</w:t>
      </w:r>
    </w:p>
    <w:p w:rsidRPr="00EB362F" w:rsidR="000369F6" w:rsidP="003845B0" w:rsidRDefault="004C690F" w14:paraId="1BB3CA5D" w14:textId="77777777">
      <w:pPr>
        <w:pStyle w:val="OP"/>
      </w:pPr>
      <w:proofErr w:type="spellStart"/>
      <w:r>
        <w:t>WaveStreet</w:t>
      </w:r>
      <w:proofErr w:type="spellEnd"/>
      <w:r>
        <w:t xml:space="preserve"> Managed Services, Inc.</w:t>
      </w:r>
      <w:r w:rsidRPr="00EB362F" w:rsidR="000369F6">
        <w:t xml:space="preserve"> is subject </w:t>
      </w:r>
      <w:r w:rsidR="000369F6">
        <w:t>to</w:t>
      </w:r>
      <w:r w:rsidRPr="00EB362F" w:rsidR="000369F6">
        <w:t xml:space="preserve"> all the </w:t>
      </w:r>
      <w:r w:rsidR="000369F6">
        <w:t xml:space="preserve">current </w:t>
      </w:r>
      <w:r w:rsidRPr="00EB362F" w:rsidR="000369F6">
        <w:t xml:space="preserve">requirements applicable to </w:t>
      </w:r>
      <w:r w:rsidRPr="004C690F" w:rsidR="00A72EE3">
        <w:t xml:space="preserve">fixed interconnected </w:t>
      </w:r>
      <w:r w:rsidRPr="004C690F" w:rsidR="00B26FEE">
        <w:t>Voice over Internet Providers</w:t>
      </w:r>
      <w:r w:rsidRPr="00EB362F" w:rsidR="000369F6">
        <w:t xml:space="preserve"> </w:t>
      </w:r>
      <w:r w:rsidRPr="00EB362F" w:rsidR="000369F6">
        <w:lastRenderedPageBreak/>
        <w:t>included in Attachments</w:t>
      </w:r>
      <w:r w:rsidR="000369F6">
        <w:t> </w:t>
      </w:r>
      <w:r w:rsidRPr="00EB362F" w:rsidR="000369F6">
        <w:t>B, C, and D to this decision</w:t>
      </w:r>
      <w:r w:rsidR="00FB6994">
        <w:t xml:space="preserve"> (including annual affiliate transaction reports, ongoing performance bond requirements, </w:t>
      </w:r>
      <w:r w:rsidR="00D637E1">
        <w:t xml:space="preserve">and </w:t>
      </w:r>
      <w:r w:rsidR="00FB6994">
        <w:t>payment of surcharges and user fees)</w:t>
      </w:r>
      <w:r w:rsidR="000369F6">
        <w:t>;</w:t>
      </w:r>
      <w:r w:rsidRPr="00EB362F" w:rsidR="000369F6">
        <w:t xml:space="preserve"> </w:t>
      </w:r>
      <w:r w:rsidR="003E12E3">
        <w:t xml:space="preserve">all </w:t>
      </w:r>
      <w:r w:rsidRPr="00EB362F" w:rsidR="000369F6">
        <w:t>Consumer Protection Rules contained in General</w:t>
      </w:r>
      <w:r w:rsidR="000369F6">
        <w:t> </w:t>
      </w:r>
      <w:r w:rsidRPr="00EB362F" w:rsidR="000369F6">
        <w:t>Order</w:t>
      </w:r>
      <w:r w:rsidR="000369F6">
        <w:t> </w:t>
      </w:r>
      <w:r w:rsidRPr="00EB362F" w:rsidR="000369F6">
        <w:t>168</w:t>
      </w:r>
      <w:r w:rsidR="000369F6">
        <w:t>;</w:t>
      </w:r>
      <w:r w:rsidRPr="00EB362F" w:rsidR="000369F6">
        <w:t xml:space="preserve"> and all applicable </w:t>
      </w:r>
      <w:r w:rsidR="000369F6">
        <w:t xml:space="preserve">California Public Utilities </w:t>
      </w:r>
      <w:r w:rsidRPr="00EB362F" w:rsidR="000369F6">
        <w:t>Commission rules, decisions, General</w:t>
      </w:r>
      <w:r w:rsidR="000369F6">
        <w:t> </w:t>
      </w:r>
      <w:r w:rsidRPr="00EB362F" w:rsidR="000369F6">
        <w:t>Orders, and statutes that pertain to California public</w:t>
      </w:r>
      <w:r w:rsidR="000369F6">
        <w:t> </w:t>
      </w:r>
      <w:r w:rsidRPr="00EB362F" w:rsidR="000369F6">
        <w:t>utilities</w:t>
      </w:r>
      <w:r w:rsidR="000369F6">
        <w:t xml:space="preserve"> on an ongoing basis</w:t>
      </w:r>
      <w:r w:rsidRPr="00EB362F" w:rsidR="000369F6">
        <w:t>.</w:t>
      </w:r>
    </w:p>
    <w:p w:rsidRPr="00EB362F" w:rsidR="008046CE" w:rsidP="003845B0" w:rsidRDefault="00E13166" w14:paraId="5B672208" w14:textId="77777777">
      <w:pPr>
        <w:pStyle w:val="OP"/>
      </w:pPr>
      <w:r w:rsidRPr="00E13166">
        <w:rPr>
          <w:bCs/>
        </w:rPr>
        <w:t>Confidential Treatment of</w:t>
      </w:r>
      <w:r w:rsidRPr="00E13166">
        <w:rPr>
          <w:b/>
        </w:rPr>
        <w:t xml:space="preserve"> </w:t>
      </w:r>
      <w:proofErr w:type="spellStart"/>
      <w:r w:rsidR="003911FC">
        <w:t>WaveStreet</w:t>
      </w:r>
      <w:proofErr w:type="spellEnd"/>
      <w:r w:rsidR="003911FC">
        <w:t xml:space="preserve"> Managed Services, Inc.</w:t>
      </w:r>
      <w:r w:rsidR="00AE0AE8">
        <w:t>’s</w:t>
      </w:r>
      <w:r w:rsidRPr="00EB362F" w:rsidR="008046CE">
        <w:t xml:space="preserve"> </w:t>
      </w:r>
      <w:r w:rsidR="00562223">
        <w:t>(</w:t>
      </w:r>
      <w:proofErr w:type="spellStart"/>
      <w:r w:rsidR="00562223">
        <w:t>WaveStreet</w:t>
      </w:r>
      <w:proofErr w:type="spellEnd"/>
      <w:r w:rsidR="00562223">
        <w:t xml:space="preserve">) </w:t>
      </w:r>
      <w:r w:rsidRPr="00AE0AE8" w:rsidR="00AE0AE8">
        <w:rPr>
          <w:bCs/>
        </w:rPr>
        <w:t>financial documents</w:t>
      </w:r>
      <w:r w:rsidRPr="00AE0AE8" w:rsidR="00C63A8A">
        <w:rPr>
          <w:bCs/>
        </w:rPr>
        <w:t xml:space="preserve"> </w:t>
      </w:r>
      <w:r w:rsidR="0009237B">
        <w:rPr>
          <w:bCs/>
        </w:rPr>
        <w:t>is</w:t>
      </w:r>
      <w:r w:rsidRPr="00EB362F" w:rsidR="008046CE">
        <w:t xml:space="preserve"> granted</w:t>
      </w:r>
      <w:r w:rsidRPr="00EB362F" w:rsidR="00860129">
        <w:t xml:space="preserve"> for a period of three years after the date of this </w:t>
      </w:r>
      <w:r w:rsidRPr="00EB362F" w:rsidR="00AE637C">
        <w:t>decision</w:t>
      </w:r>
      <w:r w:rsidR="005675AF">
        <w:t xml:space="preserve"> pursuant to D</w:t>
      </w:r>
      <w:r w:rsidR="00495219">
        <w:t>ecision</w:t>
      </w:r>
      <w:r w:rsidR="000367DC">
        <w:t> </w:t>
      </w:r>
      <w:r w:rsidR="005675AF">
        <w:t>24</w:t>
      </w:r>
      <w:r w:rsidR="000367DC">
        <w:noBreakHyphen/>
      </w:r>
      <w:r w:rsidR="005675AF">
        <w:t>11</w:t>
      </w:r>
      <w:r w:rsidR="000367DC">
        <w:noBreakHyphen/>
      </w:r>
      <w:r w:rsidR="005675AF">
        <w:t>003</w:t>
      </w:r>
      <w:r w:rsidRPr="00EB362F" w:rsidR="00860129">
        <w:t>.</w:t>
      </w:r>
      <w:r w:rsidR="00F75E36">
        <w:t xml:space="preserve"> </w:t>
      </w:r>
      <w:r w:rsidRPr="00EB362F" w:rsidR="00860129">
        <w:t xml:space="preserve">During this </w:t>
      </w:r>
      <w:r w:rsidRPr="00EB362F" w:rsidR="00F75E36">
        <w:t>three</w:t>
      </w:r>
      <w:r w:rsidR="00F75E36">
        <w:t>-year</w:t>
      </w:r>
      <w:r w:rsidRPr="00EB362F" w:rsidR="00860129">
        <w:t xml:space="preserve"> period, this information shall not be publicly disclosed except on further Commission order or Administrative Law Judge ruling</w:t>
      </w:r>
      <w:r w:rsidRPr="00EB362F" w:rsidR="008046CE">
        <w:t xml:space="preserve">. If </w:t>
      </w:r>
      <w:proofErr w:type="spellStart"/>
      <w:r w:rsidR="0009237B">
        <w:t>WaveStreet</w:t>
      </w:r>
      <w:proofErr w:type="spellEnd"/>
      <w:r w:rsidR="0009237B">
        <w:t xml:space="preserve"> </w:t>
      </w:r>
      <w:r w:rsidRPr="00EB362F" w:rsidR="008046CE">
        <w:t>believes that it is necessary for this information to remain under seal for longer</w:t>
      </w:r>
      <w:r w:rsidR="00F75E36">
        <w:t> </w:t>
      </w:r>
      <w:r w:rsidRPr="00EB362F" w:rsidR="008046CE">
        <w:t>than t</w:t>
      </w:r>
      <w:r w:rsidRPr="00EB362F" w:rsidR="00860129">
        <w:t>hree</w:t>
      </w:r>
      <w:r w:rsidR="00F75E36">
        <w:t> </w:t>
      </w:r>
      <w:r w:rsidRPr="00EB362F" w:rsidR="008046CE">
        <w:t xml:space="preserve">years, </w:t>
      </w:r>
      <w:proofErr w:type="spellStart"/>
      <w:r w:rsidR="0009237B">
        <w:t>WaveStreet</w:t>
      </w:r>
      <w:proofErr w:type="spellEnd"/>
      <w:r w:rsidR="0009237B">
        <w:t xml:space="preserve"> </w:t>
      </w:r>
      <w:r w:rsidRPr="00EB362F" w:rsidR="008046CE">
        <w:t xml:space="preserve">may file a motion </w:t>
      </w:r>
      <w:r w:rsidRPr="00EB362F" w:rsidR="00860129">
        <w:t>showing good cause for extending this order by no</w:t>
      </w:r>
      <w:r w:rsidR="00F75E36">
        <w:t> </w:t>
      </w:r>
      <w:r w:rsidRPr="00EB362F" w:rsidR="00860129">
        <w:t>later</w:t>
      </w:r>
      <w:r w:rsidR="00F75E36">
        <w:t> t</w:t>
      </w:r>
      <w:r w:rsidRPr="00EB362F" w:rsidR="00860129">
        <w:t xml:space="preserve">han </w:t>
      </w:r>
      <w:r w:rsidRPr="00EB362F" w:rsidR="008046CE">
        <w:t>30</w:t>
      </w:r>
      <w:r w:rsidR="00F75E36">
        <w:t> </w:t>
      </w:r>
      <w:r w:rsidRPr="00EB362F" w:rsidR="008046CE">
        <w:t xml:space="preserve">days before the expiration of this </w:t>
      </w:r>
      <w:r w:rsidRPr="00EB362F" w:rsidR="00602852">
        <w:t>order</w:t>
      </w:r>
      <w:r w:rsidRPr="00EB362F" w:rsidR="008046CE">
        <w:t>.</w:t>
      </w:r>
    </w:p>
    <w:p w:rsidRPr="006A3D74" w:rsidR="0059759F" w:rsidP="003845B0" w:rsidRDefault="0059759F" w14:paraId="1E917B5A" w14:textId="77777777">
      <w:pPr>
        <w:pStyle w:val="OP"/>
      </w:pPr>
      <w:bookmarkStart w:name="_Hlk183525931" w:id="76"/>
      <w:r w:rsidRPr="006A3D74">
        <w:t>All rulings by the assigned Commissioner and the assigned</w:t>
      </w:r>
      <w:r w:rsidR="000367DC">
        <w:t xml:space="preserve"> </w:t>
      </w:r>
      <w:r w:rsidRPr="006A3D74">
        <w:t>A</w:t>
      </w:r>
      <w:r w:rsidR="00FA3C6F">
        <w:t xml:space="preserve">dministrative </w:t>
      </w:r>
      <w:r w:rsidRPr="006A3D74">
        <w:t>L</w:t>
      </w:r>
      <w:r w:rsidR="00FA3C6F">
        <w:t xml:space="preserve">aw </w:t>
      </w:r>
      <w:r w:rsidRPr="006A3D74">
        <w:t>J</w:t>
      </w:r>
      <w:r w:rsidR="00FA3C6F">
        <w:t>udge</w:t>
      </w:r>
      <w:r w:rsidRPr="006A3D74">
        <w:t xml:space="preserve"> are affirmed.</w:t>
      </w:r>
    </w:p>
    <w:p w:rsidRPr="006A3D74" w:rsidR="0059759F" w:rsidP="003845B0" w:rsidRDefault="0059759F" w14:paraId="4E35FB7E" w14:textId="77777777">
      <w:pPr>
        <w:pStyle w:val="OP"/>
      </w:pPr>
      <w:r w:rsidRPr="006A3D74">
        <w:t xml:space="preserve">All pending motions are </w:t>
      </w:r>
      <w:r w:rsidR="00766840">
        <w:t xml:space="preserve">deemed </w:t>
      </w:r>
      <w:r w:rsidRPr="006A3D74">
        <w:t>denied.</w:t>
      </w:r>
    </w:p>
    <w:bookmarkEnd w:id="76"/>
    <w:p w:rsidRPr="00EB362F" w:rsidR="00730980" w:rsidP="009156C6" w:rsidRDefault="008D173F" w14:paraId="07FDFBC6" w14:textId="77777777">
      <w:pPr>
        <w:pStyle w:val="OP"/>
        <w:keepNext/>
      </w:pPr>
      <w:r w:rsidRPr="00EB362F">
        <w:lastRenderedPageBreak/>
        <w:t>Application</w:t>
      </w:r>
      <w:r w:rsidR="000367DC">
        <w:t> </w:t>
      </w:r>
      <w:r w:rsidRPr="0009237B" w:rsidR="0009237B">
        <w:t>23</w:t>
      </w:r>
      <w:r w:rsidR="000367DC">
        <w:noBreakHyphen/>
      </w:r>
      <w:r w:rsidRPr="0009237B" w:rsidR="0009237B">
        <w:t>11</w:t>
      </w:r>
      <w:r w:rsidR="000367DC">
        <w:noBreakHyphen/>
      </w:r>
      <w:r w:rsidRPr="0009237B" w:rsidR="0009237B">
        <w:t>008</w:t>
      </w:r>
      <w:r w:rsidRPr="00EB057C" w:rsidR="00730980">
        <w:rPr>
          <w:b/>
          <w:color w:val="0000FF"/>
        </w:rPr>
        <w:t xml:space="preserve"> </w:t>
      </w:r>
      <w:r w:rsidRPr="00EB057C" w:rsidR="00730980">
        <w:rPr>
          <w:bCs/>
        </w:rPr>
        <w:t>is</w:t>
      </w:r>
      <w:r w:rsidRPr="00EB362F" w:rsidR="00730980">
        <w:t xml:space="preserve"> closed.</w:t>
      </w:r>
    </w:p>
    <w:p w:rsidRPr="00EB362F" w:rsidR="00730980" w:rsidP="009156C6" w:rsidRDefault="00730980" w14:paraId="35B09D18" w14:textId="77777777">
      <w:pPr>
        <w:pStyle w:val="Standard"/>
        <w:keepNext/>
      </w:pPr>
      <w:r w:rsidRPr="00EB362F">
        <w:t xml:space="preserve">This </w:t>
      </w:r>
      <w:r w:rsidRPr="00EB362F" w:rsidR="00AE637C">
        <w:t xml:space="preserve">decision </w:t>
      </w:r>
      <w:r w:rsidRPr="00EB362F">
        <w:t>is effective today.</w:t>
      </w:r>
    </w:p>
    <w:p w:rsidR="003845B0" w:rsidP="009156C6" w:rsidRDefault="00730980" w14:paraId="5387641B" w14:textId="5C48C7FB">
      <w:pPr>
        <w:pStyle w:val="Standard"/>
        <w:keepNext/>
      </w:pPr>
      <w:r w:rsidRPr="00EB362F">
        <w:t xml:space="preserve">Dated </w:t>
      </w:r>
      <w:r w:rsidR="00F83EE6">
        <w:t>March 13, 2025</w:t>
      </w:r>
      <w:r w:rsidRPr="00EB362F">
        <w:t xml:space="preserve">, at </w:t>
      </w:r>
      <w:r w:rsidR="004A7ACA">
        <w:t>Santa Clara</w:t>
      </w:r>
      <w:r w:rsidRPr="00EB362F">
        <w:t>, California</w:t>
      </w:r>
      <w:r w:rsidR="00E30A2A">
        <w:t>.</w:t>
      </w:r>
    </w:p>
    <w:p w:rsidR="00E30A2A" w:rsidP="009156C6" w:rsidRDefault="00E30A2A" w14:paraId="22AEF6C5" w14:textId="77777777">
      <w:pPr>
        <w:pStyle w:val="Standard"/>
        <w:keepNext/>
      </w:pPr>
    </w:p>
    <w:tbl>
      <w:tblPr>
        <w:tblStyle w:val="TableGrid11"/>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500"/>
        <w:gridCol w:w="175"/>
        <w:gridCol w:w="4500"/>
        <w:gridCol w:w="175"/>
      </w:tblGrid>
      <w:tr w:rsidRPr="00A55C7D" w:rsidR="00E30A2A" w:rsidTr="00F75917" w14:paraId="61060AC4" w14:textId="77777777">
        <w:trPr>
          <w:gridAfter w:val="1"/>
          <w:wAfter w:w="175" w:type="dxa"/>
        </w:trPr>
        <w:tc>
          <w:tcPr>
            <w:tcW w:w="4500" w:type="dxa"/>
          </w:tcPr>
          <w:p w:rsidRPr="00A55C7D" w:rsidR="00E30A2A" w:rsidP="00F75917" w:rsidRDefault="00E30A2A" w14:paraId="65A81278" w14:textId="77777777">
            <w:pPr>
              <w:keepNext/>
              <w:rPr>
                <w:szCs w:val="26"/>
              </w:rPr>
            </w:pPr>
          </w:p>
        </w:tc>
        <w:tc>
          <w:tcPr>
            <w:tcW w:w="4675" w:type="dxa"/>
            <w:gridSpan w:val="2"/>
          </w:tcPr>
          <w:p w:rsidRPr="00A55C7D" w:rsidR="00E30A2A" w:rsidP="00F75917" w:rsidRDefault="00E30A2A" w14:paraId="7BD9790E" w14:textId="77777777">
            <w:pPr>
              <w:keepNext/>
              <w:ind w:left="-105"/>
              <w:rPr>
                <w:szCs w:val="26"/>
              </w:rPr>
            </w:pPr>
            <w:r w:rsidRPr="00A55C7D">
              <w:rPr>
                <w:szCs w:val="26"/>
              </w:rPr>
              <w:t>ALICE REYNOLDS</w:t>
            </w:r>
          </w:p>
        </w:tc>
      </w:tr>
      <w:tr w:rsidRPr="00A55C7D" w:rsidR="00E30A2A" w:rsidTr="00F75917" w14:paraId="1A709985" w14:textId="77777777">
        <w:trPr>
          <w:gridAfter w:val="1"/>
          <w:wAfter w:w="175" w:type="dxa"/>
        </w:trPr>
        <w:tc>
          <w:tcPr>
            <w:tcW w:w="4500" w:type="dxa"/>
          </w:tcPr>
          <w:p w:rsidRPr="00A55C7D" w:rsidR="00E30A2A" w:rsidP="00F75917" w:rsidRDefault="00E30A2A" w14:paraId="3FD7E4A2" w14:textId="77777777">
            <w:pPr>
              <w:keepNext/>
              <w:rPr>
                <w:szCs w:val="26"/>
              </w:rPr>
            </w:pPr>
          </w:p>
        </w:tc>
        <w:tc>
          <w:tcPr>
            <w:tcW w:w="4675" w:type="dxa"/>
            <w:gridSpan w:val="2"/>
          </w:tcPr>
          <w:p w:rsidRPr="00A55C7D" w:rsidR="00E30A2A" w:rsidP="00F75917" w:rsidRDefault="00E30A2A" w14:paraId="586AF61D" w14:textId="77777777">
            <w:pPr>
              <w:keepNext/>
              <w:ind w:left="1245"/>
              <w:rPr>
                <w:szCs w:val="26"/>
              </w:rPr>
            </w:pPr>
            <w:r w:rsidRPr="00A55C7D">
              <w:rPr>
                <w:szCs w:val="26"/>
              </w:rPr>
              <w:t>President</w:t>
            </w:r>
          </w:p>
        </w:tc>
      </w:tr>
      <w:tr w:rsidRPr="00A55C7D" w:rsidR="00E30A2A" w:rsidTr="00F75917" w14:paraId="5CA94649" w14:textId="77777777">
        <w:trPr>
          <w:gridAfter w:val="1"/>
          <w:wAfter w:w="175" w:type="dxa"/>
        </w:trPr>
        <w:tc>
          <w:tcPr>
            <w:tcW w:w="4500" w:type="dxa"/>
          </w:tcPr>
          <w:p w:rsidRPr="00A55C7D" w:rsidR="00E30A2A" w:rsidP="00F75917" w:rsidRDefault="00E30A2A" w14:paraId="6CBE34C4" w14:textId="77777777">
            <w:pPr>
              <w:keepNext/>
              <w:rPr>
                <w:szCs w:val="26"/>
              </w:rPr>
            </w:pPr>
          </w:p>
        </w:tc>
        <w:tc>
          <w:tcPr>
            <w:tcW w:w="4675" w:type="dxa"/>
            <w:gridSpan w:val="2"/>
          </w:tcPr>
          <w:p w:rsidRPr="00A55C7D" w:rsidR="00E30A2A" w:rsidP="00F75917" w:rsidRDefault="00E30A2A" w14:paraId="57FB3EE9" w14:textId="77777777">
            <w:pPr>
              <w:keepNext/>
              <w:ind w:left="-105"/>
              <w:rPr>
                <w:szCs w:val="26"/>
              </w:rPr>
            </w:pPr>
            <w:r w:rsidRPr="00A55C7D">
              <w:rPr>
                <w:szCs w:val="26"/>
              </w:rPr>
              <w:t>DARCIE L. HOUCK</w:t>
            </w:r>
          </w:p>
        </w:tc>
      </w:tr>
      <w:tr w:rsidRPr="00A55C7D" w:rsidR="00E30A2A" w:rsidTr="00F75917" w14:paraId="632F04AA" w14:textId="77777777">
        <w:trPr>
          <w:gridAfter w:val="1"/>
          <w:wAfter w:w="175" w:type="dxa"/>
        </w:trPr>
        <w:tc>
          <w:tcPr>
            <w:tcW w:w="4500" w:type="dxa"/>
          </w:tcPr>
          <w:p w:rsidRPr="00A55C7D" w:rsidR="00E30A2A" w:rsidP="00F75917" w:rsidRDefault="00E30A2A" w14:paraId="64FA4FF6" w14:textId="77777777">
            <w:pPr>
              <w:keepNext/>
              <w:rPr>
                <w:szCs w:val="26"/>
              </w:rPr>
            </w:pPr>
          </w:p>
        </w:tc>
        <w:tc>
          <w:tcPr>
            <w:tcW w:w="4675" w:type="dxa"/>
            <w:gridSpan w:val="2"/>
          </w:tcPr>
          <w:p w:rsidRPr="00A55C7D" w:rsidR="00E30A2A" w:rsidP="00F75917" w:rsidRDefault="00E30A2A" w14:paraId="71DA6A5A" w14:textId="77777777">
            <w:pPr>
              <w:keepNext/>
              <w:ind w:left="-105"/>
              <w:rPr>
                <w:szCs w:val="26"/>
              </w:rPr>
            </w:pPr>
            <w:r w:rsidRPr="00A55C7D">
              <w:rPr>
                <w:szCs w:val="26"/>
              </w:rPr>
              <w:t>JOHN REYNOLDS</w:t>
            </w:r>
          </w:p>
        </w:tc>
      </w:tr>
      <w:tr w:rsidRPr="00A55C7D" w:rsidR="00E30A2A" w:rsidTr="00F75917" w14:paraId="6061B9E2" w14:textId="77777777">
        <w:trPr>
          <w:gridAfter w:val="1"/>
          <w:wAfter w:w="175" w:type="dxa"/>
        </w:trPr>
        <w:tc>
          <w:tcPr>
            <w:tcW w:w="4500" w:type="dxa"/>
          </w:tcPr>
          <w:p w:rsidRPr="00A55C7D" w:rsidR="00E30A2A" w:rsidP="00F75917" w:rsidRDefault="00E30A2A" w14:paraId="1DD2E545" w14:textId="77777777">
            <w:pPr>
              <w:keepNext/>
              <w:rPr>
                <w:szCs w:val="26"/>
              </w:rPr>
            </w:pPr>
          </w:p>
        </w:tc>
        <w:tc>
          <w:tcPr>
            <w:tcW w:w="4675" w:type="dxa"/>
            <w:gridSpan w:val="2"/>
          </w:tcPr>
          <w:p w:rsidR="00E30A2A" w:rsidP="00F75917" w:rsidRDefault="00E30A2A" w14:paraId="3EB2570B" w14:textId="77777777">
            <w:pPr>
              <w:keepNext/>
              <w:ind w:left="-105"/>
              <w:rPr>
                <w:szCs w:val="26"/>
              </w:rPr>
            </w:pPr>
            <w:r w:rsidRPr="00A55C7D">
              <w:rPr>
                <w:szCs w:val="26"/>
              </w:rPr>
              <w:t>KAREN DOUGLAS</w:t>
            </w:r>
          </w:p>
          <w:p w:rsidRPr="00A55C7D" w:rsidR="00E30A2A" w:rsidP="00F75917" w:rsidRDefault="00E30A2A" w14:paraId="5AC205B4" w14:textId="77777777">
            <w:pPr>
              <w:keepNext/>
              <w:ind w:left="-105"/>
              <w:rPr>
                <w:szCs w:val="26"/>
              </w:rPr>
            </w:pPr>
            <w:r>
              <w:rPr>
                <w:szCs w:val="26"/>
              </w:rPr>
              <w:t>MATTHEW BAKER</w:t>
            </w:r>
          </w:p>
        </w:tc>
      </w:tr>
      <w:tr w:rsidRPr="00A55C7D" w:rsidR="00E30A2A" w:rsidTr="00F75917" w14:paraId="5A2B135A" w14:textId="77777777">
        <w:trPr>
          <w:gridAfter w:val="1"/>
          <w:wAfter w:w="175" w:type="dxa"/>
        </w:trPr>
        <w:tc>
          <w:tcPr>
            <w:tcW w:w="4500" w:type="dxa"/>
          </w:tcPr>
          <w:p w:rsidRPr="00A55C7D" w:rsidR="00E30A2A" w:rsidP="00F75917" w:rsidRDefault="00E30A2A" w14:paraId="2024F7BC" w14:textId="77777777">
            <w:pPr>
              <w:keepNext/>
              <w:rPr>
                <w:szCs w:val="26"/>
              </w:rPr>
            </w:pPr>
          </w:p>
        </w:tc>
        <w:tc>
          <w:tcPr>
            <w:tcW w:w="4675" w:type="dxa"/>
            <w:gridSpan w:val="2"/>
          </w:tcPr>
          <w:p w:rsidRPr="00A55C7D" w:rsidR="00E30A2A" w:rsidP="00F75917" w:rsidRDefault="00E30A2A" w14:paraId="4540989A" w14:textId="77777777">
            <w:pPr>
              <w:keepNext/>
              <w:ind w:left="705"/>
              <w:rPr>
                <w:szCs w:val="26"/>
              </w:rPr>
            </w:pPr>
            <w:r w:rsidRPr="00A55C7D">
              <w:rPr>
                <w:szCs w:val="26"/>
              </w:rPr>
              <w:t>Commissioners</w:t>
            </w:r>
          </w:p>
        </w:tc>
      </w:tr>
      <w:tr w:rsidRPr="00A55C7D" w:rsidR="00E30A2A" w:rsidTr="00F75917" w14:paraId="33DFEEA5" w14:textId="77777777">
        <w:tc>
          <w:tcPr>
            <w:tcW w:w="4675" w:type="dxa"/>
            <w:gridSpan w:val="2"/>
          </w:tcPr>
          <w:p w:rsidRPr="00A55C7D" w:rsidR="00E30A2A" w:rsidP="00F75917" w:rsidRDefault="00E30A2A" w14:paraId="41924181" w14:textId="77777777">
            <w:pPr>
              <w:keepNext/>
              <w:rPr>
                <w:szCs w:val="26"/>
              </w:rPr>
            </w:pPr>
          </w:p>
        </w:tc>
        <w:tc>
          <w:tcPr>
            <w:tcW w:w="4675" w:type="dxa"/>
            <w:gridSpan w:val="2"/>
          </w:tcPr>
          <w:p w:rsidRPr="00A55C7D" w:rsidR="00E30A2A" w:rsidP="00F75917" w:rsidRDefault="00E30A2A" w14:paraId="22E7DB97" w14:textId="77777777">
            <w:pPr>
              <w:keepNext/>
              <w:ind w:firstLine="885"/>
              <w:rPr>
                <w:szCs w:val="26"/>
              </w:rPr>
            </w:pPr>
          </w:p>
        </w:tc>
      </w:tr>
    </w:tbl>
    <w:p w:rsidR="00E30A2A" w:rsidP="009156C6" w:rsidRDefault="00E30A2A" w14:paraId="51D4A418" w14:textId="77777777">
      <w:pPr>
        <w:pStyle w:val="Standard"/>
        <w:keepNext/>
      </w:pPr>
    </w:p>
    <w:p w:rsidR="003845B0" w:rsidP="009156C6" w:rsidRDefault="003845B0" w14:paraId="0C18371B" w14:textId="77777777">
      <w:pPr>
        <w:pStyle w:val="standard0"/>
        <w:keepNext/>
        <w:rPr>
          <w:rFonts w:ascii="Book Antiqua" w:hAnsi="Book Antiqua"/>
        </w:rPr>
      </w:pPr>
    </w:p>
    <w:p w:rsidR="002B0864" w:rsidP="009156C6" w:rsidRDefault="002B0864" w14:paraId="1806AB60" w14:textId="77777777">
      <w:pPr>
        <w:pStyle w:val="standard0"/>
        <w:keepNext/>
        <w:rPr>
          <w:rFonts w:ascii="Book Antiqua" w:hAnsi="Book Antiqua"/>
        </w:rPr>
      </w:pPr>
    </w:p>
    <w:p w:rsidR="002B0864" w:rsidP="009156C6" w:rsidRDefault="002B0864" w14:paraId="52E94DED" w14:textId="77777777">
      <w:pPr>
        <w:pStyle w:val="standard0"/>
        <w:keepNext/>
        <w:rPr>
          <w:rFonts w:ascii="Book Antiqua" w:hAnsi="Book Antiqua"/>
        </w:rPr>
      </w:pPr>
    </w:p>
    <w:p w:rsidR="002B0864" w:rsidP="009156C6" w:rsidRDefault="002B0864" w14:paraId="5B5F64F2" w14:textId="77777777">
      <w:pPr>
        <w:pStyle w:val="standard0"/>
        <w:keepNext/>
        <w:rPr>
          <w:rFonts w:ascii="Book Antiqua" w:hAnsi="Book Antiqua"/>
        </w:rPr>
      </w:pPr>
    </w:p>
    <w:p w:rsidR="002B0864" w:rsidP="009156C6" w:rsidRDefault="002B0864" w14:paraId="75B08EAC" w14:textId="77777777">
      <w:pPr>
        <w:pStyle w:val="standard0"/>
        <w:keepNext/>
        <w:rPr>
          <w:rFonts w:ascii="Book Antiqua" w:hAnsi="Book Antiqua"/>
        </w:rPr>
        <w:sectPr w:rsidR="002B0864" w:rsidSect="009049C2">
          <w:footnotePr>
            <w:numRestart w:val="eachSect"/>
          </w:footnotePr>
          <w:pgSz w:w="12240" w:h="15840" w:code="1"/>
          <w:pgMar w:top="1728" w:right="1440" w:bottom="1440" w:left="1440" w:header="720" w:footer="720" w:gutter="0"/>
          <w:pgNumType w:start="2"/>
          <w:cols w:space="720"/>
          <w:docGrid w:linePitch="354"/>
        </w:sectPr>
      </w:pPr>
    </w:p>
    <w:p w:rsidR="0041336B" w:rsidP="009D071F" w:rsidRDefault="0041336B" w14:paraId="115E58DE" w14:textId="77777777">
      <w:pPr>
        <w:jc w:val="center"/>
        <w:rPr>
          <w:rFonts w:ascii="Book Antiqua" w:hAnsi="Book Antiqua"/>
          <w:b/>
        </w:rPr>
      </w:pPr>
    </w:p>
    <w:p w:rsidR="009D071F" w:rsidP="009D071F" w:rsidRDefault="00287143" w14:paraId="6B840434" w14:textId="77777777">
      <w:pPr>
        <w:jc w:val="center"/>
        <w:rPr>
          <w:rFonts w:ascii="Book Antiqua" w:hAnsi="Book Antiqua"/>
          <w:b/>
        </w:rPr>
      </w:pPr>
      <w:r w:rsidRPr="0041336B">
        <w:rPr>
          <w:rFonts w:ascii="Book Antiqua" w:hAnsi="Book Antiqua"/>
          <w:b/>
        </w:rPr>
        <w:t>ATTACHMENT A</w:t>
      </w:r>
    </w:p>
    <w:p w:rsidR="00D34DB0" w:rsidP="009D071F" w:rsidRDefault="00D34DB0" w14:paraId="42A22AA3" w14:textId="77777777">
      <w:pPr>
        <w:jc w:val="center"/>
        <w:rPr>
          <w:rFonts w:ascii="Book Antiqua" w:hAnsi="Book Antiqua"/>
          <w:b/>
        </w:rPr>
      </w:pPr>
    </w:p>
    <w:p w:rsidRPr="0041336B" w:rsidR="00D34DB0" w:rsidP="009D071F" w:rsidRDefault="00D34DB0" w14:paraId="624A90D8" w14:textId="77777777">
      <w:pPr>
        <w:jc w:val="center"/>
        <w:rPr>
          <w:rFonts w:ascii="Book Antiqua" w:hAnsi="Book Antiqua"/>
          <w:b/>
        </w:rPr>
      </w:pPr>
      <w:r>
        <w:rPr>
          <w:rFonts w:ascii="Book Antiqua" w:hAnsi="Book Antiqua"/>
          <w:b/>
        </w:rPr>
        <w:t>TARIFF DEFICIENCIES</w:t>
      </w:r>
    </w:p>
    <w:p w:rsidRPr="0041336B" w:rsidR="00E61D33" w:rsidP="009D071F" w:rsidRDefault="00E61D33" w14:paraId="61A3A24E" w14:textId="77777777">
      <w:pPr>
        <w:jc w:val="center"/>
        <w:rPr>
          <w:rFonts w:ascii="Book Antiqua" w:hAnsi="Book Antiqua"/>
          <w:b/>
        </w:rPr>
      </w:pPr>
    </w:p>
    <w:p w:rsidRPr="0041336B" w:rsidR="009D071F" w:rsidP="009D071F" w:rsidRDefault="003B5AC9" w14:paraId="5D96837E" w14:textId="77777777">
      <w:pPr>
        <w:jc w:val="center"/>
        <w:rPr>
          <w:rFonts w:ascii="Book Antiqua" w:hAnsi="Book Antiqua"/>
          <w:b/>
        </w:rPr>
      </w:pPr>
      <w:r w:rsidRPr="0041336B">
        <w:rPr>
          <w:rFonts w:ascii="Book Antiqua" w:hAnsi="Book Antiqua"/>
          <w:b/>
        </w:rPr>
        <w:t>This Attachment is Intentionally Left Blank</w:t>
      </w:r>
    </w:p>
    <w:p w:rsidRPr="0041336B" w:rsidR="00EF1A50" w:rsidRDefault="00EF1A50" w14:paraId="723F6DF5" w14:textId="77777777">
      <w:pPr>
        <w:rPr>
          <w:rFonts w:ascii="Book Antiqua" w:hAnsi="Book Antiqua"/>
          <w:b/>
          <w:i/>
        </w:rPr>
      </w:pPr>
    </w:p>
    <w:p w:rsidRPr="0041336B" w:rsidR="003B5AC9" w:rsidRDefault="003B5AC9" w14:paraId="066A5382" w14:textId="77777777">
      <w:pPr>
        <w:rPr>
          <w:rFonts w:ascii="Book Antiqua" w:hAnsi="Book Antiqua"/>
          <w:b/>
          <w:i/>
        </w:rPr>
      </w:pPr>
    </w:p>
    <w:p w:rsidRPr="0041336B" w:rsidR="00F95F91" w:rsidRDefault="00F95F91" w14:paraId="38124D50" w14:textId="77777777">
      <w:pPr>
        <w:rPr>
          <w:rFonts w:ascii="Book Antiqua" w:hAnsi="Book Antiqua"/>
          <w:b/>
          <w:i/>
        </w:rPr>
      </w:pPr>
    </w:p>
    <w:p w:rsidRPr="0041336B" w:rsidR="00F95F91" w:rsidRDefault="00F95F91" w14:paraId="312CBA8C" w14:textId="77777777">
      <w:pPr>
        <w:rPr>
          <w:rFonts w:ascii="Book Antiqua" w:hAnsi="Book Antiqua"/>
          <w:b/>
          <w:i/>
        </w:rPr>
      </w:pPr>
    </w:p>
    <w:p w:rsidRPr="0041336B" w:rsidR="00F95F91" w:rsidRDefault="00F95F91" w14:paraId="1BFD6773" w14:textId="77777777">
      <w:pPr>
        <w:rPr>
          <w:rFonts w:ascii="Book Antiqua" w:hAnsi="Book Antiqua"/>
          <w:b/>
          <w:i/>
        </w:rPr>
      </w:pPr>
    </w:p>
    <w:p w:rsidRPr="0041336B" w:rsidR="00F95F91" w:rsidRDefault="00F95F91" w14:paraId="63767167" w14:textId="77777777">
      <w:pPr>
        <w:rPr>
          <w:rFonts w:ascii="Book Antiqua" w:hAnsi="Book Antiqua"/>
          <w:b/>
          <w:i/>
        </w:rPr>
      </w:pPr>
    </w:p>
    <w:p w:rsidRPr="0041336B" w:rsidR="00F95F91" w:rsidRDefault="00F95F91" w14:paraId="51E97953" w14:textId="77777777">
      <w:pPr>
        <w:rPr>
          <w:rFonts w:ascii="Book Antiqua" w:hAnsi="Book Antiqua"/>
          <w:b/>
          <w:i/>
        </w:rPr>
      </w:pPr>
    </w:p>
    <w:p w:rsidRPr="0041336B" w:rsidR="00F95F91" w:rsidRDefault="00F95F91" w14:paraId="04E03721" w14:textId="77777777">
      <w:pPr>
        <w:rPr>
          <w:rFonts w:ascii="Book Antiqua" w:hAnsi="Book Antiqua"/>
          <w:b/>
          <w:i/>
        </w:rPr>
      </w:pPr>
    </w:p>
    <w:p w:rsidRPr="0041336B" w:rsidR="00F95F91" w:rsidRDefault="00F95F91" w14:paraId="28AF9587" w14:textId="77777777">
      <w:pPr>
        <w:rPr>
          <w:rFonts w:ascii="Book Antiqua" w:hAnsi="Book Antiqua"/>
          <w:b/>
          <w:i/>
        </w:rPr>
      </w:pPr>
    </w:p>
    <w:p w:rsidRPr="0041336B" w:rsidR="00F95F91" w:rsidRDefault="00F95F91" w14:paraId="730819C8" w14:textId="77777777">
      <w:pPr>
        <w:rPr>
          <w:rFonts w:ascii="Book Antiqua" w:hAnsi="Book Antiqua"/>
          <w:b/>
          <w:i/>
        </w:rPr>
      </w:pPr>
    </w:p>
    <w:p w:rsidRPr="0041336B" w:rsidR="00F95F91" w:rsidRDefault="00F95F91" w14:paraId="18D20146" w14:textId="77777777">
      <w:pPr>
        <w:rPr>
          <w:rFonts w:ascii="Book Antiqua" w:hAnsi="Book Antiqua"/>
          <w:b/>
          <w:i/>
        </w:rPr>
      </w:pPr>
    </w:p>
    <w:p w:rsidRPr="0041336B" w:rsidR="00F95F91" w:rsidRDefault="00F95F91" w14:paraId="4B879865" w14:textId="77777777">
      <w:pPr>
        <w:rPr>
          <w:rFonts w:ascii="Book Antiqua" w:hAnsi="Book Antiqua"/>
          <w:b/>
          <w:i/>
        </w:rPr>
      </w:pPr>
    </w:p>
    <w:p w:rsidRPr="0041336B" w:rsidR="00F95F91" w:rsidRDefault="00F95F91" w14:paraId="2BEE3CD9" w14:textId="77777777">
      <w:pPr>
        <w:rPr>
          <w:rFonts w:ascii="Book Antiqua" w:hAnsi="Book Antiqua"/>
          <w:b/>
          <w:i/>
        </w:rPr>
      </w:pPr>
    </w:p>
    <w:p w:rsidRPr="0041336B" w:rsidR="00F95F91" w:rsidRDefault="00F95F91" w14:paraId="6DA128B8" w14:textId="77777777">
      <w:pPr>
        <w:rPr>
          <w:rFonts w:ascii="Book Antiqua" w:hAnsi="Book Antiqua"/>
          <w:b/>
          <w:i/>
        </w:rPr>
      </w:pPr>
    </w:p>
    <w:p w:rsidRPr="0041336B" w:rsidR="00F95F91" w:rsidRDefault="00F95F91" w14:paraId="5AA41D84" w14:textId="77777777">
      <w:pPr>
        <w:rPr>
          <w:rFonts w:ascii="Book Antiqua" w:hAnsi="Book Antiqua"/>
          <w:b/>
          <w:i/>
        </w:rPr>
      </w:pPr>
    </w:p>
    <w:p w:rsidRPr="0041336B" w:rsidR="00F95F91" w:rsidRDefault="00F95F91" w14:paraId="650D48C3" w14:textId="77777777">
      <w:pPr>
        <w:rPr>
          <w:rFonts w:ascii="Book Antiqua" w:hAnsi="Book Antiqua"/>
          <w:b/>
          <w:i/>
        </w:rPr>
      </w:pPr>
    </w:p>
    <w:p w:rsidRPr="0041336B" w:rsidR="00F95F91" w:rsidRDefault="00F95F91" w14:paraId="49AD4BB0" w14:textId="77777777">
      <w:pPr>
        <w:rPr>
          <w:rFonts w:ascii="Book Antiqua" w:hAnsi="Book Antiqua"/>
          <w:b/>
          <w:i/>
        </w:rPr>
      </w:pPr>
    </w:p>
    <w:p w:rsidRPr="0041336B" w:rsidR="00F95F91" w:rsidRDefault="00F95F91" w14:paraId="183D7987" w14:textId="77777777">
      <w:pPr>
        <w:rPr>
          <w:rFonts w:ascii="Book Antiqua" w:hAnsi="Book Antiqua"/>
          <w:b/>
          <w:i/>
        </w:rPr>
      </w:pPr>
    </w:p>
    <w:p w:rsidRPr="0041336B" w:rsidR="00F95F91" w:rsidRDefault="00F95F91" w14:paraId="096BFAAD" w14:textId="77777777">
      <w:pPr>
        <w:rPr>
          <w:rFonts w:ascii="Book Antiqua" w:hAnsi="Book Antiqua"/>
          <w:b/>
          <w:i/>
        </w:rPr>
      </w:pPr>
    </w:p>
    <w:p w:rsidRPr="0041336B" w:rsidR="00F95F91" w:rsidRDefault="00F95F91" w14:paraId="0E7C6F08" w14:textId="77777777">
      <w:pPr>
        <w:rPr>
          <w:rFonts w:ascii="Book Antiqua" w:hAnsi="Book Antiqua"/>
          <w:b/>
          <w:i/>
        </w:rPr>
      </w:pPr>
    </w:p>
    <w:p w:rsidRPr="0041336B" w:rsidR="00F95F91" w:rsidRDefault="00F95F91" w14:paraId="56BC3183" w14:textId="77777777">
      <w:pPr>
        <w:rPr>
          <w:rFonts w:ascii="Book Antiqua" w:hAnsi="Book Antiqua"/>
          <w:b/>
          <w:i/>
        </w:rPr>
      </w:pPr>
    </w:p>
    <w:p w:rsidRPr="0041336B" w:rsidR="00F95F91" w:rsidRDefault="00F95F91" w14:paraId="0CC463DB" w14:textId="77777777">
      <w:pPr>
        <w:rPr>
          <w:rFonts w:ascii="Book Antiqua" w:hAnsi="Book Antiqua"/>
          <w:b/>
          <w:i/>
        </w:rPr>
      </w:pPr>
    </w:p>
    <w:p w:rsidRPr="0041336B" w:rsidR="00F95F91" w:rsidRDefault="00F95F91" w14:paraId="6537864C" w14:textId="77777777">
      <w:pPr>
        <w:rPr>
          <w:rFonts w:ascii="Book Antiqua" w:hAnsi="Book Antiqua"/>
        </w:rPr>
      </w:pPr>
    </w:p>
    <w:p w:rsidRPr="0041336B" w:rsidR="00EF1A50" w:rsidRDefault="00EF1A50" w14:paraId="1E28053A" w14:textId="77777777">
      <w:pPr>
        <w:rPr>
          <w:rFonts w:ascii="Book Antiqua" w:hAnsi="Book Antiqua"/>
        </w:rPr>
      </w:pPr>
    </w:p>
    <w:p w:rsidR="002B0864" w:rsidP="0041336B" w:rsidRDefault="00EF1A50" w14:paraId="005D3FF7" w14:textId="77777777">
      <w:pPr>
        <w:jc w:val="center"/>
        <w:rPr>
          <w:rFonts w:ascii="Book Antiqua" w:hAnsi="Book Antiqua"/>
          <w:b/>
          <w:szCs w:val="26"/>
        </w:rPr>
        <w:sectPr w:rsidR="002B0864" w:rsidSect="002B0864">
          <w:footerReference w:type="default" r:id="rId24"/>
          <w:footnotePr>
            <w:numRestart w:val="eachSect"/>
          </w:footnotePr>
          <w:pgSz w:w="12240" w:h="15840" w:code="1"/>
          <w:pgMar w:top="1152" w:right="1440" w:bottom="1440" w:left="1440" w:header="720" w:footer="720" w:gutter="0"/>
          <w:pgNumType w:start="1"/>
          <w:cols w:space="720"/>
        </w:sectPr>
      </w:pPr>
      <w:r w:rsidRPr="0041336B">
        <w:rPr>
          <w:rFonts w:ascii="Book Antiqua" w:hAnsi="Book Antiqua"/>
          <w:b/>
        </w:rPr>
        <w:t>(</w:t>
      </w:r>
      <w:r w:rsidRPr="0041336B">
        <w:rPr>
          <w:rFonts w:ascii="Book Antiqua" w:hAnsi="Book Antiqua"/>
          <w:b/>
          <w:szCs w:val="26"/>
        </w:rPr>
        <w:t>END OF ATTACHMENT A)</w:t>
      </w:r>
    </w:p>
    <w:p w:rsidRPr="0041336B" w:rsidR="0041336B" w:rsidP="0041336B" w:rsidRDefault="0041336B" w14:paraId="146B9B8F" w14:textId="77777777">
      <w:pPr>
        <w:jc w:val="center"/>
        <w:rPr>
          <w:rFonts w:ascii="Book Antiqua" w:hAnsi="Book Antiqua"/>
          <w:b/>
          <w:i/>
        </w:rPr>
      </w:pPr>
    </w:p>
    <w:p w:rsidR="002B0864" w:rsidP="0041336B" w:rsidRDefault="002B0864" w14:paraId="7F3B7299" w14:textId="77777777">
      <w:pPr>
        <w:jc w:val="center"/>
        <w:rPr>
          <w:rFonts w:ascii="Book Antiqua" w:hAnsi="Book Antiqua"/>
          <w:b/>
        </w:rPr>
      </w:pPr>
    </w:p>
    <w:p w:rsidR="0041336B" w:rsidP="0041336B" w:rsidRDefault="0041336B" w14:paraId="26A841E3" w14:textId="77777777">
      <w:pPr>
        <w:jc w:val="center"/>
        <w:rPr>
          <w:rFonts w:ascii="Book Antiqua" w:hAnsi="Book Antiqua"/>
          <w:b/>
        </w:rPr>
      </w:pPr>
      <w:r w:rsidRPr="0041336B">
        <w:rPr>
          <w:rFonts w:ascii="Book Antiqua" w:hAnsi="Book Antiqua"/>
          <w:b/>
        </w:rPr>
        <w:t xml:space="preserve">ATTACHMENT </w:t>
      </w:r>
      <w:r>
        <w:rPr>
          <w:rFonts w:ascii="Book Antiqua" w:hAnsi="Book Antiqua"/>
          <w:b/>
        </w:rPr>
        <w:t>B</w:t>
      </w:r>
    </w:p>
    <w:p w:rsidR="002B0864" w:rsidP="0041336B" w:rsidRDefault="002B0864" w14:paraId="1FF47982" w14:textId="77777777">
      <w:pPr>
        <w:jc w:val="center"/>
        <w:rPr>
          <w:rFonts w:ascii="Book Antiqua" w:hAnsi="Book Antiqua"/>
          <w:b/>
        </w:rPr>
        <w:sectPr w:rsidR="002B0864" w:rsidSect="002B0864">
          <w:footerReference w:type="default" r:id="rId25"/>
          <w:footnotePr>
            <w:numRestart w:val="eachSect"/>
          </w:footnotePr>
          <w:pgSz w:w="12240" w:h="15840" w:code="1"/>
          <w:pgMar w:top="1152" w:right="1440" w:bottom="1440" w:left="1440" w:header="720" w:footer="720" w:gutter="0"/>
          <w:pgNumType w:start="1"/>
          <w:cols w:space="720"/>
        </w:sectPr>
      </w:pPr>
    </w:p>
    <w:p w:rsidRPr="0041336B" w:rsidR="002B0864" w:rsidP="0041336B" w:rsidRDefault="002B0864" w14:paraId="00E6341E" w14:textId="77777777">
      <w:pPr>
        <w:jc w:val="center"/>
        <w:rPr>
          <w:rFonts w:ascii="Book Antiqua" w:hAnsi="Book Antiqua"/>
          <w:b/>
        </w:rPr>
      </w:pPr>
    </w:p>
    <w:p w:rsidRPr="002E4891" w:rsidR="00385C15" w:rsidP="00385C15" w:rsidRDefault="00385C15" w14:paraId="1A6A05BE" w14:textId="77777777">
      <w:pPr>
        <w:spacing w:after="120"/>
        <w:jc w:val="center"/>
        <w:rPr>
          <w:rFonts w:ascii="Book Antiqua" w:hAnsi="Book Antiqua"/>
          <w:b/>
        </w:rPr>
      </w:pPr>
      <w:r w:rsidRPr="002E4891">
        <w:rPr>
          <w:rFonts w:ascii="Book Antiqua" w:hAnsi="Book Antiqua"/>
          <w:b/>
        </w:rPr>
        <w:t>ATTACHMENT B</w:t>
      </w:r>
    </w:p>
    <w:p w:rsidRPr="002E4891" w:rsidR="00385C15" w:rsidP="00385C15" w:rsidRDefault="00385C15" w14:paraId="706B0F41" w14:textId="77777777">
      <w:pPr>
        <w:spacing w:after="120"/>
        <w:jc w:val="center"/>
        <w:rPr>
          <w:rFonts w:ascii="Book Antiqua" w:hAnsi="Book Antiqua"/>
          <w:b/>
        </w:rPr>
      </w:pPr>
      <w:r w:rsidRPr="002E4891">
        <w:rPr>
          <w:rFonts w:ascii="Book Antiqua" w:hAnsi="Book Antiqua"/>
          <w:b/>
        </w:rPr>
        <w:t>REQUIREMENTS APPLICABLE TO COMPETITIVE LOCAL EXCHANGE CARRIERS</w:t>
      </w:r>
      <w:r w:rsidR="00410D6E">
        <w:rPr>
          <w:rFonts w:ascii="Book Antiqua" w:hAnsi="Book Antiqua"/>
          <w:b/>
        </w:rPr>
        <w:t xml:space="preserve">, </w:t>
      </w:r>
      <w:r w:rsidRPr="002E4891">
        <w:rPr>
          <w:rFonts w:ascii="Book Antiqua" w:hAnsi="Book Antiqua"/>
          <w:b/>
        </w:rPr>
        <w:t>INTEREXCHANGE CARRIERS</w:t>
      </w:r>
      <w:r w:rsidR="00304DFC">
        <w:rPr>
          <w:rFonts w:ascii="Book Antiqua" w:hAnsi="Book Antiqua"/>
          <w:b/>
        </w:rPr>
        <w:t xml:space="preserve"> </w:t>
      </w:r>
      <w:r w:rsidR="00410D6E">
        <w:rPr>
          <w:rFonts w:ascii="Book Antiqua" w:hAnsi="Book Antiqua"/>
          <w:b/>
        </w:rPr>
        <w:t>AND FIXED INTERCONNECTED VOIP CARRIERS</w:t>
      </w:r>
      <w:r w:rsidR="00304DFC">
        <w:rPr>
          <w:rFonts w:ascii="Book Antiqua" w:hAnsi="Book Antiqua"/>
          <w:b/>
        </w:rPr>
        <w:t xml:space="preserve"> (Carrier)</w:t>
      </w:r>
    </w:p>
    <w:p w:rsidR="00F5028B" w:rsidP="00A12A67" w:rsidRDefault="00304DFC" w14:paraId="56353606" w14:textId="77777777">
      <w:pPr>
        <w:pStyle w:val="num1"/>
        <w:numPr>
          <w:ilvl w:val="0"/>
          <w:numId w:val="5"/>
        </w:numPr>
        <w:tabs>
          <w:tab w:val="clear" w:pos="-720"/>
          <w:tab w:val="num" w:pos="0"/>
          <w:tab w:val="num" w:pos="630"/>
          <w:tab w:val="left" w:pos="720"/>
        </w:tabs>
        <w:ind w:left="0" w:firstLine="360"/>
        <w:rPr>
          <w:rFonts w:ascii="Book Antiqua" w:hAnsi="Book Antiqua"/>
        </w:rPr>
      </w:pPr>
      <w:r>
        <w:rPr>
          <w:rFonts w:ascii="Book Antiqua" w:hAnsi="Book Antiqua"/>
        </w:rPr>
        <w:t xml:space="preserve">Carrier </w:t>
      </w:r>
      <w:r w:rsidR="002903F3">
        <w:rPr>
          <w:rFonts w:ascii="Book Antiqua" w:hAnsi="Book Antiqua"/>
        </w:rPr>
        <w:t xml:space="preserve">is </w:t>
      </w:r>
      <w:r w:rsidRPr="00EB362F" w:rsidR="00F5028B">
        <w:rPr>
          <w:rFonts w:ascii="Book Antiqua" w:hAnsi="Book Antiqua"/>
        </w:rPr>
        <w:t xml:space="preserve">subject </w:t>
      </w:r>
      <w:r w:rsidR="00F5028B">
        <w:rPr>
          <w:rFonts w:ascii="Book Antiqua" w:hAnsi="Book Antiqua"/>
        </w:rPr>
        <w:t>to</w:t>
      </w:r>
      <w:r w:rsidRPr="00EB362F" w:rsidR="00F5028B">
        <w:rPr>
          <w:rFonts w:ascii="Book Antiqua" w:hAnsi="Book Antiqua"/>
        </w:rPr>
        <w:t xml:space="preserve"> all the </w:t>
      </w:r>
      <w:r w:rsidR="00F5028B">
        <w:rPr>
          <w:rFonts w:ascii="Book Antiqua" w:hAnsi="Book Antiqua"/>
        </w:rPr>
        <w:t xml:space="preserve">current </w:t>
      </w:r>
      <w:r w:rsidRPr="00EB362F" w:rsidR="00F5028B">
        <w:rPr>
          <w:rFonts w:ascii="Book Antiqua" w:hAnsi="Book Antiqua"/>
        </w:rPr>
        <w:t xml:space="preserve">applicable </w:t>
      </w:r>
      <w:r w:rsidR="00F5028B">
        <w:rPr>
          <w:rFonts w:ascii="Book Antiqua" w:hAnsi="Book Antiqua"/>
        </w:rPr>
        <w:t xml:space="preserve">California Public Utilities </w:t>
      </w:r>
      <w:r w:rsidRPr="00EB362F" w:rsidR="00F5028B">
        <w:rPr>
          <w:rFonts w:ascii="Book Antiqua" w:hAnsi="Book Antiqua"/>
        </w:rPr>
        <w:t>Commission</w:t>
      </w:r>
      <w:r w:rsidR="00F5028B">
        <w:rPr>
          <w:rFonts w:ascii="Book Antiqua" w:hAnsi="Book Antiqua"/>
        </w:rPr>
        <w:t xml:space="preserve"> (CPUC or Commission)</w:t>
      </w:r>
      <w:r w:rsidRPr="00EB362F" w:rsidR="00F5028B">
        <w:rPr>
          <w:rFonts w:ascii="Book Antiqua" w:hAnsi="Book Antiqua"/>
        </w:rPr>
        <w:t xml:space="preserve"> rules, decisions, General</w:t>
      </w:r>
      <w:r w:rsidR="00F5028B">
        <w:rPr>
          <w:rFonts w:ascii="Book Antiqua" w:hAnsi="Book Antiqua"/>
        </w:rPr>
        <w:t> </w:t>
      </w:r>
      <w:r w:rsidRPr="00EB362F" w:rsidR="00F5028B">
        <w:rPr>
          <w:rFonts w:ascii="Book Antiqua" w:hAnsi="Book Antiqua"/>
        </w:rPr>
        <w:t>Orders, and statutes that pertain to California public</w:t>
      </w:r>
      <w:r w:rsidR="00F5028B">
        <w:rPr>
          <w:rFonts w:ascii="Book Antiqua" w:hAnsi="Book Antiqua"/>
        </w:rPr>
        <w:t> </w:t>
      </w:r>
      <w:r w:rsidRPr="00EB362F" w:rsidR="00F5028B">
        <w:rPr>
          <w:rFonts w:ascii="Book Antiqua" w:hAnsi="Book Antiqua"/>
        </w:rPr>
        <w:t>utilities</w:t>
      </w:r>
      <w:r w:rsidR="00F5028B">
        <w:rPr>
          <w:rFonts w:ascii="Book Antiqua" w:hAnsi="Book Antiqua"/>
        </w:rPr>
        <w:t xml:space="preserve"> </w:t>
      </w:r>
      <w:r w:rsidR="007500E4">
        <w:rPr>
          <w:rFonts w:ascii="Book Antiqua" w:hAnsi="Book Antiqua"/>
        </w:rPr>
        <w:t xml:space="preserve">and telephone corporations </w:t>
      </w:r>
      <w:r w:rsidR="00F5028B">
        <w:rPr>
          <w:rFonts w:ascii="Book Antiqua" w:hAnsi="Book Antiqua"/>
        </w:rPr>
        <w:t>on an ongoing basis</w:t>
      </w:r>
      <w:r w:rsidRPr="00EB362F" w:rsidR="00F5028B">
        <w:rPr>
          <w:rFonts w:ascii="Book Antiqua" w:hAnsi="Book Antiqua"/>
        </w:rPr>
        <w:t>.</w:t>
      </w:r>
    </w:p>
    <w:p w:rsidR="004A2C3D" w:rsidP="00A12A67" w:rsidRDefault="004A2C3D" w14:paraId="52665AB9" w14:textId="77777777">
      <w:pPr>
        <w:pStyle w:val="num1"/>
        <w:numPr>
          <w:ilvl w:val="0"/>
          <w:numId w:val="5"/>
        </w:numPr>
        <w:tabs>
          <w:tab w:val="clear" w:pos="-720"/>
          <w:tab w:val="num" w:pos="0"/>
          <w:tab w:val="num" w:pos="630"/>
          <w:tab w:val="left" w:pos="720"/>
        </w:tabs>
        <w:ind w:left="0" w:firstLine="360"/>
        <w:rPr>
          <w:rFonts w:ascii="Book Antiqua" w:hAnsi="Book Antiqua"/>
        </w:rPr>
      </w:pPr>
      <w:r>
        <w:rPr>
          <w:rFonts w:ascii="Book Antiqua" w:hAnsi="Book Antiqua"/>
        </w:rPr>
        <w:t xml:space="preserve">Carrier is responsible for </w:t>
      </w:r>
      <w:r w:rsidRPr="006A14A8">
        <w:rPr>
          <w:rFonts w:ascii="Book Antiqua" w:hAnsi="Book Antiqua"/>
        </w:rPr>
        <w:t>rendering services</w:t>
      </w:r>
      <w:r>
        <w:rPr>
          <w:rFonts w:ascii="Book Antiqua" w:hAnsi="Book Antiqua"/>
        </w:rPr>
        <w:t xml:space="preserve"> </w:t>
      </w:r>
      <w:r w:rsidR="00361A0D">
        <w:rPr>
          <w:rFonts w:ascii="Book Antiqua" w:hAnsi="Book Antiqua"/>
        </w:rPr>
        <w:t xml:space="preserve">to customers </w:t>
      </w:r>
      <w:r>
        <w:rPr>
          <w:rFonts w:ascii="Book Antiqua" w:hAnsi="Book Antiqua"/>
        </w:rPr>
        <w:t>under the rates, charges and rules authorized by the Commission within 12 months from the date of the decision. Rendering services may include but</w:t>
      </w:r>
      <w:r w:rsidR="00881888">
        <w:rPr>
          <w:rFonts w:ascii="Book Antiqua" w:hAnsi="Book Antiqua"/>
        </w:rPr>
        <w:t xml:space="preserve"> are</w:t>
      </w:r>
      <w:r>
        <w:rPr>
          <w:rFonts w:ascii="Book Antiqua" w:hAnsi="Book Antiqua"/>
        </w:rPr>
        <w:t xml:space="preserve"> not limited to offering and</w:t>
      </w:r>
      <w:r w:rsidR="00BA03A6">
        <w:rPr>
          <w:rFonts w:ascii="Book Antiqua" w:hAnsi="Book Antiqua"/>
        </w:rPr>
        <w:t>/</w:t>
      </w:r>
      <w:r w:rsidRPr="004624AD" w:rsidR="00BA03A6">
        <w:rPr>
          <w:rFonts w:ascii="Book Antiqua" w:hAnsi="Book Antiqua"/>
        </w:rPr>
        <w:t>or</w:t>
      </w:r>
      <w:r w:rsidRPr="004624AD">
        <w:rPr>
          <w:rFonts w:ascii="Book Antiqua" w:hAnsi="Book Antiqua"/>
        </w:rPr>
        <w:t xml:space="preserve"> </w:t>
      </w:r>
      <w:r w:rsidRPr="004624AD" w:rsidR="000A0EFB">
        <w:rPr>
          <w:rFonts w:ascii="Book Antiqua" w:hAnsi="Book Antiqua"/>
        </w:rPr>
        <w:t xml:space="preserve">actively </w:t>
      </w:r>
      <w:r w:rsidRPr="004624AD">
        <w:rPr>
          <w:rFonts w:ascii="Book Antiqua" w:hAnsi="Book Antiqua"/>
        </w:rPr>
        <w:t>providing services to its customers</w:t>
      </w:r>
      <w:r w:rsidRPr="004624AD" w:rsidR="00BA03A6">
        <w:rPr>
          <w:rFonts w:ascii="Book Antiqua" w:hAnsi="Book Antiqua"/>
        </w:rPr>
        <w:t xml:space="preserve"> on a whole</w:t>
      </w:r>
      <w:r w:rsidRPr="004624AD" w:rsidR="000A0EFB">
        <w:rPr>
          <w:rFonts w:ascii="Book Antiqua" w:hAnsi="Book Antiqua"/>
        </w:rPr>
        <w:t>sale</w:t>
      </w:r>
      <w:r w:rsidRPr="004624AD" w:rsidR="00BA03A6">
        <w:rPr>
          <w:rFonts w:ascii="Book Antiqua" w:hAnsi="Book Antiqua"/>
        </w:rPr>
        <w:t xml:space="preserve"> and/or resale basis.</w:t>
      </w:r>
      <w:r w:rsidR="00361A0D">
        <w:rPr>
          <w:rFonts w:ascii="Book Antiqua" w:hAnsi="Book Antiqua"/>
        </w:rPr>
        <w:t xml:space="preserve"> </w:t>
      </w:r>
    </w:p>
    <w:p w:rsidRPr="00EB362F" w:rsidR="001032C6" w:rsidP="00A12A67" w:rsidRDefault="001032C6" w14:paraId="3BB33D2E" w14:textId="77777777">
      <w:pPr>
        <w:pStyle w:val="num1"/>
        <w:numPr>
          <w:ilvl w:val="0"/>
          <w:numId w:val="5"/>
        </w:numPr>
        <w:tabs>
          <w:tab w:val="clear" w:pos="-720"/>
          <w:tab w:val="num" w:pos="0"/>
          <w:tab w:val="num" w:pos="630"/>
          <w:tab w:val="left" w:pos="720"/>
        </w:tabs>
        <w:ind w:left="0" w:firstLine="360"/>
        <w:rPr>
          <w:rFonts w:ascii="Book Antiqua" w:hAnsi="Book Antiqua"/>
        </w:rPr>
      </w:pPr>
      <w:r>
        <w:rPr>
          <w:rFonts w:ascii="Book Antiqua" w:hAnsi="Book Antiqua"/>
        </w:rPr>
        <w:t xml:space="preserve">Carrier is responsible for keeping all contact information up to date with the Commission. Changes to its primary regulatory and/or complaint contact information </w:t>
      </w:r>
      <w:r w:rsidRPr="00EB362F">
        <w:rPr>
          <w:rFonts w:ascii="Book Antiqua" w:hAnsi="Book Antiqua"/>
        </w:rPr>
        <w:t xml:space="preserve">must be provided electronically, using the “Contact Information Request Update” form at </w:t>
      </w:r>
      <w:hyperlink w:history="1" r:id="rId26">
        <w:r w:rsidRPr="00EB362F">
          <w:rPr>
            <w:rStyle w:val="Hyperlink"/>
            <w:rFonts w:ascii="Book Antiqua" w:hAnsi="Book Antiqua"/>
          </w:rPr>
          <w:t>https://www.cpuc.ca.gov/industries-and-topics/internet-and-phone</w:t>
        </w:r>
      </w:hyperlink>
      <w:r w:rsidRPr="00EB362F">
        <w:rPr>
          <w:rFonts w:ascii="Book Antiqua" w:hAnsi="Book Antiqua"/>
        </w:rPr>
        <w:t xml:space="preserve"> under Service Provider Requirements and Programs</w:t>
      </w:r>
      <w:r>
        <w:rPr>
          <w:rFonts w:ascii="Book Antiqua" w:hAnsi="Book Antiqua"/>
        </w:rPr>
        <w:t>.</w:t>
      </w:r>
      <w:r w:rsidRPr="00EB362F">
        <w:rPr>
          <w:rFonts w:ascii="Book Antiqua" w:hAnsi="Book Antiqua" w:cs="Arial"/>
          <w:sz w:val="19"/>
          <w:szCs w:val="19"/>
          <w:lang w:val="en"/>
        </w:rPr>
        <w:t xml:space="preserve"> </w:t>
      </w:r>
      <w:r w:rsidRPr="001032C6">
        <w:rPr>
          <w:rFonts w:ascii="Book Antiqua" w:hAnsi="Book Antiqua"/>
        </w:rPr>
        <w:t>Carrier</w:t>
      </w:r>
      <w:r>
        <w:rPr>
          <w:rFonts w:ascii="Book Antiqua" w:hAnsi="Book Antiqua"/>
          <w:b/>
          <w:color w:val="0000FF"/>
        </w:rPr>
        <w:t xml:space="preserve"> </w:t>
      </w:r>
      <w:r>
        <w:rPr>
          <w:rFonts w:ascii="Book Antiqua" w:hAnsi="Book Antiqua"/>
        </w:rPr>
        <w:t>is responsible for</w:t>
      </w:r>
      <w:r w:rsidRPr="00EB362F">
        <w:rPr>
          <w:rFonts w:ascii="Book Antiqua" w:hAnsi="Book Antiqua"/>
        </w:rPr>
        <w:t xml:space="preserve"> updat</w:t>
      </w:r>
      <w:r>
        <w:rPr>
          <w:rFonts w:ascii="Book Antiqua" w:hAnsi="Book Antiqua"/>
        </w:rPr>
        <w:t>ing this information</w:t>
      </w:r>
      <w:r w:rsidRPr="00EB362F">
        <w:rPr>
          <w:rFonts w:ascii="Book Antiqua" w:hAnsi="Book Antiqua"/>
        </w:rPr>
        <w:t xml:space="preserve"> </w:t>
      </w:r>
      <w:r>
        <w:rPr>
          <w:rFonts w:ascii="Book Antiqua" w:hAnsi="Book Antiqua"/>
        </w:rPr>
        <w:t>within 30 days of the change</w:t>
      </w:r>
      <w:r w:rsidRPr="00EB362F">
        <w:rPr>
          <w:rFonts w:ascii="Book Antiqua" w:hAnsi="Book Antiqua"/>
        </w:rPr>
        <w:t>, or at least annually by June</w:t>
      </w:r>
      <w:r>
        <w:rPr>
          <w:rFonts w:ascii="Book Antiqua" w:hAnsi="Book Antiqua"/>
        </w:rPr>
        <w:t> </w:t>
      </w:r>
      <w:r w:rsidRPr="00EB362F">
        <w:rPr>
          <w:rFonts w:ascii="Book Antiqua" w:hAnsi="Book Antiqua"/>
        </w:rPr>
        <w:t>1 of each</w:t>
      </w:r>
      <w:r>
        <w:rPr>
          <w:rFonts w:ascii="Book Antiqua" w:hAnsi="Book Antiqua"/>
        </w:rPr>
        <w:t> </w:t>
      </w:r>
      <w:r w:rsidRPr="00EB362F">
        <w:rPr>
          <w:rFonts w:ascii="Book Antiqua" w:hAnsi="Book Antiqua"/>
        </w:rPr>
        <w:t>calendar</w:t>
      </w:r>
      <w:r>
        <w:rPr>
          <w:rFonts w:ascii="Book Antiqua" w:hAnsi="Book Antiqua"/>
        </w:rPr>
        <w:t> </w:t>
      </w:r>
      <w:r w:rsidRPr="00EB362F">
        <w:rPr>
          <w:rFonts w:ascii="Book Antiqua" w:hAnsi="Book Antiqua"/>
        </w:rPr>
        <w:t>year.</w:t>
      </w:r>
    </w:p>
    <w:p w:rsidRPr="005527B3" w:rsidR="00452A2E" w:rsidP="00A12A67" w:rsidRDefault="00304DFC" w14:paraId="663EDC9C" w14:textId="77777777">
      <w:pPr>
        <w:pStyle w:val="num1"/>
        <w:numPr>
          <w:ilvl w:val="0"/>
          <w:numId w:val="5"/>
        </w:numPr>
        <w:tabs>
          <w:tab w:val="clear" w:pos="-720"/>
          <w:tab w:val="num" w:pos="0"/>
          <w:tab w:val="num" w:pos="630"/>
          <w:tab w:val="left" w:pos="720"/>
        </w:tabs>
        <w:ind w:left="0" w:firstLine="360"/>
        <w:rPr>
          <w:rFonts w:ascii="Book Antiqua" w:hAnsi="Book Antiqua"/>
        </w:rPr>
      </w:pPr>
      <w:r w:rsidRPr="00304DFC">
        <w:rPr>
          <w:rFonts w:ascii="Book Antiqua" w:hAnsi="Book Antiqua"/>
        </w:rPr>
        <w:t>Carrier</w:t>
      </w:r>
      <w:r w:rsidRPr="00E80BE0" w:rsidR="00452A2E">
        <w:rPr>
          <w:rFonts w:ascii="Book Antiqua" w:hAnsi="Book Antiqua"/>
        </w:rPr>
        <w:t xml:space="preserve"> is subject </w:t>
      </w:r>
      <w:r w:rsidR="00E52FDE">
        <w:rPr>
          <w:rFonts w:ascii="Book Antiqua" w:hAnsi="Book Antiqua"/>
        </w:rPr>
        <w:t xml:space="preserve">to </w:t>
      </w:r>
      <w:r w:rsidRPr="00E80BE0" w:rsidR="008A6D1A">
        <w:rPr>
          <w:rFonts w:ascii="Book Antiqua" w:hAnsi="Book Antiqua"/>
        </w:rPr>
        <w:t xml:space="preserve">California </w:t>
      </w:r>
      <w:r w:rsidRPr="00E80BE0" w:rsidR="00452A2E">
        <w:rPr>
          <w:rFonts w:ascii="Book Antiqua" w:hAnsi="Book Antiqua"/>
        </w:rPr>
        <w:t>public purpose program surcharges</w:t>
      </w:r>
      <w:r w:rsidR="00F5028B">
        <w:rPr>
          <w:rFonts w:ascii="Book Antiqua" w:hAnsi="Book Antiqua"/>
        </w:rPr>
        <w:t xml:space="preserve"> </w:t>
      </w:r>
      <w:r w:rsidRPr="00E80BE0" w:rsidR="00452A2E">
        <w:rPr>
          <w:rFonts w:ascii="Book Antiqua" w:hAnsi="Book Antiqua"/>
        </w:rPr>
        <w:t xml:space="preserve">and user fees. </w:t>
      </w:r>
      <w:r w:rsidRPr="005527B3" w:rsidR="00452A2E">
        <w:rPr>
          <w:rFonts w:ascii="Book Antiqua" w:hAnsi="Book Antiqua"/>
        </w:rPr>
        <w:t>Pursuant to Decision (D.) 22-10-021</w:t>
      </w:r>
      <w:r w:rsidRPr="005527B3" w:rsidR="00E52FDE">
        <w:rPr>
          <w:rFonts w:ascii="Book Antiqua" w:hAnsi="Book Antiqua"/>
        </w:rPr>
        <w:t>,</w:t>
      </w:r>
      <w:r w:rsidRPr="005527B3" w:rsidR="00452A2E">
        <w:rPr>
          <w:rFonts w:ascii="Book Antiqua" w:hAnsi="Book Antiqua"/>
        </w:rPr>
        <w:t xml:space="preserve"> all telephone corporations operating in California </w:t>
      </w:r>
      <w:r w:rsidRPr="005527B3" w:rsidR="00D55A68">
        <w:rPr>
          <w:rFonts w:ascii="Book Antiqua" w:hAnsi="Book Antiqua"/>
        </w:rPr>
        <w:t xml:space="preserve">must </w:t>
      </w:r>
      <w:r w:rsidRPr="005527B3" w:rsidR="00452A2E">
        <w:rPr>
          <w:rFonts w:ascii="Book Antiqua" w:hAnsi="Book Antiqua"/>
        </w:rPr>
        <w:t xml:space="preserve">assess, collect, </w:t>
      </w:r>
      <w:r w:rsidRPr="005527B3" w:rsidR="00E80BE0">
        <w:rPr>
          <w:rFonts w:ascii="Book Antiqua" w:hAnsi="Book Antiqua"/>
        </w:rPr>
        <w:t xml:space="preserve">report </w:t>
      </w:r>
      <w:r w:rsidRPr="005527B3" w:rsidR="00452A2E">
        <w:rPr>
          <w:rFonts w:ascii="Book Antiqua" w:hAnsi="Book Antiqua"/>
        </w:rPr>
        <w:t xml:space="preserve">and remit public purpose program surcharges </w:t>
      </w:r>
      <w:r w:rsidRPr="005527B3" w:rsidR="00E52FDE">
        <w:rPr>
          <w:rFonts w:ascii="Book Antiqua" w:hAnsi="Book Antiqua"/>
        </w:rPr>
        <w:t>based on</w:t>
      </w:r>
      <w:r w:rsidRPr="005527B3" w:rsidR="00452A2E">
        <w:rPr>
          <w:rFonts w:ascii="Book Antiqua" w:hAnsi="Book Antiqua"/>
        </w:rPr>
        <w:t xml:space="preserve"> the </w:t>
      </w:r>
      <w:r w:rsidRPr="005527B3" w:rsidR="00E52FDE">
        <w:rPr>
          <w:rFonts w:ascii="Book Antiqua" w:hAnsi="Book Antiqua"/>
        </w:rPr>
        <w:t xml:space="preserve">number of active </w:t>
      </w:r>
      <w:r w:rsidRPr="005527B3" w:rsidR="00452A2E">
        <w:rPr>
          <w:rFonts w:ascii="Book Antiqua" w:hAnsi="Book Antiqua"/>
        </w:rPr>
        <w:t>access line</w:t>
      </w:r>
      <w:r w:rsidRPr="005527B3" w:rsidR="00E52FDE">
        <w:rPr>
          <w:rFonts w:ascii="Book Antiqua" w:hAnsi="Book Antiqua"/>
        </w:rPr>
        <w:t xml:space="preserve">s. For definition of access line, see Section 5.2.2 of D.22-10-021. The surcharge funds the following California public purpose programs: </w:t>
      </w:r>
      <w:r w:rsidRPr="005527B3" w:rsidR="00452A2E">
        <w:rPr>
          <w:rFonts w:ascii="Book Antiqua" w:hAnsi="Book Antiqua"/>
        </w:rPr>
        <w:t xml:space="preserve"> </w:t>
      </w:r>
    </w:p>
    <w:p w:rsidRPr="005527B3" w:rsidR="00452A2E" w:rsidP="00A12A67" w:rsidRDefault="00452A2E" w14:paraId="14A230C7" w14:textId="77777777">
      <w:pPr>
        <w:pStyle w:val="Quote1"/>
        <w:numPr>
          <w:ilvl w:val="0"/>
          <w:numId w:val="10"/>
        </w:numPr>
        <w:ind w:right="1440"/>
        <w:rPr>
          <w:rFonts w:ascii="Book Antiqua" w:hAnsi="Book Antiqua"/>
        </w:rPr>
      </w:pPr>
      <w:r w:rsidRPr="005527B3">
        <w:rPr>
          <w:rFonts w:ascii="Book Antiqua" w:hAnsi="Book Antiqua"/>
        </w:rPr>
        <w:lastRenderedPageBreak/>
        <w:t>The Universal Lifeline Telephone Service Trust Administrative Committee Fund (Pub. Util. Code § 277);</w:t>
      </w:r>
    </w:p>
    <w:p w:rsidRPr="005527B3" w:rsidR="00452A2E" w:rsidP="00A12A67" w:rsidRDefault="00452A2E" w14:paraId="2D360F8C" w14:textId="77777777">
      <w:pPr>
        <w:pStyle w:val="Quote1"/>
        <w:numPr>
          <w:ilvl w:val="0"/>
          <w:numId w:val="10"/>
        </w:numPr>
        <w:ind w:right="1440"/>
        <w:rPr>
          <w:rFonts w:ascii="Book Antiqua" w:hAnsi="Book Antiqua"/>
        </w:rPr>
      </w:pPr>
      <w:r w:rsidRPr="005527B3">
        <w:rPr>
          <w:rFonts w:ascii="Book Antiqua" w:hAnsi="Book Antiqua"/>
        </w:rPr>
        <w:t>The California Relay Service and Communications Devices Fund (Pub. Util. Code § 2881; D.98</w:t>
      </w:r>
      <w:r w:rsidRPr="005527B3">
        <w:rPr>
          <w:rFonts w:ascii="Book Antiqua" w:hAnsi="Book Antiqua"/>
        </w:rPr>
        <w:noBreakHyphen/>
        <w:t>12</w:t>
      </w:r>
      <w:r w:rsidRPr="005527B3">
        <w:rPr>
          <w:rFonts w:ascii="Book Antiqua" w:hAnsi="Book Antiqua"/>
        </w:rPr>
        <w:noBreakHyphen/>
        <w:t>073);</w:t>
      </w:r>
    </w:p>
    <w:p w:rsidRPr="005527B3" w:rsidR="00452A2E" w:rsidP="00A12A67" w:rsidRDefault="00452A2E" w14:paraId="0DFF2BC1" w14:textId="77777777">
      <w:pPr>
        <w:pStyle w:val="Quote1"/>
        <w:numPr>
          <w:ilvl w:val="0"/>
          <w:numId w:val="10"/>
        </w:numPr>
        <w:ind w:right="1440"/>
        <w:rPr>
          <w:rFonts w:ascii="Book Antiqua" w:hAnsi="Book Antiqua"/>
        </w:rPr>
      </w:pPr>
      <w:r w:rsidRPr="005527B3">
        <w:rPr>
          <w:rFonts w:ascii="Book Antiqua" w:hAnsi="Book Antiqua"/>
        </w:rPr>
        <w:t>The California High Cost Fund</w:t>
      </w:r>
      <w:r w:rsidRPr="005527B3">
        <w:rPr>
          <w:rFonts w:ascii="Book Antiqua" w:hAnsi="Book Antiqua"/>
        </w:rPr>
        <w:noBreakHyphen/>
        <w:t>A (Pub. Util. Code § 275.6); D.96</w:t>
      </w:r>
      <w:r w:rsidRPr="005527B3">
        <w:rPr>
          <w:rFonts w:ascii="Book Antiqua" w:hAnsi="Book Antiqua"/>
        </w:rPr>
        <w:noBreakHyphen/>
        <w:t>10</w:t>
      </w:r>
      <w:r w:rsidRPr="005527B3">
        <w:rPr>
          <w:rFonts w:ascii="Book Antiqua" w:hAnsi="Book Antiqua"/>
        </w:rPr>
        <w:noBreakHyphen/>
        <w:t>066, at 3</w:t>
      </w:r>
      <w:r w:rsidRPr="005527B3">
        <w:rPr>
          <w:rFonts w:ascii="Book Antiqua" w:hAnsi="Book Antiqua"/>
        </w:rPr>
        <w:noBreakHyphen/>
        <w:t>4, App. B, Rule 1.C);</w:t>
      </w:r>
    </w:p>
    <w:p w:rsidRPr="005527B3" w:rsidR="00452A2E" w:rsidP="00A12A67" w:rsidRDefault="00452A2E" w14:paraId="113E3FF1" w14:textId="77777777">
      <w:pPr>
        <w:pStyle w:val="Quote1"/>
        <w:numPr>
          <w:ilvl w:val="0"/>
          <w:numId w:val="10"/>
        </w:numPr>
        <w:ind w:right="1440"/>
        <w:rPr>
          <w:rFonts w:ascii="Book Antiqua" w:hAnsi="Book Antiqua"/>
        </w:rPr>
      </w:pPr>
      <w:r w:rsidRPr="005527B3">
        <w:rPr>
          <w:rFonts w:ascii="Book Antiqua" w:hAnsi="Book Antiqua"/>
        </w:rPr>
        <w:t>The California High Cost Fund</w:t>
      </w:r>
      <w:r w:rsidRPr="005527B3">
        <w:rPr>
          <w:rFonts w:ascii="Book Antiqua" w:hAnsi="Book Antiqua"/>
        </w:rPr>
        <w:noBreakHyphen/>
        <w:t>B (Pub. Util. Code § 276.5), D.96</w:t>
      </w:r>
      <w:r w:rsidRPr="005527B3">
        <w:rPr>
          <w:rFonts w:ascii="Book Antiqua" w:hAnsi="Book Antiqua"/>
        </w:rPr>
        <w:noBreakHyphen/>
        <w:t>10</w:t>
      </w:r>
      <w:r w:rsidRPr="005527B3">
        <w:rPr>
          <w:rFonts w:ascii="Book Antiqua" w:hAnsi="Book Antiqua"/>
        </w:rPr>
        <w:noBreakHyphen/>
        <w:t>066, at 191, App. B, Rule 6.F.; D.07</w:t>
      </w:r>
      <w:r w:rsidRPr="005527B3">
        <w:rPr>
          <w:rFonts w:ascii="Book Antiqua" w:hAnsi="Book Antiqua"/>
        </w:rPr>
        <w:noBreakHyphen/>
        <w:t>12</w:t>
      </w:r>
      <w:r w:rsidRPr="005527B3">
        <w:rPr>
          <w:rFonts w:ascii="Book Antiqua" w:hAnsi="Book Antiqua"/>
        </w:rPr>
        <w:noBreakHyphen/>
        <w:t>054);</w:t>
      </w:r>
    </w:p>
    <w:p w:rsidRPr="005527B3" w:rsidR="00452A2E" w:rsidP="00A12A67" w:rsidRDefault="00452A2E" w14:paraId="1C27B634" w14:textId="77777777">
      <w:pPr>
        <w:pStyle w:val="Quote1"/>
        <w:numPr>
          <w:ilvl w:val="0"/>
          <w:numId w:val="10"/>
        </w:numPr>
        <w:ind w:right="1440"/>
        <w:rPr>
          <w:rFonts w:ascii="Book Antiqua" w:hAnsi="Book Antiqua"/>
        </w:rPr>
      </w:pPr>
      <w:r w:rsidRPr="005527B3">
        <w:rPr>
          <w:rFonts w:ascii="Book Antiqua" w:hAnsi="Book Antiqua"/>
        </w:rPr>
        <w:t>The California Advanced Services Fund (Pub. Util. Code § 281; D.07</w:t>
      </w:r>
      <w:r w:rsidRPr="005527B3">
        <w:rPr>
          <w:rFonts w:ascii="Book Antiqua" w:hAnsi="Book Antiqua"/>
        </w:rPr>
        <w:noBreakHyphen/>
        <w:t>12</w:t>
      </w:r>
      <w:r w:rsidRPr="005527B3">
        <w:rPr>
          <w:rFonts w:ascii="Book Antiqua" w:hAnsi="Book Antiqua"/>
        </w:rPr>
        <w:noBreakHyphen/>
        <w:t>054);</w:t>
      </w:r>
      <w:r w:rsidRPr="005527B3" w:rsidR="00E52FDE">
        <w:rPr>
          <w:rFonts w:ascii="Book Antiqua" w:hAnsi="Book Antiqua"/>
        </w:rPr>
        <w:t xml:space="preserve"> and</w:t>
      </w:r>
    </w:p>
    <w:p w:rsidRPr="005527B3" w:rsidR="00452A2E" w:rsidP="00A12A67" w:rsidRDefault="00452A2E" w14:paraId="3A859E77" w14:textId="77777777">
      <w:pPr>
        <w:pStyle w:val="Quote1"/>
        <w:numPr>
          <w:ilvl w:val="0"/>
          <w:numId w:val="10"/>
        </w:numPr>
        <w:ind w:right="1440"/>
        <w:rPr>
          <w:rFonts w:ascii="Book Antiqua" w:hAnsi="Book Antiqua"/>
        </w:rPr>
      </w:pPr>
      <w:r w:rsidRPr="005527B3">
        <w:rPr>
          <w:rFonts w:ascii="Book Antiqua" w:hAnsi="Book Antiqua"/>
        </w:rPr>
        <w:t xml:space="preserve">The California </w:t>
      </w:r>
      <w:proofErr w:type="spellStart"/>
      <w:r w:rsidRPr="005527B3">
        <w:rPr>
          <w:rFonts w:ascii="Book Antiqua" w:hAnsi="Book Antiqua"/>
        </w:rPr>
        <w:t>Teleconnect</w:t>
      </w:r>
      <w:proofErr w:type="spellEnd"/>
      <w:r w:rsidRPr="005527B3">
        <w:rPr>
          <w:rFonts w:ascii="Book Antiqua" w:hAnsi="Book Antiqua"/>
        </w:rPr>
        <w:t xml:space="preserve"> Fund (Pub. Util. Code § 280; D.96</w:t>
      </w:r>
      <w:r w:rsidRPr="005527B3">
        <w:rPr>
          <w:rFonts w:ascii="Book Antiqua" w:hAnsi="Book Antiqua"/>
        </w:rPr>
        <w:noBreakHyphen/>
        <w:t>10</w:t>
      </w:r>
      <w:r w:rsidRPr="005527B3">
        <w:rPr>
          <w:rFonts w:ascii="Book Antiqua" w:hAnsi="Book Antiqua"/>
        </w:rPr>
        <w:noBreakHyphen/>
        <w:t>066, at 88, App. B, Rule 8.G)</w:t>
      </w:r>
      <w:r w:rsidRPr="005527B3" w:rsidR="00E52FDE">
        <w:rPr>
          <w:rFonts w:ascii="Book Antiqua" w:hAnsi="Book Antiqua"/>
        </w:rPr>
        <w:t>.</w:t>
      </w:r>
    </w:p>
    <w:p w:rsidRPr="00D55A68" w:rsidR="00D55A68" w:rsidP="00D55A68" w:rsidRDefault="00E52FDE" w14:paraId="331D1033" w14:textId="77777777">
      <w:pPr>
        <w:pStyle w:val="standard0"/>
        <w:ind w:firstLine="0"/>
        <w:rPr>
          <w:rFonts w:ascii="Book Antiqua" w:hAnsi="Book Antiqua"/>
        </w:rPr>
      </w:pPr>
      <w:r w:rsidRPr="00C86BA5">
        <w:rPr>
          <w:rFonts w:ascii="Book Antiqua" w:hAnsi="Book Antiqua"/>
        </w:rPr>
        <w:t xml:space="preserve">User Fees </w:t>
      </w:r>
      <w:r w:rsidR="00D55A68">
        <w:rPr>
          <w:rFonts w:ascii="Book Antiqua" w:hAnsi="Book Antiqua"/>
        </w:rPr>
        <w:t>must</w:t>
      </w:r>
      <w:r w:rsidRPr="00C86BA5">
        <w:rPr>
          <w:rFonts w:ascii="Book Antiqua" w:hAnsi="Book Antiqua"/>
        </w:rPr>
        <w:t xml:space="preserve"> be assessed and collected based on intrastate telecommunications revenues. </w:t>
      </w:r>
      <w:r w:rsidRPr="00D55A68">
        <w:rPr>
          <w:rFonts w:ascii="Book Antiqua" w:hAnsi="Book Antiqua"/>
        </w:rPr>
        <w:t>The User Fee funds the CPUC’s annual operating budget for regulating the telecommunications corporations under its jurisdiction (</w:t>
      </w:r>
      <w:r w:rsidRPr="00032223">
        <w:rPr>
          <w:rFonts w:ascii="Book Antiqua" w:hAnsi="Book Antiqua"/>
        </w:rPr>
        <w:t>Pub. Util. Code §§ 431</w:t>
      </w:r>
      <w:r w:rsidRPr="00032223">
        <w:rPr>
          <w:rFonts w:ascii="Book Antiqua" w:hAnsi="Book Antiqua"/>
        </w:rPr>
        <w:noBreakHyphen/>
        <w:t>435</w:t>
      </w:r>
      <w:r>
        <w:rPr>
          <w:rFonts w:ascii="Book Antiqua" w:hAnsi="Book Antiqua"/>
        </w:rPr>
        <w:t>)</w:t>
      </w:r>
      <w:r w:rsidRPr="00D55A68">
        <w:rPr>
          <w:rFonts w:ascii="Book Antiqua" w:hAnsi="Book Antiqua"/>
        </w:rPr>
        <w:t>. </w:t>
      </w:r>
    </w:p>
    <w:p w:rsidRPr="005527B3" w:rsidR="00452A2E" w:rsidP="00A12A67" w:rsidRDefault="00304DFC" w14:paraId="7D034D9D" w14:textId="77777777">
      <w:pPr>
        <w:pStyle w:val="standard0"/>
        <w:numPr>
          <w:ilvl w:val="0"/>
          <w:numId w:val="5"/>
        </w:numPr>
        <w:tabs>
          <w:tab w:val="num" w:pos="0"/>
          <w:tab w:val="num" w:pos="630"/>
        </w:tabs>
        <w:ind w:left="0" w:firstLine="360"/>
        <w:rPr>
          <w:rFonts w:ascii="Book Antiqua" w:hAnsi="Book Antiqua"/>
        </w:rPr>
      </w:pPr>
      <w:r w:rsidRPr="005527B3">
        <w:rPr>
          <w:rFonts w:ascii="Book Antiqua" w:hAnsi="Book Antiqua"/>
        </w:rPr>
        <w:t xml:space="preserve">Carrier </w:t>
      </w:r>
      <w:bookmarkStart w:name="_Hlk132964470" w:id="77"/>
      <w:r w:rsidRPr="005527B3" w:rsidR="00E80BE0">
        <w:rPr>
          <w:rFonts w:ascii="Book Antiqua" w:hAnsi="Book Antiqua"/>
        </w:rPr>
        <w:t>is responsible</w:t>
      </w:r>
      <w:r w:rsidRPr="005527B3" w:rsidR="009A3D94">
        <w:rPr>
          <w:rFonts w:ascii="Book Antiqua" w:hAnsi="Book Antiqua"/>
        </w:rPr>
        <w:t xml:space="preserve"> for obtaining guidance and directive from the </w:t>
      </w:r>
      <w:r w:rsidRPr="005527B3" w:rsidR="00F5028B">
        <w:rPr>
          <w:rFonts w:ascii="Book Antiqua" w:hAnsi="Book Antiqua"/>
        </w:rPr>
        <w:t>Commission’s Communications</w:t>
      </w:r>
      <w:r w:rsidRPr="005527B3" w:rsidR="009A3D94">
        <w:rPr>
          <w:rFonts w:ascii="Book Antiqua" w:hAnsi="Book Antiqua"/>
        </w:rPr>
        <w:t xml:space="preserve"> Division</w:t>
      </w:r>
      <w:r w:rsidRPr="005527B3" w:rsidR="00E80BE0">
        <w:rPr>
          <w:rFonts w:ascii="Book Antiqua" w:hAnsi="Book Antiqua"/>
        </w:rPr>
        <w:t xml:space="preserve"> </w:t>
      </w:r>
      <w:r w:rsidRPr="005527B3" w:rsidR="00452A2E">
        <w:rPr>
          <w:rFonts w:ascii="Book Antiqua" w:hAnsi="Book Antiqua"/>
        </w:rPr>
        <w:t>for</w:t>
      </w:r>
      <w:r w:rsidRPr="005527B3" w:rsidR="00E52FDE">
        <w:rPr>
          <w:rFonts w:ascii="Book Antiqua" w:hAnsi="Book Antiqua"/>
        </w:rPr>
        <w:t xml:space="preserve"> timely</w:t>
      </w:r>
      <w:r w:rsidRPr="005527B3" w:rsidR="00452A2E">
        <w:rPr>
          <w:rFonts w:ascii="Book Antiqua" w:hAnsi="Book Antiqua"/>
        </w:rPr>
        <w:t xml:space="preserve"> reporting and remitting of public purpose program surcharges and the user fees through</w:t>
      </w:r>
      <w:r w:rsidRPr="005527B3" w:rsidR="00E52FDE">
        <w:rPr>
          <w:rFonts w:ascii="Book Antiqua" w:hAnsi="Book Antiqua"/>
        </w:rPr>
        <w:t xml:space="preserve"> the</w:t>
      </w:r>
      <w:r w:rsidRPr="005527B3" w:rsidR="00452A2E">
        <w:rPr>
          <w:rFonts w:ascii="Book Antiqua" w:hAnsi="Book Antiqua"/>
        </w:rPr>
        <w:t xml:space="preserve"> </w:t>
      </w:r>
      <w:r w:rsidRPr="005527B3" w:rsidR="00E52FDE">
        <w:rPr>
          <w:rFonts w:ascii="Book Antiqua" w:hAnsi="Book Antiqua"/>
        </w:rPr>
        <w:t>Commission’s proprietary Telecommunications and User Fee Filing System (TUFFS)</w:t>
      </w:r>
      <w:r w:rsidRPr="005527B3" w:rsidR="00452A2E">
        <w:rPr>
          <w:rFonts w:ascii="Book Antiqua" w:hAnsi="Book Antiqua"/>
        </w:rPr>
        <w:t xml:space="preserve">. Additional information about telecommunications surcharges and user fees is available from the CPUC website: </w:t>
      </w:r>
      <w:hyperlink w:history="1" r:id="rId27">
        <w:r w:rsidRPr="005527B3" w:rsidR="00452A2E">
          <w:rPr>
            <w:rStyle w:val="Hyperlink"/>
            <w:rFonts w:ascii="Book Antiqua" w:hAnsi="Book Antiqua"/>
          </w:rPr>
          <w:t>https://www.cpuc.ca.gov/industries-and-topics/internet-and-phone/telecommunications-surcharges-and-user-fees</w:t>
        </w:r>
      </w:hyperlink>
      <w:r w:rsidRPr="005527B3" w:rsidR="00452A2E">
        <w:rPr>
          <w:rFonts w:ascii="Book Antiqua" w:hAnsi="Book Antiqua"/>
        </w:rPr>
        <w:t>.</w:t>
      </w:r>
      <w:bookmarkEnd w:id="77"/>
      <w:r w:rsidRPr="005527B3" w:rsidR="00452A2E">
        <w:rPr>
          <w:rFonts w:ascii="Book Antiqua" w:hAnsi="Book Antiqua"/>
        </w:rPr>
        <w:t xml:space="preserve"> </w:t>
      </w:r>
    </w:p>
    <w:p w:rsidRPr="00EB362F" w:rsidR="00452A2E" w:rsidP="00A12A67" w:rsidRDefault="00304DFC" w14:paraId="02C57F1E" w14:textId="77777777">
      <w:pPr>
        <w:pStyle w:val="standard0"/>
        <w:numPr>
          <w:ilvl w:val="0"/>
          <w:numId w:val="5"/>
        </w:numPr>
        <w:tabs>
          <w:tab w:val="num" w:pos="0"/>
          <w:tab w:val="num" w:pos="630"/>
        </w:tabs>
        <w:ind w:left="0" w:firstLine="360"/>
        <w:rPr>
          <w:rFonts w:ascii="Book Antiqua" w:hAnsi="Book Antiqua"/>
        </w:rPr>
      </w:pPr>
      <w:bookmarkStart w:name="_Hlk132964534" w:id="78"/>
      <w:r w:rsidRPr="005527B3">
        <w:rPr>
          <w:rFonts w:ascii="Book Antiqua" w:hAnsi="Book Antiqua"/>
        </w:rPr>
        <w:t xml:space="preserve">Carrier </w:t>
      </w:r>
      <w:r w:rsidRPr="005527B3" w:rsidR="00E80BE0">
        <w:rPr>
          <w:rFonts w:ascii="Book Antiqua" w:hAnsi="Book Antiqua"/>
        </w:rPr>
        <w:t>is responsible for</w:t>
      </w:r>
      <w:r w:rsidRPr="005527B3" w:rsidR="00452A2E">
        <w:rPr>
          <w:rFonts w:ascii="Book Antiqua" w:hAnsi="Book Antiqua"/>
        </w:rPr>
        <w:t xml:space="preserve"> </w:t>
      </w:r>
      <w:r w:rsidRPr="005527B3" w:rsidR="00E80BE0">
        <w:rPr>
          <w:rFonts w:ascii="Book Antiqua" w:hAnsi="Book Antiqua"/>
        </w:rPr>
        <w:t xml:space="preserve">timely and accurately </w:t>
      </w:r>
      <w:r w:rsidRPr="005527B3" w:rsidR="00452A2E">
        <w:rPr>
          <w:rFonts w:ascii="Book Antiqua" w:hAnsi="Book Antiqua"/>
        </w:rPr>
        <w:t>report</w:t>
      </w:r>
      <w:r w:rsidRPr="005527B3" w:rsidR="00E80BE0">
        <w:rPr>
          <w:rFonts w:ascii="Book Antiqua" w:hAnsi="Book Antiqua"/>
        </w:rPr>
        <w:t>ing</w:t>
      </w:r>
      <w:r w:rsidRPr="005527B3" w:rsidR="00452A2E">
        <w:rPr>
          <w:rFonts w:ascii="Book Antiqua" w:hAnsi="Book Antiqua"/>
        </w:rPr>
        <w:t xml:space="preserve"> its number of access lines and remit</w:t>
      </w:r>
      <w:r w:rsidRPr="005527B3" w:rsidR="009A3D94">
        <w:rPr>
          <w:rFonts w:ascii="Book Antiqua" w:hAnsi="Book Antiqua"/>
        </w:rPr>
        <w:t>ting</w:t>
      </w:r>
      <w:r w:rsidRPr="005527B3" w:rsidR="00452A2E">
        <w:rPr>
          <w:rFonts w:ascii="Book Antiqua" w:hAnsi="Book Antiqua"/>
        </w:rPr>
        <w:t xml:space="preserve"> the resulting public purpose program surcharges</w:t>
      </w:r>
      <w:r w:rsidRPr="00EB362F" w:rsidR="00452A2E">
        <w:rPr>
          <w:rFonts w:ascii="Book Antiqua" w:hAnsi="Book Antiqua"/>
        </w:rPr>
        <w:t xml:space="preserve"> through TUFFS </w:t>
      </w:r>
      <w:r w:rsidRPr="00B922B0" w:rsidR="00452A2E">
        <w:rPr>
          <w:rFonts w:ascii="Book Antiqua" w:hAnsi="Book Antiqua"/>
        </w:rPr>
        <w:t>even if there is zero access line to re</w:t>
      </w:r>
      <w:r w:rsidR="00452A2E">
        <w:rPr>
          <w:rFonts w:ascii="Book Antiqua" w:hAnsi="Book Antiqua"/>
        </w:rPr>
        <w:t>port</w:t>
      </w:r>
      <w:r w:rsidRPr="00B922B0" w:rsidR="00452A2E">
        <w:rPr>
          <w:rFonts w:ascii="Book Antiqua" w:hAnsi="Book Antiqua"/>
        </w:rPr>
        <w:t xml:space="preserve"> and zero resulting surcharges to remit</w:t>
      </w:r>
      <w:r w:rsidRPr="00EB362F" w:rsidR="00452A2E">
        <w:rPr>
          <w:rFonts w:ascii="Book Antiqua" w:hAnsi="Book Antiqua"/>
        </w:rPr>
        <w:t>.</w:t>
      </w:r>
      <w:r w:rsidR="002903F3">
        <w:rPr>
          <w:rFonts w:ascii="Book Antiqua" w:hAnsi="Book Antiqua"/>
        </w:rPr>
        <w:t xml:space="preserve"> </w:t>
      </w:r>
      <w:r w:rsidRPr="002903F3" w:rsidR="002903F3">
        <w:rPr>
          <w:rFonts w:ascii="Book Antiqua" w:hAnsi="Book Antiqua"/>
        </w:rPr>
        <w:t>Carriers that report and/or remit surcharge funds after the due date will be charged a penalty equal to an annual rate of 1</w:t>
      </w:r>
      <w:r w:rsidR="00F41B4A">
        <w:rPr>
          <w:rFonts w:ascii="Book Antiqua" w:hAnsi="Book Antiqua"/>
        </w:rPr>
        <w:t>0 percent</w:t>
      </w:r>
      <w:r w:rsidRPr="002903F3" w:rsidR="002903F3">
        <w:rPr>
          <w:rFonts w:ascii="Book Antiqua" w:hAnsi="Book Antiqua"/>
        </w:rPr>
        <w:t>.</w:t>
      </w:r>
      <w:r w:rsidR="00452A2E">
        <w:rPr>
          <w:rFonts w:ascii="Book Antiqua" w:hAnsi="Book Antiqua"/>
        </w:rPr>
        <w:t xml:space="preserve"> Send an </w:t>
      </w:r>
      <w:r w:rsidR="00452A2E">
        <w:rPr>
          <w:rFonts w:ascii="Book Antiqua" w:hAnsi="Book Antiqua"/>
        </w:rPr>
        <w:lastRenderedPageBreak/>
        <w:t xml:space="preserve">email to </w:t>
      </w:r>
      <w:hyperlink w:history="1" r:id="rId28">
        <w:r w:rsidRPr="00E87F61" w:rsidR="00452A2E">
          <w:rPr>
            <w:rStyle w:val="Hyperlink"/>
            <w:rFonts w:ascii="Book Antiqua" w:hAnsi="Book Antiqua"/>
          </w:rPr>
          <w:t>Telcosurcharge@cpuc.ca.gov</w:t>
        </w:r>
      </w:hyperlink>
      <w:r w:rsidRPr="00E87F61" w:rsidR="00452A2E">
        <w:rPr>
          <w:rFonts w:ascii="Book Antiqua" w:hAnsi="Book Antiqua"/>
        </w:rPr>
        <w:t xml:space="preserve"> </w:t>
      </w:r>
      <w:r w:rsidR="00452A2E">
        <w:rPr>
          <w:rFonts w:ascii="Book Antiqua" w:hAnsi="Book Antiqua"/>
        </w:rPr>
        <w:t>for q</w:t>
      </w:r>
      <w:r w:rsidRPr="00E87F61" w:rsidR="00452A2E">
        <w:rPr>
          <w:rFonts w:ascii="Book Antiqua" w:hAnsi="Book Antiqua"/>
        </w:rPr>
        <w:t>uestions related to surcharge</w:t>
      </w:r>
      <w:r w:rsidR="00452A2E">
        <w:rPr>
          <w:rFonts w:ascii="Book Antiqua" w:hAnsi="Book Antiqua"/>
        </w:rPr>
        <w:t xml:space="preserve">s and access to TUFFS. </w:t>
      </w:r>
      <w:r w:rsidRPr="002E4891" w:rsidR="00452A2E">
        <w:rPr>
          <w:rFonts w:ascii="Book Antiqua" w:hAnsi="Book Antiqua"/>
        </w:rPr>
        <w:t xml:space="preserve">Current and historical surcharge rates can be found at </w:t>
      </w:r>
      <w:hyperlink w:history="1" r:id="rId29">
        <w:r w:rsidRPr="00D34049" w:rsidR="00452A2E">
          <w:rPr>
            <w:rStyle w:val="Hyperlink"/>
          </w:rPr>
          <w:t>https://www.cpuc.ca.gov/industries-and-topics/internet-and-phone/telecommunications-surcharges-and-user-fees/surcharge-rates</w:t>
        </w:r>
      </w:hyperlink>
      <w:r w:rsidRPr="002E4891" w:rsidR="00452A2E">
        <w:rPr>
          <w:rFonts w:ascii="Book Antiqua" w:hAnsi="Book Antiqua"/>
        </w:rPr>
        <w:t xml:space="preserve">.  </w:t>
      </w:r>
    </w:p>
    <w:p w:rsidR="00452A2E" w:rsidP="00A12A67" w:rsidRDefault="00304DFC" w14:paraId="6DAA57C5" w14:textId="77777777">
      <w:pPr>
        <w:pStyle w:val="num1"/>
        <w:numPr>
          <w:ilvl w:val="0"/>
          <w:numId w:val="5"/>
        </w:numPr>
        <w:tabs>
          <w:tab w:val="num" w:pos="630"/>
          <w:tab w:val="num" w:pos="720"/>
        </w:tabs>
        <w:ind w:left="0" w:firstLine="360"/>
        <w:rPr>
          <w:rFonts w:ascii="Book Antiqua" w:hAnsi="Book Antiqua"/>
        </w:rPr>
      </w:pPr>
      <w:r w:rsidRPr="00304DFC">
        <w:rPr>
          <w:rFonts w:ascii="Book Antiqua" w:hAnsi="Book Antiqua"/>
        </w:rPr>
        <w:t>Carrier</w:t>
      </w:r>
      <w:r w:rsidRPr="00E80BE0">
        <w:rPr>
          <w:rFonts w:ascii="Book Antiqua" w:hAnsi="Book Antiqua"/>
        </w:rPr>
        <w:t xml:space="preserve"> </w:t>
      </w:r>
      <w:r w:rsidR="00E80BE0">
        <w:rPr>
          <w:rFonts w:ascii="Book Antiqua" w:hAnsi="Book Antiqua"/>
        </w:rPr>
        <w:t>is responsible for timely and accurately</w:t>
      </w:r>
      <w:r w:rsidRPr="00FB1315" w:rsidR="00452A2E">
        <w:rPr>
          <w:rFonts w:ascii="Book Antiqua" w:hAnsi="Book Antiqua"/>
        </w:rPr>
        <w:t xml:space="preserve"> report</w:t>
      </w:r>
      <w:r w:rsidR="00E80BE0">
        <w:rPr>
          <w:rFonts w:ascii="Book Antiqua" w:hAnsi="Book Antiqua"/>
        </w:rPr>
        <w:t>ing</w:t>
      </w:r>
      <w:r w:rsidRPr="00FB1315" w:rsidR="00452A2E">
        <w:rPr>
          <w:rFonts w:ascii="Book Antiqua" w:hAnsi="Book Antiqua"/>
        </w:rPr>
        <w:t xml:space="preserve"> and remit</w:t>
      </w:r>
      <w:r w:rsidR="00E80BE0">
        <w:rPr>
          <w:rFonts w:ascii="Book Antiqua" w:hAnsi="Book Antiqua"/>
        </w:rPr>
        <w:t>ting</w:t>
      </w:r>
      <w:r w:rsidRPr="00FB1315" w:rsidR="00452A2E">
        <w:rPr>
          <w:rFonts w:ascii="Book Antiqua" w:hAnsi="Book Antiqua"/>
        </w:rPr>
        <w:t xml:space="preserve"> the user fees based on a standard user fee remittance rate applied to the gross intrastate revenue or an annual minimum user fee of $100, whichever is greater. The user fee remittance rate is determined annually by the Commission and posted on the Commission’s webpage. The reporting and remittance of user fees must be through TUFFS within 15 days after the end of each calendar quarter (March 31, June 30 and September 30</w:t>
      </w:r>
      <w:r w:rsidR="00452A2E">
        <w:rPr>
          <w:rFonts w:ascii="Book Antiqua" w:hAnsi="Book Antiqua"/>
        </w:rPr>
        <w:t>, and December 31</w:t>
      </w:r>
      <w:r w:rsidRPr="00FB1315" w:rsidR="00452A2E">
        <w:rPr>
          <w:rFonts w:ascii="Book Antiqua" w:hAnsi="Book Antiqua"/>
        </w:rPr>
        <w:t>)</w:t>
      </w:r>
      <w:r w:rsidR="00452A2E">
        <w:rPr>
          <w:rFonts w:ascii="Book Antiqua" w:hAnsi="Book Antiqua"/>
        </w:rPr>
        <w:t xml:space="preserve"> </w:t>
      </w:r>
      <w:r w:rsidRPr="00DF1BD0" w:rsidR="00452A2E">
        <w:rPr>
          <w:rFonts w:ascii="Book Antiqua" w:hAnsi="Book Antiqua"/>
        </w:rPr>
        <w:t>or January 15 due date for those paying the annual minimum user fee of $100</w:t>
      </w:r>
      <w:r w:rsidR="00452A2E">
        <w:rPr>
          <w:rFonts w:ascii="Book Antiqua" w:hAnsi="Book Antiqua"/>
        </w:rPr>
        <w:t xml:space="preserve">. </w:t>
      </w:r>
      <w:r w:rsidRPr="00FB1315" w:rsidR="00452A2E">
        <w:rPr>
          <w:rFonts w:ascii="Book Antiqua" w:hAnsi="Book Antiqua"/>
        </w:rPr>
        <w:t xml:space="preserve">TUFFS will automatically adjust the minimum user fee amount due to $100 when the annual gross intrastate revenue is zero or less than the annual minimum user fee of $100. Under </w:t>
      </w:r>
      <w:r w:rsidRPr="00BB35BE" w:rsidR="00452A2E">
        <w:t xml:space="preserve">Pub. Util. Code </w:t>
      </w:r>
      <w:r w:rsidR="002F4769">
        <w:t>S</w:t>
      </w:r>
      <w:r w:rsidR="006756DD">
        <w:t>ection</w:t>
      </w:r>
      <w:r w:rsidRPr="00BB35BE" w:rsidR="00452A2E">
        <w:t xml:space="preserve"> </w:t>
      </w:r>
      <w:r w:rsidRPr="00FB1315" w:rsidR="00452A2E">
        <w:rPr>
          <w:rFonts w:ascii="Book Antiqua" w:hAnsi="Book Antiqua"/>
        </w:rPr>
        <w:t xml:space="preserve">405, carriers that are in default of reporting and submitting user fees more than 30 days after the quarterly user fee payment due dates of April 15, July 15, October 15, </w:t>
      </w:r>
      <w:r w:rsidR="00452A2E">
        <w:rPr>
          <w:rFonts w:ascii="Book Antiqua" w:hAnsi="Book Antiqua"/>
        </w:rPr>
        <w:t xml:space="preserve">and </w:t>
      </w:r>
      <w:r w:rsidRPr="00FB1315" w:rsidR="00452A2E">
        <w:rPr>
          <w:rFonts w:ascii="Book Antiqua" w:hAnsi="Book Antiqua"/>
        </w:rPr>
        <w:t>January 15</w:t>
      </w:r>
      <w:r w:rsidR="00452A2E">
        <w:rPr>
          <w:rFonts w:ascii="Book Antiqua" w:hAnsi="Book Antiqua"/>
        </w:rPr>
        <w:t xml:space="preserve">, </w:t>
      </w:r>
      <w:r w:rsidRPr="00FB1315" w:rsidR="00452A2E">
        <w:rPr>
          <w:rFonts w:ascii="Book Antiqua" w:hAnsi="Book Antiqua"/>
        </w:rPr>
        <w:t xml:space="preserve">or more than 30 days after the January 15 due date for those utilities paying the annual minimum user fee of $100, will be subject to automatic penalties including suspension or revocation of their authority to operate in California. Send an email to </w:t>
      </w:r>
      <w:hyperlink w:history="1" r:id="rId30">
        <w:r w:rsidRPr="00FB1315" w:rsidR="00452A2E">
          <w:rPr>
            <w:rStyle w:val="Hyperlink"/>
            <w:rFonts w:ascii="Book Antiqua" w:hAnsi="Book Antiqua"/>
          </w:rPr>
          <w:t>userfees@cpuc.ca.gov</w:t>
        </w:r>
      </w:hyperlink>
      <w:r w:rsidRPr="00FB1315" w:rsidR="00452A2E">
        <w:rPr>
          <w:rFonts w:ascii="Book Antiqua" w:hAnsi="Book Antiqua"/>
        </w:rPr>
        <w:t xml:space="preserve"> for questions related to user fees. Current and historical user fee rates can be found at </w:t>
      </w:r>
      <w:hyperlink w:history="1" r:id="rId31">
        <w:r w:rsidRPr="00FB1315" w:rsidR="00452A2E">
          <w:rPr>
            <w:rStyle w:val="Hyperlink"/>
            <w:rFonts w:ascii="Book Antiqua" w:hAnsi="Book Antiqua"/>
          </w:rPr>
          <w:t>https://www.cpuc.ca.gov/industries-and-topics/internet-and-phone/telecommunications-surcharges-and-user-fees/user-fee-rates</w:t>
        </w:r>
      </w:hyperlink>
      <w:r w:rsidRPr="00FB1315" w:rsidR="00452A2E">
        <w:rPr>
          <w:rFonts w:ascii="Book Antiqua" w:hAnsi="Book Antiqua"/>
        </w:rPr>
        <w:t xml:space="preserve">. </w:t>
      </w:r>
      <w:r w:rsidR="000748F1">
        <w:rPr>
          <w:rFonts w:ascii="Book Antiqua" w:hAnsi="Book Antiqua"/>
        </w:rPr>
        <w:t xml:space="preserve"> </w:t>
      </w:r>
    </w:p>
    <w:p w:rsidR="00452A2E" w:rsidP="00A12A67" w:rsidRDefault="00452A2E" w14:paraId="3AF61169" w14:textId="77777777">
      <w:pPr>
        <w:pStyle w:val="num1"/>
        <w:numPr>
          <w:ilvl w:val="0"/>
          <w:numId w:val="5"/>
        </w:numPr>
        <w:tabs>
          <w:tab w:val="num" w:pos="630"/>
          <w:tab w:val="num" w:pos="720"/>
        </w:tabs>
        <w:ind w:left="0" w:firstLine="360"/>
        <w:rPr>
          <w:rFonts w:ascii="Book Antiqua" w:hAnsi="Book Antiqua"/>
        </w:rPr>
      </w:pPr>
      <w:r w:rsidRPr="002E4891">
        <w:rPr>
          <w:rFonts w:ascii="Book Antiqua" w:hAnsi="Book Antiqua"/>
        </w:rPr>
        <w:t xml:space="preserve">In compliance with Resolution </w:t>
      </w:r>
      <w:r w:rsidRPr="6E847363" w:rsidR="5B827785">
        <w:rPr>
          <w:rFonts w:ascii="Book Antiqua" w:hAnsi="Book Antiqua"/>
        </w:rPr>
        <w:t>T16901</w:t>
      </w:r>
      <w:r w:rsidRPr="002E4891">
        <w:rPr>
          <w:rFonts w:ascii="Book Antiqua" w:hAnsi="Book Antiqua"/>
        </w:rPr>
        <w:t xml:space="preserve">, December 2, 2004, </w:t>
      </w:r>
      <w:r w:rsidRPr="00304DFC" w:rsidR="00304DFC">
        <w:rPr>
          <w:rFonts w:ascii="Book Antiqua" w:hAnsi="Book Antiqua"/>
        </w:rPr>
        <w:t>Carrier</w:t>
      </w:r>
      <w:r w:rsidRPr="00E80BE0" w:rsidR="00304DFC">
        <w:rPr>
          <w:rFonts w:ascii="Book Antiqua" w:hAnsi="Book Antiqua"/>
        </w:rPr>
        <w:t xml:space="preserve"> </w:t>
      </w:r>
      <w:r w:rsidR="00E80BE0">
        <w:rPr>
          <w:rFonts w:ascii="Book Antiqua" w:hAnsi="Book Antiqua"/>
        </w:rPr>
        <w:t>is responsible for</w:t>
      </w:r>
      <w:r w:rsidRPr="002E4891">
        <w:rPr>
          <w:rFonts w:ascii="Book Antiqua" w:hAnsi="Book Antiqua"/>
        </w:rPr>
        <w:t xml:space="preserve"> check</w:t>
      </w:r>
      <w:r w:rsidR="00E80BE0">
        <w:rPr>
          <w:rFonts w:ascii="Book Antiqua" w:hAnsi="Book Antiqua"/>
        </w:rPr>
        <w:t>ing</w:t>
      </w:r>
      <w:r w:rsidRPr="002E4891">
        <w:rPr>
          <w:rFonts w:ascii="Book Antiqua" w:hAnsi="Book Antiqua"/>
        </w:rPr>
        <w:t xml:space="preserve"> the joint tariff for</w:t>
      </w:r>
      <w:r>
        <w:rPr>
          <w:rFonts w:ascii="Book Antiqua" w:hAnsi="Book Antiqua"/>
        </w:rPr>
        <w:t xml:space="preserve"> public purpose program</w:t>
      </w:r>
      <w:r w:rsidRPr="002E4891">
        <w:rPr>
          <w:rFonts w:ascii="Book Antiqua" w:hAnsi="Book Antiqua"/>
        </w:rPr>
        <w:t xml:space="preserve"> surcharges and</w:t>
      </w:r>
      <w:r>
        <w:rPr>
          <w:rFonts w:ascii="Book Antiqua" w:hAnsi="Book Antiqua"/>
        </w:rPr>
        <w:t xml:space="preserve"> user</w:t>
      </w:r>
      <w:r w:rsidRPr="002E4891">
        <w:rPr>
          <w:rFonts w:ascii="Book Antiqua" w:hAnsi="Book Antiqua"/>
        </w:rPr>
        <w:t xml:space="preserve"> fees filed by Pacific Bell </w:t>
      </w:r>
      <w:r w:rsidR="00820E90">
        <w:rPr>
          <w:rFonts w:ascii="Book Antiqua" w:hAnsi="Book Antiqua"/>
        </w:rPr>
        <w:t xml:space="preserve">Telephone Company </w:t>
      </w:r>
      <w:r w:rsidRPr="002E4891">
        <w:rPr>
          <w:rFonts w:ascii="Book Antiqua" w:hAnsi="Book Antiqua"/>
        </w:rPr>
        <w:t xml:space="preserve">dba AT&amp;T California and </w:t>
      </w:r>
      <w:r w:rsidRPr="002E4891">
        <w:rPr>
          <w:rFonts w:ascii="Book Antiqua" w:hAnsi="Book Antiqua"/>
        </w:rPr>
        <w:lastRenderedPageBreak/>
        <w:t xml:space="preserve">apply the current </w:t>
      </w:r>
      <w:r>
        <w:rPr>
          <w:rFonts w:ascii="Book Antiqua" w:hAnsi="Book Antiqua"/>
        </w:rPr>
        <w:t>public purpose program</w:t>
      </w:r>
      <w:r w:rsidRPr="002E4891">
        <w:rPr>
          <w:rFonts w:ascii="Book Antiqua" w:hAnsi="Book Antiqua"/>
        </w:rPr>
        <w:t xml:space="preserve"> surcharges and</w:t>
      </w:r>
      <w:r>
        <w:rPr>
          <w:rFonts w:ascii="Book Antiqua" w:hAnsi="Book Antiqua"/>
        </w:rPr>
        <w:t xml:space="preserve"> user</w:t>
      </w:r>
      <w:r w:rsidRPr="002E4891">
        <w:rPr>
          <w:rFonts w:ascii="Book Antiqua" w:hAnsi="Book Antiqua"/>
        </w:rPr>
        <w:t xml:space="preserve"> fees amounts in that joint tariff on end</w:t>
      </w:r>
      <w:r w:rsidRPr="6E847363" w:rsidR="63866167">
        <w:rPr>
          <w:rFonts w:ascii="Book Antiqua" w:hAnsi="Book Antiqua"/>
        </w:rPr>
        <w:t xml:space="preserve"> </w:t>
      </w:r>
      <w:r w:rsidRPr="002E4891">
        <w:rPr>
          <w:rFonts w:ascii="Book Antiqua" w:hAnsi="Book Antiqua"/>
        </w:rPr>
        <w:t>user bills until further revised.</w:t>
      </w:r>
      <w:bookmarkEnd w:id="78"/>
    </w:p>
    <w:p w:rsidR="009A3D94" w:rsidP="00A12A67" w:rsidRDefault="007500E4" w14:paraId="0D06C8D5" w14:textId="77777777">
      <w:pPr>
        <w:pStyle w:val="num1"/>
        <w:numPr>
          <w:ilvl w:val="0"/>
          <w:numId w:val="5"/>
        </w:numPr>
        <w:tabs>
          <w:tab w:val="num" w:pos="630"/>
          <w:tab w:val="num" w:pos="720"/>
        </w:tabs>
        <w:ind w:left="0" w:firstLine="360"/>
        <w:rPr>
          <w:rFonts w:ascii="Book Antiqua" w:hAnsi="Book Antiqua"/>
        </w:rPr>
      </w:pPr>
      <w:r>
        <w:rPr>
          <w:rFonts w:ascii="Book Antiqua" w:hAnsi="Book Antiqua"/>
        </w:rPr>
        <w:t>Carrier is responsible for ensuring that its t</w:t>
      </w:r>
      <w:r w:rsidRPr="002E4891" w:rsidR="009A3D94">
        <w:rPr>
          <w:rFonts w:ascii="Book Antiqua" w:hAnsi="Book Antiqua"/>
        </w:rPr>
        <w:t>ariff filings reflect all surcharges</w:t>
      </w:r>
      <w:r>
        <w:rPr>
          <w:rFonts w:ascii="Book Antiqua" w:hAnsi="Book Antiqua"/>
        </w:rPr>
        <w:t xml:space="preserve"> and fees</w:t>
      </w:r>
      <w:r w:rsidRPr="002E4891" w:rsidR="009A3D94">
        <w:rPr>
          <w:rFonts w:ascii="Book Antiqua" w:hAnsi="Book Antiqua"/>
        </w:rPr>
        <w:t xml:space="preserve"> to which </w:t>
      </w:r>
      <w:r>
        <w:rPr>
          <w:rFonts w:ascii="Book Antiqua" w:hAnsi="Book Antiqua"/>
        </w:rPr>
        <w:t xml:space="preserve">it </w:t>
      </w:r>
      <w:r w:rsidRPr="002E4891" w:rsidR="009A3D94">
        <w:rPr>
          <w:rFonts w:ascii="Book Antiqua" w:hAnsi="Book Antiqua"/>
        </w:rPr>
        <w:t>is subject</w:t>
      </w:r>
      <w:r w:rsidR="00304DFC">
        <w:rPr>
          <w:rFonts w:ascii="Book Antiqua" w:hAnsi="Book Antiqua"/>
        </w:rPr>
        <w:t xml:space="preserve"> to</w:t>
      </w:r>
      <w:r w:rsidRPr="002E4891" w:rsidR="009A3D94">
        <w:rPr>
          <w:rFonts w:ascii="Book Antiqua" w:hAnsi="Book Antiqua"/>
        </w:rPr>
        <w:t>, as</w:t>
      </w:r>
      <w:r w:rsidR="009A3D94">
        <w:rPr>
          <w:rFonts w:ascii="Book Antiqua" w:hAnsi="Book Antiqua"/>
        </w:rPr>
        <w:t xml:space="preserve"> identified above</w:t>
      </w:r>
      <w:r w:rsidRPr="002E4891" w:rsidR="009A3D94">
        <w:rPr>
          <w:rFonts w:ascii="Book Antiqua" w:hAnsi="Book Antiqua"/>
        </w:rPr>
        <w:t>.</w:t>
      </w:r>
    </w:p>
    <w:p w:rsidR="00385C15" w:rsidP="00A12A67" w:rsidRDefault="00385C15" w14:paraId="58534521" w14:textId="77777777">
      <w:pPr>
        <w:pStyle w:val="num1"/>
        <w:numPr>
          <w:ilvl w:val="0"/>
          <w:numId w:val="5"/>
        </w:numPr>
        <w:tabs>
          <w:tab w:val="num" w:pos="630"/>
          <w:tab w:val="num" w:pos="720"/>
        </w:tabs>
        <w:ind w:left="0" w:firstLine="360"/>
        <w:rPr>
          <w:rFonts w:ascii="Book Antiqua" w:hAnsi="Book Antiqua"/>
        </w:rPr>
      </w:pPr>
      <w:r w:rsidRPr="002E4891">
        <w:rPr>
          <w:rFonts w:ascii="Book Antiqua" w:hAnsi="Book Antiqua"/>
        </w:rPr>
        <w:t xml:space="preserve">If </w:t>
      </w:r>
      <w:r w:rsidRPr="00304DFC" w:rsidR="00304DFC">
        <w:rPr>
          <w:rFonts w:ascii="Book Antiqua" w:hAnsi="Book Antiqua"/>
        </w:rPr>
        <w:t>Carrier</w:t>
      </w:r>
      <w:r w:rsidRPr="00E80BE0" w:rsidR="00304DFC">
        <w:rPr>
          <w:rFonts w:ascii="Book Antiqua" w:hAnsi="Book Antiqua"/>
        </w:rPr>
        <w:t xml:space="preserve"> </w:t>
      </w:r>
      <w:r w:rsidRPr="002E4891">
        <w:rPr>
          <w:rFonts w:ascii="Book Antiqua" w:hAnsi="Book Antiqua"/>
        </w:rPr>
        <w:t>is a competitive local exchange carrier, the effectiveness of its future competitive local exchange carrier tariffs is subject to the requirements of General Order 96</w:t>
      </w:r>
      <w:r w:rsidRPr="002E4891">
        <w:rPr>
          <w:rFonts w:ascii="Book Antiqua" w:hAnsi="Book Antiqua"/>
        </w:rPr>
        <w:noBreakHyphen/>
        <w:t>B and the Telecommunications Industry Rules (D.07</w:t>
      </w:r>
      <w:r w:rsidRPr="002E4891">
        <w:rPr>
          <w:rFonts w:ascii="Book Antiqua" w:hAnsi="Book Antiqua"/>
        </w:rPr>
        <w:noBreakHyphen/>
        <w:t>09</w:t>
      </w:r>
      <w:r w:rsidRPr="002E4891">
        <w:rPr>
          <w:rFonts w:ascii="Book Antiqua" w:hAnsi="Book Antiqua"/>
        </w:rPr>
        <w:noBreakHyphen/>
        <w:t>019).</w:t>
      </w:r>
    </w:p>
    <w:p w:rsidR="00385C15" w:rsidP="00A12A67" w:rsidRDefault="00385C15" w14:paraId="0D8FF435" w14:textId="77777777">
      <w:pPr>
        <w:pStyle w:val="num1"/>
        <w:numPr>
          <w:ilvl w:val="0"/>
          <w:numId w:val="5"/>
        </w:numPr>
        <w:tabs>
          <w:tab w:val="num" w:pos="630"/>
          <w:tab w:val="num" w:pos="720"/>
        </w:tabs>
        <w:ind w:left="0" w:firstLine="360"/>
        <w:rPr>
          <w:rFonts w:ascii="Book Antiqua" w:hAnsi="Book Antiqua"/>
        </w:rPr>
      </w:pPr>
      <w:r w:rsidRPr="002E4891">
        <w:rPr>
          <w:rFonts w:ascii="Book Antiqua" w:hAnsi="Book Antiqua"/>
        </w:rPr>
        <w:t xml:space="preserve">If </w:t>
      </w:r>
      <w:r w:rsidRPr="00304DFC" w:rsidR="00304DFC">
        <w:rPr>
          <w:rFonts w:ascii="Book Antiqua" w:hAnsi="Book Antiqua"/>
        </w:rPr>
        <w:t>Carrier</w:t>
      </w:r>
      <w:r w:rsidRPr="00E80BE0" w:rsidR="00304DFC">
        <w:rPr>
          <w:rFonts w:ascii="Book Antiqua" w:hAnsi="Book Antiqua"/>
        </w:rPr>
        <w:t xml:space="preserve"> </w:t>
      </w:r>
      <w:r w:rsidRPr="002E4891">
        <w:rPr>
          <w:rFonts w:ascii="Book Antiqua" w:hAnsi="Book Antiqua"/>
        </w:rPr>
        <w:t>is a non</w:t>
      </w:r>
      <w:r w:rsidRPr="002E4891">
        <w:rPr>
          <w:rFonts w:ascii="Book Antiqua" w:hAnsi="Book Antiqua"/>
        </w:rPr>
        <w:noBreakHyphen/>
        <w:t>dominant interexchange carrier, the effectiveness of its future non</w:t>
      </w:r>
      <w:r w:rsidRPr="002E4891">
        <w:rPr>
          <w:rFonts w:ascii="Book Antiqua" w:hAnsi="Book Antiqua"/>
        </w:rPr>
        <w:noBreakHyphen/>
        <w:t>dominant interexchange carrier tariffs is subject to the requirement of General Order 96</w:t>
      </w:r>
      <w:r w:rsidRPr="002E4891">
        <w:rPr>
          <w:rFonts w:ascii="Book Antiqua" w:hAnsi="Book Antiqua"/>
        </w:rPr>
        <w:noBreakHyphen/>
        <w:t>B and the Telecommunications Industry Rules (D.07</w:t>
      </w:r>
      <w:r w:rsidRPr="002E4891">
        <w:rPr>
          <w:rFonts w:ascii="Book Antiqua" w:hAnsi="Book Antiqua"/>
        </w:rPr>
        <w:noBreakHyphen/>
        <w:t>09</w:t>
      </w:r>
      <w:r w:rsidRPr="002E4891">
        <w:rPr>
          <w:rFonts w:ascii="Book Antiqua" w:hAnsi="Book Antiqua"/>
        </w:rPr>
        <w:noBreakHyphen/>
        <w:t>019).</w:t>
      </w:r>
    </w:p>
    <w:p w:rsidRPr="002E4891" w:rsidR="007500E4" w:rsidP="00A12A67" w:rsidRDefault="007500E4" w14:paraId="66985A56" w14:textId="77777777">
      <w:pPr>
        <w:pStyle w:val="num1"/>
        <w:numPr>
          <w:ilvl w:val="0"/>
          <w:numId w:val="5"/>
        </w:numPr>
        <w:tabs>
          <w:tab w:val="num" w:pos="630"/>
          <w:tab w:val="num" w:pos="720"/>
        </w:tabs>
        <w:ind w:left="0" w:firstLine="360"/>
        <w:rPr>
          <w:rFonts w:ascii="Book Antiqua" w:hAnsi="Book Antiqua"/>
        </w:rPr>
      </w:pPr>
      <w:r>
        <w:rPr>
          <w:rFonts w:ascii="Book Antiqua" w:hAnsi="Book Antiqua"/>
        </w:rPr>
        <w:t xml:space="preserve"> </w:t>
      </w:r>
      <w:r w:rsidRPr="00304DFC">
        <w:rPr>
          <w:rFonts w:ascii="Book Antiqua" w:hAnsi="Book Antiqua"/>
        </w:rPr>
        <w:t>Carrier</w:t>
      </w:r>
      <w:r>
        <w:rPr>
          <w:rFonts w:ascii="Book Antiqua" w:hAnsi="Book Antiqua"/>
        </w:rPr>
        <w:t xml:space="preserve"> </w:t>
      </w:r>
      <w:r w:rsidRPr="002E4891">
        <w:rPr>
          <w:rFonts w:ascii="Book Antiqua" w:hAnsi="Book Antiqua"/>
        </w:rPr>
        <w:t xml:space="preserve">providing </w:t>
      </w:r>
      <w:r>
        <w:rPr>
          <w:rFonts w:ascii="Book Antiqua" w:hAnsi="Book Antiqua"/>
        </w:rPr>
        <w:t xml:space="preserve">competitive </w:t>
      </w:r>
      <w:r w:rsidRPr="002E4891">
        <w:rPr>
          <w:rFonts w:ascii="Book Antiqua" w:hAnsi="Book Antiqua"/>
        </w:rPr>
        <w:t xml:space="preserve">local exchange service </w:t>
      </w:r>
      <w:r>
        <w:rPr>
          <w:rFonts w:ascii="Book Antiqua" w:hAnsi="Book Antiqua"/>
        </w:rPr>
        <w:t xml:space="preserve">is responsible for </w:t>
      </w:r>
      <w:r w:rsidRPr="002E4891">
        <w:rPr>
          <w:rFonts w:ascii="Book Antiqua" w:hAnsi="Book Antiqua"/>
        </w:rPr>
        <w:t>submit</w:t>
      </w:r>
      <w:r>
        <w:rPr>
          <w:rFonts w:ascii="Book Antiqua" w:hAnsi="Book Antiqua"/>
        </w:rPr>
        <w:t>ting</w:t>
      </w:r>
      <w:r w:rsidRPr="002E4891">
        <w:rPr>
          <w:rFonts w:ascii="Book Antiqua" w:hAnsi="Book Antiqua"/>
        </w:rPr>
        <w:t xml:space="preserve"> a service area map as part of </w:t>
      </w:r>
      <w:r w:rsidR="000D4D52">
        <w:rPr>
          <w:rFonts w:ascii="Book Antiqua" w:hAnsi="Book Antiqua"/>
        </w:rPr>
        <w:t xml:space="preserve">its </w:t>
      </w:r>
      <w:r w:rsidRPr="002E4891">
        <w:rPr>
          <w:rFonts w:ascii="Book Antiqua" w:hAnsi="Book Antiqua"/>
        </w:rPr>
        <w:t xml:space="preserve">initial tariff </w:t>
      </w:r>
      <w:r w:rsidR="000D4D52">
        <w:rPr>
          <w:rFonts w:ascii="Book Antiqua" w:hAnsi="Book Antiqua"/>
        </w:rPr>
        <w:t xml:space="preserve">filed via Advice Letter </w:t>
      </w:r>
      <w:r w:rsidRPr="002E4891">
        <w:rPr>
          <w:rFonts w:ascii="Book Antiqua" w:hAnsi="Book Antiqua"/>
        </w:rPr>
        <w:t>to the Communications Division.</w:t>
      </w:r>
    </w:p>
    <w:p w:rsidR="00D23A57" w:rsidP="00A12A67" w:rsidRDefault="00D23A57" w14:paraId="7DCE8136" w14:textId="77777777">
      <w:pPr>
        <w:pStyle w:val="num1"/>
        <w:numPr>
          <w:ilvl w:val="0"/>
          <w:numId w:val="5"/>
        </w:numPr>
        <w:tabs>
          <w:tab w:val="num" w:pos="630"/>
          <w:tab w:val="num" w:pos="720"/>
        </w:tabs>
        <w:ind w:left="0" w:firstLine="360"/>
        <w:rPr>
          <w:rFonts w:ascii="Book Antiqua" w:hAnsi="Book Antiqua"/>
        </w:rPr>
      </w:pPr>
      <w:r>
        <w:rPr>
          <w:rFonts w:ascii="Book Antiqua" w:hAnsi="Book Antiqua"/>
        </w:rPr>
        <w:t>Carrier is responsible for</w:t>
      </w:r>
      <w:r w:rsidRPr="00EB362F">
        <w:rPr>
          <w:rFonts w:ascii="Book Antiqua" w:hAnsi="Book Antiqua"/>
        </w:rPr>
        <w:t xml:space="preserve"> submit</w:t>
      </w:r>
      <w:r>
        <w:rPr>
          <w:rFonts w:ascii="Book Antiqua" w:hAnsi="Book Antiqua"/>
        </w:rPr>
        <w:t>ting</w:t>
      </w:r>
      <w:r w:rsidRPr="00EB362F">
        <w:rPr>
          <w:rFonts w:ascii="Book Antiqua" w:hAnsi="Book Antiqua"/>
        </w:rPr>
        <w:t xml:space="preserve"> </w:t>
      </w:r>
      <w:r>
        <w:rPr>
          <w:rFonts w:ascii="Book Antiqua" w:hAnsi="Book Antiqua"/>
        </w:rPr>
        <w:t xml:space="preserve">a copy of its complete tariff in use </w:t>
      </w:r>
      <w:r w:rsidRPr="00EB362F">
        <w:rPr>
          <w:rFonts w:ascii="Book Antiqua" w:hAnsi="Book Antiqua"/>
        </w:rPr>
        <w:t xml:space="preserve">to the </w:t>
      </w:r>
      <w:r>
        <w:rPr>
          <w:rFonts w:ascii="Book Antiqua" w:hAnsi="Book Antiqua"/>
        </w:rPr>
        <w:t xml:space="preserve">California Public Utilities Commission’s </w:t>
      </w:r>
      <w:r w:rsidRPr="00EB362F">
        <w:rPr>
          <w:rFonts w:ascii="Book Antiqua" w:hAnsi="Book Antiqua"/>
        </w:rPr>
        <w:t>Director of the Communications Division, by e</w:t>
      </w:r>
      <w:r>
        <w:rPr>
          <w:rFonts w:ascii="Book Antiqua" w:hAnsi="Book Antiqua"/>
        </w:rPr>
        <w:noBreakHyphen/>
      </w:r>
      <w:r w:rsidRPr="00EB362F">
        <w:rPr>
          <w:rFonts w:ascii="Book Antiqua" w:hAnsi="Book Antiqua"/>
        </w:rPr>
        <w:t xml:space="preserve">mail to </w:t>
      </w:r>
      <w:hyperlink w:history="1" r:id="rId32">
        <w:r w:rsidRPr="00EB362F">
          <w:rPr>
            <w:rStyle w:val="Hyperlink"/>
            <w:rFonts w:ascii="Book Antiqua" w:hAnsi="Book Antiqua"/>
          </w:rPr>
          <w:t>cdcompliance@cpuc.ca.gov</w:t>
        </w:r>
      </w:hyperlink>
      <w:r w:rsidRPr="00EB362F">
        <w:rPr>
          <w:rFonts w:ascii="Book Antiqua" w:hAnsi="Book Antiqua"/>
          <w:u w:val="single"/>
        </w:rPr>
        <w:t>,</w:t>
      </w:r>
      <w:r w:rsidRPr="00EB362F">
        <w:rPr>
          <w:rFonts w:ascii="Book Antiqua" w:hAnsi="Book Antiqua"/>
        </w:rPr>
        <w:t xml:space="preserve"> in compliance with </w:t>
      </w:r>
      <w:r>
        <w:rPr>
          <w:rFonts w:ascii="Book Antiqua" w:hAnsi="Book Antiqua"/>
        </w:rPr>
        <w:t>Public Utilities Codes Section 489(a)</w:t>
      </w:r>
      <w:r w:rsidRPr="00EB362F">
        <w:rPr>
          <w:rFonts w:ascii="Book Antiqua" w:hAnsi="Book Antiqua"/>
        </w:rPr>
        <w:t xml:space="preserve">, </w:t>
      </w:r>
      <w:r w:rsidRPr="00BD161F">
        <w:rPr>
          <w:rFonts w:ascii="Book Antiqua" w:hAnsi="Book Antiqua"/>
        </w:rPr>
        <w:t xml:space="preserve">no later than </w:t>
      </w:r>
      <w:r>
        <w:rPr>
          <w:rFonts w:ascii="Book Antiqua" w:hAnsi="Book Antiqua"/>
        </w:rPr>
        <w:t>February 15</w:t>
      </w:r>
      <w:r w:rsidRPr="00BD161F">
        <w:rPr>
          <w:rFonts w:ascii="Book Antiqua" w:hAnsi="Book Antiqua"/>
        </w:rPr>
        <w:t xml:space="preserve"> of </w:t>
      </w:r>
      <w:r>
        <w:rPr>
          <w:rFonts w:ascii="Book Antiqua" w:hAnsi="Book Antiqua"/>
        </w:rPr>
        <w:t>each</w:t>
      </w:r>
      <w:r w:rsidRPr="00BD161F">
        <w:rPr>
          <w:rFonts w:ascii="Book Antiqua" w:hAnsi="Book Antiqua"/>
        </w:rPr>
        <w:t xml:space="preserve"> year</w:t>
      </w:r>
      <w:r>
        <w:rPr>
          <w:rFonts w:ascii="Book Antiqua" w:hAnsi="Book Antiqua"/>
        </w:rPr>
        <w:t>. If Carrier is de-tariffed, it is responsible for providing an annual certification that it is granted exemption from tariff filing or is a de-tariffed carrier</w:t>
      </w:r>
      <w:r w:rsidR="000D4D52">
        <w:rPr>
          <w:rFonts w:ascii="Book Antiqua" w:hAnsi="Book Antiqua"/>
        </w:rPr>
        <w:t xml:space="preserve"> and identify the authorization granting such status</w:t>
      </w:r>
      <w:r>
        <w:rPr>
          <w:rFonts w:ascii="Book Antiqua" w:hAnsi="Book Antiqua"/>
        </w:rPr>
        <w:t>.</w:t>
      </w:r>
    </w:p>
    <w:p w:rsidRPr="009A3D94" w:rsidR="00385C15" w:rsidP="00A12A67" w:rsidRDefault="00304DFC" w14:paraId="763FEB00" w14:textId="77777777">
      <w:pPr>
        <w:pStyle w:val="num1"/>
        <w:numPr>
          <w:ilvl w:val="0"/>
          <w:numId w:val="5"/>
        </w:numPr>
        <w:tabs>
          <w:tab w:val="num" w:pos="630"/>
          <w:tab w:val="num" w:pos="720"/>
        </w:tabs>
        <w:ind w:left="0" w:firstLine="360"/>
        <w:rPr>
          <w:rFonts w:ascii="Book Antiqua" w:hAnsi="Book Antiqua"/>
        </w:rPr>
      </w:pPr>
      <w:r w:rsidRPr="00304DFC">
        <w:rPr>
          <w:rFonts w:ascii="Book Antiqua" w:hAnsi="Book Antiqua"/>
        </w:rPr>
        <w:t>Carrier</w:t>
      </w:r>
      <w:r w:rsidRPr="00E80BE0">
        <w:rPr>
          <w:rFonts w:ascii="Book Antiqua" w:hAnsi="Book Antiqua"/>
        </w:rPr>
        <w:t xml:space="preserve"> </w:t>
      </w:r>
      <w:r w:rsidRPr="009A3D94" w:rsidR="00E80BE0">
        <w:rPr>
          <w:rFonts w:ascii="Book Antiqua" w:hAnsi="Book Antiqua"/>
        </w:rPr>
        <w:t xml:space="preserve">is responsible for </w:t>
      </w:r>
      <w:r w:rsidRPr="009A3D94" w:rsidR="00385C15">
        <w:rPr>
          <w:rFonts w:ascii="Book Antiqua" w:hAnsi="Book Antiqua"/>
        </w:rPr>
        <w:t>obtain</w:t>
      </w:r>
      <w:r w:rsidRPr="009A3D94" w:rsidR="00E80BE0">
        <w:rPr>
          <w:rFonts w:ascii="Book Antiqua" w:hAnsi="Book Antiqua"/>
        </w:rPr>
        <w:t>ing</w:t>
      </w:r>
      <w:r w:rsidRPr="009A3D94" w:rsidR="00385C15">
        <w:rPr>
          <w:rFonts w:ascii="Book Antiqua" w:hAnsi="Book Antiqua"/>
        </w:rPr>
        <w:t xml:space="preserve"> a performance bond of at least $25,000 in accordance with Decision 13-05-035</w:t>
      </w:r>
      <w:r w:rsidR="00FD791C">
        <w:rPr>
          <w:rFonts w:ascii="Book Antiqua" w:hAnsi="Book Antiqua"/>
        </w:rPr>
        <w:t xml:space="preserve"> and D.24-11-003</w:t>
      </w:r>
      <w:r w:rsidRPr="009A3D94" w:rsidR="00385C15">
        <w:rPr>
          <w:rFonts w:ascii="Book Antiqua" w:hAnsi="Book Antiqua"/>
        </w:rPr>
        <w:t xml:space="preserve">. </w:t>
      </w:r>
      <w:r w:rsidRPr="00801A82" w:rsidR="00801A82">
        <w:rPr>
          <w:rFonts w:ascii="Book Antiqua" w:hAnsi="Book Antiqua"/>
        </w:rPr>
        <w:t xml:space="preserve">Within </w:t>
      </w:r>
      <w:r w:rsidR="00FD791C">
        <w:rPr>
          <w:rFonts w:ascii="Book Antiqua" w:hAnsi="Book Antiqua"/>
        </w:rPr>
        <w:t>30</w:t>
      </w:r>
      <w:r w:rsidRPr="00801A82" w:rsidR="00FD791C">
        <w:rPr>
          <w:rFonts w:ascii="Book Antiqua" w:hAnsi="Book Antiqua"/>
        </w:rPr>
        <w:t xml:space="preserve"> </w:t>
      </w:r>
      <w:r w:rsidR="00FD791C">
        <w:rPr>
          <w:rFonts w:ascii="Book Antiqua" w:hAnsi="Book Antiqua"/>
        </w:rPr>
        <w:t>calendar</w:t>
      </w:r>
      <w:r w:rsidRPr="00801A82" w:rsidR="00801A82">
        <w:rPr>
          <w:rFonts w:ascii="Book Antiqua" w:hAnsi="Book Antiqua"/>
        </w:rPr>
        <w:t xml:space="preserve"> days after the effective date of CPCN authority, </w:t>
      </w:r>
      <w:r w:rsidR="00801A82">
        <w:rPr>
          <w:rFonts w:ascii="Book Antiqua" w:hAnsi="Book Antiqua"/>
        </w:rPr>
        <w:t>carrier is required to</w:t>
      </w:r>
      <w:r w:rsidRPr="00801A82" w:rsidR="00801A82">
        <w:rPr>
          <w:rFonts w:ascii="Book Antiqua" w:hAnsi="Book Antiqua"/>
        </w:rPr>
        <w:t xml:space="preserve"> submit a Tier-1 advice letter to the Director of the Communications Division with a copy of the license holder</w:t>
      </w:r>
      <w:r w:rsidR="00801A82">
        <w:rPr>
          <w:rFonts w:ascii="Book Antiqua" w:hAnsi="Book Antiqua"/>
        </w:rPr>
        <w:t>’</w:t>
      </w:r>
      <w:r w:rsidRPr="00801A82" w:rsidR="00801A82">
        <w:rPr>
          <w:rFonts w:ascii="Book Antiqua" w:hAnsi="Book Antiqua"/>
        </w:rPr>
        <w:t>s executed bond</w:t>
      </w:r>
      <w:r w:rsidR="00801A82">
        <w:rPr>
          <w:rFonts w:ascii="Book Antiqua" w:hAnsi="Book Antiqua"/>
        </w:rPr>
        <w:t>.</w:t>
      </w:r>
      <w:r w:rsidRPr="009A3D94" w:rsidR="00385C15">
        <w:rPr>
          <w:rFonts w:ascii="Book Antiqua" w:hAnsi="Book Antiqua"/>
        </w:rPr>
        <w:t xml:space="preserve"> The performance bond must be a continuous bond </w:t>
      </w:r>
      <w:r w:rsidRPr="009A3D94" w:rsidR="00385C15">
        <w:rPr>
          <w:rFonts w:ascii="Book Antiqua" w:hAnsi="Book Antiqua"/>
          <w:i/>
          <w:iCs/>
        </w:rPr>
        <w:t>(i.e</w:t>
      </w:r>
      <w:r w:rsidRPr="009A3D94" w:rsidR="00385C15">
        <w:rPr>
          <w:rFonts w:ascii="Book Antiqua" w:hAnsi="Book Antiqua"/>
        </w:rPr>
        <w:t xml:space="preserve">., there is no termination date on the bond) issued by a corporate surety company authorized to transact surety business in California, and the </w:t>
      </w:r>
      <w:r w:rsidRPr="009A3D94" w:rsidR="00385C15">
        <w:rPr>
          <w:rFonts w:ascii="Book Antiqua" w:hAnsi="Book Antiqua"/>
        </w:rPr>
        <w:lastRenderedPageBreak/>
        <w:t xml:space="preserve">Commission must be listed as the </w:t>
      </w:r>
      <w:proofErr w:type="spellStart"/>
      <w:r w:rsidRPr="009A3D94" w:rsidR="00385C15">
        <w:rPr>
          <w:rFonts w:ascii="Book Antiqua" w:hAnsi="Book Antiqua"/>
        </w:rPr>
        <w:t>obligee</w:t>
      </w:r>
      <w:proofErr w:type="spellEnd"/>
      <w:r w:rsidRPr="009A3D94" w:rsidR="00385C15">
        <w:rPr>
          <w:rFonts w:ascii="Book Antiqua" w:hAnsi="Book Antiqua"/>
        </w:rPr>
        <w:t xml:space="preserve"> on the bond.  </w:t>
      </w:r>
      <w:r w:rsidRPr="002E4891" w:rsidR="00171110">
        <w:rPr>
          <w:rFonts w:ascii="Book Antiqua" w:hAnsi="Book Antiqua"/>
        </w:rPr>
        <w:t>Pursuant to Decision 13-05-035</w:t>
      </w:r>
      <w:r w:rsidRPr="6E847363" w:rsidR="78279C49">
        <w:rPr>
          <w:rFonts w:ascii="Book Antiqua" w:hAnsi="Book Antiqua"/>
        </w:rPr>
        <w:t>,</w:t>
      </w:r>
      <w:r w:rsidRPr="6E847363" w:rsidR="08C19F03">
        <w:rPr>
          <w:rFonts w:ascii="Book Antiqua" w:hAnsi="Book Antiqua"/>
        </w:rPr>
        <w:t xml:space="preserve"> </w:t>
      </w:r>
      <w:r w:rsidRPr="002E4891" w:rsidR="00171110">
        <w:rPr>
          <w:rFonts w:ascii="Book Antiqua" w:hAnsi="Book Antiqua"/>
        </w:rPr>
        <w:t xml:space="preserve">the Commission </w:t>
      </w:r>
      <w:r w:rsidR="00BA03A6">
        <w:rPr>
          <w:rFonts w:ascii="Book Antiqua" w:hAnsi="Book Antiqua"/>
        </w:rPr>
        <w:t>must</w:t>
      </w:r>
      <w:r w:rsidRPr="002E4891" w:rsidR="00BA03A6">
        <w:rPr>
          <w:rFonts w:ascii="Book Antiqua" w:hAnsi="Book Antiqua"/>
        </w:rPr>
        <w:t xml:space="preserve"> </w:t>
      </w:r>
      <w:r w:rsidRPr="002E4891" w:rsidR="00171110">
        <w:rPr>
          <w:rFonts w:ascii="Book Antiqua" w:hAnsi="Book Antiqua"/>
        </w:rPr>
        <w:t>revoke a certificate of public convenience and necessity if a carrier is more than 120 days late in providing the Communications Division a copy of its</w:t>
      </w:r>
      <w:r w:rsidR="00171110">
        <w:rPr>
          <w:rFonts w:ascii="Book Antiqua" w:hAnsi="Book Antiqua"/>
        </w:rPr>
        <w:t xml:space="preserve"> </w:t>
      </w:r>
      <w:r w:rsidRPr="002E4891" w:rsidR="00171110">
        <w:rPr>
          <w:rFonts w:ascii="Book Antiqua" w:hAnsi="Book Antiqua"/>
        </w:rPr>
        <w:t>executed performance bond and the carrier has not been granted an extension of time by the Communications Division</w:t>
      </w:r>
      <w:r w:rsidR="00171110">
        <w:rPr>
          <w:rFonts w:ascii="Book Antiqua" w:hAnsi="Book Antiqua"/>
        </w:rPr>
        <w:t xml:space="preserve">. </w:t>
      </w:r>
    </w:p>
    <w:p w:rsidRPr="002E4891" w:rsidR="00385C15" w:rsidP="00A12A67" w:rsidRDefault="000748F1" w14:paraId="0D275EE8" w14:textId="77777777">
      <w:pPr>
        <w:pStyle w:val="num1"/>
        <w:numPr>
          <w:ilvl w:val="0"/>
          <w:numId w:val="5"/>
        </w:numPr>
        <w:tabs>
          <w:tab w:val="num" w:pos="630"/>
          <w:tab w:val="num" w:pos="720"/>
        </w:tabs>
        <w:ind w:left="0" w:firstLine="360"/>
        <w:rPr>
          <w:rFonts w:ascii="Book Antiqua" w:hAnsi="Book Antiqua"/>
        </w:rPr>
      </w:pPr>
      <w:r>
        <w:rPr>
          <w:rFonts w:ascii="Book Antiqua" w:hAnsi="Book Antiqua"/>
        </w:rPr>
        <w:t xml:space="preserve"> </w:t>
      </w:r>
      <w:r w:rsidR="007500E4">
        <w:rPr>
          <w:rFonts w:ascii="Book Antiqua" w:hAnsi="Book Antiqua"/>
        </w:rPr>
        <w:t xml:space="preserve">Carrier is required to </w:t>
      </w:r>
      <w:r w:rsidRPr="009A3D94" w:rsidR="007500E4">
        <w:rPr>
          <w:rFonts w:ascii="Book Antiqua" w:hAnsi="Book Antiqua"/>
        </w:rPr>
        <w:t xml:space="preserve">submit a Tier-1 Advice Letter </w:t>
      </w:r>
      <w:r w:rsidR="007500E4">
        <w:rPr>
          <w:rFonts w:ascii="Book Antiqua" w:hAnsi="Book Antiqua"/>
        </w:rPr>
        <w:t xml:space="preserve">on an </w:t>
      </w:r>
      <w:r w:rsidRPr="009A3D94" w:rsidR="007500E4">
        <w:rPr>
          <w:rFonts w:ascii="Book Antiqua" w:hAnsi="Book Antiqua"/>
        </w:rPr>
        <w:t>annual</w:t>
      </w:r>
      <w:r w:rsidR="007500E4">
        <w:rPr>
          <w:rFonts w:ascii="Book Antiqua" w:hAnsi="Book Antiqua"/>
        </w:rPr>
        <w:t xml:space="preserve"> basis</w:t>
      </w:r>
      <w:r w:rsidRPr="009A3D94" w:rsidR="007500E4">
        <w:rPr>
          <w:rFonts w:ascii="Book Antiqua" w:hAnsi="Book Antiqua"/>
        </w:rPr>
        <w:t>, no later than March 31</w:t>
      </w:r>
      <w:r w:rsidR="007500E4">
        <w:rPr>
          <w:rFonts w:ascii="Book Antiqua" w:hAnsi="Book Antiqua"/>
        </w:rPr>
        <w:t xml:space="preserve"> of each year</w:t>
      </w:r>
      <w:r w:rsidRPr="009A3D94" w:rsidR="007500E4">
        <w:rPr>
          <w:rFonts w:ascii="Book Antiqua" w:hAnsi="Book Antiqua"/>
        </w:rPr>
        <w:t>, with a copy of the executed</w:t>
      </w:r>
      <w:r w:rsidR="00345907">
        <w:rPr>
          <w:rFonts w:ascii="Book Antiqua" w:hAnsi="Book Antiqua"/>
        </w:rPr>
        <w:t xml:space="preserve"> performance</w:t>
      </w:r>
      <w:r w:rsidRPr="009A3D94" w:rsidR="007500E4">
        <w:rPr>
          <w:rFonts w:ascii="Book Antiqua" w:hAnsi="Book Antiqua"/>
        </w:rPr>
        <w:t xml:space="preserve"> bond</w:t>
      </w:r>
      <w:r w:rsidR="00171110">
        <w:rPr>
          <w:rFonts w:ascii="Book Antiqua" w:hAnsi="Book Antiqua"/>
        </w:rPr>
        <w:t xml:space="preserve">. </w:t>
      </w:r>
      <w:r w:rsidRPr="00304DFC" w:rsidR="00171110">
        <w:rPr>
          <w:rFonts w:ascii="Book Antiqua" w:hAnsi="Book Antiqua"/>
        </w:rPr>
        <w:t>Carrier</w:t>
      </w:r>
      <w:r w:rsidRPr="00E80BE0" w:rsidR="00171110">
        <w:rPr>
          <w:rFonts w:ascii="Book Antiqua" w:hAnsi="Book Antiqua"/>
        </w:rPr>
        <w:t xml:space="preserve"> </w:t>
      </w:r>
      <w:r w:rsidR="00171110">
        <w:rPr>
          <w:rFonts w:ascii="Book Antiqua" w:hAnsi="Book Antiqua"/>
        </w:rPr>
        <w:t xml:space="preserve">is responsible for ensuring that </w:t>
      </w:r>
      <w:r w:rsidRPr="002E4891" w:rsidR="00171110">
        <w:rPr>
          <w:rFonts w:ascii="Book Antiqua" w:hAnsi="Book Antiqua"/>
        </w:rPr>
        <w:t xml:space="preserve">its performance bond </w:t>
      </w:r>
      <w:r w:rsidR="00171110">
        <w:rPr>
          <w:rFonts w:ascii="Book Antiqua" w:hAnsi="Book Antiqua"/>
        </w:rPr>
        <w:t xml:space="preserve">does not </w:t>
      </w:r>
      <w:r w:rsidRPr="002E4891" w:rsidR="00171110">
        <w:rPr>
          <w:rFonts w:ascii="Book Antiqua" w:hAnsi="Book Antiqua"/>
        </w:rPr>
        <w:t>lapse during any period of its operation</w:t>
      </w:r>
      <w:r w:rsidR="00171110">
        <w:rPr>
          <w:rFonts w:ascii="Book Antiqua" w:hAnsi="Book Antiqua"/>
        </w:rPr>
        <w:t>.</w:t>
      </w:r>
      <w:r w:rsidR="007500E4">
        <w:rPr>
          <w:rFonts w:ascii="Book Antiqua" w:hAnsi="Book Antiqua"/>
        </w:rPr>
        <w:t xml:space="preserve"> </w:t>
      </w:r>
      <w:r w:rsidR="00345907">
        <w:rPr>
          <w:rFonts w:ascii="Book Antiqua" w:hAnsi="Book Antiqua"/>
        </w:rPr>
        <w:t>Additional information regarding performance bond requirement is available at</w:t>
      </w:r>
      <w:r w:rsidR="007F28BA">
        <w:rPr>
          <w:rFonts w:ascii="Book Antiqua" w:hAnsi="Book Antiqua"/>
        </w:rPr>
        <w:t>:</w:t>
      </w:r>
      <w:r w:rsidR="00345907">
        <w:rPr>
          <w:rFonts w:ascii="Book Antiqua" w:hAnsi="Book Antiqua"/>
        </w:rPr>
        <w:t xml:space="preserve"> </w:t>
      </w:r>
      <w:hyperlink w:history="1" r:id="rId33">
        <w:r w:rsidRPr="0031467C" w:rsidR="00345907">
          <w:rPr>
            <w:rStyle w:val="Hyperlink"/>
            <w:rFonts w:ascii="Book Antiqua" w:hAnsi="Book Antiqua"/>
          </w:rPr>
          <w:t>https://www.cpuc.ca.gov/industries-and-topics/internet-and-phone/carrier-reporting-requirements/performance-bond-requirements</w:t>
        </w:r>
      </w:hyperlink>
      <w:r w:rsidR="00345907">
        <w:rPr>
          <w:rFonts w:ascii="Book Antiqua" w:hAnsi="Book Antiqua"/>
        </w:rPr>
        <w:t xml:space="preserve">. </w:t>
      </w:r>
      <w:r w:rsidRPr="00345907" w:rsidDel="00171110" w:rsidR="00345907">
        <w:rPr>
          <w:rFonts w:ascii="Book Antiqua" w:hAnsi="Book Antiqua"/>
        </w:rPr>
        <w:t xml:space="preserve"> </w:t>
      </w:r>
      <w:r w:rsidR="00345907">
        <w:rPr>
          <w:rFonts w:ascii="Book Antiqua" w:hAnsi="Book Antiqua"/>
        </w:rPr>
        <w:t xml:space="preserve"> </w:t>
      </w:r>
    </w:p>
    <w:p w:rsidRPr="009A3D94" w:rsidR="00385C15" w:rsidP="00A12A67" w:rsidRDefault="000748F1" w14:paraId="3A70A028" w14:textId="77777777">
      <w:pPr>
        <w:pStyle w:val="num1"/>
        <w:numPr>
          <w:ilvl w:val="0"/>
          <w:numId w:val="5"/>
        </w:numPr>
        <w:tabs>
          <w:tab w:val="clear" w:pos="-720"/>
          <w:tab w:val="num" w:pos="630"/>
          <w:tab w:val="left" w:pos="720"/>
        </w:tabs>
        <w:ind w:left="0" w:firstLine="270"/>
        <w:rPr>
          <w:rFonts w:ascii="Book Antiqua" w:hAnsi="Book Antiqua"/>
        </w:rPr>
      </w:pPr>
      <w:r w:rsidRPr="009A3D94">
        <w:rPr>
          <w:rFonts w:ascii="Book Antiqua" w:hAnsi="Book Antiqua"/>
        </w:rPr>
        <w:t xml:space="preserve"> </w:t>
      </w:r>
      <w:r w:rsidRPr="00304DFC" w:rsidR="00304DFC">
        <w:rPr>
          <w:rFonts w:ascii="Book Antiqua" w:hAnsi="Book Antiqua"/>
        </w:rPr>
        <w:t>Carrier</w:t>
      </w:r>
      <w:r w:rsidRPr="00E80BE0" w:rsidR="00304DFC">
        <w:rPr>
          <w:rFonts w:ascii="Book Antiqua" w:hAnsi="Book Antiqua"/>
        </w:rPr>
        <w:t xml:space="preserve"> </w:t>
      </w:r>
      <w:r w:rsidR="000D4D52">
        <w:rPr>
          <w:rFonts w:ascii="Book Antiqua" w:hAnsi="Book Antiqua"/>
        </w:rPr>
        <w:t>is responsible for</w:t>
      </w:r>
      <w:r w:rsidRPr="009A3D94" w:rsidR="00385C15">
        <w:rPr>
          <w:rFonts w:ascii="Book Antiqua" w:hAnsi="Book Antiqua"/>
        </w:rPr>
        <w:t xml:space="preserve"> ensur</w:t>
      </w:r>
      <w:r w:rsidR="000D4D52">
        <w:rPr>
          <w:rFonts w:ascii="Book Antiqua" w:hAnsi="Book Antiqua"/>
        </w:rPr>
        <w:t>ing</w:t>
      </w:r>
      <w:r w:rsidRPr="009A3D94" w:rsidR="00385C15">
        <w:rPr>
          <w:rFonts w:ascii="Book Antiqua" w:hAnsi="Book Antiqua"/>
        </w:rPr>
        <w:t xml:space="preserve"> that its employees comply with the provisions of Pub. Util. Code </w:t>
      </w:r>
      <w:r w:rsidR="002F4769">
        <w:rPr>
          <w:rFonts w:ascii="Book Antiqua" w:hAnsi="Book Antiqua"/>
        </w:rPr>
        <w:t>S</w:t>
      </w:r>
      <w:r w:rsidRPr="009A3D94" w:rsidR="002501AA">
        <w:rPr>
          <w:rFonts w:ascii="Book Antiqua" w:hAnsi="Book Antiqua"/>
        </w:rPr>
        <w:t>ection</w:t>
      </w:r>
      <w:r w:rsidRPr="009A3D94" w:rsidR="00385C15">
        <w:rPr>
          <w:rFonts w:ascii="Book Antiqua" w:hAnsi="Book Antiqua"/>
        </w:rPr>
        <w:t xml:space="preserve"> 2889.5 regarding solicitation of customers.</w:t>
      </w:r>
    </w:p>
    <w:p w:rsidRPr="00F5028B" w:rsidR="00385C15" w:rsidP="00A12A67" w:rsidRDefault="000748F1" w14:paraId="0DBCE903" w14:textId="77777777">
      <w:pPr>
        <w:pStyle w:val="num1"/>
        <w:numPr>
          <w:ilvl w:val="0"/>
          <w:numId w:val="5"/>
        </w:numPr>
        <w:tabs>
          <w:tab w:val="clear" w:pos="-720"/>
          <w:tab w:val="num" w:pos="630"/>
          <w:tab w:val="left" w:pos="720"/>
        </w:tabs>
        <w:ind w:left="0" w:firstLine="270"/>
        <w:rPr>
          <w:rFonts w:ascii="Book Antiqua" w:hAnsi="Book Antiqua"/>
        </w:rPr>
      </w:pPr>
      <w:r w:rsidRPr="00F5028B">
        <w:rPr>
          <w:rFonts w:ascii="Book Antiqua" w:hAnsi="Book Antiqua"/>
        </w:rPr>
        <w:t xml:space="preserve"> </w:t>
      </w:r>
      <w:r w:rsidRPr="00F5028B" w:rsidR="00AC4420">
        <w:rPr>
          <w:rFonts w:ascii="Book Antiqua" w:hAnsi="Book Antiqua"/>
        </w:rPr>
        <w:t xml:space="preserve">If </w:t>
      </w:r>
      <w:r w:rsidRPr="00304DFC" w:rsidR="00304DFC">
        <w:rPr>
          <w:rFonts w:ascii="Book Antiqua" w:hAnsi="Book Antiqua"/>
        </w:rPr>
        <w:t>Carrier</w:t>
      </w:r>
      <w:r w:rsidRPr="00E80BE0" w:rsidR="00304DFC">
        <w:rPr>
          <w:rFonts w:ascii="Book Antiqua" w:hAnsi="Book Antiqua"/>
        </w:rPr>
        <w:t xml:space="preserve"> </w:t>
      </w:r>
      <w:r w:rsidRPr="00F5028B" w:rsidR="00AC4420">
        <w:rPr>
          <w:rFonts w:ascii="Book Antiqua" w:hAnsi="Book Antiqua"/>
        </w:rPr>
        <w:t>is 90 days or more late in complying with its reporting obligations to the Commission including but not limited to filing its annual reports (e.g., Operations and Financials, and Affiliated Transaction Reports), submitting Performance Bonds, reporting and remitting surcharges and user fees; and has not received written permission from the Commission or Communications Division to file or remit late</w:t>
      </w:r>
      <w:r w:rsidR="00AC4420">
        <w:t xml:space="preserve">, the Communications Division </w:t>
      </w:r>
      <w:r w:rsidR="00304DFC">
        <w:t>may</w:t>
      </w:r>
      <w:r w:rsidR="00AC4420">
        <w:t xml:space="preserve"> issue a citation pursuant to Resolution T-17601. </w:t>
      </w:r>
      <w:r w:rsidRPr="00DA4C77" w:rsidR="00AC4420">
        <w:t xml:space="preserve">Failure to comply with the issued citation </w:t>
      </w:r>
      <w:r w:rsidR="00AC4420">
        <w:t xml:space="preserve">or timely appeal the citation </w:t>
      </w:r>
      <w:r w:rsidRPr="00DA4C77" w:rsidR="00AC4420">
        <w:t xml:space="preserve">may result in a revocation of the company’s operating authority and/or a referral to the </w:t>
      </w:r>
      <w:r w:rsidR="00345907">
        <w:t>Commission’s</w:t>
      </w:r>
      <w:r w:rsidRPr="00DA4C77" w:rsidR="00AC4420">
        <w:t xml:space="preserve"> Consumer Protection and Enforcement Division for enforcement action, which could result in additional fines, penalties, or other sanctions. </w:t>
      </w:r>
      <w:bookmarkStart w:name="_Hlk64373183" w:id="79"/>
    </w:p>
    <w:bookmarkEnd w:id="79"/>
    <w:p w:rsidRPr="002E4891" w:rsidR="00385C15" w:rsidP="00A12A67" w:rsidRDefault="000748F1" w14:paraId="2343E0B3" w14:textId="77777777">
      <w:pPr>
        <w:pStyle w:val="num1"/>
        <w:numPr>
          <w:ilvl w:val="0"/>
          <w:numId w:val="5"/>
        </w:numPr>
        <w:tabs>
          <w:tab w:val="clear" w:pos="-720"/>
          <w:tab w:val="num" w:pos="630"/>
          <w:tab w:val="left" w:pos="720"/>
        </w:tabs>
        <w:ind w:left="0" w:firstLine="270"/>
        <w:rPr>
          <w:rFonts w:ascii="Book Antiqua" w:hAnsi="Book Antiqua"/>
        </w:rPr>
      </w:pPr>
      <w:r>
        <w:rPr>
          <w:rFonts w:ascii="Book Antiqua" w:hAnsi="Book Antiqua"/>
        </w:rPr>
        <w:t xml:space="preserve"> </w:t>
      </w:r>
      <w:r w:rsidRPr="00304DFC" w:rsidR="00304DFC">
        <w:rPr>
          <w:rFonts w:ascii="Book Antiqua" w:hAnsi="Book Antiqua"/>
        </w:rPr>
        <w:t>Carrier</w:t>
      </w:r>
      <w:r w:rsidRPr="00E80BE0" w:rsidR="00304DFC">
        <w:rPr>
          <w:rFonts w:ascii="Book Antiqua" w:hAnsi="Book Antiqua"/>
        </w:rPr>
        <w:t xml:space="preserve"> </w:t>
      </w:r>
      <w:r w:rsidRPr="002E4891" w:rsidR="00385C15">
        <w:rPr>
          <w:rFonts w:ascii="Book Antiqua" w:hAnsi="Book Antiqua"/>
        </w:rPr>
        <w:t>is exempt from Rule 3.1(b) of the Commission’s Rules of Practice and Procedure. </w:t>
      </w:r>
    </w:p>
    <w:p w:rsidRPr="002E4891" w:rsidR="00385C15" w:rsidP="00A12A67" w:rsidRDefault="000748F1" w14:paraId="7E0FE6E0" w14:textId="77777777">
      <w:pPr>
        <w:pStyle w:val="num1"/>
        <w:numPr>
          <w:ilvl w:val="0"/>
          <w:numId w:val="5"/>
        </w:numPr>
        <w:tabs>
          <w:tab w:val="clear" w:pos="-720"/>
          <w:tab w:val="num" w:pos="630"/>
          <w:tab w:val="left" w:pos="720"/>
        </w:tabs>
        <w:ind w:left="0" w:firstLine="270"/>
        <w:rPr>
          <w:rFonts w:ascii="Book Antiqua" w:hAnsi="Book Antiqua"/>
        </w:rPr>
      </w:pPr>
      <w:r>
        <w:rPr>
          <w:rFonts w:ascii="Book Antiqua" w:hAnsi="Book Antiqua"/>
        </w:rPr>
        <w:lastRenderedPageBreak/>
        <w:t xml:space="preserve"> </w:t>
      </w:r>
      <w:r w:rsidRPr="00304DFC" w:rsidR="00304DFC">
        <w:rPr>
          <w:rFonts w:ascii="Book Antiqua" w:hAnsi="Book Antiqua"/>
        </w:rPr>
        <w:t>Carrier</w:t>
      </w:r>
      <w:r w:rsidRPr="00E80BE0" w:rsidR="00304DFC">
        <w:rPr>
          <w:rFonts w:ascii="Book Antiqua" w:hAnsi="Book Antiqua"/>
        </w:rPr>
        <w:t xml:space="preserve"> </w:t>
      </w:r>
      <w:r w:rsidRPr="002E4891" w:rsidR="00385C15">
        <w:rPr>
          <w:rFonts w:ascii="Book Antiqua" w:hAnsi="Book Antiqua"/>
        </w:rPr>
        <w:t xml:space="preserve">is exempt from Pub. Util. Code </w:t>
      </w:r>
      <w:r w:rsidR="002F4769">
        <w:rPr>
          <w:rFonts w:ascii="Book Antiqua" w:hAnsi="Book Antiqua"/>
        </w:rPr>
        <w:t>S</w:t>
      </w:r>
      <w:r w:rsidR="002501AA">
        <w:rPr>
          <w:rFonts w:ascii="Book Antiqua" w:hAnsi="Book Antiqua"/>
        </w:rPr>
        <w:t>ections</w:t>
      </w:r>
      <w:r w:rsidRPr="002E4891" w:rsidR="00385C15">
        <w:rPr>
          <w:rFonts w:ascii="Book Antiqua" w:hAnsi="Book Antiqua"/>
        </w:rPr>
        <w:t> 816</w:t>
      </w:r>
      <w:r w:rsidRPr="002E4891" w:rsidR="00385C15">
        <w:rPr>
          <w:rFonts w:ascii="Book Antiqua" w:hAnsi="Book Antiqua"/>
        </w:rPr>
        <w:noBreakHyphen/>
        <w:t xml:space="preserve">830. </w:t>
      </w:r>
    </w:p>
    <w:p w:rsidRPr="002E4891" w:rsidR="00F5028B" w:rsidP="00A12A67" w:rsidRDefault="000748F1" w14:paraId="431913E3" w14:textId="77777777">
      <w:pPr>
        <w:pStyle w:val="num1"/>
        <w:numPr>
          <w:ilvl w:val="0"/>
          <w:numId w:val="5"/>
        </w:numPr>
        <w:tabs>
          <w:tab w:val="clear" w:pos="-720"/>
          <w:tab w:val="num" w:pos="630"/>
          <w:tab w:val="left" w:pos="720"/>
        </w:tabs>
        <w:ind w:left="0" w:firstLine="270"/>
        <w:rPr>
          <w:rFonts w:ascii="Book Antiqua" w:hAnsi="Book Antiqua"/>
        </w:rPr>
      </w:pPr>
      <w:r>
        <w:rPr>
          <w:rFonts w:ascii="Book Antiqua" w:hAnsi="Book Antiqua"/>
        </w:rPr>
        <w:t xml:space="preserve"> </w:t>
      </w:r>
      <w:r w:rsidRPr="002E4891" w:rsidR="00385C15">
        <w:rPr>
          <w:rFonts w:ascii="Book Antiqua" w:hAnsi="Book Antiqua"/>
        </w:rPr>
        <w:t xml:space="preserve">If </w:t>
      </w:r>
      <w:r w:rsidRPr="00304DFC" w:rsidR="00304DFC">
        <w:rPr>
          <w:rFonts w:ascii="Book Antiqua" w:hAnsi="Book Antiqua"/>
        </w:rPr>
        <w:t>Carrier</w:t>
      </w:r>
      <w:r w:rsidRPr="00E80BE0" w:rsidR="00304DFC">
        <w:rPr>
          <w:rFonts w:ascii="Book Antiqua" w:hAnsi="Book Antiqua"/>
        </w:rPr>
        <w:t xml:space="preserve"> </w:t>
      </w:r>
      <w:r w:rsidRPr="002E4891" w:rsidR="00385C15">
        <w:rPr>
          <w:rFonts w:ascii="Book Antiqua" w:hAnsi="Book Antiqua"/>
        </w:rPr>
        <w:t xml:space="preserve">decides to discontinue service or file for bankruptcy, it must immediately notify the </w:t>
      </w:r>
      <w:r w:rsidRPr="00C47364" w:rsidR="00F5028B">
        <w:rPr>
          <w:rFonts w:ascii="Book Antiqua" w:hAnsi="Book Antiqua"/>
        </w:rPr>
        <w:t>California Public Utilities Commission’s Director of the Communications Division, by e</w:t>
      </w:r>
      <w:r w:rsidRPr="00C47364" w:rsidR="00F5028B">
        <w:rPr>
          <w:rFonts w:ascii="Book Antiqua" w:hAnsi="Book Antiqua"/>
        </w:rPr>
        <w:noBreakHyphen/>
        <w:t xml:space="preserve">mail to </w:t>
      </w:r>
      <w:hyperlink w:history="1" r:id="rId34">
        <w:r w:rsidRPr="00C47364" w:rsidR="00F5028B">
          <w:rPr>
            <w:rStyle w:val="Hyperlink"/>
            <w:rFonts w:ascii="Book Antiqua" w:hAnsi="Book Antiqua"/>
          </w:rPr>
          <w:t>cdcompliance@cpuc.ca.gov</w:t>
        </w:r>
      </w:hyperlink>
      <w:r w:rsidR="00F5028B">
        <w:rPr>
          <w:rFonts w:ascii="Book Antiqua" w:hAnsi="Book Antiqua"/>
        </w:rPr>
        <w:t>.</w:t>
      </w:r>
    </w:p>
    <w:p w:rsidRPr="0041336B" w:rsidR="00385C15" w:rsidP="00510F64" w:rsidRDefault="000748F1" w14:paraId="341CD6B0" w14:textId="77777777">
      <w:pPr>
        <w:pStyle w:val="num1"/>
        <w:tabs>
          <w:tab w:val="clear" w:pos="-720"/>
          <w:tab w:val="left" w:pos="720"/>
        </w:tabs>
        <w:ind w:firstLine="0"/>
        <w:rPr>
          <w:rFonts w:ascii="Book Antiqua" w:hAnsi="Book Antiqua"/>
        </w:rPr>
      </w:pPr>
      <w:r>
        <w:rPr>
          <w:rFonts w:ascii="Book Antiqua" w:hAnsi="Book Antiqua"/>
        </w:rPr>
        <w:t xml:space="preserve"> </w:t>
      </w:r>
    </w:p>
    <w:p w:rsidRPr="0041336B" w:rsidR="00385C15" w:rsidP="002B0864" w:rsidRDefault="00385C15" w14:paraId="5164F501" w14:textId="77777777">
      <w:pPr>
        <w:pStyle w:val="standard0"/>
        <w:spacing w:line="240" w:lineRule="auto"/>
        <w:ind w:firstLine="0"/>
        <w:jc w:val="center"/>
        <w:rPr>
          <w:rFonts w:ascii="Book Antiqua" w:hAnsi="Book Antiqua"/>
          <w:szCs w:val="26"/>
        </w:rPr>
      </w:pPr>
    </w:p>
    <w:p w:rsidRPr="0041336B" w:rsidR="00385C15" w:rsidP="002B0864" w:rsidRDefault="00385C15" w14:paraId="291803C0" w14:textId="77777777">
      <w:pPr>
        <w:pStyle w:val="standard0"/>
        <w:spacing w:line="240" w:lineRule="auto"/>
        <w:ind w:firstLine="0"/>
        <w:jc w:val="center"/>
        <w:rPr>
          <w:rFonts w:ascii="Book Antiqua" w:hAnsi="Book Antiqua"/>
          <w:szCs w:val="26"/>
        </w:rPr>
      </w:pPr>
    </w:p>
    <w:p w:rsidRPr="0041336B" w:rsidR="00385C15" w:rsidP="00385C15" w:rsidRDefault="00385C15" w14:paraId="1954B52B" w14:textId="77777777">
      <w:pPr>
        <w:jc w:val="center"/>
        <w:rPr>
          <w:rFonts w:ascii="Book Antiqua" w:hAnsi="Book Antiqua"/>
          <w:szCs w:val="26"/>
        </w:rPr>
      </w:pPr>
      <w:r w:rsidRPr="0041336B">
        <w:rPr>
          <w:rFonts w:ascii="Book Antiqua" w:hAnsi="Book Antiqua"/>
          <w:b/>
          <w:szCs w:val="26"/>
        </w:rPr>
        <w:t>(END OF ATTACHMENT B)</w:t>
      </w:r>
    </w:p>
    <w:p w:rsidR="002B0864" w:rsidP="00385C15" w:rsidRDefault="002B0864" w14:paraId="61B6F2FC" w14:textId="77777777">
      <w:pPr>
        <w:jc w:val="center"/>
        <w:rPr>
          <w:rFonts w:ascii="Book Antiqua" w:hAnsi="Book Antiqua"/>
          <w:szCs w:val="26"/>
        </w:rPr>
        <w:sectPr w:rsidR="002B0864" w:rsidSect="002B0864">
          <w:footerReference w:type="default" r:id="rId35"/>
          <w:footnotePr>
            <w:numRestart w:val="eachSect"/>
          </w:footnotePr>
          <w:pgSz w:w="12240" w:h="15840" w:code="1"/>
          <w:pgMar w:top="1152" w:right="1440" w:bottom="1440" w:left="1440" w:header="720" w:footer="720" w:gutter="0"/>
          <w:pgNumType w:start="1"/>
          <w:cols w:space="720"/>
        </w:sectPr>
      </w:pPr>
    </w:p>
    <w:p w:rsidR="00385C15" w:rsidP="00385C15" w:rsidRDefault="00385C15" w14:paraId="42948883" w14:textId="77777777">
      <w:pPr>
        <w:jc w:val="center"/>
        <w:rPr>
          <w:rFonts w:ascii="Book Antiqua" w:hAnsi="Book Antiqua"/>
          <w:szCs w:val="26"/>
        </w:rPr>
      </w:pPr>
    </w:p>
    <w:p w:rsidRPr="0041336B" w:rsidR="002B0864" w:rsidP="00385C15" w:rsidRDefault="002B0864" w14:paraId="5745D0B2" w14:textId="77777777">
      <w:pPr>
        <w:jc w:val="center"/>
        <w:rPr>
          <w:rFonts w:ascii="Book Antiqua" w:hAnsi="Book Antiqua"/>
          <w:szCs w:val="26"/>
        </w:rPr>
      </w:pPr>
    </w:p>
    <w:p w:rsidR="00385C15" w:rsidP="00385C15" w:rsidRDefault="00385C15" w14:paraId="2C6424F7" w14:textId="77777777">
      <w:pPr>
        <w:jc w:val="center"/>
        <w:rPr>
          <w:rFonts w:ascii="Book Antiqua" w:hAnsi="Book Antiqua"/>
          <w:b/>
          <w:szCs w:val="26"/>
        </w:rPr>
      </w:pPr>
      <w:r w:rsidRPr="0041336B">
        <w:rPr>
          <w:rFonts w:ascii="Book Antiqua" w:hAnsi="Book Antiqua"/>
          <w:b/>
          <w:szCs w:val="26"/>
        </w:rPr>
        <w:t>ATTACHMENT C</w:t>
      </w:r>
    </w:p>
    <w:p w:rsidR="002B0864" w:rsidP="00385C15" w:rsidRDefault="002B0864" w14:paraId="18EAEB94" w14:textId="77777777">
      <w:pPr>
        <w:jc w:val="center"/>
        <w:rPr>
          <w:rFonts w:ascii="Book Antiqua" w:hAnsi="Book Antiqua"/>
        </w:rPr>
        <w:sectPr w:rsidR="002B0864" w:rsidSect="002B0864">
          <w:footerReference w:type="default" r:id="rId36"/>
          <w:footnotePr>
            <w:numRestart w:val="eachSect"/>
          </w:footnotePr>
          <w:pgSz w:w="12240" w:h="15840" w:code="1"/>
          <w:pgMar w:top="1152" w:right="1440" w:bottom="1440" w:left="1440" w:header="720" w:footer="720" w:gutter="0"/>
          <w:pgNumType w:start="1"/>
          <w:cols w:space="720"/>
        </w:sectPr>
      </w:pPr>
    </w:p>
    <w:p w:rsidRPr="002E4891" w:rsidR="00385C15" w:rsidP="00385C15" w:rsidRDefault="00385C15" w14:paraId="075C4A10" w14:textId="77777777">
      <w:pPr>
        <w:spacing w:after="120"/>
        <w:jc w:val="center"/>
        <w:rPr>
          <w:rFonts w:ascii="Book Antiqua" w:hAnsi="Book Antiqua"/>
          <w:b/>
        </w:rPr>
      </w:pPr>
      <w:r w:rsidRPr="002E4891">
        <w:rPr>
          <w:rFonts w:ascii="Book Antiqua" w:hAnsi="Book Antiqua"/>
          <w:b/>
        </w:rPr>
        <w:lastRenderedPageBreak/>
        <w:t>ATTACHMENT C</w:t>
      </w:r>
    </w:p>
    <w:p w:rsidRPr="002E4891" w:rsidR="00385C15" w:rsidP="00385C15" w:rsidRDefault="00385C15" w14:paraId="7A91EB40" w14:textId="77777777">
      <w:pPr>
        <w:spacing w:after="120"/>
        <w:jc w:val="center"/>
        <w:rPr>
          <w:rFonts w:ascii="Book Antiqua" w:hAnsi="Book Antiqua"/>
          <w:b/>
        </w:rPr>
      </w:pPr>
      <w:r w:rsidRPr="002E4891">
        <w:rPr>
          <w:rFonts w:ascii="Book Antiqua" w:hAnsi="Book Antiqua"/>
          <w:b/>
        </w:rPr>
        <w:t>ANNUAL REPORT</w:t>
      </w:r>
    </w:p>
    <w:p w:rsidRPr="001E4C8E" w:rsidR="00385C15" w:rsidP="00385C15" w:rsidRDefault="00385C15" w14:paraId="4AFAF33B" w14:textId="77777777">
      <w:pPr>
        <w:rPr>
          <w:rFonts w:ascii="Book Antiqua" w:hAnsi="Book Antiqua"/>
        </w:rPr>
      </w:pPr>
      <w:bookmarkStart w:name="_Hlk132964875" w:id="80"/>
      <w:r w:rsidRPr="001E4C8E">
        <w:rPr>
          <w:rFonts w:ascii="Book Antiqua" w:hAnsi="Book Antiqua"/>
        </w:rPr>
        <w:t xml:space="preserve">In addition to the annual reports requirement pursuant to General Order 104-A, submit the following information electronically via email to </w:t>
      </w:r>
      <w:hyperlink w:history="1" r:id="rId37">
        <w:r w:rsidRPr="001E4C8E">
          <w:rPr>
            <w:rStyle w:val="Hyperlink"/>
            <w:rFonts w:ascii="Book Antiqua" w:hAnsi="Book Antiqua"/>
          </w:rPr>
          <w:t>cdcompliance@cpuc.ca.gov</w:t>
        </w:r>
      </w:hyperlink>
      <w:r w:rsidRPr="001E4C8E">
        <w:rPr>
          <w:rFonts w:ascii="Book Antiqua" w:hAnsi="Book Antiqua"/>
        </w:rPr>
        <w:t xml:space="preserve"> no later than March 31 of the year following the calendar year for which the annual report is submitted.</w:t>
      </w:r>
    </w:p>
    <w:bookmarkEnd w:id="80"/>
    <w:p w:rsidRPr="001E4C8E" w:rsidR="00385C15" w:rsidP="00385C15" w:rsidRDefault="00385C15" w14:paraId="1851F760" w14:textId="77777777">
      <w:pPr>
        <w:rPr>
          <w:rFonts w:ascii="Book Antiqua" w:hAnsi="Book Antiqua"/>
        </w:rPr>
      </w:pPr>
    </w:p>
    <w:p w:rsidRPr="001E4C8E" w:rsidR="00385C15" w:rsidP="00385C15" w:rsidRDefault="00385C15" w14:paraId="1B8BE8A8" w14:textId="77777777">
      <w:pPr>
        <w:rPr>
          <w:rFonts w:ascii="Book Antiqua" w:hAnsi="Book Antiqua"/>
        </w:rPr>
      </w:pPr>
      <w:r w:rsidRPr="001E4C8E">
        <w:rPr>
          <w:rFonts w:ascii="Book Antiqua" w:hAnsi="Book Antiqua"/>
        </w:rPr>
        <w:t xml:space="preserve">Failure to submit this information on time may result in a penalty as provided for in Pub. Util. Code </w:t>
      </w:r>
      <w:r w:rsidR="002F4769">
        <w:rPr>
          <w:rFonts w:ascii="Book Antiqua" w:hAnsi="Book Antiqua"/>
        </w:rPr>
        <w:t>S</w:t>
      </w:r>
      <w:r w:rsidRPr="001E4C8E" w:rsidR="00705C06">
        <w:rPr>
          <w:rFonts w:ascii="Book Antiqua" w:hAnsi="Book Antiqua"/>
        </w:rPr>
        <w:t>ections</w:t>
      </w:r>
      <w:r w:rsidRPr="001E4C8E">
        <w:rPr>
          <w:rFonts w:ascii="Book Antiqua" w:hAnsi="Book Antiqua"/>
        </w:rPr>
        <w:t xml:space="preserve"> 2107 and 2108.</w:t>
      </w:r>
    </w:p>
    <w:p w:rsidRPr="001E4C8E" w:rsidR="00385C15" w:rsidP="00385C15" w:rsidRDefault="00385C15" w14:paraId="61693325" w14:textId="77777777">
      <w:pPr>
        <w:rPr>
          <w:rFonts w:ascii="Book Antiqua" w:hAnsi="Book Antiqua"/>
        </w:rPr>
      </w:pPr>
    </w:p>
    <w:p w:rsidRPr="001E4C8E" w:rsidR="00385C15" w:rsidP="002B0864" w:rsidRDefault="00385C15" w14:paraId="1BDC0289" w14:textId="77777777">
      <w:pPr>
        <w:spacing w:after="120"/>
        <w:rPr>
          <w:rFonts w:ascii="Book Antiqua" w:hAnsi="Book Antiqua"/>
        </w:rPr>
      </w:pPr>
      <w:r w:rsidRPr="001E4C8E">
        <w:rPr>
          <w:rFonts w:ascii="Book Antiqua" w:hAnsi="Book Antiqua"/>
        </w:rPr>
        <w:t>Required information:</w:t>
      </w:r>
    </w:p>
    <w:p w:rsidRPr="001E4C8E" w:rsidR="00385C15" w:rsidP="002B0864" w:rsidRDefault="00385C15" w14:paraId="625A116B" w14:textId="77777777">
      <w:pPr>
        <w:pStyle w:val="num1"/>
        <w:numPr>
          <w:ilvl w:val="0"/>
          <w:numId w:val="3"/>
        </w:numPr>
        <w:spacing w:after="120" w:line="240" w:lineRule="auto"/>
        <w:ind w:left="720" w:hanging="360"/>
        <w:rPr>
          <w:rFonts w:ascii="Book Antiqua" w:hAnsi="Book Antiqua"/>
        </w:rPr>
      </w:pPr>
      <w:r w:rsidRPr="001E4C8E">
        <w:rPr>
          <w:rFonts w:ascii="Book Antiqua" w:hAnsi="Book Antiqua"/>
        </w:rPr>
        <w:t>Exact legal name and U</w:t>
      </w:r>
      <w:r w:rsidR="00304DFC">
        <w:rPr>
          <w:rFonts w:ascii="Book Antiqua" w:hAnsi="Book Antiqua"/>
        </w:rPr>
        <w:t>tility ID number</w:t>
      </w:r>
      <w:r w:rsidRPr="001E4C8E">
        <w:rPr>
          <w:rFonts w:ascii="Book Antiqua" w:hAnsi="Book Antiqua"/>
        </w:rPr>
        <w:t xml:space="preserve"> of the reporting utility.</w:t>
      </w:r>
    </w:p>
    <w:p w:rsidRPr="001E4C8E" w:rsidR="00385C15" w:rsidP="002B0864" w:rsidRDefault="00385C15" w14:paraId="345B12EF" w14:textId="77777777">
      <w:pPr>
        <w:pStyle w:val="num1"/>
        <w:numPr>
          <w:ilvl w:val="0"/>
          <w:numId w:val="3"/>
        </w:numPr>
        <w:spacing w:after="120" w:line="240" w:lineRule="auto"/>
        <w:ind w:left="720" w:hanging="360"/>
        <w:rPr>
          <w:rFonts w:ascii="Book Antiqua" w:hAnsi="Book Antiqua"/>
        </w:rPr>
      </w:pPr>
      <w:r w:rsidRPr="001E4C8E">
        <w:rPr>
          <w:rFonts w:ascii="Book Antiqua" w:hAnsi="Book Antiqua"/>
        </w:rPr>
        <w:t>Address</w:t>
      </w:r>
      <w:r w:rsidR="00304DFC">
        <w:rPr>
          <w:rFonts w:ascii="Book Antiqua" w:hAnsi="Book Antiqua"/>
        </w:rPr>
        <w:t xml:space="preserve"> of the reporting utility</w:t>
      </w:r>
      <w:r w:rsidRPr="001E4C8E">
        <w:rPr>
          <w:rFonts w:ascii="Book Antiqua" w:hAnsi="Book Antiqua"/>
        </w:rPr>
        <w:t>.</w:t>
      </w:r>
    </w:p>
    <w:p w:rsidRPr="001E4C8E" w:rsidR="00385C15" w:rsidP="002B0864" w:rsidRDefault="00385C15" w14:paraId="24F2253B" w14:textId="77777777">
      <w:pPr>
        <w:pStyle w:val="num1"/>
        <w:numPr>
          <w:ilvl w:val="0"/>
          <w:numId w:val="3"/>
        </w:numPr>
        <w:spacing w:after="120" w:line="240" w:lineRule="auto"/>
        <w:ind w:left="720" w:hanging="360"/>
        <w:rPr>
          <w:rFonts w:ascii="Book Antiqua" w:hAnsi="Book Antiqua"/>
        </w:rPr>
      </w:pPr>
      <w:r w:rsidRPr="001E4C8E">
        <w:rPr>
          <w:rFonts w:ascii="Book Antiqua" w:hAnsi="Book Antiqua"/>
        </w:rPr>
        <w:t>Name, title, address, and telephone number of the person to be contacted concerning the reported information.</w:t>
      </w:r>
    </w:p>
    <w:p w:rsidRPr="001E4C8E" w:rsidR="00385C15" w:rsidP="002B0864" w:rsidRDefault="00385C15" w14:paraId="788B0A11" w14:textId="77777777">
      <w:pPr>
        <w:pStyle w:val="num1"/>
        <w:numPr>
          <w:ilvl w:val="0"/>
          <w:numId w:val="3"/>
        </w:numPr>
        <w:spacing w:after="120" w:line="240" w:lineRule="auto"/>
        <w:ind w:left="720" w:hanging="360"/>
        <w:rPr>
          <w:rFonts w:ascii="Book Antiqua" w:hAnsi="Book Antiqua"/>
        </w:rPr>
      </w:pPr>
      <w:r w:rsidRPr="001E4C8E">
        <w:rPr>
          <w:rFonts w:ascii="Book Antiqua" w:hAnsi="Book Antiqua"/>
        </w:rPr>
        <w:t>Name and title of the officer having custody of the general books of account and the address of the office where such books are kept.</w:t>
      </w:r>
    </w:p>
    <w:p w:rsidRPr="001E4C8E" w:rsidR="00385C15" w:rsidP="002B0864" w:rsidRDefault="00385C15" w14:paraId="090E32E1" w14:textId="77777777">
      <w:pPr>
        <w:pStyle w:val="num1"/>
        <w:numPr>
          <w:ilvl w:val="0"/>
          <w:numId w:val="3"/>
        </w:numPr>
        <w:spacing w:after="120" w:line="240" w:lineRule="auto"/>
        <w:ind w:left="720" w:hanging="360"/>
        <w:rPr>
          <w:rFonts w:ascii="Book Antiqua" w:hAnsi="Book Antiqua"/>
        </w:rPr>
      </w:pPr>
      <w:r w:rsidRPr="001E4C8E">
        <w:rPr>
          <w:rFonts w:ascii="Book Antiqua" w:hAnsi="Book Antiqua"/>
        </w:rPr>
        <w:t>Type of organization (</w:t>
      </w:r>
      <w:r w:rsidRPr="001E4C8E">
        <w:rPr>
          <w:rFonts w:ascii="Book Antiqua" w:hAnsi="Book Antiqua"/>
          <w:i/>
          <w:iCs/>
        </w:rPr>
        <w:t>e.g</w:t>
      </w:r>
      <w:r w:rsidRPr="001E4C8E">
        <w:rPr>
          <w:rFonts w:ascii="Book Antiqua" w:hAnsi="Book Antiqua"/>
        </w:rPr>
        <w:t>., corporation, partnership, sole proprietorship, etc.).</w:t>
      </w:r>
    </w:p>
    <w:p w:rsidRPr="001E4C8E" w:rsidR="00385C15" w:rsidP="00385C15" w:rsidRDefault="00385C15" w14:paraId="00C2893B" w14:textId="77777777">
      <w:pPr>
        <w:suppressAutoHyphens/>
        <w:spacing w:after="60"/>
        <w:ind w:left="1800" w:hanging="1080"/>
        <w:rPr>
          <w:rFonts w:ascii="Book Antiqua" w:hAnsi="Book Antiqua"/>
        </w:rPr>
      </w:pPr>
      <w:r w:rsidRPr="001E4C8E">
        <w:rPr>
          <w:rFonts w:ascii="Book Antiqua" w:hAnsi="Book Antiqua"/>
        </w:rPr>
        <w:t>If incorporated, specify:</w:t>
      </w:r>
    </w:p>
    <w:p w:rsidRPr="001E4C8E" w:rsidR="00385C15" w:rsidP="002B0864" w:rsidRDefault="00385C15" w14:paraId="42174558" w14:textId="77777777">
      <w:pPr>
        <w:spacing w:after="60"/>
        <w:ind w:left="1224" w:hanging="360"/>
        <w:rPr>
          <w:rFonts w:ascii="Book Antiqua" w:hAnsi="Book Antiqua"/>
        </w:rPr>
      </w:pPr>
      <w:r w:rsidRPr="001E4C8E">
        <w:rPr>
          <w:rFonts w:ascii="Book Antiqua" w:hAnsi="Book Antiqua"/>
        </w:rPr>
        <w:t>a.</w:t>
      </w:r>
      <w:r w:rsidRPr="001E4C8E">
        <w:rPr>
          <w:rFonts w:ascii="Book Antiqua" w:hAnsi="Book Antiqua"/>
        </w:rPr>
        <w:tab/>
        <w:t>Date of filing articles of incorporation with the Secretary of State.</w:t>
      </w:r>
    </w:p>
    <w:p w:rsidRPr="001E4C8E" w:rsidR="00385C15" w:rsidP="002B0864" w:rsidRDefault="00385C15" w14:paraId="11CC218E" w14:textId="77777777">
      <w:pPr>
        <w:spacing w:after="60"/>
        <w:ind w:left="1224" w:hanging="360"/>
        <w:rPr>
          <w:rFonts w:ascii="Book Antiqua" w:hAnsi="Book Antiqua"/>
        </w:rPr>
      </w:pPr>
      <w:r w:rsidRPr="001E4C8E">
        <w:rPr>
          <w:rFonts w:ascii="Book Antiqua" w:hAnsi="Book Antiqua"/>
        </w:rPr>
        <w:t>b.</w:t>
      </w:r>
      <w:r w:rsidRPr="001E4C8E">
        <w:rPr>
          <w:rFonts w:ascii="Book Antiqua" w:hAnsi="Book Antiqua"/>
        </w:rPr>
        <w:tab/>
        <w:t>State in which incorporated.</w:t>
      </w:r>
    </w:p>
    <w:p w:rsidRPr="001E4C8E" w:rsidR="00385C15" w:rsidP="002B0864" w:rsidRDefault="00385C15" w14:paraId="5F3008B2" w14:textId="77777777">
      <w:pPr>
        <w:pStyle w:val="num1"/>
        <w:numPr>
          <w:ilvl w:val="0"/>
          <w:numId w:val="3"/>
        </w:numPr>
        <w:spacing w:after="120" w:line="240" w:lineRule="auto"/>
        <w:ind w:left="720" w:hanging="360"/>
        <w:rPr>
          <w:rFonts w:ascii="Book Antiqua" w:hAnsi="Book Antiqua"/>
        </w:rPr>
      </w:pPr>
      <w:r w:rsidRPr="001E4C8E">
        <w:rPr>
          <w:rFonts w:ascii="Book Antiqua" w:hAnsi="Book Antiqua"/>
        </w:rPr>
        <w:t>Number and date of the Commission decision granting the Certificate of Public Convenience and Necessity.</w:t>
      </w:r>
    </w:p>
    <w:p w:rsidRPr="001E4C8E" w:rsidR="00385C15" w:rsidP="002B0864" w:rsidRDefault="00385C15" w14:paraId="50CA72C6" w14:textId="77777777">
      <w:pPr>
        <w:pStyle w:val="num1"/>
        <w:numPr>
          <w:ilvl w:val="0"/>
          <w:numId w:val="3"/>
        </w:numPr>
        <w:spacing w:after="120" w:line="240" w:lineRule="auto"/>
        <w:ind w:left="720" w:hanging="360"/>
        <w:rPr>
          <w:rFonts w:ascii="Book Antiqua" w:hAnsi="Book Antiqua"/>
        </w:rPr>
      </w:pPr>
      <w:r w:rsidRPr="001E4C8E">
        <w:rPr>
          <w:rFonts w:ascii="Book Antiqua" w:hAnsi="Book Antiqua"/>
        </w:rPr>
        <w:t>Date operations were begun.</w:t>
      </w:r>
    </w:p>
    <w:p w:rsidRPr="001E4C8E" w:rsidR="00385C15" w:rsidP="002B0864" w:rsidRDefault="00385C15" w14:paraId="01A1F52B" w14:textId="77777777">
      <w:pPr>
        <w:pStyle w:val="num1"/>
        <w:numPr>
          <w:ilvl w:val="0"/>
          <w:numId w:val="3"/>
        </w:numPr>
        <w:spacing w:after="120" w:line="240" w:lineRule="auto"/>
        <w:ind w:left="720" w:hanging="360"/>
        <w:rPr>
          <w:rFonts w:ascii="Book Antiqua" w:hAnsi="Book Antiqua"/>
        </w:rPr>
      </w:pPr>
      <w:r w:rsidRPr="001E4C8E">
        <w:rPr>
          <w:rFonts w:ascii="Book Antiqua" w:hAnsi="Book Antiqua"/>
        </w:rPr>
        <w:t>Description of other business activities in which the utility is engaged.</w:t>
      </w:r>
    </w:p>
    <w:p w:rsidRPr="001E4C8E" w:rsidR="00385C15" w:rsidP="002B0864" w:rsidRDefault="00385C15" w14:paraId="3D4720ED" w14:textId="77777777">
      <w:pPr>
        <w:pStyle w:val="num1"/>
        <w:numPr>
          <w:ilvl w:val="0"/>
          <w:numId w:val="3"/>
        </w:numPr>
        <w:spacing w:after="120" w:line="240" w:lineRule="auto"/>
        <w:ind w:left="720" w:hanging="360"/>
        <w:rPr>
          <w:rFonts w:ascii="Book Antiqua" w:hAnsi="Book Antiqua"/>
        </w:rPr>
      </w:pPr>
      <w:r w:rsidRPr="001E4C8E">
        <w:rPr>
          <w:rFonts w:ascii="Book Antiqua" w:hAnsi="Book Antiqua"/>
        </w:rPr>
        <w:t>List of all affiliated companies and their relationship to the utility.  State if affiliate is a:</w:t>
      </w:r>
    </w:p>
    <w:p w:rsidRPr="001E4C8E" w:rsidR="00385C15" w:rsidP="002B0864" w:rsidRDefault="00385C15" w14:paraId="6CC707AD" w14:textId="77777777">
      <w:pPr>
        <w:spacing w:after="60"/>
        <w:ind w:left="1224" w:hanging="360"/>
        <w:rPr>
          <w:rFonts w:ascii="Book Antiqua" w:hAnsi="Book Antiqua"/>
        </w:rPr>
      </w:pPr>
      <w:r w:rsidRPr="001E4C8E">
        <w:rPr>
          <w:rFonts w:ascii="Book Antiqua" w:hAnsi="Book Antiqua"/>
        </w:rPr>
        <w:t>a.</w:t>
      </w:r>
      <w:r w:rsidRPr="001E4C8E">
        <w:rPr>
          <w:rFonts w:ascii="Book Antiqua" w:hAnsi="Book Antiqua"/>
        </w:rPr>
        <w:tab/>
        <w:t>Regulated public utility.</w:t>
      </w:r>
    </w:p>
    <w:p w:rsidRPr="001E4C8E" w:rsidR="00385C15" w:rsidP="002B0864" w:rsidRDefault="00385C15" w14:paraId="2A7E6C83" w14:textId="77777777">
      <w:pPr>
        <w:spacing w:after="60"/>
        <w:ind w:left="1224" w:hanging="360"/>
        <w:rPr>
          <w:rFonts w:ascii="Book Antiqua" w:hAnsi="Book Antiqua"/>
        </w:rPr>
      </w:pPr>
      <w:r w:rsidRPr="001E4C8E">
        <w:rPr>
          <w:rFonts w:ascii="Book Antiqua" w:hAnsi="Book Antiqua"/>
        </w:rPr>
        <w:t>b.</w:t>
      </w:r>
      <w:r w:rsidRPr="001E4C8E">
        <w:rPr>
          <w:rFonts w:ascii="Book Antiqua" w:hAnsi="Book Antiqua"/>
        </w:rPr>
        <w:tab/>
        <w:t>Publicly held corporation.</w:t>
      </w:r>
    </w:p>
    <w:p w:rsidRPr="001E4C8E" w:rsidR="00385C15" w:rsidP="002B0864" w:rsidRDefault="00385C15" w14:paraId="4F15B063" w14:textId="77777777">
      <w:pPr>
        <w:pStyle w:val="num1"/>
        <w:numPr>
          <w:ilvl w:val="0"/>
          <w:numId w:val="3"/>
        </w:numPr>
        <w:spacing w:after="120" w:line="240" w:lineRule="auto"/>
        <w:ind w:left="720" w:hanging="450"/>
        <w:rPr>
          <w:rFonts w:ascii="Book Antiqua" w:hAnsi="Book Antiqua"/>
        </w:rPr>
      </w:pPr>
      <w:r w:rsidRPr="001E4C8E">
        <w:rPr>
          <w:rFonts w:ascii="Book Antiqua" w:hAnsi="Book Antiqua"/>
        </w:rPr>
        <w:t>Balance sheet as of December 31st of the year for which information is submitted.</w:t>
      </w:r>
    </w:p>
    <w:p w:rsidRPr="001E4C8E" w:rsidR="00385C15" w:rsidP="002B0864" w:rsidRDefault="00385C15" w14:paraId="0E1C94CB" w14:textId="77777777">
      <w:pPr>
        <w:pStyle w:val="num1"/>
        <w:numPr>
          <w:ilvl w:val="0"/>
          <w:numId w:val="3"/>
        </w:numPr>
        <w:spacing w:after="120" w:line="240" w:lineRule="auto"/>
        <w:ind w:left="720" w:hanging="450"/>
        <w:rPr>
          <w:rFonts w:ascii="Book Antiqua" w:hAnsi="Book Antiqua"/>
        </w:rPr>
      </w:pPr>
      <w:r w:rsidRPr="001E4C8E">
        <w:rPr>
          <w:rFonts w:ascii="Book Antiqua" w:hAnsi="Book Antiqua"/>
        </w:rPr>
        <w:t>Income statement for California operations for the calendar year for which information is submitted.</w:t>
      </w:r>
    </w:p>
    <w:p w:rsidR="00385C15" w:rsidP="002B0864" w:rsidRDefault="00385C15" w14:paraId="7984E684" w14:textId="77777777">
      <w:pPr>
        <w:pStyle w:val="num1"/>
        <w:numPr>
          <w:ilvl w:val="0"/>
          <w:numId w:val="3"/>
        </w:numPr>
        <w:spacing w:line="240" w:lineRule="auto"/>
        <w:ind w:left="720" w:hanging="446"/>
        <w:rPr>
          <w:rFonts w:ascii="Book Antiqua" w:hAnsi="Book Antiqua"/>
        </w:rPr>
      </w:pPr>
      <w:r w:rsidRPr="001E4C8E">
        <w:rPr>
          <w:rFonts w:ascii="Book Antiqua" w:hAnsi="Book Antiqua"/>
        </w:rPr>
        <w:lastRenderedPageBreak/>
        <w:t>Cash Flow statement as of December 31 of the calendar year for which information is submitted, for California operations only.</w:t>
      </w:r>
    </w:p>
    <w:p w:rsidRPr="001E4C8E" w:rsidR="002B0864" w:rsidP="002B0864" w:rsidRDefault="002B0864" w14:paraId="7A8C4DAF" w14:textId="77777777">
      <w:pPr>
        <w:pStyle w:val="num1"/>
        <w:spacing w:line="240" w:lineRule="auto"/>
        <w:ind w:left="720" w:firstLine="0"/>
        <w:rPr>
          <w:rFonts w:ascii="Book Antiqua" w:hAnsi="Book Antiqua"/>
        </w:rPr>
      </w:pPr>
    </w:p>
    <w:p w:rsidRPr="001E4C8E" w:rsidR="00385C15" w:rsidP="00385C15" w:rsidRDefault="00293E54" w14:paraId="738D3CF7" w14:textId="77777777">
      <w:pPr>
        <w:spacing w:before="40" w:after="80"/>
        <w:rPr>
          <w:rFonts w:ascii="Book Antiqua" w:hAnsi="Book Antiqua"/>
        </w:rPr>
      </w:pPr>
      <w:bookmarkStart w:name="_Hlk132964781" w:id="81"/>
      <w:r w:rsidRPr="001E4C8E">
        <w:rPr>
          <w:rFonts w:ascii="Book Antiqua" w:hAnsi="Book Antiqua"/>
        </w:rPr>
        <w:t xml:space="preserve">Additional information about the reporting requirements is available at </w:t>
      </w:r>
      <w:hyperlink w:history="1" r:id="rId38">
        <w:r w:rsidRPr="001E4C8E">
          <w:rPr>
            <w:rStyle w:val="Hyperlink"/>
            <w:rFonts w:ascii="Book Antiqua" w:hAnsi="Book Antiqua"/>
          </w:rPr>
          <w:t>https://www.cpuc.ca.gov/industries-and-topics/internet-and-phone/carrier-reporting-requirements/annual-report-forms</w:t>
        </w:r>
      </w:hyperlink>
      <w:r w:rsidRPr="001E4C8E">
        <w:rPr>
          <w:rFonts w:ascii="Book Antiqua" w:hAnsi="Book Antiqua"/>
        </w:rPr>
        <w:t xml:space="preserve">. </w:t>
      </w:r>
      <w:bookmarkEnd w:id="81"/>
      <w:r w:rsidRPr="001E4C8E" w:rsidR="00385C15">
        <w:rPr>
          <w:rFonts w:ascii="Book Antiqua" w:hAnsi="Book Antiqua"/>
        </w:rPr>
        <w:t xml:space="preserve">For any questions concerning this report, please send an email to </w:t>
      </w:r>
      <w:hyperlink w:history="1" r:id="rId39">
        <w:r w:rsidRPr="001E4C8E" w:rsidR="00466E0E">
          <w:rPr>
            <w:rStyle w:val="Hyperlink"/>
            <w:rFonts w:ascii="Book Antiqua" w:hAnsi="Book Antiqua"/>
          </w:rPr>
          <w:t>cdcompliance@cpuca.ca.gov</w:t>
        </w:r>
      </w:hyperlink>
      <w:r w:rsidRPr="001E4C8E" w:rsidR="00385C15">
        <w:rPr>
          <w:rFonts w:ascii="Book Antiqua" w:hAnsi="Book Antiqua"/>
        </w:rPr>
        <w:t xml:space="preserve"> with a subject line that includes: “CD Annual Reports.”</w:t>
      </w:r>
    </w:p>
    <w:p w:rsidRPr="002E4891" w:rsidR="00385C15" w:rsidP="002B0864" w:rsidRDefault="00385C15" w14:paraId="0C68BC74" w14:textId="77777777">
      <w:pPr>
        <w:rPr>
          <w:rFonts w:ascii="Book Antiqua" w:hAnsi="Book Antiqua"/>
        </w:rPr>
      </w:pPr>
    </w:p>
    <w:p w:rsidRPr="002E4891" w:rsidR="00385C15" w:rsidP="002B0864" w:rsidRDefault="00385C15" w14:paraId="29127733" w14:textId="77777777">
      <w:pPr>
        <w:rPr>
          <w:rFonts w:ascii="Book Antiqua" w:hAnsi="Book Antiqua"/>
        </w:rPr>
      </w:pPr>
    </w:p>
    <w:p w:rsidRPr="002E4891" w:rsidR="00385C15" w:rsidP="002B0864" w:rsidRDefault="00385C15" w14:paraId="447396D3" w14:textId="77777777">
      <w:pPr>
        <w:jc w:val="center"/>
        <w:rPr>
          <w:rFonts w:ascii="Book Antiqua" w:hAnsi="Book Antiqua"/>
        </w:rPr>
      </w:pPr>
      <w:r w:rsidRPr="002E4891">
        <w:rPr>
          <w:rFonts w:ascii="Book Antiqua" w:hAnsi="Book Antiqua"/>
          <w:b/>
        </w:rPr>
        <w:t>(END OF ATTACHMENT C)</w:t>
      </w:r>
    </w:p>
    <w:p w:rsidR="002B0864" w:rsidP="002B0864" w:rsidRDefault="002B0864" w14:paraId="216DF871" w14:textId="77777777">
      <w:pPr>
        <w:jc w:val="center"/>
        <w:rPr>
          <w:rFonts w:ascii="Book Antiqua" w:hAnsi="Book Antiqua"/>
        </w:rPr>
        <w:sectPr w:rsidR="002B0864" w:rsidSect="002B0864">
          <w:footerReference w:type="default" r:id="rId40"/>
          <w:footnotePr>
            <w:numRestart w:val="eachSect"/>
          </w:footnotePr>
          <w:pgSz w:w="12240" w:h="15840" w:code="1"/>
          <w:pgMar w:top="1152" w:right="1440" w:bottom="1440" w:left="1440" w:header="720" w:footer="720" w:gutter="0"/>
          <w:pgNumType w:start="1"/>
          <w:cols w:space="720"/>
        </w:sectPr>
      </w:pPr>
    </w:p>
    <w:p w:rsidRPr="0041336B" w:rsidR="00385C15" w:rsidP="00385C15" w:rsidRDefault="00385C15" w14:paraId="12E0CE16" w14:textId="77777777">
      <w:pPr>
        <w:jc w:val="center"/>
        <w:rPr>
          <w:rFonts w:ascii="Book Antiqua" w:hAnsi="Book Antiqua"/>
          <w:szCs w:val="26"/>
        </w:rPr>
      </w:pPr>
    </w:p>
    <w:p w:rsidRPr="0041336B" w:rsidR="0041336B" w:rsidP="00385C15" w:rsidRDefault="0041336B" w14:paraId="554EDCF6" w14:textId="77777777">
      <w:pPr>
        <w:jc w:val="center"/>
        <w:rPr>
          <w:rFonts w:ascii="Book Antiqua" w:hAnsi="Book Antiqua"/>
          <w:szCs w:val="26"/>
        </w:rPr>
      </w:pPr>
    </w:p>
    <w:p w:rsidR="002B0864" w:rsidP="002B0864" w:rsidRDefault="00385C15" w14:paraId="4D7FA155" w14:textId="77777777">
      <w:pPr>
        <w:jc w:val="center"/>
        <w:rPr>
          <w:rFonts w:ascii="Book Antiqua" w:hAnsi="Book Antiqua"/>
          <w:b/>
          <w:szCs w:val="26"/>
        </w:rPr>
        <w:sectPr w:rsidR="002B0864" w:rsidSect="002B0864">
          <w:footerReference w:type="default" r:id="rId41"/>
          <w:footnotePr>
            <w:numRestart w:val="eachSect"/>
          </w:footnotePr>
          <w:pgSz w:w="12240" w:h="15840" w:code="1"/>
          <w:pgMar w:top="1152" w:right="1440" w:bottom="1440" w:left="1440" w:header="720" w:footer="720" w:gutter="0"/>
          <w:pgNumType w:start="1"/>
          <w:cols w:space="720"/>
        </w:sectPr>
      </w:pPr>
      <w:r w:rsidRPr="0041336B">
        <w:rPr>
          <w:rFonts w:ascii="Book Antiqua" w:hAnsi="Book Antiqua"/>
          <w:b/>
          <w:szCs w:val="26"/>
        </w:rPr>
        <w:t>ATTACHMENT D</w:t>
      </w:r>
    </w:p>
    <w:p w:rsidRPr="002E4891" w:rsidR="00385C15" w:rsidP="00385C15" w:rsidRDefault="00385C15" w14:paraId="345D1D29" w14:textId="77777777">
      <w:pPr>
        <w:spacing w:after="120"/>
        <w:jc w:val="center"/>
        <w:rPr>
          <w:rFonts w:ascii="Book Antiqua" w:hAnsi="Book Antiqua"/>
          <w:b/>
        </w:rPr>
      </w:pPr>
      <w:r w:rsidRPr="002E4891">
        <w:rPr>
          <w:rFonts w:ascii="Book Antiqua" w:hAnsi="Book Antiqua"/>
          <w:b/>
        </w:rPr>
        <w:lastRenderedPageBreak/>
        <w:t>ATTACHMENT D</w:t>
      </w:r>
    </w:p>
    <w:p w:rsidR="001E4C8E" w:rsidP="00385C15" w:rsidRDefault="00385C15" w14:paraId="73347B38" w14:textId="77777777">
      <w:pPr>
        <w:spacing w:after="120"/>
        <w:jc w:val="center"/>
        <w:rPr>
          <w:rFonts w:ascii="Book Antiqua" w:hAnsi="Book Antiqua"/>
          <w:b/>
        </w:rPr>
      </w:pPr>
      <w:r w:rsidRPr="002E4891">
        <w:rPr>
          <w:rFonts w:ascii="Book Antiqua" w:hAnsi="Book Antiqua"/>
          <w:b/>
        </w:rPr>
        <w:t>CALENDAR YEAR AFFILIATE TRANSACTION REPORT</w:t>
      </w:r>
    </w:p>
    <w:p w:rsidR="00385C15" w:rsidP="001E4C8E" w:rsidRDefault="00385C15" w14:paraId="3F67FE91" w14:textId="77777777">
      <w:pPr>
        <w:rPr>
          <w:rFonts w:ascii="Book Antiqua" w:hAnsi="Book Antiqua"/>
        </w:rPr>
      </w:pPr>
      <w:r w:rsidRPr="001E4C8E">
        <w:rPr>
          <w:rFonts w:ascii="Book Antiqua" w:hAnsi="Book Antiqua"/>
        </w:rPr>
        <w:t>Submit the following information electronically</w:t>
      </w:r>
      <w:r w:rsidRPr="001E4C8E" w:rsidR="00085FDB">
        <w:rPr>
          <w:rFonts w:ascii="Book Antiqua" w:hAnsi="Book Antiqua"/>
        </w:rPr>
        <w:t xml:space="preserve"> using the Annual Affiliate Transaction Report Form</w:t>
      </w:r>
      <w:r w:rsidR="00F62269">
        <w:rPr>
          <w:rFonts w:ascii="Book Antiqua" w:hAnsi="Book Antiqua"/>
        </w:rPr>
        <w:t xml:space="preserve"> </w:t>
      </w:r>
      <w:r w:rsidRPr="00304DFC" w:rsidR="00085FDB">
        <w:rPr>
          <w:vertAlign w:val="superscript"/>
        </w:rPr>
        <w:footnoteReference w:id="23"/>
      </w:r>
      <w:r w:rsidRPr="001E4C8E">
        <w:rPr>
          <w:rFonts w:ascii="Book Antiqua" w:hAnsi="Book Antiqua"/>
        </w:rPr>
        <w:t xml:space="preserve"> via e</w:t>
      </w:r>
      <w:r w:rsidRPr="001E4C8E" w:rsidR="000B701D">
        <w:rPr>
          <w:rFonts w:ascii="Book Antiqua" w:hAnsi="Book Antiqua"/>
        </w:rPr>
        <w:t>-</w:t>
      </w:r>
      <w:r w:rsidRPr="001E4C8E">
        <w:rPr>
          <w:rFonts w:ascii="Book Antiqua" w:hAnsi="Book Antiqua"/>
        </w:rPr>
        <w:t xml:space="preserve">mail to </w:t>
      </w:r>
      <w:hyperlink w:history="1" r:id="rId42">
        <w:r w:rsidRPr="006273D1" w:rsidR="001E4C8E">
          <w:rPr>
            <w:rStyle w:val="Hyperlink"/>
          </w:rPr>
          <w:t>cdcompliance@cpuc.ca.gov</w:t>
        </w:r>
      </w:hyperlink>
      <w:r w:rsidR="001E4C8E">
        <w:t xml:space="preserve"> </w:t>
      </w:r>
      <w:r w:rsidRPr="001E4C8E">
        <w:rPr>
          <w:rFonts w:ascii="Book Antiqua" w:hAnsi="Book Antiqua"/>
        </w:rPr>
        <w:t>no later than May 1 of the year following the calendar year for which the annual affiliate transaction report is submitted.</w:t>
      </w:r>
    </w:p>
    <w:p w:rsidR="00304DFC" w:rsidP="001E4C8E" w:rsidRDefault="00304DFC" w14:paraId="139DD7D2" w14:textId="77777777">
      <w:pPr>
        <w:rPr>
          <w:rFonts w:ascii="Book Antiqua" w:hAnsi="Book Antiqua"/>
        </w:rPr>
      </w:pPr>
    </w:p>
    <w:p w:rsidRPr="00304DFC" w:rsidR="00385C15" w:rsidP="00A12A67" w:rsidRDefault="00385C15" w14:paraId="296D5048" w14:textId="77777777">
      <w:pPr>
        <w:pStyle w:val="num1"/>
        <w:numPr>
          <w:ilvl w:val="3"/>
          <w:numId w:val="6"/>
        </w:numPr>
        <w:tabs>
          <w:tab w:val="clear" w:pos="2880"/>
        </w:tabs>
        <w:spacing w:after="120" w:line="240" w:lineRule="auto"/>
        <w:ind w:left="360"/>
        <w:rPr>
          <w:rFonts w:ascii="Book Antiqua" w:hAnsi="Book Antiqua"/>
          <w:szCs w:val="26"/>
        </w:rPr>
      </w:pPr>
      <w:r w:rsidRPr="00304DFC">
        <w:rPr>
          <w:rFonts w:ascii="Book Antiqua" w:hAnsi="Book Antiqua"/>
          <w:szCs w:val="26"/>
        </w:rPr>
        <w:t xml:space="preserve">Each </w:t>
      </w:r>
      <w:r w:rsidRPr="00304DFC">
        <w:rPr>
          <w:rFonts w:ascii="Book Antiqua" w:hAnsi="Book Antiqua"/>
        </w:rPr>
        <w:t>utility</w:t>
      </w:r>
      <w:r w:rsidRPr="00304DFC">
        <w:rPr>
          <w:rFonts w:ascii="Book Antiqua" w:hAnsi="Book Antiqua"/>
          <w:szCs w:val="26"/>
        </w:rPr>
        <w:t xml:space="preserve"> must list and provide the following information for each affiliated entity and regulated subsidiary that the utility had during the period covered by the Annual Affiliate Transaction Report.</w:t>
      </w:r>
    </w:p>
    <w:p w:rsidRPr="00304DFC" w:rsidR="00385C15" w:rsidP="00304DFC" w:rsidRDefault="00385C15" w14:paraId="61ADAE73" w14:textId="77777777">
      <w:pPr>
        <w:pStyle w:val="bullets"/>
        <w:tabs>
          <w:tab w:val="clear" w:pos="1440"/>
        </w:tabs>
        <w:ind w:left="1080"/>
        <w:rPr>
          <w:rFonts w:ascii="Book Antiqua" w:hAnsi="Book Antiqua"/>
          <w:bCs w:val="0"/>
          <w:szCs w:val="26"/>
        </w:rPr>
      </w:pPr>
      <w:r w:rsidRPr="00304DFC">
        <w:rPr>
          <w:rFonts w:ascii="Book Antiqua" w:hAnsi="Book Antiqua"/>
          <w:bCs w:val="0"/>
          <w:szCs w:val="26"/>
        </w:rPr>
        <w:t>Form of organization (</w:t>
      </w:r>
      <w:r w:rsidRPr="00304DFC">
        <w:rPr>
          <w:rFonts w:ascii="Book Antiqua" w:hAnsi="Book Antiqua"/>
          <w:bCs w:val="0"/>
          <w:i/>
          <w:iCs/>
          <w:szCs w:val="26"/>
        </w:rPr>
        <w:t>e.g.,</w:t>
      </w:r>
      <w:r w:rsidRPr="00304DFC">
        <w:rPr>
          <w:rFonts w:ascii="Book Antiqua" w:hAnsi="Book Antiqua"/>
          <w:bCs w:val="0"/>
          <w:szCs w:val="26"/>
        </w:rPr>
        <w:t xml:space="preserve"> corporation, partnership, joint venture, strategic alliance, etc.);</w:t>
      </w:r>
    </w:p>
    <w:p w:rsidRPr="00304DFC" w:rsidR="00385C15" w:rsidP="00304DFC" w:rsidRDefault="00385C15" w14:paraId="5F0A58E1" w14:textId="77777777">
      <w:pPr>
        <w:pStyle w:val="bullets"/>
        <w:tabs>
          <w:tab w:val="clear" w:pos="1440"/>
        </w:tabs>
        <w:ind w:left="1080"/>
        <w:rPr>
          <w:rFonts w:ascii="Book Antiqua" w:hAnsi="Book Antiqua"/>
          <w:bCs w:val="0"/>
          <w:szCs w:val="26"/>
        </w:rPr>
      </w:pPr>
      <w:r w:rsidRPr="00304DFC">
        <w:rPr>
          <w:rFonts w:ascii="Book Antiqua" w:hAnsi="Book Antiqua"/>
          <w:bCs w:val="0"/>
          <w:szCs w:val="26"/>
        </w:rPr>
        <w:t>Brief description of business activities engaged in;</w:t>
      </w:r>
    </w:p>
    <w:p w:rsidRPr="00304DFC" w:rsidR="00385C15" w:rsidP="00304DFC" w:rsidRDefault="00385C15" w14:paraId="2B00872E" w14:textId="77777777">
      <w:pPr>
        <w:pStyle w:val="bullets"/>
        <w:tabs>
          <w:tab w:val="clear" w:pos="1440"/>
        </w:tabs>
        <w:ind w:left="1080"/>
        <w:rPr>
          <w:rFonts w:ascii="Book Antiqua" w:hAnsi="Book Antiqua"/>
          <w:bCs w:val="0"/>
          <w:szCs w:val="26"/>
        </w:rPr>
      </w:pPr>
      <w:r w:rsidRPr="00304DFC">
        <w:rPr>
          <w:rFonts w:ascii="Book Antiqua" w:hAnsi="Book Antiqua"/>
          <w:bCs w:val="0"/>
          <w:szCs w:val="26"/>
        </w:rPr>
        <w:t>Relationship to the utility (e.g., controlling corporation, subsidiary, regulated subsidiary, affiliate);</w:t>
      </w:r>
    </w:p>
    <w:p w:rsidRPr="00304DFC" w:rsidR="00385C15" w:rsidP="00304DFC" w:rsidRDefault="00385C15" w14:paraId="4E4EC893" w14:textId="77777777">
      <w:pPr>
        <w:pStyle w:val="bullets"/>
        <w:tabs>
          <w:tab w:val="clear" w:pos="1440"/>
        </w:tabs>
        <w:ind w:left="1080"/>
        <w:rPr>
          <w:rFonts w:ascii="Book Antiqua" w:hAnsi="Book Antiqua"/>
          <w:bCs w:val="0"/>
          <w:szCs w:val="26"/>
        </w:rPr>
      </w:pPr>
      <w:r w:rsidRPr="00304DFC">
        <w:rPr>
          <w:rFonts w:ascii="Book Antiqua" w:hAnsi="Book Antiqua"/>
          <w:bCs w:val="0"/>
          <w:szCs w:val="26"/>
        </w:rPr>
        <w:t>Ownership of the utility (including type and percent ownership)</w:t>
      </w:r>
    </w:p>
    <w:p w:rsidRPr="00304DFC" w:rsidR="00385C15" w:rsidP="00304DFC" w:rsidRDefault="00385C15" w14:paraId="3F719993" w14:textId="77777777">
      <w:pPr>
        <w:pStyle w:val="bullets"/>
        <w:tabs>
          <w:tab w:val="clear" w:pos="1440"/>
        </w:tabs>
        <w:ind w:left="1080"/>
        <w:rPr>
          <w:rFonts w:ascii="Book Antiqua" w:hAnsi="Book Antiqua"/>
          <w:bCs w:val="0"/>
          <w:szCs w:val="26"/>
        </w:rPr>
      </w:pPr>
      <w:r w:rsidRPr="00304DFC">
        <w:rPr>
          <w:rFonts w:ascii="Book Antiqua" w:hAnsi="Book Antiqua"/>
          <w:bCs w:val="0"/>
          <w:szCs w:val="26"/>
        </w:rPr>
        <w:t>Voting rights held by the utility and percent; and</w:t>
      </w:r>
    </w:p>
    <w:p w:rsidRPr="00304DFC" w:rsidR="00385C15" w:rsidP="00304DFC" w:rsidRDefault="00385C15" w14:paraId="041D8502" w14:textId="77777777">
      <w:pPr>
        <w:pStyle w:val="bullets"/>
        <w:tabs>
          <w:tab w:val="clear" w:pos="1440"/>
        </w:tabs>
        <w:ind w:left="1080"/>
        <w:rPr>
          <w:rFonts w:ascii="Book Antiqua" w:hAnsi="Book Antiqua"/>
          <w:bCs w:val="0"/>
          <w:szCs w:val="26"/>
        </w:rPr>
      </w:pPr>
      <w:r w:rsidRPr="00304DFC">
        <w:rPr>
          <w:rFonts w:ascii="Book Antiqua" w:hAnsi="Book Antiqua"/>
          <w:bCs w:val="0"/>
          <w:szCs w:val="26"/>
        </w:rPr>
        <w:t>Corporate officers.</w:t>
      </w:r>
    </w:p>
    <w:p w:rsidR="00385C15" w:rsidP="00A12A67" w:rsidRDefault="00385C15" w14:paraId="7B8440B7" w14:textId="77777777">
      <w:pPr>
        <w:pStyle w:val="num1"/>
        <w:numPr>
          <w:ilvl w:val="3"/>
          <w:numId w:val="6"/>
        </w:numPr>
        <w:tabs>
          <w:tab w:val="clear" w:pos="2880"/>
        </w:tabs>
        <w:spacing w:after="120" w:line="240" w:lineRule="auto"/>
        <w:ind w:left="360"/>
        <w:rPr>
          <w:rFonts w:ascii="Book Antiqua" w:hAnsi="Book Antiqua"/>
          <w:szCs w:val="26"/>
        </w:rPr>
      </w:pPr>
      <w:r w:rsidRPr="00304DFC">
        <w:rPr>
          <w:rFonts w:ascii="Book Antiqua" w:hAnsi="Book Antiqua"/>
          <w:szCs w:val="26"/>
        </w:rPr>
        <w:t>The utility must prepare and submit a corporate organization chart showing any and all corporate relationships between the utility and its affiliated entities and regulated subsidiaries in</w:t>
      </w:r>
      <w:r w:rsidR="00D95C0A">
        <w:rPr>
          <w:rFonts w:ascii="Book Antiqua" w:hAnsi="Book Antiqua"/>
          <w:szCs w:val="26"/>
        </w:rPr>
        <w:t xml:space="preserve"> </w:t>
      </w:r>
      <w:r w:rsidR="00722E90">
        <w:rPr>
          <w:rFonts w:ascii="Book Antiqua" w:hAnsi="Book Antiqua"/>
          <w:szCs w:val="26"/>
        </w:rPr>
        <w:t xml:space="preserve">item </w:t>
      </w:r>
      <w:r w:rsidRPr="00304DFC">
        <w:rPr>
          <w:rFonts w:ascii="Book Antiqua" w:hAnsi="Book Antiqua"/>
          <w:szCs w:val="26"/>
        </w:rPr>
        <w:t>1 above.  The chart must have the controlling corporation (if any) at the top of the chart, the utility and any subsidiaries and/or affiliates of the controlling corporation in the middle levels of the chart, and all secondary subsidiaries and affiliates (</w:t>
      </w:r>
      <w:r w:rsidRPr="00304DFC">
        <w:rPr>
          <w:rFonts w:ascii="Book Antiqua" w:hAnsi="Book Antiqua"/>
          <w:i/>
          <w:iCs/>
          <w:szCs w:val="26"/>
        </w:rPr>
        <w:t>e.g.,</w:t>
      </w:r>
      <w:r w:rsidRPr="00304DFC">
        <w:rPr>
          <w:rFonts w:ascii="Book Antiqua" w:hAnsi="Book Antiqua"/>
          <w:szCs w:val="26"/>
        </w:rPr>
        <w:t xml:space="preserve"> a subsidiary that in turn is owned by another subsidiary and/or affiliate) in the lower levels.  Any regulated subsidiary must be clearly noted.</w:t>
      </w:r>
    </w:p>
    <w:p w:rsidRPr="0041336B" w:rsidR="00385C15" w:rsidP="00A12A67" w:rsidRDefault="00385C15" w14:paraId="1BB3A604" w14:textId="77777777">
      <w:pPr>
        <w:pStyle w:val="num1"/>
        <w:numPr>
          <w:ilvl w:val="3"/>
          <w:numId w:val="6"/>
        </w:numPr>
        <w:tabs>
          <w:tab w:val="clear" w:pos="2880"/>
        </w:tabs>
        <w:spacing w:after="120" w:line="240" w:lineRule="auto"/>
        <w:ind w:left="360"/>
        <w:rPr>
          <w:rFonts w:ascii="Book Antiqua" w:hAnsi="Book Antiqua"/>
          <w:szCs w:val="26"/>
        </w:rPr>
      </w:pPr>
      <w:r w:rsidRPr="00304DFC">
        <w:rPr>
          <w:rFonts w:ascii="Book Antiqua" w:hAnsi="Book Antiqua"/>
          <w:szCs w:val="26"/>
        </w:rPr>
        <w:t xml:space="preserve">For a utility that has individuals who are classified as “controlling corporations” of the competitive utility, the utility must only report under the requirements of </w:t>
      </w:r>
      <w:r w:rsidR="00D3512E">
        <w:rPr>
          <w:rFonts w:ascii="Book Antiqua" w:hAnsi="Book Antiqua"/>
          <w:szCs w:val="26"/>
        </w:rPr>
        <w:t>item</w:t>
      </w:r>
      <w:r w:rsidR="00D95C0A">
        <w:rPr>
          <w:rFonts w:ascii="Book Antiqua" w:hAnsi="Book Antiqua"/>
          <w:szCs w:val="26"/>
        </w:rPr>
        <w:t xml:space="preserve"> </w:t>
      </w:r>
      <w:r w:rsidRPr="00304DFC">
        <w:rPr>
          <w:rFonts w:ascii="Book Antiqua" w:hAnsi="Book Antiqua"/>
          <w:szCs w:val="26"/>
        </w:rPr>
        <w:t xml:space="preserve">1 and </w:t>
      </w:r>
      <w:r w:rsidR="00D3512E">
        <w:rPr>
          <w:rFonts w:ascii="Book Antiqua" w:hAnsi="Book Antiqua"/>
          <w:szCs w:val="26"/>
        </w:rPr>
        <w:t xml:space="preserve">item </w:t>
      </w:r>
      <w:r w:rsidRPr="00304DFC">
        <w:rPr>
          <w:rFonts w:ascii="Book Antiqua" w:hAnsi="Book Antiqua"/>
          <w:szCs w:val="26"/>
        </w:rPr>
        <w:t xml:space="preserve">2 above any affiliated entity that either (a) is a public utility or (b) transacts any business with the utility filing the annual </w:t>
      </w:r>
      <w:r w:rsidRPr="0041336B">
        <w:rPr>
          <w:rFonts w:ascii="Book Antiqua" w:hAnsi="Book Antiqua"/>
          <w:szCs w:val="26"/>
        </w:rPr>
        <w:t>report excluding the provision of tariff services.</w:t>
      </w:r>
    </w:p>
    <w:p w:rsidRPr="0041336B" w:rsidR="00385C15" w:rsidP="00A12A67" w:rsidRDefault="00385C15" w14:paraId="55F4B2E8" w14:textId="77777777">
      <w:pPr>
        <w:pStyle w:val="num1"/>
        <w:numPr>
          <w:ilvl w:val="3"/>
          <w:numId w:val="6"/>
        </w:numPr>
        <w:tabs>
          <w:tab w:val="clear" w:pos="2880"/>
        </w:tabs>
        <w:spacing w:after="120" w:line="240" w:lineRule="auto"/>
        <w:ind w:left="360"/>
        <w:rPr>
          <w:rFonts w:ascii="Book Antiqua" w:hAnsi="Book Antiqua"/>
          <w:szCs w:val="26"/>
        </w:rPr>
      </w:pPr>
      <w:r w:rsidRPr="0041336B">
        <w:rPr>
          <w:rFonts w:ascii="Book Antiqua" w:hAnsi="Book Antiqua"/>
          <w:szCs w:val="26"/>
        </w:rPr>
        <w:lastRenderedPageBreak/>
        <w:t>Each annual report must be signed by a corporate officer of the utility stating under penalty of perjury under the laws of the State of California</w:t>
      </w:r>
      <w:r w:rsidRPr="0041336B" w:rsidR="00857F65">
        <w:rPr>
          <w:rFonts w:ascii="Book Antiqua" w:hAnsi="Book Antiqua"/>
          <w:szCs w:val="26"/>
        </w:rPr>
        <w:t xml:space="preserve"> </w:t>
      </w:r>
      <w:r w:rsidRPr="0041336B">
        <w:rPr>
          <w:rFonts w:ascii="Book Antiqua" w:hAnsi="Book Antiqua"/>
          <w:szCs w:val="26"/>
        </w:rPr>
        <w:t>(CCP</w:t>
      </w:r>
      <w:r w:rsidRPr="0041336B" w:rsidR="000B701D">
        <w:rPr>
          <w:rFonts w:ascii="Book Antiqua" w:hAnsi="Book Antiqua"/>
          <w:szCs w:val="26"/>
        </w:rPr>
        <w:t> </w:t>
      </w:r>
      <w:r w:rsidRPr="0041336B">
        <w:rPr>
          <w:rFonts w:ascii="Book Antiqua" w:hAnsi="Book Antiqua"/>
          <w:szCs w:val="26"/>
        </w:rPr>
        <w:t>2015.5) that the annual report is complete and accurate with no material omissions.</w:t>
      </w:r>
    </w:p>
    <w:p w:rsidRPr="0041336B" w:rsidR="00385C15" w:rsidP="00A12A67" w:rsidRDefault="00385C15" w14:paraId="278044C0" w14:textId="77777777">
      <w:pPr>
        <w:pStyle w:val="num1"/>
        <w:numPr>
          <w:ilvl w:val="3"/>
          <w:numId w:val="6"/>
        </w:numPr>
        <w:tabs>
          <w:tab w:val="clear" w:pos="2880"/>
        </w:tabs>
        <w:spacing w:after="120" w:line="240" w:lineRule="auto"/>
        <w:ind w:left="360"/>
        <w:rPr>
          <w:rFonts w:ascii="Book Antiqua" w:hAnsi="Book Antiqua"/>
          <w:szCs w:val="26"/>
        </w:rPr>
      </w:pPr>
      <w:r w:rsidRPr="0041336B">
        <w:rPr>
          <w:rFonts w:ascii="Book Antiqua" w:hAnsi="Book Antiqua"/>
          <w:szCs w:val="26"/>
        </w:rPr>
        <w:t xml:space="preserve">Any required </w:t>
      </w:r>
      <w:r w:rsidRPr="0041336B" w:rsidR="00857F65">
        <w:rPr>
          <w:rFonts w:ascii="Book Antiqua" w:hAnsi="Book Antiqua"/>
          <w:szCs w:val="26"/>
        </w:rPr>
        <w:t xml:space="preserve">information, documents, or other </w:t>
      </w:r>
      <w:r w:rsidRPr="0041336B">
        <w:rPr>
          <w:rFonts w:ascii="Book Antiqua" w:hAnsi="Book Antiqua"/>
          <w:szCs w:val="26"/>
        </w:rPr>
        <w:t>material that a utility is unable to provide must be reasonably described and the reasons the</w:t>
      </w:r>
      <w:r w:rsidRPr="0041336B" w:rsidR="00857F65">
        <w:rPr>
          <w:rFonts w:ascii="Book Antiqua" w:hAnsi="Book Antiqua"/>
          <w:szCs w:val="26"/>
        </w:rPr>
        <w:t>y</w:t>
      </w:r>
      <w:r w:rsidRPr="0041336B">
        <w:rPr>
          <w:rFonts w:ascii="Book Antiqua" w:hAnsi="Book Antiqua"/>
          <w:szCs w:val="26"/>
        </w:rPr>
        <w:t xml:space="preserve"> cannot be obtained, as well as the efforts expended to obtain the</w:t>
      </w:r>
      <w:r w:rsidRPr="0041336B" w:rsidR="00857F65">
        <w:rPr>
          <w:rFonts w:ascii="Book Antiqua" w:hAnsi="Book Antiqua"/>
          <w:szCs w:val="26"/>
        </w:rPr>
        <w:t>m</w:t>
      </w:r>
      <w:r w:rsidRPr="0041336B">
        <w:rPr>
          <w:rFonts w:ascii="Book Antiqua" w:hAnsi="Book Antiqua"/>
          <w:szCs w:val="26"/>
        </w:rPr>
        <w:t>, must be set forth in the utility’s Annual Affiliate Transaction Report and verified in accordance with Section I</w:t>
      </w:r>
      <w:r w:rsidRPr="0041336B">
        <w:rPr>
          <w:rFonts w:ascii="Book Antiqua" w:hAnsi="Book Antiqua"/>
          <w:szCs w:val="26"/>
        </w:rPr>
        <w:noBreakHyphen/>
        <w:t>F of Decision 93</w:t>
      </w:r>
      <w:r w:rsidRPr="0041336B">
        <w:rPr>
          <w:rFonts w:ascii="Book Antiqua" w:hAnsi="Book Antiqua"/>
          <w:szCs w:val="26"/>
        </w:rPr>
        <w:noBreakHyphen/>
        <w:t>02</w:t>
      </w:r>
      <w:r w:rsidRPr="0041336B">
        <w:rPr>
          <w:rFonts w:ascii="Book Antiqua" w:hAnsi="Book Antiqua"/>
          <w:szCs w:val="26"/>
        </w:rPr>
        <w:noBreakHyphen/>
        <w:t>019.</w:t>
      </w:r>
    </w:p>
    <w:p w:rsidRPr="0041336B" w:rsidR="00385C15" w:rsidP="00A12A67" w:rsidRDefault="00385C15" w14:paraId="7EDA44C0" w14:textId="77777777">
      <w:pPr>
        <w:pStyle w:val="num1"/>
        <w:numPr>
          <w:ilvl w:val="3"/>
          <w:numId w:val="6"/>
        </w:numPr>
        <w:tabs>
          <w:tab w:val="clear" w:pos="2880"/>
        </w:tabs>
        <w:spacing w:line="240" w:lineRule="auto"/>
        <w:ind w:left="360"/>
        <w:rPr>
          <w:rFonts w:ascii="Book Antiqua" w:hAnsi="Book Antiqua"/>
          <w:szCs w:val="26"/>
        </w:rPr>
      </w:pPr>
      <w:r w:rsidRPr="0041336B">
        <w:rPr>
          <w:rFonts w:ascii="Book Antiqua" w:hAnsi="Book Antiqua"/>
          <w:szCs w:val="26"/>
        </w:rPr>
        <w:t>Utilities that do not have affiliated entities must submit, in lieu of the annual transaction report, an annual statement to the Commission stating that the utility had no affiliated entities during the report period.  This statement must be signed by a corporate officer of the utility, stating under penalty of perjury under the laws of the State of California (CCP 2015.5) that the annual report is complete and accurate with no material omissions.</w:t>
      </w:r>
    </w:p>
    <w:p w:rsidRPr="0041336B" w:rsidR="00304DFC" w:rsidP="00304DFC" w:rsidRDefault="00304DFC" w14:paraId="168C7323" w14:textId="77777777">
      <w:pPr>
        <w:pStyle w:val="NoSpacing"/>
        <w:rPr>
          <w:rFonts w:ascii="Book Antiqua" w:hAnsi="Book Antiqua"/>
        </w:rPr>
      </w:pPr>
    </w:p>
    <w:p w:rsidRPr="0041336B" w:rsidR="00385C15" w:rsidP="001E4C8E" w:rsidRDefault="00640600" w14:paraId="2529C315" w14:textId="77777777">
      <w:pPr>
        <w:rPr>
          <w:rFonts w:ascii="Book Antiqua" w:hAnsi="Book Antiqua"/>
          <w:szCs w:val="26"/>
        </w:rPr>
      </w:pPr>
      <w:r w:rsidRPr="0041336B">
        <w:rPr>
          <w:rFonts w:ascii="Book Antiqua" w:hAnsi="Book Antiqua"/>
          <w:szCs w:val="26"/>
        </w:rPr>
        <w:t xml:space="preserve">Additional information about the reporting requirements is available at </w:t>
      </w:r>
      <w:hyperlink w:history="1" r:id="rId43">
        <w:r w:rsidRPr="0041336B">
          <w:rPr>
            <w:rStyle w:val="Hyperlink"/>
            <w:rFonts w:ascii="Book Antiqua" w:hAnsi="Book Antiqua"/>
            <w:szCs w:val="26"/>
          </w:rPr>
          <w:t>https://www.cpuc.ca.gov/industries-and-topics/internet-and-phone/carrier-reporting-requirements/annual-report-forms</w:t>
        </w:r>
      </w:hyperlink>
      <w:r w:rsidRPr="0041336B">
        <w:rPr>
          <w:rFonts w:ascii="Book Antiqua" w:hAnsi="Book Antiqua"/>
          <w:szCs w:val="26"/>
        </w:rPr>
        <w:t xml:space="preserve">. </w:t>
      </w:r>
      <w:r w:rsidRPr="0041336B" w:rsidR="00385C15">
        <w:rPr>
          <w:rFonts w:ascii="Book Antiqua" w:hAnsi="Book Antiqua"/>
          <w:szCs w:val="26"/>
        </w:rPr>
        <w:t>For any questions concerning this report, please send an e</w:t>
      </w:r>
      <w:r w:rsidRPr="0041336B" w:rsidR="000B701D">
        <w:rPr>
          <w:rFonts w:ascii="Book Antiqua" w:hAnsi="Book Antiqua"/>
          <w:szCs w:val="26"/>
        </w:rPr>
        <w:t>-</w:t>
      </w:r>
      <w:r w:rsidRPr="0041336B" w:rsidR="00385C15">
        <w:rPr>
          <w:rFonts w:ascii="Book Antiqua" w:hAnsi="Book Antiqua"/>
          <w:szCs w:val="26"/>
        </w:rPr>
        <w:t xml:space="preserve">mail to </w:t>
      </w:r>
      <w:hyperlink w:history="1" r:id="rId44">
        <w:r w:rsidRPr="0041336B" w:rsidR="00D8681A">
          <w:rPr>
            <w:rStyle w:val="Hyperlink"/>
            <w:rFonts w:ascii="Book Antiqua" w:hAnsi="Book Antiqua"/>
            <w:szCs w:val="26"/>
          </w:rPr>
          <w:t>cdcompliance@cpuca.ca.gov</w:t>
        </w:r>
      </w:hyperlink>
      <w:r w:rsidRPr="0041336B" w:rsidR="00D8681A">
        <w:rPr>
          <w:rFonts w:ascii="Book Antiqua" w:hAnsi="Book Antiqua"/>
          <w:szCs w:val="26"/>
        </w:rPr>
        <w:t xml:space="preserve"> </w:t>
      </w:r>
      <w:r w:rsidRPr="0041336B" w:rsidR="00385C15">
        <w:rPr>
          <w:rFonts w:ascii="Book Antiqua" w:hAnsi="Book Antiqua"/>
          <w:szCs w:val="26"/>
        </w:rPr>
        <w:t xml:space="preserve"> with a subject line that includes: “CD</w:t>
      </w:r>
      <w:r w:rsidRPr="0041336B" w:rsidR="0068715B">
        <w:rPr>
          <w:rFonts w:ascii="Book Antiqua" w:hAnsi="Book Antiqua"/>
          <w:szCs w:val="26"/>
        </w:rPr>
        <w:t> </w:t>
      </w:r>
      <w:r w:rsidRPr="0041336B" w:rsidR="00385C15">
        <w:rPr>
          <w:rFonts w:ascii="Book Antiqua" w:hAnsi="Book Antiqua"/>
          <w:szCs w:val="26"/>
        </w:rPr>
        <w:t>Annual</w:t>
      </w:r>
      <w:r w:rsidRPr="0041336B" w:rsidR="0068715B">
        <w:rPr>
          <w:rFonts w:ascii="Book Antiqua" w:hAnsi="Book Antiqua"/>
          <w:szCs w:val="26"/>
        </w:rPr>
        <w:t> </w:t>
      </w:r>
      <w:r w:rsidRPr="0041336B" w:rsidR="00385C15">
        <w:rPr>
          <w:rFonts w:ascii="Book Antiqua" w:hAnsi="Book Antiqua"/>
          <w:szCs w:val="26"/>
        </w:rPr>
        <w:t>Reports.”</w:t>
      </w:r>
    </w:p>
    <w:p w:rsidR="00085FDB" w:rsidP="002B0864" w:rsidRDefault="00085FDB" w14:paraId="4E2DCD67" w14:textId="77777777">
      <w:pPr>
        <w:pStyle w:val="num1"/>
        <w:spacing w:line="240" w:lineRule="auto"/>
        <w:ind w:firstLine="0"/>
        <w:rPr>
          <w:rFonts w:ascii="Book Antiqua" w:hAnsi="Book Antiqua"/>
          <w:szCs w:val="26"/>
        </w:rPr>
      </w:pPr>
    </w:p>
    <w:p w:rsidRPr="0041336B" w:rsidR="002B0864" w:rsidP="002B0864" w:rsidRDefault="002B0864" w14:paraId="4E2DBAEA" w14:textId="77777777">
      <w:pPr>
        <w:pStyle w:val="num1"/>
        <w:spacing w:line="240" w:lineRule="auto"/>
        <w:ind w:firstLine="0"/>
        <w:rPr>
          <w:rFonts w:ascii="Book Antiqua" w:hAnsi="Book Antiqua"/>
          <w:szCs w:val="26"/>
        </w:rPr>
      </w:pPr>
    </w:p>
    <w:p w:rsidRPr="0041336B" w:rsidR="00A65FD0" w:rsidP="002B0864" w:rsidRDefault="00385C15" w14:paraId="4B687C52" w14:textId="77777777">
      <w:pPr>
        <w:spacing w:after="120"/>
        <w:jc w:val="center"/>
        <w:rPr>
          <w:rFonts w:ascii="Book Antiqua" w:hAnsi="Book Antiqua"/>
          <w:b/>
        </w:rPr>
      </w:pPr>
      <w:r w:rsidRPr="0041336B">
        <w:rPr>
          <w:rFonts w:ascii="Book Antiqua" w:hAnsi="Book Antiqua"/>
          <w:b/>
        </w:rPr>
        <w:t>(END OF ATTACHMENT D)</w:t>
      </w:r>
    </w:p>
    <w:p w:rsidRPr="0041336B" w:rsidR="0033094A" w:rsidP="002B0864" w:rsidRDefault="0033094A" w14:paraId="0276436A" w14:textId="77777777">
      <w:pPr>
        <w:rPr>
          <w:rFonts w:ascii="Book Antiqua" w:hAnsi="Book Antiqua"/>
          <w:b/>
        </w:rPr>
      </w:pPr>
    </w:p>
    <w:p w:rsidR="009641D8" w:rsidRDefault="009641D8" w14:paraId="0E04E305" w14:textId="77777777"/>
    <w:sectPr w:rsidR="009641D8" w:rsidSect="002B0864">
      <w:footerReference w:type="default" r:id="rId45"/>
      <w:footnotePr>
        <w:numRestart w:val="eachSect"/>
      </w:footnotePr>
      <w:pgSz w:w="12240" w:h="15840" w:code="1"/>
      <w:pgMar w:top="1152"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16513F" w14:textId="77777777" w:rsidR="00776F88" w:rsidRDefault="00776F88">
      <w:r>
        <w:separator/>
      </w:r>
    </w:p>
  </w:endnote>
  <w:endnote w:type="continuationSeparator" w:id="0">
    <w:p w14:paraId="2F140F46" w14:textId="77777777" w:rsidR="00776F88" w:rsidRDefault="00776F88">
      <w:r>
        <w:continuationSeparator/>
      </w:r>
    </w:p>
  </w:endnote>
  <w:endnote w:type="continuationNotice" w:id="1">
    <w:p w14:paraId="5FE14FA7" w14:textId="77777777" w:rsidR="00776F88" w:rsidRDefault="00776F8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altName w:val="Book Antiqua"/>
    <w:panose1 w:val="0204060205030503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w:altName w:val="Book Antiqua"/>
    <w:panose1 w:val="00000000000000000000"/>
    <w:charset w:val="00"/>
    <w:family w:val="roman"/>
    <w:notTrueType/>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BookAntiqua">
    <w:altName w:val="Cambria"/>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C42F3F" w14:textId="68BC2C5D" w:rsidR="00245DB2" w:rsidRPr="00916DD1" w:rsidRDefault="004E123C" w:rsidP="00245DB2">
    <w:pPr>
      <w:pStyle w:val="Footer"/>
      <w:tabs>
        <w:tab w:val="center" w:pos="4680"/>
      </w:tabs>
      <w:jc w:val="left"/>
      <w:rPr>
        <w:rFonts w:ascii="Book Antiqua" w:hAnsi="Book Antiqua"/>
      </w:rPr>
    </w:pPr>
    <w:r w:rsidRPr="004E123C">
      <w:rPr>
        <w:rFonts w:ascii="Book Antiqua" w:hAnsi="Book Antiqua"/>
        <w:noProof/>
        <w:sz w:val="16"/>
        <w:szCs w:val="16"/>
      </w:rPr>
      <w:t>559263325</w:t>
    </w:r>
    <w:r w:rsidRPr="004E123C">
      <w:rPr>
        <w:rFonts w:ascii="Book Antiqua" w:hAnsi="Book Antiqua"/>
        <w:noProof/>
      </w:rPr>
      <w:t>  </w:t>
    </w:r>
    <w:r w:rsidR="00245DB2">
      <w:rPr>
        <w:rFonts w:ascii="Book Antiqua" w:hAnsi="Book Antiqua"/>
        <w:noProof/>
      </w:rPr>
      <w:tab/>
    </w:r>
    <w:r w:rsidR="00245DB2">
      <w:rPr>
        <w:rFonts w:ascii="Book Antiqua" w:hAnsi="Book Antiqua"/>
        <w:noProof/>
      </w:rPr>
      <w:tab/>
      <w:t>-</w:t>
    </w:r>
    <w:r w:rsidR="00245DB2">
      <w:t> </w:t>
    </w:r>
    <w:sdt>
      <w:sdtPr>
        <w:id w:val="-742953175"/>
        <w:docPartObj>
          <w:docPartGallery w:val="Page Numbers (Bottom of Page)"/>
          <w:docPartUnique/>
        </w:docPartObj>
      </w:sdtPr>
      <w:sdtEndPr>
        <w:rPr>
          <w:rFonts w:ascii="Book Antiqua" w:hAnsi="Book Antiqua"/>
          <w:noProof/>
        </w:rPr>
      </w:sdtEndPr>
      <w:sdtContent>
        <w:r w:rsidR="00245DB2" w:rsidRPr="00916DD1">
          <w:rPr>
            <w:rFonts w:ascii="Book Antiqua" w:hAnsi="Book Antiqua"/>
          </w:rPr>
          <w:fldChar w:fldCharType="begin"/>
        </w:r>
        <w:r w:rsidR="00245DB2" w:rsidRPr="00916DD1">
          <w:rPr>
            <w:rFonts w:ascii="Book Antiqua" w:hAnsi="Book Antiqua"/>
          </w:rPr>
          <w:instrText xml:space="preserve"> PAGE   \* MERGEFORMAT </w:instrText>
        </w:r>
        <w:r w:rsidR="00245DB2" w:rsidRPr="00916DD1">
          <w:rPr>
            <w:rFonts w:ascii="Book Antiqua" w:hAnsi="Book Antiqua"/>
          </w:rPr>
          <w:fldChar w:fldCharType="separate"/>
        </w:r>
        <w:r w:rsidR="00245DB2" w:rsidRPr="00916DD1">
          <w:rPr>
            <w:rFonts w:ascii="Book Antiqua" w:hAnsi="Book Antiqua"/>
            <w:noProof/>
          </w:rPr>
          <w:t>2</w:t>
        </w:r>
        <w:r w:rsidR="00245DB2" w:rsidRPr="00916DD1">
          <w:rPr>
            <w:rFonts w:ascii="Book Antiqua" w:hAnsi="Book Antiqua"/>
            <w:noProof/>
          </w:rPr>
          <w:fldChar w:fldCharType="end"/>
        </w:r>
        <w:r w:rsidR="00245DB2">
          <w:rPr>
            <w:rFonts w:ascii="Book Antiqua" w:hAnsi="Book Antiqua"/>
            <w:noProof/>
          </w:rPr>
          <w:t xml:space="preserve"> -</w:t>
        </w:r>
      </w:sdtContent>
    </w:sdt>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8D496B" w14:textId="77777777" w:rsidR="002B0864" w:rsidRPr="002B0864" w:rsidRDefault="002B0864" w:rsidP="002B0864">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3E7DD3" w14:textId="77777777" w:rsidR="002B0864" w:rsidRPr="002B0864" w:rsidRDefault="002B0864" w:rsidP="002B0864">
    <w:pPr>
      <w:pStyle w:val="Footer"/>
      <w:rPr>
        <w:rFonts w:ascii="Book Antiqua" w:hAnsi="Book Antiqua"/>
      </w:rPr>
    </w:pPr>
    <w:r>
      <w:rPr>
        <w:rFonts w:ascii="Book Antiqua" w:hAnsi="Book Antiqua"/>
        <w:noProof/>
      </w:rPr>
      <w:t>-</w:t>
    </w:r>
    <w:r>
      <w:t> D</w:t>
    </w:r>
    <w:sdt>
      <w:sdtPr>
        <w:id w:val="1218932710"/>
        <w:docPartObj>
          <w:docPartGallery w:val="Page Numbers (Bottom of Page)"/>
          <w:docPartUnique/>
        </w:docPartObj>
      </w:sdtPr>
      <w:sdtEndPr>
        <w:rPr>
          <w:rFonts w:ascii="Book Antiqua" w:hAnsi="Book Antiqua"/>
          <w:noProof/>
        </w:rPr>
      </w:sdtEndPr>
      <w:sdtContent>
        <w:r w:rsidRPr="00916DD1">
          <w:rPr>
            <w:rFonts w:ascii="Book Antiqua" w:hAnsi="Book Antiqua"/>
          </w:rPr>
          <w:fldChar w:fldCharType="begin"/>
        </w:r>
        <w:r w:rsidRPr="00916DD1">
          <w:rPr>
            <w:rFonts w:ascii="Book Antiqua" w:hAnsi="Book Antiqua"/>
          </w:rPr>
          <w:instrText xml:space="preserve"> PAGE   \* MERGEFORMAT </w:instrText>
        </w:r>
        <w:r w:rsidRPr="00916DD1">
          <w:rPr>
            <w:rFonts w:ascii="Book Antiqua" w:hAnsi="Book Antiqua"/>
          </w:rPr>
          <w:fldChar w:fldCharType="separate"/>
        </w:r>
        <w:r>
          <w:rPr>
            <w:rFonts w:ascii="Book Antiqua" w:hAnsi="Book Antiqua"/>
          </w:rPr>
          <w:t>1</w:t>
        </w:r>
        <w:r w:rsidRPr="00916DD1">
          <w:rPr>
            <w:rFonts w:ascii="Book Antiqua" w:hAnsi="Book Antiqua"/>
            <w:noProof/>
          </w:rPr>
          <w:fldChar w:fldCharType="end"/>
        </w:r>
        <w:r>
          <w:rPr>
            <w:rFonts w:ascii="Book Antiqua" w:hAnsi="Book Antiqua"/>
            <w:noProof/>
          </w:rPr>
          <w:t xml:space="preserve"> -</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7889E7" w14:textId="77777777" w:rsidR="00EE6CBA" w:rsidRPr="00EE6CBA" w:rsidRDefault="00EE6CBA" w:rsidP="00EE6CBA">
    <w:pPr>
      <w:rPr>
        <w:rFonts w:ascii="Book Antiqua" w:hAnsi="Book Antiqua"/>
        <w:szCs w:val="26"/>
      </w:rPr>
    </w:pPr>
    <w:r w:rsidRPr="00EE6CBA">
      <w:rPr>
        <w:rFonts w:ascii="Book Antiqua" w:hAnsi="Book Antiqua"/>
        <w:sz w:val="16"/>
        <w:szCs w:val="16"/>
      </w:rPr>
      <w:t>555625585</w:t>
    </w:r>
    <w:r>
      <w:rPr>
        <w:rFonts w:ascii="Book Antiqua" w:hAnsi="Book Antiqua"/>
        <w:sz w:val="16"/>
        <w:szCs w:val="16"/>
      </w:rPr>
      <w:ptab w:relativeTo="margin" w:alignment="center" w:leader="none"/>
    </w:r>
    <w:r w:rsidRPr="00EE6CBA">
      <w:rPr>
        <w:rFonts w:ascii="Book Antiqua" w:hAnsi="Book Antiqua"/>
        <w:szCs w:val="26"/>
      </w:rPr>
      <w:t>-</w:t>
    </w:r>
    <w:sdt>
      <w:sdtPr>
        <w:rPr>
          <w:rFonts w:ascii="Book Antiqua" w:hAnsi="Book Antiqua"/>
          <w:szCs w:val="26"/>
        </w:rPr>
        <w:id w:val="-1034043401"/>
        <w:docPartObj>
          <w:docPartGallery w:val="Page Numbers (Bottom of Page)"/>
          <w:docPartUnique/>
        </w:docPartObj>
      </w:sdtPr>
      <w:sdtEndPr>
        <w:rPr>
          <w:noProof/>
        </w:rPr>
      </w:sdtEndPr>
      <w:sdtContent>
        <w:r w:rsidRPr="00EE6CBA">
          <w:rPr>
            <w:rFonts w:ascii="Book Antiqua" w:hAnsi="Book Antiqua"/>
            <w:szCs w:val="26"/>
          </w:rPr>
          <w:t xml:space="preserve"> </w:t>
        </w:r>
        <w:r w:rsidRPr="00EE6CBA">
          <w:rPr>
            <w:rFonts w:ascii="Book Antiqua" w:hAnsi="Book Antiqua"/>
            <w:szCs w:val="26"/>
          </w:rPr>
          <w:fldChar w:fldCharType="begin"/>
        </w:r>
        <w:r w:rsidRPr="00EE6CBA">
          <w:rPr>
            <w:rFonts w:ascii="Book Antiqua" w:hAnsi="Book Antiqua"/>
            <w:szCs w:val="26"/>
          </w:rPr>
          <w:instrText xml:space="preserve"> PAGE   \* MERGEFORMAT </w:instrText>
        </w:r>
        <w:r w:rsidRPr="00EE6CBA">
          <w:rPr>
            <w:rFonts w:ascii="Book Antiqua" w:hAnsi="Book Antiqua"/>
            <w:szCs w:val="26"/>
          </w:rPr>
          <w:fldChar w:fldCharType="separate"/>
        </w:r>
        <w:r w:rsidRPr="00EE6CBA">
          <w:rPr>
            <w:rFonts w:ascii="Book Antiqua" w:hAnsi="Book Antiqua"/>
            <w:szCs w:val="26"/>
          </w:rPr>
          <w:t>1</w:t>
        </w:r>
        <w:r w:rsidRPr="00EE6CBA">
          <w:rPr>
            <w:rFonts w:ascii="Book Antiqua" w:hAnsi="Book Antiqua"/>
            <w:noProof/>
            <w:szCs w:val="26"/>
          </w:rPr>
          <w:fldChar w:fldCharType="end"/>
        </w:r>
        <w:r w:rsidRPr="00EE6CBA">
          <w:rPr>
            <w:rFonts w:ascii="Book Antiqua" w:hAnsi="Book Antiqua"/>
            <w:noProof/>
            <w:szCs w:val="26"/>
          </w:rPr>
          <w:t xml:space="preserve"> -</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5DBCDD" w14:textId="77777777" w:rsidR="008F52A6" w:rsidRPr="008F52A6" w:rsidRDefault="008F52A6" w:rsidP="007E0FEE">
    <w:pPr>
      <w:jc w:val="center"/>
      <w:rPr>
        <w:rFonts w:ascii="Book Antiqua" w:hAnsi="Book Antiqua"/>
        <w:szCs w:val="26"/>
      </w:rPr>
    </w:pPr>
    <w:r w:rsidRPr="008F52A6">
      <w:rPr>
        <w:rFonts w:ascii="Book Antiqua" w:hAnsi="Book Antiqua"/>
        <w:szCs w:val="26"/>
      </w:rPr>
      <w:t xml:space="preserve">- </w:t>
    </w:r>
    <w:sdt>
      <w:sdtPr>
        <w:rPr>
          <w:rFonts w:ascii="Book Antiqua" w:hAnsi="Book Antiqua"/>
          <w:szCs w:val="26"/>
        </w:rPr>
        <w:id w:val="-1058633060"/>
        <w:docPartObj>
          <w:docPartGallery w:val="Page Numbers (Bottom of Page)"/>
          <w:docPartUnique/>
        </w:docPartObj>
      </w:sdtPr>
      <w:sdtEndPr>
        <w:rPr>
          <w:noProof/>
        </w:rPr>
      </w:sdtEndPr>
      <w:sdtContent>
        <w:r w:rsidRPr="008F52A6">
          <w:rPr>
            <w:rFonts w:ascii="Book Antiqua" w:hAnsi="Book Antiqua"/>
            <w:szCs w:val="26"/>
          </w:rPr>
          <w:fldChar w:fldCharType="begin"/>
        </w:r>
        <w:r w:rsidRPr="008F52A6">
          <w:rPr>
            <w:rFonts w:ascii="Book Antiqua" w:hAnsi="Book Antiqua"/>
            <w:szCs w:val="26"/>
          </w:rPr>
          <w:instrText xml:space="preserve"> PAGE   \* MERGEFORMAT </w:instrText>
        </w:r>
        <w:r w:rsidRPr="008F52A6">
          <w:rPr>
            <w:rFonts w:ascii="Book Antiqua" w:hAnsi="Book Antiqua"/>
            <w:szCs w:val="26"/>
          </w:rPr>
          <w:fldChar w:fldCharType="separate"/>
        </w:r>
        <w:r w:rsidRPr="008F52A6">
          <w:rPr>
            <w:rFonts w:ascii="Book Antiqua" w:hAnsi="Book Antiqua"/>
            <w:noProof/>
            <w:szCs w:val="26"/>
          </w:rPr>
          <w:t>2</w:t>
        </w:r>
        <w:r w:rsidRPr="008F52A6">
          <w:rPr>
            <w:rFonts w:ascii="Book Antiqua" w:hAnsi="Book Antiqua"/>
            <w:noProof/>
            <w:szCs w:val="26"/>
          </w:rPr>
          <w:fldChar w:fldCharType="end"/>
        </w:r>
        <w:r w:rsidRPr="008F52A6">
          <w:rPr>
            <w:rFonts w:ascii="Book Antiqua" w:hAnsi="Book Antiqua"/>
            <w:noProof/>
            <w:szCs w:val="26"/>
          </w:rPr>
          <w:t xml:space="preserve"> -</w:t>
        </w:r>
      </w:sdtContent>
    </w:sdt>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4B7D0D" w14:textId="77777777" w:rsidR="00D2757A" w:rsidRPr="002B0864" w:rsidRDefault="002B0864" w:rsidP="002B0864">
    <w:pPr>
      <w:pStyle w:val="Footer"/>
      <w:rPr>
        <w:rFonts w:ascii="Book Antiqua" w:hAnsi="Book Antiqua"/>
      </w:rPr>
    </w:pPr>
    <w:r>
      <w:rPr>
        <w:rFonts w:ascii="Book Antiqua" w:hAnsi="Book Antiqua"/>
        <w:noProof/>
      </w:rPr>
      <w:t>-</w:t>
    </w:r>
    <w:r>
      <w:t> </w:t>
    </w:r>
    <w:sdt>
      <w:sdtPr>
        <w:id w:val="1334104060"/>
        <w:docPartObj>
          <w:docPartGallery w:val="Page Numbers (Bottom of Page)"/>
          <w:docPartUnique/>
        </w:docPartObj>
      </w:sdtPr>
      <w:sdtEndPr>
        <w:rPr>
          <w:rFonts w:ascii="Book Antiqua" w:hAnsi="Book Antiqua"/>
          <w:noProof/>
        </w:rPr>
      </w:sdtEndPr>
      <w:sdtContent>
        <w:r w:rsidRPr="00916DD1">
          <w:rPr>
            <w:rFonts w:ascii="Book Antiqua" w:hAnsi="Book Antiqua"/>
          </w:rPr>
          <w:fldChar w:fldCharType="begin"/>
        </w:r>
        <w:r w:rsidRPr="00916DD1">
          <w:rPr>
            <w:rFonts w:ascii="Book Antiqua" w:hAnsi="Book Antiqua"/>
          </w:rPr>
          <w:instrText xml:space="preserve"> PAGE   \* MERGEFORMAT </w:instrText>
        </w:r>
        <w:r w:rsidRPr="00916DD1">
          <w:rPr>
            <w:rFonts w:ascii="Book Antiqua" w:hAnsi="Book Antiqua"/>
          </w:rPr>
          <w:fldChar w:fldCharType="separate"/>
        </w:r>
        <w:r>
          <w:rPr>
            <w:rFonts w:ascii="Book Antiqua" w:hAnsi="Book Antiqua"/>
          </w:rPr>
          <w:t>1</w:t>
        </w:r>
        <w:r w:rsidRPr="00916DD1">
          <w:rPr>
            <w:rFonts w:ascii="Book Antiqua" w:hAnsi="Book Antiqua"/>
            <w:noProof/>
          </w:rPr>
          <w:fldChar w:fldCharType="end"/>
        </w:r>
        <w:r>
          <w:rPr>
            <w:rFonts w:ascii="Book Antiqua" w:hAnsi="Book Antiqua"/>
            <w:noProof/>
          </w:rPr>
          <w:t xml:space="preserve"> -</w:t>
        </w:r>
      </w:sdtContent>
    </w:sdt>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193E52" w14:textId="12823AA2" w:rsidR="002B0864" w:rsidRPr="002B0864" w:rsidRDefault="002B0864" w:rsidP="002B0864">
    <w:pPr>
      <w:pStyle w:val="Footer"/>
      <w:rPr>
        <w:rFonts w:ascii="Book Antiqua" w:hAnsi="Book Antiqua"/>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DCC500" w14:textId="77777777" w:rsidR="00176772" w:rsidRPr="00176772" w:rsidRDefault="00176772" w:rsidP="00176772">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DBCE0D" w14:textId="77777777" w:rsidR="00176772" w:rsidRPr="002B0864" w:rsidRDefault="00176772" w:rsidP="002B0864">
    <w:pPr>
      <w:pStyle w:val="Footer"/>
      <w:rPr>
        <w:rFonts w:ascii="Book Antiqua" w:hAnsi="Book Antiqua"/>
      </w:rPr>
    </w:pPr>
    <w:r>
      <w:rPr>
        <w:rFonts w:ascii="Book Antiqua" w:hAnsi="Book Antiqua"/>
        <w:noProof/>
      </w:rPr>
      <w:t>-</w:t>
    </w:r>
    <w:r>
      <w:t> </w:t>
    </w:r>
    <w:sdt>
      <w:sdtPr>
        <w:id w:val="-604491326"/>
        <w:docPartObj>
          <w:docPartGallery w:val="Page Numbers (Bottom of Page)"/>
          <w:docPartUnique/>
        </w:docPartObj>
      </w:sdtPr>
      <w:sdtEndPr>
        <w:rPr>
          <w:rFonts w:ascii="Book Antiqua" w:hAnsi="Book Antiqua"/>
          <w:noProof/>
        </w:rPr>
      </w:sdtEndPr>
      <w:sdtContent>
        <w:r>
          <w:t>B</w:t>
        </w:r>
        <w:r w:rsidRPr="00916DD1">
          <w:rPr>
            <w:rFonts w:ascii="Book Antiqua" w:hAnsi="Book Antiqua"/>
          </w:rPr>
          <w:fldChar w:fldCharType="begin"/>
        </w:r>
        <w:r w:rsidRPr="00916DD1">
          <w:rPr>
            <w:rFonts w:ascii="Book Antiqua" w:hAnsi="Book Antiqua"/>
          </w:rPr>
          <w:instrText xml:space="preserve"> PAGE   \* MERGEFORMAT </w:instrText>
        </w:r>
        <w:r w:rsidRPr="00916DD1">
          <w:rPr>
            <w:rFonts w:ascii="Book Antiqua" w:hAnsi="Book Antiqua"/>
          </w:rPr>
          <w:fldChar w:fldCharType="separate"/>
        </w:r>
        <w:r>
          <w:rPr>
            <w:rFonts w:ascii="Book Antiqua" w:hAnsi="Book Antiqua"/>
          </w:rPr>
          <w:t>1</w:t>
        </w:r>
        <w:r w:rsidRPr="00916DD1">
          <w:rPr>
            <w:rFonts w:ascii="Book Antiqua" w:hAnsi="Book Antiqua"/>
            <w:noProof/>
          </w:rPr>
          <w:fldChar w:fldCharType="end"/>
        </w:r>
        <w:r>
          <w:rPr>
            <w:rFonts w:ascii="Book Antiqua" w:hAnsi="Book Antiqua"/>
            <w:noProof/>
          </w:rPr>
          <w:t xml:space="preserve"> -</w:t>
        </w:r>
      </w:sdtContent>
    </w:sdt>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534412" w14:textId="77777777" w:rsidR="002B0864" w:rsidRPr="002B0864" w:rsidRDefault="002B0864" w:rsidP="002B0864">
    <w:pPr>
      <w:pStyle w:val="Footer"/>
      <w:rPr>
        <w:rFonts w:ascii="Book Antiqua" w:hAnsi="Book Antiqua"/>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217FD7" w14:textId="77777777" w:rsidR="002B0864" w:rsidRPr="002B0864" w:rsidRDefault="002B0864" w:rsidP="002B0864">
    <w:pPr>
      <w:pStyle w:val="Footer"/>
      <w:rPr>
        <w:rFonts w:ascii="Book Antiqua" w:hAnsi="Book Antiqua"/>
      </w:rPr>
    </w:pPr>
    <w:r>
      <w:rPr>
        <w:rFonts w:ascii="Book Antiqua" w:hAnsi="Book Antiqua"/>
        <w:noProof/>
      </w:rPr>
      <w:t>-</w:t>
    </w:r>
    <w:r>
      <w:t> </w:t>
    </w:r>
    <w:sdt>
      <w:sdtPr>
        <w:id w:val="-344324533"/>
        <w:docPartObj>
          <w:docPartGallery w:val="Page Numbers (Bottom of Page)"/>
          <w:docPartUnique/>
        </w:docPartObj>
      </w:sdtPr>
      <w:sdtEndPr>
        <w:rPr>
          <w:rFonts w:ascii="Book Antiqua" w:hAnsi="Book Antiqua"/>
          <w:noProof/>
        </w:rPr>
      </w:sdtEndPr>
      <w:sdtContent>
        <w:r>
          <w:t>C</w:t>
        </w:r>
        <w:r w:rsidRPr="00916DD1">
          <w:rPr>
            <w:rFonts w:ascii="Book Antiqua" w:hAnsi="Book Antiqua"/>
          </w:rPr>
          <w:fldChar w:fldCharType="begin"/>
        </w:r>
        <w:r w:rsidRPr="00916DD1">
          <w:rPr>
            <w:rFonts w:ascii="Book Antiqua" w:hAnsi="Book Antiqua"/>
          </w:rPr>
          <w:instrText xml:space="preserve"> PAGE   \* MERGEFORMAT </w:instrText>
        </w:r>
        <w:r w:rsidRPr="00916DD1">
          <w:rPr>
            <w:rFonts w:ascii="Book Antiqua" w:hAnsi="Book Antiqua"/>
          </w:rPr>
          <w:fldChar w:fldCharType="separate"/>
        </w:r>
        <w:r>
          <w:rPr>
            <w:rFonts w:ascii="Book Antiqua" w:hAnsi="Book Antiqua"/>
          </w:rPr>
          <w:t>1</w:t>
        </w:r>
        <w:r w:rsidRPr="00916DD1">
          <w:rPr>
            <w:rFonts w:ascii="Book Antiqua" w:hAnsi="Book Antiqua"/>
            <w:noProof/>
          </w:rPr>
          <w:fldChar w:fldCharType="end"/>
        </w:r>
        <w:r>
          <w:rPr>
            <w:rFonts w:ascii="Book Antiqua" w:hAnsi="Book Antiqua"/>
            <w:noProof/>
          </w:rPr>
          <w:t xml:space="preserve"> -</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E91FC1" w14:textId="77777777" w:rsidR="00776F88" w:rsidRDefault="00776F88">
      <w:r>
        <w:separator/>
      </w:r>
    </w:p>
  </w:footnote>
  <w:footnote w:type="continuationSeparator" w:id="0">
    <w:p w14:paraId="3CE3EF28" w14:textId="77777777" w:rsidR="00776F88" w:rsidRDefault="00776F88">
      <w:r>
        <w:continuationSeparator/>
      </w:r>
    </w:p>
  </w:footnote>
  <w:footnote w:type="continuationNotice" w:id="1">
    <w:p w14:paraId="2125D2F3" w14:textId="77777777" w:rsidR="00776F88" w:rsidRDefault="00776F88">
      <w:pPr>
        <w:jc w:val="right"/>
        <w:rPr>
          <w:sz w:val="22"/>
        </w:rPr>
      </w:pPr>
    </w:p>
  </w:footnote>
  <w:footnote w:id="2">
    <w:p w14:paraId="643347AA" w14:textId="77777777" w:rsidR="00D2757A" w:rsidRPr="00383A4C" w:rsidRDefault="00D2757A" w:rsidP="00383A4C">
      <w:pPr>
        <w:pStyle w:val="FootnoteText"/>
        <w:spacing w:after="120"/>
        <w:rPr>
          <w:rFonts w:ascii="Book Antiqua" w:hAnsi="Book Antiqua"/>
          <w:sz w:val="22"/>
          <w:szCs w:val="22"/>
        </w:rPr>
      </w:pPr>
      <w:r w:rsidRPr="00383A4C">
        <w:rPr>
          <w:rStyle w:val="FootnoteReference"/>
          <w:rFonts w:ascii="Book Antiqua" w:hAnsi="Book Antiqua"/>
          <w:sz w:val="22"/>
          <w:szCs w:val="22"/>
        </w:rPr>
        <w:footnoteRef/>
      </w:r>
      <w:r w:rsidRPr="00383A4C">
        <w:rPr>
          <w:rFonts w:ascii="Book Antiqua" w:hAnsi="Book Antiqua"/>
          <w:sz w:val="22"/>
          <w:szCs w:val="22"/>
        </w:rPr>
        <w:t xml:space="preserve">  While this application was filed pursuant to Pub. Util. Code </w:t>
      </w:r>
      <w:r w:rsidR="002F4769" w:rsidRPr="00383A4C">
        <w:rPr>
          <w:rFonts w:ascii="Book Antiqua" w:hAnsi="Book Antiqua"/>
          <w:sz w:val="22"/>
          <w:szCs w:val="22"/>
        </w:rPr>
        <w:t>S</w:t>
      </w:r>
      <w:r w:rsidR="00705C06" w:rsidRPr="00383A4C">
        <w:rPr>
          <w:rFonts w:ascii="Book Antiqua" w:hAnsi="Book Antiqua"/>
          <w:sz w:val="22"/>
          <w:szCs w:val="22"/>
        </w:rPr>
        <w:t>ection</w:t>
      </w:r>
      <w:r w:rsidRPr="00383A4C">
        <w:rPr>
          <w:rFonts w:ascii="Book Antiqua" w:hAnsi="Book Antiqua"/>
          <w:sz w:val="22"/>
          <w:szCs w:val="22"/>
        </w:rPr>
        <w:t> 1013, an expedited and ministerial registration process, the determination it did</w:t>
      </w:r>
      <w:r w:rsidR="00690D64" w:rsidRPr="00383A4C">
        <w:rPr>
          <w:rFonts w:ascii="Book Antiqua" w:hAnsi="Book Antiqua"/>
          <w:sz w:val="22"/>
          <w:szCs w:val="22"/>
        </w:rPr>
        <w:t xml:space="preserve"> </w:t>
      </w:r>
      <w:r w:rsidRPr="00383A4C">
        <w:rPr>
          <w:rFonts w:ascii="Book Antiqua" w:hAnsi="Book Antiqua"/>
          <w:sz w:val="22"/>
          <w:szCs w:val="22"/>
        </w:rPr>
        <w:t>n</w:t>
      </w:r>
      <w:r w:rsidR="00690D64" w:rsidRPr="00383A4C">
        <w:rPr>
          <w:rFonts w:ascii="Book Antiqua" w:hAnsi="Book Antiqua"/>
          <w:sz w:val="22"/>
          <w:szCs w:val="22"/>
        </w:rPr>
        <w:t>o</w:t>
      </w:r>
      <w:r w:rsidRPr="00383A4C">
        <w:rPr>
          <w:rFonts w:ascii="Book Antiqua" w:hAnsi="Book Antiqua"/>
          <w:sz w:val="22"/>
          <w:szCs w:val="22"/>
        </w:rPr>
        <w:t xml:space="preserve">t qualify for registration process and resulting assignment to an </w:t>
      </w:r>
      <w:r w:rsidR="000B2C4A" w:rsidRPr="00383A4C">
        <w:rPr>
          <w:rFonts w:ascii="Book Antiqua" w:hAnsi="Book Antiqua"/>
          <w:sz w:val="22"/>
          <w:szCs w:val="22"/>
        </w:rPr>
        <w:t>Administrative Law Judge (ALJ)</w:t>
      </w:r>
      <w:r w:rsidRPr="00383A4C">
        <w:rPr>
          <w:rFonts w:ascii="Book Antiqua" w:hAnsi="Book Antiqua"/>
          <w:sz w:val="22"/>
          <w:szCs w:val="22"/>
        </w:rPr>
        <w:t xml:space="preserve"> removed it from the registration track. It has therefore been evaluated as a </w:t>
      </w:r>
      <w:r w:rsidR="009A5D70" w:rsidRPr="00383A4C">
        <w:rPr>
          <w:rFonts w:ascii="Book Antiqua" w:hAnsi="Book Antiqua"/>
          <w:sz w:val="22"/>
          <w:szCs w:val="22"/>
        </w:rPr>
        <w:t>CPCN</w:t>
      </w:r>
      <w:r w:rsidRPr="00383A4C">
        <w:rPr>
          <w:rFonts w:ascii="Book Antiqua" w:hAnsi="Book Antiqua"/>
          <w:sz w:val="22"/>
          <w:szCs w:val="22"/>
        </w:rPr>
        <w:t xml:space="preserve"> under </w:t>
      </w:r>
      <w:r w:rsidR="002F4769" w:rsidRPr="00383A4C">
        <w:rPr>
          <w:rFonts w:ascii="Book Antiqua" w:hAnsi="Book Antiqua"/>
          <w:sz w:val="22"/>
          <w:szCs w:val="22"/>
        </w:rPr>
        <w:t>Pub. Util. Code S</w:t>
      </w:r>
      <w:r w:rsidR="00705C06" w:rsidRPr="00383A4C">
        <w:rPr>
          <w:rFonts w:ascii="Book Antiqua" w:hAnsi="Book Antiqua"/>
          <w:sz w:val="22"/>
          <w:szCs w:val="22"/>
        </w:rPr>
        <w:t>ection</w:t>
      </w:r>
      <w:r w:rsidRPr="00383A4C">
        <w:rPr>
          <w:rFonts w:ascii="Book Antiqua" w:hAnsi="Book Antiqua"/>
          <w:sz w:val="22"/>
          <w:szCs w:val="22"/>
        </w:rPr>
        <w:t> 1001.</w:t>
      </w:r>
    </w:p>
  </w:footnote>
  <w:footnote w:id="3">
    <w:p w14:paraId="1E513142" w14:textId="77777777" w:rsidR="00A21194" w:rsidRPr="00383A4C" w:rsidRDefault="00A21194" w:rsidP="00383A4C">
      <w:pPr>
        <w:pStyle w:val="ALJFootnote"/>
        <w:rPr>
          <w:szCs w:val="22"/>
        </w:rPr>
      </w:pPr>
      <w:r w:rsidRPr="00383A4C">
        <w:rPr>
          <w:rStyle w:val="FootnoteReference"/>
          <w:sz w:val="22"/>
          <w:szCs w:val="22"/>
        </w:rPr>
        <w:footnoteRef/>
      </w:r>
      <w:r w:rsidRPr="00383A4C">
        <w:rPr>
          <w:szCs w:val="22"/>
        </w:rPr>
        <w:t xml:space="preserve"> </w:t>
      </w:r>
      <w:r w:rsidR="00383A4C">
        <w:rPr>
          <w:szCs w:val="22"/>
        </w:rPr>
        <w:t xml:space="preserve"> </w:t>
      </w:r>
      <w:r w:rsidRPr="00383A4C">
        <w:rPr>
          <w:szCs w:val="22"/>
        </w:rPr>
        <w:t>Pub. Util. Code § 216.</w:t>
      </w:r>
    </w:p>
  </w:footnote>
  <w:footnote w:id="4">
    <w:p w14:paraId="2BDB650E" w14:textId="77777777" w:rsidR="00A21194" w:rsidRPr="00383A4C" w:rsidRDefault="00A21194" w:rsidP="00383A4C">
      <w:pPr>
        <w:pStyle w:val="ALJFootnote"/>
        <w:rPr>
          <w:szCs w:val="22"/>
        </w:rPr>
      </w:pPr>
      <w:r w:rsidRPr="00383A4C">
        <w:rPr>
          <w:rStyle w:val="FootnoteReference"/>
          <w:sz w:val="22"/>
          <w:szCs w:val="22"/>
        </w:rPr>
        <w:footnoteRef/>
      </w:r>
      <w:r w:rsidRPr="00383A4C">
        <w:rPr>
          <w:szCs w:val="22"/>
        </w:rPr>
        <w:t xml:space="preserve"> </w:t>
      </w:r>
      <w:r w:rsidR="00383A4C">
        <w:rPr>
          <w:szCs w:val="22"/>
        </w:rPr>
        <w:t xml:space="preserve"> </w:t>
      </w:r>
      <w:r w:rsidRPr="00383A4C">
        <w:rPr>
          <w:szCs w:val="22"/>
        </w:rPr>
        <w:t xml:space="preserve">Pub. Util. Code § 234. </w:t>
      </w:r>
    </w:p>
  </w:footnote>
  <w:footnote w:id="5">
    <w:p w14:paraId="1AC086C8" w14:textId="77777777" w:rsidR="00A21194" w:rsidRPr="00383A4C" w:rsidRDefault="00A21194" w:rsidP="00383A4C">
      <w:pPr>
        <w:pStyle w:val="FootnoteText"/>
        <w:spacing w:after="120"/>
        <w:rPr>
          <w:rFonts w:ascii="Book Antiqua" w:hAnsi="Book Antiqua"/>
          <w:sz w:val="22"/>
          <w:szCs w:val="22"/>
          <w:lang w:val="en-ZW"/>
        </w:rPr>
      </w:pPr>
      <w:r w:rsidRPr="00383A4C">
        <w:rPr>
          <w:rStyle w:val="FootnoteReference"/>
          <w:rFonts w:ascii="Book Antiqua" w:hAnsi="Book Antiqua"/>
          <w:sz w:val="22"/>
          <w:szCs w:val="22"/>
        </w:rPr>
        <w:footnoteRef/>
      </w:r>
      <w:r w:rsidRPr="00383A4C">
        <w:rPr>
          <w:rFonts w:ascii="Book Antiqua" w:hAnsi="Book Antiqua"/>
          <w:sz w:val="22"/>
          <w:szCs w:val="22"/>
        </w:rPr>
        <w:t xml:space="preserve"> </w:t>
      </w:r>
      <w:r w:rsidR="00383A4C">
        <w:rPr>
          <w:rFonts w:ascii="Book Antiqua" w:hAnsi="Book Antiqua"/>
          <w:sz w:val="22"/>
          <w:szCs w:val="22"/>
        </w:rPr>
        <w:t xml:space="preserve"> </w:t>
      </w:r>
      <w:r w:rsidR="00B66EBE" w:rsidRPr="00383A4C">
        <w:rPr>
          <w:rFonts w:ascii="Book Antiqua" w:hAnsi="Book Antiqua"/>
          <w:i/>
          <w:iCs/>
          <w:sz w:val="22"/>
          <w:szCs w:val="22"/>
        </w:rPr>
        <w:t>See</w:t>
      </w:r>
      <w:r w:rsidR="00B66EBE" w:rsidRPr="00383A4C">
        <w:rPr>
          <w:rFonts w:ascii="Book Antiqua" w:hAnsi="Book Antiqua"/>
          <w:sz w:val="22"/>
          <w:szCs w:val="22"/>
        </w:rPr>
        <w:t xml:space="preserve"> D.20-07-011, at 14-15, </w:t>
      </w:r>
      <w:r w:rsidR="00B66EBE" w:rsidRPr="00383A4C">
        <w:rPr>
          <w:rFonts w:ascii="Book Antiqua" w:hAnsi="Book Antiqua"/>
          <w:i/>
          <w:iCs/>
          <w:sz w:val="22"/>
          <w:szCs w:val="22"/>
        </w:rPr>
        <w:t>See</w:t>
      </w:r>
      <w:r w:rsidR="00B66EBE" w:rsidRPr="00383A4C">
        <w:rPr>
          <w:rFonts w:ascii="Book Antiqua" w:hAnsi="Book Antiqua"/>
          <w:sz w:val="22"/>
          <w:szCs w:val="22"/>
        </w:rPr>
        <w:t xml:space="preserve"> Cal. Const., Art. XII, §§ 1-6; Pub. Util. Code § 701.</w:t>
      </w:r>
    </w:p>
  </w:footnote>
  <w:footnote w:id="6">
    <w:p w14:paraId="66FF5F13" w14:textId="77777777" w:rsidR="00A21194" w:rsidRPr="00383A4C" w:rsidRDefault="00A21194" w:rsidP="00383A4C">
      <w:pPr>
        <w:pStyle w:val="FootnoteText"/>
        <w:spacing w:after="120"/>
        <w:rPr>
          <w:rFonts w:ascii="Book Antiqua" w:hAnsi="Book Antiqua"/>
          <w:sz w:val="22"/>
          <w:szCs w:val="22"/>
          <w:lang w:val="en-ZW"/>
        </w:rPr>
      </w:pPr>
      <w:r w:rsidRPr="00383A4C">
        <w:rPr>
          <w:rStyle w:val="FootnoteReference"/>
          <w:rFonts w:ascii="Book Antiqua" w:hAnsi="Book Antiqua"/>
          <w:sz w:val="22"/>
          <w:szCs w:val="22"/>
        </w:rPr>
        <w:footnoteRef/>
      </w:r>
      <w:r w:rsidRPr="00383A4C">
        <w:rPr>
          <w:rFonts w:ascii="Book Antiqua" w:hAnsi="Book Antiqua"/>
          <w:sz w:val="22"/>
          <w:szCs w:val="22"/>
        </w:rPr>
        <w:t xml:space="preserve"> </w:t>
      </w:r>
      <w:r w:rsidR="00383A4C">
        <w:rPr>
          <w:rFonts w:ascii="Book Antiqua" w:hAnsi="Book Antiqua"/>
          <w:sz w:val="22"/>
          <w:szCs w:val="22"/>
        </w:rPr>
        <w:t xml:space="preserve"> </w:t>
      </w:r>
      <w:r w:rsidRPr="00383A4C">
        <w:rPr>
          <w:rFonts w:ascii="Book Antiqua" w:hAnsi="Book Antiqua"/>
          <w:sz w:val="22"/>
          <w:szCs w:val="22"/>
          <w:lang w:val="en-ZW"/>
        </w:rPr>
        <w:t xml:space="preserve">Pub. Util. Code §§ </w:t>
      </w:r>
      <w:r w:rsidR="00131F7D" w:rsidRPr="00383A4C">
        <w:rPr>
          <w:rFonts w:ascii="Book Antiqua" w:hAnsi="Book Antiqua"/>
          <w:sz w:val="22"/>
          <w:szCs w:val="22"/>
          <w:lang w:val="en-ZW"/>
        </w:rPr>
        <w:t xml:space="preserve">216, </w:t>
      </w:r>
      <w:r w:rsidRPr="00383A4C">
        <w:rPr>
          <w:rFonts w:ascii="Book Antiqua" w:hAnsi="Book Antiqua"/>
          <w:sz w:val="22"/>
          <w:szCs w:val="22"/>
          <w:lang w:val="en-ZW"/>
        </w:rPr>
        <w:t>233, 234; D.2</w:t>
      </w:r>
      <w:r w:rsidR="00131F7D" w:rsidRPr="00383A4C">
        <w:rPr>
          <w:rFonts w:ascii="Book Antiqua" w:hAnsi="Book Antiqua"/>
          <w:sz w:val="22"/>
          <w:szCs w:val="22"/>
          <w:lang w:val="en-ZW"/>
        </w:rPr>
        <w:t>2</w:t>
      </w:r>
      <w:r w:rsidRPr="00383A4C">
        <w:rPr>
          <w:rFonts w:ascii="Book Antiqua" w:hAnsi="Book Antiqua"/>
          <w:sz w:val="22"/>
          <w:szCs w:val="22"/>
          <w:lang w:val="en-ZW"/>
        </w:rPr>
        <w:t>-</w:t>
      </w:r>
      <w:r w:rsidR="00131F7D" w:rsidRPr="00383A4C">
        <w:rPr>
          <w:rFonts w:ascii="Book Antiqua" w:hAnsi="Book Antiqua"/>
          <w:sz w:val="22"/>
          <w:szCs w:val="22"/>
          <w:lang w:val="en-ZW"/>
        </w:rPr>
        <w:t>10-021</w:t>
      </w:r>
      <w:r w:rsidRPr="00383A4C">
        <w:rPr>
          <w:rFonts w:ascii="Book Antiqua" w:hAnsi="Book Antiqua"/>
          <w:sz w:val="22"/>
          <w:szCs w:val="22"/>
          <w:lang w:val="en-ZW"/>
        </w:rPr>
        <w:t xml:space="preserve"> at </w:t>
      </w:r>
      <w:r w:rsidR="00131F7D" w:rsidRPr="00383A4C">
        <w:rPr>
          <w:rFonts w:ascii="Book Antiqua" w:hAnsi="Book Antiqua"/>
          <w:sz w:val="22"/>
          <w:szCs w:val="22"/>
          <w:lang w:val="en-ZW"/>
        </w:rPr>
        <w:t>6</w:t>
      </w:r>
      <w:r w:rsidRPr="00383A4C">
        <w:rPr>
          <w:rFonts w:ascii="Book Antiqua" w:hAnsi="Book Antiqua"/>
          <w:sz w:val="22"/>
          <w:szCs w:val="22"/>
          <w:lang w:val="en-ZW"/>
        </w:rPr>
        <w:t>8.</w:t>
      </w:r>
    </w:p>
  </w:footnote>
  <w:footnote w:id="7">
    <w:p w14:paraId="6DEF537C" w14:textId="77777777" w:rsidR="00A21194" w:rsidRPr="00383A4C" w:rsidRDefault="00A21194" w:rsidP="00383A4C">
      <w:pPr>
        <w:pStyle w:val="FootnoteText"/>
        <w:spacing w:after="120"/>
        <w:rPr>
          <w:rFonts w:ascii="Book Antiqua" w:hAnsi="Book Antiqua"/>
          <w:sz w:val="22"/>
          <w:szCs w:val="22"/>
          <w:lang w:val="en-ZW"/>
        </w:rPr>
      </w:pPr>
      <w:r w:rsidRPr="00383A4C">
        <w:rPr>
          <w:rStyle w:val="FootnoteReference"/>
          <w:rFonts w:ascii="Book Antiqua" w:hAnsi="Book Antiqua"/>
          <w:sz w:val="22"/>
          <w:szCs w:val="22"/>
        </w:rPr>
        <w:footnoteRef/>
      </w:r>
      <w:r w:rsidRPr="00383A4C">
        <w:rPr>
          <w:rFonts w:ascii="Book Antiqua" w:hAnsi="Book Antiqua"/>
          <w:sz w:val="22"/>
          <w:szCs w:val="22"/>
        </w:rPr>
        <w:t xml:space="preserve"> </w:t>
      </w:r>
      <w:r w:rsidR="00383A4C">
        <w:rPr>
          <w:rFonts w:ascii="Book Antiqua" w:hAnsi="Book Antiqua"/>
          <w:sz w:val="22"/>
          <w:szCs w:val="22"/>
        </w:rPr>
        <w:t xml:space="preserve"> </w:t>
      </w:r>
      <w:r w:rsidRPr="00383A4C">
        <w:rPr>
          <w:rFonts w:ascii="Book Antiqua" w:hAnsi="Book Antiqua"/>
          <w:sz w:val="22"/>
          <w:szCs w:val="22"/>
        </w:rPr>
        <w:t>Pub. Util. Code </w:t>
      </w:r>
      <w:r w:rsidRPr="00383A4C">
        <w:rPr>
          <w:rFonts w:ascii="Book Antiqua" w:hAnsi="Book Antiqua"/>
          <w:sz w:val="22"/>
          <w:szCs w:val="22"/>
          <w:lang w:val="en-ZW"/>
        </w:rPr>
        <w:t>§</w:t>
      </w:r>
      <w:r w:rsidRPr="00383A4C">
        <w:rPr>
          <w:rFonts w:ascii="Book Antiqua" w:hAnsi="Book Antiqua"/>
          <w:sz w:val="22"/>
          <w:szCs w:val="22"/>
        </w:rPr>
        <w:t> 216(a).</w:t>
      </w:r>
    </w:p>
  </w:footnote>
  <w:footnote w:id="8">
    <w:p w14:paraId="1162B85B" w14:textId="77777777" w:rsidR="00A21194" w:rsidRPr="00383A4C" w:rsidRDefault="00A21194" w:rsidP="00383A4C">
      <w:pPr>
        <w:pStyle w:val="FootnoteText"/>
        <w:spacing w:after="120"/>
        <w:rPr>
          <w:rFonts w:ascii="Book Antiqua" w:hAnsi="Book Antiqua"/>
          <w:sz w:val="22"/>
          <w:szCs w:val="22"/>
          <w:lang w:val="en-ZW"/>
        </w:rPr>
      </w:pPr>
      <w:r w:rsidRPr="00383A4C">
        <w:rPr>
          <w:rStyle w:val="FootnoteReference"/>
          <w:rFonts w:ascii="Book Antiqua" w:hAnsi="Book Antiqua"/>
          <w:sz w:val="22"/>
          <w:szCs w:val="22"/>
        </w:rPr>
        <w:footnoteRef/>
      </w:r>
      <w:r w:rsidRPr="00383A4C">
        <w:rPr>
          <w:rFonts w:ascii="Book Antiqua" w:hAnsi="Book Antiqua"/>
          <w:sz w:val="22"/>
          <w:szCs w:val="22"/>
        </w:rPr>
        <w:t xml:space="preserve"> </w:t>
      </w:r>
      <w:r w:rsidR="00383A4C">
        <w:rPr>
          <w:rFonts w:ascii="Book Antiqua" w:hAnsi="Book Antiqua"/>
          <w:sz w:val="22"/>
          <w:szCs w:val="22"/>
        </w:rPr>
        <w:t xml:space="preserve"> </w:t>
      </w:r>
      <w:r w:rsidRPr="00383A4C">
        <w:rPr>
          <w:rFonts w:ascii="Book Antiqua" w:hAnsi="Book Antiqua"/>
          <w:sz w:val="22"/>
          <w:szCs w:val="22"/>
          <w:lang w:val="en-ZW"/>
        </w:rPr>
        <w:t xml:space="preserve">Telephone corporations are required </w:t>
      </w:r>
      <w:r w:rsidRPr="00383A4C">
        <w:rPr>
          <w:rFonts w:ascii="Book Antiqua" w:hAnsi="Book Antiqua"/>
          <w:sz w:val="22"/>
          <w:szCs w:val="22"/>
        </w:rPr>
        <w:t>to file annual affiliate transaction reports, and pay surcharges and user fees.</w:t>
      </w:r>
    </w:p>
  </w:footnote>
  <w:footnote w:id="9">
    <w:p w14:paraId="13473BBA" w14:textId="77777777" w:rsidR="00A21194" w:rsidRPr="00383A4C" w:rsidRDefault="00A21194" w:rsidP="00383A4C">
      <w:pPr>
        <w:pStyle w:val="FootnoteText"/>
        <w:spacing w:after="120"/>
        <w:rPr>
          <w:rFonts w:ascii="Book Antiqua" w:hAnsi="Book Antiqua"/>
          <w:sz w:val="22"/>
          <w:szCs w:val="22"/>
          <w:lang w:val="en-ZW"/>
        </w:rPr>
      </w:pPr>
      <w:r w:rsidRPr="00383A4C">
        <w:rPr>
          <w:rStyle w:val="FootnoteReference"/>
          <w:rFonts w:ascii="Book Antiqua" w:hAnsi="Book Antiqua"/>
          <w:sz w:val="22"/>
          <w:szCs w:val="22"/>
        </w:rPr>
        <w:footnoteRef/>
      </w:r>
      <w:r w:rsidRPr="00383A4C">
        <w:rPr>
          <w:rFonts w:ascii="Book Antiqua" w:hAnsi="Book Antiqua"/>
          <w:sz w:val="22"/>
          <w:szCs w:val="22"/>
        </w:rPr>
        <w:t xml:space="preserve"> </w:t>
      </w:r>
      <w:r w:rsidR="00383A4C">
        <w:rPr>
          <w:rFonts w:ascii="Book Antiqua" w:hAnsi="Book Antiqua"/>
          <w:sz w:val="22"/>
          <w:szCs w:val="22"/>
        </w:rPr>
        <w:t xml:space="preserve"> </w:t>
      </w:r>
      <w:r w:rsidRPr="00383A4C">
        <w:rPr>
          <w:rFonts w:ascii="Book Antiqua" w:hAnsi="Book Antiqua"/>
          <w:sz w:val="22"/>
          <w:szCs w:val="22"/>
        </w:rPr>
        <w:t xml:space="preserve">Pub. Util. Code </w:t>
      </w:r>
      <w:r w:rsidRPr="00383A4C">
        <w:rPr>
          <w:rFonts w:ascii="Book Antiqua" w:hAnsi="Book Antiqua"/>
          <w:sz w:val="22"/>
          <w:szCs w:val="22"/>
          <w:lang w:val="en-ZW"/>
        </w:rPr>
        <w:t>§</w:t>
      </w:r>
      <w:r w:rsidRPr="00383A4C">
        <w:rPr>
          <w:rFonts w:ascii="Book Antiqua" w:hAnsi="Book Antiqua"/>
          <w:sz w:val="22"/>
          <w:szCs w:val="22"/>
        </w:rPr>
        <w:t xml:space="preserve"> 1001.</w:t>
      </w:r>
    </w:p>
  </w:footnote>
  <w:footnote w:id="10">
    <w:p w14:paraId="2ECAF8AE" w14:textId="77777777" w:rsidR="003F3E04" w:rsidRPr="00383A4C" w:rsidRDefault="003F3E04" w:rsidP="00383A4C">
      <w:pPr>
        <w:pStyle w:val="FootnoteText"/>
        <w:spacing w:after="120"/>
        <w:rPr>
          <w:rFonts w:ascii="Book Antiqua" w:hAnsi="Book Antiqua"/>
          <w:sz w:val="22"/>
          <w:szCs w:val="22"/>
          <w:lang w:val="en-ZW"/>
        </w:rPr>
      </w:pPr>
      <w:r w:rsidRPr="00383A4C">
        <w:rPr>
          <w:rStyle w:val="FootnoteReference"/>
          <w:rFonts w:ascii="Book Antiqua" w:hAnsi="Book Antiqua"/>
          <w:sz w:val="22"/>
          <w:szCs w:val="22"/>
        </w:rPr>
        <w:footnoteRef/>
      </w:r>
      <w:r w:rsidRPr="00383A4C">
        <w:rPr>
          <w:rFonts w:ascii="Book Antiqua" w:hAnsi="Book Antiqua"/>
          <w:sz w:val="22"/>
          <w:szCs w:val="22"/>
        </w:rPr>
        <w:t xml:space="preserve"> </w:t>
      </w:r>
      <w:r w:rsidR="00383A4C">
        <w:rPr>
          <w:rFonts w:ascii="Book Antiqua" w:hAnsi="Book Antiqua"/>
          <w:sz w:val="22"/>
          <w:szCs w:val="22"/>
        </w:rPr>
        <w:t xml:space="preserve"> </w:t>
      </w:r>
      <w:r w:rsidRPr="00383A4C">
        <w:rPr>
          <w:rFonts w:ascii="Book Antiqua" w:hAnsi="Book Antiqua"/>
          <w:sz w:val="22"/>
          <w:szCs w:val="22"/>
          <w:lang w:val="en-ZW"/>
        </w:rPr>
        <w:t>Pub. Util. Code §§ 216, 233, 234; D.22-10-021 at 68; D.24-11-</w:t>
      </w:r>
      <w:r w:rsidR="00F70F65" w:rsidRPr="00383A4C">
        <w:rPr>
          <w:rFonts w:ascii="Book Antiqua" w:hAnsi="Book Antiqua"/>
          <w:sz w:val="22"/>
          <w:szCs w:val="22"/>
          <w:lang w:val="en-ZW"/>
        </w:rPr>
        <w:t>003</w:t>
      </w:r>
      <w:r w:rsidRPr="00383A4C">
        <w:rPr>
          <w:rFonts w:ascii="Book Antiqua" w:hAnsi="Book Antiqua"/>
          <w:sz w:val="22"/>
          <w:szCs w:val="22"/>
          <w:lang w:val="en-ZW"/>
        </w:rPr>
        <w:t xml:space="preserve"> at </w:t>
      </w:r>
      <w:r w:rsidR="004C2E1D" w:rsidRPr="00383A4C">
        <w:rPr>
          <w:rFonts w:ascii="Book Antiqua" w:hAnsi="Book Antiqua"/>
          <w:sz w:val="22"/>
          <w:szCs w:val="22"/>
          <w:lang w:val="en-ZW"/>
        </w:rPr>
        <w:t>003</w:t>
      </w:r>
      <w:r w:rsidRPr="00383A4C">
        <w:rPr>
          <w:rFonts w:ascii="Book Antiqua" w:hAnsi="Book Antiqua"/>
          <w:sz w:val="22"/>
          <w:szCs w:val="22"/>
          <w:lang w:val="en-ZW"/>
        </w:rPr>
        <w:t>.</w:t>
      </w:r>
    </w:p>
  </w:footnote>
  <w:footnote w:id="11">
    <w:p w14:paraId="3BB30833" w14:textId="77777777" w:rsidR="003F3E04" w:rsidRPr="00383A4C" w:rsidRDefault="003F3E04" w:rsidP="00383A4C">
      <w:pPr>
        <w:pStyle w:val="FootnoteText"/>
        <w:spacing w:after="120"/>
        <w:rPr>
          <w:rFonts w:ascii="Book Antiqua" w:hAnsi="Book Antiqua"/>
          <w:sz w:val="22"/>
          <w:szCs w:val="22"/>
          <w:lang w:val="en-ZW"/>
        </w:rPr>
      </w:pPr>
      <w:r w:rsidRPr="00383A4C">
        <w:rPr>
          <w:rStyle w:val="FootnoteReference"/>
          <w:rFonts w:ascii="Book Antiqua" w:hAnsi="Book Antiqua"/>
          <w:sz w:val="22"/>
          <w:szCs w:val="22"/>
        </w:rPr>
        <w:footnoteRef/>
      </w:r>
      <w:r w:rsidRPr="00383A4C">
        <w:rPr>
          <w:rFonts w:ascii="Book Antiqua" w:hAnsi="Book Antiqua"/>
          <w:sz w:val="22"/>
          <w:szCs w:val="22"/>
        </w:rPr>
        <w:t xml:space="preserve"> </w:t>
      </w:r>
      <w:r w:rsidR="00383A4C">
        <w:rPr>
          <w:rFonts w:ascii="Book Antiqua" w:hAnsi="Book Antiqua"/>
          <w:sz w:val="22"/>
          <w:szCs w:val="22"/>
        </w:rPr>
        <w:t xml:space="preserve"> </w:t>
      </w:r>
      <w:r w:rsidRPr="00383A4C">
        <w:rPr>
          <w:rFonts w:ascii="Book Antiqua" w:hAnsi="Book Antiqua"/>
          <w:sz w:val="22"/>
          <w:szCs w:val="22"/>
          <w:lang w:val="en-ZW"/>
        </w:rPr>
        <w:t>D.24-11-0</w:t>
      </w:r>
      <w:r w:rsidR="004C2E1D" w:rsidRPr="00383A4C">
        <w:rPr>
          <w:rFonts w:ascii="Book Antiqua" w:hAnsi="Book Antiqua"/>
          <w:sz w:val="22"/>
          <w:szCs w:val="22"/>
          <w:lang w:val="en-ZW"/>
        </w:rPr>
        <w:t>03</w:t>
      </w:r>
      <w:r w:rsidRPr="00383A4C">
        <w:rPr>
          <w:rFonts w:ascii="Book Antiqua" w:hAnsi="Book Antiqua"/>
          <w:sz w:val="22"/>
          <w:szCs w:val="22"/>
          <w:lang w:val="en-ZW"/>
        </w:rPr>
        <w:t>.</w:t>
      </w:r>
    </w:p>
  </w:footnote>
  <w:footnote w:id="12">
    <w:p w14:paraId="5E4E4FF6" w14:textId="77777777" w:rsidR="003F3E04" w:rsidRPr="00383A4C" w:rsidRDefault="003F3E04" w:rsidP="00383A4C">
      <w:pPr>
        <w:pStyle w:val="FootnoteText"/>
        <w:spacing w:after="120"/>
        <w:rPr>
          <w:rFonts w:ascii="Book Antiqua" w:eastAsia="Book Antiqua" w:hAnsi="Book Antiqua" w:cs="Book Antiqua"/>
          <w:sz w:val="22"/>
          <w:szCs w:val="22"/>
          <w:lang w:val="en-ZW"/>
        </w:rPr>
      </w:pPr>
      <w:r w:rsidRPr="00383A4C">
        <w:rPr>
          <w:rStyle w:val="FootnoteReference"/>
          <w:rFonts w:ascii="Book Antiqua" w:eastAsia="Book Antiqua" w:hAnsi="Book Antiqua" w:cs="Book Antiqua"/>
          <w:sz w:val="22"/>
          <w:szCs w:val="22"/>
        </w:rPr>
        <w:footnoteRef/>
      </w:r>
      <w:r w:rsidR="4372617A" w:rsidRPr="00383A4C">
        <w:rPr>
          <w:rFonts w:ascii="Book Antiqua" w:eastAsia="Book Antiqua" w:hAnsi="Book Antiqua" w:cs="Book Antiqua"/>
          <w:sz w:val="22"/>
          <w:szCs w:val="22"/>
        </w:rPr>
        <w:t xml:space="preserve"> </w:t>
      </w:r>
      <w:r w:rsidR="00383A4C">
        <w:rPr>
          <w:rFonts w:ascii="Book Antiqua" w:eastAsia="Book Antiqua" w:hAnsi="Book Antiqua" w:cs="Book Antiqua"/>
          <w:sz w:val="22"/>
          <w:szCs w:val="22"/>
        </w:rPr>
        <w:t xml:space="preserve"> </w:t>
      </w:r>
      <w:r w:rsidR="00924B86" w:rsidRPr="00383A4C">
        <w:rPr>
          <w:rFonts w:ascii="Book Antiqua" w:eastAsia="Book Antiqua" w:hAnsi="Book Antiqua" w:cs="Book Antiqua"/>
          <w:i/>
          <w:iCs/>
          <w:sz w:val="22"/>
          <w:szCs w:val="22"/>
          <w:lang w:val="en-ZW"/>
        </w:rPr>
        <w:t>Ibid</w:t>
      </w:r>
      <w:r w:rsidR="4372617A" w:rsidRPr="00383A4C">
        <w:rPr>
          <w:rFonts w:ascii="Book Antiqua" w:eastAsia="Book Antiqua" w:hAnsi="Book Antiqua" w:cs="Book Antiqua"/>
          <w:sz w:val="22"/>
          <w:szCs w:val="22"/>
          <w:lang w:val="en-ZW"/>
        </w:rPr>
        <w:t>.</w:t>
      </w:r>
    </w:p>
  </w:footnote>
  <w:footnote w:id="13">
    <w:p w14:paraId="7D5E7C7C" w14:textId="77777777" w:rsidR="00D2757A" w:rsidRPr="00383A4C" w:rsidRDefault="00D2757A" w:rsidP="00383A4C">
      <w:pPr>
        <w:pStyle w:val="FootnoteText"/>
        <w:spacing w:after="120"/>
        <w:rPr>
          <w:rFonts w:ascii="Book Antiqua" w:hAnsi="Book Antiqua"/>
          <w:sz w:val="22"/>
          <w:szCs w:val="22"/>
        </w:rPr>
      </w:pPr>
      <w:r w:rsidRPr="00383A4C">
        <w:rPr>
          <w:rStyle w:val="FootnoteReferencebyTim"/>
          <w:rFonts w:ascii="Book Antiqua" w:hAnsi="Book Antiqua"/>
        </w:rPr>
        <w:footnoteRef/>
      </w:r>
      <w:r w:rsidRPr="00383A4C">
        <w:rPr>
          <w:rFonts w:ascii="Book Antiqua" w:hAnsi="Book Antiqua"/>
          <w:sz w:val="22"/>
          <w:szCs w:val="22"/>
        </w:rPr>
        <w:t xml:space="preserve">  Public Resources Code</w:t>
      </w:r>
      <w:r w:rsidR="003E48C0" w:rsidRPr="00383A4C">
        <w:rPr>
          <w:rFonts w:ascii="Book Antiqua" w:hAnsi="Book Antiqua"/>
          <w:sz w:val="22"/>
          <w:szCs w:val="22"/>
        </w:rPr>
        <w:t> </w:t>
      </w:r>
      <w:r w:rsidRPr="00383A4C">
        <w:rPr>
          <w:rFonts w:ascii="Book Antiqua" w:hAnsi="Book Antiqua"/>
          <w:sz w:val="22"/>
          <w:szCs w:val="22"/>
        </w:rPr>
        <w:t>§</w:t>
      </w:r>
      <w:r w:rsidR="003E48C0" w:rsidRPr="00383A4C">
        <w:rPr>
          <w:rFonts w:ascii="Book Antiqua" w:hAnsi="Book Antiqua"/>
          <w:sz w:val="22"/>
          <w:szCs w:val="22"/>
        </w:rPr>
        <w:t> </w:t>
      </w:r>
      <w:r w:rsidRPr="00383A4C">
        <w:rPr>
          <w:rFonts w:ascii="Book Antiqua" w:hAnsi="Book Antiqua"/>
          <w:sz w:val="22"/>
          <w:szCs w:val="22"/>
        </w:rPr>
        <w:t xml:space="preserve">21000 </w:t>
      </w:r>
      <w:r w:rsidRPr="00383A4C">
        <w:rPr>
          <w:rFonts w:ascii="Book Antiqua" w:hAnsi="Book Antiqua"/>
          <w:i/>
          <w:sz w:val="22"/>
          <w:szCs w:val="22"/>
        </w:rPr>
        <w:t>et seq</w:t>
      </w:r>
      <w:r w:rsidRPr="00383A4C">
        <w:rPr>
          <w:rFonts w:ascii="Book Antiqua" w:hAnsi="Book Antiqua"/>
          <w:sz w:val="22"/>
          <w:szCs w:val="22"/>
        </w:rPr>
        <w:t xml:space="preserve">.  </w:t>
      </w:r>
    </w:p>
  </w:footnote>
  <w:footnote w:id="14">
    <w:p w14:paraId="2CDAA55F" w14:textId="77777777" w:rsidR="00AA390F" w:rsidRPr="00383A4C" w:rsidRDefault="00AA390F" w:rsidP="00383A4C">
      <w:pPr>
        <w:pStyle w:val="FootnoteText"/>
        <w:spacing w:after="120"/>
        <w:rPr>
          <w:rFonts w:ascii="Book Antiqua" w:hAnsi="Book Antiqua"/>
          <w:sz w:val="22"/>
          <w:szCs w:val="22"/>
          <w:lang w:val="en-ZW"/>
        </w:rPr>
      </w:pPr>
      <w:r w:rsidRPr="00383A4C">
        <w:rPr>
          <w:rStyle w:val="FootnoteReference"/>
          <w:rFonts w:ascii="Book Antiqua" w:hAnsi="Book Antiqua"/>
          <w:sz w:val="22"/>
          <w:szCs w:val="22"/>
        </w:rPr>
        <w:footnoteRef/>
      </w:r>
      <w:r w:rsidRPr="00383A4C">
        <w:rPr>
          <w:rFonts w:ascii="Book Antiqua" w:hAnsi="Book Antiqua"/>
          <w:sz w:val="22"/>
          <w:szCs w:val="22"/>
        </w:rPr>
        <w:t xml:space="preserve"> </w:t>
      </w:r>
      <w:r w:rsidR="00383A4C">
        <w:rPr>
          <w:rFonts w:ascii="Book Antiqua" w:hAnsi="Book Antiqua"/>
          <w:sz w:val="22"/>
          <w:szCs w:val="22"/>
        </w:rPr>
        <w:t xml:space="preserve"> </w:t>
      </w:r>
      <w:r w:rsidRPr="00383A4C">
        <w:rPr>
          <w:rFonts w:ascii="Book Antiqua" w:hAnsi="Book Antiqua"/>
          <w:i/>
          <w:iCs/>
          <w:sz w:val="22"/>
          <w:szCs w:val="22"/>
          <w:lang w:val="en-ZW"/>
        </w:rPr>
        <w:t>See</w:t>
      </w:r>
      <w:r w:rsidRPr="00383A4C">
        <w:rPr>
          <w:rFonts w:ascii="Book Antiqua" w:hAnsi="Book Antiqua"/>
          <w:sz w:val="22"/>
          <w:szCs w:val="22"/>
          <w:lang w:val="en-ZW"/>
        </w:rPr>
        <w:t xml:space="preserve"> D.99-10-025; D.24-11-003.</w:t>
      </w:r>
    </w:p>
  </w:footnote>
  <w:footnote w:id="15">
    <w:p w14:paraId="5B06FEF5" w14:textId="77777777" w:rsidR="00D2757A" w:rsidRPr="00383A4C" w:rsidRDefault="00D2757A" w:rsidP="00383A4C">
      <w:pPr>
        <w:pStyle w:val="FootnoteText"/>
        <w:spacing w:after="120"/>
        <w:rPr>
          <w:rFonts w:ascii="Book Antiqua" w:hAnsi="Book Antiqua"/>
          <w:sz w:val="22"/>
          <w:szCs w:val="22"/>
        </w:rPr>
      </w:pPr>
      <w:r w:rsidRPr="00383A4C">
        <w:rPr>
          <w:rStyle w:val="FootnoteReference"/>
          <w:rFonts w:ascii="Book Antiqua" w:hAnsi="Book Antiqua"/>
          <w:sz w:val="22"/>
          <w:szCs w:val="22"/>
        </w:rPr>
        <w:footnoteRef/>
      </w:r>
      <w:r w:rsidR="4372617A" w:rsidRPr="00383A4C">
        <w:rPr>
          <w:rFonts w:ascii="Book Antiqua" w:hAnsi="Book Antiqua"/>
          <w:sz w:val="22"/>
          <w:szCs w:val="22"/>
        </w:rPr>
        <w:t xml:space="preserve">  The financial requirement for </w:t>
      </w:r>
      <w:r w:rsidR="007B688B" w:rsidRPr="00383A4C">
        <w:rPr>
          <w:rFonts w:ascii="Book Antiqua" w:hAnsi="Book Antiqua"/>
          <w:sz w:val="22"/>
          <w:szCs w:val="22"/>
        </w:rPr>
        <w:t>Competitive Local Exchange Carriers</w:t>
      </w:r>
      <w:r w:rsidR="00B40250" w:rsidRPr="00383A4C">
        <w:rPr>
          <w:rFonts w:ascii="Book Antiqua" w:hAnsi="Book Antiqua"/>
          <w:sz w:val="22"/>
          <w:szCs w:val="22"/>
        </w:rPr>
        <w:t xml:space="preserve"> (</w:t>
      </w:r>
      <w:r w:rsidR="4372617A" w:rsidRPr="00383A4C">
        <w:rPr>
          <w:rFonts w:ascii="Book Antiqua" w:hAnsi="Book Antiqua"/>
          <w:sz w:val="22"/>
          <w:szCs w:val="22"/>
        </w:rPr>
        <w:t>CLECs</w:t>
      </w:r>
      <w:r w:rsidR="00B40250" w:rsidRPr="00383A4C">
        <w:rPr>
          <w:rFonts w:ascii="Book Antiqua" w:hAnsi="Book Antiqua"/>
          <w:sz w:val="22"/>
          <w:szCs w:val="22"/>
        </w:rPr>
        <w:t>)</w:t>
      </w:r>
      <w:r w:rsidR="4372617A" w:rsidRPr="00383A4C">
        <w:rPr>
          <w:rFonts w:ascii="Book Antiqua" w:hAnsi="Book Antiqua"/>
          <w:sz w:val="22"/>
          <w:szCs w:val="22"/>
        </w:rPr>
        <w:t xml:space="preserve">, NDIECs, and </w:t>
      </w:r>
      <w:r w:rsidR="00341162" w:rsidRPr="00383A4C">
        <w:rPr>
          <w:rFonts w:ascii="Book Antiqua" w:hAnsi="Book Antiqua"/>
          <w:sz w:val="22"/>
          <w:szCs w:val="22"/>
        </w:rPr>
        <w:t xml:space="preserve">fixed interconnected </w:t>
      </w:r>
      <w:r w:rsidR="4372617A" w:rsidRPr="00383A4C">
        <w:rPr>
          <w:rFonts w:ascii="Book Antiqua" w:hAnsi="Book Antiqua"/>
          <w:sz w:val="22"/>
          <w:szCs w:val="22"/>
        </w:rPr>
        <w:t>VoIP providers is contained in D.24-11-003, Appendix F.</w:t>
      </w:r>
    </w:p>
  </w:footnote>
  <w:footnote w:id="16">
    <w:p w14:paraId="366FE7DA" w14:textId="77777777" w:rsidR="00D2757A" w:rsidRPr="00383A4C" w:rsidRDefault="00D2757A" w:rsidP="00383A4C">
      <w:pPr>
        <w:pStyle w:val="FootnoteText"/>
        <w:spacing w:after="120"/>
        <w:rPr>
          <w:rFonts w:ascii="Book Antiqua" w:hAnsi="Book Antiqua"/>
          <w:sz w:val="22"/>
          <w:szCs w:val="22"/>
        </w:rPr>
      </w:pPr>
      <w:r w:rsidRPr="00383A4C">
        <w:rPr>
          <w:rStyle w:val="FootnoteReference"/>
          <w:rFonts w:ascii="Book Antiqua" w:hAnsi="Book Antiqua"/>
          <w:sz w:val="22"/>
          <w:szCs w:val="22"/>
        </w:rPr>
        <w:footnoteRef/>
      </w:r>
      <w:r w:rsidR="4372617A" w:rsidRPr="00383A4C">
        <w:rPr>
          <w:rFonts w:ascii="Book Antiqua" w:hAnsi="Book Antiqua"/>
          <w:sz w:val="22"/>
          <w:szCs w:val="22"/>
        </w:rPr>
        <w:t xml:space="preserve">  D.95-12</w:t>
      </w:r>
      <w:r w:rsidR="00425E29" w:rsidRPr="00383A4C">
        <w:rPr>
          <w:rFonts w:ascii="Book Antiqua" w:hAnsi="Book Antiqua"/>
          <w:sz w:val="22"/>
          <w:szCs w:val="22"/>
        </w:rPr>
        <w:noBreakHyphen/>
      </w:r>
      <w:r w:rsidR="4372617A" w:rsidRPr="00383A4C">
        <w:rPr>
          <w:rFonts w:ascii="Book Antiqua" w:hAnsi="Book Antiqua"/>
          <w:sz w:val="22"/>
          <w:szCs w:val="22"/>
        </w:rPr>
        <w:t>056 at Appendix C, Rule 4.A</w:t>
      </w:r>
      <w:r w:rsidR="009B4B16" w:rsidRPr="00383A4C">
        <w:rPr>
          <w:rFonts w:ascii="Book Antiqua" w:hAnsi="Book Antiqua"/>
          <w:sz w:val="22"/>
          <w:szCs w:val="22"/>
        </w:rPr>
        <w:t xml:space="preserve"> as modified by D.13-05-035 and </w:t>
      </w:r>
      <w:r w:rsidR="4372617A" w:rsidRPr="00383A4C">
        <w:rPr>
          <w:rFonts w:ascii="Book Antiqua" w:hAnsi="Book Antiqua"/>
          <w:sz w:val="22"/>
          <w:szCs w:val="22"/>
        </w:rPr>
        <w:t>D.24-11-003</w:t>
      </w:r>
      <w:r w:rsidR="009B4B16" w:rsidRPr="00383A4C">
        <w:rPr>
          <w:rFonts w:ascii="Book Antiqua" w:hAnsi="Book Antiqua"/>
          <w:sz w:val="22"/>
          <w:szCs w:val="22"/>
        </w:rPr>
        <w:t>.</w:t>
      </w:r>
    </w:p>
  </w:footnote>
  <w:footnote w:id="17">
    <w:p w14:paraId="7E1E70C8" w14:textId="77777777" w:rsidR="00D2757A" w:rsidRPr="00383A4C" w:rsidRDefault="00D2757A" w:rsidP="00383A4C">
      <w:pPr>
        <w:pStyle w:val="FootnoteText"/>
        <w:spacing w:after="120"/>
        <w:rPr>
          <w:rFonts w:ascii="Book Antiqua" w:hAnsi="Book Antiqua"/>
          <w:sz w:val="22"/>
          <w:szCs w:val="22"/>
        </w:rPr>
      </w:pPr>
      <w:r w:rsidRPr="00383A4C">
        <w:rPr>
          <w:rStyle w:val="FootnoteReference"/>
          <w:rFonts w:ascii="Book Antiqua" w:hAnsi="Book Antiqua"/>
          <w:sz w:val="22"/>
          <w:szCs w:val="22"/>
        </w:rPr>
        <w:footnoteRef/>
      </w:r>
      <w:r w:rsidR="4372617A" w:rsidRPr="00383A4C">
        <w:rPr>
          <w:rFonts w:ascii="Book Antiqua" w:hAnsi="Book Antiqua"/>
          <w:sz w:val="22"/>
          <w:szCs w:val="22"/>
        </w:rPr>
        <w:t xml:space="preserve">  These certifications are required by D.13</w:t>
      </w:r>
      <w:r w:rsidR="00FF6028" w:rsidRPr="00383A4C">
        <w:rPr>
          <w:rFonts w:ascii="Book Antiqua" w:hAnsi="Book Antiqua"/>
          <w:sz w:val="22"/>
          <w:szCs w:val="22"/>
        </w:rPr>
        <w:noBreakHyphen/>
      </w:r>
      <w:r w:rsidR="4372617A" w:rsidRPr="00383A4C">
        <w:rPr>
          <w:rFonts w:ascii="Book Antiqua" w:hAnsi="Book Antiqua"/>
          <w:sz w:val="22"/>
          <w:szCs w:val="22"/>
        </w:rPr>
        <w:t>05</w:t>
      </w:r>
      <w:r w:rsidR="00FF6028" w:rsidRPr="00383A4C">
        <w:rPr>
          <w:rFonts w:ascii="Book Antiqua" w:hAnsi="Book Antiqua"/>
          <w:sz w:val="22"/>
          <w:szCs w:val="22"/>
        </w:rPr>
        <w:noBreakHyphen/>
      </w:r>
      <w:r w:rsidR="4372617A" w:rsidRPr="00383A4C">
        <w:rPr>
          <w:rFonts w:ascii="Book Antiqua" w:hAnsi="Book Antiqua"/>
          <w:sz w:val="22"/>
          <w:szCs w:val="22"/>
        </w:rPr>
        <w:t>035, OP 14; D.24-11-003.</w:t>
      </w:r>
    </w:p>
  </w:footnote>
  <w:footnote w:id="18">
    <w:p w14:paraId="70D999A5" w14:textId="77777777" w:rsidR="00D2757A" w:rsidRPr="00383A4C" w:rsidRDefault="00D2757A" w:rsidP="00383A4C">
      <w:pPr>
        <w:pStyle w:val="FootnoteText"/>
        <w:spacing w:after="120"/>
        <w:rPr>
          <w:rFonts w:ascii="Book Antiqua" w:hAnsi="Book Antiqua"/>
          <w:sz w:val="22"/>
          <w:szCs w:val="22"/>
        </w:rPr>
      </w:pPr>
      <w:r w:rsidRPr="00383A4C">
        <w:rPr>
          <w:rStyle w:val="FootnoteReference"/>
          <w:rFonts w:ascii="Book Antiqua" w:hAnsi="Book Antiqua"/>
          <w:sz w:val="22"/>
          <w:szCs w:val="22"/>
        </w:rPr>
        <w:footnoteRef/>
      </w:r>
      <w:r w:rsidRPr="00383A4C">
        <w:rPr>
          <w:rFonts w:ascii="Book Antiqua" w:hAnsi="Book Antiqua"/>
          <w:sz w:val="22"/>
          <w:szCs w:val="22"/>
        </w:rPr>
        <w:t xml:space="preserve"> </w:t>
      </w:r>
      <w:r w:rsidR="00FF6028" w:rsidRPr="00383A4C">
        <w:rPr>
          <w:rFonts w:ascii="Book Antiqua" w:hAnsi="Book Antiqua"/>
          <w:sz w:val="22"/>
          <w:szCs w:val="22"/>
        </w:rPr>
        <w:t xml:space="preserve"> </w:t>
      </w:r>
      <w:r w:rsidRPr="00383A4C">
        <w:rPr>
          <w:rFonts w:ascii="Book Antiqua" w:hAnsi="Book Antiqua"/>
          <w:i/>
          <w:sz w:val="22"/>
          <w:szCs w:val="22"/>
        </w:rPr>
        <w:t>I</w:t>
      </w:r>
      <w:r w:rsidR="00347E5E" w:rsidRPr="00383A4C">
        <w:rPr>
          <w:rFonts w:ascii="Book Antiqua" w:hAnsi="Book Antiqua"/>
          <w:i/>
          <w:sz w:val="22"/>
          <w:szCs w:val="22"/>
        </w:rPr>
        <w:t>bi</w:t>
      </w:r>
      <w:r w:rsidRPr="00383A4C">
        <w:rPr>
          <w:rFonts w:ascii="Book Antiqua" w:hAnsi="Book Antiqua"/>
          <w:i/>
          <w:sz w:val="22"/>
          <w:szCs w:val="22"/>
        </w:rPr>
        <w:t>d</w:t>
      </w:r>
      <w:r w:rsidRPr="00383A4C">
        <w:rPr>
          <w:rFonts w:ascii="Book Antiqua" w:hAnsi="Book Antiqua"/>
          <w:sz w:val="22"/>
          <w:szCs w:val="22"/>
        </w:rPr>
        <w:t>.</w:t>
      </w:r>
    </w:p>
  </w:footnote>
  <w:footnote w:id="19">
    <w:p w14:paraId="66E84BD8" w14:textId="77777777" w:rsidR="008A3E0F" w:rsidRPr="00383A4C" w:rsidRDefault="008A3E0F" w:rsidP="00383A4C">
      <w:pPr>
        <w:pStyle w:val="FootnoteText"/>
        <w:spacing w:after="120"/>
        <w:rPr>
          <w:rFonts w:ascii="Book Antiqua" w:hAnsi="Book Antiqua"/>
          <w:sz w:val="22"/>
          <w:szCs w:val="22"/>
          <w:lang w:val="en-ZW"/>
        </w:rPr>
      </w:pPr>
      <w:r w:rsidRPr="00383A4C">
        <w:rPr>
          <w:rStyle w:val="FootnoteReference"/>
          <w:rFonts w:ascii="Book Antiqua" w:hAnsi="Book Antiqua"/>
          <w:sz w:val="22"/>
          <w:szCs w:val="22"/>
        </w:rPr>
        <w:footnoteRef/>
      </w:r>
      <w:r w:rsidRPr="00383A4C">
        <w:rPr>
          <w:rFonts w:ascii="Book Antiqua" w:hAnsi="Book Antiqua"/>
          <w:sz w:val="22"/>
          <w:szCs w:val="22"/>
        </w:rPr>
        <w:t xml:space="preserve"> </w:t>
      </w:r>
      <w:r w:rsidR="00383A4C">
        <w:rPr>
          <w:rFonts w:ascii="Book Antiqua" w:hAnsi="Book Antiqua"/>
          <w:sz w:val="22"/>
          <w:szCs w:val="22"/>
        </w:rPr>
        <w:t xml:space="preserve"> </w:t>
      </w:r>
      <w:r w:rsidRPr="00383A4C">
        <w:rPr>
          <w:rFonts w:ascii="Book Antiqua" w:hAnsi="Book Antiqua"/>
          <w:sz w:val="22"/>
          <w:szCs w:val="22"/>
          <w:lang w:val="en-ZW"/>
        </w:rPr>
        <w:t>D.12-12-038.</w:t>
      </w:r>
    </w:p>
  </w:footnote>
  <w:footnote w:id="20">
    <w:p w14:paraId="78B295E0" w14:textId="77777777" w:rsidR="00D35A23" w:rsidRPr="00383A4C" w:rsidRDefault="00D35A23" w:rsidP="00383A4C">
      <w:pPr>
        <w:pStyle w:val="FootnoteText"/>
        <w:spacing w:after="120"/>
        <w:rPr>
          <w:rFonts w:ascii="Book Antiqua" w:eastAsia="Book Antiqua" w:hAnsi="Book Antiqua" w:cs="Book Antiqua"/>
          <w:sz w:val="22"/>
          <w:szCs w:val="22"/>
          <w:lang w:val="en-ZW"/>
        </w:rPr>
      </w:pPr>
      <w:r w:rsidRPr="00383A4C">
        <w:rPr>
          <w:rStyle w:val="FootnoteReference"/>
          <w:rFonts w:ascii="Book Antiqua" w:eastAsia="Book Antiqua" w:hAnsi="Book Antiqua" w:cs="Book Antiqua"/>
          <w:sz w:val="22"/>
          <w:szCs w:val="22"/>
        </w:rPr>
        <w:footnoteRef/>
      </w:r>
      <w:r w:rsidR="4372617A" w:rsidRPr="00383A4C">
        <w:rPr>
          <w:rFonts w:ascii="Book Antiqua" w:eastAsia="Book Antiqua" w:hAnsi="Book Antiqua" w:cs="Book Antiqua"/>
          <w:sz w:val="22"/>
          <w:szCs w:val="22"/>
        </w:rPr>
        <w:t xml:space="preserve"> </w:t>
      </w:r>
      <w:r w:rsidR="00383A4C">
        <w:rPr>
          <w:rFonts w:ascii="Book Antiqua" w:eastAsia="Book Antiqua" w:hAnsi="Book Antiqua" w:cs="Book Antiqua"/>
          <w:sz w:val="22"/>
          <w:szCs w:val="22"/>
        </w:rPr>
        <w:t xml:space="preserve"> </w:t>
      </w:r>
      <w:r w:rsidR="4372617A" w:rsidRPr="00383A4C">
        <w:rPr>
          <w:rFonts w:ascii="Book Antiqua" w:eastAsia="Book Antiqua" w:hAnsi="Book Antiqua" w:cs="Book Antiqua"/>
          <w:sz w:val="22"/>
          <w:szCs w:val="22"/>
          <w:lang w:val="en-ZW"/>
        </w:rPr>
        <w:t>D.24-11-003 at 58-82 (Section 8.2).</w:t>
      </w:r>
    </w:p>
  </w:footnote>
  <w:footnote w:id="21">
    <w:p w14:paraId="762CAE9A" w14:textId="77777777" w:rsidR="00D2757A" w:rsidRPr="00383A4C" w:rsidRDefault="00D2757A" w:rsidP="00383A4C">
      <w:pPr>
        <w:spacing w:after="120"/>
        <w:rPr>
          <w:rFonts w:ascii="Book Antiqua" w:hAnsi="Book Antiqua"/>
          <w:b/>
          <w:sz w:val="22"/>
          <w:szCs w:val="22"/>
        </w:rPr>
      </w:pPr>
      <w:r w:rsidRPr="00383A4C">
        <w:rPr>
          <w:rStyle w:val="FootnoteReference"/>
          <w:rFonts w:ascii="Book Antiqua" w:hAnsi="Book Antiqua"/>
          <w:sz w:val="22"/>
          <w:szCs w:val="22"/>
        </w:rPr>
        <w:footnoteRef/>
      </w:r>
      <w:r w:rsidRPr="00383A4C">
        <w:rPr>
          <w:rFonts w:ascii="Book Antiqua" w:hAnsi="Book Antiqua"/>
          <w:sz w:val="22"/>
          <w:szCs w:val="22"/>
        </w:rPr>
        <w:t xml:space="preserve"> </w:t>
      </w:r>
      <w:r w:rsidR="00661D38" w:rsidRPr="00383A4C">
        <w:rPr>
          <w:rFonts w:ascii="Book Antiqua" w:hAnsi="Book Antiqua"/>
          <w:sz w:val="22"/>
          <w:szCs w:val="22"/>
        </w:rPr>
        <w:t xml:space="preserve"> </w:t>
      </w:r>
      <w:r w:rsidRPr="00383A4C">
        <w:rPr>
          <w:rFonts w:ascii="Book Antiqua" w:hAnsi="Book Antiqua"/>
          <w:sz w:val="22"/>
          <w:szCs w:val="22"/>
        </w:rPr>
        <w:t>The California Pu</w:t>
      </w:r>
      <w:r w:rsidR="00661D38" w:rsidRPr="00383A4C">
        <w:rPr>
          <w:rFonts w:ascii="Book Antiqua" w:hAnsi="Book Antiqua"/>
          <w:sz w:val="22"/>
          <w:szCs w:val="22"/>
        </w:rPr>
        <w:t>b. Util.</w:t>
      </w:r>
      <w:r w:rsidRPr="00383A4C">
        <w:rPr>
          <w:rFonts w:ascii="Book Antiqua" w:hAnsi="Book Antiqua"/>
          <w:sz w:val="22"/>
          <w:szCs w:val="22"/>
        </w:rPr>
        <w:t xml:space="preserve"> Code uses the term “telephone corporation.”  Its counterpart in federal law is a “telecommunications carrier.”</w:t>
      </w:r>
    </w:p>
  </w:footnote>
  <w:footnote w:id="22">
    <w:p w14:paraId="2B335071" w14:textId="77777777" w:rsidR="00C64499" w:rsidRPr="00383A4C" w:rsidRDefault="00C64499" w:rsidP="00383A4C">
      <w:pPr>
        <w:pStyle w:val="FootnoteText"/>
        <w:spacing w:after="120"/>
        <w:rPr>
          <w:rFonts w:ascii="Book Antiqua" w:hAnsi="Book Antiqua"/>
          <w:sz w:val="22"/>
          <w:szCs w:val="22"/>
          <w:lang w:val="en-ZW"/>
        </w:rPr>
      </w:pPr>
      <w:r w:rsidRPr="00383A4C">
        <w:rPr>
          <w:rStyle w:val="FootnoteReference"/>
          <w:rFonts w:ascii="Book Antiqua" w:hAnsi="Book Antiqua"/>
          <w:sz w:val="22"/>
          <w:szCs w:val="22"/>
        </w:rPr>
        <w:footnoteRef/>
      </w:r>
      <w:r w:rsidR="4372617A" w:rsidRPr="00383A4C">
        <w:rPr>
          <w:rFonts w:ascii="Book Antiqua" w:eastAsia="Book Antiqua" w:hAnsi="Book Antiqua" w:cs="Book Antiqua"/>
          <w:sz w:val="22"/>
          <w:szCs w:val="22"/>
        </w:rPr>
        <w:t xml:space="preserve"> </w:t>
      </w:r>
      <w:r w:rsidR="00383A4C">
        <w:rPr>
          <w:rFonts w:ascii="Book Antiqua" w:eastAsia="Book Antiqua" w:hAnsi="Book Antiqua" w:cs="Book Antiqua"/>
          <w:sz w:val="22"/>
          <w:szCs w:val="22"/>
        </w:rPr>
        <w:t xml:space="preserve"> </w:t>
      </w:r>
      <w:r w:rsidR="4372617A" w:rsidRPr="00383A4C">
        <w:rPr>
          <w:rFonts w:ascii="Book Antiqua" w:eastAsia="Book Antiqua" w:hAnsi="Book Antiqua" w:cs="Book Antiqua"/>
          <w:sz w:val="22"/>
          <w:szCs w:val="22"/>
          <w:lang w:val="en-ZW"/>
        </w:rPr>
        <w:t>D.24-11-003 at 48-54; GO 66-D; Cal. Constitution Article 3, subdivision (b)(2).</w:t>
      </w:r>
    </w:p>
  </w:footnote>
  <w:footnote w:id="23">
    <w:p w14:paraId="6AA1DAB0" w14:textId="77777777" w:rsidR="00085FDB" w:rsidRPr="00383A4C" w:rsidRDefault="00085FDB" w:rsidP="00383A4C">
      <w:pPr>
        <w:spacing w:before="40" w:after="120"/>
        <w:rPr>
          <w:rFonts w:ascii="Book Antiqua" w:hAnsi="Book Antiqua"/>
          <w:sz w:val="22"/>
          <w:szCs w:val="22"/>
        </w:rPr>
      </w:pPr>
      <w:r w:rsidRPr="00383A4C">
        <w:rPr>
          <w:rStyle w:val="FootnoteReference"/>
          <w:rFonts w:ascii="Book Antiqua" w:hAnsi="Book Antiqua"/>
          <w:sz w:val="22"/>
          <w:szCs w:val="22"/>
        </w:rPr>
        <w:footnoteRef/>
      </w:r>
      <w:r w:rsidRPr="00383A4C">
        <w:rPr>
          <w:rFonts w:ascii="Book Antiqua" w:hAnsi="Book Antiqua"/>
          <w:sz w:val="22"/>
          <w:szCs w:val="22"/>
        </w:rPr>
        <w:t xml:space="preserve"> </w:t>
      </w:r>
      <w:bookmarkStart w:id="82" w:name="_Hlk132964811"/>
      <w:r w:rsidR="00C00CA8" w:rsidRPr="00383A4C">
        <w:rPr>
          <w:rFonts w:ascii="Book Antiqua" w:hAnsi="Book Antiqua"/>
          <w:sz w:val="22"/>
          <w:szCs w:val="22"/>
        </w:rPr>
        <w:t xml:space="preserve">An Annual Affiliate Report form (in PDF format) has been developed to help facilitate the submission of this reporting obligation and it is available at: </w:t>
      </w:r>
      <w:hyperlink r:id="rId1" w:history="1">
        <w:r w:rsidR="00C00CA8" w:rsidRPr="00383A4C">
          <w:rPr>
            <w:rStyle w:val="Hyperlink"/>
            <w:rFonts w:ascii="Book Antiqua" w:hAnsi="Book Antiqua"/>
            <w:sz w:val="22"/>
            <w:szCs w:val="22"/>
          </w:rPr>
          <w:t>https://www.cpuc.ca.gov/-/media/cpuc-website/divisions/communications-division/documents/licensing-compliance/annual-reporting-requirements/annual-affiliate-transaction-report-form_.pdf</w:t>
        </w:r>
      </w:hyperlink>
      <w:r w:rsidR="00C00CA8" w:rsidRPr="00383A4C">
        <w:rPr>
          <w:rFonts w:ascii="Book Antiqua" w:hAnsi="Book Antiqua"/>
          <w:sz w:val="22"/>
          <w:szCs w:val="22"/>
        </w:rPr>
        <w:t xml:space="preserve">.  </w:t>
      </w:r>
      <w:bookmarkEnd w:id="82"/>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EBF470" w14:textId="77777777" w:rsidR="008F52A6" w:rsidRPr="008F52A6" w:rsidRDefault="008F52A6" w:rsidP="008F52A6">
    <w:pPr>
      <w:pStyle w:val="Header"/>
      <w:tabs>
        <w:tab w:val="clear" w:pos="4320"/>
        <w:tab w:val="clear" w:pos="8640"/>
        <w:tab w:val="right" w:pos="9360"/>
      </w:tabs>
      <w:rPr>
        <w:rFonts w:ascii="Book Antiqua" w:hAnsi="Book Antiqua"/>
        <w:b/>
        <w:szCs w:val="26"/>
      </w:rPr>
    </w:pPr>
    <w:r w:rsidRPr="008F52A6">
      <w:rPr>
        <w:rFonts w:ascii="Book Antiqua" w:hAnsi="Book Antiqua"/>
        <w:szCs w:val="26"/>
      </w:rPr>
      <w:t xml:space="preserve">A.23-11-008  ALJ/EFD/jnf </w:t>
    </w:r>
    <w:r w:rsidRPr="008F52A6">
      <w:rPr>
        <w:rFonts w:ascii="Book Antiqua" w:hAnsi="Book Antiqua"/>
        <w:szCs w:val="26"/>
      </w:rPr>
      <w:tab/>
    </w:r>
    <w:r w:rsidRPr="008F52A6">
      <w:rPr>
        <w:rFonts w:ascii="Book Antiqua" w:hAnsi="Book Antiqua"/>
        <w:b/>
        <w:szCs w:val="26"/>
      </w:rPr>
      <w:t>PROPOSED DECISION</w:t>
    </w:r>
  </w:p>
  <w:p w14:paraId="630D531D" w14:textId="77777777" w:rsidR="008F52A6" w:rsidRPr="008F52A6" w:rsidRDefault="008F52A6" w:rsidP="008F52A6">
    <w:pPr>
      <w:pStyle w:val="Header"/>
      <w:rPr>
        <w:rFonts w:ascii="Book Antiqua" w:hAnsi="Book Antiqua"/>
        <w:i/>
        <w:color w:val="FF0000"/>
        <w:szCs w:val="26"/>
      </w:rPr>
    </w:pPr>
    <w:r w:rsidRPr="008F52A6">
      <w:rPr>
        <w:rFonts w:ascii="Book Antiqua" w:hAnsi="Book Antiqua"/>
        <w:iCs/>
        <w:color w:val="FF0000"/>
        <w:szCs w:val="26"/>
      </w:rPr>
      <w:t xml:space="preserve">[1-21-2025] </w:t>
    </w:r>
    <w:r w:rsidRPr="008F52A6">
      <w:rPr>
        <w:rFonts w:ascii="Book Antiqua" w:hAnsi="Book Antiqua"/>
        <w:i/>
        <w:color w:val="FF0000"/>
        <w:szCs w:val="26"/>
      </w:rPr>
      <w:t xml:space="preserve">Internal Review Draft; Subject to </w:t>
    </w:r>
    <w:r w:rsidRPr="008F52A6">
      <w:rPr>
        <w:rFonts w:ascii="Book Antiqua" w:hAnsi="Book Antiqua"/>
        <w:b/>
        <w:i/>
        <w:color w:val="FF0000"/>
        <w:szCs w:val="26"/>
      </w:rPr>
      <w:t>ALJ Division Review</w:t>
    </w:r>
  </w:p>
  <w:p w14:paraId="113A64FE" w14:textId="77777777" w:rsidR="00EE6CBA" w:rsidRDefault="008F52A6" w:rsidP="008F52A6">
    <w:pPr>
      <w:pStyle w:val="Header"/>
      <w:rPr>
        <w:rFonts w:ascii="Book Antiqua" w:hAnsi="Book Antiqua"/>
        <w:i/>
        <w:color w:val="FF0000"/>
        <w:szCs w:val="26"/>
      </w:rPr>
    </w:pPr>
    <w:r w:rsidRPr="008F52A6">
      <w:rPr>
        <w:rFonts w:ascii="Book Antiqua" w:hAnsi="Book Antiqua"/>
        <w:b/>
        <w:color w:val="FF0000"/>
        <w:szCs w:val="26"/>
      </w:rPr>
      <w:t xml:space="preserve">CONFIDENTIAL; </w:t>
    </w:r>
    <w:r w:rsidRPr="008F52A6">
      <w:rPr>
        <w:rFonts w:ascii="Book Antiqua" w:hAnsi="Book Antiqua"/>
        <w:i/>
        <w:color w:val="FF0000"/>
        <w:szCs w:val="26"/>
      </w:rPr>
      <w:t>Deliberative Process Privilege</w:t>
    </w:r>
  </w:p>
  <w:p w14:paraId="08411581" w14:textId="77777777" w:rsidR="00F62269" w:rsidRPr="008F52A6" w:rsidRDefault="00F62269" w:rsidP="008F52A6">
    <w:pPr>
      <w:pStyle w:val="Header"/>
      <w:rPr>
        <w:rFonts w:ascii="Book Antiqua" w:hAnsi="Book Antiqua"/>
        <w:i/>
        <w:color w:val="FF0000"/>
        <w:szCs w:val="2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2DB588" w14:textId="5368E8EB" w:rsidR="008F52A6" w:rsidRPr="008F52A6" w:rsidRDefault="008F52A6" w:rsidP="00EE6CBA">
    <w:pPr>
      <w:pStyle w:val="Header"/>
      <w:tabs>
        <w:tab w:val="clear" w:pos="4320"/>
        <w:tab w:val="clear" w:pos="8640"/>
        <w:tab w:val="right" w:pos="9360"/>
      </w:tabs>
      <w:rPr>
        <w:rFonts w:ascii="Book Antiqua" w:hAnsi="Book Antiqua"/>
        <w:b/>
        <w:szCs w:val="26"/>
      </w:rPr>
    </w:pPr>
    <w:bookmarkStart w:id="4" w:name="_Hlk189823185"/>
    <w:r w:rsidRPr="008F52A6">
      <w:rPr>
        <w:rFonts w:ascii="Book Antiqua" w:hAnsi="Book Antiqua"/>
        <w:szCs w:val="26"/>
      </w:rPr>
      <w:t xml:space="preserve">A.23-11-008  ALJ/EFD/jnf </w:t>
    </w:r>
    <w:bookmarkEnd w:id="4"/>
  </w:p>
  <w:p w14:paraId="3799DA4E" w14:textId="77777777" w:rsidR="00F62269" w:rsidRPr="008F52A6" w:rsidRDefault="00F62269" w:rsidP="00EE6CBA">
    <w:pPr>
      <w:pStyle w:val="Header"/>
      <w:rPr>
        <w:rFonts w:ascii="Book Antiqua" w:hAnsi="Book Antiqua"/>
        <w:i/>
        <w:color w:val="FF0000"/>
        <w:szCs w:val="2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94D3F"/>
    <w:multiLevelType w:val="hybridMultilevel"/>
    <w:tmpl w:val="58D2C710"/>
    <w:lvl w:ilvl="0" w:tplc="4F54DD50">
      <w:start w:val="1"/>
      <w:numFmt w:val="decimal"/>
      <w:pStyle w:val="Style4"/>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25D3837"/>
    <w:multiLevelType w:val="multilevel"/>
    <w:tmpl w:val="E46EE110"/>
    <w:lvl w:ilvl="0">
      <w:start w:val="1"/>
      <w:numFmt w:val="decimal"/>
      <w:suff w:val="space"/>
      <w:lvlText w:val="%1."/>
      <w:lvlJc w:val="left"/>
      <w:pPr>
        <w:ind w:left="0" w:firstLine="0"/>
      </w:pPr>
      <w:rPr>
        <w:rFonts w:hint="default"/>
      </w:rPr>
    </w:lvl>
    <w:lvl w:ilvl="1">
      <w:start w:val="1"/>
      <w:numFmt w:val="lowerLetter"/>
      <w:suff w:val="space"/>
      <w:lvlText w:val="%2."/>
      <w:lvlJc w:val="left"/>
      <w:pPr>
        <w:ind w:left="720" w:firstLine="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 w15:restartNumberingAfterBreak="0">
    <w:nsid w:val="146C1C14"/>
    <w:multiLevelType w:val="multilevel"/>
    <w:tmpl w:val="18F4A5AC"/>
    <w:styleLink w:val="FoFCoLOP"/>
    <w:lvl w:ilvl="0">
      <w:start w:val="1"/>
      <w:numFmt w:val="decimal"/>
      <w:pStyle w:val="FoF"/>
      <w:lvlText w:val="%1."/>
      <w:lvlJc w:val="right"/>
      <w:pPr>
        <w:ind w:left="0" w:firstLine="540"/>
      </w:pPr>
      <w:rPr>
        <w:rFonts w:hint="default"/>
      </w:rPr>
    </w:lvl>
    <w:lvl w:ilvl="1">
      <w:start w:val="1"/>
      <w:numFmt w:val="lowerLetter"/>
      <w:lvlText w:val="(%2)"/>
      <w:lvlJc w:val="right"/>
      <w:pPr>
        <w:ind w:left="1152" w:hanging="72"/>
      </w:pPr>
      <w:rPr>
        <w:rFonts w:hint="default"/>
      </w:rPr>
    </w:lvl>
    <w:lvl w:ilvl="2">
      <w:start w:val="1"/>
      <w:numFmt w:val="none"/>
      <w:lvlText w:val=""/>
      <w:lvlJc w:val="left"/>
      <w:pPr>
        <w:ind w:left="720" w:firstLine="0"/>
      </w:pPr>
      <w:rPr>
        <w:rFonts w:hint="default"/>
      </w:rPr>
    </w:lvl>
    <w:lvl w:ilvl="3">
      <w:start w:val="1"/>
      <w:numFmt w:val="none"/>
      <w:lvlText w:val=""/>
      <w:lvlJc w:val="left"/>
      <w:pPr>
        <w:ind w:left="720" w:firstLine="0"/>
      </w:pPr>
      <w:rPr>
        <w:rFonts w:hint="default"/>
      </w:rPr>
    </w:lvl>
    <w:lvl w:ilvl="4">
      <w:start w:val="1"/>
      <w:numFmt w:val="none"/>
      <w:lvlText w:val=""/>
      <w:lvlJc w:val="left"/>
      <w:pPr>
        <w:ind w:left="720" w:firstLine="0"/>
      </w:pPr>
      <w:rPr>
        <w:rFonts w:hint="default"/>
      </w:rPr>
    </w:lvl>
    <w:lvl w:ilvl="5">
      <w:start w:val="1"/>
      <w:numFmt w:val="none"/>
      <w:lvlText w:val=""/>
      <w:lvlJc w:val="left"/>
      <w:pPr>
        <w:ind w:left="720" w:firstLine="0"/>
      </w:pPr>
      <w:rPr>
        <w:rFonts w:hint="default"/>
      </w:rPr>
    </w:lvl>
    <w:lvl w:ilvl="6">
      <w:start w:val="1"/>
      <w:numFmt w:val="none"/>
      <w:lvlText w:val=""/>
      <w:lvlJc w:val="left"/>
      <w:pPr>
        <w:ind w:left="720" w:firstLine="0"/>
      </w:pPr>
      <w:rPr>
        <w:rFonts w:hint="default"/>
      </w:rPr>
    </w:lvl>
    <w:lvl w:ilvl="7">
      <w:start w:val="1"/>
      <w:numFmt w:val="none"/>
      <w:lvlText w:val=""/>
      <w:lvlJc w:val="left"/>
      <w:pPr>
        <w:ind w:left="720" w:firstLine="0"/>
      </w:pPr>
      <w:rPr>
        <w:rFonts w:hint="default"/>
      </w:rPr>
    </w:lvl>
    <w:lvl w:ilvl="8">
      <w:start w:val="1"/>
      <w:numFmt w:val="none"/>
      <w:lvlText w:val=""/>
      <w:lvlJc w:val="left"/>
      <w:pPr>
        <w:ind w:left="720" w:firstLine="0"/>
      </w:pPr>
      <w:rPr>
        <w:rFonts w:hint="default"/>
      </w:rPr>
    </w:lvl>
  </w:abstractNum>
  <w:abstractNum w:abstractNumId="3" w15:restartNumberingAfterBreak="0">
    <w:nsid w:val="15F056CB"/>
    <w:multiLevelType w:val="multilevel"/>
    <w:tmpl w:val="18F4A5AC"/>
    <w:numStyleLink w:val="FoFCoLOP"/>
  </w:abstractNum>
  <w:abstractNum w:abstractNumId="4" w15:restartNumberingAfterBreak="0">
    <w:nsid w:val="2DD46003"/>
    <w:multiLevelType w:val="singleLevel"/>
    <w:tmpl w:val="2FB6A734"/>
    <w:lvl w:ilvl="0">
      <w:start w:val="1"/>
      <w:numFmt w:val="decimal"/>
      <w:pStyle w:val="bullet1"/>
      <w:lvlText w:val="%1."/>
      <w:legacy w:legacy="1" w:legacySpace="144" w:legacyIndent="0"/>
      <w:lvlJc w:val="left"/>
    </w:lvl>
  </w:abstractNum>
  <w:abstractNum w:abstractNumId="5" w15:restartNumberingAfterBreak="0">
    <w:nsid w:val="331F6D42"/>
    <w:multiLevelType w:val="multilevel"/>
    <w:tmpl w:val="3C526EDE"/>
    <w:styleLink w:val="Headings"/>
    <w:lvl w:ilvl="0">
      <w:start w:val="1"/>
      <w:numFmt w:val="decimal"/>
      <w:pStyle w:val="Heading1"/>
      <w:lvlText w:val="%1."/>
      <w:lvlJc w:val="left"/>
      <w:pPr>
        <w:ind w:left="720" w:hanging="720"/>
      </w:pPr>
      <w:rPr>
        <w:rFonts w:ascii="Arial" w:hAnsi="Arial" w:cs="Times New Roman" w:hint="default"/>
        <w:b/>
        <w:i w:val="0"/>
        <w:caps w:val="0"/>
        <w:strike w:val="0"/>
        <w:dstrike w:val="0"/>
        <w:vanish w:val="0"/>
        <w:webHidden w:val="0"/>
        <w:color w:val="auto"/>
        <w:kern w:val="0"/>
        <w:position w:val="0"/>
        <w:sz w:val="26"/>
        <w:u w:val="none"/>
        <w:effect w:val="none"/>
        <w:vertAlign w:val="baseline"/>
        <w:specVanish w:val="0"/>
        <w14:ligatures w14:val="none"/>
        <w14:numSpacing w14:val="default"/>
        <w14:cntxtAlts w14:val="0"/>
      </w:rPr>
    </w:lvl>
    <w:lvl w:ilvl="1">
      <w:start w:val="1"/>
      <w:numFmt w:val="decimal"/>
      <w:pStyle w:val="Heading2"/>
      <w:lvlText w:val="%1.%2."/>
      <w:lvlJc w:val="left"/>
      <w:pPr>
        <w:tabs>
          <w:tab w:val="num" w:pos="1080"/>
        </w:tabs>
        <w:ind w:left="1080" w:hanging="720"/>
      </w:pPr>
      <w:rPr>
        <w:rFonts w:ascii="Arial" w:hAnsi="Arial" w:cs="Times New Roman" w:hint="default"/>
        <w:b/>
        <w:i w:val="0"/>
        <w:caps w:val="0"/>
        <w:strike w:val="0"/>
        <w:dstrike w:val="0"/>
        <w:vanish w:val="0"/>
        <w:webHidden w:val="0"/>
        <w:color w:val="auto"/>
        <w:kern w:val="0"/>
        <w:sz w:val="26"/>
        <w:u w:val="none"/>
        <w:effect w:val="none"/>
        <w:vertAlign w:val="baseline"/>
        <w:specVanish w:val="0"/>
        <w14:cntxtAlts w14:val="0"/>
      </w:rPr>
    </w:lvl>
    <w:lvl w:ilvl="2">
      <w:start w:val="1"/>
      <w:numFmt w:val="decimal"/>
      <w:pStyle w:val="Heading3"/>
      <w:lvlText w:val="%1.%2.%3."/>
      <w:lvlJc w:val="left"/>
      <w:pPr>
        <w:tabs>
          <w:tab w:val="num" w:pos="1656"/>
        </w:tabs>
        <w:ind w:left="1656" w:hanging="936"/>
      </w:pPr>
      <w:rPr>
        <w:rFonts w:ascii="Arial" w:hAnsi="Arial" w:cs="Times New Roman" w:hint="default"/>
        <w:b/>
        <w:i w:val="0"/>
        <w:caps w:val="0"/>
        <w:strike w:val="0"/>
        <w:dstrike w:val="0"/>
        <w:vanish w:val="0"/>
        <w:webHidden w:val="0"/>
        <w:color w:val="auto"/>
        <w:kern w:val="0"/>
        <w:sz w:val="26"/>
        <w:u w:val="none"/>
        <w:effect w:val="none"/>
        <w:vertAlign w:val="baseline"/>
        <w:specVanish w:val="0"/>
        <w14:cntxtAlts w14:val="0"/>
      </w:rPr>
    </w:lvl>
    <w:lvl w:ilvl="3">
      <w:start w:val="1"/>
      <w:numFmt w:val="decimal"/>
      <w:pStyle w:val="Heading4"/>
      <w:lvlText w:val="%1.%2.%3.%4."/>
      <w:lvlJc w:val="left"/>
      <w:pPr>
        <w:tabs>
          <w:tab w:val="num" w:pos="2232"/>
        </w:tabs>
        <w:ind w:left="2232" w:hanging="1152"/>
      </w:pPr>
      <w:rPr>
        <w:rFonts w:ascii="Arial" w:hAnsi="Arial" w:cs="Times New Roman" w:hint="default"/>
        <w:b/>
        <w:i w:val="0"/>
        <w:caps w:val="0"/>
        <w:strike w:val="0"/>
        <w:dstrike w:val="0"/>
        <w:vanish w:val="0"/>
        <w:webHidden w:val="0"/>
        <w:kern w:val="0"/>
        <w:sz w:val="26"/>
        <w:u w:val="none"/>
        <w:effect w:val="none"/>
        <w:vertAlign w:val="baseline"/>
        <w:specVanish w:val="0"/>
        <w14:cntxtAlts w14:val="0"/>
      </w:rPr>
    </w:lvl>
    <w:lvl w:ilvl="4">
      <w:start w:val="1"/>
      <w:numFmt w:val="decimal"/>
      <w:pStyle w:val="Heading5"/>
      <w:lvlText w:val="%1.%2.%3.%4.%5."/>
      <w:lvlJc w:val="left"/>
      <w:pPr>
        <w:tabs>
          <w:tab w:val="num" w:pos="2880"/>
        </w:tabs>
        <w:ind w:left="2880" w:hanging="1440"/>
      </w:pPr>
      <w:rPr>
        <w:rFonts w:ascii="Arial" w:hAnsi="Arial" w:cs="Times New Roman" w:hint="default"/>
        <w:b/>
        <w:i w:val="0"/>
        <w:sz w:val="26"/>
      </w:rPr>
    </w:lvl>
    <w:lvl w:ilvl="5">
      <w:start w:val="1"/>
      <w:numFmt w:val="decimal"/>
      <w:pStyle w:val="Heading6"/>
      <w:lvlText w:val="%1.%2.%3.%4.%5.%6."/>
      <w:lvlJc w:val="left"/>
      <w:pPr>
        <w:tabs>
          <w:tab w:val="num" w:pos="3528"/>
        </w:tabs>
        <w:ind w:left="3528" w:hanging="1728"/>
      </w:pPr>
      <w:rPr>
        <w:rFonts w:ascii="Arial" w:hAnsi="Arial" w:cs="Times New Roman" w:hint="default"/>
        <w:b/>
        <w:i w:val="0"/>
        <w:sz w:val="26"/>
      </w:rPr>
    </w:lvl>
    <w:lvl w:ilvl="6">
      <w:start w:val="1"/>
      <w:numFmt w:val="decimal"/>
      <w:pStyle w:val="ListNum"/>
      <w:lvlText w:val="%7."/>
      <w:lvlJc w:val="left"/>
      <w:pPr>
        <w:tabs>
          <w:tab w:val="num" w:pos="1080"/>
        </w:tabs>
        <w:ind w:left="1080" w:hanging="360"/>
      </w:pPr>
      <w:rPr>
        <w:rFonts w:ascii="Book Antiqua" w:hAnsi="Book Antiqua" w:hint="default"/>
        <w:b w:val="0"/>
        <w:i w:val="0"/>
        <w:sz w:val="26"/>
      </w:rPr>
    </w:lvl>
    <w:lvl w:ilvl="7">
      <w:start w:val="1"/>
      <w:numFmt w:val="lowerLetter"/>
      <w:pStyle w:val="ListAlpha"/>
      <w:lvlText w:val="%8."/>
      <w:lvlJc w:val="left"/>
      <w:pPr>
        <w:ind w:left="1080" w:hanging="360"/>
      </w:pPr>
      <w:rPr>
        <w:rFonts w:ascii="Book Antiqua" w:hAnsi="Book Antiqua" w:hint="default"/>
        <w:sz w:val="26"/>
      </w:rPr>
    </w:lvl>
    <w:lvl w:ilvl="8">
      <w:start w:val="1"/>
      <w:numFmt w:val="none"/>
      <w:lvlText w:val=""/>
      <w:lvlJc w:val="left"/>
      <w:pPr>
        <w:ind w:left="3240" w:hanging="360"/>
      </w:pPr>
    </w:lvl>
  </w:abstractNum>
  <w:abstractNum w:abstractNumId="6" w15:restartNumberingAfterBreak="0">
    <w:nsid w:val="49952354"/>
    <w:multiLevelType w:val="hybridMultilevel"/>
    <w:tmpl w:val="0700FE38"/>
    <w:lvl w:ilvl="0" w:tplc="C212AA5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AB83F26"/>
    <w:multiLevelType w:val="hybridMultilevel"/>
    <w:tmpl w:val="38FA2ECC"/>
    <w:lvl w:ilvl="0" w:tplc="86AE2958">
      <w:start w:val="1"/>
      <w:numFmt w:val="bullet"/>
      <w:pStyle w:val="bullets"/>
      <w:lvlText w:val=""/>
      <w:lvlJc w:val="left"/>
      <w:pPr>
        <w:tabs>
          <w:tab w:val="num" w:pos="1440"/>
        </w:tabs>
        <w:ind w:left="1440" w:hanging="360"/>
      </w:pPr>
      <w:rPr>
        <w:rFonts w:ascii="Symbol" w:hAnsi="Symbol" w:hint="default"/>
      </w:rPr>
    </w:lvl>
    <w:lvl w:ilvl="1" w:tplc="04090019" w:tentative="1">
      <w:start w:val="1"/>
      <w:numFmt w:val="bullet"/>
      <w:lvlText w:val="o"/>
      <w:lvlJc w:val="left"/>
      <w:pPr>
        <w:tabs>
          <w:tab w:val="num" w:pos="2160"/>
        </w:tabs>
        <w:ind w:left="2160" w:hanging="360"/>
      </w:pPr>
      <w:rPr>
        <w:rFonts w:ascii="Courier New" w:hAnsi="Courier New" w:hint="default"/>
      </w:rPr>
    </w:lvl>
    <w:lvl w:ilvl="2" w:tplc="0409001B" w:tentative="1">
      <w:start w:val="1"/>
      <w:numFmt w:val="bullet"/>
      <w:lvlText w:val=""/>
      <w:lvlJc w:val="left"/>
      <w:pPr>
        <w:tabs>
          <w:tab w:val="num" w:pos="2880"/>
        </w:tabs>
        <w:ind w:left="2880" w:hanging="360"/>
      </w:pPr>
      <w:rPr>
        <w:rFonts w:ascii="Wingdings" w:hAnsi="Wingdings" w:hint="default"/>
      </w:rPr>
    </w:lvl>
    <w:lvl w:ilvl="3" w:tplc="0409000F" w:tentative="1">
      <w:start w:val="1"/>
      <w:numFmt w:val="bullet"/>
      <w:lvlText w:val=""/>
      <w:lvlJc w:val="left"/>
      <w:pPr>
        <w:tabs>
          <w:tab w:val="num" w:pos="3600"/>
        </w:tabs>
        <w:ind w:left="3600" w:hanging="360"/>
      </w:pPr>
      <w:rPr>
        <w:rFonts w:ascii="Symbol" w:hAnsi="Symbol" w:hint="default"/>
      </w:rPr>
    </w:lvl>
    <w:lvl w:ilvl="4" w:tplc="04090019" w:tentative="1">
      <w:start w:val="1"/>
      <w:numFmt w:val="bullet"/>
      <w:lvlText w:val="o"/>
      <w:lvlJc w:val="left"/>
      <w:pPr>
        <w:tabs>
          <w:tab w:val="num" w:pos="4320"/>
        </w:tabs>
        <w:ind w:left="4320" w:hanging="360"/>
      </w:pPr>
      <w:rPr>
        <w:rFonts w:ascii="Courier New" w:hAnsi="Courier New" w:hint="default"/>
      </w:rPr>
    </w:lvl>
    <w:lvl w:ilvl="5" w:tplc="0409001B" w:tentative="1">
      <w:start w:val="1"/>
      <w:numFmt w:val="bullet"/>
      <w:lvlText w:val=""/>
      <w:lvlJc w:val="left"/>
      <w:pPr>
        <w:tabs>
          <w:tab w:val="num" w:pos="5040"/>
        </w:tabs>
        <w:ind w:left="5040" w:hanging="360"/>
      </w:pPr>
      <w:rPr>
        <w:rFonts w:ascii="Wingdings" w:hAnsi="Wingdings" w:hint="default"/>
      </w:rPr>
    </w:lvl>
    <w:lvl w:ilvl="6" w:tplc="0409000F" w:tentative="1">
      <w:start w:val="1"/>
      <w:numFmt w:val="bullet"/>
      <w:lvlText w:val=""/>
      <w:lvlJc w:val="left"/>
      <w:pPr>
        <w:tabs>
          <w:tab w:val="num" w:pos="5760"/>
        </w:tabs>
        <w:ind w:left="5760" w:hanging="360"/>
      </w:pPr>
      <w:rPr>
        <w:rFonts w:ascii="Symbol" w:hAnsi="Symbol" w:hint="default"/>
      </w:rPr>
    </w:lvl>
    <w:lvl w:ilvl="7" w:tplc="04090019" w:tentative="1">
      <w:start w:val="1"/>
      <w:numFmt w:val="bullet"/>
      <w:lvlText w:val="o"/>
      <w:lvlJc w:val="left"/>
      <w:pPr>
        <w:tabs>
          <w:tab w:val="num" w:pos="6480"/>
        </w:tabs>
        <w:ind w:left="6480" w:hanging="360"/>
      </w:pPr>
      <w:rPr>
        <w:rFonts w:ascii="Courier New" w:hAnsi="Courier New" w:hint="default"/>
      </w:rPr>
    </w:lvl>
    <w:lvl w:ilvl="8" w:tplc="0409001B" w:tentative="1">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4D5D2246"/>
    <w:multiLevelType w:val="singleLevel"/>
    <w:tmpl w:val="7C2ACC44"/>
    <w:lvl w:ilvl="0">
      <w:start w:val="1"/>
      <w:numFmt w:val="decimal"/>
      <w:pStyle w:val="Style1"/>
      <w:lvlText w:val="%1."/>
      <w:lvlJc w:val="left"/>
      <w:pPr>
        <w:tabs>
          <w:tab w:val="num" w:pos="72"/>
        </w:tabs>
        <w:ind w:left="288" w:hanging="288"/>
      </w:pPr>
      <w:rPr>
        <w:rFonts w:hint="default"/>
      </w:rPr>
    </w:lvl>
  </w:abstractNum>
  <w:abstractNum w:abstractNumId="9" w15:restartNumberingAfterBreak="0">
    <w:nsid w:val="57720367"/>
    <w:multiLevelType w:val="hybridMultilevel"/>
    <w:tmpl w:val="8EEA4890"/>
    <w:lvl w:ilvl="0" w:tplc="6952E1BC">
      <w:start w:val="1"/>
      <w:numFmt w:val="decimal"/>
      <w:pStyle w:val="Style2"/>
      <w:lvlText w:val="%1."/>
      <w:lvlJc w:val="left"/>
      <w:pPr>
        <w:tabs>
          <w:tab w:val="num" w:pos="720"/>
        </w:tabs>
        <w:ind w:left="72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9D042D7"/>
    <w:multiLevelType w:val="multilevel"/>
    <w:tmpl w:val="18F4A5AC"/>
    <w:numStyleLink w:val="FoFCoLOP"/>
  </w:abstractNum>
  <w:abstractNum w:abstractNumId="11" w15:restartNumberingAfterBreak="0">
    <w:nsid w:val="5E3440EA"/>
    <w:multiLevelType w:val="hybridMultilevel"/>
    <w:tmpl w:val="D6BA1E1C"/>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2" w15:restartNumberingAfterBreak="0">
    <w:nsid w:val="61A25780"/>
    <w:multiLevelType w:val="multilevel"/>
    <w:tmpl w:val="3C526EDE"/>
    <w:numStyleLink w:val="Headings"/>
  </w:abstractNum>
  <w:abstractNum w:abstractNumId="13" w15:restartNumberingAfterBreak="0">
    <w:nsid w:val="74093EA4"/>
    <w:multiLevelType w:val="singleLevel"/>
    <w:tmpl w:val="E250AA46"/>
    <w:lvl w:ilvl="0">
      <w:start w:val="1"/>
      <w:numFmt w:val="decimal"/>
      <w:lvlText w:val="%1."/>
      <w:legacy w:legacy="1" w:legacySpace="0" w:legacyIndent="0"/>
      <w:lvlJc w:val="left"/>
    </w:lvl>
  </w:abstractNum>
  <w:abstractNum w:abstractNumId="14" w15:restartNumberingAfterBreak="0">
    <w:nsid w:val="789A0AFE"/>
    <w:multiLevelType w:val="multilevel"/>
    <w:tmpl w:val="18F4A5AC"/>
    <w:numStyleLink w:val="FoFCoLOP"/>
  </w:abstractNum>
  <w:abstractNum w:abstractNumId="15" w15:restartNumberingAfterBreak="0">
    <w:nsid w:val="78BE7108"/>
    <w:multiLevelType w:val="singleLevel"/>
    <w:tmpl w:val="BCB63E94"/>
    <w:lvl w:ilvl="0">
      <w:start w:val="1"/>
      <w:numFmt w:val="decimal"/>
      <w:lvlText w:val="%1."/>
      <w:lvlJc w:val="left"/>
      <w:pPr>
        <w:ind w:left="3780" w:hanging="360"/>
      </w:pPr>
      <w:rPr>
        <w:b w:val="0"/>
      </w:rPr>
    </w:lvl>
  </w:abstractNum>
  <w:num w:numId="1" w16cid:durableId="1058170175">
    <w:abstractNumId w:val="4"/>
  </w:num>
  <w:num w:numId="2" w16cid:durableId="838159591">
    <w:abstractNumId w:val="8"/>
  </w:num>
  <w:num w:numId="3" w16cid:durableId="1824194659">
    <w:abstractNumId w:val="13"/>
  </w:num>
  <w:num w:numId="4" w16cid:durableId="796725293">
    <w:abstractNumId w:val="7"/>
  </w:num>
  <w:num w:numId="5" w16cid:durableId="2089961079">
    <w:abstractNumId w:val="15"/>
  </w:num>
  <w:num w:numId="6" w16cid:durableId="2016029428">
    <w:abstractNumId w:val="1"/>
  </w:num>
  <w:num w:numId="7" w16cid:durableId="707920282">
    <w:abstractNumId w:val="9"/>
  </w:num>
  <w:num w:numId="8" w16cid:durableId="733239752">
    <w:abstractNumId w:val="0"/>
  </w:num>
  <w:num w:numId="9" w16cid:durableId="421218942">
    <w:abstractNumId w:val="5"/>
  </w:num>
  <w:num w:numId="10" w16cid:durableId="1861508342">
    <w:abstractNumId w:val="11"/>
  </w:num>
  <w:num w:numId="11" w16cid:durableId="67922094">
    <w:abstractNumId w:val="2"/>
  </w:num>
  <w:num w:numId="12" w16cid:durableId="1809661631">
    <w:abstractNumId w:val="6"/>
  </w:num>
  <w:num w:numId="13" w16cid:durableId="672033559">
    <w:abstractNumId w:val="3"/>
  </w:num>
  <w:num w:numId="14" w16cid:durableId="1756047915">
    <w:abstractNumId w:val="10"/>
    <w:lvlOverride w:ilvl="0">
      <w:lvl w:ilvl="0">
        <w:start w:val="1"/>
        <w:numFmt w:val="decimal"/>
        <w:pStyle w:val="FoF"/>
        <w:lvlText w:val="%1."/>
        <w:lvlJc w:val="right"/>
        <w:pPr>
          <w:ind w:left="0" w:firstLine="540"/>
        </w:pPr>
        <w:rPr>
          <w:rFonts w:hint="default"/>
        </w:rPr>
      </w:lvl>
    </w:lvlOverride>
  </w:num>
  <w:num w:numId="15" w16cid:durableId="156305687">
    <w:abstractNumId w:val="12"/>
    <w:lvlOverride w:ilvl="0">
      <w:lvl w:ilvl="0">
        <w:start w:val="1"/>
        <w:numFmt w:val="decimal"/>
        <w:pStyle w:val="Heading1"/>
        <w:lvlText w:val="%1."/>
        <w:lvlJc w:val="left"/>
        <w:pPr>
          <w:ind w:left="810" w:hanging="720"/>
        </w:pPr>
        <w:rPr>
          <w:rFonts w:ascii="Arial" w:hAnsi="Arial" w:cs="Arial" w:hint="default"/>
          <w:b/>
          <w:bCs/>
          <w:i w:val="0"/>
          <w:iCs/>
          <w:webHidden w:val="0"/>
          <w:specVanish w:val="0"/>
        </w:rPr>
      </w:lvl>
    </w:lvlOverride>
  </w:num>
  <w:num w:numId="16" w16cid:durableId="1455518185">
    <w:abstractNumId w:val="1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8"/>
  <w:displayHorizontalDrawingGridEvery w:val="0"/>
  <w:displayVerticalDrawingGridEvery w:val="0"/>
  <w:doNotUseMarginsForDrawingGridOrigin/>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3C28"/>
    <w:rsid w:val="00000540"/>
    <w:rsid w:val="00000EA8"/>
    <w:rsid w:val="000016B6"/>
    <w:rsid w:val="000019D5"/>
    <w:rsid w:val="00001E54"/>
    <w:rsid w:val="000022A0"/>
    <w:rsid w:val="00002BFC"/>
    <w:rsid w:val="000031DA"/>
    <w:rsid w:val="00003824"/>
    <w:rsid w:val="00003F9E"/>
    <w:rsid w:val="000040E5"/>
    <w:rsid w:val="0000584B"/>
    <w:rsid w:val="00006662"/>
    <w:rsid w:val="00006FD4"/>
    <w:rsid w:val="00007138"/>
    <w:rsid w:val="0000793D"/>
    <w:rsid w:val="000101E0"/>
    <w:rsid w:val="00011541"/>
    <w:rsid w:val="00013330"/>
    <w:rsid w:val="00013F72"/>
    <w:rsid w:val="000141A3"/>
    <w:rsid w:val="00014C94"/>
    <w:rsid w:val="00017CFB"/>
    <w:rsid w:val="00017E9D"/>
    <w:rsid w:val="000200E5"/>
    <w:rsid w:val="0002014A"/>
    <w:rsid w:val="0002113C"/>
    <w:rsid w:val="00021F02"/>
    <w:rsid w:val="000238A3"/>
    <w:rsid w:val="00023C50"/>
    <w:rsid w:val="00024DEC"/>
    <w:rsid w:val="00030CAC"/>
    <w:rsid w:val="00031D62"/>
    <w:rsid w:val="00031E4B"/>
    <w:rsid w:val="00032193"/>
    <w:rsid w:val="000326A6"/>
    <w:rsid w:val="000357D4"/>
    <w:rsid w:val="00035AFA"/>
    <w:rsid w:val="00036033"/>
    <w:rsid w:val="00036329"/>
    <w:rsid w:val="000367DC"/>
    <w:rsid w:val="000369F6"/>
    <w:rsid w:val="00036C44"/>
    <w:rsid w:val="00037C93"/>
    <w:rsid w:val="0004120A"/>
    <w:rsid w:val="00041923"/>
    <w:rsid w:val="000427CD"/>
    <w:rsid w:val="00042C13"/>
    <w:rsid w:val="0004456E"/>
    <w:rsid w:val="00046B0C"/>
    <w:rsid w:val="00050542"/>
    <w:rsid w:val="000514DC"/>
    <w:rsid w:val="00052758"/>
    <w:rsid w:val="00052DBC"/>
    <w:rsid w:val="00053C38"/>
    <w:rsid w:val="00055B20"/>
    <w:rsid w:val="000579F6"/>
    <w:rsid w:val="00057E5D"/>
    <w:rsid w:val="00060F8C"/>
    <w:rsid w:val="00061D07"/>
    <w:rsid w:val="0006217A"/>
    <w:rsid w:val="0006220F"/>
    <w:rsid w:val="00062A75"/>
    <w:rsid w:val="00062D59"/>
    <w:rsid w:val="0006302E"/>
    <w:rsid w:val="0006375B"/>
    <w:rsid w:val="00063CCF"/>
    <w:rsid w:val="0006443B"/>
    <w:rsid w:val="00065B01"/>
    <w:rsid w:val="00067722"/>
    <w:rsid w:val="00067D74"/>
    <w:rsid w:val="00067DAC"/>
    <w:rsid w:val="000711BF"/>
    <w:rsid w:val="00071DD5"/>
    <w:rsid w:val="00073391"/>
    <w:rsid w:val="00073C90"/>
    <w:rsid w:val="00073CF7"/>
    <w:rsid w:val="00073F58"/>
    <w:rsid w:val="000748F1"/>
    <w:rsid w:val="00075177"/>
    <w:rsid w:val="00075392"/>
    <w:rsid w:val="0007547D"/>
    <w:rsid w:val="00076B5F"/>
    <w:rsid w:val="000802C6"/>
    <w:rsid w:val="00080F27"/>
    <w:rsid w:val="0008163B"/>
    <w:rsid w:val="00082FB1"/>
    <w:rsid w:val="00083330"/>
    <w:rsid w:val="00083C5C"/>
    <w:rsid w:val="00084221"/>
    <w:rsid w:val="00085428"/>
    <w:rsid w:val="00085455"/>
    <w:rsid w:val="0008550E"/>
    <w:rsid w:val="00085FDB"/>
    <w:rsid w:val="000901D4"/>
    <w:rsid w:val="00090905"/>
    <w:rsid w:val="00090F02"/>
    <w:rsid w:val="0009139C"/>
    <w:rsid w:val="0009237B"/>
    <w:rsid w:val="00092B7D"/>
    <w:rsid w:val="00092C67"/>
    <w:rsid w:val="00093A25"/>
    <w:rsid w:val="00093E6A"/>
    <w:rsid w:val="00096195"/>
    <w:rsid w:val="000964F5"/>
    <w:rsid w:val="0009730F"/>
    <w:rsid w:val="000978D7"/>
    <w:rsid w:val="000A04E5"/>
    <w:rsid w:val="000A0ACC"/>
    <w:rsid w:val="000A0C44"/>
    <w:rsid w:val="000A0EFB"/>
    <w:rsid w:val="000A1303"/>
    <w:rsid w:val="000A2587"/>
    <w:rsid w:val="000A457F"/>
    <w:rsid w:val="000A52F6"/>
    <w:rsid w:val="000A5317"/>
    <w:rsid w:val="000A5379"/>
    <w:rsid w:val="000A5A06"/>
    <w:rsid w:val="000A60D9"/>
    <w:rsid w:val="000A611F"/>
    <w:rsid w:val="000A6308"/>
    <w:rsid w:val="000A656F"/>
    <w:rsid w:val="000A7170"/>
    <w:rsid w:val="000A7482"/>
    <w:rsid w:val="000A74DD"/>
    <w:rsid w:val="000B2AAC"/>
    <w:rsid w:val="000B2C4A"/>
    <w:rsid w:val="000B303D"/>
    <w:rsid w:val="000B309E"/>
    <w:rsid w:val="000B432A"/>
    <w:rsid w:val="000B4AC9"/>
    <w:rsid w:val="000B66ED"/>
    <w:rsid w:val="000B701D"/>
    <w:rsid w:val="000B74CE"/>
    <w:rsid w:val="000C057F"/>
    <w:rsid w:val="000C0702"/>
    <w:rsid w:val="000C1067"/>
    <w:rsid w:val="000C1386"/>
    <w:rsid w:val="000C3C8D"/>
    <w:rsid w:val="000C6E0C"/>
    <w:rsid w:val="000C6F80"/>
    <w:rsid w:val="000C72D8"/>
    <w:rsid w:val="000D0CF1"/>
    <w:rsid w:val="000D15A9"/>
    <w:rsid w:val="000D49A0"/>
    <w:rsid w:val="000D4D52"/>
    <w:rsid w:val="000D5D86"/>
    <w:rsid w:val="000D785A"/>
    <w:rsid w:val="000E147B"/>
    <w:rsid w:val="000E1D67"/>
    <w:rsid w:val="000E274C"/>
    <w:rsid w:val="000E297B"/>
    <w:rsid w:val="000E3D77"/>
    <w:rsid w:val="000E3F67"/>
    <w:rsid w:val="000E4BEA"/>
    <w:rsid w:val="000E5C81"/>
    <w:rsid w:val="000E5E6A"/>
    <w:rsid w:val="000E6190"/>
    <w:rsid w:val="000E6D9C"/>
    <w:rsid w:val="000E7B0F"/>
    <w:rsid w:val="000E7F9A"/>
    <w:rsid w:val="000F12AA"/>
    <w:rsid w:val="000F1A22"/>
    <w:rsid w:val="000F25FD"/>
    <w:rsid w:val="000F4505"/>
    <w:rsid w:val="000F4917"/>
    <w:rsid w:val="000F4B5C"/>
    <w:rsid w:val="000F506D"/>
    <w:rsid w:val="000F51C9"/>
    <w:rsid w:val="000F6163"/>
    <w:rsid w:val="000F7522"/>
    <w:rsid w:val="00100366"/>
    <w:rsid w:val="00102684"/>
    <w:rsid w:val="001032C6"/>
    <w:rsid w:val="001042D1"/>
    <w:rsid w:val="00104308"/>
    <w:rsid w:val="00105306"/>
    <w:rsid w:val="00105415"/>
    <w:rsid w:val="00105472"/>
    <w:rsid w:val="00106A70"/>
    <w:rsid w:val="00106ABB"/>
    <w:rsid w:val="00107D91"/>
    <w:rsid w:val="001103DD"/>
    <w:rsid w:val="00111B60"/>
    <w:rsid w:val="00111C6F"/>
    <w:rsid w:val="00112152"/>
    <w:rsid w:val="001124DB"/>
    <w:rsid w:val="001128E6"/>
    <w:rsid w:val="001133E2"/>
    <w:rsid w:val="001138C9"/>
    <w:rsid w:val="001147F1"/>
    <w:rsid w:val="00114820"/>
    <w:rsid w:val="001149EF"/>
    <w:rsid w:val="00114BCD"/>
    <w:rsid w:val="00115287"/>
    <w:rsid w:val="00115416"/>
    <w:rsid w:val="001154D0"/>
    <w:rsid w:val="00116059"/>
    <w:rsid w:val="00117438"/>
    <w:rsid w:val="001174B0"/>
    <w:rsid w:val="00117637"/>
    <w:rsid w:val="00117886"/>
    <w:rsid w:val="001200E4"/>
    <w:rsid w:val="001225D5"/>
    <w:rsid w:val="00123236"/>
    <w:rsid w:val="00127468"/>
    <w:rsid w:val="00127F6B"/>
    <w:rsid w:val="0013003E"/>
    <w:rsid w:val="0013006F"/>
    <w:rsid w:val="001310FD"/>
    <w:rsid w:val="00131F7D"/>
    <w:rsid w:val="00132293"/>
    <w:rsid w:val="00134547"/>
    <w:rsid w:val="00135E41"/>
    <w:rsid w:val="00136297"/>
    <w:rsid w:val="00136F45"/>
    <w:rsid w:val="00137DBD"/>
    <w:rsid w:val="00140D58"/>
    <w:rsid w:val="00141321"/>
    <w:rsid w:val="0014225A"/>
    <w:rsid w:val="00142AC5"/>
    <w:rsid w:val="001438B5"/>
    <w:rsid w:val="00143AD2"/>
    <w:rsid w:val="00143B8D"/>
    <w:rsid w:val="0014428B"/>
    <w:rsid w:val="001449BC"/>
    <w:rsid w:val="00144D7B"/>
    <w:rsid w:val="00145B49"/>
    <w:rsid w:val="00146460"/>
    <w:rsid w:val="00146BF8"/>
    <w:rsid w:val="001474A2"/>
    <w:rsid w:val="001474C1"/>
    <w:rsid w:val="0014772B"/>
    <w:rsid w:val="00147BC5"/>
    <w:rsid w:val="00154CA2"/>
    <w:rsid w:val="00155CE4"/>
    <w:rsid w:val="00155FCC"/>
    <w:rsid w:val="001566CA"/>
    <w:rsid w:val="00157F2D"/>
    <w:rsid w:val="0016199B"/>
    <w:rsid w:val="001626A5"/>
    <w:rsid w:val="00162D0E"/>
    <w:rsid w:val="00164A17"/>
    <w:rsid w:val="00164F0D"/>
    <w:rsid w:val="00165C81"/>
    <w:rsid w:val="00165E06"/>
    <w:rsid w:val="00166D2D"/>
    <w:rsid w:val="0016730A"/>
    <w:rsid w:val="00171110"/>
    <w:rsid w:val="00171414"/>
    <w:rsid w:val="00171C02"/>
    <w:rsid w:val="00171D16"/>
    <w:rsid w:val="001728CD"/>
    <w:rsid w:val="00173D06"/>
    <w:rsid w:val="0017622B"/>
    <w:rsid w:val="001763C8"/>
    <w:rsid w:val="00176772"/>
    <w:rsid w:val="001768A9"/>
    <w:rsid w:val="00177269"/>
    <w:rsid w:val="001774F1"/>
    <w:rsid w:val="001777D0"/>
    <w:rsid w:val="00177AA7"/>
    <w:rsid w:val="0018048A"/>
    <w:rsid w:val="0018050B"/>
    <w:rsid w:val="00181469"/>
    <w:rsid w:val="00181D0F"/>
    <w:rsid w:val="00181E1D"/>
    <w:rsid w:val="001830A2"/>
    <w:rsid w:val="00183F20"/>
    <w:rsid w:val="001841D6"/>
    <w:rsid w:val="00184DC2"/>
    <w:rsid w:val="00185824"/>
    <w:rsid w:val="0018790B"/>
    <w:rsid w:val="00187B43"/>
    <w:rsid w:val="001917AF"/>
    <w:rsid w:val="00191DFF"/>
    <w:rsid w:val="001933DB"/>
    <w:rsid w:val="001938B6"/>
    <w:rsid w:val="00194853"/>
    <w:rsid w:val="00194B03"/>
    <w:rsid w:val="001A07D2"/>
    <w:rsid w:val="001A2352"/>
    <w:rsid w:val="001A2779"/>
    <w:rsid w:val="001A3D84"/>
    <w:rsid w:val="001A4056"/>
    <w:rsid w:val="001A41D3"/>
    <w:rsid w:val="001A679E"/>
    <w:rsid w:val="001A6C44"/>
    <w:rsid w:val="001A7321"/>
    <w:rsid w:val="001B0912"/>
    <w:rsid w:val="001B1469"/>
    <w:rsid w:val="001B2D24"/>
    <w:rsid w:val="001B3634"/>
    <w:rsid w:val="001B56C4"/>
    <w:rsid w:val="001B5B9C"/>
    <w:rsid w:val="001B6144"/>
    <w:rsid w:val="001B6A29"/>
    <w:rsid w:val="001B6C93"/>
    <w:rsid w:val="001B74E0"/>
    <w:rsid w:val="001C1206"/>
    <w:rsid w:val="001C155B"/>
    <w:rsid w:val="001C15F7"/>
    <w:rsid w:val="001C16FA"/>
    <w:rsid w:val="001C1DE2"/>
    <w:rsid w:val="001C210B"/>
    <w:rsid w:val="001C5AA1"/>
    <w:rsid w:val="001C5EB5"/>
    <w:rsid w:val="001C71E0"/>
    <w:rsid w:val="001D0E05"/>
    <w:rsid w:val="001D3D92"/>
    <w:rsid w:val="001D46FA"/>
    <w:rsid w:val="001D58EC"/>
    <w:rsid w:val="001D7047"/>
    <w:rsid w:val="001D7099"/>
    <w:rsid w:val="001D73E2"/>
    <w:rsid w:val="001E2E9B"/>
    <w:rsid w:val="001E4C8E"/>
    <w:rsid w:val="001E5560"/>
    <w:rsid w:val="001E632A"/>
    <w:rsid w:val="001E78E9"/>
    <w:rsid w:val="001F157F"/>
    <w:rsid w:val="001F1A7E"/>
    <w:rsid w:val="001F22D3"/>
    <w:rsid w:val="001F360B"/>
    <w:rsid w:val="001F3951"/>
    <w:rsid w:val="001F3BE8"/>
    <w:rsid w:val="001F64FA"/>
    <w:rsid w:val="001F6A48"/>
    <w:rsid w:val="001F73E2"/>
    <w:rsid w:val="001F76EE"/>
    <w:rsid w:val="00200962"/>
    <w:rsid w:val="00201EE3"/>
    <w:rsid w:val="002028E2"/>
    <w:rsid w:val="0020409D"/>
    <w:rsid w:val="00204C32"/>
    <w:rsid w:val="00204C8F"/>
    <w:rsid w:val="002057B3"/>
    <w:rsid w:val="00205909"/>
    <w:rsid w:val="00205E31"/>
    <w:rsid w:val="0020671C"/>
    <w:rsid w:val="002077A2"/>
    <w:rsid w:val="00207F19"/>
    <w:rsid w:val="002106A9"/>
    <w:rsid w:val="00210A3B"/>
    <w:rsid w:val="00212A6D"/>
    <w:rsid w:val="0021517D"/>
    <w:rsid w:val="002152C6"/>
    <w:rsid w:val="00216EE7"/>
    <w:rsid w:val="00217D53"/>
    <w:rsid w:val="00222194"/>
    <w:rsid w:val="00222B38"/>
    <w:rsid w:val="00222E87"/>
    <w:rsid w:val="00224BE2"/>
    <w:rsid w:val="0022506D"/>
    <w:rsid w:val="00225E30"/>
    <w:rsid w:val="002268FC"/>
    <w:rsid w:val="00230496"/>
    <w:rsid w:val="00230C22"/>
    <w:rsid w:val="0023261D"/>
    <w:rsid w:val="00232EDD"/>
    <w:rsid w:val="0023451C"/>
    <w:rsid w:val="002358E2"/>
    <w:rsid w:val="00236C4F"/>
    <w:rsid w:val="00236FE8"/>
    <w:rsid w:val="00241DC2"/>
    <w:rsid w:val="00245CE1"/>
    <w:rsid w:val="00245DB2"/>
    <w:rsid w:val="00246004"/>
    <w:rsid w:val="00246223"/>
    <w:rsid w:val="0024670C"/>
    <w:rsid w:val="002468C0"/>
    <w:rsid w:val="00247106"/>
    <w:rsid w:val="002501AA"/>
    <w:rsid w:val="0025021E"/>
    <w:rsid w:val="00250D3B"/>
    <w:rsid w:val="0025111C"/>
    <w:rsid w:val="00251930"/>
    <w:rsid w:val="0025273C"/>
    <w:rsid w:val="00253CD7"/>
    <w:rsid w:val="00253D59"/>
    <w:rsid w:val="00254242"/>
    <w:rsid w:val="00260386"/>
    <w:rsid w:val="0026071B"/>
    <w:rsid w:val="00265EE2"/>
    <w:rsid w:val="00267F09"/>
    <w:rsid w:val="00270FF7"/>
    <w:rsid w:val="00271AE8"/>
    <w:rsid w:val="0027278B"/>
    <w:rsid w:val="002728A3"/>
    <w:rsid w:val="00272A26"/>
    <w:rsid w:val="00273931"/>
    <w:rsid w:val="00273A72"/>
    <w:rsid w:val="002742FA"/>
    <w:rsid w:val="00275D9C"/>
    <w:rsid w:val="00277644"/>
    <w:rsid w:val="00280DB2"/>
    <w:rsid w:val="002829E1"/>
    <w:rsid w:val="002832FD"/>
    <w:rsid w:val="00283321"/>
    <w:rsid w:val="00283B44"/>
    <w:rsid w:val="00284CB6"/>
    <w:rsid w:val="00286518"/>
    <w:rsid w:val="00286AED"/>
    <w:rsid w:val="00286EB3"/>
    <w:rsid w:val="00286EC6"/>
    <w:rsid w:val="002870FF"/>
    <w:rsid w:val="00287143"/>
    <w:rsid w:val="00287553"/>
    <w:rsid w:val="002903F3"/>
    <w:rsid w:val="00291604"/>
    <w:rsid w:val="00291BE1"/>
    <w:rsid w:val="002932E3"/>
    <w:rsid w:val="00293E54"/>
    <w:rsid w:val="00294450"/>
    <w:rsid w:val="00295C79"/>
    <w:rsid w:val="00296AC3"/>
    <w:rsid w:val="00297005"/>
    <w:rsid w:val="002975BF"/>
    <w:rsid w:val="002A02F9"/>
    <w:rsid w:val="002A04F3"/>
    <w:rsid w:val="002A0878"/>
    <w:rsid w:val="002A097C"/>
    <w:rsid w:val="002A167D"/>
    <w:rsid w:val="002A19DF"/>
    <w:rsid w:val="002A2649"/>
    <w:rsid w:val="002A4262"/>
    <w:rsid w:val="002A4EE8"/>
    <w:rsid w:val="002A513D"/>
    <w:rsid w:val="002A5206"/>
    <w:rsid w:val="002A6062"/>
    <w:rsid w:val="002B0864"/>
    <w:rsid w:val="002B0C8E"/>
    <w:rsid w:val="002B0D5B"/>
    <w:rsid w:val="002B23BA"/>
    <w:rsid w:val="002B26EC"/>
    <w:rsid w:val="002B365F"/>
    <w:rsid w:val="002B544E"/>
    <w:rsid w:val="002C0294"/>
    <w:rsid w:val="002C0985"/>
    <w:rsid w:val="002C1F61"/>
    <w:rsid w:val="002C25EA"/>
    <w:rsid w:val="002C38E0"/>
    <w:rsid w:val="002C3910"/>
    <w:rsid w:val="002C3A83"/>
    <w:rsid w:val="002C41F0"/>
    <w:rsid w:val="002C4F8B"/>
    <w:rsid w:val="002C5329"/>
    <w:rsid w:val="002C5654"/>
    <w:rsid w:val="002C56AC"/>
    <w:rsid w:val="002C6C2B"/>
    <w:rsid w:val="002D1543"/>
    <w:rsid w:val="002D2A8C"/>
    <w:rsid w:val="002D3DCC"/>
    <w:rsid w:val="002D4D31"/>
    <w:rsid w:val="002D5AD5"/>
    <w:rsid w:val="002D6965"/>
    <w:rsid w:val="002E0F10"/>
    <w:rsid w:val="002E1850"/>
    <w:rsid w:val="002E2016"/>
    <w:rsid w:val="002E202F"/>
    <w:rsid w:val="002E2ECB"/>
    <w:rsid w:val="002E4886"/>
    <w:rsid w:val="002E4891"/>
    <w:rsid w:val="002E4E24"/>
    <w:rsid w:val="002E56B4"/>
    <w:rsid w:val="002E7BA6"/>
    <w:rsid w:val="002F225D"/>
    <w:rsid w:val="002F305A"/>
    <w:rsid w:val="002F31C3"/>
    <w:rsid w:val="002F3810"/>
    <w:rsid w:val="002F4769"/>
    <w:rsid w:val="002F47C4"/>
    <w:rsid w:val="002F5064"/>
    <w:rsid w:val="002F53D1"/>
    <w:rsid w:val="002F5D75"/>
    <w:rsid w:val="002F5F42"/>
    <w:rsid w:val="002F6D51"/>
    <w:rsid w:val="002F6E2D"/>
    <w:rsid w:val="002F78E0"/>
    <w:rsid w:val="0030061C"/>
    <w:rsid w:val="00302150"/>
    <w:rsid w:val="0030283D"/>
    <w:rsid w:val="00303B9C"/>
    <w:rsid w:val="00303C65"/>
    <w:rsid w:val="003043F4"/>
    <w:rsid w:val="003048D0"/>
    <w:rsid w:val="00304DFC"/>
    <w:rsid w:val="00305167"/>
    <w:rsid w:val="00305C09"/>
    <w:rsid w:val="00305E68"/>
    <w:rsid w:val="003071E6"/>
    <w:rsid w:val="00307E00"/>
    <w:rsid w:val="003110C1"/>
    <w:rsid w:val="00311EAD"/>
    <w:rsid w:val="003124BB"/>
    <w:rsid w:val="003132D3"/>
    <w:rsid w:val="003143EF"/>
    <w:rsid w:val="003147CA"/>
    <w:rsid w:val="00315E1E"/>
    <w:rsid w:val="003209F5"/>
    <w:rsid w:val="00320AA4"/>
    <w:rsid w:val="0032141E"/>
    <w:rsid w:val="0032232E"/>
    <w:rsid w:val="0032379D"/>
    <w:rsid w:val="00324BDE"/>
    <w:rsid w:val="00324E41"/>
    <w:rsid w:val="003258F3"/>
    <w:rsid w:val="0032613F"/>
    <w:rsid w:val="00326B6C"/>
    <w:rsid w:val="00326BEB"/>
    <w:rsid w:val="0032765D"/>
    <w:rsid w:val="00327A15"/>
    <w:rsid w:val="00327B1E"/>
    <w:rsid w:val="00327CE9"/>
    <w:rsid w:val="0033076B"/>
    <w:rsid w:val="0033094A"/>
    <w:rsid w:val="0033103E"/>
    <w:rsid w:val="00333216"/>
    <w:rsid w:val="00333352"/>
    <w:rsid w:val="003341E7"/>
    <w:rsid w:val="003342E2"/>
    <w:rsid w:val="003344F2"/>
    <w:rsid w:val="00334EDD"/>
    <w:rsid w:val="003357E9"/>
    <w:rsid w:val="00335AF5"/>
    <w:rsid w:val="00335DAB"/>
    <w:rsid w:val="00336F3A"/>
    <w:rsid w:val="0033769B"/>
    <w:rsid w:val="00337DBB"/>
    <w:rsid w:val="003401F5"/>
    <w:rsid w:val="00341162"/>
    <w:rsid w:val="00342467"/>
    <w:rsid w:val="00342F0B"/>
    <w:rsid w:val="00343E4E"/>
    <w:rsid w:val="00344319"/>
    <w:rsid w:val="00344543"/>
    <w:rsid w:val="00344923"/>
    <w:rsid w:val="00345381"/>
    <w:rsid w:val="00345907"/>
    <w:rsid w:val="003467B4"/>
    <w:rsid w:val="0034688B"/>
    <w:rsid w:val="003470C2"/>
    <w:rsid w:val="00347C09"/>
    <w:rsid w:val="00347E5E"/>
    <w:rsid w:val="00350AEC"/>
    <w:rsid w:val="00351352"/>
    <w:rsid w:val="00352BFA"/>
    <w:rsid w:val="00355DE9"/>
    <w:rsid w:val="0035608E"/>
    <w:rsid w:val="00356160"/>
    <w:rsid w:val="003564DB"/>
    <w:rsid w:val="00356C0D"/>
    <w:rsid w:val="003570B7"/>
    <w:rsid w:val="003574F8"/>
    <w:rsid w:val="00357772"/>
    <w:rsid w:val="003603B9"/>
    <w:rsid w:val="0036105A"/>
    <w:rsid w:val="0036199D"/>
    <w:rsid w:val="00361A0D"/>
    <w:rsid w:val="00361AC5"/>
    <w:rsid w:val="00364740"/>
    <w:rsid w:val="00365488"/>
    <w:rsid w:val="003718DA"/>
    <w:rsid w:val="00371DEC"/>
    <w:rsid w:val="00373DBE"/>
    <w:rsid w:val="00374070"/>
    <w:rsid w:val="00376CDC"/>
    <w:rsid w:val="00377054"/>
    <w:rsid w:val="00380181"/>
    <w:rsid w:val="00382114"/>
    <w:rsid w:val="00382AD3"/>
    <w:rsid w:val="00382CB0"/>
    <w:rsid w:val="00383282"/>
    <w:rsid w:val="00383472"/>
    <w:rsid w:val="00383608"/>
    <w:rsid w:val="003838A5"/>
    <w:rsid w:val="00383A4C"/>
    <w:rsid w:val="003845B0"/>
    <w:rsid w:val="00384BEB"/>
    <w:rsid w:val="00384CE4"/>
    <w:rsid w:val="0038546D"/>
    <w:rsid w:val="00385C15"/>
    <w:rsid w:val="0039000B"/>
    <w:rsid w:val="00390903"/>
    <w:rsid w:val="00390FFC"/>
    <w:rsid w:val="003911FC"/>
    <w:rsid w:val="003921C6"/>
    <w:rsid w:val="0039254A"/>
    <w:rsid w:val="0039283C"/>
    <w:rsid w:val="003939AE"/>
    <w:rsid w:val="00393E48"/>
    <w:rsid w:val="003959F3"/>
    <w:rsid w:val="0039645A"/>
    <w:rsid w:val="0039794A"/>
    <w:rsid w:val="00397DB1"/>
    <w:rsid w:val="003A05C8"/>
    <w:rsid w:val="003A1472"/>
    <w:rsid w:val="003A1688"/>
    <w:rsid w:val="003A252A"/>
    <w:rsid w:val="003A2DFA"/>
    <w:rsid w:val="003A34C6"/>
    <w:rsid w:val="003A3B55"/>
    <w:rsid w:val="003A45A8"/>
    <w:rsid w:val="003A45FA"/>
    <w:rsid w:val="003A46C4"/>
    <w:rsid w:val="003A4959"/>
    <w:rsid w:val="003A5319"/>
    <w:rsid w:val="003A56A8"/>
    <w:rsid w:val="003A764D"/>
    <w:rsid w:val="003A7C4E"/>
    <w:rsid w:val="003A7F67"/>
    <w:rsid w:val="003B0C6D"/>
    <w:rsid w:val="003B1C4C"/>
    <w:rsid w:val="003B267C"/>
    <w:rsid w:val="003B2A51"/>
    <w:rsid w:val="003B34A1"/>
    <w:rsid w:val="003B45DC"/>
    <w:rsid w:val="003B4FB0"/>
    <w:rsid w:val="003B5167"/>
    <w:rsid w:val="003B5AC9"/>
    <w:rsid w:val="003B5B96"/>
    <w:rsid w:val="003B5FE2"/>
    <w:rsid w:val="003B65BD"/>
    <w:rsid w:val="003B6658"/>
    <w:rsid w:val="003B6E9E"/>
    <w:rsid w:val="003B7608"/>
    <w:rsid w:val="003C002F"/>
    <w:rsid w:val="003C0F2D"/>
    <w:rsid w:val="003C1805"/>
    <w:rsid w:val="003C315B"/>
    <w:rsid w:val="003C50BE"/>
    <w:rsid w:val="003C555A"/>
    <w:rsid w:val="003C65B5"/>
    <w:rsid w:val="003C6C1F"/>
    <w:rsid w:val="003C7EC8"/>
    <w:rsid w:val="003D008B"/>
    <w:rsid w:val="003D0DD5"/>
    <w:rsid w:val="003D28E4"/>
    <w:rsid w:val="003D3A0A"/>
    <w:rsid w:val="003D3FEC"/>
    <w:rsid w:val="003D4435"/>
    <w:rsid w:val="003D5D9D"/>
    <w:rsid w:val="003D613E"/>
    <w:rsid w:val="003D62CF"/>
    <w:rsid w:val="003D6A45"/>
    <w:rsid w:val="003D6C34"/>
    <w:rsid w:val="003D7850"/>
    <w:rsid w:val="003D7CF8"/>
    <w:rsid w:val="003D7E1A"/>
    <w:rsid w:val="003E02B2"/>
    <w:rsid w:val="003E04FE"/>
    <w:rsid w:val="003E12E3"/>
    <w:rsid w:val="003E1E0F"/>
    <w:rsid w:val="003E20FF"/>
    <w:rsid w:val="003E2350"/>
    <w:rsid w:val="003E2B36"/>
    <w:rsid w:val="003E2CC2"/>
    <w:rsid w:val="003E43EE"/>
    <w:rsid w:val="003E4564"/>
    <w:rsid w:val="003E48C0"/>
    <w:rsid w:val="003E7298"/>
    <w:rsid w:val="003E7448"/>
    <w:rsid w:val="003E7573"/>
    <w:rsid w:val="003F07CA"/>
    <w:rsid w:val="003F0D8C"/>
    <w:rsid w:val="003F1ED5"/>
    <w:rsid w:val="003F2108"/>
    <w:rsid w:val="003F25CB"/>
    <w:rsid w:val="003F3E04"/>
    <w:rsid w:val="003F4C2F"/>
    <w:rsid w:val="003F572E"/>
    <w:rsid w:val="003F5A3F"/>
    <w:rsid w:val="003F6168"/>
    <w:rsid w:val="003F6977"/>
    <w:rsid w:val="003F74FC"/>
    <w:rsid w:val="003F7B98"/>
    <w:rsid w:val="00400039"/>
    <w:rsid w:val="00400336"/>
    <w:rsid w:val="00400339"/>
    <w:rsid w:val="004012C9"/>
    <w:rsid w:val="004021A8"/>
    <w:rsid w:val="00402F4F"/>
    <w:rsid w:val="00404664"/>
    <w:rsid w:val="00404A08"/>
    <w:rsid w:val="0040505F"/>
    <w:rsid w:val="0040574C"/>
    <w:rsid w:val="00405FBB"/>
    <w:rsid w:val="0040709E"/>
    <w:rsid w:val="00407BDE"/>
    <w:rsid w:val="00410A7F"/>
    <w:rsid w:val="00410D6E"/>
    <w:rsid w:val="004123DC"/>
    <w:rsid w:val="00412F17"/>
    <w:rsid w:val="0041336B"/>
    <w:rsid w:val="00413780"/>
    <w:rsid w:val="00416317"/>
    <w:rsid w:val="00417825"/>
    <w:rsid w:val="0042151F"/>
    <w:rsid w:val="0042180F"/>
    <w:rsid w:val="00421E98"/>
    <w:rsid w:val="00423BA3"/>
    <w:rsid w:val="00423BEC"/>
    <w:rsid w:val="00424531"/>
    <w:rsid w:val="004245BC"/>
    <w:rsid w:val="00424B34"/>
    <w:rsid w:val="00424C1E"/>
    <w:rsid w:val="00425020"/>
    <w:rsid w:val="00425E11"/>
    <w:rsid w:val="00425E29"/>
    <w:rsid w:val="004276B3"/>
    <w:rsid w:val="00430CA4"/>
    <w:rsid w:val="00432CDE"/>
    <w:rsid w:val="004331DE"/>
    <w:rsid w:val="0043392F"/>
    <w:rsid w:val="00434722"/>
    <w:rsid w:val="004349E1"/>
    <w:rsid w:val="00434ABB"/>
    <w:rsid w:val="00434CDC"/>
    <w:rsid w:val="00435119"/>
    <w:rsid w:val="00435BEC"/>
    <w:rsid w:val="00435EB0"/>
    <w:rsid w:val="00436564"/>
    <w:rsid w:val="00437286"/>
    <w:rsid w:val="0044077F"/>
    <w:rsid w:val="00440B66"/>
    <w:rsid w:val="00440F9B"/>
    <w:rsid w:val="00442CBB"/>
    <w:rsid w:val="00443362"/>
    <w:rsid w:val="004439E6"/>
    <w:rsid w:val="00443A59"/>
    <w:rsid w:val="00445B50"/>
    <w:rsid w:val="00446364"/>
    <w:rsid w:val="00446E49"/>
    <w:rsid w:val="00447178"/>
    <w:rsid w:val="004477E1"/>
    <w:rsid w:val="00450006"/>
    <w:rsid w:val="00450029"/>
    <w:rsid w:val="0045006F"/>
    <w:rsid w:val="004510FA"/>
    <w:rsid w:val="00451B28"/>
    <w:rsid w:val="00452A2E"/>
    <w:rsid w:val="00455828"/>
    <w:rsid w:val="00455C91"/>
    <w:rsid w:val="00457966"/>
    <w:rsid w:val="004616EA"/>
    <w:rsid w:val="004624AD"/>
    <w:rsid w:val="004630BF"/>
    <w:rsid w:val="00463899"/>
    <w:rsid w:val="004639A9"/>
    <w:rsid w:val="00464A07"/>
    <w:rsid w:val="004652BF"/>
    <w:rsid w:val="00466C0E"/>
    <w:rsid w:val="00466E0E"/>
    <w:rsid w:val="00466F55"/>
    <w:rsid w:val="004670A3"/>
    <w:rsid w:val="004679CC"/>
    <w:rsid w:val="00470252"/>
    <w:rsid w:val="0047054F"/>
    <w:rsid w:val="00470671"/>
    <w:rsid w:val="00470E4A"/>
    <w:rsid w:val="00471132"/>
    <w:rsid w:val="004716C9"/>
    <w:rsid w:val="00471F74"/>
    <w:rsid w:val="0047220F"/>
    <w:rsid w:val="004730FD"/>
    <w:rsid w:val="00474278"/>
    <w:rsid w:val="00476371"/>
    <w:rsid w:val="004765BB"/>
    <w:rsid w:val="004767FE"/>
    <w:rsid w:val="004768C6"/>
    <w:rsid w:val="00477223"/>
    <w:rsid w:val="004803E5"/>
    <w:rsid w:val="00480ED7"/>
    <w:rsid w:val="0048173A"/>
    <w:rsid w:val="0048180F"/>
    <w:rsid w:val="00484BC7"/>
    <w:rsid w:val="00484C46"/>
    <w:rsid w:val="00484D15"/>
    <w:rsid w:val="00485752"/>
    <w:rsid w:val="0048694D"/>
    <w:rsid w:val="00486D11"/>
    <w:rsid w:val="00487B95"/>
    <w:rsid w:val="00491162"/>
    <w:rsid w:val="004917F2"/>
    <w:rsid w:val="00491898"/>
    <w:rsid w:val="00492867"/>
    <w:rsid w:val="004928A4"/>
    <w:rsid w:val="004932B8"/>
    <w:rsid w:val="004948DA"/>
    <w:rsid w:val="00495219"/>
    <w:rsid w:val="0049699D"/>
    <w:rsid w:val="00496A27"/>
    <w:rsid w:val="00497873"/>
    <w:rsid w:val="004A0514"/>
    <w:rsid w:val="004A1118"/>
    <w:rsid w:val="004A20DA"/>
    <w:rsid w:val="004A2204"/>
    <w:rsid w:val="004A2C3D"/>
    <w:rsid w:val="004A3DBD"/>
    <w:rsid w:val="004A46A6"/>
    <w:rsid w:val="004A4934"/>
    <w:rsid w:val="004A6E28"/>
    <w:rsid w:val="004A7ACA"/>
    <w:rsid w:val="004B0767"/>
    <w:rsid w:val="004B09C9"/>
    <w:rsid w:val="004B1D37"/>
    <w:rsid w:val="004B2F86"/>
    <w:rsid w:val="004B3D96"/>
    <w:rsid w:val="004B5818"/>
    <w:rsid w:val="004B6EE5"/>
    <w:rsid w:val="004B7329"/>
    <w:rsid w:val="004B7B40"/>
    <w:rsid w:val="004C0E95"/>
    <w:rsid w:val="004C144E"/>
    <w:rsid w:val="004C1A43"/>
    <w:rsid w:val="004C240C"/>
    <w:rsid w:val="004C2E1D"/>
    <w:rsid w:val="004C37B2"/>
    <w:rsid w:val="004C391C"/>
    <w:rsid w:val="004C45F2"/>
    <w:rsid w:val="004C4EE2"/>
    <w:rsid w:val="004C5687"/>
    <w:rsid w:val="004C690F"/>
    <w:rsid w:val="004C6BC9"/>
    <w:rsid w:val="004C7ABB"/>
    <w:rsid w:val="004D09BF"/>
    <w:rsid w:val="004D14BB"/>
    <w:rsid w:val="004D2593"/>
    <w:rsid w:val="004D379A"/>
    <w:rsid w:val="004D439A"/>
    <w:rsid w:val="004D4CCA"/>
    <w:rsid w:val="004D6108"/>
    <w:rsid w:val="004D6A10"/>
    <w:rsid w:val="004D6FB0"/>
    <w:rsid w:val="004D7139"/>
    <w:rsid w:val="004D73E1"/>
    <w:rsid w:val="004E0D01"/>
    <w:rsid w:val="004E123C"/>
    <w:rsid w:val="004E1673"/>
    <w:rsid w:val="004E6C6E"/>
    <w:rsid w:val="004E72B7"/>
    <w:rsid w:val="004E7F28"/>
    <w:rsid w:val="004F063D"/>
    <w:rsid w:val="004F13D6"/>
    <w:rsid w:val="004F2B30"/>
    <w:rsid w:val="004F408F"/>
    <w:rsid w:val="004F47BD"/>
    <w:rsid w:val="004F51F1"/>
    <w:rsid w:val="004F564F"/>
    <w:rsid w:val="004F64FA"/>
    <w:rsid w:val="004F73EB"/>
    <w:rsid w:val="005003A1"/>
    <w:rsid w:val="00500B02"/>
    <w:rsid w:val="00500E03"/>
    <w:rsid w:val="00500EB3"/>
    <w:rsid w:val="005011CA"/>
    <w:rsid w:val="0050179E"/>
    <w:rsid w:val="00502964"/>
    <w:rsid w:val="00504F66"/>
    <w:rsid w:val="005053F9"/>
    <w:rsid w:val="005060A6"/>
    <w:rsid w:val="005064FD"/>
    <w:rsid w:val="00506B74"/>
    <w:rsid w:val="00507436"/>
    <w:rsid w:val="00510C3D"/>
    <w:rsid w:val="00510F64"/>
    <w:rsid w:val="00511340"/>
    <w:rsid w:val="00511F3E"/>
    <w:rsid w:val="005124CB"/>
    <w:rsid w:val="0051367A"/>
    <w:rsid w:val="0051418B"/>
    <w:rsid w:val="00514348"/>
    <w:rsid w:val="00514C0A"/>
    <w:rsid w:val="00516F6D"/>
    <w:rsid w:val="00517C63"/>
    <w:rsid w:val="00520447"/>
    <w:rsid w:val="0052070D"/>
    <w:rsid w:val="00520E6A"/>
    <w:rsid w:val="00523003"/>
    <w:rsid w:val="00523728"/>
    <w:rsid w:val="0052394B"/>
    <w:rsid w:val="005244DB"/>
    <w:rsid w:val="00524CB6"/>
    <w:rsid w:val="00525037"/>
    <w:rsid w:val="00525096"/>
    <w:rsid w:val="00525BA8"/>
    <w:rsid w:val="005262F0"/>
    <w:rsid w:val="00526507"/>
    <w:rsid w:val="00527937"/>
    <w:rsid w:val="00527C64"/>
    <w:rsid w:val="00527EB4"/>
    <w:rsid w:val="0053160B"/>
    <w:rsid w:val="005330B4"/>
    <w:rsid w:val="00533525"/>
    <w:rsid w:val="00534BFD"/>
    <w:rsid w:val="0053596A"/>
    <w:rsid w:val="0053723D"/>
    <w:rsid w:val="00537B94"/>
    <w:rsid w:val="00540409"/>
    <w:rsid w:val="00540B6D"/>
    <w:rsid w:val="00540D4B"/>
    <w:rsid w:val="00540E7D"/>
    <w:rsid w:val="00541C31"/>
    <w:rsid w:val="00542583"/>
    <w:rsid w:val="00542C0E"/>
    <w:rsid w:val="0054432A"/>
    <w:rsid w:val="005472D8"/>
    <w:rsid w:val="00550173"/>
    <w:rsid w:val="00551265"/>
    <w:rsid w:val="005527B3"/>
    <w:rsid w:val="00555983"/>
    <w:rsid w:val="005559AA"/>
    <w:rsid w:val="00555FC6"/>
    <w:rsid w:val="00557702"/>
    <w:rsid w:val="00557EE3"/>
    <w:rsid w:val="00561353"/>
    <w:rsid w:val="00562223"/>
    <w:rsid w:val="00562736"/>
    <w:rsid w:val="005627A1"/>
    <w:rsid w:val="00562F96"/>
    <w:rsid w:val="005633AB"/>
    <w:rsid w:val="00563D04"/>
    <w:rsid w:val="00564E37"/>
    <w:rsid w:val="00565948"/>
    <w:rsid w:val="005675AF"/>
    <w:rsid w:val="005677DC"/>
    <w:rsid w:val="00570263"/>
    <w:rsid w:val="0057046A"/>
    <w:rsid w:val="00570A03"/>
    <w:rsid w:val="005739E6"/>
    <w:rsid w:val="00573CBA"/>
    <w:rsid w:val="005746C2"/>
    <w:rsid w:val="0058160C"/>
    <w:rsid w:val="0058191B"/>
    <w:rsid w:val="005834A3"/>
    <w:rsid w:val="0058497E"/>
    <w:rsid w:val="005859B1"/>
    <w:rsid w:val="00585B0F"/>
    <w:rsid w:val="00585F2B"/>
    <w:rsid w:val="00590444"/>
    <w:rsid w:val="00590D0E"/>
    <w:rsid w:val="00591632"/>
    <w:rsid w:val="00591DD2"/>
    <w:rsid w:val="00591FE5"/>
    <w:rsid w:val="005931D5"/>
    <w:rsid w:val="0059451F"/>
    <w:rsid w:val="00594C67"/>
    <w:rsid w:val="00595514"/>
    <w:rsid w:val="0059741B"/>
    <w:rsid w:val="0059759F"/>
    <w:rsid w:val="005A0EB2"/>
    <w:rsid w:val="005A2494"/>
    <w:rsid w:val="005A2ADC"/>
    <w:rsid w:val="005A2C09"/>
    <w:rsid w:val="005A2F5D"/>
    <w:rsid w:val="005A40D8"/>
    <w:rsid w:val="005A4ACF"/>
    <w:rsid w:val="005A609D"/>
    <w:rsid w:val="005A765C"/>
    <w:rsid w:val="005A7C38"/>
    <w:rsid w:val="005B012B"/>
    <w:rsid w:val="005B0243"/>
    <w:rsid w:val="005B03A1"/>
    <w:rsid w:val="005B0513"/>
    <w:rsid w:val="005B0CD3"/>
    <w:rsid w:val="005B1349"/>
    <w:rsid w:val="005B165D"/>
    <w:rsid w:val="005B230F"/>
    <w:rsid w:val="005B2559"/>
    <w:rsid w:val="005B33B1"/>
    <w:rsid w:val="005B35E9"/>
    <w:rsid w:val="005B3BF6"/>
    <w:rsid w:val="005B3E1E"/>
    <w:rsid w:val="005B42EA"/>
    <w:rsid w:val="005B4447"/>
    <w:rsid w:val="005B5938"/>
    <w:rsid w:val="005B7850"/>
    <w:rsid w:val="005C1610"/>
    <w:rsid w:val="005C1E59"/>
    <w:rsid w:val="005C29B3"/>
    <w:rsid w:val="005C2E5E"/>
    <w:rsid w:val="005C39EF"/>
    <w:rsid w:val="005C3AB7"/>
    <w:rsid w:val="005C41B8"/>
    <w:rsid w:val="005C4387"/>
    <w:rsid w:val="005C4B0A"/>
    <w:rsid w:val="005C5242"/>
    <w:rsid w:val="005C52EC"/>
    <w:rsid w:val="005C71FB"/>
    <w:rsid w:val="005C79B6"/>
    <w:rsid w:val="005D0196"/>
    <w:rsid w:val="005D021E"/>
    <w:rsid w:val="005D079F"/>
    <w:rsid w:val="005D10C1"/>
    <w:rsid w:val="005D158E"/>
    <w:rsid w:val="005D1AFB"/>
    <w:rsid w:val="005D3231"/>
    <w:rsid w:val="005D342A"/>
    <w:rsid w:val="005D35C5"/>
    <w:rsid w:val="005D3A1C"/>
    <w:rsid w:val="005D46BE"/>
    <w:rsid w:val="005D4844"/>
    <w:rsid w:val="005D5714"/>
    <w:rsid w:val="005D6B8A"/>
    <w:rsid w:val="005D7006"/>
    <w:rsid w:val="005E0CD3"/>
    <w:rsid w:val="005E1C02"/>
    <w:rsid w:val="005E1C96"/>
    <w:rsid w:val="005E2349"/>
    <w:rsid w:val="005E2943"/>
    <w:rsid w:val="005E3542"/>
    <w:rsid w:val="005E38F6"/>
    <w:rsid w:val="005E3B48"/>
    <w:rsid w:val="005E698B"/>
    <w:rsid w:val="005F09D5"/>
    <w:rsid w:val="005F100B"/>
    <w:rsid w:val="005F16A0"/>
    <w:rsid w:val="005F3D70"/>
    <w:rsid w:val="005F4931"/>
    <w:rsid w:val="005F72F7"/>
    <w:rsid w:val="005F7C73"/>
    <w:rsid w:val="0060091D"/>
    <w:rsid w:val="00601A21"/>
    <w:rsid w:val="00601FF3"/>
    <w:rsid w:val="00602852"/>
    <w:rsid w:val="0060309B"/>
    <w:rsid w:val="0060479E"/>
    <w:rsid w:val="0060486D"/>
    <w:rsid w:val="00605D3E"/>
    <w:rsid w:val="006069F9"/>
    <w:rsid w:val="00607E4D"/>
    <w:rsid w:val="00610A8D"/>
    <w:rsid w:val="00611894"/>
    <w:rsid w:val="00612AF2"/>
    <w:rsid w:val="00614E64"/>
    <w:rsid w:val="00615D8D"/>
    <w:rsid w:val="00616099"/>
    <w:rsid w:val="00616806"/>
    <w:rsid w:val="006179BB"/>
    <w:rsid w:val="0062006F"/>
    <w:rsid w:val="0062072A"/>
    <w:rsid w:val="0062119C"/>
    <w:rsid w:val="00621227"/>
    <w:rsid w:val="006213AB"/>
    <w:rsid w:val="00621FA2"/>
    <w:rsid w:val="006246F8"/>
    <w:rsid w:val="006248BF"/>
    <w:rsid w:val="0062491F"/>
    <w:rsid w:val="006262A6"/>
    <w:rsid w:val="006264C7"/>
    <w:rsid w:val="00626898"/>
    <w:rsid w:val="006271B7"/>
    <w:rsid w:val="00627350"/>
    <w:rsid w:val="00627B20"/>
    <w:rsid w:val="00631BDF"/>
    <w:rsid w:val="00632870"/>
    <w:rsid w:val="00632B5C"/>
    <w:rsid w:val="00633F7B"/>
    <w:rsid w:val="0063529A"/>
    <w:rsid w:val="0063567E"/>
    <w:rsid w:val="00635688"/>
    <w:rsid w:val="00640600"/>
    <w:rsid w:val="00642D04"/>
    <w:rsid w:val="006443D9"/>
    <w:rsid w:val="00646349"/>
    <w:rsid w:val="00646923"/>
    <w:rsid w:val="00650A56"/>
    <w:rsid w:val="00651249"/>
    <w:rsid w:val="0065191B"/>
    <w:rsid w:val="00651A1D"/>
    <w:rsid w:val="006536AB"/>
    <w:rsid w:val="0065432A"/>
    <w:rsid w:val="006550BA"/>
    <w:rsid w:val="00655A9B"/>
    <w:rsid w:val="00656292"/>
    <w:rsid w:val="00657D08"/>
    <w:rsid w:val="006606EC"/>
    <w:rsid w:val="00660758"/>
    <w:rsid w:val="006619C0"/>
    <w:rsid w:val="00661D38"/>
    <w:rsid w:val="0066243E"/>
    <w:rsid w:val="00664FDC"/>
    <w:rsid w:val="00665225"/>
    <w:rsid w:val="00665697"/>
    <w:rsid w:val="00666014"/>
    <w:rsid w:val="006668CB"/>
    <w:rsid w:val="00667981"/>
    <w:rsid w:val="00673226"/>
    <w:rsid w:val="00673BB5"/>
    <w:rsid w:val="00674BF5"/>
    <w:rsid w:val="006754A3"/>
    <w:rsid w:val="006756DD"/>
    <w:rsid w:val="00675AD9"/>
    <w:rsid w:val="00675CCA"/>
    <w:rsid w:val="0067628D"/>
    <w:rsid w:val="00677604"/>
    <w:rsid w:val="00680B91"/>
    <w:rsid w:val="00681300"/>
    <w:rsid w:val="00681350"/>
    <w:rsid w:val="00682390"/>
    <w:rsid w:val="00684DD6"/>
    <w:rsid w:val="006857D9"/>
    <w:rsid w:val="00686018"/>
    <w:rsid w:val="0068715B"/>
    <w:rsid w:val="00687438"/>
    <w:rsid w:val="0068757E"/>
    <w:rsid w:val="00687FCE"/>
    <w:rsid w:val="00690197"/>
    <w:rsid w:val="00690D64"/>
    <w:rsid w:val="0069121B"/>
    <w:rsid w:val="00692048"/>
    <w:rsid w:val="006929AC"/>
    <w:rsid w:val="00693509"/>
    <w:rsid w:val="006935E3"/>
    <w:rsid w:val="00693A1F"/>
    <w:rsid w:val="00693DE8"/>
    <w:rsid w:val="006942A3"/>
    <w:rsid w:val="0069569B"/>
    <w:rsid w:val="006958C3"/>
    <w:rsid w:val="006958D8"/>
    <w:rsid w:val="00696BD3"/>
    <w:rsid w:val="006975D8"/>
    <w:rsid w:val="006977FC"/>
    <w:rsid w:val="006A0B27"/>
    <w:rsid w:val="006A14A8"/>
    <w:rsid w:val="006A1712"/>
    <w:rsid w:val="006A1BCE"/>
    <w:rsid w:val="006A25A7"/>
    <w:rsid w:val="006A2B22"/>
    <w:rsid w:val="006A3D74"/>
    <w:rsid w:val="006A419C"/>
    <w:rsid w:val="006A4729"/>
    <w:rsid w:val="006A48FC"/>
    <w:rsid w:val="006A5A96"/>
    <w:rsid w:val="006A65C4"/>
    <w:rsid w:val="006A660B"/>
    <w:rsid w:val="006A7A07"/>
    <w:rsid w:val="006B0CB8"/>
    <w:rsid w:val="006B2451"/>
    <w:rsid w:val="006B2CDB"/>
    <w:rsid w:val="006B5F05"/>
    <w:rsid w:val="006B60E0"/>
    <w:rsid w:val="006B6D83"/>
    <w:rsid w:val="006B6F5B"/>
    <w:rsid w:val="006B7F56"/>
    <w:rsid w:val="006C0726"/>
    <w:rsid w:val="006C1BA5"/>
    <w:rsid w:val="006C3FE1"/>
    <w:rsid w:val="006C4FE7"/>
    <w:rsid w:val="006C5031"/>
    <w:rsid w:val="006C6B40"/>
    <w:rsid w:val="006C6D90"/>
    <w:rsid w:val="006C7F9B"/>
    <w:rsid w:val="006D1454"/>
    <w:rsid w:val="006D24E4"/>
    <w:rsid w:val="006D5467"/>
    <w:rsid w:val="006D6BBC"/>
    <w:rsid w:val="006D72D1"/>
    <w:rsid w:val="006D73D1"/>
    <w:rsid w:val="006D764D"/>
    <w:rsid w:val="006E0316"/>
    <w:rsid w:val="006E093B"/>
    <w:rsid w:val="006E094D"/>
    <w:rsid w:val="006E0CA8"/>
    <w:rsid w:val="006E10CC"/>
    <w:rsid w:val="006E110A"/>
    <w:rsid w:val="006E1721"/>
    <w:rsid w:val="006E2B52"/>
    <w:rsid w:val="006E337C"/>
    <w:rsid w:val="006E3F4C"/>
    <w:rsid w:val="006E4A2D"/>
    <w:rsid w:val="006E4D11"/>
    <w:rsid w:val="006E5625"/>
    <w:rsid w:val="006E5B31"/>
    <w:rsid w:val="006E5FFD"/>
    <w:rsid w:val="006E6382"/>
    <w:rsid w:val="006E74C7"/>
    <w:rsid w:val="006E78D4"/>
    <w:rsid w:val="006F1AE7"/>
    <w:rsid w:val="006F1D67"/>
    <w:rsid w:val="006F1E91"/>
    <w:rsid w:val="006F438E"/>
    <w:rsid w:val="006F45CA"/>
    <w:rsid w:val="006F5D9C"/>
    <w:rsid w:val="006F6596"/>
    <w:rsid w:val="006F698C"/>
    <w:rsid w:val="006F6F49"/>
    <w:rsid w:val="006F6FA9"/>
    <w:rsid w:val="007024A1"/>
    <w:rsid w:val="007029C3"/>
    <w:rsid w:val="00702CA3"/>
    <w:rsid w:val="00702FD1"/>
    <w:rsid w:val="0070320D"/>
    <w:rsid w:val="007041FE"/>
    <w:rsid w:val="00704608"/>
    <w:rsid w:val="0070492E"/>
    <w:rsid w:val="00705B4B"/>
    <w:rsid w:val="00705C06"/>
    <w:rsid w:val="00707B71"/>
    <w:rsid w:val="00710998"/>
    <w:rsid w:val="00710B95"/>
    <w:rsid w:val="007122DD"/>
    <w:rsid w:val="007124B2"/>
    <w:rsid w:val="00712B97"/>
    <w:rsid w:val="00712FBE"/>
    <w:rsid w:val="00713EFC"/>
    <w:rsid w:val="00713F28"/>
    <w:rsid w:val="007147ED"/>
    <w:rsid w:val="00714E78"/>
    <w:rsid w:val="00716CE1"/>
    <w:rsid w:val="00717B4E"/>
    <w:rsid w:val="00717BD7"/>
    <w:rsid w:val="00720227"/>
    <w:rsid w:val="007206A4"/>
    <w:rsid w:val="007206C2"/>
    <w:rsid w:val="00720BE8"/>
    <w:rsid w:val="00722E90"/>
    <w:rsid w:val="00723509"/>
    <w:rsid w:val="007243BE"/>
    <w:rsid w:val="00724BE1"/>
    <w:rsid w:val="007260B7"/>
    <w:rsid w:val="00730029"/>
    <w:rsid w:val="0073079E"/>
    <w:rsid w:val="00730980"/>
    <w:rsid w:val="0073139F"/>
    <w:rsid w:val="007313D9"/>
    <w:rsid w:val="007313F8"/>
    <w:rsid w:val="00731851"/>
    <w:rsid w:val="00732645"/>
    <w:rsid w:val="00733E52"/>
    <w:rsid w:val="0073569B"/>
    <w:rsid w:val="0073674F"/>
    <w:rsid w:val="00742B4F"/>
    <w:rsid w:val="0074423C"/>
    <w:rsid w:val="007443B7"/>
    <w:rsid w:val="0074514F"/>
    <w:rsid w:val="00747FC5"/>
    <w:rsid w:val="007500E4"/>
    <w:rsid w:val="00750CD2"/>
    <w:rsid w:val="007526A9"/>
    <w:rsid w:val="0075371E"/>
    <w:rsid w:val="0075557B"/>
    <w:rsid w:val="00756931"/>
    <w:rsid w:val="007602B5"/>
    <w:rsid w:val="007603D4"/>
    <w:rsid w:val="00761E6B"/>
    <w:rsid w:val="007625CA"/>
    <w:rsid w:val="00762A35"/>
    <w:rsid w:val="00762B83"/>
    <w:rsid w:val="00763652"/>
    <w:rsid w:val="007647E2"/>
    <w:rsid w:val="00764B01"/>
    <w:rsid w:val="00764CC7"/>
    <w:rsid w:val="00765648"/>
    <w:rsid w:val="00765EC9"/>
    <w:rsid w:val="00766840"/>
    <w:rsid w:val="00767777"/>
    <w:rsid w:val="0077137C"/>
    <w:rsid w:val="00771407"/>
    <w:rsid w:val="00771A76"/>
    <w:rsid w:val="00772739"/>
    <w:rsid w:val="00772A89"/>
    <w:rsid w:val="00773926"/>
    <w:rsid w:val="007739F6"/>
    <w:rsid w:val="00774152"/>
    <w:rsid w:val="0077442D"/>
    <w:rsid w:val="00775A57"/>
    <w:rsid w:val="00775E42"/>
    <w:rsid w:val="00775ED7"/>
    <w:rsid w:val="00776F88"/>
    <w:rsid w:val="0077720E"/>
    <w:rsid w:val="007775F2"/>
    <w:rsid w:val="0078100E"/>
    <w:rsid w:val="007810D7"/>
    <w:rsid w:val="00781DC1"/>
    <w:rsid w:val="00786D17"/>
    <w:rsid w:val="0078788B"/>
    <w:rsid w:val="007905F9"/>
    <w:rsid w:val="0079210E"/>
    <w:rsid w:val="00793834"/>
    <w:rsid w:val="007943DD"/>
    <w:rsid w:val="00795486"/>
    <w:rsid w:val="007957E3"/>
    <w:rsid w:val="00795814"/>
    <w:rsid w:val="007959C5"/>
    <w:rsid w:val="00795DAD"/>
    <w:rsid w:val="0079610E"/>
    <w:rsid w:val="007970B6"/>
    <w:rsid w:val="00797529"/>
    <w:rsid w:val="007A0914"/>
    <w:rsid w:val="007A0DF0"/>
    <w:rsid w:val="007A15E2"/>
    <w:rsid w:val="007A34F9"/>
    <w:rsid w:val="007A3989"/>
    <w:rsid w:val="007A3D21"/>
    <w:rsid w:val="007A419F"/>
    <w:rsid w:val="007A4B8E"/>
    <w:rsid w:val="007A5606"/>
    <w:rsid w:val="007A6236"/>
    <w:rsid w:val="007A6FDF"/>
    <w:rsid w:val="007B0C3D"/>
    <w:rsid w:val="007B10F9"/>
    <w:rsid w:val="007B1DDF"/>
    <w:rsid w:val="007B21FF"/>
    <w:rsid w:val="007B2384"/>
    <w:rsid w:val="007B2CF5"/>
    <w:rsid w:val="007B3082"/>
    <w:rsid w:val="007B3C37"/>
    <w:rsid w:val="007B3D41"/>
    <w:rsid w:val="007B46C9"/>
    <w:rsid w:val="007B5C77"/>
    <w:rsid w:val="007B5D59"/>
    <w:rsid w:val="007B5E60"/>
    <w:rsid w:val="007B6791"/>
    <w:rsid w:val="007B67C7"/>
    <w:rsid w:val="007B688B"/>
    <w:rsid w:val="007C039D"/>
    <w:rsid w:val="007C4A47"/>
    <w:rsid w:val="007C5615"/>
    <w:rsid w:val="007C65EC"/>
    <w:rsid w:val="007C6BC8"/>
    <w:rsid w:val="007C6D37"/>
    <w:rsid w:val="007D1BB4"/>
    <w:rsid w:val="007D2701"/>
    <w:rsid w:val="007D32B1"/>
    <w:rsid w:val="007D3C91"/>
    <w:rsid w:val="007D40CA"/>
    <w:rsid w:val="007D562D"/>
    <w:rsid w:val="007D576C"/>
    <w:rsid w:val="007D63D5"/>
    <w:rsid w:val="007D7D30"/>
    <w:rsid w:val="007E1B92"/>
    <w:rsid w:val="007E2A62"/>
    <w:rsid w:val="007E4EDF"/>
    <w:rsid w:val="007E5F2A"/>
    <w:rsid w:val="007E5F90"/>
    <w:rsid w:val="007E6966"/>
    <w:rsid w:val="007F0996"/>
    <w:rsid w:val="007F1BFC"/>
    <w:rsid w:val="007F25CA"/>
    <w:rsid w:val="007F28BA"/>
    <w:rsid w:val="007F34E3"/>
    <w:rsid w:val="007F41E6"/>
    <w:rsid w:val="007F45F8"/>
    <w:rsid w:val="007F59E6"/>
    <w:rsid w:val="007F691C"/>
    <w:rsid w:val="007F6E2E"/>
    <w:rsid w:val="007F6E52"/>
    <w:rsid w:val="007F7416"/>
    <w:rsid w:val="007F774B"/>
    <w:rsid w:val="007F7F0A"/>
    <w:rsid w:val="00801A82"/>
    <w:rsid w:val="008025BA"/>
    <w:rsid w:val="008026F9"/>
    <w:rsid w:val="0080384F"/>
    <w:rsid w:val="008046CE"/>
    <w:rsid w:val="00804CBD"/>
    <w:rsid w:val="008064C0"/>
    <w:rsid w:val="008072AA"/>
    <w:rsid w:val="008105F6"/>
    <w:rsid w:val="008109BE"/>
    <w:rsid w:val="008121D3"/>
    <w:rsid w:val="008123CD"/>
    <w:rsid w:val="0081281B"/>
    <w:rsid w:val="00812E33"/>
    <w:rsid w:val="008135BE"/>
    <w:rsid w:val="0081413E"/>
    <w:rsid w:val="00814D88"/>
    <w:rsid w:val="008169BD"/>
    <w:rsid w:val="00817A10"/>
    <w:rsid w:val="00817B3F"/>
    <w:rsid w:val="00820179"/>
    <w:rsid w:val="00820E90"/>
    <w:rsid w:val="00830343"/>
    <w:rsid w:val="00830BFE"/>
    <w:rsid w:val="0083182C"/>
    <w:rsid w:val="00831BF9"/>
    <w:rsid w:val="0083236B"/>
    <w:rsid w:val="00832E7E"/>
    <w:rsid w:val="00833755"/>
    <w:rsid w:val="00835739"/>
    <w:rsid w:val="00836041"/>
    <w:rsid w:val="00836494"/>
    <w:rsid w:val="00836672"/>
    <w:rsid w:val="00837B7D"/>
    <w:rsid w:val="00840173"/>
    <w:rsid w:val="00840676"/>
    <w:rsid w:val="008415BA"/>
    <w:rsid w:val="0084183D"/>
    <w:rsid w:val="008430E8"/>
    <w:rsid w:val="008437D1"/>
    <w:rsid w:val="0084558E"/>
    <w:rsid w:val="00846F2F"/>
    <w:rsid w:val="00850A72"/>
    <w:rsid w:val="00850B49"/>
    <w:rsid w:val="00851E54"/>
    <w:rsid w:val="0085506A"/>
    <w:rsid w:val="00855E8A"/>
    <w:rsid w:val="0085710C"/>
    <w:rsid w:val="00857999"/>
    <w:rsid w:val="00857F65"/>
    <w:rsid w:val="00860129"/>
    <w:rsid w:val="008604D6"/>
    <w:rsid w:val="00860A7E"/>
    <w:rsid w:val="00861BA6"/>
    <w:rsid w:val="0086309D"/>
    <w:rsid w:val="00863473"/>
    <w:rsid w:val="008639B0"/>
    <w:rsid w:val="00863C3E"/>
    <w:rsid w:val="0086518E"/>
    <w:rsid w:val="008651D5"/>
    <w:rsid w:val="008664C6"/>
    <w:rsid w:val="00866EC1"/>
    <w:rsid w:val="00871B03"/>
    <w:rsid w:val="008735D3"/>
    <w:rsid w:val="00874396"/>
    <w:rsid w:val="00875819"/>
    <w:rsid w:val="00876AA7"/>
    <w:rsid w:val="00877A7B"/>
    <w:rsid w:val="00881888"/>
    <w:rsid w:val="008822C4"/>
    <w:rsid w:val="00882D85"/>
    <w:rsid w:val="0088456E"/>
    <w:rsid w:val="0088469F"/>
    <w:rsid w:val="00884E1F"/>
    <w:rsid w:val="0088749C"/>
    <w:rsid w:val="0089008F"/>
    <w:rsid w:val="008900EB"/>
    <w:rsid w:val="00891371"/>
    <w:rsid w:val="00891B87"/>
    <w:rsid w:val="00892638"/>
    <w:rsid w:val="0089290C"/>
    <w:rsid w:val="00892EF9"/>
    <w:rsid w:val="00892F69"/>
    <w:rsid w:val="00893387"/>
    <w:rsid w:val="008934FC"/>
    <w:rsid w:val="00893620"/>
    <w:rsid w:val="0089377C"/>
    <w:rsid w:val="008946EC"/>
    <w:rsid w:val="00894C56"/>
    <w:rsid w:val="008950EE"/>
    <w:rsid w:val="00896CCD"/>
    <w:rsid w:val="00896DE0"/>
    <w:rsid w:val="00897E8D"/>
    <w:rsid w:val="008A13C3"/>
    <w:rsid w:val="008A3084"/>
    <w:rsid w:val="008A3E0F"/>
    <w:rsid w:val="008A45F2"/>
    <w:rsid w:val="008A6D1A"/>
    <w:rsid w:val="008A7698"/>
    <w:rsid w:val="008B071A"/>
    <w:rsid w:val="008B10C2"/>
    <w:rsid w:val="008B2BDD"/>
    <w:rsid w:val="008B38AA"/>
    <w:rsid w:val="008B46C6"/>
    <w:rsid w:val="008B4C51"/>
    <w:rsid w:val="008B513E"/>
    <w:rsid w:val="008B5A76"/>
    <w:rsid w:val="008B5BBA"/>
    <w:rsid w:val="008B645E"/>
    <w:rsid w:val="008B698F"/>
    <w:rsid w:val="008B6AB0"/>
    <w:rsid w:val="008B6C20"/>
    <w:rsid w:val="008B7567"/>
    <w:rsid w:val="008B7D8E"/>
    <w:rsid w:val="008C1430"/>
    <w:rsid w:val="008C1508"/>
    <w:rsid w:val="008C19B9"/>
    <w:rsid w:val="008C24A5"/>
    <w:rsid w:val="008C2AB1"/>
    <w:rsid w:val="008C3363"/>
    <w:rsid w:val="008C5163"/>
    <w:rsid w:val="008C51F4"/>
    <w:rsid w:val="008C5642"/>
    <w:rsid w:val="008C7697"/>
    <w:rsid w:val="008C7A29"/>
    <w:rsid w:val="008C7CC9"/>
    <w:rsid w:val="008D08E8"/>
    <w:rsid w:val="008D173F"/>
    <w:rsid w:val="008D17A9"/>
    <w:rsid w:val="008D1C2F"/>
    <w:rsid w:val="008D1DCC"/>
    <w:rsid w:val="008D219B"/>
    <w:rsid w:val="008D264A"/>
    <w:rsid w:val="008D365B"/>
    <w:rsid w:val="008D56B2"/>
    <w:rsid w:val="008D669A"/>
    <w:rsid w:val="008D6C5C"/>
    <w:rsid w:val="008D6DAA"/>
    <w:rsid w:val="008D7370"/>
    <w:rsid w:val="008D7BE1"/>
    <w:rsid w:val="008D7FE3"/>
    <w:rsid w:val="008E0884"/>
    <w:rsid w:val="008E1134"/>
    <w:rsid w:val="008E1D9F"/>
    <w:rsid w:val="008E2AE0"/>
    <w:rsid w:val="008E4D0D"/>
    <w:rsid w:val="008E4E42"/>
    <w:rsid w:val="008E586D"/>
    <w:rsid w:val="008E5AEC"/>
    <w:rsid w:val="008E64D7"/>
    <w:rsid w:val="008E675F"/>
    <w:rsid w:val="008E6B89"/>
    <w:rsid w:val="008E7227"/>
    <w:rsid w:val="008F0012"/>
    <w:rsid w:val="008F20CC"/>
    <w:rsid w:val="008F3376"/>
    <w:rsid w:val="008F50E0"/>
    <w:rsid w:val="008F5150"/>
    <w:rsid w:val="008F52A6"/>
    <w:rsid w:val="008F62EE"/>
    <w:rsid w:val="009003C4"/>
    <w:rsid w:val="0090090C"/>
    <w:rsid w:val="009013DE"/>
    <w:rsid w:val="00903AA2"/>
    <w:rsid w:val="009049C2"/>
    <w:rsid w:val="009066BC"/>
    <w:rsid w:val="00907A1B"/>
    <w:rsid w:val="009116F8"/>
    <w:rsid w:val="009122CF"/>
    <w:rsid w:val="00913079"/>
    <w:rsid w:val="009141A8"/>
    <w:rsid w:val="009156C6"/>
    <w:rsid w:val="009158D8"/>
    <w:rsid w:val="00916B39"/>
    <w:rsid w:val="00916DD1"/>
    <w:rsid w:val="009170C1"/>
    <w:rsid w:val="009201B5"/>
    <w:rsid w:val="00920C6A"/>
    <w:rsid w:val="009220C0"/>
    <w:rsid w:val="00922E58"/>
    <w:rsid w:val="00923FAF"/>
    <w:rsid w:val="00924562"/>
    <w:rsid w:val="00924B86"/>
    <w:rsid w:val="00926B28"/>
    <w:rsid w:val="00927D59"/>
    <w:rsid w:val="00930999"/>
    <w:rsid w:val="009311FA"/>
    <w:rsid w:val="009314A7"/>
    <w:rsid w:val="0093471A"/>
    <w:rsid w:val="00935A4F"/>
    <w:rsid w:val="00935D07"/>
    <w:rsid w:val="00936199"/>
    <w:rsid w:val="0093642C"/>
    <w:rsid w:val="00936834"/>
    <w:rsid w:val="00936F7F"/>
    <w:rsid w:val="009372E8"/>
    <w:rsid w:val="009436CB"/>
    <w:rsid w:val="00943D92"/>
    <w:rsid w:val="009440EF"/>
    <w:rsid w:val="00945A52"/>
    <w:rsid w:val="00945D12"/>
    <w:rsid w:val="00947783"/>
    <w:rsid w:val="00950457"/>
    <w:rsid w:val="00950BF7"/>
    <w:rsid w:val="00950D9D"/>
    <w:rsid w:val="00951CBC"/>
    <w:rsid w:val="00951D74"/>
    <w:rsid w:val="0095241D"/>
    <w:rsid w:val="0095358B"/>
    <w:rsid w:val="009556E8"/>
    <w:rsid w:val="00956F7E"/>
    <w:rsid w:val="009574A6"/>
    <w:rsid w:val="009576F5"/>
    <w:rsid w:val="0095799B"/>
    <w:rsid w:val="00957FF5"/>
    <w:rsid w:val="00960A67"/>
    <w:rsid w:val="0096125E"/>
    <w:rsid w:val="0096137C"/>
    <w:rsid w:val="00961591"/>
    <w:rsid w:val="00961728"/>
    <w:rsid w:val="00961FC3"/>
    <w:rsid w:val="00962DB3"/>
    <w:rsid w:val="00962F1D"/>
    <w:rsid w:val="009641D8"/>
    <w:rsid w:val="00964CC0"/>
    <w:rsid w:val="00965510"/>
    <w:rsid w:val="009673BB"/>
    <w:rsid w:val="009705D3"/>
    <w:rsid w:val="00971252"/>
    <w:rsid w:val="009720AF"/>
    <w:rsid w:val="00972472"/>
    <w:rsid w:val="00976B2D"/>
    <w:rsid w:val="00980D13"/>
    <w:rsid w:val="0098120E"/>
    <w:rsid w:val="00981DA0"/>
    <w:rsid w:val="009821F1"/>
    <w:rsid w:val="00982AEC"/>
    <w:rsid w:val="0098380D"/>
    <w:rsid w:val="00984EEC"/>
    <w:rsid w:val="00986F75"/>
    <w:rsid w:val="009903C1"/>
    <w:rsid w:val="00990901"/>
    <w:rsid w:val="00991C76"/>
    <w:rsid w:val="00991DDA"/>
    <w:rsid w:val="009931BE"/>
    <w:rsid w:val="0099454B"/>
    <w:rsid w:val="00994FA5"/>
    <w:rsid w:val="00997078"/>
    <w:rsid w:val="0099779F"/>
    <w:rsid w:val="009A0015"/>
    <w:rsid w:val="009A05AD"/>
    <w:rsid w:val="009A082C"/>
    <w:rsid w:val="009A0A6C"/>
    <w:rsid w:val="009A14A3"/>
    <w:rsid w:val="009A23AD"/>
    <w:rsid w:val="009A242D"/>
    <w:rsid w:val="009A387A"/>
    <w:rsid w:val="009A3D94"/>
    <w:rsid w:val="009A5B2E"/>
    <w:rsid w:val="009A5C41"/>
    <w:rsid w:val="009A5D3D"/>
    <w:rsid w:val="009A5D70"/>
    <w:rsid w:val="009B2084"/>
    <w:rsid w:val="009B4B16"/>
    <w:rsid w:val="009B5B08"/>
    <w:rsid w:val="009B6CB1"/>
    <w:rsid w:val="009B745A"/>
    <w:rsid w:val="009C03D7"/>
    <w:rsid w:val="009C07BF"/>
    <w:rsid w:val="009C2FA5"/>
    <w:rsid w:val="009C452A"/>
    <w:rsid w:val="009C4E13"/>
    <w:rsid w:val="009C4F20"/>
    <w:rsid w:val="009C5003"/>
    <w:rsid w:val="009C53E5"/>
    <w:rsid w:val="009C63A4"/>
    <w:rsid w:val="009C69D0"/>
    <w:rsid w:val="009C6C8F"/>
    <w:rsid w:val="009C704D"/>
    <w:rsid w:val="009C70F6"/>
    <w:rsid w:val="009D071F"/>
    <w:rsid w:val="009D1F3F"/>
    <w:rsid w:val="009D2ECA"/>
    <w:rsid w:val="009D614B"/>
    <w:rsid w:val="009D68FE"/>
    <w:rsid w:val="009D6968"/>
    <w:rsid w:val="009D70C6"/>
    <w:rsid w:val="009D7CCF"/>
    <w:rsid w:val="009D7D5E"/>
    <w:rsid w:val="009D7ED5"/>
    <w:rsid w:val="009E05A8"/>
    <w:rsid w:val="009E135A"/>
    <w:rsid w:val="009E14AE"/>
    <w:rsid w:val="009E158D"/>
    <w:rsid w:val="009E1726"/>
    <w:rsid w:val="009E1824"/>
    <w:rsid w:val="009E186E"/>
    <w:rsid w:val="009E23B9"/>
    <w:rsid w:val="009E39EF"/>
    <w:rsid w:val="009E48B7"/>
    <w:rsid w:val="009E50E5"/>
    <w:rsid w:val="009E53B0"/>
    <w:rsid w:val="009E55F6"/>
    <w:rsid w:val="009E691A"/>
    <w:rsid w:val="009E78AA"/>
    <w:rsid w:val="009ED26D"/>
    <w:rsid w:val="009F1B75"/>
    <w:rsid w:val="009F2975"/>
    <w:rsid w:val="009F2A80"/>
    <w:rsid w:val="009F346F"/>
    <w:rsid w:val="009F3FF7"/>
    <w:rsid w:val="009F49D8"/>
    <w:rsid w:val="009F4BF3"/>
    <w:rsid w:val="009F5028"/>
    <w:rsid w:val="009F5776"/>
    <w:rsid w:val="009F580A"/>
    <w:rsid w:val="009F6187"/>
    <w:rsid w:val="009F6A70"/>
    <w:rsid w:val="009F6ABE"/>
    <w:rsid w:val="009F79CE"/>
    <w:rsid w:val="009F7D6F"/>
    <w:rsid w:val="00A006FA"/>
    <w:rsid w:val="00A01EE8"/>
    <w:rsid w:val="00A02D79"/>
    <w:rsid w:val="00A03AE0"/>
    <w:rsid w:val="00A03B1A"/>
    <w:rsid w:val="00A0473D"/>
    <w:rsid w:val="00A04ABC"/>
    <w:rsid w:val="00A05333"/>
    <w:rsid w:val="00A05702"/>
    <w:rsid w:val="00A05FEA"/>
    <w:rsid w:val="00A06596"/>
    <w:rsid w:val="00A07012"/>
    <w:rsid w:val="00A10031"/>
    <w:rsid w:val="00A10636"/>
    <w:rsid w:val="00A1071A"/>
    <w:rsid w:val="00A11A37"/>
    <w:rsid w:val="00A12080"/>
    <w:rsid w:val="00A12A67"/>
    <w:rsid w:val="00A1359A"/>
    <w:rsid w:val="00A13EC5"/>
    <w:rsid w:val="00A21194"/>
    <w:rsid w:val="00A22183"/>
    <w:rsid w:val="00A23006"/>
    <w:rsid w:val="00A236B6"/>
    <w:rsid w:val="00A2484A"/>
    <w:rsid w:val="00A24BB2"/>
    <w:rsid w:val="00A25344"/>
    <w:rsid w:val="00A2598E"/>
    <w:rsid w:val="00A25E6F"/>
    <w:rsid w:val="00A303ED"/>
    <w:rsid w:val="00A3071D"/>
    <w:rsid w:val="00A31795"/>
    <w:rsid w:val="00A337D5"/>
    <w:rsid w:val="00A36BE9"/>
    <w:rsid w:val="00A37319"/>
    <w:rsid w:val="00A37844"/>
    <w:rsid w:val="00A411F5"/>
    <w:rsid w:val="00A41EFC"/>
    <w:rsid w:val="00A430FC"/>
    <w:rsid w:val="00A43B65"/>
    <w:rsid w:val="00A44F5E"/>
    <w:rsid w:val="00A46750"/>
    <w:rsid w:val="00A50268"/>
    <w:rsid w:val="00A527EB"/>
    <w:rsid w:val="00A53205"/>
    <w:rsid w:val="00A53795"/>
    <w:rsid w:val="00A53BF3"/>
    <w:rsid w:val="00A544AC"/>
    <w:rsid w:val="00A56223"/>
    <w:rsid w:val="00A56BE7"/>
    <w:rsid w:val="00A60469"/>
    <w:rsid w:val="00A6220B"/>
    <w:rsid w:val="00A64A29"/>
    <w:rsid w:val="00A64B0D"/>
    <w:rsid w:val="00A65554"/>
    <w:rsid w:val="00A65FD0"/>
    <w:rsid w:val="00A66909"/>
    <w:rsid w:val="00A70107"/>
    <w:rsid w:val="00A706E5"/>
    <w:rsid w:val="00A708F1"/>
    <w:rsid w:val="00A709A1"/>
    <w:rsid w:val="00A71E8C"/>
    <w:rsid w:val="00A72654"/>
    <w:rsid w:val="00A72EE3"/>
    <w:rsid w:val="00A72F71"/>
    <w:rsid w:val="00A74AED"/>
    <w:rsid w:val="00A74ED3"/>
    <w:rsid w:val="00A75701"/>
    <w:rsid w:val="00A821F7"/>
    <w:rsid w:val="00A8362B"/>
    <w:rsid w:val="00A84AE2"/>
    <w:rsid w:val="00A84E8A"/>
    <w:rsid w:val="00A8512B"/>
    <w:rsid w:val="00A869B5"/>
    <w:rsid w:val="00A8762C"/>
    <w:rsid w:val="00A879D6"/>
    <w:rsid w:val="00A87C9C"/>
    <w:rsid w:val="00A91627"/>
    <w:rsid w:val="00A92F57"/>
    <w:rsid w:val="00A940DD"/>
    <w:rsid w:val="00A94614"/>
    <w:rsid w:val="00A94870"/>
    <w:rsid w:val="00A96932"/>
    <w:rsid w:val="00AA0215"/>
    <w:rsid w:val="00AA083B"/>
    <w:rsid w:val="00AA1729"/>
    <w:rsid w:val="00AA1C9C"/>
    <w:rsid w:val="00AA2589"/>
    <w:rsid w:val="00AA2683"/>
    <w:rsid w:val="00AA390F"/>
    <w:rsid w:val="00AA3973"/>
    <w:rsid w:val="00AA3FFE"/>
    <w:rsid w:val="00AA614B"/>
    <w:rsid w:val="00AA7B2C"/>
    <w:rsid w:val="00AB0418"/>
    <w:rsid w:val="00AB049C"/>
    <w:rsid w:val="00AB069E"/>
    <w:rsid w:val="00AB0788"/>
    <w:rsid w:val="00AB0DE0"/>
    <w:rsid w:val="00AB12C0"/>
    <w:rsid w:val="00AB1915"/>
    <w:rsid w:val="00AB1D35"/>
    <w:rsid w:val="00AB1DB3"/>
    <w:rsid w:val="00AB288B"/>
    <w:rsid w:val="00AB3F12"/>
    <w:rsid w:val="00AB495D"/>
    <w:rsid w:val="00AB76B3"/>
    <w:rsid w:val="00AB7F00"/>
    <w:rsid w:val="00AC104B"/>
    <w:rsid w:val="00AC2926"/>
    <w:rsid w:val="00AC3EC3"/>
    <w:rsid w:val="00AC4420"/>
    <w:rsid w:val="00AC6E99"/>
    <w:rsid w:val="00AC7CDB"/>
    <w:rsid w:val="00AD034A"/>
    <w:rsid w:val="00AD189C"/>
    <w:rsid w:val="00AD2A3F"/>
    <w:rsid w:val="00AD2E9A"/>
    <w:rsid w:val="00AD3780"/>
    <w:rsid w:val="00AD58E9"/>
    <w:rsid w:val="00AD5A4E"/>
    <w:rsid w:val="00AD5A5B"/>
    <w:rsid w:val="00AD699B"/>
    <w:rsid w:val="00AD69EA"/>
    <w:rsid w:val="00AD6B3F"/>
    <w:rsid w:val="00AD7246"/>
    <w:rsid w:val="00AD731A"/>
    <w:rsid w:val="00AE018B"/>
    <w:rsid w:val="00AE0232"/>
    <w:rsid w:val="00AE0A53"/>
    <w:rsid w:val="00AE0AE8"/>
    <w:rsid w:val="00AE134B"/>
    <w:rsid w:val="00AE1C4C"/>
    <w:rsid w:val="00AE1DF9"/>
    <w:rsid w:val="00AE2122"/>
    <w:rsid w:val="00AE28EE"/>
    <w:rsid w:val="00AE31B2"/>
    <w:rsid w:val="00AE35E0"/>
    <w:rsid w:val="00AE3699"/>
    <w:rsid w:val="00AE3C0C"/>
    <w:rsid w:val="00AE42AE"/>
    <w:rsid w:val="00AE5368"/>
    <w:rsid w:val="00AE556F"/>
    <w:rsid w:val="00AE637C"/>
    <w:rsid w:val="00AE743F"/>
    <w:rsid w:val="00AE7699"/>
    <w:rsid w:val="00AF01A1"/>
    <w:rsid w:val="00AF0293"/>
    <w:rsid w:val="00AF141E"/>
    <w:rsid w:val="00AF2006"/>
    <w:rsid w:val="00AF2FD8"/>
    <w:rsid w:val="00AF30FB"/>
    <w:rsid w:val="00AF3BA6"/>
    <w:rsid w:val="00AF3EE2"/>
    <w:rsid w:val="00AF3F35"/>
    <w:rsid w:val="00AF4152"/>
    <w:rsid w:val="00AF42EA"/>
    <w:rsid w:val="00AF43D1"/>
    <w:rsid w:val="00AF5F4B"/>
    <w:rsid w:val="00AF6412"/>
    <w:rsid w:val="00AF69C9"/>
    <w:rsid w:val="00AF7822"/>
    <w:rsid w:val="00B01C6F"/>
    <w:rsid w:val="00B02210"/>
    <w:rsid w:val="00B033BE"/>
    <w:rsid w:val="00B03568"/>
    <w:rsid w:val="00B0375A"/>
    <w:rsid w:val="00B03ABE"/>
    <w:rsid w:val="00B04407"/>
    <w:rsid w:val="00B051C7"/>
    <w:rsid w:val="00B0541B"/>
    <w:rsid w:val="00B10220"/>
    <w:rsid w:val="00B10363"/>
    <w:rsid w:val="00B108D7"/>
    <w:rsid w:val="00B1189F"/>
    <w:rsid w:val="00B11D8A"/>
    <w:rsid w:val="00B11E40"/>
    <w:rsid w:val="00B12374"/>
    <w:rsid w:val="00B13114"/>
    <w:rsid w:val="00B13CBA"/>
    <w:rsid w:val="00B15CA6"/>
    <w:rsid w:val="00B17089"/>
    <w:rsid w:val="00B17D12"/>
    <w:rsid w:val="00B17E00"/>
    <w:rsid w:val="00B2044D"/>
    <w:rsid w:val="00B2128D"/>
    <w:rsid w:val="00B2172D"/>
    <w:rsid w:val="00B22574"/>
    <w:rsid w:val="00B2284A"/>
    <w:rsid w:val="00B230AF"/>
    <w:rsid w:val="00B2320D"/>
    <w:rsid w:val="00B25304"/>
    <w:rsid w:val="00B25D85"/>
    <w:rsid w:val="00B26BFF"/>
    <w:rsid w:val="00B26FEE"/>
    <w:rsid w:val="00B2700C"/>
    <w:rsid w:val="00B3165D"/>
    <w:rsid w:val="00B32D0B"/>
    <w:rsid w:val="00B3312F"/>
    <w:rsid w:val="00B33582"/>
    <w:rsid w:val="00B33E44"/>
    <w:rsid w:val="00B35180"/>
    <w:rsid w:val="00B354F3"/>
    <w:rsid w:val="00B35695"/>
    <w:rsid w:val="00B363DA"/>
    <w:rsid w:val="00B37A94"/>
    <w:rsid w:val="00B37D40"/>
    <w:rsid w:val="00B40250"/>
    <w:rsid w:val="00B40C51"/>
    <w:rsid w:val="00B41E46"/>
    <w:rsid w:val="00B433AA"/>
    <w:rsid w:val="00B46CAC"/>
    <w:rsid w:val="00B4761D"/>
    <w:rsid w:val="00B521BC"/>
    <w:rsid w:val="00B535CE"/>
    <w:rsid w:val="00B5463A"/>
    <w:rsid w:val="00B55218"/>
    <w:rsid w:val="00B608E4"/>
    <w:rsid w:val="00B6449A"/>
    <w:rsid w:val="00B64582"/>
    <w:rsid w:val="00B646BA"/>
    <w:rsid w:val="00B64F80"/>
    <w:rsid w:val="00B665B7"/>
    <w:rsid w:val="00B66EBE"/>
    <w:rsid w:val="00B67061"/>
    <w:rsid w:val="00B71B10"/>
    <w:rsid w:val="00B71BB6"/>
    <w:rsid w:val="00B71C9A"/>
    <w:rsid w:val="00B74120"/>
    <w:rsid w:val="00B75E49"/>
    <w:rsid w:val="00B76509"/>
    <w:rsid w:val="00B76E42"/>
    <w:rsid w:val="00B77092"/>
    <w:rsid w:val="00B7773E"/>
    <w:rsid w:val="00B77933"/>
    <w:rsid w:val="00B77B85"/>
    <w:rsid w:val="00B8014A"/>
    <w:rsid w:val="00B804E0"/>
    <w:rsid w:val="00B805E2"/>
    <w:rsid w:val="00B8075F"/>
    <w:rsid w:val="00B83BA0"/>
    <w:rsid w:val="00B83CE1"/>
    <w:rsid w:val="00B8479C"/>
    <w:rsid w:val="00B84FFB"/>
    <w:rsid w:val="00B8562D"/>
    <w:rsid w:val="00B864DA"/>
    <w:rsid w:val="00B86547"/>
    <w:rsid w:val="00B872A6"/>
    <w:rsid w:val="00B90934"/>
    <w:rsid w:val="00B91C77"/>
    <w:rsid w:val="00B92373"/>
    <w:rsid w:val="00B92516"/>
    <w:rsid w:val="00B925A4"/>
    <w:rsid w:val="00B93F65"/>
    <w:rsid w:val="00B94B0A"/>
    <w:rsid w:val="00B96E9E"/>
    <w:rsid w:val="00B97171"/>
    <w:rsid w:val="00B971CC"/>
    <w:rsid w:val="00B9779A"/>
    <w:rsid w:val="00BA03A6"/>
    <w:rsid w:val="00BA345F"/>
    <w:rsid w:val="00BA4903"/>
    <w:rsid w:val="00BA5584"/>
    <w:rsid w:val="00BA5594"/>
    <w:rsid w:val="00BA5AB4"/>
    <w:rsid w:val="00BA718A"/>
    <w:rsid w:val="00BB087E"/>
    <w:rsid w:val="00BB0FC7"/>
    <w:rsid w:val="00BB14B5"/>
    <w:rsid w:val="00BB2CD1"/>
    <w:rsid w:val="00BB2EDE"/>
    <w:rsid w:val="00BB4101"/>
    <w:rsid w:val="00BB417F"/>
    <w:rsid w:val="00BB5C0A"/>
    <w:rsid w:val="00BC01D5"/>
    <w:rsid w:val="00BC0A80"/>
    <w:rsid w:val="00BC1841"/>
    <w:rsid w:val="00BC1DFE"/>
    <w:rsid w:val="00BC213B"/>
    <w:rsid w:val="00BC6CE3"/>
    <w:rsid w:val="00BC7D2C"/>
    <w:rsid w:val="00BD161F"/>
    <w:rsid w:val="00BD17C0"/>
    <w:rsid w:val="00BD328C"/>
    <w:rsid w:val="00BD35CA"/>
    <w:rsid w:val="00BD4700"/>
    <w:rsid w:val="00BD5AB9"/>
    <w:rsid w:val="00BD609D"/>
    <w:rsid w:val="00BD7BC3"/>
    <w:rsid w:val="00BE06F5"/>
    <w:rsid w:val="00BE0B97"/>
    <w:rsid w:val="00BE0C86"/>
    <w:rsid w:val="00BE2CC3"/>
    <w:rsid w:val="00BE3EF8"/>
    <w:rsid w:val="00BE4613"/>
    <w:rsid w:val="00BE4C42"/>
    <w:rsid w:val="00BE4E59"/>
    <w:rsid w:val="00BE51C7"/>
    <w:rsid w:val="00BE64A0"/>
    <w:rsid w:val="00BE6CA3"/>
    <w:rsid w:val="00BE7EFE"/>
    <w:rsid w:val="00BF0029"/>
    <w:rsid w:val="00BF0972"/>
    <w:rsid w:val="00BF15B2"/>
    <w:rsid w:val="00BF290B"/>
    <w:rsid w:val="00BF3413"/>
    <w:rsid w:val="00BF40F7"/>
    <w:rsid w:val="00BF4B0F"/>
    <w:rsid w:val="00BF4DB3"/>
    <w:rsid w:val="00BF518A"/>
    <w:rsid w:val="00BF53EC"/>
    <w:rsid w:val="00C00CA8"/>
    <w:rsid w:val="00C025C0"/>
    <w:rsid w:val="00C03270"/>
    <w:rsid w:val="00C03808"/>
    <w:rsid w:val="00C05B72"/>
    <w:rsid w:val="00C06612"/>
    <w:rsid w:val="00C06F56"/>
    <w:rsid w:val="00C07611"/>
    <w:rsid w:val="00C07D48"/>
    <w:rsid w:val="00C07EEC"/>
    <w:rsid w:val="00C10646"/>
    <w:rsid w:val="00C112E0"/>
    <w:rsid w:val="00C114CE"/>
    <w:rsid w:val="00C119C5"/>
    <w:rsid w:val="00C11CCE"/>
    <w:rsid w:val="00C12765"/>
    <w:rsid w:val="00C13BD9"/>
    <w:rsid w:val="00C14271"/>
    <w:rsid w:val="00C14482"/>
    <w:rsid w:val="00C15219"/>
    <w:rsid w:val="00C1540F"/>
    <w:rsid w:val="00C15FD6"/>
    <w:rsid w:val="00C21E05"/>
    <w:rsid w:val="00C24750"/>
    <w:rsid w:val="00C250E5"/>
    <w:rsid w:val="00C254DF"/>
    <w:rsid w:val="00C25ADF"/>
    <w:rsid w:val="00C267BD"/>
    <w:rsid w:val="00C26DEF"/>
    <w:rsid w:val="00C2761E"/>
    <w:rsid w:val="00C279C9"/>
    <w:rsid w:val="00C3137D"/>
    <w:rsid w:val="00C319A5"/>
    <w:rsid w:val="00C328CD"/>
    <w:rsid w:val="00C332FD"/>
    <w:rsid w:val="00C33B9D"/>
    <w:rsid w:val="00C34077"/>
    <w:rsid w:val="00C34511"/>
    <w:rsid w:val="00C34722"/>
    <w:rsid w:val="00C34F8A"/>
    <w:rsid w:val="00C37BEA"/>
    <w:rsid w:val="00C37DA6"/>
    <w:rsid w:val="00C40055"/>
    <w:rsid w:val="00C416CC"/>
    <w:rsid w:val="00C41A2E"/>
    <w:rsid w:val="00C41C03"/>
    <w:rsid w:val="00C41F1D"/>
    <w:rsid w:val="00C42182"/>
    <w:rsid w:val="00C435CB"/>
    <w:rsid w:val="00C43C38"/>
    <w:rsid w:val="00C43E83"/>
    <w:rsid w:val="00C4401E"/>
    <w:rsid w:val="00C448AA"/>
    <w:rsid w:val="00C45173"/>
    <w:rsid w:val="00C454A4"/>
    <w:rsid w:val="00C45573"/>
    <w:rsid w:val="00C45D39"/>
    <w:rsid w:val="00C467E3"/>
    <w:rsid w:val="00C470DC"/>
    <w:rsid w:val="00C47364"/>
    <w:rsid w:val="00C504D8"/>
    <w:rsid w:val="00C50B26"/>
    <w:rsid w:val="00C511E2"/>
    <w:rsid w:val="00C51632"/>
    <w:rsid w:val="00C522CE"/>
    <w:rsid w:val="00C52E1B"/>
    <w:rsid w:val="00C54587"/>
    <w:rsid w:val="00C55A7E"/>
    <w:rsid w:val="00C56E3B"/>
    <w:rsid w:val="00C6180A"/>
    <w:rsid w:val="00C619E9"/>
    <w:rsid w:val="00C61DFB"/>
    <w:rsid w:val="00C62700"/>
    <w:rsid w:val="00C62DD7"/>
    <w:rsid w:val="00C63A8A"/>
    <w:rsid w:val="00C6431E"/>
    <w:rsid w:val="00C6446C"/>
    <w:rsid w:val="00C64499"/>
    <w:rsid w:val="00C66764"/>
    <w:rsid w:val="00C7001A"/>
    <w:rsid w:val="00C70B92"/>
    <w:rsid w:val="00C72516"/>
    <w:rsid w:val="00C72F70"/>
    <w:rsid w:val="00C73200"/>
    <w:rsid w:val="00C73413"/>
    <w:rsid w:val="00C7385E"/>
    <w:rsid w:val="00C739D4"/>
    <w:rsid w:val="00C73E88"/>
    <w:rsid w:val="00C7427B"/>
    <w:rsid w:val="00C7657F"/>
    <w:rsid w:val="00C76EAB"/>
    <w:rsid w:val="00C804A1"/>
    <w:rsid w:val="00C80559"/>
    <w:rsid w:val="00C81402"/>
    <w:rsid w:val="00C81BA4"/>
    <w:rsid w:val="00C82213"/>
    <w:rsid w:val="00C828A0"/>
    <w:rsid w:val="00C82AB6"/>
    <w:rsid w:val="00C842F1"/>
    <w:rsid w:val="00C850A6"/>
    <w:rsid w:val="00C865E2"/>
    <w:rsid w:val="00C867DF"/>
    <w:rsid w:val="00C86872"/>
    <w:rsid w:val="00C86AEB"/>
    <w:rsid w:val="00C86E96"/>
    <w:rsid w:val="00C9126D"/>
    <w:rsid w:val="00C918B5"/>
    <w:rsid w:val="00C918D9"/>
    <w:rsid w:val="00C91CE7"/>
    <w:rsid w:val="00C92E5F"/>
    <w:rsid w:val="00C933E2"/>
    <w:rsid w:val="00C9363A"/>
    <w:rsid w:val="00C94687"/>
    <w:rsid w:val="00C94E94"/>
    <w:rsid w:val="00C95063"/>
    <w:rsid w:val="00C96C6E"/>
    <w:rsid w:val="00C97607"/>
    <w:rsid w:val="00C979CB"/>
    <w:rsid w:val="00CA0692"/>
    <w:rsid w:val="00CA09BB"/>
    <w:rsid w:val="00CA0CA4"/>
    <w:rsid w:val="00CA0F8E"/>
    <w:rsid w:val="00CA1D89"/>
    <w:rsid w:val="00CA3CE6"/>
    <w:rsid w:val="00CA402E"/>
    <w:rsid w:val="00CA42BF"/>
    <w:rsid w:val="00CA6688"/>
    <w:rsid w:val="00CA7555"/>
    <w:rsid w:val="00CA75AA"/>
    <w:rsid w:val="00CB1186"/>
    <w:rsid w:val="00CB159C"/>
    <w:rsid w:val="00CB2023"/>
    <w:rsid w:val="00CB22F6"/>
    <w:rsid w:val="00CB2DAA"/>
    <w:rsid w:val="00CB4078"/>
    <w:rsid w:val="00CB57ED"/>
    <w:rsid w:val="00CB607A"/>
    <w:rsid w:val="00CB6D41"/>
    <w:rsid w:val="00CB7AF6"/>
    <w:rsid w:val="00CC1625"/>
    <w:rsid w:val="00CC2B1E"/>
    <w:rsid w:val="00CC392E"/>
    <w:rsid w:val="00CC3B5B"/>
    <w:rsid w:val="00CC3C84"/>
    <w:rsid w:val="00CC4286"/>
    <w:rsid w:val="00CC4CD0"/>
    <w:rsid w:val="00CC7952"/>
    <w:rsid w:val="00CD17F6"/>
    <w:rsid w:val="00CD2689"/>
    <w:rsid w:val="00CD2F5C"/>
    <w:rsid w:val="00CD3065"/>
    <w:rsid w:val="00CD4816"/>
    <w:rsid w:val="00CD4D17"/>
    <w:rsid w:val="00CD609F"/>
    <w:rsid w:val="00CD70D9"/>
    <w:rsid w:val="00CE09B8"/>
    <w:rsid w:val="00CE09FC"/>
    <w:rsid w:val="00CE1891"/>
    <w:rsid w:val="00CE1901"/>
    <w:rsid w:val="00CE1AD3"/>
    <w:rsid w:val="00CE1D6C"/>
    <w:rsid w:val="00CE3214"/>
    <w:rsid w:val="00CE4A4F"/>
    <w:rsid w:val="00CE5196"/>
    <w:rsid w:val="00CE5AEE"/>
    <w:rsid w:val="00CE5F20"/>
    <w:rsid w:val="00CE68EC"/>
    <w:rsid w:val="00CE6CFB"/>
    <w:rsid w:val="00CE6DE6"/>
    <w:rsid w:val="00CF06A0"/>
    <w:rsid w:val="00CF0BB9"/>
    <w:rsid w:val="00CF20DA"/>
    <w:rsid w:val="00CF36D9"/>
    <w:rsid w:val="00CF52EB"/>
    <w:rsid w:val="00CF54E0"/>
    <w:rsid w:val="00CF5FE1"/>
    <w:rsid w:val="00CF707D"/>
    <w:rsid w:val="00D009B5"/>
    <w:rsid w:val="00D013FB"/>
    <w:rsid w:val="00D0216F"/>
    <w:rsid w:val="00D03315"/>
    <w:rsid w:val="00D0478D"/>
    <w:rsid w:val="00D04A6A"/>
    <w:rsid w:val="00D04E29"/>
    <w:rsid w:val="00D04FD3"/>
    <w:rsid w:val="00D0594F"/>
    <w:rsid w:val="00D06914"/>
    <w:rsid w:val="00D06A0F"/>
    <w:rsid w:val="00D07415"/>
    <w:rsid w:val="00D13B56"/>
    <w:rsid w:val="00D15477"/>
    <w:rsid w:val="00D15DF4"/>
    <w:rsid w:val="00D15ED7"/>
    <w:rsid w:val="00D16272"/>
    <w:rsid w:val="00D17115"/>
    <w:rsid w:val="00D17568"/>
    <w:rsid w:val="00D17B84"/>
    <w:rsid w:val="00D17BC5"/>
    <w:rsid w:val="00D17DBE"/>
    <w:rsid w:val="00D17EE5"/>
    <w:rsid w:val="00D21739"/>
    <w:rsid w:val="00D225BE"/>
    <w:rsid w:val="00D22FCE"/>
    <w:rsid w:val="00D23A57"/>
    <w:rsid w:val="00D242E8"/>
    <w:rsid w:val="00D2479F"/>
    <w:rsid w:val="00D24FED"/>
    <w:rsid w:val="00D25200"/>
    <w:rsid w:val="00D25594"/>
    <w:rsid w:val="00D25A6C"/>
    <w:rsid w:val="00D25A74"/>
    <w:rsid w:val="00D26614"/>
    <w:rsid w:val="00D2757A"/>
    <w:rsid w:val="00D27B7D"/>
    <w:rsid w:val="00D27EDF"/>
    <w:rsid w:val="00D312EE"/>
    <w:rsid w:val="00D3163E"/>
    <w:rsid w:val="00D318CF"/>
    <w:rsid w:val="00D32D3A"/>
    <w:rsid w:val="00D33EA3"/>
    <w:rsid w:val="00D344FD"/>
    <w:rsid w:val="00D34C7D"/>
    <w:rsid w:val="00D34DB0"/>
    <w:rsid w:val="00D3512E"/>
    <w:rsid w:val="00D35A23"/>
    <w:rsid w:val="00D3766A"/>
    <w:rsid w:val="00D40D24"/>
    <w:rsid w:val="00D41B47"/>
    <w:rsid w:val="00D43864"/>
    <w:rsid w:val="00D444DD"/>
    <w:rsid w:val="00D45039"/>
    <w:rsid w:val="00D457C7"/>
    <w:rsid w:val="00D47970"/>
    <w:rsid w:val="00D51B78"/>
    <w:rsid w:val="00D51E86"/>
    <w:rsid w:val="00D520C2"/>
    <w:rsid w:val="00D52905"/>
    <w:rsid w:val="00D53129"/>
    <w:rsid w:val="00D53E2E"/>
    <w:rsid w:val="00D54620"/>
    <w:rsid w:val="00D548E7"/>
    <w:rsid w:val="00D54DCA"/>
    <w:rsid w:val="00D55A68"/>
    <w:rsid w:val="00D58D27"/>
    <w:rsid w:val="00D601C7"/>
    <w:rsid w:val="00D637E1"/>
    <w:rsid w:val="00D651A5"/>
    <w:rsid w:val="00D66A2E"/>
    <w:rsid w:val="00D727CF"/>
    <w:rsid w:val="00D749A6"/>
    <w:rsid w:val="00D7516C"/>
    <w:rsid w:val="00D75E04"/>
    <w:rsid w:val="00D7772A"/>
    <w:rsid w:val="00D811A7"/>
    <w:rsid w:val="00D81241"/>
    <w:rsid w:val="00D81FBA"/>
    <w:rsid w:val="00D82719"/>
    <w:rsid w:val="00D8545A"/>
    <w:rsid w:val="00D862B9"/>
    <w:rsid w:val="00D8681A"/>
    <w:rsid w:val="00D86C72"/>
    <w:rsid w:val="00D86D08"/>
    <w:rsid w:val="00D8755E"/>
    <w:rsid w:val="00D90EFC"/>
    <w:rsid w:val="00D91B03"/>
    <w:rsid w:val="00D94606"/>
    <w:rsid w:val="00D9498B"/>
    <w:rsid w:val="00D94A6B"/>
    <w:rsid w:val="00D94AD3"/>
    <w:rsid w:val="00D95C0A"/>
    <w:rsid w:val="00DA0B17"/>
    <w:rsid w:val="00DA0C25"/>
    <w:rsid w:val="00DA0DCF"/>
    <w:rsid w:val="00DA1388"/>
    <w:rsid w:val="00DA2EC4"/>
    <w:rsid w:val="00DA4C77"/>
    <w:rsid w:val="00DA4DD2"/>
    <w:rsid w:val="00DA5F7A"/>
    <w:rsid w:val="00DA618D"/>
    <w:rsid w:val="00DA6A5A"/>
    <w:rsid w:val="00DA6EC5"/>
    <w:rsid w:val="00DA7979"/>
    <w:rsid w:val="00DB02AF"/>
    <w:rsid w:val="00DB0C85"/>
    <w:rsid w:val="00DB1556"/>
    <w:rsid w:val="00DB1BD5"/>
    <w:rsid w:val="00DB246D"/>
    <w:rsid w:val="00DB29DD"/>
    <w:rsid w:val="00DB2AF2"/>
    <w:rsid w:val="00DB2BAF"/>
    <w:rsid w:val="00DB2C4F"/>
    <w:rsid w:val="00DB2D5A"/>
    <w:rsid w:val="00DB3019"/>
    <w:rsid w:val="00DB5165"/>
    <w:rsid w:val="00DB66C0"/>
    <w:rsid w:val="00DB7325"/>
    <w:rsid w:val="00DC0136"/>
    <w:rsid w:val="00DC0BDA"/>
    <w:rsid w:val="00DC14AD"/>
    <w:rsid w:val="00DC19A3"/>
    <w:rsid w:val="00DC308A"/>
    <w:rsid w:val="00DC4339"/>
    <w:rsid w:val="00DC59DA"/>
    <w:rsid w:val="00DC60B5"/>
    <w:rsid w:val="00DC6367"/>
    <w:rsid w:val="00DC7FDB"/>
    <w:rsid w:val="00DD0633"/>
    <w:rsid w:val="00DD1CC8"/>
    <w:rsid w:val="00DD1FB0"/>
    <w:rsid w:val="00DD328F"/>
    <w:rsid w:val="00DD38D9"/>
    <w:rsid w:val="00DD3C28"/>
    <w:rsid w:val="00DD4198"/>
    <w:rsid w:val="00DD4464"/>
    <w:rsid w:val="00DD447C"/>
    <w:rsid w:val="00DD4581"/>
    <w:rsid w:val="00DD4E77"/>
    <w:rsid w:val="00DD58BB"/>
    <w:rsid w:val="00DD5C45"/>
    <w:rsid w:val="00DD68DF"/>
    <w:rsid w:val="00DD706D"/>
    <w:rsid w:val="00DD71AB"/>
    <w:rsid w:val="00DD7E88"/>
    <w:rsid w:val="00DE0551"/>
    <w:rsid w:val="00DE0EF2"/>
    <w:rsid w:val="00DE2D3D"/>
    <w:rsid w:val="00DE31FB"/>
    <w:rsid w:val="00DE4094"/>
    <w:rsid w:val="00DE42CC"/>
    <w:rsid w:val="00DE5470"/>
    <w:rsid w:val="00DE5DD7"/>
    <w:rsid w:val="00DE68EF"/>
    <w:rsid w:val="00DE6AF6"/>
    <w:rsid w:val="00DF34E7"/>
    <w:rsid w:val="00DF3743"/>
    <w:rsid w:val="00DF44F1"/>
    <w:rsid w:val="00DF636C"/>
    <w:rsid w:val="00DF6DB1"/>
    <w:rsid w:val="00DF6EDB"/>
    <w:rsid w:val="00E00074"/>
    <w:rsid w:val="00E004C8"/>
    <w:rsid w:val="00E006E2"/>
    <w:rsid w:val="00E02266"/>
    <w:rsid w:val="00E0231E"/>
    <w:rsid w:val="00E06AF4"/>
    <w:rsid w:val="00E076D2"/>
    <w:rsid w:val="00E12872"/>
    <w:rsid w:val="00E12CFD"/>
    <w:rsid w:val="00E13166"/>
    <w:rsid w:val="00E13ECD"/>
    <w:rsid w:val="00E14767"/>
    <w:rsid w:val="00E15544"/>
    <w:rsid w:val="00E16F00"/>
    <w:rsid w:val="00E17CE5"/>
    <w:rsid w:val="00E214D8"/>
    <w:rsid w:val="00E22D1A"/>
    <w:rsid w:val="00E25175"/>
    <w:rsid w:val="00E2558C"/>
    <w:rsid w:val="00E25FCB"/>
    <w:rsid w:val="00E2653F"/>
    <w:rsid w:val="00E26BC9"/>
    <w:rsid w:val="00E270C9"/>
    <w:rsid w:val="00E27293"/>
    <w:rsid w:val="00E275D4"/>
    <w:rsid w:val="00E27780"/>
    <w:rsid w:val="00E30A2A"/>
    <w:rsid w:val="00E32D12"/>
    <w:rsid w:val="00E33357"/>
    <w:rsid w:val="00E3366C"/>
    <w:rsid w:val="00E348BF"/>
    <w:rsid w:val="00E35B34"/>
    <w:rsid w:val="00E363A5"/>
    <w:rsid w:val="00E37020"/>
    <w:rsid w:val="00E37E9F"/>
    <w:rsid w:val="00E409AE"/>
    <w:rsid w:val="00E42267"/>
    <w:rsid w:val="00E42E64"/>
    <w:rsid w:val="00E453C6"/>
    <w:rsid w:val="00E45C21"/>
    <w:rsid w:val="00E46928"/>
    <w:rsid w:val="00E4723D"/>
    <w:rsid w:val="00E47B81"/>
    <w:rsid w:val="00E51139"/>
    <w:rsid w:val="00E518FA"/>
    <w:rsid w:val="00E51F74"/>
    <w:rsid w:val="00E52AC9"/>
    <w:rsid w:val="00E52FDE"/>
    <w:rsid w:val="00E55808"/>
    <w:rsid w:val="00E55EB8"/>
    <w:rsid w:val="00E56522"/>
    <w:rsid w:val="00E5707A"/>
    <w:rsid w:val="00E570F1"/>
    <w:rsid w:val="00E61596"/>
    <w:rsid w:val="00E61A5C"/>
    <w:rsid w:val="00E61D33"/>
    <w:rsid w:val="00E61D81"/>
    <w:rsid w:val="00E6440C"/>
    <w:rsid w:val="00E65C45"/>
    <w:rsid w:val="00E70BDB"/>
    <w:rsid w:val="00E730D6"/>
    <w:rsid w:val="00E733F7"/>
    <w:rsid w:val="00E76C2C"/>
    <w:rsid w:val="00E76F0E"/>
    <w:rsid w:val="00E7714D"/>
    <w:rsid w:val="00E80BE0"/>
    <w:rsid w:val="00E82905"/>
    <w:rsid w:val="00E82AF2"/>
    <w:rsid w:val="00E83C0F"/>
    <w:rsid w:val="00E852AF"/>
    <w:rsid w:val="00E85343"/>
    <w:rsid w:val="00E85413"/>
    <w:rsid w:val="00E85A5E"/>
    <w:rsid w:val="00E864EC"/>
    <w:rsid w:val="00E8653E"/>
    <w:rsid w:val="00E869D1"/>
    <w:rsid w:val="00E874D0"/>
    <w:rsid w:val="00E87C88"/>
    <w:rsid w:val="00E90B56"/>
    <w:rsid w:val="00E91CA9"/>
    <w:rsid w:val="00E92680"/>
    <w:rsid w:val="00E926FC"/>
    <w:rsid w:val="00E9306C"/>
    <w:rsid w:val="00E9311B"/>
    <w:rsid w:val="00E93F19"/>
    <w:rsid w:val="00E941C1"/>
    <w:rsid w:val="00E94245"/>
    <w:rsid w:val="00E94586"/>
    <w:rsid w:val="00E95F8F"/>
    <w:rsid w:val="00E96D46"/>
    <w:rsid w:val="00E971A6"/>
    <w:rsid w:val="00E971B3"/>
    <w:rsid w:val="00EA0D79"/>
    <w:rsid w:val="00EA203D"/>
    <w:rsid w:val="00EA203E"/>
    <w:rsid w:val="00EA2C83"/>
    <w:rsid w:val="00EA2D21"/>
    <w:rsid w:val="00EA2F21"/>
    <w:rsid w:val="00EA3CDC"/>
    <w:rsid w:val="00EA5112"/>
    <w:rsid w:val="00EA58DF"/>
    <w:rsid w:val="00EA6D73"/>
    <w:rsid w:val="00EA7831"/>
    <w:rsid w:val="00EA7AFF"/>
    <w:rsid w:val="00EB0258"/>
    <w:rsid w:val="00EB057C"/>
    <w:rsid w:val="00EB2D66"/>
    <w:rsid w:val="00EB362F"/>
    <w:rsid w:val="00EB387F"/>
    <w:rsid w:val="00EB3B2A"/>
    <w:rsid w:val="00EB49EB"/>
    <w:rsid w:val="00EB5544"/>
    <w:rsid w:val="00EB5CF8"/>
    <w:rsid w:val="00EB5DD7"/>
    <w:rsid w:val="00EB6EFD"/>
    <w:rsid w:val="00EB7721"/>
    <w:rsid w:val="00EB780B"/>
    <w:rsid w:val="00EC1385"/>
    <w:rsid w:val="00EC1A30"/>
    <w:rsid w:val="00EC24F5"/>
    <w:rsid w:val="00EC29C5"/>
    <w:rsid w:val="00EC35EB"/>
    <w:rsid w:val="00EC38FE"/>
    <w:rsid w:val="00EC3D46"/>
    <w:rsid w:val="00EC5DAF"/>
    <w:rsid w:val="00EC648C"/>
    <w:rsid w:val="00EC6B00"/>
    <w:rsid w:val="00EC782D"/>
    <w:rsid w:val="00ED3D34"/>
    <w:rsid w:val="00ED3DF1"/>
    <w:rsid w:val="00ED528F"/>
    <w:rsid w:val="00ED6AEC"/>
    <w:rsid w:val="00ED77FE"/>
    <w:rsid w:val="00EE0F84"/>
    <w:rsid w:val="00EE10AE"/>
    <w:rsid w:val="00EE17D1"/>
    <w:rsid w:val="00EE3181"/>
    <w:rsid w:val="00EE4C9E"/>
    <w:rsid w:val="00EE6066"/>
    <w:rsid w:val="00EE65E4"/>
    <w:rsid w:val="00EE6CBA"/>
    <w:rsid w:val="00EE6F6B"/>
    <w:rsid w:val="00EF0CD3"/>
    <w:rsid w:val="00EF0D98"/>
    <w:rsid w:val="00EF1211"/>
    <w:rsid w:val="00EF156C"/>
    <w:rsid w:val="00EF1A50"/>
    <w:rsid w:val="00EF267E"/>
    <w:rsid w:val="00EF321F"/>
    <w:rsid w:val="00EF363A"/>
    <w:rsid w:val="00EF368D"/>
    <w:rsid w:val="00EF4968"/>
    <w:rsid w:val="00EF4AA7"/>
    <w:rsid w:val="00EF5564"/>
    <w:rsid w:val="00EF5C9B"/>
    <w:rsid w:val="00EF62B5"/>
    <w:rsid w:val="00EF6A35"/>
    <w:rsid w:val="00EF6B99"/>
    <w:rsid w:val="00EF7569"/>
    <w:rsid w:val="00EF7849"/>
    <w:rsid w:val="00EF7A1C"/>
    <w:rsid w:val="00EF7C72"/>
    <w:rsid w:val="00F004CB"/>
    <w:rsid w:val="00F011C3"/>
    <w:rsid w:val="00F015E9"/>
    <w:rsid w:val="00F01817"/>
    <w:rsid w:val="00F020F3"/>
    <w:rsid w:val="00F027B7"/>
    <w:rsid w:val="00F02911"/>
    <w:rsid w:val="00F03CB5"/>
    <w:rsid w:val="00F0500D"/>
    <w:rsid w:val="00F05B56"/>
    <w:rsid w:val="00F05CFA"/>
    <w:rsid w:val="00F11E8E"/>
    <w:rsid w:val="00F11F31"/>
    <w:rsid w:val="00F120DD"/>
    <w:rsid w:val="00F125FC"/>
    <w:rsid w:val="00F12866"/>
    <w:rsid w:val="00F12D26"/>
    <w:rsid w:val="00F14C48"/>
    <w:rsid w:val="00F14DF2"/>
    <w:rsid w:val="00F14F9E"/>
    <w:rsid w:val="00F152D5"/>
    <w:rsid w:val="00F168FA"/>
    <w:rsid w:val="00F22E36"/>
    <w:rsid w:val="00F23876"/>
    <w:rsid w:val="00F23B53"/>
    <w:rsid w:val="00F23EC1"/>
    <w:rsid w:val="00F24180"/>
    <w:rsid w:val="00F246A3"/>
    <w:rsid w:val="00F2564E"/>
    <w:rsid w:val="00F25D31"/>
    <w:rsid w:val="00F2696B"/>
    <w:rsid w:val="00F26A95"/>
    <w:rsid w:val="00F304D1"/>
    <w:rsid w:val="00F31C67"/>
    <w:rsid w:val="00F31DEF"/>
    <w:rsid w:val="00F32B55"/>
    <w:rsid w:val="00F32B92"/>
    <w:rsid w:val="00F3308B"/>
    <w:rsid w:val="00F3311B"/>
    <w:rsid w:val="00F335FC"/>
    <w:rsid w:val="00F33F1C"/>
    <w:rsid w:val="00F34E10"/>
    <w:rsid w:val="00F359FA"/>
    <w:rsid w:val="00F35B99"/>
    <w:rsid w:val="00F35C88"/>
    <w:rsid w:val="00F37C57"/>
    <w:rsid w:val="00F40BCB"/>
    <w:rsid w:val="00F4183D"/>
    <w:rsid w:val="00F41866"/>
    <w:rsid w:val="00F41B4A"/>
    <w:rsid w:val="00F4316B"/>
    <w:rsid w:val="00F43A79"/>
    <w:rsid w:val="00F44CB9"/>
    <w:rsid w:val="00F4539A"/>
    <w:rsid w:val="00F4740F"/>
    <w:rsid w:val="00F5028B"/>
    <w:rsid w:val="00F50C70"/>
    <w:rsid w:val="00F50FE9"/>
    <w:rsid w:val="00F54C54"/>
    <w:rsid w:val="00F561D3"/>
    <w:rsid w:val="00F568A2"/>
    <w:rsid w:val="00F569E1"/>
    <w:rsid w:val="00F56A28"/>
    <w:rsid w:val="00F56BEC"/>
    <w:rsid w:val="00F5727B"/>
    <w:rsid w:val="00F57B5B"/>
    <w:rsid w:val="00F57EC7"/>
    <w:rsid w:val="00F612F0"/>
    <w:rsid w:val="00F615B7"/>
    <w:rsid w:val="00F62269"/>
    <w:rsid w:val="00F622AD"/>
    <w:rsid w:val="00F64F6B"/>
    <w:rsid w:val="00F651FF"/>
    <w:rsid w:val="00F6607C"/>
    <w:rsid w:val="00F667B5"/>
    <w:rsid w:val="00F67B60"/>
    <w:rsid w:val="00F70336"/>
    <w:rsid w:val="00F70CD8"/>
    <w:rsid w:val="00F70ED8"/>
    <w:rsid w:val="00F70F65"/>
    <w:rsid w:val="00F71CE3"/>
    <w:rsid w:val="00F71DDD"/>
    <w:rsid w:val="00F72F84"/>
    <w:rsid w:val="00F75865"/>
    <w:rsid w:val="00F75E36"/>
    <w:rsid w:val="00F76FC8"/>
    <w:rsid w:val="00F77ADF"/>
    <w:rsid w:val="00F80FDD"/>
    <w:rsid w:val="00F82D17"/>
    <w:rsid w:val="00F83461"/>
    <w:rsid w:val="00F83EE6"/>
    <w:rsid w:val="00F87A8E"/>
    <w:rsid w:val="00F91030"/>
    <w:rsid w:val="00F913C1"/>
    <w:rsid w:val="00F9162A"/>
    <w:rsid w:val="00F91AF8"/>
    <w:rsid w:val="00F91C16"/>
    <w:rsid w:val="00F925FC"/>
    <w:rsid w:val="00F92D86"/>
    <w:rsid w:val="00F92FF1"/>
    <w:rsid w:val="00F932E6"/>
    <w:rsid w:val="00F93404"/>
    <w:rsid w:val="00F94C61"/>
    <w:rsid w:val="00F95ACC"/>
    <w:rsid w:val="00F95F67"/>
    <w:rsid w:val="00F95F91"/>
    <w:rsid w:val="00F97D6B"/>
    <w:rsid w:val="00FA094B"/>
    <w:rsid w:val="00FA1740"/>
    <w:rsid w:val="00FA31AC"/>
    <w:rsid w:val="00FA3BB2"/>
    <w:rsid w:val="00FA3C6F"/>
    <w:rsid w:val="00FA59A4"/>
    <w:rsid w:val="00FA5CD2"/>
    <w:rsid w:val="00FA5F2C"/>
    <w:rsid w:val="00FB029D"/>
    <w:rsid w:val="00FB253F"/>
    <w:rsid w:val="00FB606C"/>
    <w:rsid w:val="00FB6994"/>
    <w:rsid w:val="00FB7E02"/>
    <w:rsid w:val="00FC2475"/>
    <w:rsid w:val="00FC3E95"/>
    <w:rsid w:val="00FC4698"/>
    <w:rsid w:val="00FC4800"/>
    <w:rsid w:val="00FC4ED0"/>
    <w:rsid w:val="00FC7D8B"/>
    <w:rsid w:val="00FD33DF"/>
    <w:rsid w:val="00FD3454"/>
    <w:rsid w:val="00FD446D"/>
    <w:rsid w:val="00FD63F6"/>
    <w:rsid w:val="00FD6BCD"/>
    <w:rsid w:val="00FD6C03"/>
    <w:rsid w:val="00FD791C"/>
    <w:rsid w:val="00FE0914"/>
    <w:rsid w:val="00FE1435"/>
    <w:rsid w:val="00FE1990"/>
    <w:rsid w:val="00FE308F"/>
    <w:rsid w:val="00FE33CE"/>
    <w:rsid w:val="00FE3FE2"/>
    <w:rsid w:val="00FE5D81"/>
    <w:rsid w:val="00FE7372"/>
    <w:rsid w:val="00FE7941"/>
    <w:rsid w:val="00FE7E0A"/>
    <w:rsid w:val="00FF06FB"/>
    <w:rsid w:val="00FF1B87"/>
    <w:rsid w:val="00FF48F3"/>
    <w:rsid w:val="00FF54CC"/>
    <w:rsid w:val="00FF5CA2"/>
    <w:rsid w:val="00FF5D4E"/>
    <w:rsid w:val="00FF6028"/>
    <w:rsid w:val="00FF7EC9"/>
    <w:rsid w:val="026EF8AA"/>
    <w:rsid w:val="0633A1C5"/>
    <w:rsid w:val="066EAE21"/>
    <w:rsid w:val="07B25A85"/>
    <w:rsid w:val="0851F898"/>
    <w:rsid w:val="089AD2EA"/>
    <w:rsid w:val="08C19F03"/>
    <w:rsid w:val="0A47D35C"/>
    <w:rsid w:val="0B865EBA"/>
    <w:rsid w:val="0BB5D5D7"/>
    <w:rsid w:val="0BC51446"/>
    <w:rsid w:val="0D20D9D8"/>
    <w:rsid w:val="0DF2C427"/>
    <w:rsid w:val="0E3669E6"/>
    <w:rsid w:val="0E3BDACF"/>
    <w:rsid w:val="109B8DC2"/>
    <w:rsid w:val="11CB5A42"/>
    <w:rsid w:val="121D663C"/>
    <w:rsid w:val="1230EFA2"/>
    <w:rsid w:val="1269783B"/>
    <w:rsid w:val="12709621"/>
    <w:rsid w:val="12F7EF7C"/>
    <w:rsid w:val="13477790"/>
    <w:rsid w:val="145B76F8"/>
    <w:rsid w:val="14AB45E2"/>
    <w:rsid w:val="16C23F5E"/>
    <w:rsid w:val="16E67DEF"/>
    <w:rsid w:val="17844D4F"/>
    <w:rsid w:val="17EFE4AE"/>
    <w:rsid w:val="196693E8"/>
    <w:rsid w:val="1A7DBD23"/>
    <w:rsid w:val="1AC1426B"/>
    <w:rsid w:val="1AE86C61"/>
    <w:rsid w:val="1BFB0DB9"/>
    <w:rsid w:val="1D1A88BE"/>
    <w:rsid w:val="1D7AFEDE"/>
    <w:rsid w:val="1DAC8BD5"/>
    <w:rsid w:val="1E050EAC"/>
    <w:rsid w:val="1E0B5E37"/>
    <w:rsid w:val="1E16CE52"/>
    <w:rsid w:val="1E895BAE"/>
    <w:rsid w:val="1F195E1B"/>
    <w:rsid w:val="1FD8CB88"/>
    <w:rsid w:val="200C7A35"/>
    <w:rsid w:val="21B33966"/>
    <w:rsid w:val="220DA44A"/>
    <w:rsid w:val="22250DF1"/>
    <w:rsid w:val="2238BDF7"/>
    <w:rsid w:val="227C7625"/>
    <w:rsid w:val="22C80BDF"/>
    <w:rsid w:val="239CCDE1"/>
    <w:rsid w:val="23F33F6E"/>
    <w:rsid w:val="245B612D"/>
    <w:rsid w:val="24602250"/>
    <w:rsid w:val="253A3429"/>
    <w:rsid w:val="277E5A23"/>
    <w:rsid w:val="27F0E82F"/>
    <w:rsid w:val="28062232"/>
    <w:rsid w:val="284342C9"/>
    <w:rsid w:val="2859A3B8"/>
    <w:rsid w:val="2944D4B6"/>
    <w:rsid w:val="2954759B"/>
    <w:rsid w:val="298743A8"/>
    <w:rsid w:val="29CF5880"/>
    <w:rsid w:val="2B2E13D8"/>
    <w:rsid w:val="2C481A90"/>
    <w:rsid w:val="2C4D5E74"/>
    <w:rsid w:val="2CA7B082"/>
    <w:rsid w:val="2E0CD921"/>
    <w:rsid w:val="2E44AA67"/>
    <w:rsid w:val="2EF97336"/>
    <w:rsid w:val="2F0BBF51"/>
    <w:rsid w:val="2F1AA4D0"/>
    <w:rsid w:val="2F5CCB73"/>
    <w:rsid w:val="2F89D1DB"/>
    <w:rsid w:val="32A99EB6"/>
    <w:rsid w:val="32AB4F09"/>
    <w:rsid w:val="3362A157"/>
    <w:rsid w:val="33C85E02"/>
    <w:rsid w:val="35912B88"/>
    <w:rsid w:val="3602325E"/>
    <w:rsid w:val="3669AC25"/>
    <w:rsid w:val="36934486"/>
    <w:rsid w:val="36E26CD5"/>
    <w:rsid w:val="37A46B56"/>
    <w:rsid w:val="3818CA2B"/>
    <w:rsid w:val="383CA774"/>
    <w:rsid w:val="3852AB68"/>
    <w:rsid w:val="38CC24A7"/>
    <w:rsid w:val="3939165C"/>
    <w:rsid w:val="395CA723"/>
    <w:rsid w:val="396BF9ED"/>
    <w:rsid w:val="39D8103B"/>
    <w:rsid w:val="3A682C56"/>
    <w:rsid w:val="3B0C8794"/>
    <w:rsid w:val="3B8AD5D0"/>
    <w:rsid w:val="3BBC1393"/>
    <w:rsid w:val="3D4EB7D2"/>
    <w:rsid w:val="3D8C27C6"/>
    <w:rsid w:val="3D9D3627"/>
    <w:rsid w:val="3E78D1AC"/>
    <w:rsid w:val="3FA3D3A5"/>
    <w:rsid w:val="3FE0338D"/>
    <w:rsid w:val="405688A1"/>
    <w:rsid w:val="41938630"/>
    <w:rsid w:val="4198FE06"/>
    <w:rsid w:val="420AC9EF"/>
    <w:rsid w:val="421BB6EE"/>
    <w:rsid w:val="422D64D7"/>
    <w:rsid w:val="4247D32D"/>
    <w:rsid w:val="427D249E"/>
    <w:rsid w:val="4372617A"/>
    <w:rsid w:val="4526566B"/>
    <w:rsid w:val="45D8349C"/>
    <w:rsid w:val="46181611"/>
    <w:rsid w:val="47031D11"/>
    <w:rsid w:val="474263A0"/>
    <w:rsid w:val="48C70255"/>
    <w:rsid w:val="49B08BAA"/>
    <w:rsid w:val="4A9EC911"/>
    <w:rsid w:val="4ABF8B02"/>
    <w:rsid w:val="4BFB99C0"/>
    <w:rsid w:val="4F6C5E30"/>
    <w:rsid w:val="4FA5C533"/>
    <w:rsid w:val="5079AA58"/>
    <w:rsid w:val="50890E28"/>
    <w:rsid w:val="50C5606D"/>
    <w:rsid w:val="50D5E85C"/>
    <w:rsid w:val="5119FE46"/>
    <w:rsid w:val="51501553"/>
    <w:rsid w:val="520EC3FF"/>
    <w:rsid w:val="52140C5E"/>
    <w:rsid w:val="523750EC"/>
    <w:rsid w:val="52FE1027"/>
    <w:rsid w:val="53D9F979"/>
    <w:rsid w:val="562C7AEA"/>
    <w:rsid w:val="565AEB9C"/>
    <w:rsid w:val="573416E9"/>
    <w:rsid w:val="577EFE5A"/>
    <w:rsid w:val="579B98EC"/>
    <w:rsid w:val="57D43FFC"/>
    <w:rsid w:val="5986BDB3"/>
    <w:rsid w:val="5A699320"/>
    <w:rsid w:val="5B518242"/>
    <w:rsid w:val="5B827785"/>
    <w:rsid w:val="5BA9F3A7"/>
    <w:rsid w:val="5CE9786C"/>
    <w:rsid w:val="5CFBE145"/>
    <w:rsid w:val="5F595673"/>
    <w:rsid w:val="6069E2DE"/>
    <w:rsid w:val="60CB60BC"/>
    <w:rsid w:val="6142A19C"/>
    <w:rsid w:val="61549408"/>
    <w:rsid w:val="61591368"/>
    <w:rsid w:val="61DDE9ED"/>
    <w:rsid w:val="63098FAE"/>
    <w:rsid w:val="6374419B"/>
    <w:rsid w:val="63866167"/>
    <w:rsid w:val="63BE994A"/>
    <w:rsid w:val="641323A0"/>
    <w:rsid w:val="64A5030F"/>
    <w:rsid w:val="6526B334"/>
    <w:rsid w:val="66078323"/>
    <w:rsid w:val="6616BC76"/>
    <w:rsid w:val="661F7AAE"/>
    <w:rsid w:val="675DAC57"/>
    <w:rsid w:val="6770649F"/>
    <w:rsid w:val="68223C5B"/>
    <w:rsid w:val="68C73A76"/>
    <w:rsid w:val="68D9BBD0"/>
    <w:rsid w:val="694BBE45"/>
    <w:rsid w:val="69AC2E0D"/>
    <w:rsid w:val="6AB82890"/>
    <w:rsid w:val="6B2E7BBA"/>
    <w:rsid w:val="6B67A13D"/>
    <w:rsid w:val="6BBA9CB0"/>
    <w:rsid w:val="6BC9E2C0"/>
    <w:rsid w:val="6E847363"/>
    <w:rsid w:val="6FB87DB3"/>
    <w:rsid w:val="729DD76B"/>
    <w:rsid w:val="730EAC18"/>
    <w:rsid w:val="733A48E5"/>
    <w:rsid w:val="7422D9A9"/>
    <w:rsid w:val="744F251E"/>
    <w:rsid w:val="74723A51"/>
    <w:rsid w:val="74CB8480"/>
    <w:rsid w:val="74E270CA"/>
    <w:rsid w:val="7677812C"/>
    <w:rsid w:val="76D94BA0"/>
    <w:rsid w:val="777C9BAA"/>
    <w:rsid w:val="78279C49"/>
    <w:rsid w:val="782E855E"/>
    <w:rsid w:val="78B57B34"/>
    <w:rsid w:val="7B090E0C"/>
    <w:rsid w:val="7B555AA2"/>
    <w:rsid w:val="7BA4E028"/>
    <w:rsid w:val="7BC9CD11"/>
    <w:rsid w:val="7C0F7B4F"/>
    <w:rsid w:val="7C358667"/>
    <w:rsid w:val="7C40403B"/>
    <w:rsid w:val="7CA087FE"/>
    <w:rsid w:val="7D15FA16"/>
    <w:rsid w:val="7D27AB45"/>
    <w:rsid w:val="7DCEAA73"/>
    <w:rsid w:val="7E376032"/>
    <w:rsid w:val="7E6CB19C"/>
    <w:rsid w:val="7EF2FDFA"/>
    <w:rsid w:val="7F4AD2E0"/>
    <w:rsid w:val="7F59F3D3"/>
    <w:rsid w:val="7FD33225"/>
    <w:rsid w:val="7FEBEA75"/>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Street"/>
  <w:smartTagType w:namespaceuri="urn:schemas-microsoft-com:office:smarttags" w:name="place"/>
  <w:smartTagType w:namespaceuri="urn:schemas-microsoft-com:office:smarttags" w:name="State"/>
  <w:shapeDefaults>
    <o:shapedefaults v:ext="edit" spidmax="2050"/>
    <o:shapelayout v:ext="edit">
      <o:idmap v:ext="edit" data="2"/>
    </o:shapelayout>
  </w:shapeDefaults>
  <w:decimalSymbol w:val="."/>
  <w:listSeparator w:val=","/>
  <w14:docId w14:val="090775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4" w:qFormat="1"/>
    <w:lsdException w:name="heading 2" w:uiPriority="4" w:qFormat="1"/>
    <w:lsdException w:name="heading 3" w:uiPriority="4" w:qFormat="1"/>
    <w:lsdException w:name="heading 4" w:uiPriority="4" w:qFormat="1"/>
    <w:lsdException w:name="heading 5" w:uiPriority="4" w:qFormat="1"/>
    <w:lsdException w:name="heading 6" w:semiHidden="1" w:uiPriority="4"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Palatino" w:hAnsi="Palatino"/>
      <w:sz w:val="26"/>
    </w:rPr>
  </w:style>
  <w:style w:type="paragraph" w:styleId="Heading1">
    <w:name w:val="heading 1"/>
    <w:basedOn w:val="Normal"/>
    <w:next w:val="Standard"/>
    <w:link w:val="Heading1Char"/>
    <w:uiPriority w:val="4"/>
    <w:qFormat/>
    <w:rsid w:val="008F52A6"/>
    <w:pPr>
      <w:keepNext/>
      <w:keepLines/>
      <w:numPr>
        <w:numId w:val="15"/>
      </w:numPr>
      <w:spacing w:after="120"/>
      <w:ind w:left="720" w:right="2160"/>
      <w:outlineLvl w:val="0"/>
    </w:pPr>
    <w:rPr>
      <w:rFonts w:ascii="Arial" w:eastAsiaTheme="majorEastAsia" w:hAnsi="Arial" w:cstheme="majorBidi"/>
      <w:b/>
      <w:szCs w:val="32"/>
    </w:rPr>
  </w:style>
  <w:style w:type="paragraph" w:styleId="Heading2">
    <w:name w:val="heading 2"/>
    <w:basedOn w:val="dummy"/>
    <w:next w:val="Standard"/>
    <w:link w:val="Heading2Char"/>
    <w:uiPriority w:val="4"/>
    <w:qFormat/>
    <w:rsid w:val="008F52A6"/>
    <w:pPr>
      <w:numPr>
        <w:ilvl w:val="1"/>
        <w:numId w:val="15"/>
      </w:numPr>
      <w:outlineLvl w:val="1"/>
    </w:pPr>
    <w:rPr>
      <w:rFonts w:eastAsiaTheme="minorHAnsi" w:cs="Arial"/>
      <w:szCs w:val="26"/>
    </w:rPr>
  </w:style>
  <w:style w:type="paragraph" w:styleId="Heading3">
    <w:name w:val="heading 3"/>
    <w:basedOn w:val="dummy"/>
    <w:next w:val="Standard"/>
    <w:link w:val="Heading3Char"/>
    <w:uiPriority w:val="4"/>
    <w:qFormat/>
    <w:rsid w:val="008F52A6"/>
    <w:pPr>
      <w:numPr>
        <w:ilvl w:val="2"/>
        <w:numId w:val="15"/>
      </w:numPr>
      <w:outlineLvl w:val="2"/>
    </w:pPr>
    <w:rPr>
      <w:szCs w:val="24"/>
    </w:rPr>
  </w:style>
  <w:style w:type="paragraph" w:styleId="Heading4">
    <w:name w:val="heading 4"/>
    <w:basedOn w:val="dummy"/>
    <w:next w:val="Standard"/>
    <w:link w:val="Heading4Char"/>
    <w:uiPriority w:val="4"/>
    <w:rsid w:val="008F52A6"/>
    <w:pPr>
      <w:numPr>
        <w:ilvl w:val="3"/>
        <w:numId w:val="15"/>
      </w:numPr>
      <w:outlineLvl w:val="3"/>
    </w:pPr>
    <w:rPr>
      <w:iCs/>
      <w:szCs w:val="26"/>
    </w:rPr>
  </w:style>
  <w:style w:type="paragraph" w:styleId="Heading5">
    <w:name w:val="heading 5"/>
    <w:basedOn w:val="dummy"/>
    <w:next w:val="Standard"/>
    <w:link w:val="Heading5Char"/>
    <w:uiPriority w:val="4"/>
    <w:rsid w:val="008F52A6"/>
    <w:pPr>
      <w:numPr>
        <w:ilvl w:val="4"/>
        <w:numId w:val="15"/>
      </w:numPr>
      <w:outlineLvl w:val="4"/>
    </w:pPr>
    <w:rPr>
      <w:szCs w:val="26"/>
    </w:rPr>
  </w:style>
  <w:style w:type="paragraph" w:styleId="Heading6">
    <w:name w:val="heading 6"/>
    <w:basedOn w:val="dummy"/>
    <w:next w:val="Standard"/>
    <w:link w:val="Heading6Char"/>
    <w:uiPriority w:val="4"/>
    <w:rsid w:val="008F52A6"/>
    <w:pPr>
      <w:numPr>
        <w:ilvl w:val="5"/>
        <w:numId w:val="15"/>
      </w:numPr>
      <w:spacing w:before="40"/>
      <w:outlineLvl w:val="5"/>
    </w:pPr>
    <w:rPr>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1 Char,TBG Style Char Char Char,Footnote Text Char2,Footnote Text Char1,TBG Style Char Char,Footnote Text Char3 Char,Footnote Text Char Char Char,Footnote Text Char1 Char Char Char,Footnote Text Char3,fn,Footnote Text Cha"/>
    <w:basedOn w:val="Normal"/>
    <w:link w:val="FootnoteTextChar"/>
    <w:uiPriority w:val="99"/>
    <w:pPr>
      <w:spacing w:after="240"/>
    </w:pPr>
    <w:rPr>
      <w:sz w:val="24"/>
    </w:rPr>
  </w:style>
  <w:style w:type="character" w:styleId="FootnoteReference">
    <w:name w:val="footnote reference"/>
    <w:aliases w:val="o,fr,o1,o2,o3,o4,o5,o6,o11,o21,o7,Style 12,(NECG) Footnote Reference,Appel note de bas de p,Style 124,o + Times New Roman,Style 3,Style 17,Style 20,Style 13,fr1,fr2,fr3,Style 58,FR,Footnote Reference/,Style 6,Footnote,Style 8"/>
    <w:uiPriority w:val="99"/>
    <w:qFormat/>
    <w:rPr>
      <w:sz w:val="24"/>
      <w:vertAlign w:val="superscript"/>
    </w:rPr>
  </w:style>
  <w:style w:type="paragraph" w:customStyle="1" w:styleId="standard0">
    <w:name w:val="standard"/>
    <w:basedOn w:val="Normal"/>
    <w:link w:val="standardChar"/>
    <w:pPr>
      <w:spacing w:line="360" w:lineRule="auto"/>
      <w:ind w:firstLine="720"/>
    </w:pPr>
  </w:style>
  <w:style w:type="paragraph" w:styleId="Subtitle">
    <w:name w:val="Subtitle"/>
    <w:basedOn w:val="Normal"/>
    <w:qFormat/>
    <w:pPr>
      <w:spacing w:after="60"/>
      <w:jc w:val="center"/>
    </w:pPr>
    <w:rPr>
      <w:rFonts w:ascii="Arial" w:hAnsi="Arial"/>
    </w:rPr>
  </w:style>
  <w:style w:type="paragraph" w:customStyle="1" w:styleId="Quote1">
    <w:name w:val="Quote1"/>
    <w:basedOn w:val="standard0"/>
    <w:next w:val="standard0"/>
    <w:pPr>
      <w:spacing w:before="120" w:after="240" w:line="240" w:lineRule="auto"/>
      <w:ind w:left="720" w:right="720" w:firstLine="0"/>
    </w:pPr>
  </w:style>
  <w:style w:type="paragraph" w:customStyle="1" w:styleId="letter">
    <w:name w:val="letter"/>
    <w:basedOn w:val="num1"/>
    <w:pPr>
      <w:spacing w:after="120" w:line="240" w:lineRule="auto"/>
      <w:ind w:left="994" w:hanging="274"/>
    </w:pPr>
  </w:style>
  <w:style w:type="paragraph" w:styleId="TOC4">
    <w:name w:val="toc 4"/>
    <w:basedOn w:val="Normal"/>
    <w:next w:val="Normal"/>
    <w:autoRedefine/>
    <w:uiPriority w:val="39"/>
    <w:unhideWhenUsed/>
    <w:rsid w:val="003845B0"/>
    <w:pPr>
      <w:ind w:left="1728" w:right="720" w:hanging="1080"/>
    </w:pPr>
    <w:rPr>
      <w:rFonts w:ascii="Book Antiqua" w:eastAsiaTheme="minorHAnsi" w:hAnsi="Book Antiqua" w:cstheme="minorBidi"/>
      <w:szCs w:val="22"/>
    </w:rPr>
  </w:style>
  <w:style w:type="paragraph" w:customStyle="1" w:styleId="main">
    <w:name w:val="main"/>
    <w:basedOn w:val="Normal"/>
    <w:link w:val="mainChar"/>
    <w:pPr>
      <w:jc w:val="center"/>
    </w:pPr>
    <w:rPr>
      <w:rFonts w:ascii="Helvetica" w:hAnsi="Helvetica"/>
      <w:b/>
    </w:rPr>
  </w:style>
  <w:style w:type="paragraph" w:customStyle="1" w:styleId="mainex">
    <w:name w:val="mainex"/>
    <w:basedOn w:val="main"/>
    <w:pPr>
      <w:keepNext/>
    </w:pPr>
    <w:rPr>
      <w:spacing w:val="120"/>
    </w:rPr>
  </w:style>
  <w:style w:type="paragraph" w:customStyle="1" w:styleId="num1">
    <w:name w:val="num1"/>
    <w:basedOn w:val="Normal"/>
    <w:link w:val="num1Char"/>
    <w:pPr>
      <w:tabs>
        <w:tab w:val="left" w:pos="-720"/>
      </w:tabs>
      <w:suppressAutoHyphens/>
      <w:spacing w:line="360" w:lineRule="auto"/>
      <w:ind w:firstLine="360"/>
    </w:pPr>
  </w:style>
  <w:style w:type="paragraph" w:styleId="Header">
    <w:name w:val="header"/>
    <w:basedOn w:val="Normal"/>
    <w:link w:val="HeaderChar"/>
    <w:uiPriority w:val="99"/>
    <w:pPr>
      <w:widowControl w:val="0"/>
      <w:tabs>
        <w:tab w:val="center" w:pos="4320"/>
        <w:tab w:val="right" w:pos="8640"/>
      </w:tabs>
    </w:pPr>
  </w:style>
  <w:style w:type="paragraph" w:customStyle="1" w:styleId="num2">
    <w:name w:val="num2"/>
    <w:basedOn w:val="num1"/>
    <w:pPr>
      <w:ind w:firstLine="270"/>
    </w:pPr>
  </w:style>
  <w:style w:type="paragraph" w:styleId="Footer">
    <w:name w:val="footer"/>
    <w:basedOn w:val="Normal"/>
    <w:link w:val="FooterChar"/>
    <w:uiPriority w:val="99"/>
    <w:pPr>
      <w:tabs>
        <w:tab w:val="center" w:pos="4320"/>
        <w:tab w:val="right" w:pos="8640"/>
      </w:tabs>
      <w:jc w:val="center"/>
    </w:pPr>
  </w:style>
  <w:style w:type="paragraph" w:customStyle="1" w:styleId="sub1">
    <w:name w:val="sub1"/>
    <w:basedOn w:val="Normal"/>
    <w:pPr>
      <w:spacing w:line="360" w:lineRule="auto"/>
      <w:ind w:firstLine="1440"/>
    </w:pPr>
  </w:style>
  <w:style w:type="paragraph" w:customStyle="1" w:styleId="titlebar">
    <w:name w:val="title bar"/>
    <w:basedOn w:val="main"/>
    <w:pPr>
      <w:keepNext/>
      <w:suppressAutoHyphens/>
    </w:pPr>
  </w:style>
  <w:style w:type="character" w:styleId="PageNumber">
    <w:name w:val="page number"/>
    <w:basedOn w:val="DefaultParagraphFont"/>
  </w:style>
  <w:style w:type="paragraph" w:customStyle="1" w:styleId="sub2">
    <w:name w:val="sub2"/>
    <w:basedOn w:val="Normal"/>
    <w:pPr>
      <w:spacing w:line="360" w:lineRule="auto"/>
      <w:ind w:firstLine="2160"/>
    </w:pPr>
  </w:style>
  <w:style w:type="paragraph" w:customStyle="1" w:styleId="sub3">
    <w:name w:val="sub3"/>
    <w:basedOn w:val="Normal"/>
    <w:pPr>
      <w:spacing w:line="360" w:lineRule="auto"/>
      <w:ind w:firstLine="2880"/>
    </w:pPr>
  </w:style>
  <w:style w:type="paragraph" w:customStyle="1" w:styleId="sub4">
    <w:name w:val="sub4"/>
    <w:basedOn w:val="Normal"/>
    <w:pPr>
      <w:ind w:firstLine="3600"/>
    </w:pPr>
  </w:style>
  <w:style w:type="paragraph" w:customStyle="1" w:styleId="dummy">
    <w:name w:val="dummy"/>
    <w:basedOn w:val="Heading1"/>
    <w:pPr>
      <w:numPr>
        <w:numId w:val="0"/>
      </w:numPr>
      <w:outlineLvl w:val="9"/>
    </w:pPr>
  </w:style>
  <w:style w:type="paragraph" w:styleId="BodyText">
    <w:name w:val="Body Text"/>
    <w:basedOn w:val="Normal"/>
    <w:rPr>
      <w:rFonts w:ascii="Times New Roman" w:hAnsi="Times New Roman"/>
      <w:sz w:val="32"/>
    </w:rPr>
  </w:style>
  <w:style w:type="paragraph" w:customStyle="1" w:styleId="PageXofY">
    <w:name w:val="Page X of Y"/>
  </w:style>
  <w:style w:type="paragraph" w:customStyle="1" w:styleId="bullets">
    <w:name w:val="bullets"/>
    <w:basedOn w:val="standard0"/>
    <w:pPr>
      <w:numPr>
        <w:numId w:val="4"/>
      </w:numPr>
      <w:spacing w:after="120" w:line="240" w:lineRule="auto"/>
    </w:pPr>
    <w:rPr>
      <w:bCs/>
    </w:rPr>
  </w:style>
  <w:style w:type="character" w:customStyle="1" w:styleId="standardChar">
    <w:name w:val="standard Char"/>
    <w:link w:val="standard0"/>
    <w:rsid w:val="00563D04"/>
    <w:rPr>
      <w:rFonts w:ascii="Palatino" w:hAnsi="Palatino"/>
      <w:sz w:val="26"/>
      <w:lang w:val="en-US" w:eastAsia="en-US" w:bidi="ar-SA"/>
    </w:rPr>
  </w:style>
  <w:style w:type="character" w:customStyle="1" w:styleId="num1Char">
    <w:name w:val="num1 Char"/>
    <w:link w:val="num1"/>
    <w:rsid w:val="00A94870"/>
    <w:rPr>
      <w:rFonts w:ascii="Palatino" w:hAnsi="Palatino"/>
      <w:sz w:val="26"/>
      <w:lang w:val="en-US" w:eastAsia="en-US" w:bidi="ar-SA"/>
    </w:rPr>
  </w:style>
  <w:style w:type="paragraph" w:customStyle="1" w:styleId="bullet1">
    <w:name w:val="bullet1"/>
    <w:basedOn w:val="bullets"/>
    <w:rsid w:val="00A94870"/>
    <w:pPr>
      <w:numPr>
        <w:numId w:val="1"/>
      </w:numPr>
      <w:ind w:left="0" w:firstLine="0"/>
    </w:pPr>
  </w:style>
  <w:style w:type="character" w:customStyle="1" w:styleId="mainChar">
    <w:name w:val="main Char"/>
    <w:link w:val="main"/>
    <w:rsid w:val="003A3B55"/>
    <w:rPr>
      <w:rFonts w:ascii="Helvetica" w:hAnsi="Helvetica"/>
      <w:b/>
      <w:sz w:val="26"/>
      <w:lang w:val="en-US" w:eastAsia="en-US" w:bidi="ar-SA"/>
    </w:rPr>
  </w:style>
  <w:style w:type="character" w:styleId="Hyperlink">
    <w:name w:val="Hyperlink"/>
    <w:uiPriority w:val="99"/>
    <w:rsid w:val="003C50BE"/>
    <w:rPr>
      <w:color w:val="0000FF"/>
      <w:u w:val="single"/>
    </w:rPr>
  </w:style>
  <w:style w:type="paragraph" w:styleId="BalloonText">
    <w:name w:val="Balloon Text"/>
    <w:basedOn w:val="Normal"/>
    <w:semiHidden/>
    <w:rsid w:val="0032232E"/>
    <w:rPr>
      <w:rFonts w:ascii="Tahoma" w:hAnsi="Tahoma" w:cs="Tahoma"/>
      <w:sz w:val="16"/>
      <w:szCs w:val="16"/>
    </w:rPr>
  </w:style>
  <w:style w:type="paragraph" w:customStyle="1" w:styleId="Style1">
    <w:name w:val="Style1"/>
    <w:basedOn w:val="Heading1"/>
    <w:autoRedefine/>
    <w:rsid w:val="00F33F1C"/>
    <w:pPr>
      <w:numPr>
        <w:numId w:val="2"/>
      </w:numPr>
    </w:pPr>
  </w:style>
  <w:style w:type="paragraph" w:customStyle="1" w:styleId="Style2">
    <w:name w:val="Style2"/>
    <w:basedOn w:val="Heading1"/>
    <w:autoRedefine/>
    <w:rsid w:val="00F33F1C"/>
    <w:pPr>
      <w:numPr>
        <w:numId w:val="7"/>
      </w:numPr>
    </w:pPr>
  </w:style>
  <w:style w:type="paragraph" w:customStyle="1" w:styleId="Style3">
    <w:name w:val="Style3"/>
    <w:basedOn w:val="Heading1"/>
    <w:autoRedefine/>
    <w:rsid w:val="00303C65"/>
    <w:pPr>
      <w:spacing w:after="0"/>
      <w:ind w:left="1080"/>
    </w:pPr>
    <w:rPr>
      <w:rFonts w:ascii="Palatino" w:hAnsi="Palatino"/>
      <w:b w:val="0"/>
      <w:color w:val="0000FF"/>
    </w:rPr>
  </w:style>
  <w:style w:type="paragraph" w:customStyle="1" w:styleId="Style4">
    <w:name w:val="Style4"/>
    <w:basedOn w:val="Heading1"/>
    <w:autoRedefine/>
    <w:rsid w:val="00F33F1C"/>
    <w:pPr>
      <w:numPr>
        <w:numId w:val="8"/>
      </w:numPr>
    </w:pPr>
  </w:style>
  <w:style w:type="paragraph" w:customStyle="1" w:styleId="Style5">
    <w:name w:val="Style5"/>
    <w:basedOn w:val="Style3"/>
    <w:autoRedefine/>
    <w:rsid w:val="00F33F1C"/>
  </w:style>
  <w:style w:type="character" w:customStyle="1" w:styleId="Heading1Char">
    <w:name w:val="Heading 1 Char"/>
    <w:basedOn w:val="DefaultParagraphFont"/>
    <w:link w:val="Heading1"/>
    <w:uiPriority w:val="4"/>
    <w:rsid w:val="008F52A6"/>
    <w:rPr>
      <w:rFonts w:ascii="Arial" w:eastAsiaTheme="majorEastAsia" w:hAnsi="Arial" w:cstheme="majorBidi"/>
      <w:b/>
      <w:sz w:val="26"/>
      <w:szCs w:val="32"/>
    </w:rPr>
  </w:style>
  <w:style w:type="character" w:styleId="CommentReference">
    <w:name w:val="annotation reference"/>
    <w:semiHidden/>
    <w:rsid w:val="00D53129"/>
    <w:rPr>
      <w:sz w:val="16"/>
      <w:szCs w:val="16"/>
    </w:rPr>
  </w:style>
  <w:style w:type="paragraph" w:styleId="CommentText">
    <w:name w:val="annotation text"/>
    <w:basedOn w:val="Normal"/>
    <w:semiHidden/>
    <w:rsid w:val="00D53129"/>
    <w:rPr>
      <w:sz w:val="20"/>
    </w:rPr>
  </w:style>
  <w:style w:type="paragraph" w:styleId="CommentSubject">
    <w:name w:val="annotation subject"/>
    <w:basedOn w:val="CommentText"/>
    <w:next w:val="CommentText"/>
    <w:semiHidden/>
    <w:rsid w:val="00D53129"/>
    <w:rPr>
      <w:b/>
      <w:bCs/>
    </w:rPr>
  </w:style>
  <w:style w:type="paragraph" w:styleId="TOCHeading">
    <w:name w:val="TOC Heading"/>
    <w:basedOn w:val="Heading1"/>
    <w:next w:val="Normal"/>
    <w:uiPriority w:val="39"/>
    <w:semiHidden/>
    <w:unhideWhenUsed/>
    <w:qFormat/>
    <w:rsid w:val="008D173F"/>
    <w:pPr>
      <w:spacing w:before="480" w:after="0" w:line="276" w:lineRule="auto"/>
      <w:outlineLvl w:val="9"/>
    </w:pPr>
    <w:rPr>
      <w:rFonts w:ascii="Cambria" w:eastAsia="MS Gothic" w:hAnsi="Cambria"/>
      <w:bCs/>
      <w:color w:val="365F91"/>
      <w:sz w:val="28"/>
      <w:szCs w:val="28"/>
      <w:lang w:eastAsia="ja-JP"/>
    </w:rPr>
  </w:style>
  <w:style w:type="paragraph" w:styleId="TOC1">
    <w:name w:val="toc 1"/>
    <w:basedOn w:val="Normal"/>
    <w:next w:val="Normal"/>
    <w:uiPriority w:val="39"/>
    <w:unhideWhenUsed/>
    <w:rsid w:val="003845B0"/>
    <w:pPr>
      <w:ind w:left="432" w:right="720" w:hanging="432"/>
    </w:pPr>
    <w:rPr>
      <w:rFonts w:ascii="Book Antiqua" w:eastAsiaTheme="minorEastAsia" w:hAnsi="Book Antiqua"/>
      <w:szCs w:val="22"/>
    </w:rPr>
  </w:style>
  <w:style w:type="paragraph" w:styleId="EndnoteText">
    <w:name w:val="endnote text"/>
    <w:basedOn w:val="Normal"/>
    <w:link w:val="EndnoteTextChar"/>
    <w:rsid w:val="005B42EA"/>
    <w:rPr>
      <w:sz w:val="20"/>
    </w:rPr>
  </w:style>
  <w:style w:type="character" w:customStyle="1" w:styleId="EndnoteTextChar">
    <w:name w:val="Endnote Text Char"/>
    <w:link w:val="EndnoteText"/>
    <w:rsid w:val="005B42EA"/>
    <w:rPr>
      <w:rFonts w:ascii="Palatino" w:hAnsi="Palatino"/>
    </w:rPr>
  </w:style>
  <w:style w:type="character" w:styleId="EndnoteReference">
    <w:name w:val="endnote reference"/>
    <w:rsid w:val="005B42EA"/>
    <w:rPr>
      <w:vertAlign w:val="superscript"/>
    </w:rPr>
  </w:style>
  <w:style w:type="paragraph" w:customStyle="1" w:styleId="Default">
    <w:name w:val="Default"/>
    <w:rsid w:val="00A6220B"/>
    <w:pPr>
      <w:autoSpaceDE w:val="0"/>
      <w:autoSpaceDN w:val="0"/>
      <w:adjustRightInd w:val="0"/>
    </w:pPr>
    <w:rPr>
      <w:rFonts w:ascii="Book Antiqua" w:hAnsi="Book Antiqua" w:cs="Book Antiqua"/>
      <w:color w:val="000000"/>
      <w:sz w:val="24"/>
      <w:szCs w:val="24"/>
    </w:rPr>
  </w:style>
  <w:style w:type="character" w:customStyle="1" w:styleId="FootnoteTextChar">
    <w:name w:val="Footnote Text Char"/>
    <w:aliases w:val="Footnote Text Char1 Char Char,TBG Style Char Char Char Char,Footnote Text Char2 Char,Footnote Text Char1 Char1,TBG Style Char Char Char1,Footnote Text Char3 Char Char,Footnote Text Char Char Char Char,Footnote Text Char3 Char1,fn Char"/>
    <w:link w:val="FootnoteText"/>
    <w:uiPriority w:val="99"/>
    <w:locked/>
    <w:rsid w:val="00EE10AE"/>
    <w:rPr>
      <w:rFonts w:ascii="Palatino" w:hAnsi="Palatino"/>
      <w:sz w:val="24"/>
    </w:rPr>
  </w:style>
  <w:style w:type="character" w:customStyle="1" w:styleId="FootnoteReferencebyTim">
    <w:name w:val="Footnote Reference by Tim"/>
    <w:rsid w:val="00EE10AE"/>
    <w:rPr>
      <w:rFonts w:ascii="Palatino" w:hAnsi="Palatino"/>
      <w:dstrike w:val="0"/>
      <w:color w:val="000000"/>
      <w:position w:val="2"/>
      <w:sz w:val="22"/>
      <w:szCs w:val="22"/>
      <w:vertAlign w:val="superscript"/>
    </w:rPr>
  </w:style>
  <w:style w:type="paragraph" w:styleId="Revision">
    <w:name w:val="Revision"/>
    <w:hidden/>
    <w:uiPriority w:val="99"/>
    <w:semiHidden/>
    <w:rsid w:val="005C29B3"/>
    <w:rPr>
      <w:rFonts w:ascii="Palatino" w:hAnsi="Palatino"/>
      <w:sz w:val="26"/>
    </w:rPr>
  </w:style>
  <w:style w:type="paragraph" w:styleId="ListParagraph">
    <w:name w:val="List Paragraph"/>
    <w:basedOn w:val="Normal"/>
    <w:uiPriority w:val="34"/>
    <w:qFormat/>
    <w:rsid w:val="003D3A0A"/>
    <w:pPr>
      <w:ind w:left="720"/>
      <w:contextualSpacing/>
    </w:pPr>
  </w:style>
  <w:style w:type="character" w:customStyle="1" w:styleId="UnresolvedMention1">
    <w:name w:val="Unresolved Mention1"/>
    <w:basedOn w:val="DefaultParagraphFont"/>
    <w:uiPriority w:val="99"/>
    <w:semiHidden/>
    <w:unhideWhenUsed/>
    <w:rsid w:val="00CA0CA4"/>
    <w:rPr>
      <w:color w:val="605E5C"/>
      <w:shd w:val="clear" w:color="auto" w:fill="E1DFDD"/>
    </w:rPr>
  </w:style>
  <w:style w:type="character" w:customStyle="1" w:styleId="FooterChar">
    <w:name w:val="Footer Char"/>
    <w:basedOn w:val="DefaultParagraphFont"/>
    <w:link w:val="Footer"/>
    <w:uiPriority w:val="99"/>
    <w:rsid w:val="00385C15"/>
    <w:rPr>
      <w:rFonts w:ascii="Palatino" w:hAnsi="Palatino"/>
      <w:sz w:val="26"/>
    </w:rPr>
  </w:style>
  <w:style w:type="character" w:customStyle="1" w:styleId="HeaderChar">
    <w:name w:val="Header Char"/>
    <w:basedOn w:val="DefaultParagraphFont"/>
    <w:link w:val="Header"/>
    <w:uiPriority w:val="99"/>
    <w:rsid w:val="000B2C4A"/>
    <w:rPr>
      <w:rFonts w:ascii="Palatino" w:hAnsi="Palatino"/>
      <w:sz w:val="26"/>
    </w:rPr>
  </w:style>
  <w:style w:type="paragraph" w:styleId="Title">
    <w:name w:val="Title"/>
    <w:basedOn w:val="Normal"/>
    <w:next w:val="Normal"/>
    <w:link w:val="TitleChar"/>
    <w:qFormat/>
    <w:rsid w:val="008072AA"/>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8072AA"/>
    <w:rPr>
      <w:rFonts w:asciiTheme="majorHAnsi" w:eastAsiaTheme="majorEastAsia" w:hAnsiTheme="majorHAnsi" w:cstheme="majorBidi"/>
      <w:spacing w:val="-10"/>
      <w:kern w:val="28"/>
      <w:sz w:val="56"/>
      <w:szCs w:val="56"/>
    </w:rPr>
  </w:style>
  <w:style w:type="character" w:styleId="UnresolvedMention">
    <w:name w:val="Unresolved Mention"/>
    <w:basedOn w:val="DefaultParagraphFont"/>
    <w:uiPriority w:val="99"/>
    <w:semiHidden/>
    <w:unhideWhenUsed/>
    <w:rsid w:val="001449BC"/>
    <w:rPr>
      <w:color w:val="605E5C"/>
      <w:shd w:val="clear" w:color="auto" w:fill="E1DFDD"/>
    </w:rPr>
  </w:style>
  <w:style w:type="character" w:styleId="FollowedHyperlink">
    <w:name w:val="FollowedHyperlink"/>
    <w:basedOn w:val="DefaultParagraphFont"/>
    <w:semiHidden/>
    <w:unhideWhenUsed/>
    <w:rsid w:val="000E1D67"/>
    <w:rPr>
      <w:color w:val="800080" w:themeColor="followedHyperlink"/>
      <w:u w:val="single"/>
    </w:rPr>
  </w:style>
  <w:style w:type="character" w:customStyle="1" w:styleId="Heading6Char">
    <w:name w:val="Heading 6 Char"/>
    <w:basedOn w:val="DefaultParagraphFont"/>
    <w:link w:val="Heading6"/>
    <w:uiPriority w:val="4"/>
    <w:rsid w:val="008F52A6"/>
    <w:rPr>
      <w:rFonts w:ascii="Arial" w:eastAsiaTheme="majorEastAsia" w:hAnsi="Arial" w:cstheme="majorBidi"/>
      <w:b/>
      <w:sz w:val="26"/>
      <w:szCs w:val="26"/>
    </w:rPr>
  </w:style>
  <w:style w:type="paragraph" w:customStyle="1" w:styleId="Standard">
    <w:name w:val="Standard"/>
    <w:basedOn w:val="Normal"/>
    <w:qFormat/>
    <w:rsid w:val="008F52A6"/>
    <w:pPr>
      <w:spacing w:line="360" w:lineRule="auto"/>
      <w:ind w:firstLine="720"/>
    </w:pPr>
    <w:rPr>
      <w:rFonts w:ascii="Book Antiqua" w:eastAsiaTheme="minorHAnsi" w:hAnsi="Book Antiqua" w:cstheme="minorBidi"/>
      <w:szCs w:val="22"/>
    </w:rPr>
  </w:style>
  <w:style w:type="paragraph" w:customStyle="1" w:styleId="ListAlpha">
    <w:name w:val="List Alpha"/>
    <w:basedOn w:val="Standard"/>
    <w:uiPriority w:val="4"/>
    <w:qFormat/>
    <w:rsid w:val="00036329"/>
    <w:pPr>
      <w:numPr>
        <w:ilvl w:val="7"/>
        <w:numId w:val="15"/>
      </w:numPr>
      <w:spacing w:after="120" w:line="240" w:lineRule="auto"/>
    </w:pPr>
  </w:style>
  <w:style w:type="paragraph" w:customStyle="1" w:styleId="ListNum">
    <w:name w:val="List Num"/>
    <w:basedOn w:val="Standard"/>
    <w:uiPriority w:val="4"/>
    <w:rsid w:val="00036329"/>
    <w:pPr>
      <w:numPr>
        <w:ilvl w:val="6"/>
        <w:numId w:val="15"/>
      </w:numPr>
      <w:spacing w:after="120" w:line="240" w:lineRule="auto"/>
    </w:pPr>
  </w:style>
  <w:style w:type="numbering" w:customStyle="1" w:styleId="Headings">
    <w:name w:val="Headings"/>
    <w:uiPriority w:val="99"/>
    <w:rsid w:val="00036329"/>
    <w:pPr>
      <w:numPr>
        <w:numId w:val="9"/>
      </w:numPr>
    </w:pPr>
  </w:style>
  <w:style w:type="paragraph" w:customStyle="1" w:styleId="ALJFootnote">
    <w:name w:val="ALJ Footnote"/>
    <w:basedOn w:val="FootnoteText"/>
    <w:link w:val="ALJFootnoteChar"/>
    <w:qFormat/>
    <w:rsid w:val="00A21194"/>
    <w:pPr>
      <w:spacing w:after="120"/>
    </w:pPr>
    <w:rPr>
      <w:rFonts w:ascii="Book Antiqua" w:eastAsiaTheme="minorHAnsi" w:hAnsi="Book Antiqua"/>
      <w:sz w:val="22"/>
      <w:szCs w:val="24"/>
    </w:rPr>
  </w:style>
  <w:style w:type="character" w:customStyle="1" w:styleId="ALJFootnoteChar">
    <w:name w:val="ALJ Footnote Char"/>
    <w:basedOn w:val="DefaultParagraphFont"/>
    <w:link w:val="ALJFootnote"/>
    <w:rsid w:val="00A21194"/>
    <w:rPr>
      <w:rFonts w:ascii="Book Antiqua" w:eastAsiaTheme="minorHAnsi" w:hAnsi="Book Antiqua"/>
      <w:sz w:val="22"/>
      <w:szCs w:val="24"/>
    </w:rPr>
  </w:style>
  <w:style w:type="character" w:customStyle="1" w:styleId="normaltextrun">
    <w:name w:val="normaltextrun"/>
    <w:basedOn w:val="DefaultParagraphFont"/>
    <w:rsid w:val="006E5B31"/>
  </w:style>
  <w:style w:type="character" w:customStyle="1" w:styleId="spellingerror">
    <w:name w:val="spellingerror"/>
    <w:basedOn w:val="DefaultParagraphFont"/>
    <w:rsid w:val="006E5B31"/>
  </w:style>
  <w:style w:type="character" w:customStyle="1" w:styleId="eop">
    <w:name w:val="eop"/>
    <w:basedOn w:val="DefaultParagraphFont"/>
    <w:rsid w:val="006E5B31"/>
  </w:style>
  <w:style w:type="paragraph" w:styleId="NoSpacing">
    <w:name w:val="No Spacing"/>
    <w:uiPriority w:val="1"/>
    <w:qFormat/>
    <w:rsid w:val="00304DFC"/>
    <w:rPr>
      <w:rFonts w:ascii="Palatino" w:hAnsi="Palatino"/>
      <w:sz w:val="26"/>
    </w:rPr>
  </w:style>
  <w:style w:type="character" w:customStyle="1" w:styleId="cf01">
    <w:name w:val="cf01"/>
    <w:basedOn w:val="DefaultParagraphFont"/>
    <w:rsid w:val="00801A82"/>
    <w:rPr>
      <w:rFonts w:ascii="Segoe UI" w:hAnsi="Segoe UI" w:cs="Segoe UI" w:hint="default"/>
      <w:sz w:val="18"/>
      <w:szCs w:val="18"/>
    </w:rPr>
  </w:style>
  <w:style w:type="paragraph" w:customStyle="1" w:styleId="level1">
    <w:name w:val="level1"/>
    <w:basedOn w:val="ListParagraph"/>
    <w:qFormat/>
    <w:rsid w:val="00277644"/>
    <w:pPr>
      <w:tabs>
        <w:tab w:val="num" w:pos="360"/>
      </w:tabs>
      <w:spacing w:after="120"/>
      <w:ind w:right="1440"/>
      <w:contextualSpacing w:val="0"/>
    </w:pPr>
    <w:rPr>
      <w:rFonts w:ascii="Book Antiqua" w:hAnsi="Book Antiqua"/>
    </w:rPr>
  </w:style>
  <w:style w:type="paragraph" w:customStyle="1" w:styleId="Level3">
    <w:name w:val="Level3"/>
    <w:basedOn w:val="Normal"/>
    <w:rsid w:val="00277644"/>
    <w:pPr>
      <w:spacing w:after="120"/>
      <w:ind w:left="1800" w:right="1440" w:hanging="360"/>
    </w:pPr>
    <w:rPr>
      <w:rFonts w:ascii="Book Antiqua" w:hAnsi="Book Antiqua"/>
    </w:rPr>
  </w:style>
  <w:style w:type="character" w:styleId="Mention">
    <w:name w:val="Mention"/>
    <w:basedOn w:val="DefaultParagraphFont"/>
    <w:uiPriority w:val="99"/>
    <w:unhideWhenUsed/>
    <w:rsid w:val="00DE0EF2"/>
    <w:rPr>
      <w:color w:val="2B579A"/>
      <w:shd w:val="clear" w:color="auto" w:fill="E1DFDD"/>
    </w:rPr>
  </w:style>
  <w:style w:type="numbering" w:customStyle="1" w:styleId="FoFCoLOP">
    <w:name w:val="FoF/CoL/OP"/>
    <w:uiPriority w:val="99"/>
    <w:rsid w:val="00635688"/>
    <w:pPr>
      <w:numPr>
        <w:numId w:val="11"/>
      </w:numPr>
    </w:pPr>
  </w:style>
  <w:style w:type="paragraph" w:customStyle="1" w:styleId="OP">
    <w:name w:val="OP"/>
    <w:basedOn w:val="Standard"/>
    <w:uiPriority w:val="8"/>
    <w:qFormat/>
    <w:rsid w:val="003845B0"/>
    <w:pPr>
      <w:numPr>
        <w:numId w:val="16"/>
      </w:numPr>
      <w:tabs>
        <w:tab w:val="left" w:pos="720"/>
      </w:tabs>
    </w:pPr>
  </w:style>
  <w:style w:type="paragraph" w:styleId="TOC2">
    <w:name w:val="toc 2"/>
    <w:basedOn w:val="Normal"/>
    <w:next w:val="Normal"/>
    <w:uiPriority w:val="39"/>
    <w:unhideWhenUsed/>
    <w:rsid w:val="003845B0"/>
    <w:pPr>
      <w:ind w:left="864" w:right="720" w:hanging="648"/>
    </w:pPr>
    <w:rPr>
      <w:rFonts w:ascii="Book Antiqua" w:eastAsiaTheme="minorEastAsia" w:hAnsi="Book Antiqua"/>
      <w:szCs w:val="22"/>
    </w:rPr>
  </w:style>
  <w:style w:type="paragraph" w:styleId="TOC3">
    <w:name w:val="toc 3"/>
    <w:basedOn w:val="Normal"/>
    <w:next w:val="Normal"/>
    <w:uiPriority w:val="39"/>
    <w:unhideWhenUsed/>
    <w:rsid w:val="003845B0"/>
    <w:pPr>
      <w:ind w:left="1296" w:right="720" w:hanging="864"/>
    </w:pPr>
    <w:rPr>
      <w:rFonts w:ascii="Book Antiqua" w:eastAsiaTheme="minorEastAsia" w:hAnsi="Book Antiqua"/>
      <w:szCs w:val="22"/>
    </w:rPr>
  </w:style>
  <w:style w:type="paragraph" w:customStyle="1" w:styleId="BlockQuote">
    <w:name w:val="Block Quote"/>
    <w:basedOn w:val="Standard"/>
    <w:uiPriority w:val="5"/>
    <w:qFormat/>
    <w:rsid w:val="008F52A6"/>
    <w:pPr>
      <w:spacing w:after="120" w:line="240" w:lineRule="auto"/>
      <w:ind w:left="720" w:right="720" w:firstLine="0"/>
    </w:pPr>
  </w:style>
  <w:style w:type="paragraph" w:customStyle="1" w:styleId="CoL">
    <w:name w:val="CoL"/>
    <w:basedOn w:val="Standard"/>
    <w:uiPriority w:val="7"/>
    <w:qFormat/>
    <w:rsid w:val="003845B0"/>
    <w:pPr>
      <w:numPr>
        <w:numId w:val="13"/>
      </w:numPr>
      <w:tabs>
        <w:tab w:val="left" w:pos="720"/>
      </w:tabs>
    </w:pPr>
  </w:style>
  <w:style w:type="paragraph" w:customStyle="1" w:styleId="FoF">
    <w:name w:val="FoF"/>
    <w:basedOn w:val="Standard"/>
    <w:uiPriority w:val="6"/>
    <w:qFormat/>
    <w:rsid w:val="009156C6"/>
    <w:pPr>
      <w:numPr>
        <w:numId w:val="14"/>
      </w:numPr>
      <w:tabs>
        <w:tab w:val="left" w:pos="720"/>
      </w:tabs>
    </w:pPr>
  </w:style>
  <w:style w:type="character" w:customStyle="1" w:styleId="Heading2Char">
    <w:name w:val="Heading 2 Char"/>
    <w:basedOn w:val="DefaultParagraphFont"/>
    <w:link w:val="Heading2"/>
    <w:uiPriority w:val="4"/>
    <w:rsid w:val="008F52A6"/>
    <w:rPr>
      <w:rFonts w:ascii="Arial" w:eastAsiaTheme="minorHAnsi" w:hAnsi="Arial" w:cs="Arial"/>
      <w:b/>
      <w:sz w:val="26"/>
      <w:szCs w:val="26"/>
    </w:rPr>
  </w:style>
  <w:style w:type="character" w:customStyle="1" w:styleId="Heading3Char">
    <w:name w:val="Heading 3 Char"/>
    <w:basedOn w:val="DefaultParagraphFont"/>
    <w:link w:val="Heading3"/>
    <w:uiPriority w:val="4"/>
    <w:rsid w:val="008F52A6"/>
    <w:rPr>
      <w:rFonts w:ascii="Arial" w:eastAsiaTheme="majorEastAsia" w:hAnsi="Arial" w:cstheme="majorBidi"/>
      <w:b/>
      <w:sz w:val="26"/>
      <w:szCs w:val="24"/>
    </w:rPr>
  </w:style>
  <w:style w:type="character" w:customStyle="1" w:styleId="Heading4Char">
    <w:name w:val="Heading 4 Char"/>
    <w:basedOn w:val="DefaultParagraphFont"/>
    <w:link w:val="Heading4"/>
    <w:uiPriority w:val="4"/>
    <w:rsid w:val="008F52A6"/>
    <w:rPr>
      <w:rFonts w:ascii="Arial" w:eastAsiaTheme="majorEastAsia" w:hAnsi="Arial" w:cstheme="majorBidi"/>
      <w:b/>
      <w:iCs/>
      <w:sz w:val="26"/>
      <w:szCs w:val="26"/>
    </w:rPr>
  </w:style>
  <w:style w:type="character" w:customStyle="1" w:styleId="Heading5Char">
    <w:name w:val="Heading 5 Char"/>
    <w:basedOn w:val="DefaultParagraphFont"/>
    <w:link w:val="Heading5"/>
    <w:uiPriority w:val="4"/>
    <w:rsid w:val="008F52A6"/>
    <w:rPr>
      <w:rFonts w:ascii="Arial" w:eastAsiaTheme="majorEastAsia" w:hAnsi="Arial" w:cstheme="majorBidi"/>
      <w:b/>
      <w:sz w:val="26"/>
      <w:szCs w:val="26"/>
    </w:rPr>
  </w:style>
  <w:style w:type="paragraph" w:customStyle="1" w:styleId="Main0">
    <w:name w:val="Main"/>
    <w:next w:val="Normal"/>
    <w:uiPriority w:val="19"/>
    <w:rsid w:val="008F52A6"/>
    <w:pPr>
      <w:jc w:val="center"/>
    </w:pPr>
    <w:rPr>
      <w:rFonts w:ascii="Arial" w:eastAsiaTheme="majorEastAsia" w:hAnsi="Arial" w:cstheme="majorBidi"/>
      <w:b/>
      <w:caps/>
      <w:sz w:val="26"/>
      <w:szCs w:val="56"/>
    </w:rPr>
  </w:style>
  <w:style w:type="paragraph" w:customStyle="1" w:styleId="Mainex0">
    <w:name w:val="Mainex"/>
    <w:basedOn w:val="Main0"/>
    <w:next w:val="Normal"/>
    <w:uiPriority w:val="19"/>
    <w:rsid w:val="008F52A6"/>
    <w:pPr>
      <w:keepNext/>
      <w:spacing w:line="360" w:lineRule="auto"/>
      <w:outlineLvl w:val="0"/>
    </w:pPr>
    <w:rPr>
      <w:spacing w:val="120"/>
    </w:rPr>
  </w:style>
  <w:style w:type="paragraph" w:styleId="TOC5">
    <w:name w:val="toc 5"/>
    <w:basedOn w:val="Normal"/>
    <w:next w:val="Normal"/>
    <w:autoRedefine/>
    <w:uiPriority w:val="39"/>
    <w:unhideWhenUsed/>
    <w:rsid w:val="003845B0"/>
    <w:pPr>
      <w:ind w:left="2160" w:right="720" w:hanging="1296"/>
    </w:pPr>
    <w:rPr>
      <w:rFonts w:ascii="Book Antiqua" w:eastAsiaTheme="minorHAnsi" w:hAnsi="Book Antiqua" w:cstheme="minorBidi"/>
      <w:szCs w:val="22"/>
    </w:rPr>
  </w:style>
  <w:style w:type="paragraph" w:styleId="TOC6">
    <w:name w:val="toc 6"/>
    <w:basedOn w:val="Normal"/>
    <w:next w:val="Normal"/>
    <w:autoRedefine/>
    <w:uiPriority w:val="39"/>
    <w:unhideWhenUsed/>
    <w:rsid w:val="003845B0"/>
    <w:pPr>
      <w:ind w:left="2592" w:right="720" w:hanging="1512"/>
    </w:pPr>
    <w:rPr>
      <w:rFonts w:ascii="Book Antiqua" w:eastAsiaTheme="minorHAnsi" w:hAnsi="Book Antiqua" w:cstheme="minorBidi"/>
      <w:szCs w:val="22"/>
    </w:rPr>
  </w:style>
  <w:style w:type="paragraph" w:customStyle="1" w:styleId="Dummy0">
    <w:name w:val="Dummy"/>
    <w:next w:val="Normal"/>
    <w:uiPriority w:val="19"/>
    <w:rsid w:val="008F52A6"/>
    <w:pPr>
      <w:keepNext/>
      <w:keepLines/>
      <w:spacing w:after="120"/>
      <w:outlineLvl w:val="0"/>
    </w:pPr>
    <w:rPr>
      <w:rFonts w:ascii="Arial" w:eastAsiaTheme="minorHAnsi" w:hAnsi="Arial" w:cs="Arial"/>
      <w:b/>
      <w:sz w:val="26"/>
      <w:szCs w:val="26"/>
    </w:rPr>
  </w:style>
  <w:style w:type="table" w:customStyle="1" w:styleId="TableGrid11">
    <w:name w:val="Table Grid11"/>
    <w:basedOn w:val="TableNormal"/>
    <w:next w:val="TableGrid"/>
    <w:uiPriority w:val="39"/>
    <w:rsid w:val="00E30A2A"/>
    <w:rPr>
      <w:rFonts w:ascii="Calibri" w:eastAsia="Calibri" w:hAnsi="Calibri"/>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E30A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5619602">
      <w:bodyDiv w:val="1"/>
      <w:marLeft w:val="0"/>
      <w:marRight w:val="0"/>
      <w:marTop w:val="0"/>
      <w:marBottom w:val="0"/>
      <w:divBdr>
        <w:top w:val="none" w:sz="0" w:space="0" w:color="auto"/>
        <w:left w:val="none" w:sz="0" w:space="0" w:color="auto"/>
        <w:bottom w:val="none" w:sz="0" w:space="0" w:color="auto"/>
        <w:right w:val="none" w:sz="0" w:space="0" w:color="auto"/>
      </w:divBdr>
    </w:div>
    <w:div w:id="410350271">
      <w:bodyDiv w:val="1"/>
      <w:marLeft w:val="0"/>
      <w:marRight w:val="0"/>
      <w:marTop w:val="0"/>
      <w:marBottom w:val="0"/>
      <w:divBdr>
        <w:top w:val="none" w:sz="0" w:space="0" w:color="auto"/>
        <w:left w:val="none" w:sz="0" w:space="0" w:color="auto"/>
        <w:bottom w:val="none" w:sz="0" w:space="0" w:color="auto"/>
        <w:right w:val="none" w:sz="0" w:space="0" w:color="auto"/>
      </w:divBdr>
    </w:div>
    <w:div w:id="454567586">
      <w:bodyDiv w:val="1"/>
      <w:marLeft w:val="0"/>
      <w:marRight w:val="0"/>
      <w:marTop w:val="0"/>
      <w:marBottom w:val="0"/>
      <w:divBdr>
        <w:top w:val="none" w:sz="0" w:space="0" w:color="auto"/>
        <w:left w:val="none" w:sz="0" w:space="0" w:color="auto"/>
        <w:bottom w:val="none" w:sz="0" w:space="0" w:color="auto"/>
        <w:right w:val="none" w:sz="0" w:space="0" w:color="auto"/>
      </w:divBdr>
    </w:div>
    <w:div w:id="493422488">
      <w:bodyDiv w:val="1"/>
      <w:marLeft w:val="0"/>
      <w:marRight w:val="0"/>
      <w:marTop w:val="0"/>
      <w:marBottom w:val="0"/>
      <w:divBdr>
        <w:top w:val="none" w:sz="0" w:space="0" w:color="auto"/>
        <w:left w:val="none" w:sz="0" w:space="0" w:color="auto"/>
        <w:bottom w:val="none" w:sz="0" w:space="0" w:color="auto"/>
        <w:right w:val="none" w:sz="0" w:space="0" w:color="auto"/>
      </w:divBdr>
    </w:div>
    <w:div w:id="621497309">
      <w:bodyDiv w:val="1"/>
      <w:marLeft w:val="0"/>
      <w:marRight w:val="0"/>
      <w:marTop w:val="0"/>
      <w:marBottom w:val="0"/>
      <w:divBdr>
        <w:top w:val="none" w:sz="0" w:space="0" w:color="auto"/>
        <w:left w:val="none" w:sz="0" w:space="0" w:color="auto"/>
        <w:bottom w:val="none" w:sz="0" w:space="0" w:color="auto"/>
        <w:right w:val="none" w:sz="0" w:space="0" w:color="auto"/>
      </w:divBdr>
    </w:div>
    <w:div w:id="969431988">
      <w:bodyDiv w:val="1"/>
      <w:marLeft w:val="0"/>
      <w:marRight w:val="0"/>
      <w:marTop w:val="0"/>
      <w:marBottom w:val="0"/>
      <w:divBdr>
        <w:top w:val="none" w:sz="0" w:space="0" w:color="auto"/>
        <w:left w:val="none" w:sz="0" w:space="0" w:color="auto"/>
        <w:bottom w:val="none" w:sz="0" w:space="0" w:color="auto"/>
        <w:right w:val="none" w:sz="0" w:space="0" w:color="auto"/>
      </w:divBdr>
    </w:div>
    <w:div w:id="972515066">
      <w:bodyDiv w:val="1"/>
      <w:marLeft w:val="0"/>
      <w:marRight w:val="0"/>
      <w:marTop w:val="0"/>
      <w:marBottom w:val="0"/>
      <w:divBdr>
        <w:top w:val="none" w:sz="0" w:space="0" w:color="auto"/>
        <w:left w:val="none" w:sz="0" w:space="0" w:color="auto"/>
        <w:bottom w:val="none" w:sz="0" w:space="0" w:color="auto"/>
        <w:right w:val="none" w:sz="0" w:space="0" w:color="auto"/>
      </w:divBdr>
    </w:div>
    <w:div w:id="1030106028">
      <w:bodyDiv w:val="1"/>
      <w:marLeft w:val="0"/>
      <w:marRight w:val="0"/>
      <w:marTop w:val="0"/>
      <w:marBottom w:val="0"/>
      <w:divBdr>
        <w:top w:val="none" w:sz="0" w:space="0" w:color="auto"/>
        <w:left w:val="none" w:sz="0" w:space="0" w:color="auto"/>
        <w:bottom w:val="none" w:sz="0" w:space="0" w:color="auto"/>
        <w:right w:val="none" w:sz="0" w:space="0" w:color="auto"/>
      </w:divBdr>
    </w:div>
    <w:div w:id="1046493772">
      <w:bodyDiv w:val="1"/>
      <w:marLeft w:val="0"/>
      <w:marRight w:val="0"/>
      <w:marTop w:val="0"/>
      <w:marBottom w:val="0"/>
      <w:divBdr>
        <w:top w:val="none" w:sz="0" w:space="0" w:color="auto"/>
        <w:left w:val="none" w:sz="0" w:space="0" w:color="auto"/>
        <w:bottom w:val="none" w:sz="0" w:space="0" w:color="auto"/>
        <w:right w:val="none" w:sz="0" w:space="0" w:color="auto"/>
      </w:divBdr>
    </w:div>
    <w:div w:id="1169756665">
      <w:bodyDiv w:val="1"/>
      <w:marLeft w:val="0"/>
      <w:marRight w:val="0"/>
      <w:marTop w:val="0"/>
      <w:marBottom w:val="0"/>
      <w:divBdr>
        <w:top w:val="none" w:sz="0" w:space="0" w:color="auto"/>
        <w:left w:val="none" w:sz="0" w:space="0" w:color="auto"/>
        <w:bottom w:val="none" w:sz="0" w:space="0" w:color="auto"/>
        <w:right w:val="none" w:sz="0" w:space="0" w:color="auto"/>
      </w:divBdr>
    </w:div>
    <w:div w:id="1810398161">
      <w:bodyDiv w:val="1"/>
      <w:marLeft w:val="0"/>
      <w:marRight w:val="0"/>
      <w:marTop w:val="0"/>
      <w:marBottom w:val="0"/>
      <w:divBdr>
        <w:top w:val="none" w:sz="0" w:space="0" w:color="auto"/>
        <w:left w:val="none" w:sz="0" w:space="0" w:color="auto"/>
        <w:bottom w:val="none" w:sz="0" w:space="0" w:color="auto"/>
        <w:right w:val="none" w:sz="0" w:space="0" w:color="auto"/>
      </w:divBdr>
    </w:div>
    <w:div w:id="2039546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mailto:cdcompliance@cpuc.ca.gov" TargetMode="External"/><Relationship Id="rId26" Type="http://schemas.openxmlformats.org/officeDocument/2006/relationships/hyperlink" Target="https://www.cpuc.ca.gov/industries-and-topics/internet-and-phone" TargetMode="External"/><Relationship Id="rId39" Type="http://schemas.openxmlformats.org/officeDocument/2006/relationships/hyperlink" Target="mailto:cdcompliance@cpuca.ca.gov" TargetMode="External"/><Relationship Id="rId21" Type="http://schemas.openxmlformats.org/officeDocument/2006/relationships/hyperlink" Target="mailto:cdcompliance@cpuc.ca.gov" TargetMode="External"/><Relationship Id="rId34" Type="http://schemas.openxmlformats.org/officeDocument/2006/relationships/hyperlink" Target="mailto:cdcompliance@cpuc.ca.gov" TargetMode="External"/><Relationship Id="rId42" Type="http://schemas.openxmlformats.org/officeDocument/2006/relationships/hyperlink" Target="mailto:cdcompliance@cpuc.ca.gov" TargetMode="External"/><Relationship Id="rId47"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footer" Target="footer4.xml"/><Relationship Id="rId29" Type="http://schemas.openxmlformats.org/officeDocument/2006/relationships/hyperlink" Target="https://www.cpuc.ca.gov/industries-and-topics/internet-and-phone/telecommunications-surcharges-and-user-fees/surcharge-rat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footer" Target="footer5.xml"/><Relationship Id="rId32" Type="http://schemas.openxmlformats.org/officeDocument/2006/relationships/hyperlink" Target="mailto:cdcompliance@cpuc.ca.gov" TargetMode="External"/><Relationship Id="rId37" Type="http://schemas.openxmlformats.org/officeDocument/2006/relationships/hyperlink" Target="mailto:cdcompliance@cpuc.ca.gov" TargetMode="External"/><Relationship Id="rId40" Type="http://schemas.openxmlformats.org/officeDocument/2006/relationships/footer" Target="footer9.xml"/><Relationship Id="rId45" Type="http://schemas.openxmlformats.org/officeDocument/2006/relationships/footer" Target="footer11.xml"/><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hyperlink" Target="mailto:cdcompliance@cpuc.ca.gov" TargetMode="External"/><Relationship Id="rId28" Type="http://schemas.openxmlformats.org/officeDocument/2006/relationships/hyperlink" Target="mailto:Telcosurcharge@cpuc.ca.gov" TargetMode="External"/><Relationship Id="rId36" Type="http://schemas.openxmlformats.org/officeDocument/2006/relationships/footer" Target="footer8.xml"/><Relationship Id="rId10" Type="http://schemas.openxmlformats.org/officeDocument/2006/relationships/endnotes" Target="endnotes.xml"/><Relationship Id="rId19" Type="http://schemas.openxmlformats.org/officeDocument/2006/relationships/hyperlink" Target="mailto:cdcompliance@cpuc.ca.gov" TargetMode="External"/><Relationship Id="rId31" Type="http://schemas.openxmlformats.org/officeDocument/2006/relationships/hyperlink" Target="https://www.cpuc.ca.gov/industries-and-topics/internet-and-phone/telecommunications-surcharges-and-user-fees/user-fee-rates" TargetMode="External"/><Relationship Id="rId44" Type="http://schemas.openxmlformats.org/officeDocument/2006/relationships/hyperlink" Target="mailto:cdcompliance@cpuca.ca.gov"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yperlink" Target="mailto:cdcompliance@cpuc.ca.gov" TargetMode="External"/><Relationship Id="rId27" Type="http://schemas.openxmlformats.org/officeDocument/2006/relationships/hyperlink" Target="https://www.cpuc.ca.gov/industries-and-topics/internet-and-phone/telecommunications-surcharges-and-user-fees" TargetMode="External"/><Relationship Id="rId30" Type="http://schemas.openxmlformats.org/officeDocument/2006/relationships/hyperlink" Target="mailto:userfees@cpuc.ca.gov" TargetMode="External"/><Relationship Id="rId35" Type="http://schemas.openxmlformats.org/officeDocument/2006/relationships/footer" Target="footer7.xml"/><Relationship Id="rId43" Type="http://schemas.openxmlformats.org/officeDocument/2006/relationships/hyperlink" Target="https://www.cpuc.ca.gov/industries-and-topics/internet-and-phone/carrier-reporting-requirements/annual-report-forms"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hyperlink" Target="mailto:cdcompliance@cpuc.ca.gov" TargetMode="External"/><Relationship Id="rId25" Type="http://schemas.openxmlformats.org/officeDocument/2006/relationships/footer" Target="footer6.xml"/><Relationship Id="rId33" Type="http://schemas.openxmlformats.org/officeDocument/2006/relationships/hyperlink" Target="https://www.cpuc.ca.gov/industries-and-topics/internet-and-phone/carrier-reporting-requirements/performance-bond-requirements" TargetMode="External"/><Relationship Id="rId38" Type="http://schemas.openxmlformats.org/officeDocument/2006/relationships/hyperlink" Target="https://www.cpuc.ca.gov/industries-and-topics/internet-and-phone/carrier-reporting-requirements/annual-report-forms" TargetMode="External"/><Relationship Id="rId46" Type="http://schemas.openxmlformats.org/officeDocument/2006/relationships/fontTable" Target="fontTable.xml"/><Relationship Id="rId20" Type="http://schemas.openxmlformats.org/officeDocument/2006/relationships/hyperlink" Target="mailto:cdcompliance@cpuc.ca.gov" TargetMode="External"/><Relationship Id="rId41" Type="http://schemas.openxmlformats.org/officeDocument/2006/relationships/footer" Target="footer10.xml"/></Relationships>
</file>

<file path=word/_rels/footnotes.xml.rels><?xml version="1.0" encoding="UTF-8" standalone="yes"?>
<Relationships xmlns="http://schemas.openxmlformats.org/package/2006/relationships"><Relationship Id="rId1" Type="http://schemas.openxmlformats.org/officeDocument/2006/relationships/hyperlink" Target="https://www.cpuc.ca.gov/-/media/cpuc-website/divisions/communications-division/documents/licensing-compliance/annual-reporting-requirements/annual-affiliate-transaction-report-form_.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24cfdaa-3f84-4543-8006-7aafcb05bc28">
      <Terms xmlns="http://schemas.microsoft.com/office/infopath/2007/PartnerControls"/>
    </lcf76f155ced4ddcb4097134ff3c332f>
    <TaxCatchAll xmlns="3c51fd4b-b0a8-4cee-8b97-77eacc5af0f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67D49496411704C98823D97BD8A3AEF" ma:contentTypeVersion="14" ma:contentTypeDescription="Create a new document." ma:contentTypeScope="" ma:versionID="d2703073306d5580334c62ea5ad32ce3">
  <xsd:schema xmlns:xsd="http://www.w3.org/2001/XMLSchema" xmlns:xs="http://www.w3.org/2001/XMLSchema" xmlns:p="http://schemas.microsoft.com/office/2006/metadata/properties" xmlns:ns2="a24cfdaa-3f84-4543-8006-7aafcb05bc28" xmlns:ns3="3c51fd4b-b0a8-4cee-8b97-77eacc5af0f7" targetNamespace="http://schemas.microsoft.com/office/2006/metadata/properties" ma:root="true" ma:fieldsID="44a080ad2b9e49d8101d8ffcdaa77985" ns2:_="" ns3:_="">
    <xsd:import namespace="a24cfdaa-3f84-4543-8006-7aafcb05bc28"/>
    <xsd:import namespace="3c51fd4b-b0a8-4cee-8b97-77eacc5af0f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4cfdaa-3f84-4543-8006-7aafcb05bc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58c64cc-ee56-435d-b6d0-239f1a5e0d97"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c51fd4b-b0a8-4cee-8b97-77eacc5af0f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d313bba-19fc-4463-aea9-079b48bf6d0f}" ma:internalName="TaxCatchAll" ma:showField="CatchAllData" ma:web="3c51fd4b-b0a8-4cee-8b97-77eacc5af0f7">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5D21188-3527-4842-B2CD-BF432BAEF6A3}">
  <ds:schemaRefs>
    <ds:schemaRef ds:uri="http://schemas.openxmlformats.org/officeDocument/2006/bibliography"/>
  </ds:schemaRefs>
</ds:datastoreItem>
</file>

<file path=customXml/itemProps2.xml><?xml version="1.0" encoding="utf-8"?>
<ds:datastoreItem xmlns:ds="http://schemas.openxmlformats.org/officeDocument/2006/customXml" ds:itemID="{37983A98-DDD7-4374-8977-8F79133B778A}">
  <ds:schemaRefs>
    <ds:schemaRef ds:uri="http://schemas.microsoft.com/office/2006/metadata/properties"/>
    <ds:schemaRef ds:uri="http://schemas.microsoft.com/office/infopath/2007/PartnerControls"/>
    <ds:schemaRef ds:uri="a24cfdaa-3f84-4543-8006-7aafcb05bc28"/>
    <ds:schemaRef ds:uri="3c51fd4b-b0a8-4cee-8b97-77eacc5af0f7"/>
  </ds:schemaRefs>
</ds:datastoreItem>
</file>

<file path=customXml/itemProps3.xml><?xml version="1.0" encoding="utf-8"?>
<ds:datastoreItem xmlns:ds="http://schemas.openxmlformats.org/officeDocument/2006/customXml" ds:itemID="{FE443E1C-9151-477C-9282-3795347FE6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4cfdaa-3f84-4543-8006-7aafcb05bc28"/>
    <ds:schemaRef ds:uri="3c51fd4b-b0a8-4cee-8b97-77eacc5af0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8178710-1755-48EE-B958-B89B2F3FEE80}">
  <ds:schemaRefs>
    <ds:schemaRef ds:uri="http://schemas.microsoft.com/sharepoint/v3/contenttype/forms"/>
  </ds:schemaRefs>
</ds:datastoreItem>
</file>

<file path=docProps/app.xml><?xml version="1.0" encoding="utf-8"?>
<ap:Properties xmlns:vt="http://schemas.openxmlformats.org/officeDocument/2006/docPropsVTypes" xmlns:ap="http://schemas.openxmlformats.org/officeDocument/2006/extended-properties">
  <ap:Template>Normal.dotm</ap:Template>
  <ap:TotalTime>0</ap:TotalTime>
  <ap:Pages>39</ap:Pages>
  <ap:Words>7691</ap:Words>
  <ap:Characters>47935</ap:Characters>
  <ap:Application>Microsoft Office Word</ap:Application>
  <ap:DocSecurity>0</ap:DocSecurity>
  <ap:Lines>399</ap:Lines>
  <ap:Paragraphs>111</ap:Paragraphs>
  <ap:ScaleCrop>false</ap:ScaleCrop>
  <ap:HeadingPairs>
    <vt:vector baseType="variant" size="2">
      <vt:variant>
        <vt:lpstr>Title</vt:lpstr>
      </vt:variant>
      <vt:variant>
        <vt:i4>1</vt:i4>
      </vt:variant>
    </vt:vector>
  </ap:HeadingPairs>
  <ap:TitlesOfParts>
    <vt:vector baseType="lpstr" size="1">
      <vt:lpstr/>
    </vt:vector>
  </ap:TitlesOfParts>
  <ap:Company/>
  <ap:LinksUpToDate>false</ap:LinksUpToDate>
  <ap:CharactersWithSpaces>55515</ap:CharactersWithSpaces>
  <ap:SharedDoc>false</ap:SharedDoc>
  <ap:HyperlinksChanged>false</ap:HyperlinksChanged>
  <ap:AppVersion>12.0000</ap:AppVers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lastPrinted>2025-03-11T16:23:00Z</cp:lastPrinted>
  <dcterms:created xsi:type="dcterms:W3CDTF">2025-03-14T11:17:58Z</dcterms:created>
  <dcterms:modified xsi:type="dcterms:W3CDTF">2025-03-14T11:17:58Z</dcterms:modified>
</cp:coreProperties>
</file>