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0545" w:rsidR="00D50545" w:rsidP="007C48C8" w:rsidRDefault="00D50545" w14:paraId="017C0F43" w14:textId="123842CA">
      <w:pPr>
        <w:suppressAutoHyphens/>
        <w:rPr>
          <w:b/>
          <w:bCs/>
          <w:color w:val="000000"/>
        </w:rPr>
      </w:pPr>
      <w:r>
        <w:rPr>
          <w:color w:val="000000"/>
        </w:rPr>
        <w:t>ALJ/JR7/JOR/hma</w:t>
      </w:r>
      <w:r>
        <w:rPr>
          <w:color w:val="000000"/>
        </w:rPr>
        <w:tab/>
      </w:r>
      <w:r>
        <w:rPr>
          <w:color w:val="000000"/>
        </w:rPr>
        <w:tab/>
      </w:r>
      <w:r>
        <w:rPr>
          <w:color w:val="000000"/>
        </w:rPr>
        <w:tab/>
      </w:r>
      <w:r w:rsidR="007C48C8">
        <w:rPr>
          <w:b/>
          <w:bCs/>
          <w:color w:val="000000"/>
        </w:rPr>
        <w:tab/>
      </w:r>
      <w:r w:rsidR="007C48C8">
        <w:rPr>
          <w:b/>
          <w:bCs/>
          <w:color w:val="000000"/>
        </w:rPr>
        <w:tab/>
      </w:r>
      <w:r w:rsidR="007C48C8">
        <w:rPr>
          <w:b/>
          <w:bCs/>
          <w:color w:val="000000"/>
        </w:rPr>
        <w:tab/>
      </w:r>
      <w:r w:rsidR="007C48C8">
        <w:rPr>
          <w:b/>
          <w:bCs/>
          <w:color w:val="000000"/>
        </w:rPr>
        <w:tab/>
        <w:t>Date of Issuance: 3/14/2025</w:t>
      </w:r>
    </w:p>
    <w:p w:rsidR="00375555" w:rsidRDefault="00375555" w14:paraId="44D2CA5B" w14:textId="77777777">
      <w:pPr>
        <w:suppressAutoHyphens/>
        <w:rPr>
          <w:color w:val="000000"/>
        </w:rPr>
      </w:pPr>
    </w:p>
    <w:p w:rsidR="00375555" w:rsidRDefault="00375555" w14:paraId="50C83D4A" w14:textId="77777777">
      <w:pPr>
        <w:suppressAutoHyphens/>
        <w:rPr>
          <w:color w:val="000000"/>
        </w:rPr>
      </w:pPr>
    </w:p>
    <w:p w:rsidR="007C48C8" w:rsidRDefault="007C48C8" w14:paraId="72FDAB5F" w14:textId="77777777">
      <w:pPr>
        <w:suppressAutoHyphens/>
        <w:rPr>
          <w:color w:val="000000"/>
        </w:rPr>
      </w:pPr>
    </w:p>
    <w:p w:rsidRPr="007C48C8" w:rsidR="00A92D0B" w:rsidRDefault="00A92D0B" w14:paraId="5BDA9FD4" w14:textId="2DE541C7">
      <w:pPr>
        <w:suppressAutoHyphens/>
        <w:rPr>
          <w:color w:val="000000"/>
        </w:rPr>
      </w:pPr>
      <w:r w:rsidRPr="002D28A6">
        <w:rPr>
          <w:color w:val="000000"/>
        </w:rPr>
        <w:t xml:space="preserve">Decision </w:t>
      </w:r>
      <w:r w:rsidRPr="007C48C8" w:rsidR="007C48C8">
        <w:rPr>
          <w:color w:val="000000"/>
        </w:rPr>
        <w:t>25-03-022 March 13, 2025</w:t>
      </w:r>
    </w:p>
    <w:p w:rsidRPr="002D28A6" w:rsidR="00A92D0B" w:rsidP="00D50545" w:rsidRDefault="00A92D0B" w14:paraId="44E03231" w14:textId="77777777">
      <w:pPr>
        <w:pStyle w:val="titlebar"/>
        <w:jc w:val="left"/>
        <w:rPr>
          <w:rFonts w:ascii="Times New Roman" w:hAnsi="Times New Roman"/>
          <w:color w:val="000000"/>
          <w:sz w:val="24"/>
          <w:szCs w:val="24"/>
        </w:rPr>
      </w:pPr>
    </w:p>
    <w:p w:rsidRPr="002D28A6" w:rsidR="00A92D0B" w:rsidRDefault="00A92D0B" w14:paraId="67F2520C" w14:textId="77777777">
      <w:pPr>
        <w:pStyle w:val="titlebar"/>
        <w:rPr>
          <w:rFonts w:ascii="Times New Roman" w:hAnsi="Times New Roman"/>
          <w:color w:val="000000"/>
          <w:sz w:val="24"/>
          <w:szCs w:val="24"/>
        </w:rPr>
      </w:pPr>
      <w:r w:rsidRPr="002D28A6">
        <w:rPr>
          <w:rFonts w:ascii="Times New Roman" w:hAnsi="Times New Roman"/>
          <w:color w:val="000000"/>
          <w:sz w:val="24"/>
          <w:szCs w:val="24"/>
        </w:rPr>
        <w:t>BEFORE THE PUBLIC UTILITIES COMMISSION OF THE STATE OF CALIFORNIA</w:t>
      </w:r>
    </w:p>
    <w:p w:rsidRPr="002D28A6" w:rsidR="00A92D0B" w:rsidRDefault="00A92D0B" w14:paraId="564284CD" w14:textId="77777777">
      <w:pPr>
        <w:suppressAutoHyphens/>
        <w:rPr>
          <w:color w:val="000000"/>
        </w:rPr>
      </w:pPr>
    </w:p>
    <w:tbl>
      <w:tblPr>
        <w:tblW w:w="9828"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5130"/>
        <w:gridCol w:w="4698"/>
      </w:tblGrid>
      <w:tr w:rsidRPr="002D28A6" w:rsidR="00A92D0B" w:rsidTr="0012159D" w14:paraId="3942D7B4" w14:textId="77777777">
        <w:tc>
          <w:tcPr>
            <w:tcW w:w="5130" w:type="dxa"/>
            <w:shd w:val="clear" w:color="auto" w:fill="auto"/>
          </w:tcPr>
          <w:p w:rsidR="00A92D0B" w:rsidRDefault="00D61430" w14:paraId="090A063B" w14:textId="77777777">
            <w:r w:rsidRPr="00A364A8">
              <w:t xml:space="preserve">Application of Pacific Gas and Electric Company for Authority, Among Other Things, to Increase Rates and Charges for Electric and Gas Service Effective on January 1, 2023. (U39M) </w:t>
            </w:r>
            <w:r>
              <w:t xml:space="preserve"> </w:t>
            </w:r>
          </w:p>
          <w:p w:rsidRPr="002D28A6" w:rsidR="0012159D" w:rsidRDefault="0012159D" w14:paraId="47850BD9" w14:textId="6A8F6393">
            <w:pPr>
              <w:rPr>
                <w:color w:val="000000"/>
              </w:rPr>
            </w:pPr>
          </w:p>
        </w:tc>
        <w:tc>
          <w:tcPr>
            <w:tcW w:w="4698" w:type="dxa"/>
            <w:tcBorders>
              <w:top w:val="nil"/>
              <w:bottom w:val="nil"/>
            </w:tcBorders>
            <w:shd w:val="clear" w:color="auto" w:fill="auto"/>
          </w:tcPr>
          <w:p w:rsidR="0012159D" w:rsidP="006202E2" w:rsidRDefault="0012159D" w14:paraId="369772CF" w14:textId="77777777">
            <w:pPr>
              <w:tabs>
                <w:tab w:val="left" w:pos="1440"/>
                <w:tab w:val="left" w:pos="3600"/>
              </w:tabs>
              <w:jc w:val="center"/>
              <w:rPr>
                <w:color w:val="000000"/>
              </w:rPr>
            </w:pPr>
          </w:p>
          <w:p w:rsidRPr="009747AC" w:rsidR="006202E2" w:rsidP="006202E2" w:rsidRDefault="006202E2" w14:paraId="4D4FFFCA" w14:textId="21E7042A">
            <w:pPr>
              <w:tabs>
                <w:tab w:val="left" w:pos="1440"/>
                <w:tab w:val="left" w:pos="3600"/>
              </w:tabs>
              <w:jc w:val="center"/>
              <w:rPr>
                <w:color w:val="000000"/>
              </w:rPr>
            </w:pPr>
            <w:r>
              <w:rPr>
                <w:color w:val="000000"/>
              </w:rPr>
              <w:t>Application 21</w:t>
            </w:r>
            <w:r w:rsidRPr="009747AC">
              <w:rPr>
                <w:color w:val="000000"/>
              </w:rPr>
              <w:t>-</w:t>
            </w:r>
            <w:r>
              <w:rPr>
                <w:color w:val="000000"/>
              </w:rPr>
              <w:t>06-021</w:t>
            </w:r>
          </w:p>
          <w:p w:rsidRPr="007F620E" w:rsidR="006202E2" w:rsidP="006202E2" w:rsidRDefault="006202E2" w14:paraId="1114C9CB" w14:textId="77777777">
            <w:pPr>
              <w:tabs>
                <w:tab w:val="left" w:pos="1440"/>
                <w:tab w:val="left" w:pos="3600"/>
              </w:tabs>
              <w:jc w:val="center"/>
              <w:rPr>
                <w:color w:val="000000"/>
              </w:rPr>
            </w:pPr>
            <w:r w:rsidRPr="009747AC">
              <w:rPr>
                <w:color w:val="000000"/>
              </w:rPr>
              <w:t>(</w:t>
            </w:r>
            <w:r>
              <w:rPr>
                <w:color w:val="000000"/>
              </w:rPr>
              <w:t>Filed</w:t>
            </w:r>
            <w:r w:rsidRPr="009747AC">
              <w:rPr>
                <w:color w:val="000000"/>
              </w:rPr>
              <w:t xml:space="preserve"> </w:t>
            </w:r>
            <w:r>
              <w:rPr>
                <w:color w:val="000000"/>
              </w:rPr>
              <w:t>June</w:t>
            </w:r>
            <w:r w:rsidRPr="009747AC">
              <w:rPr>
                <w:color w:val="000000"/>
              </w:rPr>
              <w:t xml:space="preserve"> </w:t>
            </w:r>
            <w:r>
              <w:rPr>
                <w:color w:val="000000"/>
              </w:rPr>
              <w:t>30, 2021</w:t>
            </w:r>
            <w:r w:rsidRPr="009747AC">
              <w:rPr>
                <w:color w:val="000000"/>
              </w:rPr>
              <w:t>)</w:t>
            </w:r>
          </w:p>
          <w:p w:rsidRPr="002D28A6" w:rsidR="00A92D0B" w:rsidRDefault="00A92D0B" w14:paraId="7EC7277D" w14:textId="77777777">
            <w:pPr>
              <w:jc w:val="center"/>
              <w:rPr>
                <w:color w:val="000000"/>
              </w:rPr>
            </w:pPr>
          </w:p>
        </w:tc>
      </w:tr>
    </w:tbl>
    <w:p w:rsidR="002820DF" w:rsidP="002820DF" w:rsidRDefault="002820DF" w14:paraId="01B907B2" w14:textId="77777777">
      <w:pPr>
        <w:suppressAutoHyphens/>
        <w:jc w:val="center"/>
        <w:rPr>
          <w:b/>
          <w:color w:val="000000"/>
        </w:rPr>
      </w:pPr>
    </w:p>
    <w:p w:rsidR="00A92D0B" w:rsidP="002820DF" w:rsidRDefault="002820DF" w14:paraId="4BEAFF75" w14:textId="7C19763C">
      <w:pPr>
        <w:suppressAutoHyphens/>
        <w:jc w:val="center"/>
        <w:rPr>
          <w:b/>
          <w:color w:val="000000"/>
        </w:rPr>
      </w:pPr>
      <w:r w:rsidRPr="002820DF">
        <w:rPr>
          <w:b/>
          <w:color w:val="000000"/>
        </w:rPr>
        <w:t xml:space="preserve">DECISION GRANTING COMPENSATION TO THE UTILITY REFORM NETWORK FOR SUBSTANTIAL CONTRIBUTION TO DECISION </w:t>
      </w:r>
      <w:r>
        <w:rPr>
          <w:b/>
          <w:color w:val="000000"/>
        </w:rPr>
        <w:t>24-07-008</w:t>
      </w:r>
    </w:p>
    <w:p w:rsidRPr="002D28A6" w:rsidR="002820DF" w:rsidP="002820DF" w:rsidRDefault="002820DF" w14:paraId="6C7ED1F1" w14:textId="77777777">
      <w:pPr>
        <w:suppressAutoHyphens/>
        <w:jc w:val="center"/>
        <w:rPr>
          <w:color w:val="000000"/>
        </w:rPr>
      </w:pP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963"/>
        <w:gridCol w:w="5932"/>
      </w:tblGrid>
      <w:tr w:rsidRPr="002D28A6" w:rsidR="00A92D0B" w:rsidTr="006E2590" w14:paraId="0FE98F62" w14:textId="77777777">
        <w:tc>
          <w:tcPr>
            <w:tcW w:w="3963" w:type="dxa"/>
            <w:shd w:val="clear" w:color="auto" w:fill="auto"/>
          </w:tcPr>
          <w:p w:rsidRPr="002D28A6" w:rsidR="00A92D0B" w:rsidP="00C47A2B" w:rsidRDefault="005A63D4" w14:paraId="11570D4A" w14:textId="7F0FF747">
            <w:pPr>
              <w:tabs>
                <w:tab w:val="left" w:pos="1620"/>
                <w:tab w:val="right" w:pos="4500"/>
              </w:tabs>
              <w:rPr>
                <w:color w:val="000000"/>
              </w:rPr>
            </w:pPr>
            <w:r w:rsidRPr="002D28A6">
              <w:rPr>
                <w:b/>
                <w:color w:val="000000"/>
              </w:rPr>
              <w:t>Intervenor</w:t>
            </w:r>
            <w:r w:rsidRPr="002D28A6" w:rsidR="00F63C29">
              <w:rPr>
                <w:b/>
                <w:color w:val="000000"/>
              </w:rPr>
              <w:t>:</w:t>
            </w:r>
            <w:r w:rsidRPr="002D28A6" w:rsidR="00691528">
              <w:rPr>
                <w:b/>
                <w:color w:val="000000"/>
              </w:rPr>
              <w:t xml:space="preserve"> </w:t>
            </w:r>
            <w:r w:rsidR="00B41D5F">
              <w:rPr>
                <w:b/>
                <w:color w:val="000000"/>
              </w:rPr>
              <w:t xml:space="preserve"> </w:t>
            </w:r>
            <w:r w:rsidRPr="00EF2C38" w:rsidR="00B41D5F">
              <w:rPr>
                <w:color w:val="000000"/>
              </w:rPr>
              <w:t>The Utility Reform Network</w:t>
            </w:r>
            <w:r w:rsidR="00B41D5F">
              <w:rPr>
                <w:color w:val="000000"/>
              </w:rPr>
              <w:t xml:space="preserve"> (“TURN”)</w:t>
            </w:r>
          </w:p>
        </w:tc>
        <w:tc>
          <w:tcPr>
            <w:tcW w:w="5932" w:type="dxa"/>
            <w:shd w:val="clear" w:color="auto" w:fill="auto"/>
          </w:tcPr>
          <w:p w:rsidRPr="002D28A6" w:rsidR="00A92D0B" w:rsidP="00C47A2B" w:rsidRDefault="00A92D0B" w14:paraId="53A584EE" w14:textId="2296DB0C">
            <w:pPr>
              <w:tabs>
                <w:tab w:val="left" w:pos="1872"/>
                <w:tab w:val="right" w:pos="3672"/>
              </w:tabs>
              <w:rPr>
                <w:b/>
                <w:color w:val="000000"/>
              </w:rPr>
            </w:pPr>
            <w:r w:rsidRPr="002D28A6">
              <w:rPr>
                <w:b/>
                <w:color w:val="000000"/>
              </w:rPr>
              <w:t>For contribution to D</w:t>
            </w:r>
            <w:r w:rsidRPr="002D28A6" w:rsidR="00DE3A5D">
              <w:rPr>
                <w:b/>
                <w:color w:val="000000"/>
              </w:rPr>
              <w:t xml:space="preserve">ecision (D.) </w:t>
            </w:r>
            <w:r w:rsidR="00BC7BDC">
              <w:rPr>
                <w:b/>
                <w:color w:val="000000"/>
              </w:rPr>
              <w:t>24-07-008</w:t>
            </w:r>
          </w:p>
        </w:tc>
      </w:tr>
      <w:tr w:rsidRPr="002D28A6" w:rsidR="00A92D0B" w:rsidTr="006E2590" w14:paraId="47003B8E" w14:textId="77777777">
        <w:tc>
          <w:tcPr>
            <w:tcW w:w="3963" w:type="dxa"/>
            <w:shd w:val="clear" w:color="auto" w:fill="auto"/>
          </w:tcPr>
          <w:p w:rsidRPr="002D28A6" w:rsidR="00A92D0B" w:rsidP="00C47A2B" w:rsidRDefault="00A92D0B" w14:paraId="0E2E4BD1" w14:textId="340D996F">
            <w:pPr>
              <w:tabs>
                <w:tab w:val="left" w:pos="1620"/>
                <w:tab w:val="right" w:pos="4500"/>
              </w:tabs>
              <w:rPr>
                <w:b/>
                <w:color w:val="000000"/>
                <w:u w:val="single"/>
              </w:rPr>
            </w:pPr>
            <w:r w:rsidRPr="002D28A6">
              <w:rPr>
                <w:b/>
                <w:color w:val="000000"/>
              </w:rPr>
              <w:t>Claimed:</w:t>
            </w:r>
            <w:r w:rsidRPr="002D28A6" w:rsidR="00F63C29">
              <w:rPr>
                <w:b/>
                <w:color w:val="000000"/>
              </w:rPr>
              <w:t xml:space="preserve"> </w:t>
            </w:r>
            <w:r w:rsidRPr="002D28A6" w:rsidR="002D21CA">
              <w:rPr>
                <w:b/>
                <w:color w:val="000000"/>
              </w:rPr>
              <w:t xml:space="preserve"> </w:t>
            </w:r>
            <w:r w:rsidRPr="0041308C" w:rsidR="00FC72B7">
              <w:rPr>
                <w:bCs/>
                <w:color w:val="000000"/>
              </w:rPr>
              <w:t>$</w:t>
            </w:r>
            <w:r w:rsidRPr="0041308C" w:rsidR="0041308C">
              <w:rPr>
                <w:bCs/>
                <w:iCs/>
                <w:color w:val="000000"/>
              </w:rPr>
              <w:t>182,766.25</w:t>
            </w:r>
          </w:p>
        </w:tc>
        <w:tc>
          <w:tcPr>
            <w:tcW w:w="5932" w:type="dxa"/>
            <w:tcBorders>
              <w:bottom w:val="single" w:color="auto" w:sz="4" w:space="0"/>
            </w:tcBorders>
            <w:shd w:val="clear" w:color="auto" w:fill="auto"/>
          </w:tcPr>
          <w:p w:rsidRPr="002D28A6" w:rsidR="00A92D0B" w:rsidP="00C47A2B" w:rsidRDefault="00A92D0B" w14:paraId="211F40A8" w14:textId="7E11CBDB">
            <w:pPr>
              <w:tabs>
                <w:tab w:val="left" w:pos="1872"/>
                <w:tab w:val="right" w:pos="3672"/>
              </w:tabs>
              <w:rPr>
                <w:b/>
                <w:color w:val="000000"/>
                <w:u w:val="single"/>
              </w:rPr>
            </w:pPr>
            <w:r w:rsidRPr="002D28A6">
              <w:rPr>
                <w:b/>
                <w:color w:val="000000"/>
              </w:rPr>
              <w:t>Awarded:</w:t>
            </w:r>
            <w:r w:rsidRPr="002D28A6" w:rsidR="00FC72B7">
              <w:rPr>
                <w:b/>
                <w:color w:val="000000"/>
              </w:rPr>
              <w:t xml:space="preserve">  </w:t>
            </w:r>
            <w:r w:rsidRPr="002820DF" w:rsidR="002820DF">
              <w:rPr>
                <w:b/>
                <w:color w:val="000000"/>
              </w:rPr>
              <w:t>$182,766.25</w:t>
            </w:r>
          </w:p>
        </w:tc>
      </w:tr>
      <w:tr w:rsidRPr="002D28A6" w:rsidR="00A92D0B" w:rsidTr="006E2590" w14:paraId="5C56877D" w14:textId="77777777">
        <w:tc>
          <w:tcPr>
            <w:tcW w:w="3963" w:type="dxa"/>
            <w:shd w:val="clear" w:color="auto" w:fill="auto"/>
          </w:tcPr>
          <w:p w:rsidRPr="002D28A6" w:rsidR="00A92D0B" w:rsidP="00C47A2B" w:rsidRDefault="00A92D0B" w14:paraId="6EF99E36" w14:textId="6F31A9A5">
            <w:pPr>
              <w:tabs>
                <w:tab w:val="left" w:pos="3060"/>
                <w:tab w:val="right" w:pos="4500"/>
              </w:tabs>
              <w:rPr>
                <w:color w:val="000000"/>
                <w:u w:val="single"/>
              </w:rPr>
            </w:pPr>
            <w:r w:rsidRPr="002D28A6">
              <w:rPr>
                <w:b/>
                <w:color w:val="000000"/>
              </w:rPr>
              <w:t xml:space="preserve">Assigned Commissioner: </w:t>
            </w:r>
            <w:r w:rsidR="00562ECC">
              <w:rPr>
                <w:b/>
                <w:color w:val="000000"/>
              </w:rPr>
              <w:t xml:space="preserve"> </w:t>
            </w:r>
            <w:r w:rsidR="00562ECC">
              <w:rPr>
                <w:color w:val="000000"/>
              </w:rPr>
              <w:t>John Reynolds</w:t>
            </w:r>
          </w:p>
        </w:tc>
        <w:tc>
          <w:tcPr>
            <w:tcW w:w="5932" w:type="dxa"/>
            <w:shd w:val="clear" w:color="auto" w:fill="auto"/>
          </w:tcPr>
          <w:p w:rsidRPr="002D28A6" w:rsidR="00A92D0B" w:rsidP="00C47A2B" w:rsidRDefault="00A92D0B" w14:paraId="79375F78" w14:textId="0FF39328">
            <w:pPr>
              <w:tabs>
                <w:tab w:val="left" w:pos="1872"/>
                <w:tab w:val="right" w:pos="3672"/>
              </w:tabs>
              <w:rPr>
                <w:color w:val="000000"/>
                <w:u w:val="single"/>
              </w:rPr>
            </w:pPr>
            <w:r w:rsidRPr="002D28A6">
              <w:rPr>
                <w:b/>
                <w:color w:val="000000"/>
              </w:rPr>
              <w:t>Assigned ALJ</w:t>
            </w:r>
            <w:r w:rsidR="00562ECC">
              <w:rPr>
                <w:b/>
                <w:color w:val="000000"/>
              </w:rPr>
              <w:t>s</w:t>
            </w:r>
            <w:r w:rsidRPr="002D28A6" w:rsidR="009B1C7F">
              <w:rPr>
                <w:b/>
                <w:color w:val="000000"/>
              </w:rPr>
              <w:t xml:space="preserve">: </w:t>
            </w:r>
            <w:r w:rsidRPr="009B1C7F" w:rsidR="009B1C7F">
              <w:rPr>
                <w:bCs/>
                <w:color w:val="000000"/>
              </w:rPr>
              <w:t>John</w:t>
            </w:r>
            <w:r w:rsidRPr="00235738" w:rsidR="00562ECC">
              <w:rPr>
                <w:bCs/>
                <w:color w:val="000000"/>
              </w:rPr>
              <w:t xml:space="preserve"> Larsen and Justin</w:t>
            </w:r>
            <w:r w:rsidRPr="00235738" w:rsidR="00235738">
              <w:rPr>
                <w:bCs/>
                <w:color w:val="000000"/>
              </w:rPr>
              <w:t xml:space="preserve"> Regnier</w:t>
            </w:r>
          </w:p>
        </w:tc>
      </w:tr>
    </w:tbl>
    <w:p w:rsidRPr="002D28A6" w:rsidR="00691528" w:rsidP="00055843" w:rsidRDefault="00A92D0B" w14:paraId="3CEED871" w14:textId="6F5D35B5">
      <w:pPr>
        <w:keepNext/>
        <w:spacing w:before="480"/>
        <w:jc w:val="center"/>
        <w:rPr>
          <w:b/>
          <w:color w:val="000000"/>
        </w:rPr>
      </w:pPr>
      <w:r w:rsidRPr="002D28A6">
        <w:rPr>
          <w:b/>
          <w:color w:val="000000"/>
        </w:rPr>
        <w:t>PART I</w:t>
      </w:r>
      <w:r w:rsidRPr="002D28A6" w:rsidR="0053513F">
        <w:rPr>
          <w:b/>
          <w:color w:val="000000"/>
        </w:rPr>
        <w:t>: PROCEDURAL</w:t>
      </w:r>
      <w:r w:rsidRPr="002D28A6">
        <w:rPr>
          <w:b/>
          <w:color w:val="000000"/>
        </w:rPr>
        <w:t xml:space="preserve"> ISSUES</w:t>
      </w:r>
    </w:p>
    <w:p w:rsidRPr="002D28A6" w:rsidR="00A92D0B" w:rsidP="00055843" w:rsidRDefault="00A92D0B" w14:paraId="37AA25BD" w14:textId="77777777">
      <w:pPr>
        <w:keepNext/>
        <w:rPr>
          <w:color w:val="000000"/>
        </w:rPr>
      </w:pP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87"/>
      </w:tblGrid>
      <w:tr w:rsidRPr="002D28A6" w:rsidR="00A92D0B" w:rsidTr="006E2590" w14:paraId="3C5C25ED" w14:textId="77777777">
        <w:tc>
          <w:tcPr>
            <w:tcW w:w="3708" w:type="dxa"/>
            <w:shd w:val="clear" w:color="auto" w:fill="auto"/>
          </w:tcPr>
          <w:p w:rsidRPr="002D28A6" w:rsidR="00A92D0B" w:rsidP="00915118" w:rsidRDefault="00A92D0B" w14:paraId="1576A0A6" w14:textId="77777777">
            <w:pPr>
              <w:rPr>
                <w:b/>
                <w:color w:val="000000"/>
              </w:rPr>
            </w:pPr>
            <w:r w:rsidRPr="002D28A6">
              <w:rPr>
                <w:b/>
                <w:color w:val="000000"/>
              </w:rPr>
              <w:t xml:space="preserve">A.  Brief </w:t>
            </w:r>
            <w:r w:rsidRPr="002D28A6" w:rsidR="00A319DE">
              <w:rPr>
                <w:b/>
                <w:color w:val="000000"/>
              </w:rPr>
              <w:t>d</w:t>
            </w:r>
            <w:r w:rsidRPr="002D28A6">
              <w:rPr>
                <w:b/>
                <w:color w:val="000000"/>
              </w:rPr>
              <w:t xml:space="preserve">escription of Decision: </w:t>
            </w:r>
          </w:p>
        </w:tc>
        <w:tc>
          <w:tcPr>
            <w:tcW w:w="6187" w:type="dxa"/>
            <w:shd w:val="clear" w:color="auto" w:fill="auto"/>
          </w:tcPr>
          <w:p w:rsidRPr="002D28A6" w:rsidR="00C02649" w:rsidP="002220E1" w:rsidRDefault="005C4288" w14:paraId="67B8ECAA" w14:textId="47DFF598">
            <w:pPr>
              <w:rPr>
                <w:color w:val="000000"/>
              </w:rPr>
            </w:pPr>
            <w:r>
              <w:rPr>
                <w:color w:val="000000"/>
              </w:rPr>
              <w:t xml:space="preserve">In D.24-07-008, </w:t>
            </w:r>
            <w:r w:rsidR="00B46EB8">
              <w:rPr>
                <w:color w:val="000000"/>
              </w:rPr>
              <w:t>the Commission implemented the provisions of Senate Bill (SB) 410 (Becker, 2023)</w:t>
            </w:r>
            <w:r w:rsidR="00A9208E">
              <w:rPr>
                <w:color w:val="000000"/>
              </w:rPr>
              <w:t xml:space="preserve"> related to a new ratemaking mechanism</w:t>
            </w:r>
            <w:r w:rsidR="00F70D32">
              <w:rPr>
                <w:color w:val="000000"/>
              </w:rPr>
              <w:t>, the “Electric Capacity and New Business Interim Memorandum Account</w:t>
            </w:r>
            <w:r w:rsidR="00E072B0">
              <w:rPr>
                <w:color w:val="000000"/>
              </w:rPr>
              <w:t>”</w:t>
            </w:r>
            <w:r w:rsidR="00F70D32">
              <w:rPr>
                <w:color w:val="000000"/>
              </w:rPr>
              <w:t xml:space="preserve"> (ECNBIMA),</w:t>
            </w:r>
            <w:r w:rsidR="00A9208E">
              <w:rPr>
                <w:color w:val="000000"/>
              </w:rPr>
              <w:t xml:space="preserve"> for tracking</w:t>
            </w:r>
            <w:r w:rsidR="001B713F">
              <w:rPr>
                <w:color w:val="000000"/>
              </w:rPr>
              <w:t xml:space="preserve"> costs for energization projects placed into service after January 1, 2024, that exceed the </w:t>
            </w:r>
            <w:r w:rsidR="00CD5C24">
              <w:rPr>
                <w:color w:val="000000"/>
              </w:rPr>
              <w:t>energization costs included in PG&amp;E’s annual general rate case (GRC) revenue requirement adopted in D.23-11-069.</w:t>
            </w:r>
            <w:r w:rsidR="00B947B2">
              <w:rPr>
                <w:color w:val="000000"/>
              </w:rPr>
              <w:t xml:space="preserve">  The Commission determined which </w:t>
            </w:r>
            <w:r w:rsidR="001C2447">
              <w:rPr>
                <w:color w:val="000000"/>
              </w:rPr>
              <w:t xml:space="preserve">costs may be tracked and recovered through annual advice letter, on an interim basis and subject to refund upon the Commission’s reasonableness review in PG&amp;E’s next GRC.  The Commission adopted a cap for </w:t>
            </w:r>
            <w:r w:rsidR="00B43E8B">
              <w:rPr>
                <w:color w:val="000000"/>
              </w:rPr>
              <w:t>interim cost recovery</w:t>
            </w:r>
            <w:r w:rsidR="00160B16">
              <w:rPr>
                <w:color w:val="000000"/>
              </w:rPr>
              <w:t xml:space="preserve"> for 2024, 2025, and 2026.  The Commission also adopted </w:t>
            </w:r>
            <w:r w:rsidR="00C7190B">
              <w:rPr>
                <w:color w:val="000000"/>
              </w:rPr>
              <w:t>requirements for the independent auditor required by SB 410</w:t>
            </w:r>
            <w:r w:rsidR="00E072B0">
              <w:rPr>
                <w:color w:val="000000"/>
              </w:rPr>
              <w:t>.  Finally, the Commission adopted</w:t>
            </w:r>
            <w:r w:rsidR="000E7758">
              <w:rPr>
                <w:color w:val="000000"/>
              </w:rPr>
              <w:t xml:space="preserve"> data collection and reporting requirements for PG&amp;E, and add</w:t>
            </w:r>
            <w:r w:rsidR="002E5CF2">
              <w:rPr>
                <w:color w:val="000000"/>
              </w:rPr>
              <w:t xml:space="preserve">ressed factors relevant to </w:t>
            </w:r>
            <w:r w:rsidR="00F70D32">
              <w:rPr>
                <w:color w:val="000000"/>
              </w:rPr>
              <w:t>the Commission’s reasonableness review of costs tracked in the new</w:t>
            </w:r>
            <w:r w:rsidR="00E072B0">
              <w:rPr>
                <w:color w:val="000000"/>
              </w:rPr>
              <w:t xml:space="preserve"> ECNBIMA.</w:t>
            </w:r>
            <w:r w:rsidR="00F70D32">
              <w:rPr>
                <w:color w:val="000000"/>
              </w:rPr>
              <w:t xml:space="preserve"> </w:t>
            </w:r>
          </w:p>
        </w:tc>
      </w:tr>
    </w:tbl>
    <w:p w:rsidRPr="002D28A6" w:rsidR="00A92D0B" w:rsidP="00880855" w:rsidRDefault="005A63D4" w14:paraId="2FBF046C" w14:textId="77777777">
      <w:pPr>
        <w:keepNext/>
        <w:numPr>
          <w:ilvl w:val="0"/>
          <w:numId w:val="5"/>
        </w:numPr>
        <w:spacing w:before="240" w:after="240"/>
        <w:rPr>
          <w:b/>
          <w:color w:val="000000"/>
        </w:rPr>
      </w:pPr>
      <w:r w:rsidRPr="002D28A6">
        <w:rPr>
          <w:b/>
          <w:color w:val="000000"/>
        </w:rPr>
        <w:lastRenderedPageBreak/>
        <w:t xml:space="preserve">Intervenor </w:t>
      </w:r>
      <w:r w:rsidRPr="002D28A6" w:rsidR="00A92D0B">
        <w:rPr>
          <w:b/>
          <w:color w:val="000000"/>
        </w:rPr>
        <w:t xml:space="preserve">must satisfy intervenor compensation </w:t>
      </w:r>
      <w:r w:rsidRPr="002D28A6" w:rsidR="00DE3A5D">
        <w:rPr>
          <w:b/>
          <w:color w:val="000000"/>
        </w:rPr>
        <w:t>requirements set forth in Pub. Util.</w:t>
      </w:r>
      <w:r w:rsidRPr="002D28A6" w:rsidR="00A92D0B">
        <w:rPr>
          <w:b/>
          <w:color w:val="000000"/>
        </w:rPr>
        <w:t xml:space="preserve"> Code §§ 1801-1812</w:t>
      </w:r>
      <w:r w:rsidRPr="002D28A6" w:rsidR="003B6A1B">
        <w:rPr>
          <w:rStyle w:val="FootnoteReference"/>
          <w:b/>
          <w:color w:val="000000"/>
        </w:rPr>
        <w:footnoteReference w:id="1"/>
      </w:r>
      <w:r w:rsidRPr="002D28A6" w:rsidR="00A92D0B">
        <w:rPr>
          <w:b/>
          <w:color w:val="000000"/>
        </w:rPr>
        <w:t>:</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811"/>
      </w:tblGrid>
      <w:tr w:rsidRPr="002D28A6" w:rsidR="00A92D0B" w:rsidTr="006E2590" w14:paraId="640CF70A" w14:textId="77777777">
        <w:trPr>
          <w:tblHeader/>
        </w:trPr>
        <w:tc>
          <w:tcPr>
            <w:tcW w:w="4817" w:type="dxa"/>
            <w:tcBorders>
              <w:bottom w:val="single" w:color="auto" w:sz="4" w:space="0"/>
            </w:tcBorders>
            <w:shd w:val="clear" w:color="auto" w:fill="auto"/>
          </w:tcPr>
          <w:p w:rsidRPr="002D28A6" w:rsidR="00A92D0B" w:rsidP="00F028C8" w:rsidRDefault="00A92D0B" w14:paraId="409E4D92" w14:textId="77777777">
            <w:pPr>
              <w:tabs>
                <w:tab w:val="left" w:pos="360"/>
              </w:tabs>
              <w:jc w:val="center"/>
              <w:rPr>
                <w:color w:val="000000"/>
              </w:rPr>
            </w:pPr>
          </w:p>
        </w:tc>
        <w:tc>
          <w:tcPr>
            <w:tcW w:w="2267" w:type="dxa"/>
            <w:tcBorders>
              <w:bottom w:val="single" w:color="auto" w:sz="4" w:space="0"/>
            </w:tcBorders>
            <w:shd w:val="clear" w:color="auto" w:fill="auto"/>
          </w:tcPr>
          <w:p w:rsidRPr="002D28A6" w:rsidR="00A92D0B" w:rsidP="00F028C8" w:rsidRDefault="005A63D4" w14:paraId="1412A3C6" w14:textId="77777777">
            <w:pPr>
              <w:tabs>
                <w:tab w:val="left" w:pos="360"/>
              </w:tabs>
              <w:jc w:val="center"/>
              <w:rPr>
                <w:b/>
                <w:color w:val="000000"/>
              </w:rPr>
            </w:pPr>
            <w:r w:rsidRPr="002D28A6">
              <w:rPr>
                <w:b/>
                <w:color w:val="000000"/>
              </w:rPr>
              <w:t>Intervenor</w:t>
            </w:r>
          </w:p>
        </w:tc>
        <w:tc>
          <w:tcPr>
            <w:tcW w:w="2811" w:type="dxa"/>
            <w:tcBorders>
              <w:bottom w:val="single" w:color="auto" w:sz="4" w:space="0"/>
            </w:tcBorders>
            <w:shd w:val="clear" w:color="auto" w:fill="auto"/>
          </w:tcPr>
          <w:p w:rsidRPr="002D28A6" w:rsidR="00A92D0B" w:rsidP="00F028C8" w:rsidRDefault="00A92D0B" w14:paraId="2A218C38" w14:textId="386C9A6A">
            <w:pPr>
              <w:tabs>
                <w:tab w:val="left" w:pos="360"/>
              </w:tabs>
              <w:jc w:val="center"/>
              <w:rPr>
                <w:b/>
                <w:color w:val="000000"/>
              </w:rPr>
            </w:pPr>
            <w:r w:rsidRPr="002D28A6">
              <w:rPr>
                <w:b/>
                <w:color w:val="000000"/>
              </w:rPr>
              <w:t xml:space="preserve">CPUC </w:t>
            </w:r>
            <w:r w:rsidRPr="002D28A6" w:rsidR="0081626F">
              <w:rPr>
                <w:b/>
                <w:color w:val="000000"/>
              </w:rPr>
              <w:t>Verification</w:t>
            </w:r>
          </w:p>
        </w:tc>
      </w:tr>
      <w:tr w:rsidRPr="002D28A6" w:rsidR="00A92D0B" w:rsidTr="006E2590" w14:paraId="7D83D00D" w14:textId="77777777">
        <w:tc>
          <w:tcPr>
            <w:tcW w:w="989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D28A6" w:rsidR="00A92D0B" w:rsidP="00F028C8" w:rsidRDefault="00A92D0B" w14:paraId="606E2B66" w14:textId="77777777">
            <w:pPr>
              <w:keepNext/>
              <w:tabs>
                <w:tab w:val="left" w:pos="360"/>
              </w:tabs>
              <w:jc w:val="center"/>
              <w:rPr>
                <w:b/>
              </w:rPr>
            </w:pPr>
            <w:r w:rsidRPr="002D28A6">
              <w:rPr>
                <w:b/>
              </w:rPr>
              <w:t>Timely filing of notice of intent to claim compensation (NOI) (§ 1804(a)):</w:t>
            </w:r>
          </w:p>
        </w:tc>
      </w:tr>
      <w:tr w:rsidRPr="002D28A6" w:rsidR="00A92D0B" w:rsidTr="006E2590" w14:paraId="160E284A" w14:textId="77777777">
        <w:tc>
          <w:tcPr>
            <w:tcW w:w="4817" w:type="dxa"/>
            <w:tcBorders>
              <w:top w:val="single" w:color="auto" w:sz="4" w:space="0"/>
            </w:tcBorders>
            <w:shd w:val="clear" w:color="auto" w:fill="auto"/>
          </w:tcPr>
          <w:p w:rsidRPr="002D28A6" w:rsidR="00A92D0B" w:rsidP="00F028C8" w:rsidRDefault="00A92D0B" w14:paraId="44D1876C" w14:textId="478A95F3">
            <w:pPr>
              <w:keepNext/>
              <w:tabs>
                <w:tab w:val="left" w:pos="360"/>
              </w:tabs>
              <w:ind w:left="360" w:hanging="360"/>
              <w:rPr>
                <w:color w:val="000000"/>
              </w:rPr>
            </w:pPr>
            <w:r w:rsidRPr="002D28A6">
              <w:rPr>
                <w:color w:val="000000"/>
              </w:rPr>
              <w:t>1.</w:t>
            </w:r>
            <w:r w:rsidRPr="002D28A6" w:rsidR="001E7EE2">
              <w:rPr>
                <w:color w:val="000000"/>
              </w:rPr>
              <w:tab/>
            </w:r>
            <w:r w:rsidRPr="002D28A6">
              <w:rPr>
                <w:color w:val="000000"/>
              </w:rPr>
              <w:t>Date of Prehearing Conference:</w:t>
            </w:r>
          </w:p>
        </w:tc>
        <w:tc>
          <w:tcPr>
            <w:tcW w:w="2267" w:type="dxa"/>
            <w:tcBorders>
              <w:top w:val="single" w:color="auto" w:sz="4" w:space="0"/>
            </w:tcBorders>
            <w:shd w:val="clear" w:color="auto" w:fill="auto"/>
          </w:tcPr>
          <w:p w:rsidRPr="002D28A6" w:rsidR="00A92D0B" w:rsidP="00F34B06" w:rsidRDefault="002220E1" w14:paraId="35450816" w14:textId="6A98ADAC">
            <w:pPr>
              <w:keepNext/>
              <w:keepLines/>
              <w:tabs>
                <w:tab w:val="left" w:pos="360"/>
              </w:tabs>
              <w:ind w:left="360" w:hanging="360"/>
              <w:jc w:val="center"/>
              <w:rPr>
                <w:color w:val="000000"/>
              </w:rPr>
            </w:pPr>
            <w:r>
              <w:rPr>
                <w:color w:val="000000"/>
              </w:rPr>
              <w:t>8/30/21</w:t>
            </w:r>
          </w:p>
        </w:tc>
        <w:tc>
          <w:tcPr>
            <w:tcW w:w="2811" w:type="dxa"/>
            <w:tcBorders>
              <w:top w:val="single" w:color="auto" w:sz="4" w:space="0"/>
            </w:tcBorders>
            <w:shd w:val="clear" w:color="auto" w:fill="auto"/>
          </w:tcPr>
          <w:p w:rsidRPr="002D28A6" w:rsidR="00A92D0B" w:rsidP="00DC7CDC" w:rsidRDefault="00DC7CDC" w14:paraId="34540344" w14:textId="56FF9509">
            <w:pPr>
              <w:keepNext/>
              <w:tabs>
                <w:tab w:val="left" w:pos="360"/>
              </w:tabs>
              <w:jc w:val="center"/>
              <w:rPr>
                <w:color w:val="000000"/>
              </w:rPr>
            </w:pPr>
            <w:r>
              <w:rPr>
                <w:color w:val="000000"/>
              </w:rPr>
              <w:t>Verified</w:t>
            </w:r>
          </w:p>
        </w:tc>
      </w:tr>
      <w:tr w:rsidRPr="002D28A6" w:rsidR="00A92D0B" w:rsidTr="006E2590" w14:paraId="24C85564" w14:textId="77777777">
        <w:tc>
          <w:tcPr>
            <w:tcW w:w="4817" w:type="dxa"/>
            <w:shd w:val="clear" w:color="auto" w:fill="auto"/>
          </w:tcPr>
          <w:p w:rsidRPr="002D28A6" w:rsidR="00A92D0B" w:rsidP="00F028C8" w:rsidRDefault="00A92D0B" w14:paraId="382C5788" w14:textId="49F0E39E">
            <w:pPr>
              <w:tabs>
                <w:tab w:val="left" w:pos="360"/>
              </w:tabs>
              <w:ind w:left="360" w:hanging="360"/>
              <w:rPr>
                <w:color w:val="000000"/>
              </w:rPr>
            </w:pPr>
            <w:r w:rsidRPr="002D28A6">
              <w:rPr>
                <w:color w:val="000000"/>
              </w:rPr>
              <w:t>2.</w:t>
            </w:r>
            <w:r w:rsidRPr="002D28A6" w:rsidR="001E7EE2">
              <w:rPr>
                <w:color w:val="000000"/>
              </w:rPr>
              <w:tab/>
            </w:r>
            <w:r w:rsidRPr="002D28A6">
              <w:rPr>
                <w:color w:val="000000"/>
              </w:rPr>
              <w:t xml:space="preserve">Other </w:t>
            </w:r>
            <w:r w:rsidRPr="002D28A6" w:rsidR="00A319DE">
              <w:rPr>
                <w:color w:val="000000"/>
              </w:rPr>
              <w:t>s</w:t>
            </w:r>
            <w:r w:rsidRPr="002D28A6">
              <w:rPr>
                <w:color w:val="000000"/>
              </w:rPr>
              <w:t xml:space="preserve">pecified </w:t>
            </w:r>
            <w:r w:rsidRPr="002D28A6" w:rsidR="00A319DE">
              <w:rPr>
                <w:color w:val="000000"/>
              </w:rPr>
              <w:t>d</w:t>
            </w:r>
            <w:r w:rsidRPr="002D28A6">
              <w:rPr>
                <w:color w:val="000000"/>
              </w:rPr>
              <w:t>ate for NOI:</w:t>
            </w:r>
          </w:p>
        </w:tc>
        <w:tc>
          <w:tcPr>
            <w:tcW w:w="2267" w:type="dxa"/>
            <w:shd w:val="clear" w:color="auto" w:fill="auto"/>
          </w:tcPr>
          <w:p w:rsidRPr="002D28A6" w:rsidR="00A92D0B" w:rsidP="00F34B06" w:rsidRDefault="00A92D0B" w14:paraId="1826BC2C" w14:textId="77777777">
            <w:pPr>
              <w:keepNext/>
              <w:keepLines/>
              <w:tabs>
                <w:tab w:val="left" w:pos="360"/>
              </w:tabs>
              <w:ind w:left="360" w:hanging="360"/>
              <w:jc w:val="center"/>
              <w:rPr>
                <w:color w:val="000000"/>
              </w:rPr>
            </w:pPr>
          </w:p>
        </w:tc>
        <w:tc>
          <w:tcPr>
            <w:tcW w:w="2811" w:type="dxa"/>
            <w:shd w:val="clear" w:color="auto" w:fill="auto"/>
          </w:tcPr>
          <w:p w:rsidRPr="002D28A6" w:rsidR="00A92D0B" w:rsidP="00DC7CDC" w:rsidRDefault="00A92D0B" w14:paraId="210DAD91" w14:textId="77777777">
            <w:pPr>
              <w:tabs>
                <w:tab w:val="left" w:pos="360"/>
              </w:tabs>
              <w:jc w:val="center"/>
              <w:rPr>
                <w:color w:val="000000"/>
              </w:rPr>
            </w:pPr>
          </w:p>
        </w:tc>
      </w:tr>
      <w:tr w:rsidRPr="002D28A6" w:rsidR="00A92D0B" w:rsidTr="006E2590" w14:paraId="4836EEA6" w14:textId="77777777">
        <w:tc>
          <w:tcPr>
            <w:tcW w:w="4817" w:type="dxa"/>
            <w:shd w:val="clear" w:color="auto" w:fill="auto"/>
          </w:tcPr>
          <w:p w:rsidRPr="002D28A6" w:rsidR="00A92D0B" w:rsidP="00F028C8" w:rsidRDefault="00A92D0B" w14:paraId="34809C45" w14:textId="2501A8A3">
            <w:pPr>
              <w:tabs>
                <w:tab w:val="left" w:pos="360"/>
              </w:tabs>
              <w:ind w:left="360" w:hanging="360"/>
              <w:rPr>
                <w:color w:val="000000"/>
              </w:rPr>
            </w:pPr>
            <w:r w:rsidRPr="002D28A6">
              <w:rPr>
                <w:color w:val="000000"/>
              </w:rPr>
              <w:t>3.</w:t>
            </w:r>
            <w:r w:rsidRPr="002D28A6" w:rsidR="001E7EE2">
              <w:rPr>
                <w:color w:val="000000"/>
              </w:rPr>
              <w:tab/>
            </w:r>
            <w:r w:rsidRPr="002D28A6">
              <w:rPr>
                <w:color w:val="000000"/>
              </w:rPr>
              <w:t xml:space="preserve">Date NOI </w:t>
            </w:r>
            <w:r w:rsidRPr="002D28A6" w:rsidR="00A319DE">
              <w:rPr>
                <w:color w:val="000000"/>
              </w:rPr>
              <w:t>f</w:t>
            </w:r>
            <w:r w:rsidRPr="002D28A6">
              <w:rPr>
                <w:color w:val="000000"/>
              </w:rPr>
              <w:t>iled:</w:t>
            </w:r>
          </w:p>
        </w:tc>
        <w:tc>
          <w:tcPr>
            <w:tcW w:w="2267" w:type="dxa"/>
            <w:tcBorders>
              <w:bottom w:val="single" w:color="auto" w:sz="4" w:space="0"/>
            </w:tcBorders>
            <w:shd w:val="clear" w:color="auto" w:fill="auto"/>
          </w:tcPr>
          <w:p w:rsidRPr="002D28A6" w:rsidR="00A92D0B" w:rsidP="00F34B06" w:rsidRDefault="002220E1" w14:paraId="44F7CCB9" w14:textId="3C880BBD">
            <w:pPr>
              <w:keepNext/>
              <w:keepLines/>
              <w:tabs>
                <w:tab w:val="left" w:pos="360"/>
              </w:tabs>
              <w:ind w:left="360" w:hanging="360"/>
              <w:jc w:val="center"/>
              <w:rPr>
                <w:color w:val="000000"/>
              </w:rPr>
            </w:pPr>
            <w:r>
              <w:rPr>
                <w:color w:val="000000"/>
              </w:rPr>
              <w:t>9/29/21</w:t>
            </w:r>
          </w:p>
        </w:tc>
        <w:tc>
          <w:tcPr>
            <w:tcW w:w="2811" w:type="dxa"/>
            <w:tcBorders>
              <w:bottom w:val="single" w:color="auto" w:sz="4" w:space="0"/>
            </w:tcBorders>
            <w:shd w:val="clear" w:color="auto" w:fill="auto"/>
          </w:tcPr>
          <w:p w:rsidRPr="002D28A6" w:rsidR="00A92D0B" w:rsidP="00DC7CDC" w:rsidRDefault="00DC7CDC" w14:paraId="71759DE3" w14:textId="61AC2A9E">
            <w:pPr>
              <w:tabs>
                <w:tab w:val="left" w:pos="360"/>
              </w:tabs>
              <w:jc w:val="center"/>
              <w:rPr>
                <w:color w:val="000000"/>
              </w:rPr>
            </w:pPr>
            <w:r>
              <w:rPr>
                <w:color w:val="000000"/>
              </w:rPr>
              <w:t>Verified</w:t>
            </w:r>
          </w:p>
        </w:tc>
      </w:tr>
      <w:tr w:rsidRPr="002D28A6" w:rsidR="00A92D0B" w:rsidTr="006E2590" w14:paraId="22BBCDE3" w14:textId="77777777">
        <w:tc>
          <w:tcPr>
            <w:tcW w:w="7084" w:type="dxa"/>
            <w:gridSpan w:val="2"/>
            <w:tcBorders>
              <w:bottom w:val="single" w:color="auto" w:sz="4" w:space="0"/>
            </w:tcBorders>
            <w:shd w:val="clear" w:color="auto" w:fill="auto"/>
          </w:tcPr>
          <w:p w:rsidRPr="002D28A6" w:rsidR="00A92D0B" w:rsidP="00F028C8" w:rsidRDefault="00A92D0B" w14:paraId="7E6E2068" w14:textId="1D4DD6B8">
            <w:pPr>
              <w:tabs>
                <w:tab w:val="left" w:pos="360"/>
              </w:tabs>
              <w:ind w:left="360" w:hanging="360"/>
              <w:rPr>
                <w:color w:val="000000"/>
              </w:rPr>
            </w:pPr>
            <w:r w:rsidRPr="002D28A6">
              <w:rPr>
                <w:color w:val="000000"/>
              </w:rPr>
              <w:t>4.</w:t>
            </w:r>
            <w:r w:rsidRPr="002D28A6" w:rsidR="001E7EE2">
              <w:rPr>
                <w:color w:val="000000"/>
              </w:rPr>
              <w:tab/>
            </w:r>
            <w:r w:rsidRPr="002D28A6">
              <w:rPr>
                <w:color w:val="000000"/>
              </w:rPr>
              <w:t>Was the NOI timely filed?</w:t>
            </w:r>
          </w:p>
        </w:tc>
        <w:tc>
          <w:tcPr>
            <w:tcW w:w="2811" w:type="dxa"/>
            <w:tcBorders>
              <w:bottom w:val="single" w:color="auto" w:sz="4" w:space="0"/>
            </w:tcBorders>
            <w:shd w:val="clear" w:color="auto" w:fill="auto"/>
          </w:tcPr>
          <w:p w:rsidRPr="002D28A6" w:rsidR="00A92D0B" w:rsidP="00DC7CDC" w:rsidRDefault="00DC7CDC" w14:paraId="61DE2845" w14:textId="65518C49">
            <w:pPr>
              <w:tabs>
                <w:tab w:val="left" w:pos="360"/>
              </w:tabs>
              <w:jc w:val="center"/>
              <w:rPr>
                <w:color w:val="000000"/>
              </w:rPr>
            </w:pPr>
            <w:r>
              <w:rPr>
                <w:color w:val="000000"/>
              </w:rPr>
              <w:t>Yes</w:t>
            </w:r>
          </w:p>
        </w:tc>
      </w:tr>
      <w:tr w:rsidRPr="002D28A6" w:rsidR="00A92D0B" w:rsidTr="006E2590" w14:paraId="4CD7D46A" w14:textId="77777777">
        <w:tc>
          <w:tcPr>
            <w:tcW w:w="9895" w:type="dxa"/>
            <w:gridSpan w:val="3"/>
            <w:tcBorders>
              <w:top w:val="single" w:color="auto" w:sz="4" w:space="0"/>
              <w:left w:val="single" w:color="auto" w:sz="4" w:space="0"/>
              <w:bottom w:val="single" w:color="auto" w:sz="4" w:space="0"/>
              <w:right w:val="single" w:color="auto" w:sz="4" w:space="0"/>
            </w:tcBorders>
            <w:shd w:val="clear" w:color="auto" w:fill="E6E6E6"/>
          </w:tcPr>
          <w:p w:rsidRPr="002D28A6" w:rsidR="00F028C8" w:rsidP="00F028C8" w:rsidRDefault="00A92D0B" w14:paraId="003AB151" w14:textId="75841E30">
            <w:pPr>
              <w:keepNext/>
              <w:keepLines/>
              <w:tabs>
                <w:tab w:val="left" w:pos="360"/>
              </w:tabs>
              <w:jc w:val="center"/>
              <w:rPr>
                <w:b/>
                <w:color w:val="000000"/>
              </w:rPr>
            </w:pPr>
            <w:r w:rsidRPr="002D28A6">
              <w:rPr>
                <w:b/>
                <w:color w:val="000000"/>
              </w:rPr>
              <w:t xml:space="preserve">Showing of </w:t>
            </w:r>
            <w:r w:rsidRPr="002D28A6" w:rsidR="00F63C29">
              <w:rPr>
                <w:b/>
                <w:color w:val="000000"/>
              </w:rPr>
              <w:t xml:space="preserve">eligible </w:t>
            </w:r>
            <w:r w:rsidRPr="002D28A6">
              <w:rPr>
                <w:b/>
                <w:color w:val="000000"/>
              </w:rPr>
              <w:t xml:space="preserve">customer </w:t>
            </w:r>
            <w:r w:rsidRPr="002D28A6" w:rsidR="00F63C29">
              <w:rPr>
                <w:b/>
                <w:color w:val="000000"/>
              </w:rPr>
              <w:t>status (§ 1802(b)</w:t>
            </w:r>
            <w:r w:rsidRPr="002D28A6" w:rsidR="00F028C8">
              <w:rPr>
                <w:b/>
                <w:color w:val="000000"/>
              </w:rPr>
              <w:t>)</w:t>
            </w:r>
          </w:p>
          <w:p w:rsidRPr="002D28A6" w:rsidR="00A92D0B" w:rsidP="00F028C8" w:rsidRDefault="00F63C29" w14:paraId="19D649BF" w14:textId="31FAE647">
            <w:pPr>
              <w:keepNext/>
              <w:keepLines/>
              <w:tabs>
                <w:tab w:val="left" w:pos="360"/>
              </w:tabs>
              <w:jc w:val="center"/>
              <w:rPr>
                <w:b/>
                <w:color w:val="000000"/>
              </w:rPr>
            </w:pPr>
            <w:r w:rsidRPr="002D28A6">
              <w:rPr>
                <w:b/>
                <w:color w:val="000000"/>
              </w:rPr>
              <w:t xml:space="preserve"> or eligible local government entity </w:t>
            </w:r>
            <w:r w:rsidRPr="002D28A6" w:rsidR="00ED6B6B">
              <w:rPr>
                <w:b/>
                <w:color w:val="000000"/>
              </w:rPr>
              <w:t>status</w:t>
            </w:r>
            <w:r w:rsidRPr="002D28A6" w:rsidR="00F028C8">
              <w:rPr>
                <w:b/>
                <w:color w:val="000000"/>
              </w:rPr>
              <w:t xml:space="preserve"> </w:t>
            </w:r>
            <w:r w:rsidRPr="002D28A6">
              <w:rPr>
                <w:b/>
                <w:color w:val="000000"/>
              </w:rPr>
              <w:t>(§§ 1802(d), 1802.4)</w:t>
            </w:r>
            <w:r w:rsidRPr="002D28A6" w:rsidR="00A92D0B">
              <w:rPr>
                <w:b/>
                <w:color w:val="000000"/>
              </w:rPr>
              <w:t>:</w:t>
            </w:r>
          </w:p>
        </w:tc>
      </w:tr>
      <w:tr w:rsidRPr="002D28A6" w:rsidR="00F34B06" w:rsidTr="006E2590" w14:paraId="259EC227" w14:textId="77777777">
        <w:tc>
          <w:tcPr>
            <w:tcW w:w="4817" w:type="dxa"/>
            <w:tcBorders>
              <w:top w:val="single" w:color="auto" w:sz="4" w:space="0"/>
            </w:tcBorders>
            <w:shd w:val="clear" w:color="auto" w:fill="auto"/>
          </w:tcPr>
          <w:p w:rsidRPr="002D28A6" w:rsidR="00F34B06" w:rsidP="00F34B06" w:rsidRDefault="00F34B06" w14:paraId="0EFCD0E9" w14:textId="1A5E3FBE">
            <w:pPr>
              <w:keepNext/>
              <w:keepLines/>
              <w:ind w:left="360" w:hanging="360"/>
              <w:rPr>
                <w:color w:val="000000"/>
              </w:rPr>
            </w:pPr>
            <w:r w:rsidRPr="002D28A6">
              <w:rPr>
                <w:color w:val="000000"/>
              </w:rPr>
              <w:t>5.</w:t>
            </w:r>
            <w:r w:rsidRPr="002D28A6">
              <w:rPr>
                <w:color w:val="000000"/>
              </w:rPr>
              <w:tab/>
              <w:t>Based on ALJ ruling issued in proceeding   number:</w:t>
            </w:r>
          </w:p>
        </w:tc>
        <w:tc>
          <w:tcPr>
            <w:tcW w:w="2267" w:type="dxa"/>
            <w:tcBorders>
              <w:top w:val="single" w:color="auto" w:sz="4" w:space="0"/>
            </w:tcBorders>
            <w:shd w:val="clear" w:color="auto" w:fill="auto"/>
            <w:vAlign w:val="center"/>
          </w:tcPr>
          <w:p w:rsidRPr="002D28A6" w:rsidR="00F34B06" w:rsidP="00F34B06" w:rsidRDefault="00F34B06" w14:paraId="13E72B6D" w14:textId="04677A37">
            <w:pPr>
              <w:keepNext/>
              <w:keepLines/>
              <w:tabs>
                <w:tab w:val="left" w:pos="360"/>
              </w:tabs>
              <w:ind w:left="360" w:hanging="360"/>
              <w:jc w:val="center"/>
              <w:rPr>
                <w:color w:val="000000"/>
              </w:rPr>
            </w:pPr>
            <w:r>
              <w:rPr>
                <w:color w:val="000000"/>
              </w:rPr>
              <w:t>R.20-08-021</w:t>
            </w:r>
          </w:p>
        </w:tc>
        <w:tc>
          <w:tcPr>
            <w:tcW w:w="2811" w:type="dxa"/>
            <w:tcBorders>
              <w:top w:val="single" w:color="auto" w:sz="4" w:space="0"/>
            </w:tcBorders>
            <w:shd w:val="clear" w:color="auto" w:fill="auto"/>
          </w:tcPr>
          <w:p w:rsidRPr="002D28A6" w:rsidR="00F34B06" w:rsidP="00DC7CDC" w:rsidRDefault="00DC7CDC" w14:paraId="2679B197" w14:textId="2FCEFD1C">
            <w:pPr>
              <w:keepNext/>
              <w:keepLines/>
              <w:tabs>
                <w:tab w:val="left" w:pos="360"/>
              </w:tabs>
              <w:jc w:val="center"/>
              <w:rPr>
                <w:color w:val="000000"/>
              </w:rPr>
            </w:pPr>
            <w:r>
              <w:rPr>
                <w:color w:val="000000"/>
              </w:rPr>
              <w:t>Verified</w:t>
            </w:r>
          </w:p>
        </w:tc>
      </w:tr>
      <w:tr w:rsidRPr="002D28A6" w:rsidR="00F34B06" w:rsidTr="006E2590" w14:paraId="4E0FB3B6" w14:textId="77777777">
        <w:tc>
          <w:tcPr>
            <w:tcW w:w="4817" w:type="dxa"/>
            <w:shd w:val="clear" w:color="auto" w:fill="auto"/>
          </w:tcPr>
          <w:p w:rsidRPr="002D28A6" w:rsidR="00F34B06" w:rsidP="00F34B06" w:rsidRDefault="00F34B06" w14:paraId="568B12E8" w14:textId="6121FC05">
            <w:pPr>
              <w:tabs>
                <w:tab w:val="left" w:pos="360"/>
              </w:tabs>
              <w:ind w:left="360" w:hanging="360"/>
              <w:rPr>
                <w:color w:val="000000"/>
              </w:rPr>
            </w:pPr>
            <w:r w:rsidRPr="002D28A6">
              <w:rPr>
                <w:color w:val="000000"/>
              </w:rPr>
              <w:t>6.</w:t>
            </w:r>
            <w:r w:rsidRPr="002D28A6">
              <w:rPr>
                <w:color w:val="000000"/>
              </w:rPr>
              <w:tab/>
              <w:t>Date of ALJ ruling:</w:t>
            </w:r>
          </w:p>
        </w:tc>
        <w:tc>
          <w:tcPr>
            <w:tcW w:w="2267" w:type="dxa"/>
            <w:shd w:val="clear" w:color="auto" w:fill="auto"/>
            <w:vAlign w:val="center"/>
          </w:tcPr>
          <w:p w:rsidRPr="002D28A6" w:rsidR="00F34B06" w:rsidP="00F34B06" w:rsidRDefault="00F34B06" w14:paraId="306125B9" w14:textId="106A0846">
            <w:pPr>
              <w:tabs>
                <w:tab w:val="left" w:pos="360"/>
              </w:tabs>
              <w:ind w:left="360" w:hanging="360"/>
              <w:jc w:val="center"/>
              <w:rPr>
                <w:color w:val="000000"/>
              </w:rPr>
            </w:pPr>
            <w:r>
              <w:rPr>
                <w:color w:val="000000"/>
              </w:rPr>
              <w:t>12/11/20</w:t>
            </w:r>
          </w:p>
        </w:tc>
        <w:tc>
          <w:tcPr>
            <w:tcW w:w="2811" w:type="dxa"/>
            <w:shd w:val="clear" w:color="auto" w:fill="auto"/>
          </w:tcPr>
          <w:p w:rsidRPr="002D28A6" w:rsidR="00F34B06" w:rsidP="00DC7CDC" w:rsidRDefault="00DC7CDC" w14:paraId="19F10313" w14:textId="6F1074E0">
            <w:pPr>
              <w:tabs>
                <w:tab w:val="left" w:pos="360"/>
              </w:tabs>
              <w:jc w:val="center"/>
              <w:rPr>
                <w:color w:val="000000"/>
              </w:rPr>
            </w:pPr>
            <w:r>
              <w:rPr>
                <w:color w:val="000000"/>
              </w:rPr>
              <w:t>Verified</w:t>
            </w:r>
          </w:p>
        </w:tc>
      </w:tr>
      <w:tr w:rsidRPr="002D28A6" w:rsidR="00A92D0B" w:rsidTr="006E2590" w14:paraId="7F6C1E54" w14:textId="77777777">
        <w:tc>
          <w:tcPr>
            <w:tcW w:w="4817" w:type="dxa"/>
            <w:shd w:val="clear" w:color="auto" w:fill="auto"/>
          </w:tcPr>
          <w:p w:rsidRPr="002D28A6" w:rsidR="00A92D0B" w:rsidP="00F028C8" w:rsidRDefault="00A92D0B" w14:paraId="4B6E35B7" w14:textId="56E59D65">
            <w:pPr>
              <w:tabs>
                <w:tab w:val="left" w:pos="360"/>
              </w:tabs>
              <w:ind w:left="360" w:hanging="360"/>
              <w:rPr>
                <w:color w:val="000000"/>
              </w:rPr>
            </w:pPr>
            <w:r w:rsidRPr="002D28A6">
              <w:rPr>
                <w:color w:val="000000"/>
              </w:rPr>
              <w:t>7.</w:t>
            </w:r>
            <w:r w:rsidRPr="002D28A6" w:rsidR="001E7EE2">
              <w:rPr>
                <w:color w:val="000000"/>
              </w:rPr>
              <w:tab/>
            </w:r>
            <w:r w:rsidRPr="002D28A6">
              <w:rPr>
                <w:color w:val="000000"/>
              </w:rPr>
              <w:t>Based on another CPUC determination (specify):</w:t>
            </w:r>
          </w:p>
        </w:tc>
        <w:tc>
          <w:tcPr>
            <w:tcW w:w="2267" w:type="dxa"/>
            <w:tcBorders>
              <w:bottom w:val="single" w:color="auto" w:sz="4" w:space="0"/>
            </w:tcBorders>
            <w:shd w:val="clear" w:color="auto" w:fill="auto"/>
          </w:tcPr>
          <w:p w:rsidRPr="002D28A6" w:rsidR="00A92D0B" w:rsidP="00F028C8" w:rsidRDefault="00A92D0B" w14:paraId="5E0F9D32" w14:textId="77777777">
            <w:pPr>
              <w:tabs>
                <w:tab w:val="left" w:pos="360"/>
              </w:tabs>
              <w:ind w:left="360" w:hanging="360"/>
              <w:rPr>
                <w:color w:val="000000"/>
              </w:rPr>
            </w:pPr>
          </w:p>
        </w:tc>
        <w:tc>
          <w:tcPr>
            <w:tcW w:w="2811" w:type="dxa"/>
            <w:tcBorders>
              <w:bottom w:val="single" w:color="auto" w:sz="4" w:space="0"/>
            </w:tcBorders>
            <w:shd w:val="clear" w:color="auto" w:fill="auto"/>
          </w:tcPr>
          <w:p w:rsidRPr="002D28A6" w:rsidR="00A92D0B" w:rsidP="00DC7CDC" w:rsidRDefault="00A92D0B" w14:paraId="180E80B3" w14:textId="77777777">
            <w:pPr>
              <w:tabs>
                <w:tab w:val="left" w:pos="360"/>
              </w:tabs>
              <w:jc w:val="center"/>
              <w:rPr>
                <w:color w:val="000000"/>
              </w:rPr>
            </w:pPr>
          </w:p>
        </w:tc>
      </w:tr>
      <w:tr w:rsidRPr="002D28A6" w:rsidR="00A92D0B" w:rsidTr="006E2590" w14:paraId="397CC4AD" w14:textId="77777777">
        <w:tc>
          <w:tcPr>
            <w:tcW w:w="7084" w:type="dxa"/>
            <w:gridSpan w:val="2"/>
            <w:tcBorders>
              <w:bottom w:val="single" w:color="auto" w:sz="4" w:space="0"/>
            </w:tcBorders>
            <w:shd w:val="clear" w:color="auto" w:fill="auto"/>
          </w:tcPr>
          <w:p w:rsidRPr="002D28A6" w:rsidR="00A92D0B" w:rsidP="00F028C8" w:rsidRDefault="00A92D0B" w14:paraId="71D46B68" w14:textId="56857D2E">
            <w:pPr>
              <w:tabs>
                <w:tab w:val="left" w:pos="360"/>
              </w:tabs>
              <w:ind w:left="360" w:hanging="360"/>
              <w:rPr>
                <w:color w:val="000000"/>
              </w:rPr>
            </w:pPr>
            <w:r w:rsidRPr="002D28A6">
              <w:rPr>
                <w:color w:val="000000"/>
              </w:rPr>
              <w:t>8.</w:t>
            </w:r>
            <w:r w:rsidRPr="002D28A6" w:rsidR="001E7EE2">
              <w:rPr>
                <w:color w:val="000000"/>
              </w:rPr>
              <w:tab/>
            </w:r>
            <w:r w:rsidRPr="002D28A6">
              <w:rPr>
                <w:color w:val="000000"/>
              </w:rPr>
              <w:t xml:space="preserve">Has the </w:t>
            </w:r>
            <w:r w:rsidRPr="002D28A6" w:rsidR="005A63D4">
              <w:rPr>
                <w:color w:val="000000"/>
              </w:rPr>
              <w:t xml:space="preserve">Intervenor </w:t>
            </w:r>
            <w:r w:rsidRPr="002D28A6">
              <w:rPr>
                <w:color w:val="000000"/>
              </w:rPr>
              <w:t xml:space="preserve">demonstrated </w:t>
            </w:r>
            <w:r w:rsidRPr="002D28A6">
              <w:t>customer</w:t>
            </w:r>
            <w:r w:rsidRPr="002D28A6">
              <w:rPr>
                <w:color w:val="000000"/>
              </w:rPr>
              <w:t xml:space="preserve"> </w:t>
            </w:r>
            <w:r w:rsidRPr="002D28A6" w:rsidR="00ED6B6B">
              <w:rPr>
                <w:color w:val="000000"/>
              </w:rPr>
              <w:t>status or eligible government entity status</w:t>
            </w:r>
            <w:r w:rsidRPr="002D28A6">
              <w:rPr>
                <w:color w:val="000000"/>
              </w:rPr>
              <w:t>?</w:t>
            </w:r>
          </w:p>
        </w:tc>
        <w:tc>
          <w:tcPr>
            <w:tcW w:w="2811" w:type="dxa"/>
            <w:tcBorders>
              <w:bottom w:val="single" w:color="auto" w:sz="4" w:space="0"/>
            </w:tcBorders>
            <w:shd w:val="clear" w:color="auto" w:fill="auto"/>
          </w:tcPr>
          <w:p w:rsidRPr="002D28A6" w:rsidR="00A92D0B" w:rsidP="00DC7CDC" w:rsidRDefault="00DC7CDC" w14:paraId="7D296E63" w14:textId="59FDAAB8">
            <w:pPr>
              <w:tabs>
                <w:tab w:val="left" w:pos="360"/>
              </w:tabs>
              <w:jc w:val="center"/>
              <w:rPr>
                <w:color w:val="000000"/>
              </w:rPr>
            </w:pPr>
            <w:r>
              <w:rPr>
                <w:color w:val="000000"/>
              </w:rPr>
              <w:t>Yes</w:t>
            </w:r>
          </w:p>
        </w:tc>
      </w:tr>
      <w:tr w:rsidRPr="002D28A6" w:rsidR="00A92D0B" w:rsidTr="006E2590" w14:paraId="33231C71" w14:textId="77777777">
        <w:tc>
          <w:tcPr>
            <w:tcW w:w="9895" w:type="dxa"/>
            <w:gridSpan w:val="3"/>
            <w:tcBorders>
              <w:top w:val="single" w:color="auto" w:sz="4" w:space="0"/>
              <w:left w:val="single" w:color="auto" w:sz="4" w:space="0"/>
              <w:bottom w:val="single" w:color="auto" w:sz="4" w:space="0"/>
              <w:right w:val="single" w:color="auto" w:sz="4" w:space="0"/>
            </w:tcBorders>
            <w:shd w:val="clear" w:color="auto" w:fill="E6E6E6"/>
          </w:tcPr>
          <w:p w:rsidRPr="002D28A6" w:rsidR="00A92D0B" w:rsidP="00F028C8" w:rsidRDefault="00A92D0B" w14:paraId="0291EC4E" w14:textId="77777777">
            <w:pPr>
              <w:keepNext/>
              <w:tabs>
                <w:tab w:val="left" w:pos="360"/>
              </w:tabs>
              <w:jc w:val="center"/>
              <w:rPr>
                <w:color w:val="000000"/>
              </w:rPr>
            </w:pPr>
            <w:r w:rsidRPr="002D28A6">
              <w:rPr>
                <w:b/>
                <w:color w:val="000000"/>
              </w:rPr>
              <w:t>Showing of “significant</w:t>
            </w:r>
            <w:r w:rsidRPr="002D28A6" w:rsidR="00F63C29">
              <w:rPr>
                <w:b/>
                <w:color w:val="000000"/>
              </w:rPr>
              <w:t xml:space="preserve"> financial hardship” (§1802(</w:t>
            </w:r>
            <w:r w:rsidRPr="002D28A6" w:rsidR="00175865">
              <w:rPr>
                <w:b/>
                <w:color w:val="000000"/>
              </w:rPr>
              <w:t>h</w:t>
            </w:r>
            <w:r w:rsidRPr="002D28A6" w:rsidR="00F63C29">
              <w:rPr>
                <w:b/>
                <w:color w:val="000000"/>
              </w:rPr>
              <w:t xml:space="preserve">) or </w:t>
            </w:r>
            <w:r w:rsidRPr="002D28A6" w:rsidR="00ED6B6B">
              <w:rPr>
                <w:b/>
                <w:color w:val="000000"/>
              </w:rPr>
              <w:t>§</w:t>
            </w:r>
            <w:r w:rsidRPr="002D28A6" w:rsidR="00F63C29">
              <w:rPr>
                <w:b/>
                <w:color w:val="000000"/>
              </w:rPr>
              <w:t>1803.1(b))</w:t>
            </w:r>
            <w:r w:rsidRPr="002D28A6" w:rsidR="00C02649">
              <w:rPr>
                <w:b/>
                <w:color w:val="000000"/>
              </w:rPr>
              <w:t>:</w:t>
            </w:r>
          </w:p>
        </w:tc>
      </w:tr>
      <w:tr w:rsidRPr="002D28A6" w:rsidR="00F34B06" w:rsidTr="006E2590" w14:paraId="77F91856" w14:textId="77777777">
        <w:tc>
          <w:tcPr>
            <w:tcW w:w="4817" w:type="dxa"/>
            <w:tcBorders>
              <w:top w:val="single" w:color="auto" w:sz="4" w:space="0"/>
            </w:tcBorders>
            <w:shd w:val="clear" w:color="auto" w:fill="auto"/>
          </w:tcPr>
          <w:p w:rsidRPr="002D28A6" w:rsidR="00F34B06" w:rsidP="00F34B06" w:rsidRDefault="00F34B06" w14:paraId="6506E60E" w14:textId="7F0FF6A0">
            <w:pPr>
              <w:tabs>
                <w:tab w:val="left" w:pos="315"/>
              </w:tabs>
              <w:ind w:left="360" w:hanging="360"/>
              <w:rPr>
                <w:color w:val="000000"/>
              </w:rPr>
            </w:pPr>
            <w:r w:rsidRPr="002D28A6">
              <w:rPr>
                <w:color w:val="000000"/>
              </w:rPr>
              <w:t>9.</w:t>
            </w:r>
            <w:r w:rsidRPr="002D28A6">
              <w:rPr>
                <w:color w:val="000000"/>
              </w:rPr>
              <w:tab/>
              <w:t>Based on ALJ ruling issued in proceeding number:</w:t>
            </w:r>
          </w:p>
        </w:tc>
        <w:tc>
          <w:tcPr>
            <w:tcW w:w="2267" w:type="dxa"/>
            <w:tcBorders>
              <w:top w:val="single" w:color="auto" w:sz="4" w:space="0"/>
            </w:tcBorders>
            <w:shd w:val="clear" w:color="auto" w:fill="auto"/>
            <w:vAlign w:val="center"/>
          </w:tcPr>
          <w:p w:rsidRPr="002D28A6" w:rsidR="00F34B06" w:rsidP="00F34B06" w:rsidRDefault="00F34B06" w14:paraId="54B4911C" w14:textId="78D62874">
            <w:pPr>
              <w:tabs>
                <w:tab w:val="left" w:pos="360"/>
              </w:tabs>
              <w:ind w:left="360" w:hanging="360"/>
              <w:jc w:val="center"/>
              <w:rPr>
                <w:color w:val="000000"/>
              </w:rPr>
            </w:pPr>
            <w:r>
              <w:rPr>
                <w:color w:val="000000"/>
              </w:rPr>
              <w:t>R.20-08-021</w:t>
            </w:r>
          </w:p>
        </w:tc>
        <w:tc>
          <w:tcPr>
            <w:tcW w:w="2811" w:type="dxa"/>
            <w:tcBorders>
              <w:top w:val="single" w:color="auto" w:sz="4" w:space="0"/>
            </w:tcBorders>
            <w:shd w:val="clear" w:color="auto" w:fill="auto"/>
          </w:tcPr>
          <w:p w:rsidRPr="002D28A6" w:rsidR="00F34B06" w:rsidP="00DC7CDC" w:rsidRDefault="00DC7CDC" w14:paraId="2E2FB9D6" w14:textId="761583A8">
            <w:pPr>
              <w:tabs>
                <w:tab w:val="left" w:pos="360"/>
              </w:tabs>
              <w:jc w:val="center"/>
              <w:rPr>
                <w:color w:val="000000"/>
              </w:rPr>
            </w:pPr>
            <w:r>
              <w:rPr>
                <w:color w:val="000000"/>
              </w:rPr>
              <w:t>Verified</w:t>
            </w:r>
          </w:p>
        </w:tc>
      </w:tr>
      <w:tr w:rsidRPr="002D28A6" w:rsidR="00F34B06" w:rsidTr="006E2590" w14:paraId="4AD750C1" w14:textId="77777777">
        <w:tc>
          <w:tcPr>
            <w:tcW w:w="4817" w:type="dxa"/>
            <w:shd w:val="clear" w:color="auto" w:fill="auto"/>
          </w:tcPr>
          <w:p w:rsidRPr="002D28A6" w:rsidR="00F34B06" w:rsidP="00F34B06" w:rsidRDefault="00F34B06" w14:paraId="2A279407" w14:textId="1E831EEE">
            <w:pPr>
              <w:ind w:left="360" w:hanging="360"/>
              <w:rPr>
                <w:color w:val="000000"/>
              </w:rPr>
            </w:pPr>
            <w:r w:rsidRPr="002D28A6">
              <w:rPr>
                <w:color w:val="000000"/>
              </w:rPr>
              <w:t>10.</w:t>
            </w:r>
            <w:r w:rsidRPr="002D28A6">
              <w:rPr>
                <w:color w:val="000000"/>
              </w:rPr>
              <w:tab/>
              <w:t>Date of ALJ ruling:</w:t>
            </w:r>
          </w:p>
        </w:tc>
        <w:tc>
          <w:tcPr>
            <w:tcW w:w="2267" w:type="dxa"/>
            <w:shd w:val="clear" w:color="auto" w:fill="auto"/>
            <w:vAlign w:val="center"/>
          </w:tcPr>
          <w:p w:rsidRPr="002D28A6" w:rsidR="00F34B06" w:rsidP="00F34B06" w:rsidRDefault="00F34B06" w14:paraId="4B66A2E4" w14:textId="4ADADDC1">
            <w:pPr>
              <w:tabs>
                <w:tab w:val="left" w:pos="360"/>
              </w:tabs>
              <w:ind w:left="360" w:hanging="360"/>
              <w:jc w:val="center"/>
              <w:rPr>
                <w:color w:val="000000"/>
              </w:rPr>
            </w:pPr>
            <w:r>
              <w:rPr>
                <w:color w:val="000000"/>
              </w:rPr>
              <w:t>12/11/20</w:t>
            </w:r>
          </w:p>
        </w:tc>
        <w:tc>
          <w:tcPr>
            <w:tcW w:w="2811" w:type="dxa"/>
            <w:shd w:val="clear" w:color="auto" w:fill="auto"/>
          </w:tcPr>
          <w:p w:rsidRPr="002D28A6" w:rsidR="00F34B06" w:rsidP="00DC7CDC" w:rsidRDefault="00DC7CDC" w14:paraId="3B83D035" w14:textId="7672DBEA">
            <w:pPr>
              <w:tabs>
                <w:tab w:val="left" w:pos="360"/>
              </w:tabs>
              <w:jc w:val="center"/>
              <w:rPr>
                <w:color w:val="000000"/>
              </w:rPr>
            </w:pPr>
            <w:r>
              <w:rPr>
                <w:color w:val="000000"/>
              </w:rPr>
              <w:t>Verified</w:t>
            </w:r>
          </w:p>
        </w:tc>
      </w:tr>
      <w:tr w:rsidRPr="002D28A6" w:rsidR="00357F1A" w:rsidTr="006E2590" w14:paraId="7C183C5E" w14:textId="77777777">
        <w:tc>
          <w:tcPr>
            <w:tcW w:w="4817" w:type="dxa"/>
            <w:shd w:val="clear" w:color="auto" w:fill="auto"/>
          </w:tcPr>
          <w:p w:rsidRPr="002D28A6" w:rsidR="00357F1A" w:rsidP="00F028C8" w:rsidRDefault="00357F1A" w14:paraId="4141CB3D" w14:textId="2DCA8797">
            <w:pPr>
              <w:ind w:left="360" w:hanging="360"/>
              <w:rPr>
                <w:color w:val="000000"/>
              </w:rPr>
            </w:pPr>
            <w:r w:rsidRPr="002D28A6">
              <w:rPr>
                <w:color w:val="000000"/>
              </w:rPr>
              <w:t>11.</w:t>
            </w:r>
            <w:r w:rsidRPr="002D28A6" w:rsidR="001E7EE2">
              <w:rPr>
                <w:color w:val="000000"/>
              </w:rPr>
              <w:tab/>
            </w:r>
            <w:r w:rsidRPr="002D28A6">
              <w:rPr>
                <w:color w:val="000000"/>
              </w:rPr>
              <w:t>Based on another CPUC determination (specify):</w:t>
            </w:r>
          </w:p>
        </w:tc>
        <w:tc>
          <w:tcPr>
            <w:tcW w:w="2267" w:type="dxa"/>
            <w:shd w:val="clear" w:color="auto" w:fill="auto"/>
          </w:tcPr>
          <w:p w:rsidRPr="002D28A6" w:rsidR="00357F1A" w:rsidP="00F028C8" w:rsidRDefault="00357F1A" w14:paraId="141EB5CF" w14:textId="77777777">
            <w:pPr>
              <w:tabs>
                <w:tab w:val="left" w:pos="360"/>
              </w:tabs>
              <w:ind w:left="360" w:hanging="360"/>
              <w:rPr>
                <w:color w:val="000000"/>
              </w:rPr>
            </w:pPr>
          </w:p>
        </w:tc>
        <w:tc>
          <w:tcPr>
            <w:tcW w:w="2811" w:type="dxa"/>
            <w:shd w:val="clear" w:color="auto" w:fill="auto"/>
          </w:tcPr>
          <w:p w:rsidRPr="002D28A6" w:rsidR="00357F1A" w:rsidP="00DC7CDC" w:rsidRDefault="00357F1A" w14:paraId="79318715" w14:textId="77777777">
            <w:pPr>
              <w:tabs>
                <w:tab w:val="left" w:pos="360"/>
              </w:tabs>
              <w:jc w:val="center"/>
              <w:rPr>
                <w:color w:val="000000"/>
              </w:rPr>
            </w:pPr>
          </w:p>
        </w:tc>
      </w:tr>
      <w:tr w:rsidRPr="002D28A6" w:rsidR="00A92D0B" w:rsidTr="006E2590" w14:paraId="4E8D20BF" w14:textId="77777777">
        <w:tc>
          <w:tcPr>
            <w:tcW w:w="7084" w:type="dxa"/>
            <w:gridSpan w:val="2"/>
            <w:tcBorders>
              <w:bottom w:val="single" w:color="auto" w:sz="4" w:space="0"/>
            </w:tcBorders>
            <w:shd w:val="clear" w:color="auto" w:fill="auto"/>
          </w:tcPr>
          <w:p w:rsidRPr="002D28A6" w:rsidR="00A92D0B" w:rsidP="00F028C8" w:rsidRDefault="00180E8C" w14:paraId="48D0D936" w14:textId="6A3DF8B8">
            <w:pPr>
              <w:tabs>
                <w:tab w:val="left" w:pos="360"/>
              </w:tabs>
              <w:ind w:left="360" w:hanging="360"/>
              <w:rPr>
                <w:color w:val="000000"/>
              </w:rPr>
            </w:pPr>
            <w:r w:rsidRPr="002D28A6">
              <w:rPr>
                <w:color w:val="000000"/>
              </w:rPr>
              <w:t>12</w:t>
            </w:r>
            <w:r w:rsidRPr="002D28A6" w:rsidR="00A92D0B">
              <w:rPr>
                <w:color w:val="000000"/>
              </w:rPr>
              <w:t>.</w:t>
            </w:r>
            <w:r w:rsidRPr="002D28A6" w:rsidR="001E7EE2">
              <w:rPr>
                <w:color w:val="000000"/>
              </w:rPr>
              <w:tab/>
            </w:r>
            <w:r w:rsidRPr="002D28A6" w:rsidR="00A92D0B">
              <w:rPr>
                <w:color w:val="000000"/>
              </w:rPr>
              <w:t>Has the</w:t>
            </w:r>
            <w:r w:rsidRPr="002D28A6" w:rsidR="00A319DE">
              <w:rPr>
                <w:color w:val="000000"/>
              </w:rPr>
              <w:t xml:space="preserve"> </w:t>
            </w:r>
            <w:r w:rsidRPr="002D28A6" w:rsidR="005A63D4">
              <w:rPr>
                <w:color w:val="000000"/>
              </w:rPr>
              <w:t>Intervenor</w:t>
            </w:r>
            <w:r w:rsidRPr="002D28A6" w:rsidR="00A92D0B">
              <w:rPr>
                <w:color w:val="000000"/>
              </w:rPr>
              <w:t xml:space="preserve"> demonstrated significant financial hardship?</w:t>
            </w:r>
          </w:p>
        </w:tc>
        <w:tc>
          <w:tcPr>
            <w:tcW w:w="2811" w:type="dxa"/>
            <w:tcBorders>
              <w:bottom w:val="single" w:color="auto" w:sz="4" w:space="0"/>
            </w:tcBorders>
            <w:shd w:val="clear" w:color="auto" w:fill="auto"/>
          </w:tcPr>
          <w:p w:rsidRPr="002D28A6" w:rsidR="00A92D0B" w:rsidP="00DC7CDC" w:rsidRDefault="00DC7CDC" w14:paraId="0F29B839" w14:textId="790C76BA">
            <w:pPr>
              <w:tabs>
                <w:tab w:val="left" w:pos="360"/>
              </w:tabs>
              <w:jc w:val="center"/>
              <w:rPr>
                <w:color w:val="000000"/>
              </w:rPr>
            </w:pPr>
            <w:r>
              <w:rPr>
                <w:color w:val="000000"/>
              </w:rPr>
              <w:t>Yes</w:t>
            </w:r>
          </w:p>
        </w:tc>
      </w:tr>
      <w:tr w:rsidRPr="002D28A6" w:rsidR="00A92D0B" w:rsidTr="006E2590" w14:paraId="60D4FD5C" w14:textId="77777777">
        <w:tc>
          <w:tcPr>
            <w:tcW w:w="9895" w:type="dxa"/>
            <w:gridSpan w:val="3"/>
            <w:tcBorders>
              <w:top w:val="single" w:color="auto" w:sz="4" w:space="0"/>
              <w:left w:val="single" w:color="auto" w:sz="4" w:space="0"/>
              <w:bottom w:val="single" w:color="auto" w:sz="4" w:space="0"/>
              <w:right w:val="single" w:color="auto" w:sz="4" w:space="0"/>
            </w:tcBorders>
            <w:shd w:val="clear" w:color="auto" w:fill="E6E6E6"/>
          </w:tcPr>
          <w:p w:rsidRPr="002D28A6" w:rsidR="00A92D0B" w:rsidP="007056FC" w:rsidRDefault="00A92D0B" w14:paraId="172E2884" w14:textId="77777777">
            <w:pPr>
              <w:keepNext/>
              <w:tabs>
                <w:tab w:val="left" w:pos="360"/>
              </w:tabs>
              <w:jc w:val="center"/>
              <w:rPr>
                <w:color w:val="000000"/>
              </w:rPr>
            </w:pPr>
            <w:r w:rsidRPr="002D28A6">
              <w:rPr>
                <w:b/>
                <w:color w:val="000000"/>
              </w:rPr>
              <w:t>Timely request for compensation (§ 1804(c)):</w:t>
            </w:r>
          </w:p>
        </w:tc>
      </w:tr>
      <w:tr w:rsidRPr="002D28A6" w:rsidR="00A92D0B" w:rsidTr="006E2590" w14:paraId="3E7938B0" w14:textId="77777777">
        <w:tc>
          <w:tcPr>
            <w:tcW w:w="4817" w:type="dxa"/>
            <w:tcBorders>
              <w:top w:val="single" w:color="auto" w:sz="4" w:space="0"/>
            </w:tcBorders>
            <w:shd w:val="clear" w:color="auto" w:fill="auto"/>
          </w:tcPr>
          <w:p w:rsidRPr="002D28A6" w:rsidR="00A92D0B" w:rsidP="00F028C8" w:rsidRDefault="00A92D0B" w14:paraId="66088F1B" w14:textId="2DB4A731">
            <w:pPr>
              <w:keepNext/>
              <w:tabs>
                <w:tab w:val="left" w:pos="612"/>
              </w:tabs>
              <w:ind w:left="360" w:hanging="360"/>
              <w:rPr>
                <w:color w:val="000000"/>
              </w:rPr>
            </w:pPr>
            <w:r w:rsidRPr="002D28A6">
              <w:rPr>
                <w:color w:val="000000"/>
              </w:rPr>
              <w:t>13.</w:t>
            </w:r>
            <w:r w:rsidRPr="002D28A6" w:rsidR="001E7EE2">
              <w:rPr>
                <w:color w:val="000000"/>
              </w:rPr>
              <w:tab/>
            </w:r>
            <w:r w:rsidRPr="002D28A6">
              <w:rPr>
                <w:color w:val="000000"/>
              </w:rPr>
              <w:t>Identify Final Decision:</w:t>
            </w:r>
          </w:p>
        </w:tc>
        <w:tc>
          <w:tcPr>
            <w:tcW w:w="2267" w:type="dxa"/>
            <w:tcBorders>
              <w:top w:val="single" w:color="auto" w:sz="4" w:space="0"/>
            </w:tcBorders>
            <w:shd w:val="clear" w:color="auto" w:fill="auto"/>
          </w:tcPr>
          <w:p w:rsidRPr="002D28A6" w:rsidR="00A92D0B" w:rsidP="00F34B06" w:rsidRDefault="00F34B06" w14:paraId="7166F318" w14:textId="06B60EBE">
            <w:pPr>
              <w:tabs>
                <w:tab w:val="left" w:pos="360"/>
              </w:tabs>
              <w:jc w:val="center"/>
              <w:rPr>
                <w:color w:val="000000"/>
              </w:rPr>
            </w:pPr>
            <w:r>
              <w:rPr>
                <w:color w:val="000000"/>
              </w:rPr>
              <w:t>D.24-07-008</w:t>
            </w:r>
          </w:p>
        </w:tc>
        <w:tc>
          <w:tcPr>
            <w:tcW w:w="2811" w:type="dxa"/>
            <w:tcBorders>
              <w:top w:val="single" w:color="auto" w:sz="4" w:space="0"/>
            </w:tcBorders>
            <w:shd w:val="clear" w:color="auto" w:fill="auto"/>
          </w:tcPr>
          <w:p w:rsidRPr="002D28A6" w:rsidR="00A92D0B" w:rsidP="00DC7CDC" w:rsidRDefault="00DC7CDC" w14:paraId="1588DC54" w14:textId="4E02DE37">
            <w:pPr>
              <w:tabs>
                <w:tab w:val="left" w:pos="360"/>
              </w:tabs>
              <w:jc w:val="center"/>
              <w:rPr>
                <w:color w:val="000000"/>
              </w:rPr>
            </w:pPr>
            <w:r>
              <w:rPr>
                <w:color w:val="000000"/>
              </w:rPr>
              <w:t>Verified</w:t>
            </w:r>
          </w:p>
        </w:tc>
      </w:tr>
      <w:tr w:rsidRPr="002D28A6" w:rsidR="00A92D0B" w:rsidTr="006E2590" w14:paraId="6360DE59" w14:textId="77777777">
        <w:tc>
          <w:tcPr>
            <w:tcW w:w="4817" w:type="dxa"/>
            <w:shd w:val="clear" w:color="auto" w:fill="auto"/>
          </w:tcPr>
          <w:p w:rsidRPr="002D28A6" w:rsidR="00A92D0B" w:rsidP="00F028C8" w:rsidRDefault="00A92D0B" w14:paraId="4B809E4A" w14:textId="4BEED0BB">
            <w:pPr>
              <w:tabs>
                <w:tab w:val="left" w:pos="612"/>
              </w:tabs>
              <w:ind w:left="360" w:hanging="360"/>
              <w:rPr>
                <w:color w:val="000000"/>
              </w:rPr>
            </w:pPr>
            <w:r w:rsidRPr="002D28A6">
              <w:rPr>
                <w:color w:val="000000"/>
              </w:rPr>
              <w:t>14.</w:t>
            </w:r>
            <w:r w:rsidRPr="002D28A6" w:rsidR="001E7EE2">
              <w:rPr>
                <w:color w:val="000000"/>
              </w:rPr>
              <w:tab/>
            </w:r>
            <w:r w:rsidRPr="002D28A6">
              <w:rPr>
                <w:color w:val="000000"/>
              </w:rPr>
              <w:t xml:space="preserve">Date of </w:t>
            </w:r>
            <w:r w:rsidRPr="002D28A6" w:rsidR="00A319DE">
              <w:rPr>
                <w:color w:val="000000"/>
              </w:rPr>
              <w:t>i</w:t>
            </w:r>
            <w:r w:rsidRPr="002D28A6">
              <w:rPr>
                <w:color w:val="000000"/>
              </w:rPr>
              <w:t xml:space="preserve">ssuance of Final Order or Decision:    </w:t>
            </w:r>
          </w:p>
        </w:tc>
        <w:tc>
          <w:tcPr>
            <w:tcW w:w="2267" w:type="dxa"/>
            <w:shd w:val="clear" w:color="auto" w:fill="auto"/>
          </w:tcPr>
          <w:p w:rsidRPr="002D28A6" w:rsidR="00A92D0B" w:rsidP="0090530D" w:rsidRDefault="0090530D" w14:paraId="20455B5F" w14:textId="6CCF6905">
            <w:pPr>
              <w:tabs>
                <w:tab w:val="left" w:pos="360"/>
              </w:tabs>
              <w:jc w:val="center"/>
              <w:rPr>
                <w:color w:val="000000"/>
              </w:rPr>
            </w:pPr>
            <w:r>
              <w:rPr>
                <w:color w:val="000000"/>
              </w:rPr>
              <w:t>7/16/24</w:t>
            </w:r>
          </w:p>
        </w:tc>
        <w:tc>
          <w:tcPr>
            <w:tcW w:w="2811" w:type="dxa"/>
            <w:shd w:val="clear" w:color="auto" w:fill="auto"/>
          </w:tcPr>
          <w:p w:rsidRPr="002D28A6" w:rsidR="00A92D0B" w:rsidP="00DC7CDC" w:rsidRDefault="00DC7CDC" w14:paraId="1FCF00DD" w14:textId="1B809AEE">
            <w:pPr>
              <w:tabs>
                <w:tab w:val="left" w:pos="360"/>
              </w:tabs>
              <w:jc w:val="center"/>
              <w:rPr>
                <w:color w:val="000000"/>
              </w:rPr>
            </w:pPr>
            <w:r>
              <w:rPr>
                <w:color w:val="000000"/>
              </w:rPr>
              <w:t>Verified</w:t>
            </w:r>
          </w:p>
        </w:tc>
      </w:tr>
      <w:tr w:rsidRPr="002D28A6" w:rsidR="00A92D0B" w:rsidTr="006E2590" w14:paraId="723259E3" w14:textId="77777777">
        <w:tc>
          <w:tcPr>
            <w:tcW w:w="4817" w:type="dxa"/>
            <w:shd w:val="clear" w:color="auto" w:fill="auto"/>
          </w:tcPr>
          <w:p w:rsidRPr="002D28A6" w:rsidR="00A92D0B" w:rsidP="00F028C8" w:rsidRDefault="00A92D0B" w14:paraId="163EE1CA" w14:textId="2B64EB9E">
            <w:pPr>
              <w:tabs>
                <w:tab w:val="left" w:pos="612"/>
              </w:tabs>
              <w:ind w:left="360" w:hanging="360"/>
              <w:rPr>
                <w:color w:val="000000"/>
              </w:rPr>
            </w:pPr>
            <w:r w:rsidRPr="002D28A6">
              <w:rPr>
                <w:color w:val="000000"/>
              </w:rPr>
              <w:t>15.</w:t>
            </w:r>
            <w:r w:rsidRPr="002D28A6" w:rsidR="001E7EE2">
              <w:rPr>
                <w:color w:val="000000"/>
              </w:rPr>
              <w:tab/>
            </w:r>
            <w:r w:rsidRPr="002D28A6">
              <w:rPr>
                <w:color w:val="000000"/>
              </w:rPr>
              <w:t>File date of compensation request:</w:t>
            </w:r>
          </w:p>
        </w:tc>
        <w:tc>
          <w:tcPr>
            <w:tcW w:w="2267" w:type="dxa"/>
            <w:shd w:val="clear" w:color="auto" w:fill="auto"/>
          </w:tcPr>
          <w:p w:rsidRPr="002D28A6" w:rsidR="00A92D0B" w:rsidP="0090530D" w:rsidRDefault="0090530D" w14:paraId="0568B39D" w14:textId="6436CB26">
            <w:pPr>
              <w:tabs>
                <w:tab w:val="left" w:pos="360"/>
              </w:tabs>
              <w:jc w:val="center"/>
              <w:rPr>
                <w:color w:val="000000"/>
              </w:rPr>
            </w:pPr>
            <w:r>
              <w:rPr>
                <w:color w:val="000000"/>
              </w:rPr>
              <w:t>9/16/24</w:t>
            </w:r>
          </w:p>
        </w:tc>
        <w:tc>
          <w:tcPr>
            <w:tcW w:w="2811" w:type="dxa"/>
            <w:shd w:val="clear" w:color="auto" w:fill="auto"/>
          </w:tcPr>
          <w:p w:rsidRPr="002D28A6" w:rsidR="00A92D0B" w:rsidP="00DC7CDC" w:rsidRDefault="00DC7CDC" w14:paraId="1CBF4E7A" w14:textId="4FEA2BB6">
            <w:pPr>
              <w:tabs>
                <w:tab w:val="left" w:pos="360"/>
              </w:tabs>
              <w:jc w:val="center"/>
              <w:rPr>
                <w:color w:val="000000"/>
              </w:rPr>
            </w:pPr>
            <w:r>
              <w:rPr>
                <w:color w:val="000000"/>
              </w:rPr>
              <w:t>Verified</w:t>
            </w:r>
          </w:p>
        </w:tc>
      </w:tr>
      <w:tr w:rsidRPr="002D28A6" w:rsidR="00A92D0B" w:rsidTr="006E2590" w14:paraId="406BCA3A" w14:textId="77777777">
        <w:tc>
          <w:tcPr>
            <w:tcW w:w="7084" w:type="dxa"/>
            <w:gridSpan w:val="2"/>
            <w:shd w:val="clear" w:color="auto" w:fill="auto"/>
          </w:tcPr>
          <w:p w:rsidRPr="002D28A6" w:rsidR="00A92D0B" w:rsidP="00F028C8" w:rsidRDefault="00A92D0B" w14:paraId="10AF42D1" w14:textId="67695104">
            <w:pPr>
              <w:tabs>
                <w:tab w:val="left" w:pos="360"/>
              </w:tabs>
              <w:ind w:left="360" w:hanging="360"/>
              <w:rPr>
                <w:color w:val="000000"/>
              </w:rPr>
            </w:pPr>
            <w:r w:rsidRPr="002D28A6">
              <w:rPr>
                <w:color w:val="000000"/>
              </w:rPr>
              <w:t>16</w:t>
            </w:r>
            <w:r w:rsidRPr="002D28A6" w:rsidR="001E7EE2">
              <w:rPr>
                <w:color w:val="000000"/>
              </w:rPr>
              <w:t>.</w:t>
            </w:r>
            <w:r w:rsidRPr="002D28A6" w:rsidR="001E7EE2">
              <w:rPr>
                <w:color w:val="000000"/>
              </w:rPr>
              <w:tab/>
            </w:r>
            <w:r w:rsidRPr="002D28A6">
              <w:rPr>
                <w:color w:val="000000"/>
              </w:rPr>
              <w:t>Was the request for compensation timely?</w:t>
            </w:r>
          </w:p>
        </w:tc>
        <w:tc>
          <w:tcPr>
            <w:tcW w:w="2811" w:type="dxa"/>
            <w:shd w:val="clear" w:color="auto" w:fill="auto"/>
          </w:tcPr>
          <w:p w:rsidRPr="002D28A6" w:rsidR="00A92D0B" w:rsidP="00DC7CDC" w:rsidRDefault="00DC7CDC" w14:paraId="2EA30E63" w14:textId="3314CBF4">
            <w:pPr>
              <w:tabs>
                <w:tab w:val="left" w:pos="360"/>
              </w:tabs>
              <w:jc w:val="center"/>
              <w:rPr>
                <w:color w:val="000000"/>
              </w:rPr>
            </w:pPr>
            <w:r>
              <w:rPr>
                <w:color w:val="000000"/>
              </w:rPr>
              <w:t>Yes</w:t>
            </w:r>
          </w:p>
        </w:tc>
      </w:tr>
    </w:tbl>
    <w:p w:rsidRPr="002D28A6" w:rsidR="003B6A1B" w:rsidP="0057088A" w:rsidRDefault="00A92D0B" w14:paraId="501B5F3D" w14:textId="6B35699E">
      <w:pPr>
        <w:keepNext/>
        <w:spacing w:before="480"/>
        <w:jc w:val="center"/>
        <w:rPr>
          <w:b/>
          <w:color w:val="000000"/>
        </w:rPr>
      </w:pPr>
      <w:r w:rsidRPr="00575791">
        <w:rPr>
          <w:b/>
          <w:color w:val="000000"/>
        </w:rPr>
        <w:lastRenderedPageBreak/>
        <w:t>PART II</w:t>
      </w:r>
      <w:r w:rsidRPr="00575791" w:rsidR="0053513F">
        <w:rPr>
          <w:b/>
          <w:color w:val="000000"/>
        </w:rPr>
        <w:t>: SUBSTANTIAL</w:t>
      </w:r>
      <w:r w:rsidRPr="00575791">
        <w:rPr>
          <w:b/>
          <w:color w:val="000000"/>
        </w:rPr>
        <w:t xml:space="preserve"> CONTRIBUTION</w:t>
      </w:r>
    </w:p>
    <w:p w:rsidRPr="002D28A6" w:rsidR="00A92D0B" w:rsidP="005B5B44" w:rsidRDefault="00D075B1" w14:paraId="337CC332" w14:textId="3190CC72">
      <w:pPr>
        <w:keepNext/>
        <w:numPr>
          <w:ilvl w:val="0"/>
          <w:numId w:val="8"/>
        </w:numPr>
        <w:spacing w:before="240" w:after="240"/>
        <w:rPr>
          <w:b/>
          <w:color w:val="000000"/>
        </w:rPr>
      </w:pPr>
      <w:r w:rsidRPr="002D28A6">
        <w:rPr>
          <w:b/>
          <w:color w:val="000000"/>
        </w:rPr>
        <w:t xml:space="preserve">Did the </w:t>
      </w:r>
      <w:r w:rsidRPr="002D28A6" w:rsidR="005A63D4">
        <w:rPr>
          <w:b/>
          <w:color w:val="000000"/>
        </w:rPr>
        <w:t>Intervenor</w:t>
      </w:r>
      <w:r w:rsidRPr="002D28A6">
        <w:rPr>
          <w:b/>
          <w:color w:val="000000"/>
        </w:rPr>
        <w:t xml:space="preserve"> substantially contribute to the final decision</w:t>
      </w:r>
      <w:r w:rsidRPr="002D28A6" w:rsidR="00A92D0B">
        <w:rPr>
          <w:b/>
          <w:color w:val="000000"/>
        </w:rPr>
        <w:t xml:space="preserve"> (</w:t>
      </w:r>
      <w:r w:rsidRPr="002D28A6" w:rsidR="00A92D0B">
        <w:rPr>
          <w:b/>
          <w:i/>
          <w:color w:val="000000"/>
        </w:rPr>
        <w:t>see</w:t>
      </w:r>
      <w:r w:rsidRPr="002D28A6" w:rsidR="00A92D0B">
        <w:rPr>
          <w:b/>
          <w:color w:val="000000"/>
        </w:rPr>
        <w:t xml:space="preserve"> § 1802(</w:t>
      </w:r>
      <w:r w:rsidRPr="002D28A6" w:rsidR="00ED6B6B">
        <w:rPr>
          <w:b/>
          <w:color w:val="000000"/>
        </w:rPr>
        <w:t>j</w:t>
      </w:r>
      <w:r w:rsidRPr="002D28A6" w:rsidR="00A92D0B">
        <w:rPr>
          <w:b/>
          <w:color w:val="000000"/>
        </w:rPr>
        <w:t xml:space="preserve">), </w:t>
      </w:r>
      <w:r w:rsidRPr="002D28A6" w:rsidR="001E77CF">
        <w:rPr>
          <w:b/>
          <w:color w:val="000000"/>
        </w:rPr>
        <w:br/>
      </w:r>
      <w:r w:rsidRPr="002D28A6" w:rsidR="00A92D0B">
        <w:rPr>
          <w:b/>
          <w:color w:val="000000"/>
        </w:rPr>
        <w:t>§ 1803(a)</w:t>
      </w:r>
      <w:r w:rsidRPr="002D28A6" w:rsidR="00F30DA8">
        <w:rPr>
          <w:b/>
          <w:color w:val="000000"/>
        </w:rPr>
        <w:t>,</w:t>
      </w:r>
      <w:r w:rsidRPr="002D28A6" w:rsidR="00A92D0B">
        <w:rPr>
          <w:b/>
          <w:color w:val="000000"/>
        </w:rPr>
        <w:t xml:space="preserve"> </w:t>
      </w:r>
      <w:r w:rsidRPr="002D28A6" w:rsidR="00ED6B6B">
        <w:rPr>
          <w:b/>
          <w:color w:val="000000"/>
        </w:rPr>
        <w:t xml:space="preserve">1803.1(a) </w:t>
      </w:r>
      <w:r w:rsidRPr="002D28A6" w:rsidR="00F30DA8">
        <w:rPr>
          <w:b/>
          <w:color w:val="000000"/>
        </w:rPr>
        <w:t>and</w:t>
      </w:r>
      <w:r w:rsidRPr="002D28A6" w:rsidR="00A92D0B">
        <w:rPr>
          <w:b/>
          <w:color w:val="000000"/>
        </w:rPr>
        <w:t xml:space="preserve"> D.98-04-059)</w:t>
      </w:r>
      <w:r w:rsidRPr="002D28A6" w:rsidR="00C02649">
        <w:rPr>
          <w:b/>
          <w:color w:val="000000"/>
        </w:rPr>
        <w:t>:</w:t>
      </w:r>
      <w:r w:rsidRPr="002D28A6" w:rsidR="00A92D0B">
        <w:rPr>
          <w:b/>
          <w:color w:val="000000"/>
        </w:rPr>
        <w:t xml:space="preserve"> </w:t>
      </w:r>
    </w:p>
    <w:tbl>
      <w:tblPr>
        <w:tblpPr w:leftFromText="180" w:rightFromText="180" w:vertAnchor="text" w:tblpX="116" w:tblpY="1"/>
        <w:tblOverlap w:val="never"/>
        <w:tblW w:w="9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469"/>
        <w:gridCol w:w="2926"/>
        <w:gridCol w:w="2337"/>
      </w:tblGrid>
      <w:tr w:rsidRPr="002D28A6" w:rsidR="00BD4ED8" w:rsidTr="00190B9E" w14:paraId="67755362" w14:textId="77777777">
        <w:trPr>
          <w:trHeight w:val="732"/>
        </w:trPr>
        <w:tc>
          <w:tcPr>
            <w:tcW w:w="4469" w:type="dxa"/>
            <w:tcBorders>
              <w:bottom w:val="single" w:color="auto" w:sz="4" w:space="0"/>
            </w:tcBorders>
            <w:shd w:val="pct12" w:color="auto" w:fill="auto"/>
            <w:vAlign w:val="bottom"/>
          </w:tcPr>
          <w:p w:rsidRPr="002D28A6" w:rsidR="00BD4ED8" w:rsidP="00190B9E" w:rsidRDefault="00BD4ED8" w14:paraId="7CE2E5BB" w14:textId="77777777">
            <w:pPr>
              <w:jc w:val="center"/>
              <w:rPr>
                <w:b/>
                <w:color w:val="000000"/>
              </w:rPr>
            </w:pPr>
            <w:r w:rsidRPr="002D28A6">
              <w:rPr>
                <w:b/>
                <w:color w:val="000000"/>
              </w:rPr>
              <w:t>Intervenor’s Claimed Contribution(s)</w:t>
            </w:r>
          </w:p>
        </w:tc>
        <w:tc>
          <w:tcPr>
            <w:tcW w:w="2926" w:type="dxa"/>
            <w:tcBorders>
              <w:bottom w:val="single" w:color="auto" w:sz="4" w:space="0"/>
            </w:tcBorders>
            <w:shd w:val="pct12" w:color="auto" w:fill="auto"/>
            <w:vAlign w:val="bottom"/>
          </w:tcPr>
          <w:p w:rsidRPr="002D28A6" w:rsidR="00BD4ED8" w:rsidP="00190B9E" w:rsidRDefault="00BD4ED8" w14:paraId="2794272E" w14:textId="77777777">
            <w:pPr>
              <w:jc w:val="center"/>
              <w:rPr>
                <w:b/>
                <w:color w:val="000000"/>
              </w:rPr>
            </w:pPr>
            <w:r w:rsidRPr="002D28A6">
              <w:rPr>
                <w:b/>
                <w:color w:val="000000"/>
              </w:rPr>
              <w:t>Specific References to Intervenor’s Claimed Contribution(s)</w:t>
            </w:r>
          </w:p>
        </w:tc>
        <w:tc>
          <w:tcPr>
            <w:tcW w:w="2337" w:type="dxa"/>
            <w:shd w:val="pct12" w:color="auto" w:fill="auto"/>
            <w:vAlign w:val="bottom"/>
          </w:tcPr>
          <w:p w:rsidRPr="002D28A6" w:rsidR="00BD4ED8" w:rsidP="00190B9E" w:rsidRDefault="00BD4ED8" w14:paraId="79AFC714" w14:textId="558D052B">
            <w:pPr>
              <w:jc w:val="center"/>
              <w:rPr>
                <w:b/>
                <w:color w:val="000000"/>
              </w:rPr>
            </w:pPr>
            <w:r w:rsidRPr="002D28A6">
              <w:rPr>
                <w:b/>
                <w:color w:val="000000"/>
              </w:rPr>
              <w:t>CPUC Discussion</w:t>
            </w:r>
          </w:p>
        </w:tc>
      </w:tr>
      <w:tr w:rsidRPr="002D28A6" w:rsidR="00BD4ED8" w:rsidTr="00DC7CDC" w14:paraId="2E691FFC" w14:textId="77777777">
        <w:trPr>
          <w:trHeight w:val="707"/>
        </w:trPr>
        <w:tc>
          <w:tcPr>
            <w:tcW w:w="4469" w:type="dxa"/>
            <w:shd w:val="clear" w:color="auto" w:fill="auto"/>
          </w:tcPr>
          <w:p w:rsidRPr="002D28A6" w:rsidR="00BD4ED8" w:rsidP="00190B9E" w:rsidRDefault="00BD4ED8" w14:paraId="20DDA4D3" w14:textId="79E08FBD">
            <w:pPr>
              <w:rPr>
                <w:b/>
                <w:bCs/>
              </w:rPr>
            </w:pPr>
            <w:r w:rsidRPr="002D28A6">
              <w:rPr>
                <w:b/>
                <w:bCs/>
                <w:color w:val="000000"/>
              </w:rPr>
              <w:t xml:space="preserve">1. </w:t>
            </w:r>
            <w:r w:rsidR="002B3534">
              <w:rPr>
                <w:b/>
                <w:bCs/>
                <w:color w:val="000000"/>
              </w:rPr>
              <w:t xml:space="preserve"> </w:t>
            </w:r>
            <w:r w:rsidR="00FA6FD9">
              <w:rPr>
                <w:b/>
                <w:bCs/>
                <w:color w:val="000000"/>
              </w:rPr>
              <w:t>Scope of Phase II</w:t>
            </w:r>
          </w:p>
          <w:p w:rsidRPr="002D28A6" w:rsidR="00BD4ED8" w:rsidP="00190B9E" w:rsidRDefault="00BD4ED8" w14:paraId="2CC94EA7" w14:textId="77777777">
            <w:pPr>
              <w:rPr>
                <w:b/>
                <w:bCs/>
              </w:rPr>
            </w:pPr>
          </w:p>
          <w:p w:rsidRPr="002D28A6" w:rsidR="00BD4ED8" w:rsidP="00190B9E" w:rsidRDefault="00BD4ED8" w14:paraId="632791E0" w14:textId="666C7642">
            <w:r w:rsidRPr="002D28A6">
              <w:rPr>
                <w:color w:val="000000"/>
              </w:rPr>
              <w:t>TURN opposed</w:t>
            </w:r>
            <w:r w:rsidRPr="002D28A6">
              <w:t xml:space="preserve"> PG&amp;E’s request to add MWC 10 to its Phase II proposal on the grounds that it exceeded the scope of Phase II</w:t>
            </w:r>
            <w:r w:rsidR="00655371">
              <w:t xml:space="preserve">, as determined by the Commission in the </w:t>
            </w:r>
            <w:r w:rsidR="00125A09">
              <w:t xml:space="preserve">9/5/23 </w:t>
            </w:r>
            <w:r w:rsidRPr="002129E0" w:rsidR="00125A09">
              <w:rPr>
                <w:i/>
                <w:iCs/>
              </w:rPr>
              <w:t>Assigned Commissioner’s Amended Scoping Memo and Ruling</w:t>
            </w:r>
            <w:r w:rsidR="00E176E7">
              <w:t xml:space="preserve"> and affirmed in the 10/10/23 </w:t>
            </w:r>
            <w:r w:rsidRPr="002129E0" w:rsidR="00E176E7">
              <w:rPr>
                <w:i/>
                <w:iCs/>
              </w:rPr>
              <w:t>Amended Phase II Scoping Memo</w:t>
            </w:r>
            <w:r w:rsidRPr="002D28A6">
              <w:t>.</w:t>
            </w:r>
            <w:r w:rsidR="00246CB7">
              <w:t xml:space="preserve">  TURN argued that the Commission should limit its review to the issues identified in the Phase II Scoping Memo unless and until the Commission modifies the scope of Phase II.  </w:t>
            </w:r>
          </w:p>
          <w:p w:rsidRPr="002D28A6" w:rsidR="00BD4ED8" w:rsidP="00190B9E" w:rsidRDefault="00BD4ED8" w14:paraId="52E0161E" w14:textId="77777777"/>
          <w:p w:rsidRPr="002D28A6" w:rsidR="00BD4ED8" w:rsidP="00190B9E" w:rsidRDefault="00820F68" w14:paraId="6F146992" w14:textId="0648D76C">
            <w:pPr>
              <w:rPr>
                <w:color w:val="000000"/>
              </w:rPr>
            </w:pPr>
            <w:r>
              <w:t xml:space="preserve">The Commission </w:t>
            </w:r>
            <w:r w:rsidR="00BD4ED8">
              <w:t xml:space="preserve">amended the scope of Phase II </w:t>
            </w:r>
            <w:r w:rsidR="002E0C8B">
              <w:t>when</w:t>
            </w:r>
            <w:r w:rsidR="00BD4ED8">
              <w:t xml:space="preserve"> granting PG&amp;E permission to serve supplemental testimony adding MWC 10 to its Phase II proposal. </w:t>
            </w:r>
          </w:p>
          <w:p w:rsidRPr="002D28A6" w:rsidR="00BD4ED8" w:rsidP="00190B9E" w:rsidRDefault="00BD4ED8" w14:paraId="1B0CC007" w14:textId="77777777">
            <w:pPr>
              <w:rPr>
                <w:color w:val="000000"/>
              </w:rPr>
            </w:pPr>
          </w:p>
        </w:tc>
        <w:tc>
          <w:tcPr>
            <w:tcW w:w="2926" w:type="dxa"/>
            <w:shd w:val="clear" w:color="auto" w:fill="auto"/>
          </w:tcPr>
          <w:p w:rsidR="00BD4ED8" w:rsidP="00190B9E" w:rsidRDefault="00BD4ED8" w14:paraId="02AF21E1" w14:textId="77777777"/>
          <w:p w:rsidRPr="002D28A6" w:rsidR="0093465D" w:rsidP="00190B9E" w:rsidRDefault="0093465D" w14:paraId="53422210" w14:textId="77777777"/>
          <w:p w:rsidRPr="00B5606F" w:rsidR="00BD4ED8" w:rsidP="00190B9E" w:rsidRDefault="00BD4ED8" w14:paraId="11D045DE" w14:textId="4D85021E">
            <w:pPr>
              <w:pStyle w:val="ListParagraph"/>
            </w:pPr>
            <w:r w:rsidRPr="00B5606F">
              <w:t>TURN Response to PG&amp;E’s Motion to Submit Supplemental Phase II Testimony, p. 4.</w:t>
            </w:r>
          </w:p>
          <w:p w:rsidRPr="00B5606F" w:rsidR="00BD4ED8" w:rsidP="00190B9E" w:rsidRDefault="00BD4ED8" w14:paraId="71D5F4E7" w14:textId="77777777"/>
          <w:p w:rsidRPr="002D28A6" w:rsidR="00BD4ED8" w:rsidP="00190B9E" w:rsidRDefault="00BD4ED8" w14:paraId="532F95D2" w14:textId="1C54722B">
            <w:pPr>
              <w:pStyle w:val="ListParagraph"/>
            </w:pPr>
            <w:r w:rsidRPr="00B5606F">
              <w:t>A.21-06-021, Assigned Commissioner’s Third Amended Scoping Memo and Ruling, p. 5.</w:t>
            </w:r>
          </w:p>
        </w:tc>
        <w:tc>
          <w:tcPr>
            <w:tcW w:w="2337" w:type="dxa"/>
            <w:shd w:val="clear" w:color="auto" w:fill="auto"/>
          </w:tcPr>
          <w:p w:rsidR="00BD4ED8" w:rsidP="00765964" w:rsidRDefault="00BD4ED8" w14:paraId="0762A3D2" w14:textId="77777777">
            <w:pPr>
              <w:jc w:val="center"/>
              <w:rPr>
                <w:color w:val="000000"/>
              </w:rPr>
            </w:pPr>
          </w:p>
          <w:p w:rsidR="00765964" w:rsidP="00765964" w:rsidRDefault="00765964" w14:paraId="44D98571" w14:textId="77777777">
            <w:pPr>
              <w:jc w:val="center"/>
              <w:rPr>
                <w:color w:val="000000"/>
              </w:rPr>
            </w:pPr>
          </w:p>
          <w:p w:rsidR="00765964" w:rsidP="00765964" w:rsidRDefault="00765964" w14:paraId="446871F2" w14:textId="77777777">
            <w:pPr>
              <w:jc w:val="center"/>
              <w:rPr>
                <w:color w:val="000000"/>
              </w:rPr>
            </w:pPr>
          </w:p>
          <w:p w:rsidR="00765964" w:rsidP="00765964" w:rsidRDefault="00765964" w14:paraId="65754E87" w14:textId="77777777">
            <w:pPr>
              <w:jc w:val="center"/>
              <w:rPr>
                <w:color w:val="000000"/>
              </w:rPr>
            </w:pPr>
          </w:p>
          <w:p w:rsidRPr="002D28A6" w:rsidR="00765964" w:rsidP="00765964" w:rsidRDefault="00765964" w14:paraId="63938BDA" w14:textId="0207BEB9">
            <w:pPr>
              <w:jc w:val="center"/>
              <w:rPr>
                <w:color w:val="000000"/>
              </w:rPr>
            </w:pPr>
            <w:r>
              <w:rPr>
                <w:color w:val="000000"/>
              </w:rPr>
              <w:t>Verified</w:t>
            </w:r>
          </w:p>
        </w:tc>
      </w:tr>
      <w:tr w:rsidRPr="002D28A6" w:rsidR="00BD4ED8" w:rsidTr="00DC7CDC" w14:paraId="4AAA05AE" w14:textId="77777777">
        <w:trPr>
          <w:trHeight w:val="732"/>
        </w:trPr>
        <w:tc>
          <w:tcPr>
            <w:tcW w:w="4469" w:type="dxa"/>
            <w:shd w:val="clear" w:color="auto" w:fill="auto"/>
          </w:tcPr>
          <w:p w:rsidRPr="002D28A6" w:rsidR="00BD4ED8" w:rsidP="00190B9E" w:rsidRDefault="00BD4ED8" w14:paraId="5040633B" w14:textId="4173285F">
            <w:pPr>
              <w:rPr>
                <w:b/>
                <w:bCs/>
                <w:color w:val="000000"/>
              </w:rPr>
            </w:pPr>
            <w:r w:rsidRPr="002D28A6">
              <w:rPr>
                <w:b/>
                <w:bCs/>
                <w:color w:val="000000"/>
              </w:rPr>
              <w:t xml:space="preserve">2. </w:t>
            </w:r>
            <w:r w:rsidR="00C649A7">
              <w:rPr>
                <w:b/>
                <w:bCs/>
                <w:color w:val="000000"/>
              </w:rPr>
              <w:t xml:space="preserve"> </w:t>
            </w:r>
            <w:r w:rsidRPr="002D28A6">
              <w:rPr>
                <w:b/>
                <w:bCs/>
                <w:color w:val="000000"/>
              </w:rPr>
              <w:t>Affordability</w:t>
            </w:r>
          </w:p>
          <w:p w:rsidRPr="002D28A6" w:rsidR="00BD4ED8" w:rsidP="00190B9E" w:rsidRDefault="00BD4ED8" w14:paraId="512BBD2D" w14:textId="77777777">
            <w:pPr>
              <w:rPr>
                <w:color w:val="000000"/>
              </w:rPr>
            </w:pPr>
          </w:p>
          <w:p w:rsidRPr="002D28A6" w:rsidR="00BD4ED8" w:rsidP="00190B9E" w:rsidRDefault="00BD4ED8" w14:paraId="16055306" w14:textId="7B9701D9">
            <w:pPr>
              <w:rPr>
                <w:color w:val="000000"/>
              </w:rPr>
            </w:pPr>
            <w:r w:rsidRPr="002D28A6">
              <w:rPr>
                <w:color w:val="000000"/>
              </w:rPr>
              <w:t xml:space="preserve">TURN recommended that affordability concerns should </w:t>
            </w:r>
            <w:r w:rsidR="004E47A6">
              <w:rPr>
                <w:color w:val="000000"/>
              </w:rPr>
              <w:t>inform</w:t>
            </w:r>
            <w:r w:rsidRPr="002D28A6">
              <w:rPr>
                <w:color w:val="000000"/>
              </w:rPr>
              <w:t xml:space="preserve"> the Commission’s implementation of SB 410.</w:t>
            </w:r>
            <w:r w:rsidR="00387866">
              <w:rPr>
                <w:color w:val="000000"/>
              </w:rPr>
              <w:t xml:space="preserve">  TURN </w:t>
            </w:r>
            <w:r w:rsidR="005976D9">
              <w:rPr>
                <w:color w:val="000000"/>
              </w:rPr>
              <w:t xml:space="preserve">urged the Commission to </w:t>
            </w:r>
            <w:r w:rsidR="00E20603">
              <w:rPr>
                <w:color w:val="000000"/>
              </w:rPr>
              <w:t xml:space="preserve">balance </w:t>
            </w:r>
            <w:r w:rsidR="005976D9">
              <w:rPr>
                <w:color w:val="000000"/>
              </w:rPr>
              <w:t>the goal of allowing some interim rate recovery of incremental energization spending with prioritizing affordability</w:t>
            </w:r>
            <w:r w:rsidR="00C46755">
              <w:rPr>
                <w:color w:val="000000"/>
              </w:rPr>
              <w:t xml:space="preserve"> for ratepayers, and provided legal analysis on the Commission</w:t>
            </w:r>
            <w:r w:rsidR="00E20603">
              <w:rPr>
                <w:color w:val="000000"/>
              </w:rPr>
              <w:t>’s</w:t>
            </w:r>
            <w:r w:rsidR="00C46755">
              <w:rPr>
                <w:color w:val="000000"/>
              </w:rPr>
              <w:t xml:space="preserve"> discretion under SB 410 to consider affordability in setting the cap.</w:t>
            </w:r>
          </w:p>
          <w:p w:rsidRPr="002D28A6" w:rsidR="00BD4ED8" w:rsidP="00190B9E" w:rsidRDefault="00BD4ED8" w14:paraId="654EC154" w14:textId="77777777">
            <w:pPr>
              <w:rPr>
                <w:color w:val="000000"/>
              </w:rPr>
            </w:pPr>
          </w:p>
          <w:p w:rsidRPr="002D28A6" w:rsidR="00BD4ED8" w:rsidP="00190B9E" w:rsidRDefault="00BD4ED8" w14:paraId="11FCCEB5" w14:textId="0A355178">
            <w:pPr>
              <w:rPr>
                <w:color w:val="000000"/>
              </w:rPr>
            </w:pPr>
            <w:r w:rsidRPr="002D28A6">
              <w:rPr>
                <w:color w:val="000000"/>
              </w:rPr>
              <w:t xml:space="preserve">The Commission </w:t>
            </w:r>
            <w:r w:rsidR="00C649A7">
              <w:rPr>
                <w:color w:val="000000"/>
              </w:rPr>
              <w:t>agreed, explaining,</w:t>
            </w:r>
            <w:r w:rsidRPr="002D28A6">
              <w:rPr>
                <w:color w:val="000000"/>
              </w:rPr>
              <w:t xml:space="preserve"> “[o]n balance, this decision adopts annual caps sufficient to meet SB 410 requirements while considering affordability…”</w:t>
            </w:r>
          </w:p>
        </w:tc>
        <w:tc>
          <w:tcPr>
            <w:tcW w:w="2926" w:type="dxa"/>
            <w:shd w:val="clear" w:color="auto" w:fill="auto"/>
          </w:tcPr>
          <w:p w:rsidRPr="002D28A6" w:rsidR="00BD4ED8" w:rsidP="00190B9E" w:rsidRDefault="00BD4ED8" w14:paraId="61B25A2F" w14:textId="77777777">
            <w:pPr>
              <w:rPr>
                <w:color w:val="000000"/>
              </w:rPr>
            </w:pPr>
          </w:p>
          <w:p w:rsidRPr="002D28A6" w:rsidR="00BD4ED8" w:rsidP="00190B9E" w:rsidRDefault="00BD4ED8" w14:paraId="6E490ED5" w14:textId="77777777">
            <w:pPr>
              <w:rPr>
                <w:color w:val="000000"/>
              </w:rPr>
            </w:pPr>
          </w:p>
          <w:p w:rsidR="00731C1F" w:rsidP="00190B9E" w:rsidRDefault="00731C1F" w14:paraId="1DB5C6EE" w14:textId="3CB94BB9">
            <w:pPr>
              <w:pStyle w:val="ListParagraph"/>
            </w:pPr>
            <w:r>
              <w:t>Ex. TURN-PhII-01</w:t>
            </w:r>
            <w:r w:rsidR="00124508">
              <w:t>-E (Freedman</w:t>
            </w:r>
            <w:r w:rsidR="00B15253">
              <w:t>/Torres</w:t>
            </w:r>
            <w:r w:rsidR="00124508">
              <w:t xml:space="preserve"> Testimony), pp. 2-4.</w:t>
            </w:r>
          </w:p>
          <w:p w:rsidR="00124508" w:rsidP="00190B9E" w:rsidRDefault="00124508" w14:paraId="5E4BBF7C" w14:textId="77777777">
            <w:pPr>
              <w:pStyle w:val="ListParagraph"/>
              <w:numPr>
                <w:ilvl w:val="0"/>
                <w:numId w:val="0"/>
              </w:numPr>
              <w:ind w:left="374"/>
            </w:pPr>
          </w:p>
          <w:p w:rsidR="00BD4ED8" w:rsidP="00190B9E" w:rsidRDefault="00BD4ED8" w14:paraId="3D27CE60" w14:textId="7D576B21">
            <w:pPr>
              <w:pStyle w:val="ListParagraph"/>
            </w:pPr>
            <w:r w:rsidRPr="002D28A6">
              <w:t>TURN Opening Brief, pp. 9</w:t>
            </w:r>
            <w:r w:rsidR="007E417D">
              <w:t>-10</w:t>
            </w:r>
            <w:r w:rsidRPr="002D28A6">
              <w:t>.</w:t>
            </w:r>
          </w:p>
          <w:p w:rsidR="00E20603" w:rsidP="00190B9E" w:rsidRDefault="00E20603" w14:paraId="17C9BBCA" w14:textId="77777777">
            <w:pPr>
              <w:pStyle w:val="ListParagraph"/>
              <w:numPr>
                <w:ilvl w:val="0"/>
                <w:numId w:val="0"/>
              </w:numPr>
              <w:ind w:left="374"/>
            </w:pPr>
          </w:p>
          <w:p w:rsidR="00E20603" w:rsidP="00190B9E" w:rsidRDefault="00E20603" w14:paraId="7F4F1446" w14:textId="6BC50187">
            <w:pPr>
              <w:pStyle w:val="ListParagraph"/>
            </w:pPr>
            <w:r>
              <w:t xml:space="preserve">TURN Reply Brief, pp. </w:t>
            </w:r>
            <w:r w:rsidR="0013720A">
              <w:t>1-3.</w:t>
            </w:r>
          </w:p>
          <w:p w:rsidR="00794B1D" w:rsidP="00190B9E" w:rsidRDefault="00794B1D" w14:paraId="2B9BC82D" w14:textId="77777777">
            <w:pPr>
              <w:pStyle w:val="ListParagraph"/>
              <w:numPr>
                <w:ilvl w:val="0"/>
                <w:numId w:val="0"/>
              </w:numPr>
              <w:ind w:left="374"/>
            </w:pPr>
          </w:p>
          <w:p w:rsidR="00794B1D" w:rsidP="00190B9E" w:rsidRDefault="00794B1D" w14:paraId="763A09ED" w14:textId="26091513">
            <w:pPr>
              <w:pStyle w:val="ListParagraph"/>
            </w:pPr>
            <w:r>
              <w:t>TURN Reply Comments on Proposed Decision, pp. 1-2.</w:t>
            </w:r>
          </w:p>
          <w:p w:rsidRPr="002D28A6" w:rsidR="00BD4ED8" w:rsidP="00190B9E" w:rsidRDefault="00BD4ED8" w14:paraId="76D0C58C" w14:textId="77777777">
            <w:pPr>
              <w:pStyle w:val="ListParagraph"/>
              <w:numPr>
                <w:ilvl w:val="0"/>
                <w:numId w:val="0"/>
              </w:numPr>
              <w:ind w:left="374"/>
            </w:pPr>
          </w:p>
          <w:p w:rsidRPr="002D28A6" w:rsidR="00BD4ED8" w:rsidP="00190B9E" w:rsidRDefault="00BD4ED8" w14:paraId="2A92A629" w14:textId="219295C4">
            <w:pPr>
              <w:pStyle w:val="ListParagraph"/>
            </w:pPr>
            <w:r w:rsidRPr="002D28A6">
              <w:lastRenderedPageBreak/>
              <w:t>D.24-07-008, p. 83</w:t>
            </w:r>
            <w:r w:rsidR="008B639B">
              <w:t>; Conclusion of Law (COL) 6</w:t>
            </w:r>
            <w:r w:rsidRPr="002D28A6">
              <w:t>.</w:t>
            </w:r>
          </w:p>
        </w:tc>
        <w:tc>
          <w:tcPr>
            <w:tcW w:w="2337" w:type="dxa"/>
            <w:shd w:val="clear" w:color="auto" w:fill="auto"/>
          </w:tcPr>
          <w:p w:rsidR="00BD4ED8" w:rsidP="00190B9E" w:rsidRDefault="00BD4ED8" w14:paraId="08108E15" w14:textId="77777777">
            <w:pPr>
              <w:rPr>
                <w:color w:val="000000"/>
              </w:rPr>
            </w:pPr>
          </w:p>
          <w:p w:rsidR="00765964" w:rsidP="00190B9E" w:rsidRDefault="00765964" w14:paraId="4B1A6241" w14:textId="77777777">
            <w:pPr>
              <w:rPr>
                <w:color w:val="000000"/>
              </w:rPr>
            </w:pPr>
          </w:p>
          <w:p w:rsidRPr="002D28A6" w:rsidR="00765964" w:rsidP="00765964" w:rsidRDefault="00765964" w14:paraId="56FD3368" w14:textId="3732793B">
            <w:pPr>
              <w:jc w:val="center"/>
              <w:rPr>
                <w:color w:val="000000"/>
              </w:rPr>
            </w:pPr>
            <w:r>
              <w:rPr>
                <w:color w:val="000000"/>
              </w:rPr>
              <w:t>Verified</w:t>
            </w:r>
          </w:p>
        </w:tc>
      </w:tr>
      <w:tr w:rsidRPr="002D28A6" w:rsidR="00BD4ED8" w:rsidTr="008C05FA" w14:paraId="36FF786B" w14:textId="77777777">
        <w:trPr>
          <w:trHeight w:val="707"/>
        </w:trPr>
        <w:tc>
          <w:tcPr>
            <w:tcW w:w="4469" w:type="dxa"/>
            <w:shd w:val="clear" w:color="auto" w:fill="auto"/>
          </w:tcPr>
          <w:p w:rsidRPr="002D28A6" w:rsidR="00BD4ED8" w:rsidP="00190B9E" w:rsidRDefault="00BD4ED8" w14:paraId="69CAC22C" w14:textId="2367ECF9">
            <w:pPr>
              <w:rPr>
                <w:b/>
                <w:bCs/>
                <w:color w:val="000000"/>
              </w:rPr>
            </w:pPr>
            <w:r w:rsidRPr="002D28A6">
              <w:rPr>
                <w:b/>
                <w:bCs/>
                <w:color w:val="000000"/>
              </w:rPr>
              <w:t xml:space="preserve">3. </w:t>
            </w:r>
            <w:r w:rsidR="004E47A6">
              <w:rPr>
                <w:b/>
                <w:bCs/>
                <w:color w:val="000000"/>
              </w:rPr>
              <w:t xml:space="preserve"> </w:t>
            </w:r>
            <w:r w:rsidRPr="002D28A6">
              <w:rPr>
                <w:b/>
                <w:bCs/>
                <w:color w:val="000000"/>
              </w:rPr>
              <w:t xml:space="preserve">Costs eligible for tracking in the new Electric Capacity and New Business </w:t>
            </w:r>
            <w:r>
              <w:rPr>
                <w:b/>
                <w:bCs/>
                <w:color w:val="000000"/>
              </w:rPr>
              <w:t>Interim Memorandum</w:t>
            </w:r>
            <w:r w:rsidRPr="002D28A6">
              <w:rPr>
                <w:b/>
                <w:bCs/>
                <w:color w:val="000000"/>
              </w:rPr>
              <w:t xml:space="preserve"> Account (ECNB</w:t>
            </w:r>
            <w:r>
              <w:rPr>
                <w:b/>
                <w:bCs/>
                <w:color w:val="000000"/>
              </w:rPr>
              <w:t>IM</w:t>
            </w:r>
            <w:r w:rsidRPr="002D28A6">
              <w:rPr>
                <w:b/>
                <w:bCs/>
                <w:color w:val="000000"/>
              </w:rPr>
              <w:t>A)</w:t>
            </w:r>
          </w:p>
          <w:p w:rsidRPr="002D28A6" w:rsidR="00BD4ED8" w:rsidP="00190B9E" w:rsidRDefault="00BD4ED8" w14:paraId="22880AB2" w14:textId="77777777">
            <w:pPr>
              <w:rPr>
                <w:color w:val="000000"/>
              </w:rPr>
            </w:pPr>
          </w:p>
          <w:p w:rsidRPr="002D28A6" w:rsidR="00BD4ED8" w:rsidP="00190B9E" w:rsidRDefault="00BD4ED8" w14:paraId="123CC599" w14:textId="4167D67A">
            <w:pPr>
              <w:rPr>
                <w:color w:val="000000"/>
              </w:rPr>
            </w:pPr>
            <w:r w:rsidRPr="002D28A6">
              <w:rPr>
                <w:color w:val="000000"/>
              </w:rPr>
              <w:t xml:space="preserve">TURN recommended that the Commission limit the costs eligible for tracking in the </w:t>
            </w:r>
            <w:r>
              <w:rPr>
                <w:color w:val="000000"/>
              </w:rPr>
              <w:t>SB 410 ratemaking mechanism</w:t>
            </w:r>
            <w:r w:rsidRPr="002D28A6">
              <w:rPr>
                <w:color w:val="000000"/>
              </w:rPr>
              <w:t xml:space="preserve"> to those directly related to customer connections</w:t>
            </w:r>
            <w:r>
              <w:rPr>
                <w:color w:val="000000"/>
              </w:rPr>
              <w:t xml:space="preserve">, including certain costs recorded in Major Work Category (MWC) 06, 10, 16, and 46, but not all.  TURN pointed out that </w:t>
            </w:r>
            <w:r w:rsidR="002F2B7E">
              <w:rPr>
                <w:color w:val="000000"/>
              </w:rPr>
              <w:t xml:space="preserve">only </w:t>
            </w:r>
            <w:r>
              <w:rPr>
                <w:color w:val="000000"/>
              </w:rPr>
              <w:t xml:space="preserve">some of the line item cost categories (or MAT codes) within these MWC are energization related.  </w:t>
            </w:r>
          </w:p>
          <w:p w:rsidR="004E25DC" w:rsidP="00190B9E" w:rsidRDefault="004E25DC" w14:paraId="4890800C" w14:textId="77777777">
            <w:pPr>
              <w:rPr>
                <w:color w:val="000000"/>
              </w:rPr>
            </w:pPr>
          </w:p>
          <w:p w:rsidR="00BD4ED8" w:rsidP="00190B9E" w:rsidRDefault="00BD4ED8" w14:paraId="628A043D" w14:textId="03E4CA94">
            <w:pPr>
              <w:rPr>
                <w:color w:val="000000"/>
              </w:rPr>
            </w:pPr>
            <w:r>
              <w:rPr>
                <w:color w:val="000000"/>
              </w:rPr>
              <w:t xml:space="preserve">The Commission agreed with TURN that “MWCs do not provide sufficient granularity because not all work performed within them is energization related” and instead set eligibility for interim recovery at the MAT or line item level, as TURN recommended.  </w:t>
            </w:r>
          </w:p>
          <w:p w:rsidR="00D41BFB" w:rsidP="00190B9E" w:rsidRDefault="00D41BFB" w14:paraId="5356A2E6" w14:textId="4A00AB9D">
            <w:pPr>
              <w:rPr>
                <w:color w:val="000000"/>
              </w:rPr>
            </w:pPr>
          </w:p>
          <w:p w:rsidR="00D41BFB" w:rsidP="00190B9E" w:rsidRDefault="00D41BFB" w14:paraId="0D58EFCE" w14:textId="2693327F">
            <w:pPr>
              <w:rPr>
                <w:color w:val="000000"/>
              </w:rPr>
            </w:pPr>
            <w:r>
              <w:rPr>
                <w:color w:val="000000"/>
              </w:rPr>
              <w:t>TURN summarizes its contributions to the Commission’s treatment of costs within MWC 06, 10, 46, and 16 below.</w:t>
            </w:r>
          </w:p>
          <w:p w:rsidR="00BD4ED8" w:rsidP="00190B9E" w:rsidRDefault="00BD4ED8" w14:paraId="25C7C846" w14:textId="77777777">
            <w:pPr>
              <w:rPr>
                <w:color w:val="000000"/>
              </w:rPr>
            </w:pPr>
          </w:p>
          <w:p w:rsidRPr="00FC13B6" w:rsidR="00BD4ED8" w:rsidP="00190B9E" w:rsidRDefault="00BD4ED8" w14:paraId="4FA7D387" w14:textId="262A348B">
            <w:pPr>
              <w:rPr>
                <w:color w:val="000000"/>
                <w:u w:val="single"/>
              </w:rPr>
            </w:pPr>
            <w:r w:rsidRPr="00FC13B6">
              <w:rPr>
                <w:color w:val="000000"/>
                <w:u w:val="single"/>
              </w:rPr>
              <w:t>MWC 06</w:t>
            </w:r>
          </w:p>
          <w:p w:rsidRPr="008346C8" w:rsidR="004E25DC" w:rsidP="00190B9E" w:rsidRDefault="004E25DC" w14:paraId="32CC6E36" w14:textId="77777777">
            <w:pPr>
              <w:rPr>
                <w:b/>
                <w:bCs/>
                <w:color w:val="000000"/>
                <w:u w:val="single"/>
              </w:rPr>
            </w:pPr>
          </w:p>
          <w:p w:rsidR="004E25DC" w:rsidP="00190B9E" w:rsidRDefault="00BD4ED8" w14:paraId="471E603F" w14:textId="301CABFD">
            <w:pPr>
              <w:rPr>
                <w:color w:val="000000"/>
              </w:rPr>
            </w:pPr>
            <w:r>
              <w:rPr>
                <w:color w:val="000000"/>
              </w:rPr>
              <w:t>TURN proposed that MWC 06 costs not associated with applications for service should be excluded from interim recover</w:t>
            </w:r>
            <w:r w:rsidR="006523B7">
              <w:rPr>
                <w:color w:val="000000"/>
              </w:rPr>
              <w:t>y</w:t>
            </w:r>
            <w:r>
              <w:rPr>
                <w:color w:val="000000"/>
              </w:rPr>
              <w:t xml:space="preserve">, which would exclude costs in MAT codes other than MAT 06H.  </w:t>
            </w:r>
          </w:p>
          <w:p w:rsidR="004E25DC" w:rsidP="00190B9E" w:rsidRDefault="004E25DC" w14:paraId="25AEEAF8" w14:textId="77777777">
            <w:pPr>
              <w:rPr>
                <w:color w:val="000000"/>
              </w:rPr>
            </w:pPr>
          </w:p>
          <w:p w:rsidR="00BD4ED8" w:rsidP="00190B9E" w:rsidRDefault="00BD4ED8" w14:paraId="09CACA04" w14:textId="735F2F85">
            <w:pPr>
              <w:rPr>
                <w:color w:val="000000"/>
              </w:rPr>
            </w:pPr>
            <w:r>
              <w:rPr>
                <w:color w:val="000000"/>
              </w:rPr>
              <w:t xml:space="preserve">The Commission agreed with TURN that PG&amp;E’s proposal was overbroad and excluded from interim recovery some of the MAT codes TURN recommended, including costs recorded to MAT 06G, 06I, 06K, 06P, 06#.  </w:t>
            </w:r>
          </w:p>
          <w:p w:rsidR="00BD4ED8" w:rsidP="00190B9E" w:rsidRDefault="00BD4ED8" w14:paraId="5D140256" w14:textId="77777777">
            <w:pPr>
              <w:rPr>
                <w:color w:val="000000"/>
              </w:rPr>
            </w:pPr>
          </w:p>
          <w:p w:rsidRPr="00FC13B6" w:rsidR="00BD4ED8" w:rsidP="00190B9E" w:rsidRDefault="00BD4ED8" w14:paraId="5ED0E005" w14:textId="0A3DCC26">
            <w:pPr>
              <w:rPr>
                <w:color w:val="000000"/>
                <w:u w:val="single"/>
              </w:rPr>
            </w:pPr>
            <w:r w:rsidRPr="00FC13B6">
              <w:rPr>
                <w:color w:val="000000"/>
                <w:u w:val="single"/>
              </w:rPr>
              <w:t>MWC 10</w:t>
            </w:r>
          </w:p>
          <w:p w:rsidRPr="008346C8" w:rsidR="00221965" w:rsidP="00190B9E" w:rsidRDefault="00221965" w14:paraId="4DEDED77" w14:textId="77777777">
            <w:pPr>
              <w:rPr>
                <w:b/>
                <w:bCs/>
                <w:color w:val="000000"/>
                <w:u w:val="single"/>
              </w:rPr>
            </w:pPr>
          </w:p>
          <w:p w:rsidR="00BD4ED8" w:rsidP="00190B9E" w:rsidRDefault="00BD4ED8" w14:paraId="30B9979F" w14:textId="3C2E7F27">
            <w:pPr>
              <w:rPr>
                <w:color w:val="000000"/>
              </w:rPr>
            </w:pPr>
            <w:r>
              <w:rPr>
                <w:color w:val="000000"/>
              </w:rPr>
              <w:t xml:space="preserve">TURN did not oppose allowing interim recovery for incremental MWC 10 costs that are necessary to complete customer energization projects, but proposed that 24% of the GRC adopted MWC 10 forecast be assumed to be for energization-related work, whereas PG&amp;E had proposed 22%.  The Commission adopted TURN’s recommendation for MWC 10.  </w:t>
            </w:r>
          </w:p>
          <w:p w:rsidR="00BD4ED8" w:rsidP="00190B9E" w:rsidRDefault="00BD4ED8" w14:paraId="667AA54F" w14:textId="77777777">
            <w:pPr>
              <w:rPr>
                <w:color w:val="000000"/>
              </w:rPr>
            </w:pPr>
          </w:p>
          <w:p w:rsidRPr="00FC13B6" w:rsidR="00BD4ED8" w:rsidP="00190B9E" w:rsidRDefault="00BD4ED8" w14:paraId="1E3245A4" w14:textId="1E3A6CDF">
            <w:pPr>
              <w:rPr>
                <w:color w:val="000000"/>
                <w:u w:val="single"/>
              </w:rPr>
            </w:pPr>
            <w:r w:rsidRPr="00FC13B6">
              <w:rPr>
                <w:color w:val="000000"/>
                <w:u w:val="single"/>
              </w:rPr>
              <w:t>MWC 46</w:t>
            </w:r>
          </w:p>
          <w:p w:rsidRPr="008346C8" w:rsidR="00221965" w:rsidP="00190B9E" w:rsidRDefault="00221965" w14:paraId="2E7E4622" w14:textId="77777777">
            <w:pPr>
              <w:rPr>
                <w:b/>
                <w:bCs/>
                <w:color w:val="000000"/>
                <w:u w:val="single"/>
              </w:rPr>
            </w:pPr>
          </w:p>
          <w:p w:rsidR="00BD4ED8" w:rsidP="00190B9E" w:rsidRDefault="00BD4ED8" w14:paraId="21F72A01" w14:textId="50921FF8">
            <w:pPr>
              <w:rPr>
                <w:color w:val="000000"/>
              </w:rPr>
            </w:pPr>
            <w:r>
              <w:rPr>
                <w:color w:val="000000"/>
              </w:rPr>
              <w:t xml:space="preserve">TURN recommended that costs tracked in MAT 46A and 46F should not be eligible for interim rate recovery.  The Commission agreed with TURN that MAT 46F cost are ineligible, while concluding that some (but not all) MAT 46A costs are eligible for interim recovery.    </w:t>
            </w:r>
          </w:p>
          <w:p w:rsidR="00BD4ED8" w:rsidP="00190B9E" w:rsidRDefault="00BD4ED8" w14:paraId="3CD93603" w14:textId="77777777">
            <w:pPr>
              <w:rPr>
                <w:color w:val="000000"/>
              </w:rPr>
            </w:pPr>
          </w:p>
          <w:p w:rsidRPr="00FC13B6" w:rsidR="00BD4ED8" w:rsidP="00190B9E" w:rsidRDefault="00BD4ED8" w14:paraId="47AF8AE6" w14:textId="34A403FC">
            <w:pPr>
              <w:rPr>
                <w:color w:val="000000"/>
                <w:u w:val="single"/>
              </w:rPr>
            </w:pPr>
            <w:r w:rsidRPr="00FC13B6">
              <w:rPr>
                <w:color w:val="000000"/>
                <w:u w:val="single"/>
              </w:rPr>
              <w:t>MWC 16</w:t>
            </w:r>
          </w:p>
          <w:p w:rsidRPr="008346C8" w:rsidR="00221965" w:rsidP="00190B9E" w:rsidRDefault="00221965" w14:paraId="0EFEED7C" w14:textId="77777777">
            <w:pPr>
              <w:rPr>
                <w:b/>
                <w:bCs/>
                <w:color w:val="000000"/>
                <w:u w:val="single"/>
              </w:rPr>
            </w:pPr>
          </w:p>
          <w:p w:rsidR="00BD4ED8" w:rsidP="00190B9E" w:rsidRDefault="00BD4ED8" w14:paraId="2ABBD522" w14:textId="426F6CD9">
            <w:pPr>
              <w:rPr>
                <w:color w:val="000000"/>
              </w:rPr>
            </w:pPr>
            <w:r>
              <w:rPr>
                <w:color w:val="000000"/>
              </w:rPr>
              <w:t xml:space="preserve">TURN opposed interim recovery eligibility for certain line item cost categories within MWC 16, including “transformer purchases” and “transformer scrapping”.  The Commission reduced eligibility for transformer purchases and scrapping costs in MWC 16 by 70% and adopted conditions that must be met before PG&amp;E can include transformer costs in the ratemaking mechanism in order to link these costs to the purpose of SB 410. </w:t>
            </w:r>
          </w:p>
          <w:p w:rsidR="00BD4ED8" w:rsidP="00190B9E" w:rsidRDefault="00BD4ED8" w14:paraId="643CC5CD" w14:textId="77777777">
            <w:pPr>
              <w:rPr>
                <w:color w:val="000000"/>
              </w:rPr>
            </w:pPr>
          </w:p>
          <w:p w:rsidRPr="00FC13B6" w:rsidR="00BD4ED8" w:rsidP="00190B9E" w:rsidRDefault="00BD4ED8" w14:paraId="094538CD" w14:textId="546CF4D9">
            <w:pPr>
              <w:rPr>
                <w:color w:val="000000"/>
                <w:u w:val="single"/>
              </w:rPr>
            </w:pPr>
            <w:r w:rsidRPr="00FC13B6">
              <w:rPr>
                <w:color w:val="000000"/>
                <w:u w:val="single"/>
              </w:rPr>
              <w:t>New vs. Existing Customers</w:t>
            </w:r>
          </w:p>
          <w:p w:rsidRPr="00C544EE" w:rsidR="00FC13B6" w:rsidP="00190B9E" w:rsidRDefault="00FC13B6" w14:paraId="7BCB5A4C" w14:textId="77777777">
            <w:pPr>
              <w:rPr>
                <w:b/>
                <w:bCs/>
                <w:color w:val="000000"/>
                <w:u w:val="single"/>
              </w:rPr>
            </w:pPr>
          </w:p>
          <w:p w:rsidR="00BD4ED8" w:rsidP="00190B9E" w:rsidRDefault="00BD4ED8" w14:paraId="089DACE9" w14:textId="24D48D80">
            <w:pPr>
              <w:rPr>
                <w:color w:val="000000"/>
              </w:rPr>
            </w:pPr>
            <w:r>
              <w:rPr>
                <w:color w:val="000000"/>
              </w:rPr>
              <w:t xml:space="preserve">Finally, TURN recommended that the Commission require PG&amp;E to track which new connection requests (MWC 16 and 10) are attributable to new versus existing customers and include this information in its next GRC application.  The Commission agreed that PG&amp;E should separately track </w:t>
            </w:r>
            <w:r>
              <w:rPr>
                <w:color w:val="000000"/>
              </w:rPr>
              <w:lastRenderedPageBreak/>
              <w:t xml:space="preserve">data for projects initiated by existing customers from projects for new customers because SB 410 distinguishes between new and existing customers.   </w:t>
            </w:r>
          </w:p>
          <w:p w:rsidRPr="002D28A6" w:rsidR="00BD4ED8" w:rsidP="00190B9E" w:rsidRDefault="00BD4ED8" w14:paraId="77A8C970" w14:textId="50E93ECB">
            <w:pPr>
              <w:rPr>
                <w:color w:val="000000"/>
              </w:rPr>
            </w:pPr>
          </w:p>
        </w:tc>
        <w:tc>
          <w:tcPr>
            <w:tcW w:w="2926" w:type="dxa"/>
            <w:shd w:val="clear" w:color="auto" w:fill="auto"/>
          </w:tcPr>
          <w:p w:rsidRPr="002D28A6" w:rsidR="00BD4ED8" w:rsidP="00190B9E" w:rsidRDefault="00BD4ED8" w14:paraId="44CBC243" w14:textId="77777777">
            <w:pPr>
              <w:rPr>
                <w:color w:val="000000"/>
              </w:rPr>
            </w:pPr>
          </w:p>
          <w:p w:rsidRPr="002D28A6" w:rsidR="00BD4ED8" w:rsidP="00190B9E" w:rsidRDefault="00BD4ED8" w14:paraId="57E856FC" w14:textId="77777777">
            <w:pPr>
              <w:rPr>
                <w:color w:val="000000"/>
              </w:rPr>
            </w:pPr>
          </w:p>
          <w:p w:rsidRPr="002D28A6" w:rsidR="00BD4ED8" w:rsidP="00190B9E" w:rsidRDefault="00BD4ED8" w14:paraId="77ADF1E2" w14:textId="77777777">
            <w:pPr>
              <w:rPr>
                <w:color w:val="000000"/>
              </w:rPr>
            </w:pPr>
          </w:p>
          <w:p w:rsidRPr="002D28A6" w:rsidR="00BD4ED8" w:rsidP="00190B9E" w:rsidRDefault="00BD4ED8" w14:paraId="21C33ED0" w14:textId="77777777">
            <w:pPr>
              <w:rPr>
                <w:color w:val="000000"/>
              </w:rPr>
            </w:pPr>
          </w:p>
          <w:p w:rsidR="00BD4ED8" w:rsidP="00190B9E" w:rsidRDefault="00BD4ED8" w14:paraId="62967B70" w14:textId="77777777">
            <w:pPr>
              <w:rPr>
                <w:color w:val="000000"/>
              </w:rPr>
            </w:pPr>
          </w:p>
          <w:p w:rsidRPr="002D28A6" w:rsidR="00BD4ED8" w:rsidP="00190B9E" w:rsidRDefault="00BD4ED8" w14:paraId="619C05A0" w14:textId="4613043D">
            <w:pPr>
              <w:pStyle w:val="ListParagraph"/>
            </w:pPr>
            <w:r w:rsidRPr="002D28A6">
              <w:t xml:space="preserve">TURN Opening Brief, pp. </w:t>
            </w:r>
            <w:r>
              <w:t>13-24</w:t>
            </w:r>
            <w:r w:rsidRPr="002D28A6">
              <w:t>.</w:t>
            </w:r>
          </w:p>
          <w:p w:rsidRPr="002D28A6" w:rsidR="00BD4ED8" w:rsidP="00190B9E" w:rsidRDefault="00BD4ED8" w14:paraId="7D29887E" w14:textId="77777777">
            <w:pPr>
              <w:pStyle w:val="ListParagraph"/>
              <w:numPr>
                <w:ilvl w:val="0"/>
                <w:numId w:val="0"/>
              </w:numPr>
              <w:ind w:left="374"/>
            </w:pPr>
          </w:p>
          <w:p w:rsidR="00BD4ED8" w:rsidP="00190B9E" w:rsidRDefault="00BD4ED8" w14:paraId="048C1D99" w14:textId="0882B587">
            <w:pPr>
              <w:pStyle w:val="ListParagraph"/>
            </w:pPr>
            <w:r w:rsidRPr="002D28A6">
              <w:t xml:space="preserve">D.24-07-008, </w:t>
            </w:r>
            <w:r>
              <w:t>pp. 27-28</w:t>
            </w:r>
            <w:r w:rsidRPr="002D28A6">
              <w:t>.</w:t>
            </w:r>
          </w:p>
          <w:p w:rsidR="00765964" w:rsidP="00765964" w:rsidRDefault="00765964" w14:paraId="0E739829" w14:textId="77777777">
            <w:pPr>
              <w:pStyle w:val="ListParagraph"/>
            </w:pPr>
          </w:p>
          <w:p w:rsidR="00BD4ED8" w:rsidP="00190B9E" w:rsidRDefault="00BD4ED8" w14:paraId="02D463C7" w14:textId="77777777">
            <w:pPr>
              <w:pStyle w:val="ListParagraph"/>
              <w:numPr>
                <w:ilvl w:val="0"/>
                <w:numId w:val="0"/>
              </w:numPr>
              <w:ind w:left="374"/>
            </w:pPr>
          </w:p>
          <w:p w:rsidR="00FC13B6" w:rsidP="00190B9E" w:rsidRDefault="00FC13B6" w14:paraId="089F834D" w14:textId="77777777">
            <w:pPr>
              <w:rPr>
                <w:color w:val="000000"/>
                <w:u w:val="single"/>
              </w:rPr>
            </w:pPr>
          </w:p>
          <w:p w:rsidRPr="00FC13B6" w:rsidR="004E25DC" w:rsidP="00190B9E" w:rsidRDefault="004E25DC" w14:paraId="40D7E668" w14:textId="43540062">
            <w:pPr>
              <w:rPr>
                <w:color w:val="000000"/>
                <w:u w:val="single"/>
              </w:rPr>
            </w:pPr>
            <w:r w:rsidRPr="00FC13B6">
              <w:rPr>
                <w:color w:val="000000"/>
                <w:u w:val="single"/>
              </w:rPr>
              <w:t>MWC 06</w:t>
            </w:r>
          </w:p>
          <w:p w:rsidR="004E25DC" w:rsidP="00190B9E" w:rsidRDefault="004E25DC" w14:paraId="19D94FD2" w14:textId="77777777">
            <w:pPr>
              <w:pStyle w:val="ListParagraph"/>
              <w:numPr>
                <w:ilvl w:val="0"/>
                <w:numId w:val="0"/>
              </w:numPr>
              <w:ind w:left="374"/>
            </w:pPr>
          </w:p>
          <w:p w:rsidR="00BD4ED8" w:rsidP="00190B9E" w:rsidRDefault="00BD4ED8" w14:paraId="4E460A06" w14:textId="4FE7B9D7">
            <w:pPr>
              <w:pStyle w:val="ListParagraph"/>
            </w:pPr>
            <w:r>
              <w:t>TURN Opening Brief, pp. 16-17 (MWC 06).</w:t>
            </w:r>
          </w:p>
          <w:p w:rsidR="00BD4ED8" w:rsidP="00190B9E" w:rsidRDefault="00BD4ED8" w14:paraId="365B8F0D" w14:textId="77777777">
            <w:pPr>
              <w:pStyle w:val="ListParagraph"/>
              <w:numPr>
                <w:ilvl w:val="0"/>
                <w:numId w:val="0"/>
              </w:numPr>
              <w:ind w:left="374"/>
            </w:pPr>
          </w:p>
          <w:p w:rsidR="00BD4ED8" w:rsidP="00190B9E" w:rsidRDefault="00BD4ED8" w14:paraId="1ABEFA3D" w14:textId="420A6B61">
            <w:pPr>
              <w:pStyle w:val="ListParagraph"/>
            </w:pPr>
            <w:r>
              <w:t>D.24-07-008, pp. 31-33 (MWC 06).</w:t>
            </w:r>
          </w:p>
          <w:p w:rsidR="00765964" w:rsidP="00765964" w:rsidRDefault="00765964" w14:paraId="03A12069" w14:textId="77777777">
            <w:pPr>
              <w:pStyle w:val="ListParagraph"/>
            </w:pPr>
          </w:p>
          <w:p w:rsidR="00BD4ED8" w:rsidP="00190B9E" w:rsidRDefault="00BD4ED8" w14:paraId="1974CA8D" w14:textId="77777777">
            <w:pPr>
              <w:pStyle w:val="ListParagraph"/>
              <w:numPr>
                <w:ilvl w:val="0"/>
                <w:numId w:val="0"/>
              </w:numPr>
              <w:ind w:left="374"/>
            </w:pPr>
          </w:p>
          <w:p w:rsidR="00FC13B6" w:rsidP="00190B9E" w:rsidRDefault="00FC13B6" w14:paraId="5150F890" w14:textId="77777777">
            <w:pPr>
              <w:rPr>
                <w:color w:val="000000"/>
                <w:u w:val="single"/>
              </w:rPr>
            </w:pPr>
          </w:p>
          <w:p w:rsidRPr="00FC13B6" w:rsidR="004E25DC" w:rsidP="00190B9E" w:rsidRDefault="004E25DC" w14:paraId="29C7D85A" w14:textId="6A7CD053">
            <w:pPr>
              <w:rPr>
                <w:color w:val="000000"/>
                <w:u w:val="single"/>
              </w:rPr>
            </w:pPr>
            <w:r w:rsidRPr="00FC13B6">
              <w:rPr>
                <w:color w:val="000000"/>
                <w:u w:val="single"/>
              </w:rPr>
              <w:t>MWC 10</w:t>
            </w:r>
          </w:p>
          <w:p w:rsidR="004E25DC" w:rsidP="00190B9E" w:rsidRDefault="004E25DC" w14:paraId="5C61AA1C" w14:textId="77777777">
            <w:pPr>
              <w:pStyle w:val="ListParagraph"/>
              <w:numPr>
                <w:ilvl w:val="0"/>
                <w:numId w:val="0"/>
              </w:numPr>
              <w:ind w:left="374"/>
            </w:pPr>
          </w:p>
          <w:p w:rsidR="00BD4ED8" w:rsidP="00190B9E" w:rsidRDefault="00BD4ED8" w14:paraId="5D40A0EB" w14:textId="7A6540D3">
            <w:pPr>
              <w:pStyle w:val="ListParagraph"/>
            </w:pPr>
            <w:r>
              <w:t>TURN Opening Brief, p. 18 (MWC 10).</w:t>
            </w:r>
          </w:p>
          <w:p w:rsidR="00BD4ED8" w:rsidP="00190B9E" w:rsidRDefault="00BD4ED8" w14:paraId="4078BFD9" w14:textId="77777777">
            <w:pPr>
              <w:pStyle w:val="ListParagraph"/>
              <w:numPr>
                <w:ilvl w:val="0"/>
                <w:numId w:val="0"/>
              </w:numPr>
              <w:ind w:left="374"/>
            </w:pPr>
          </w:p>
          <w:p w:rsidR="00BD4ED8" w:rsidP="00190B9E" w:rsidRDefault="00BD4ED8" w14:paraId="0759C163" w14:textId="24C62D19">
            <w:pPr>
              <w:pStyle w:val="ListParagraph"/>
            </w:pPr>
            <w:r>
              <w:t>D.24-07-008, pp. 28-29 (MWC 10).</w:t>
            </w:r>
          </w:p>
          <w:p w:rsidR="00765964" w:rsidP="00765964" w:rsidRDefault="00765964" w14:paraId="57650282" w14:textId="77777777">
            <w:pPr>
              <w:pStyle w:val="ListParagraph"/>
            </w:pPr>
          </w:p>
          <w:p w:rsidR="00BD4ED8" w:rsidP="00190B9E" w:rsidRDefault="00BD4ED8" w14:paraId="3F2AA610" w14:textId="77777777">
            <w:pPr>
              <w:pStyle w:val="ListParagraph"/>
              <w:numPr>
                <w:ilvl w:val="0"/>
                <w:numId w:val="0"/>
              </w:numPr>
              <w:ind w:left="374"/>
            </w:pPr>
          </w:p>
          <w:p w:rsidR="00FC13B6" w:rsidP="00190B9E" w:rsidRDefault="00FC13B6" w14:paraId="39FAFEB2" w14:textId="77777777">
            <w:pPr>
              <w:rPr>
                <w:color w:val="000000"/>
                <w:u w:val="single"/>
              </w:rPr>
            </w:pPr>
          </w:p>
          <w:p w:rsidRPr="00FC13B6" w:rsidR="004E25DC" w:rsidP="00190B9E" w:rsidRDefault="004E25DC" w14:paraId="697B0F68" w14:textId="2A5C822F">
            <w:pPr>
              <w:rPr>
                <w:color w:val="000000"/>
                <w:u w:val="single"/>
              </w:rPr>
            </w:pPr>
            <w:r w:rsidRPr="00FC13B6">
              <w:rPr>
                <w:color w:val="000000"/>
                <w:u w:val="single"/>
              </w:rPr>
              <w:t>MWC 46</w:t>
            </w:r>
          </w:p>
          <w:p w:rsidR="004E25DC" w:rsidP="00190B9E" w:rsidRDefault="004E25DC" w14:paraId="5FC37C0E" w14:textId="77777777">
            <w:pPr>
              <w:pStyle w:val="ListParagraph"/>
              <w:numPr>
                <w:ilvl w:val="0"/>
                <w:numId w:val="0"/>
              </w:numPr>
              <w:ind w:left="374"/>
            </w:pPr>
          </w:p>
          <w:p w:rsidR="00BD4ED8" w:rsidP="00190B9E" w:rsidRDefault="00BD4ED8" w14:paraId="31890782" w14:textId="472A5C7B">
            <w:pPr>
              <w:pStyle w:val="ListParagraph"/>
            </w:pPr>
            <w:r>
              <w:t>TURN Opening Brief, pp. 22-24 (MWC 46).</w:t>
            </w:r>
          </w:p>
          <w:p w:rsidR="00BD4ED8" w:rsidP="00190B9E" w:rsidRDefault="00BD4ED8" w14:paraId="465EFA1A" w14:textId="77777777">
            <w:pPr>
              <w:pStyle w:val="ListParagraph"/>
              <w:numPr>
                <w:ilvl w:val="0"/>
                <w:numId w:val="0"/>
              </w:numPr>
              <w:ind w:left="374"/>
            </w:pPr>
          </w:p>
          <w:p w:rsidR="00BD4ED8" w:rsidP="00190B9E" w:rsidRDefault="00BD4ED8" w14:paraId="5D34ABF9" w14:textId="61BCEF26">
            <w:pPr>
              <w:pStyle w:val="ListParagraph"/>
            </w:pPr>
            <w:r>
              <w:t>D.24-07-008, pp. 29-30 (MWC 46).</w:t>
            </w:r>
          </w:p>
          <w:p w:rsidR="00765964" w:rsidP="00765964" w:rsidRDefault="00765964" w14:paraId="591E0F10" w14:textId="77777777">
            <w:pPr>
              <w:pStyle w:val="ListParagraph"/>
            </w:pPr>
          </w:p>
          <w:p w:rsidR="00BD4ED8" w:rsidP="00190B9E" w:rsidRDefault="00BD4ED8" w14:paraId="5E2710C0" w14:textId="77777777">
            <w:pPr>
              <w:pStyle w:val="ListParagraph"/>
              <w:numPr>
                <w:ilvl w:val="0"/>
                <w:numId w:val="0"/>
              </w:numPr>
              <w:ind w:left="374"/>
            </w:pPr>
          </w:p>
          <w:p w:rsidR="00FC13B6" w:rsidP="00190B9E" w:rsidRDefault="00FC13B6" w14:paraId="2C7ABAE3" w14:textId="77777777">
            <w:pPr>
              <w:rPr>
                <w:color w:val="000000"/>
                <w:u w:val="single"/>
              </w:rPr>
            </w:pPr>
          </w:p>
          <w:p w:rsidRPr="00FC13B6" w:rsidR="00221965" w:rsidP="00190B9E" w:rsidRDefault="00221965" w14:paraId="6567F3A2" w14:textId="351973C2">
            <w:pPr>
              <w:rPr>
                <w:color w:val="000000"/>
                <w:u w:val="single"/>
              </w:rPr>
            </w:pPr>
            <w:r w:rsidRPr="00FC13B6">
              <w:rPr>
                <w:color w:val="000000"/>
                <w:u w:val="single"/>
              </w:rPr>
              <w:lastRenderedPageBreak/>
              <w:t>MWC 16</w:t>
            </w:r>
          </w:p>
          <w:p w:rsidR="00221965" w:rsidP="00190B9E" w:rsidRDefault="00221965" w14:paraId="06FAFA7B" w14:textId="77777777">
            <w:pPr>
              <w:pStyle w:val="ListParagraph"/>
              <w:numPr>
                <w:ilvl w:val="0"/>
                <w:numId w:val="0"/>
              </w:numPr>
              <w:ind w:left="374"/>
            </w:pPr>
          </w:p>
          <w:p w:rsidR="00BD4ED8" w:rsidP="00190B9E" w:rsidRDefault="00BD4ED8" w14:paraId="40C1B1AE" w14:textId="0C5AA19B">
            <w:pPr>
              <w:pStyle w:val="ListParagraph"/>
            </w:pPr>
            <w:r>
              <w:t>TURN Opening Brief, pp. 19-21 (exclusion of MWC 16 line items for transformer purchase and scrapping).</w:t>
            </w:r>
          </w:p>
          <w:p w:rsidR="00221965" w:rsidP="00190B9E" w:rsidRDefault="00221965" w14:paraId="5E254054" w14:textId="77777777">
            <w:pPr>
              <w:pStyle w:val="ListParagraph"/>
              <w:numPr>
                <w:ilvl w:val="0"/>
                <w:numId w:val="0"/>
              </w:numPr>
              <w:ind w:left="374"/>
            </w:pPr>
          </w:p>
          <w:p w:rsidR="00BD4ED8" w:rsidP="00190B9E" w:rsidRDefault="00BD4ED8" w14:paraId="2591AC87" w14:textId="5D46B50B">
            <w:pPr>
              <w:pStyle w:val="ListParagraph"/>
            </w:pPr>
            <w:r>
              <w:t>D.24-07-008, pp. 33-34 (transformer purchase and scrappin</w:t>
            </w:r>
            <w:r w:rsidRPr="00AF560A">
              <w:t>g).</w:t>
            </w:r>
            <w:r>
              <w:t xml:space="preserve"> </w:t>
            </w:r>
          </w:p>
          <w:p w:rsidR="00765964" w:rsidP="00765964" w:rsidRDefault="00765964" w14:paraId="7134D0D8" w14:textId="77777777">
            <w:pPr>
              <w:pStyle w:val="ListParagraph"/>
            </w:pPr>
          </w:p>
          <w:p w:rsidR="00221965" w:rsidP="00190B9E" w:rsidRDefault="00221965" w14:paraId="6A346E27" w14:textId="77777777"/>
          <w:p w:rsidR="00FC13B6" w:rsidP="00190B9E" w:rsidRDefault="00FC13B6" w14:paraId="38C4EB6E" w14:textId="77777777">
            <w:pPr>
              <w:rPr>
                <w:color w:val="000000"/>
                <w:u w:val="single"/>
              </w:rPr>
            </w:pPr>
          </w:p>
          <w:p w:rsidRPr="00FC13B6" w:rsidR="000624FA" w:rsidP="00190B9E" w:rsidRDefault="000624FA" w14:paraId="6D0DDBDF" w14:textId="7B604F08">
            <w:pPr>
              <w:rPr>
                <w:color w:val="000000"/>
                <w:u w:val="single"/>
              </w:rPr>
            </w:pPr>
            <w:r w:rsidRPr="00FC13B6">
              <w:rPr>
                <w:color w:val="000000"/>
                <w:u w:val="single"/>
              </w:rPr>
              <w:t>New vs. Existing Customers</w:t>
            </w:r>
          </w:p>
          <w:p w:rsidR="000624FA" w:rsidP="00190B9E" w:rsidRDefault="000624FA" w14:paraId="68F07D90" w14:textId="77777777"/>
          <w:p w:rsidR="00BD4ED8" w:rsidP="00190B9E" w:rsidRDefault="00BD4ED8" w14:paraId="6AE97150" w14:textId="1B1B86FC">
            <w:pPr>
              <w:pStyle w:val="ListParagraph"/>
            </w:pPr>
            <w:r>
              <w:t>TURN Opening Brief, p. 13 (new connections requests from new vs. existing customers).</w:t>
            </w:r>
          </w:p>
          <w:p w:rsidR="00BD4ED8" w:rsidP="00190B9E" w:rsidRDefault="00BD4ED8" w14:paraId="647C46D5" w14:textId="77777777">
            <w:pPr>
              <w:pStyle w:val="ListParagraph"/>
              <w:numPr>
                <w:ilvl w:val="0"/>
                <w:numId w:val="0"/>
              </w:numPr>
              <w:ind w:left="374"/>
            </w:pPr>
          </w:p>
          <w:p w:rsidR="00BD4ED8" w:rsidP="00190B9E" w:rsidRDefault="00BD4ED8" w14:paraId="5EB22FE1" w14:textId="3807B79B">
            <w:pPr>
              <w:pStyle w:val="ListParagraph"/>
            </w:pPr>
            <w:r>
              <w:t>D.24-07-008, p. 37 (new connections requests from new vs. existing customers).</w:t>
            </w:r>
          </w:p>
          <w:p w:rsidR="00765964" w:rsidP="00765964" w:rsidRDefault="00765964" w14:paraId="123CEE3A" w14:textId="77777777">
            <w:pPr>
              <w:pStyle w:val="ListParagraph"/>
              <w:rPr>
                <w:color w:val="000000"/>
              </w:rPr>
            </w:pPr>
          </w:p>
          <w:p w:rsidR="00BD4ED8" w:rsidP="00190B9E" w:rsidRDefault="00BD4ED8" w14:paraId="76D68F38" w14:textId="77777777">
            <w:pPr>
              <w:rPr>
                <w:color w:val="000000"/>
              </w:rPr>
            </w:pPr>
          </w:p>
          <w:p w:rsidR="00BD4ED8" w:rsidP="00190B9E" w:rsidRDefault="00BD4ED8" w14:paraId="2BC151E2" w14:textId="77777777">
            <w:pPr>
              <w:rPr>
                <w:color w:val="000000"/>
              </w:rPr>
            </w:pPr>
          </w:p>
          <w:p w:rsidRPr="002D28A6" w:rsidR="00BD4ED8" w:rsidP="00190B9E" w:rsidRDefault="00BD4ED8" w14:paraId="2144B6BD" w14:textId="4894A913">
            <w:pPr>
              <w:rPr>
                <w:color w:val="000000"/>
              </w:rPr>
            </w:pPr>
          </w:p>
        </w:tc>
        <w:tc>
          <w:tcPr>
            <w:tcW w:w="2337" w:type="dxa"/>
            <w:shd w:val="clear" w:color="auto" w:fill="auto"/>
          </w:tcPr>
          <w:p w:rsidR="00BD4ED8" w:rsidP="00765964" w:rsidRDefault="00BD4ED8" w14:paraId="09BC0E0C" w14:textId="77777777">
            <w:pPr>
              <w:jc w:val="center"/>
              <w:rPr>
                <w:color w:val="000000"/>
              </w:rPr>
            </w:pPr>
          </w:p>
          <w:p w:rsidR="00765964" w:rsidP="00765964" w:rsidRDefault="00765964" w14:paraId="6D3F3F3A" w14:textId="77777777">
            <w:pPr>
              <w:jc w:val="center"/>
              <w:rPr>
                <w:color w:val="000000"/>
              </w:rPr>
            </w:pPr>
          </w:p>
          <w:p w:rsidR="00765964" w:rsidP="00765964" w:rsidRDefault="00765964" w14:paraId="1FBE1D65" w14:textId="77777777">
            <w:pPr>
              <w:jc w:val="center"/>
              <w:rPr>
                <w:color w:val="000000"/>
              </w:rPr>
            </w:pPr>
          </w:p>
          <w:p w:rsidR="00765964" w:rsidP="00765964" w:rsidRDefault="00765964" w14:paraId="014B5EAB" w14:textId="77777777">
            <w:pPr>
              <w:jc w:val="center"/>
              <w:rPr>
                <w:color w:val="000000"/>
              </w:rPr>
            </w:pPr>
          </w:p>
          <w:p w:rsidR="00765964" w:rsidP="00765964" w:rsidRDefault="00765964" w14:paraId="70F22B67" w14:textId="77777777">
            <w:pPr>
              <w:jc w:val="center"/>
              <w:rPr>
                <w:color w:val="000000"/>
              </w:rPr>
            </w:pPr>
          </w:p>
          <w:p w:rsidR="00765964" w:rsidP="00765964" w:rsidRDefault="00765964" w14:paraId="370CDB95" w14:textId="77777777">
            <w:pPr>
              <w:jc w:val="center"/>
              <w:rPr>
                <w:color w:val="000000"/>
              </w:rPr>
            </w:pPr>
          </w:p>
          <w:p w:rsidR="00765964" w:rsidP="00765964" w:rsidRDefault="00765964" w14:paraId="4A57744F" w14:textId="77777777">
            <w:pPr>
              <w:jc w:val="center"/>
              <w:rPr>
                <w:color w:val="000000"/>
              </w:rPr>
            </w:pPr>
          </w:p>
          <w:p w:rsidR="00765964" w:rsidP="00765964" w:rsidRDefault="00765964" w14:paraId="6677AC07" w14:textId="77777777">
            <w:pPr>
              <w:jc w:val="center"/>
              <w:rPr>
                <w:color w:val="000000"/>
              </w:rPr>
            </w:pPr>
            <w:r>
              <w:rPr>
                <w:color w:val="000000"/>
              </w:rPr>
              <w:t>Verified</w:t>
            </w:r>
          </w:p>
          <w:p w:rsidR="00765964" w:rsidP="00765964" w:rsidRDefault="00765964" w14:paraId="22AB2ADA" w14:textId="77777777">
            <w:pPr>
              <w:jc w:val="center"/>
              <w:rPr>
                <w:color w:val="000000"/>
              </w:rPr>
            </w:pPr>
          </w:p>
          <w:p w:rsidR="00765964" w:rsidP="00765964" w:rsidRDefault="00765964" w14:paraId="24F88144" w14:textId="77777777">
            <w:pPr>
              <w:jc w:val="center"/>
              <w:rPr>
                <w:color w:val="000000"/>
              </w:rPr>
            </w:pPr>
          </w:p>
          <w:p w:rsidR="00765964" w:rsidP="00765964" w:rsidRDefault="00765964" w14:paraId="1B3132DA" w14:textId="77777777">
            <w:pPr>
              <w:jc w:val="center"/>
              <w:rPr>
                <w:color w:val="000000"/>
              </w:rPr>
            </w:pPr>
          </w:p>
          <w:p w:rsidR="00765964" w:rsidP="00765964" w:rsidRDefault="00765964" w14:paraId="3259268D" w14:textId="77777777">
            <w:pPr>
              <w:jc w:val="center"/>
              <w:rPr>
                <w:color w:val="000000"/>
              </w:rPr>
            </w:pPr>
          </w:p>
          <w:p w:rsidR="00765964" w:rsidP="00765964" w:rsidRDefault="00765964" w14:paraId="33184F1C" w14:textId="77777777">
            <w:pPr>
              <w:jc w:val="center"/>
              <w:rPr>
                <w:color w:val="000000"/>
              </w:rPr>
            </w:pPr>
          </w:p>
          <w:p w:rsidR="00765964" w:rsidP="00765964" w:rsidRDefault="00765964" w14:paraId="76508BB6" w14:textId="77777777">
            <w:pPr>
              <w:jc w:val="center"/>
              <w:rPr>
                <w:color w:val="000000"/>
              </w:rPr>
            </w:pPr>
          </w:p>
          <w:p w:rsidR="00765964" w:rsidP="00765964" w:rsidRDefault="00765964" w14:paraId="3FEF3D8E" w14:textId="77777777">
            <w:pPr>
              <w:jc w:val="center"/>
              <w:rPr>
                <w:color w:val="000000"/>
              </w:rPr>
            </w:pPr>
            <w:r>
              <w:rPr>
                <w:color w:val="000000"/>
              </w:rPr>
              <w:t>Verified</w:t>
            </w:r>
          </w:p>
          <w:p w:rsidR="00765964" w:rsidP="00765964" w:rsidRDefault="00765964" w14:paraId="5AF8E3E9" w14:textId="77777777">
            <w:pPr>
              <w:jc w:val="center"/>
              <w:rPr>
                <w:color w:val="000000"/>
              </w:rPr>
            </w:pPr>
          </w:p>
          <w:p w:rsidR="00765964" w:rsidP="00765964" w:rsidRDefault="00765964" w14:paraId="1D3F4DF6" w14:textId="77777777">
            <w:pPr>
              <w:jc w:val="center"/>
              <w:rPr>
                <w:color w:val="000000"/>
              </w:rPr>
            </w:pPr>
          </w:p>
          <w:p w:rsidR="00765964" w:rsidP="00765964" w:rsidRDefault="00765964" w14:paraId="003A1131" w14:textId="77777777">
            <w:pPr>
              <w:jc w:val="center"/>
              <w:rPr>
                <w:color w:val="000000"/>
              </w:rPr>
            </w:pPr>
          </w:p>
          <w:p w:rsidR="00765964" w:rsidP="00765964" w:rsidRDefault="00765964" w14:paraId="26DDC531" w14:textId="77777777">
            <w:pPr>
              <w:jc w:val="center"/>
              <w:rPr>
                <w:color w:val="000000"/>
              </w:rPr>
            </w:pPr>
          </w:p>
          <w:p w:rsidR="00765964" w:rsidP="00765964" w:rsidRDefault="00765964" w14:paraId="2760C123" w14:textId="77777777">
            <w:pPr>
              <w:jc w:val="center"/>
              <w:rPr>
                <w:color w:val="000000"/>
              </w:rPr>
            </w:pPr>
          </w:p>
          <w:p w:rsidR="00765964" w:rsidP="00765964" w:rsidRDefault="00765964" w14:paraId="73BD13AD" w14:textId="77777777">
            <w:pPr>
              <w:jc w:val="center"/>
              <w:rPr>
                <w:color w:val="000000"/>
              </w:rPr>
            </w:pPr>
          </w:p>
          <w:p w:rsidR="00765964" w:rsidP="00765964" w:rsidRDefault="00765964" w14:paraId="610A1D6B" w14:textId="77777777">
            <w:pPr>
              <w:jc w:val="center"/>
              <w:rPr>
                <w:color w:val="000000"/>
              </w:rPr>
            </w:pPr>
          </w:p>
          <w:p w:rsidR="00765964" w:rsidP="00765964" w:rsidRDefault="00765964" w14:paraId="0CD630E6" w14:textId="77777777">
            <w:pPr>
              <w:jc w:val="center"/>
              <w:rPr>
                <w:color w:val="000000"/>
              </w:rPr>
            </w:pPr>
          </w:p>
          <w:p w:rsidR="00765964" w:rsidP="00765964" w:rsidRDefault="00765964" w14:paraId="04225192" w14:textId="77777777">
            <w:pPr>
              <w:jc w:val="center"/>
              <w:rPr>
                <w:color w:val="000000"/>
              </w:rPr>
            </w:pPr>
          </w:p>
          <w:p w:rsidR="00765964" w:rsidP="00765964" w:rsidRDefault="00765964" w14:paraId="1AE2E816" w14:textId="77777777">
            <w:pPr>
              <w:jc w:val="center"/>
              <w:rPr>
                <w:color w:val="000000"/>
              </w:rPr>
            </w:pPr>
          </w:p>
          <w:p w:rsidR="00765964" w:rsidP="00765964" w:rsidRDefault="00765964" w14:paraId="4AF63881" w14:textId="77777777">
            <w:pPr>
              <w:jc w:val="center"/>
              <w:rPr>
                <w:color w:val="000000"/>
              </w:rPr>
            </w:pPr>
            <w:r>
              <w:rPr>
                <w:color w:val="000000"/>
              </w:rPr>
              <w:t>Verified</w:t>
            </w:r>
          </w:p>
          <w:p w:rsidR="00765964" w:rsidP="00765964" w:rsidRDefault="00765964" w14:paraId="277EB741" w14:textId="77777777">
            <w:pPr>
              <w:jc w:val="center"/>
              <w:rPr>
                <w:color w:val="000000"/>
              </w:rPr>
            </w:pPr>
          </w:p>
          <w:p w:rsidR="00765964" w:rsidP="00765964" w:rsidRDefault="00765964" w14:paraId="625EDFF4" w14:textId="77777777">
            <w:pPr>
              <w:jc w:val="center"/>
              <w:rPr>
                <w:color w:val="000000"/>
              </w:rPr>
            </w:pPr>
          </w:p>
          <w:p w:rsidR="00765964" w:rsidP="00765964" w:rsidRDefault="00765964" w14:paraId="7BEE8255" w14:textId="77777777">
            <w:pPr>
              <w:jc w:val="center"/>
              <w:rPr>
                <w:color w:val="000000"/>
              </w:rPr>
            </w:pPr>
          </w:p>
          <w:p w:rsidR="00765964" w:rsidP="00765964" w:rsidRDefault="00765964" w14:paraId="26F23B2C" w14:textId="77777777">
            <w:pPr>
              <w:jc w:val="center"/>
              <w:rPr>
                <w:color w:val="000000"/>
              </w:rPr>
            </w:pPr>
          </w:p>
          <w:p w:rsidR="00765964" w:rsidP="00765964" w:rsidRDefault="00765964" w14:paraId="3FBC931D" w14:textId="77777777">
            <w:pPr>
              <w:jc w:val="center"/>
              <w:rPr>
                <w:color w:val="000000"/>
              </w:rPr>
            </w:pPr>
          </w:p>
          <w:p w:rsidR="00765964" w:rsidP="00765964" w:rsidRDefault="00765964" w14:paraId="6DB3312D" w14:textId="77777777">
            <w:pPr>
              <w:jc w:val="center"/>
              <w:rPr>
                <w:color w:val="000000"/>
              </w:rPr>
            </w:pPr>
          </w:p>
          <w:p w:rsidR="00765964" w:rsidP="00765964" w:rsidRDefault="00765964" w14:paraId="5780BEA9" w14:textId="77777777">
            <w:pPr>
              <w:jc w:val="center"/>
              <w:rPr>
                <w:color w:val="000000"/>
              </w:rPr>
            </w:pPr>
          </w:p>
          <w:p w:rsidR="00765964" w:rsidP="00765964" w:rsidRDefault="00765964" w14:paraId="275BDB2F" w14:textId="77777777">
            <w:pPr>
              <w:jc w:val="center"/>
              <w:rPr>
                <w:color w:val="000000"/>
              </w:rPr>
            </w:pPr>
          </w:p>
          <w:p w:rsidR="00765964" w:rsidP="00765964" w:rsidRDefault="00765964" w14:paraId="7E2A420E" w14:textId="77777777">
            <w:pPr>
              <w:jc w:val="center"/>
              <w:rPr>
                <w:color w:val="000000"/>
              </w:rPr>
            </w:pPr>
          </w:p>
          <w:p w:rsidR="00765964" w:rsidP="00765964" w:rsidRDefault="00765964" w14:paraId="4F068A5E" w14:textId="77777777">
            <w:pPr>
              <w:jc w:val="center"/>
              <w:rPr>
                <w:color w:val="000000"/>
              </w:rPr>
            </w:pPr>
            <w:r>
              <w:rPr>
                <w:color w:val="000000"/>
              </w:rPr>
              <w:t>Verified</w:t>
            </w:r>
          </w:p>
          <w:p w:rsidR="00765964" w:rsidP="00765964" w:rsidRDefault="00765964" w14:paraId="47EA5A8F" w14:textId="77777777">
            <w:pPr>
              <w:jc w:val="center"/>
              <w:rPr>
                <w:color w:val="000000"/>
              </w:rPr>
            </w:pPr>
          </w:p>
          <w:p w:rsidR="00765964" w:rsidP="00765964" w:rsidRDefault="00765964" w14:paraId="2E25B15C" w14:textId="77777777">
            <w:pPr>
              <w:jc w:val="center"/>
              <w:rPr>
                <w:color w:val="000000"/>
              </w:rPr>
            </w:pPr>
          </w:p>
          <w:p w:rsidR="00765964" w:rsidP="00765964" w:rsidRDefault="00765964" w14:paraId="02BD143C" w14:textId="77777777">
            <w:pPr>
              <w:jc w:val="center"/>
              <w:rPr>
                <w:color w:val="000000"/>
              </w:rPr>
            </w:pPr>
          </w:p>
          <w:p w:rsidR="00765964" w:rsidP="00765964" w:rsidRDefault="00765964" w14:paraId="56C1B5B8" w14:textId="77777777">
            <w:pPr>
              <w:jc w:val="center"/>
              <w:rPr>
                <w:color w:val="000000"/>
              </w:rPr>
            </w:pPr>
          </w:p>
          <w:p w:rsidR="00765964" w:rsidP="00765964" w:rsidRDefault="00765964" w14:paraId="287617A1" w14:textId="77777777">
            <w:pPr>
              <w:jc w:val="center"/>
              <w:rPr>
                <w:color w:val="000000"/>
              </w:rPr>
            </w:pPr>
          </w:p>
          <w:p w:rsidR="00765964" w:rsidP="00765964" w:rsidRDefault="00765964" w14:paraId="10ECEDFA" w14:textId="77777777">
            <w:pPr>
              <w:jc w:val="center"/>
              <w:rPr>
                <w:color w:val="000000"/>
              </w:rPr>
            </w:pPr>
          </w:p>
          <w:p w:rsidR="00765964" w:rsidP="00765964" w:rsidRDefault="00765964" w14:paraId="7655EEBC" w14:textId="77777777">
            <w:pPr>
              <w:jc w:val="center"/>
              <w:rPr>
                <w:color w:val="000000"/>
              </w:rPr>
            </w:pPr>
          </w:p>
          <w:p w:rsidR="00765964" w:rsidP="00765964" w:rsidRDefault="00765964" w14:paraId="01F8D82F" w14:textId="77777777">
            <w:pPr>
              <w:jc w:val="center"/>
              <w:rPr>
                <w:color w:val="000000"/>
              </w:rPr>
            </w:pPr>
          </w:p>
          <w:p w:rsidR="00765964" w:rsidP="00765964" w:rsidRDefault="00765964" w14:paraId="4833D53D" w14:textId="77777777">
            <w:pPr>
              <w:jc w:val="center"/>
              <w:rPr>
                <w:color w:val="000000"/>
              </w:rPr>
            </w:pPr>
          </w:p>
          <w:p w:rsidR="00765964" w:rsidP="00765964" w:rsidRDefault="00765964" w14:paraId="1463E3AD" w14:textId="77777777">
            <w:pPr>
              <w:jc w:val="center"/>
              <w:rPr>
                <w:color w:val="000000"/>
              </w:rPr>
            </w:pPr>
          </w:p>
          <w:p w:rsidR="00765964" w:rsidP="00765964" w:rsidRDefault="00765964" w14:paraId="547ABF14" w14:textId="77777777">
            <w:pPr>
              <w:jc w:val="center"/>
              <w:rPr>
                <w:color w:val="000000"/>
              </w:rPr>
            </w:pPr>
          </w:p>
          <w:p w:rsidR="00765964" w:rsidP="00765964" w:rsidRDefault="00765964" w14:paraId="400996DC" w14:textId="77777777">
            <w:pPr>
              <w:jc w:val="center"/>
              <w:rPr>
                <w:color w:val="000000"/>
              </w:rPr>
            </w:pPr>
          </w:p>
          <w:p w:rsidR="00765964" w:rsidP="00765964" w:rsidRDefault="00765964" w14:paraId="7BD9BBC5" w14:textId="77777777">
            <w:pPr>
              <w:jc w:val="center"/>
              <w:rPr>
                <w:color w:val="000000"/>
              </w:rPr>
            </w:pPr>
            <w:r>
              <w:rPr>
                <w:color w:val="000000"/>
              </w:rPr>
              <w:t>Verified</w:t>
            </w:r>
          </w:p>
          <w:p w:rsidR="00765964" w:rsidP="00765964" w:rsidRDefault="00765964" w14:paraId="4CF5A8F3" w14:textId="77777777">
            <w:pPr>
              <w:jc w:val="center"/>
              <w:rPr>
                <w:color w:val="000000"/>
              </w:rPr>
            </w:pPr>
          </w:p>
          <w:p w:rsidR="00765964" w:rsidP="00765964" w:rsidRDefault="00765964" w14:paraId="6D7F3200" w14:textId="77777777">
            <w:pPr>
              <w:jc w:val="center"/>
              <w:rPr>
                <w:color w:val="000000"/>
              </w:rPr>
            </w:pPr>
          </w:p>
          <w:p w:rsidR="00765964" w:rsidP="00765964" w:rsidRDefault="00765964" w14:paraId="08B5FFC0" w14:textId="77777777">
            <w:pPr>
              <w:jc w:val="center"/>
              <w:rPr>
                <w:color w:val="000000"/>
              </w:rPr>
            </w:pPr>
          </w:p>
          <w:p w:rsidR="00765964" w:rsidP="00765964" w:rsidRDefault="00765964" w14:paraId="145EE49A" w14:textId="77777777">
            <w:pPr>
              <w:jc w:val="center"/>
              <w:rPr>
                <w:color w:val="000000"/>
              </w:rPr>
            </w:pPr>
          </w:p>
          <w:p w:rsidR="00765964" w:rsidP="00765964" w:rsidRDefault="00765964" w14:paraId="704D2676" w14:textId="77777777">
            <w:pPr>
              <w:jc w:val="center"/>
              <w:rPr>
                <w:color w:val="000000"/>
              </w:rPr>
            </w:pPr>
          </w:p>
          <w:p w:rsidR="00765964" w:rsidP="00765964" w:rsidRDefault="00765964" w14:paraId="7FA783A8" w14:textId="77777777">
            <w:pPr>
              <w:jc w:val="center"/>
              <w:rPr>
                <w:color w:val="000000"/>
              </w:rPr>
            </w:pPr>
          </w:p>
          <w:p w:rsidR="00765964" w:rsidP="00765964" w:rsidRDefault="00765964" w14:paraId="47911017" w14:textId="77777777">
            <w:pPr>
              <w:jc w:val="center"/>
              <w:rPr>
                <w:color w:val="000000"/>
              </w:rPr>
            </w:pPr>
          </w:p>
          <w:p w:rsidR="00765964" w:rsidP="00765964" w:rsidRDefault="00765964" w14:paraId="15BE132D" w14:textId="77777777">
            <w:pPr>
              <w:jc w:val="center"/>
              <w:rPr>
                <w:color w:val="000000"/>
              </w:rPr>
            </w:pPr>
          </w:p>
          <w:p w:rsidR="00765964" w:rsidP="00765964" w:rsidRDefault="00765964" w14:paraId="6612D629" w14:textId="77777777">
            <w:pPr>
              <w:jc w:val="center"/>
              <w:rPr>
                <w:color w:val="000000"/>
              </w:rPr>
            </w:pPr>
          </w:p>
          <w:p w:rsidR="00765964" w:rsidP="00765964" w:rsidRDefault="00765964" w14:paraId="7C514A06" w14:textId="77777777">
            <w:pPr>
              <w:jc w:val="center"/>
              <w:rPr>
                <w:color w:val="000000"/>
              </w:rPr>
            </w:pPr>
          </w:p>
          <w:p w:rsidR="00765964" w:rsidP="00765964" w:rsidRDefault="00765964" w14:paraId="51A20D4D" w14:textId="77777777">
            <w:pPr>
              <w:jc w:val="center"/>
              <w:rPr>
                <w:color w:val="000000"/>
              </w:rPr>
            </w:pPr>
          </w:p>
          <w:p w:rsidR="00765964" w:rsidP="00765964" w:rsidRDefault="00765964" w14:paraId="00C0070A" w14:textId="77777777">
            <w:pPr>
              <w:jc w:val="center"/>
              <w:rPr>
                <w:color w:val="000000"/>
              </w:rPr>
            </w:pPr>
          </w:p>
          <w:p w:rsidR="00765964" w:rsidP="00765964" w:rsidRDefault="00765964" w14:paraId="20AA9F1D" w14:textId="77777777">
            <w:pPr>
              <w:jc w:val="center"/>
              <w:rPr>
                <w:color w:val="000000"/>
              </w:rPr>
            </w:pPr>
          </w:p>
          <w:p w:rsidR="00765964" w:rsidP="00765964" w:rsidRDefault="00765964" w14:paraId="38829F31" w14:textId="77777777">
            <w:pPr>
              <w:jc w:val="center"/>
              <w:rPr>
                <w:color w:val="000000"/>
              </w:rPr>
            </w:pPr>
          </w:p>
          <w:p w:rsidRPr="002D28A6" w:rsidR="00765964" w:rsidP="00765964" w:rsidRDefault="00765964" w14:paraId="64233D9C" w14:textId="1603B336">
            <w:pPr>
              <w:jc w:val="center"/>
              <w:rPr>
                <w:color w:val="000000"/>
              </w:rPr>
            </w:pPr>
            <w:r>
              <w:rPr>
                <w:color w:val="000000"/>
              </w:rPr>
              <w:t>Verified</w:t>
            </w:r>
          </w:p>
        </w:tc>
      </w:tr>
      <w:tr w:rsidRPr="002D28A6" w:rsidR="00BD4ED8" w:rsidTr="00DC7CDC" w14:paraId="0BB5A855" w14:textId="77777777">
        <w:trPr>
          <w:trHeight w:val="707"/>
        </w:trPr>
        <w:tc>
          <w:tcPr>
            <w:tcW w:w="4469" w:type="dxa"/>
            <w:shd w:val="clear" w:color="auto" w:fill="auto"/>
          </w:tcPr>
          <w:p w:rsidRPr="002D28A6" w:rsidR="00BD4ED8" w:rsidP="00190B9E" w:rsidRDefault="00BD4ED8" w14:paraId="38B8BF7D" w14:textId="75258F6A">
            <w:pPr>
              <w:rPr>
                <w:b/>
                <w:bCs/>
                <w:color w:val="000000"/>
              </w:rPr>
            </w:pPr>
            <w:r w:rsidRPr="002D28A6">
              <w:rPr>
                <w:b/>
                <w:bCs/>
                <w:color w:val="000000"/>
              </w:rPr>
              <w:lastRenderedPageBreak/>
              <w:t xml:space="preserve">4. </w:t>
            </w:r>
            <w:r w:rsidR="000624FA">
              <w:rPr>
                <w:b/>
                <w:bCs/>
                <w:color w:val="000000"/>
              </w:rPr>
              <w:t xml:space="preserve"> </w:t>
            </w:r>
            <w:r w:rsidRPr="002D28A6">
              <w:rPr>
                <w:b/>
                <w:bCs/>
                <w:color w:val="000000"/>
              </w:rPr>
              <w:t>The annual cap on interim rate recovery through the ECNBIMA</w:t>
            </w:r>
          </w:p>
          <w:p w:rsidRPr="002D28A6" w:rsidR="00BD4ED8" w:rsidP="00190B9E" w:rsidRDefault="00BD4ED8" w14:paraId="2296EF09" w14:textId="77777777">
            <w:pPr>
              <w:rPr>
                <w:color w:val="000000"/>
              </w:rPr>
            </w:pPr>
          </w:p>
          <w:p w:rsidRPr="002D28A6" w:rsidR="00BD4ED8" w:rsidP="00190B9E" w:rsidRDefault="00BD4ED8" w14:paraId="46CE7397" w14:textId="342C9C3F">
            <w:pPr>
              <w:rPr>
                <w:color w:val="000000"/>
              </w:rPr>
            </w:pPr>
            <w:r w:rsidRPr="002D28A6">
              <w:rPr>
                <w:color w:val="000000"/>
              </w:rPr>
              <w:t xml:space="preserve">TURN recommended that the Commission adopt a lower cap than the 2.5% </w:t>
            </w:r>
            <w:r>
              <w:rPr>
                <w:color w:val="000000"/>
              </w:rPr>
              <w:t xml:space="preserve">annual increase in electric distribution revenue requirement </w:t>
            </w:r>
            <w:r w:rsidRPr="002D28A6">
              <w:rPr>
                <w:color w:val="000000"/>
              </w:rPr>
              <w:t>proposed by PG&amp;E</w:t>
            </w:r>
            <w:r>
              <w:rPr>
                <w:color w:val="000000"/>
              </w:rPr>
              <w:t>.  TURN proposed a cap of less than half of PG&amp;E’s request,</w:t>
            </w:r>
            <w:r w:rsidRPr="002D28A6">
              <w:rPr>
                <w:color w:val="000000"/>
              </w:rPr>
              <w:t xml:space="preserve"> commensurate with a narrower scope of costs eligible for SB 410 interim cost recovery</w:t>
            </w:r>
            <w:r>
              <w:rPr>
                <w:color w:val="000000"/>
              </w:rPr>
              <w:t xml:space="preserve"> and a smaller number of projects</w:t>
            </w:r>
            <w:r w:rsidRPr="002D28A6">
              <w:rPr>
                <w:color w:val="000000"/>
              </w:rPr>
              <w:t>.</w:t>
            </w:r>
            <w:r>
              <w:rPr>
                <w:color w:val="000000"/>
              </w:rPr>
              <w:t xml:space="preserve">  TURN used PG&amp;E’s “Base Scenario</w:t>
            </w:r>
            <w:r w:rsidR="0035325E">
              <w:rPr>
                <w:color w:val="000000"/>
              </w:rPr>
              <w:t>,</w:t>
            </w:r>
            <w:r>
              <w:rPr>
                <w:color w:val="000000"/>
              </w:rPr>
              <w:t>” not the “Accelerated Scenario” used by PG&amp;E</w:t>
            </w:r>
            <w:r w:rsidR="0035325E">
              <w:rPr>
                <w:color w:val="000000"/>
              </w:rPr>
              <w:t xml:space="preserve"> in its brief</w:t>
            </w:r>
            <w:r>
              <w:rPr>
                <w:color w:val="000000"/>
              </w:rPr>
              <w:t>.  TURN’s proposed caps were 1.5% in 2024, 0.6% in 2025, and 1.2% in 2026.  TURN also proposed that the Commission base its computations on capital additions rather than capital expenditures.</w:t>
            </w:r>
          </w:p>
          <w:p w:rsidR="00BD4ED8" w:rsidP="00190B9E" w:rsidRDefault="00BD4ED8" w14:paraId="5E409A5C" w14:textId="79354A88">
            <w:pPr>
              <w:rPr>
                <w:color w:val="000000"/>
              </w:rPr>
            </w:pPr>
          </w:p>
          <w:p w:rsidRPr="002D28A6" w:rsidR="00BD4ED8" w:rsidP="00190B9E" w:rsidRDefault="00BD4ED8" w14:paraId="79FF97BF" w14:textId="3B7B548E">
            <w:pPr>
              <w:rPr>
                <w:color w:val="000000"/>
              </w:rPr>
            </w:pPr>
            <w:r w:rsidRPr="002D28A6">
              <w:rPr>
                <w:color w:val="000000"/>
              </w:rPr>
              <w:t xml:space="preserve">The Commission </w:t>
            </w:r>
            <w:r>
              <w:rPr>
                <w:color w:val="000000"/>
              </w:rPr>
              <w:t xml:space="preserve">agreed with TURN </w:t>
            </w:r>
            <w:r w:rsidRPr="00D636BC">
              <w:rPr>
                <w:color w:val="000000"/>
              </w:rPr>
              <w:t>(and Cal Advocates) that PG</w:t>
            </w:r>
            <w:r>
              <w:rPr>
                <w:color w:val="000000"/>
              </w:rPr>
              <w:t xml:space="preserve">&amp;E failed to substantiate its proposed cap.  </w:t>
            </w:r>
            <w:r w:rsidR="00F60F67">
              <w:rPr>
                <w:color w:val="000000"/>
              </w:rPr>
              <w:t>Consistent with TURN’s recommended approach, t</w:t>
            </w:r>
            <w:r w:rsidR="00386A72">
              <w:rPr>
                <w:color w:val="000000"/>
              </w:rPr>
              <w:t>he</w:t>
            </w:r>
            <w:r>
              <w:rPr>
                <w:color w:val="000000"/>
              </w:rPr>
              <w:t xml:space="preserve"> Commission </w:t>
            </w:r>
            <w:r w:rsidR="00386A72">
              <w:rPr>
                <w:color w:val="000000"/>
              </w:rPr>
              <w:t xml:space="preserve">calculated an alternative, lower cap </w:t>
            </w:r>
            <w:r>
              <w:rPr>
                <w:color w:val="000000"/>
              </w:rPr>
              <w:t>based only the specific activities within each MWC that it found reasonably related to the purposes of SB 410</w:t>
            </w:r>
            <w:r w:rsidR="00F60F67">
              <w:rPr>
                <w:color w:val="000000"/>
              </w:rPr>
              <w:t>,</w:t>
            </w:r>
            <w:r>
              <w:rPr>
                <w:color w:val="000000"/>
              </w:rPr>
              <w:t xml:space="preserve"> as well as PG&amp;E’s “Base Scenario” instead of the “Accelerated Scenario”.  The Commission also required the use of capital additions for purposes of determining the cap.  The Commission’s resulting annual caps are between TURN’s and PG&amp;E’s:  1.98% for 2024, 1.18% for 2025, and 1.19% for 2026.</w:t>
            </w:r>
          </w:p>
        </w:tc>
        <w:tc>
          <w:tcPr>
            <w:tcW w:w="2926" w:type="dxa"/>
            <w:shd w:val="clear" w:color="auto" w:fill="auto"/>
          </w:tcPr>
          <w:p w:rsidRPr="002D28A6" w:rsidR="00BD4ED8" w:rsidP="00190B9E" w:rsidRDefault="00BD4ED8" w14:paraId="07F8EF36" w14:textId="77777777">
            <w:pPr>
              <w:rPr>
                <w:color w:val="000000"/>
              </w:rPr>
            </w:pPr>
          </w:p>
          <w:p w:rsidRPr="002D28A6" w:rsidR="00BD4ED8" w:rsidP="00190B9E" w:rsidRDefault="00BD4ED8" w14:paraId="73FDA32F" w14:textId="77777777">
            <w:pPr>
              <w:rPr>
                <w:color w:val="000000"/>
              </w:rPr>
            </w:pPr>
          </w:p>
          <w:p w:rsidRPr="002D28A6" w:rsidR="00BD4ED8" w:rsidP="00190B9E" w:rsidRDefault="00BD4ED8" w14:paraId="5C498648" w14:textId="77777777">
            <w:pPr>
              <w:rPr>
                <w:color w:val="000000"/>
              </w:rPr>
            </w:pPr>
          </w:p>
          <w:p w:rsidR="00BD4ED8" w:rsidP="00190B9E" w:rsidRDefault="00BD4ED8" w14:paraId="0BB15FDC" w14:textId="680C2FC7">
            <w:pPr>
              <w:pStyle w:val="ListParagraph"/>
            </w:pPr>
            <w:r w:rsidRPr="002D28A6">
              <w:t xml:space="preserve">TURN Opening Brief, pp. </w:t>
            </w:r>
            <w:r>
              <w:t>13-15, 24-29 (build-up of cost cap by appropriate MAT, PG&amp;E’s cap is too high), p. 26 (TURN’s annual caps)</w:t>
            </w:r>
            <w:r w:rsidRPr="002D28A6">
              <w:t>.</w:t>
            </w:r>
          </w:p>
          <w:p w:rsidR="00BD4ED8" w:rsidP="00190B9E" w:rsidRDefault="00BD4ED8" w14:paraId="65623DF8" w14:textId="77777777">
            <w:pPr>
              <w:pStyle w:val="ListParagraph"/>
              <w:numPr>
                <w:ilvl w:val="0"/>
                <w:numId w:val="0"/>
              </w:numPr>
              <w:ind w:left="374"/>
            </w:pPr>
          </w:p>
          <w:p w:rsidR="00BD4ED8" w:rsidP="00190B9E" w:rsidRDefault="00BD4ED8" w14:paraId="29175A7D" w14:textId="1E7065F6">
            <w:pPr>
              <w:pStyle w:val="ListParagraph"/>
            </w:pPr>
            <w:r>
              <w:t>TURN Reply Brief, pp. 8-9 (capital additions), pp. 9-10 (use of Base Scenario to determine a reasonable cap).</w:t>
            </w:r>
          </w:p>
          <w:p w:rsidR="00765964" w:rsidP="00765964" w:rsidRDefault="00765964" w14:paraId="1316E384" w14:textId="77777777">
            <w:pPr>
              <w:pStyle w:val="ListParagraph"/>
            </w:pPr>
          </w:p>
          <w:p w:rsidR="00BD4ED8" w:rsidP="00190B9E" w:rsidRDefault="00BD4ED8" w14:paraId="36803649" w14:textId="77777777">
            <w:pPr>
              <w:pStyle w:val="ListParagraph"/>
              <w:numPr>
                <w:ilvl w:val="0"/>
                <w:numId w:val="0"/>
              </w:numPr>
              <w:ind w:left="374"/>
            </w:pPr>
          </w:p>
          <w:p w:rsidR="00BD4ED8" w:rsidP="00190B9E" w:rsidRDefault="00BD4ED8" w14:paraId="5D61C14C" w14:textId="4DD6E128">
            <w:pPr>
              <w:pStyle w:val="ListParagraph"/>
            </w:pPr>
            <w:r>
              <w:t>TURN Reply Comments on Proposed Decision (PD), p. 2 (defending the PD’s use of capital additions).</w:t>
            </w:r>
          </w:p>
          <w:p w:rsidR="00765964" w:rsidP="00765964" w:rsidRDefault="00765964" w14:paraId="70230456" w14:textId="77777777">
            <w:pPr>
              <w:pStyle w:val="ListParagraph"/>
            </w:pPr>
          </w:p>
          <w:p w:rsidR="00BD4ED8" w:rsidP="00190B9E" w:rsidRDefault="00BD4ED8" w14:paraId="21B48D5F" w14:textId="77777777">
            <w:pPr>
              <w:pStyle w:val="ListParagraph"/>
              <w:numPr>
                <w:ilvl w:val="0"/>
                <w:numId w:val="0"/>
              </w:numPr>
              <w:ind w:left="374"/>
            </w:pPr>
          </w:p>
          <w:p w:rsidRPr="002D28A6" w:rsidR="00BD4ED8" w:rsidP="00190B9E" w:rsidRDefault="00BD4ED8" w14:paraId="5D6D7258" w14:textId="156BD2D4">
            <w:pPr>
              <w:pStyle w:val="ListParagraph"/>
            </w:pPr>
            <w:r w:rsidRPr="002D28A6">
              <w:t>D.24-07-008, p</w:t>
            </w:r>
            <w:r>
              <w:t>p</w:t>
            </w:r>
            <w:r w:rsidRPr="002D28A6">
              <w:t xml:space="preserve">. </w:t>
            </w:r>
            <w:r>
              <w:t>48 (use of capital additions and Base Scenario), p. 49 (PG&amp;E’s 2.5% cap is unsubstantiated), pp. 50-51 (calculating a cap based on the sum of appropriate MAT line item forecasts), Appendix A (authorized annual caps).</w:t>
            </w:r>
          </w:p>
        </w:tc>
        <w:tc>
          <w:tcPr>
            <w:tcW w:w="2337" w:type="dxa"/>
            <w:shd w:val="clear" w:color="auto" w:fill="auto"/>
          </w:tcPr>
          <w:p w:rsidR="00BD4ED8" w:rsidP="00765964" w:rsidRDefault="00BD4ED8" w14:paraId="1D244279" w14:textId="77777777">
            <w:pPr>
              <w:jc w:val="center"/>
              <w:rPr>
                <w:color w:val="000000"/>
              </w:rPr>
            </w:pPr>
          </w:p>
          <w:p w:rsidR="00765964" w:rsidP="00765964" w:rsidRDefault="00765964" w14:paraId="280EF730" w14:textId="77777777">
            <w:pPr>
              <w:jc w:val="center"/>
              <w:rPr>
                <w:color w:val="000000"/>
              </w:rPr>
            </w:pPr>
          </w:p>
          <w:p w:rsidR="00765964" w:rsidP="00765964" w:rsidRDefault="00765964" w14:paraId="2F95F796" w14:textId="77777777">
            <w:pPr>
              <w:jc w:val="center"/>
              <w:rPr>
                <w:color w:val="000000"/>
              </w:rPr>
            </w:pPr>
          </w:p>
          <w:p w:rsidR="00765964" w:rsidP="00765964" w:rsidRDefault="00765964" w14:paraId="0E5C5146" w14:textId="77777777">
            <w:pPr>
              <w:jc w:val="center"/>
              <w:rPr>
                <w:color w:val="000000"/>
              </w:rPr>
            </w:pPr>
          </w:p>
          <w:p w:rsidR="00765964" w:rsidP="00765964" w:rsidRDefault="00765964" w14:paraId="449F5571" w14:textId="77777777">
            <w:pPr>
              <w:jc w:val="center"/>
              <w:rPr>
                <w:color w:val="000000"/>
              </w:rPr>
            </w:pPr>
          </w:p>
          <w:p w:rsidR="00765964" w:rsidP="00765964" w:rsidRDefault="00765964" w14:paraId="4BB42238" w14:textId="77777777">
            <w:pPr>
              <w:jc w:val="center"/>
              <w:rPr>
                <w:color w:val="000000"/>
              </w:rPr>
            </w:pPr>
          </w:p>
          <w:p w:rsidRPr="002D28A6" w:rsidR="00765964" w:rsidP="00765964" w:rsidRDefault="00765964" w14:paraId="4AC892D4" w14:textId="343D72AF">
            <w:pPr>
              <w:jc w:val="center"/>
              <w:rPr>
                <w:color w:val="000000"/>
              </w:rPr>
            </w:pPr>
            <w:r>
              <w:rPr>
                <w:color w:val="000000"/>
              </w:rPr>
              <w:t>Verified</w:t>
            </w:r>
          </w:p>
        </w:tc>
      </w:tr>
      <w:tr w:rsidRPr="002D28A6" w:rsidR="00BD4ED8" w:rsidTr="008C05FA" w14:paraId="3ED1E5FE" w14:textId="77777777">
        <w:trPr>
          <w:trHeight w:val="707"/>
        </w:trPr>
        <w:tc>
          <w:tcPr>
            <w:tcW w:w="4469" w:type="dxa"/>
            <w:shd w:val="clear" w:color="auto" w:fill="auto"/>
          </w:tcPr>
          <w:p w:rsidRPr="002D28A6" w:rsidR="00BD4ED8" w:rsidP="00190B9E" w:rsidRDefault="00BD4ED8" w14:paraId="508AE0D3" w14:textId="6BAFA5CF">
            <w:pPr>
              <w:rPr>
                <w:b/>
                <w:bCs/>
                <w:color w:val="000000"/>
              </w:rPr>
            </w:pPr>
            <w:r w:rsidRPr="002D28A6">
              <w:rPr>
                <w:b/>
                <w:bCs/>
                <w:color w:val="000000"/>
              </w:rPr>
              <w:t xml:space="preserve">5. </w:t>
            </w:r>
            <w:r w:rsidR="00760F34">
              <w:rPr>
                <w:b/>
                <w:bCs/>
                <w:color w:val="000000"/>
              </w:rPr>
              <w:t xml:space="preserve"> </w:t>
            </w:r>
            <w:r>
              <w:rPr>
                <w:b/>
                <w:bCs/>
                <w:color w:val="000000"/>
              </w:rPr>
              <w:t>Exhausting other sources of funding for new connections before using the ECNBIMA</w:t>
            </w:r>
          </w:p>
          <w:p w:rsidRPr="002D28A6" w:rsidR="00BD4ED8" w:rsidP="00190B9E" w:rsidRDefault="00BD4ED8" w14:paraId="6DDC27C5" w14:textId="77777777">
            <w:pPr>
              <w:rPr>
                <w:color w:val="000000"/>
              </w:rPr>
            </w:pPr>
          </w:p>
          <w:p w:rsidRPr="00FC13B6" w:rsidR="00BD4ED8" w:rsidP="00190B9E" w:rsidRDefault="00BD4ED8" w14:paraId="5636D7E0" w14:textId="77777777">
            <w:pPr>
              <w:rPr>
                <w:color w:val="000000"/>
                <w:u w:val="single"/>
              </w:rPr>
            </w:pPr>
            <w:r w:rsidRPr="00FC13B6">
              <w:rPr>
                <w:color w:val="000000"/>
                <w:u w:val="single"/>
              </w:rPr>
              <w:lastRenderedPageBreak/>
              <w:t>Diablo Canyon Volumetric Payments</w:t>
            </w:r>
          </w:p>
          <w:p w:rsidRPr="00D232A5" w:rsidR="00BD4ED8" w:rsidP="00190B9E" w:rsidRDefault="00BD4ED8" w14:paraId="38BC7BED" w14:textId="77777777">
            <w:pPr>
              <w:rPr>
                <w:color w:val="000000"/>
                <w:u w:val="single"/>
              </w:rPr>
            </w:pPr>
          </w:p>
          <w:p w:rsidR="00BD4ED8" w:rsidP="00190B9E" w:rsidRDefault="00BD4ED8" w14:paraId="288B1A95" w14:textId="236657A1">
            <w:pPr>
              <w:rPr>
                <w:color w:val="000000"/>
              </w:rPr>
            </w:pPr>
            <w:r w:rsidRPr="002D28A6">
              <w:rPr>
                <w:color w:val="000000"/>
              </w:rPr>
              <w:t xml:space="preserve">TURN recommended that </w:t>
            </w:r>
            <w:r>
              <w:rPr>
                <w:color w:val="000000"/>
              </w:rPr>
              <w:t xml:space="preserve">the Commission direct PG&amp;E to prioritize the use of </w:t>
            </w:r>
            <w:r w:rsidRPr="002D28A6">
              <w:rPr>
                <w:color w:val="000000"/>
              </w:rPr>
              <w:t xml:space="preserve">Diablo Canyon volumetric payments </w:t>
            </w:r>
            <w:r>
              <w:rPr>
                <w:color w:val="000000"/>
              </w:rPr>
              <w:t xml:space="preserve">to support customer connection expenditures prior to seeking interim rate recovery of incremental costs covered by SB 410.  </w:t>
            </w:r>
          </w:p>
          <w:p w:rsidR="00BD4ED8" w:rsidP="00190B9E" w:rsidRDefault="00BD4ED8" w14:paraId="228E1CE3" w14:textId="77777777">
            <w:pPr>
              <w:rPr>
                <w:color w:val="000000"/>
              </w:rPr>
            </w:pPr>
          </w:p>
          <w:p w:rsidRPr="002D28A6" w:rsidR="00BD4ED8" w:rsidP="00190B9E" w:rsidRDefault="00BD4ED8" w14:paraId="2F057CCA" w14:textId="528B0481">
            <w:pPr>
              <w:rPr>
                <w:color w:val="000000"/>
              </w:rPr>
            </w:pPr>
            <w:r>
              <w:rPr>
                <w:color w:val="000000"/>
              </w:rPr>
              <w:t>The Commission agreed with TURN that SB 410 makes clear that Diablo Canyon funding may be available for energization.  The Commission concluded that this proceeding should remain open to implement any orders by the Commission in A.24-03-018, where the Commission is considering the use of Diablo Canyon volumetric payments, to use those payments to offset energization costs recorded to the SB 410 memorandum account.</w:t>
            </w:r>
          </w:p>
          <w:p w:rsidRPr="002D28A6" w:rsidR="00BD4ED8" w:rsidP="00190B9E" w:rsidRDefault="00BD4ED8" w14:paraId="6F6E649D" w14:textId="77777777">
            <w:pPr>
              <w:rPr>
                <w:color w:val="000000"/>
              </w:rPr>
            </w:pPr>
          </w:p>
          <w:p w:rsidRPr="00FC13B6" w:rsidR="00BD4ED8" w:rsidP="00190B9E" w:rsidRDefault="00BD4ED8" w14:paraId="441ED213" w14:textId="77777777">
            <w:pPr>
              <w:rPr>
                <w:color w:val="000000"/>
                <w:u w:val="single"/>
              </w:rPr>
            </w:pPr>
            <w:r w:rsidRPr="00FC13B6">
              <w:rPr>
                <w:color w:val="000000"/>
                <w:u w:val="single"/>
              </w:rPr>
              <w:t>LCFS Holdback Revenues</w:t>
            </w:r>
          </w:p>
          <w:p w:rsidRPr="002D28A6" w:rsidR="00BD4ED8" w:rsidP="00190B9E" w:rsidRDefault="00BD4ED8" w14:paraId="5E31CDA7" w14:textId="77777777">
            <w:pPr>
              <w:rPr>
                <w:color w:val="000000"/>
              </w:rPr>
            </w:pPr>
          </w:p>
          <w:p w:rsidRPr="002D28A6" w:rsidR="00BD4ED8" w:rsidP="00190B9E" w:rsidRDefault="00BD4ED8" w14:paraId="44D4B38B" w14:textId="074A2FF7">
            <w:pPr>
              <w:rPr>
                <w:color w:val="000000"/>
              </w:rPr>
            </w:pPr>
            <w:r w:rsidRPr="002D28A6">
              <w:rPr>
                <w:color w:val="000000"/>
              </w:rPr>
              <w:t xml:space="preserve">TURN recommended that other </w:t>
            </w:r>
            <w:r>
              <w:rPr>
                <w:color w:val="000000"/>
              </w:rPr>
              <w:t xml:space="preserve">non-ratepayer </w:t>
            </w:r>
            <w:r w:rsidRPr="002D28A6">
              <w:rPr>
                <w:color w:val="000000"/>
              </w:rPr>
              <w:t>sources of funding be used</w:t>
            </w:r>
            <w:r>
              <w:rPr>
                <w:color w:val="000000"/>
              </w:rPr>
              <w:t>,</w:t>
            </w:r>
            <w:r w:rsidRPr="002D28A6">
              <w:rPr>
                <w:color w:val="000000"/>
              </w:rPr>
              <w:t xml:space="preserve"> such as</w:t>
            </w:r>
            <w:r>
              <w:rPr>
                <w:color w:val="000000"/>
              </w:rPr>
              <w:t xml:space="preserve"> the $20 million in</w:t>
            </w:r>
            <w:r w:rsidRPr="002D28A6">
              <w:rPr>
                <w:color w:val="000000"/>
              </w:rPr>
              <w:t xml:space="preserve"> Low-Carbon Fuel Standard (LCFS) holdback revenues</w:t>
            </w:r>
            <w:r>
              <w:rPr>
                <w:color w:val="000000"/>
              </w:rPr>
              <w:t xml:space="preserve"> PG&amp;E proposed to use for EV charging capacity upgrades in its </w:t>
            </w:r>
            <w:r>
              <w:t>LCFS Implementation Plan</w:t>
            </w:r>
            <w:r w:rsidRPr="002D28A6">
              <w:rPr>
                <w:color w:val="000000"/>
              </w:rPr>
              <w:t>.</w:t>
            </w:r>
            <w:r>
              <w:rPr>
                <w:color w:val="000000"/>
              </w:rPr>
              <w:t xml:space="preserve">  TURN also recommended that the Commission direct PG&amp;E to include in its reasonableness review showing in the next GRC how it took advantage of alternatives to recording incremental costs to the SB 410 account, including use of LCFS funds.  PG&amp;E objected to a requirement that it first exhaust non-ratepayer funding sources.</w:t>
            </w:r>
          </w:p>
          <w:p w:rsidRPr="002D28A6" w:rsidR="00BD4ED8" w:rsidP="00190B9E" w:rsidRDefault="00BD4ED8" w14:paraId="7C6E95C5" w14:textId="77777777">
            <w:pPr>
              <w:rPr>
                <w:color w:val="000000"/>
              </w:rPr>
            </w:pPr>
          </w:p>
          <w:p w:rsidRPr="002D28A6" w:rsidR="00BD4ED8" w:rsidP="00190B9E" w:rsidRDefault="00BD4ED8" w14:paraId="02918800" w14:textId="46F4EE8D">
            <w:pPr>
              <w:rPr>
                <w:color w:val="000000"/>
              </w:rPr>
            </w:pPr>
            <w:r w:rsidRPr="002D28A6">
              <w:rPr>
                <w:color w:val="000000"/>
              </w:rPr>
              <w:t>The Commission</w:t>
            </w:r>
            <w:r>
              <w:rPr>
                <w:color w:val="000000"/>
              </w:rPr>
              <w:t xml:space="preserve"> agreed with TURN that </w:t>
            </w:r>
            <w:r w:rsidRPr="002D28A6">
              <w:t xml:space="preserve">PG&amp;E </w:t>
            </w:r>
            <w:r>
              <w:t>should</w:t>
            </w:r>
            <w:r w:rsidRPr="002D28A6">
              <w:t xml:space="preserve"> exhaust all non-ratepayer sources of funding to support new connections before investing ratepayer funds in electrical distribution infrastructure upgrades</w:t>
            </w:r>
            <w:r>
              <w:t xml:space="preserve">, including LCFS funds if authorized by the Commission for EV-related new business capacity upgrades.  </w:t>
            </w:r>
            <w:r>
              <w:lastRenderedPageBreak/>
              <w:t>The Commission directed</w:t>
            </w:r>
            <w:r w:rsidRPr="002D28A6">
              <w:t xml:space="preserve"> PG&amp;E </w:t>
            </w:r>
            <w:r>
              <w:t xml:space="preserve">to </w:t>
            </w:r>
            <w:r w:rsidRPr="002D28A6">
              <w:t>submit testimony in its next GRC that demonstrates how it took advantage of LCFS funds to energize customers in lieu of, or to reduce, distribution investment costs recorded to the ECNBIMA</w:t>
            </w:r>
            <w:r>
              <w:t>, if the Commission approves PG&amp;E’s pending LCFS Implementation Plan.</w:t>
            </w:r>
          </w:p>
          <w:p w:rsidRPr="002D28A6" w:rsidR="00BD4ED8" w:rsidP="00190B9E" w:rsidRDefault="00BD4ED8" w14:paraId="549004C0" w14:textId="77777777">
            <w:pPr>
              <w:rPr>
                <w:color w:val="000000"/>
              </w:rPr>
            </w:pPr>
          </w:p>
          <w:p w:rsidRPr="00FC13B6" w:rsidR="00BD4ED8" w:rsidP="00190B9E" w:rsidRDefault="00BD4ED8" w14:paraId="59527312" w14:textId="77777777">
            <w:pPr>
              <w:rPr>
                <w:color w:val="000000"/>
                <w:u w:val="single"/>
              </w:rPr>
            </w:pPr>
            <w:r w:rsidRPr="00FC13B6">
              <w:rPr>
                <w:color w:val="000000"/>
                <w:u w:val="single"/>
              </w:rPr>
              <w:t>Alternative Approaches to Managing Load and Connection Customers</w:t>
            </w:r>
          </w:p>
          <w:p w:rsidR="00BD4ED8" w:rsidP="00190B9E" w:rsidRDefault="00BD4ED8" w14:paraId="5A681FDC" w14:textId="77777777">
            <w:pPr>
              <w:rPr>
                <w:color w:val="000000"/>
              </w:rPr>
            </w:pPr>
          </w:p>
          <w:p w:rsidRPr="002D28A6" w:rsidR="00BD4ED8" w:rsidP="00190B9E" w:rsidRDefault="00BD4ED8" w14:paraId="5B143754" w14:textId="020A2633">
            <w:pPr>
              <w:rPr>
                <w:color w:val="000000"/>
              </w:rPr>
            </w:pPr>
            <w:r w:rsidRPr="002D28A6">
              <w:rPr>
                <w:color w:val="000000"/>
              </w:rPr>
              <w:t>TURN advocated for the pursuit of alternative ways to interconnect customers in grid capacity constrained areas, such as allowing customers to use automated load management systems (ALMS) and dynamic management of consumption based on grid availability.</w:t>
            </w:r>
            <w:r>
              <w:rPr>
                <w:color w:val="000000"/>
              </w:rPr>
              <w:t xml:space="preserve">  TURN also recommended that the Commission direct PG&amp;E to include in its reasonableness review showing in the next GRC how it took advantage of alternatives to recording incremental costs to the SB 410 account, including ALMS, flexible service connections, etc..  </w:t>
            </w:r>
          </w:p>
          <w:p w:rsidRPr="002D28A6" w:rsidR="00BD4ED8" w:rsidP="00190B9E" w:rsidRDefault="00BD4ED8" w14:paraId="2A63520F" w14:textId="77777777">
            <w:pPr>
              <w:rPr>
                <w:color w:val="000000"/>
              </w:rPr>
            </w:pPr>
          </w:p>
          <w:p w:rsidRPr="002D28A6" w:rsidR="00BD4ED8" w:rsidP="00190B9E" w:rsidRDefault="00BD4ED8" w14:paraId="7BD6E508" w14:textId="6D152052">
            <w:r w:rsidRPr="002D28A6">
              <w:rPr>
                <w:color w:val="000000"/>
              </w:rPr>
              <w:t xml:space="preserve">The Commission </w:t>
            </w:r>
            <w:r>
              <w:rPr>
                <w:color w:val="000000"/>
              </w:rPr>
              <w:t xml:space="preserve">agreed with TURN that DERMS and flexible load management approaches may impact the need for capacity upgrades and thus SB 410 interim relief.  The Commission directed PG&amp;E to report in the next GRC on its work and funding for DERMS and its flexible service connection pilot, as well as the impact of those activities on the need for capacity upgrades.  The Commission went one step further and also required </w:t>
            </w:r>
            <w:r w:rsidRPr="002D28A6">
              <w:t>PG&amp;E to report on its work and funding for dynamic and demand flexibility rates and their impact on reducing the need for capacity upgrades</w:t>
            </w:r>
            <w:r>
              <w:t>.</w:t>
            </w:r>
          </w:p>
        </w:tc>
        <w:tc>
          <w:tcPr>
            <w:tcW w:w="2926" w:type="dxa"/>
            <w:shd w:val="clear" w:color="auto" w:fill="auto"/>
          </w:tcPr>
          <w:p w:rsidRPr="002D28A6" w:rsidR="00BD4ED8" w:rsidP="00190B9E" w:rsidRDefault="00BD4ED8" w14:paraId="131BE343" w14:textId="77777777">
            <w:pPr>
              <w:rPr>
                <w:color w:val="000000"/>
              </w:rPr>
            </w:pPr>
          </w:p>
          <w:p w:rsidRPr="002D28A6" w:rsidR="00BD4ED8" w:rsidP="00190B9E" w:rsidRDefault="00BD4ED8" w14:paraId="49A528D1" w14:textId="77777777">
            <w:pPr>
              <w:rPr>
                <w:color w:val="000000"/>
              </w:rPr>
            </w:pPr>
          </w:p>
          <w:p w:rsidR="00BD4ED8" w:rsidP="00190B9E" w:rsidRDefault="00BD4ED8" w14:paraId="5B22BC08" w14:textId="77777777">
            <w:pPr>
              <w:rPr>
                <w:color w:val="000000"/>
              </w:rPr>
            </w:pPr>
          </w:p>
          <w:p w:rsidR="00BD4ED8" w:rsidP="00190B9E" w:rsidRDefault="00BD4ED8" w14:paraId="7348C259" w14:textId="77777777">
            <w:pPr>
              <w:rPr>
                <w:color w:val="000000"/>
              </w:rPr>
            </w:pPr>
          </w:p>
          <w:p w:rsidRPr="00FC13B6" w:rsidR="00BD4ED8" w:rsidP="00190B9E" w:rsidRDefault="00BD4ED8" w14:paraId="24391BF1" w14:textId="025235DD">
            <w:pPr>
              <w:rPr>
                <w:color w:val="000000"/>
                <w:u w:val="single"/>
              </w:rPr>
            </w:pPr>
            <w:r w:rsidRPr="00FC13B6">
              <w:rPr>
                <w:color w:val="000000"/>
                <w:u w:val="single"/>
              </w:rPr>
              <w:lastRenderedPageBreak/>
              <w:t>Diablo Canyon Volumetric Payments</w:t>
            </w:r>
          </w:p>
          <w:p w:rsidRPr="002D28A6" w:rsidR="00BD4ED8" w:rsidP="00190B9E" w:rsidRDefault="00BD4ED8" w14:paraId="7E188A39" w14:textId="77777777">
            <w:pPr>
              <w:rPr>
                <w:color w:val="000000"/>
              </w:rPr>
            </w:pPr>
          </w:p>
          <w:p w:rsidR="00BD4ED8" w:rsidP="00190B9E" w:rsidRDefault="00BD4ED8" w14:paraId="47A94C01" w14:textId="5E85EE43">
            <w:pPr>
              <w:pStyle w:val="ListParagraph"/>
            </w:pPr>
            <w:r w:rsidRPr="002D28A6">
              <w:t>TURN Opening Brief, pp. 3</w:t>
            </w:r>
            <w:r>
              <w:t>1</w:t>
            </w:r>
            <w:r w:rsidRPr="002D28A6">
              <w:t>-34.</w:t>
            </w:r>
          </w:p>
          <w:p w:rsidR="00BD4ED8" w:rsidP="00190B9E" w:rsidRDefault="00BD4ED8" w14:paraId="2B761B9D" w14:textId="72EB2C2D">
            <w:pPr>
              <w:pStyle w:val="ListParagraph"/>
              <w:numPr>
                <w:ilvl w:val="0"/>
                <w:numId w:val="0"/>
              </w:numPr>
              <w:ind w:left="374"/>
            </w:pPr>
          </w:p>
          <w:p w:rsidRPr="002D28A6" w:rsidR="00BD4ED8" w:rsidP="00190B9E" w:rsidRDefault="00BD4ED8" w14:paraId="315562FD" w14:textId="067BE651">
            <w:pPr>
              <w:pStyle w:val="ListParagraph"/>
            </w:pPr>
            <w:r>
              <w:t>D.24-07-008, pp. 72-74.</w:t>
            </w:r>
          </w:p>
          <w:p w:rsidRPr="00765964" w:rsidR="00765964" w:rsidP="00765964" w:rsidRDefault="00765964" w14:paraId="36BC7801" w14:textId="77777777">
            <w:pPr>
              <w:ind w:left="14"/>
              <w:rPr>
                <w:color w:val="000000"/>
              </w:rPr>
            </w:pPr>
          </w:p>
          <w:p w:rsidRPr="002D28A6" w:rsidR="00BD4ED8" w:rsidP="00190B9E" w:rsidRDefault="00BD4ED8" w14:paraId="4F2FE715" w14:textId="77777777">
            <w:pPr>
              <w:rPr>
                <w:color w:val="000000"/>
              </w:rPr>
            </w:pPr>
          </w:p>
          <w:p w:rsidR="00BD4ED8" w:rsidP="00190B9E" w:rsidRDefault="00BD4ED8" w14:paraId="20340E89" w14:textId="77777777">
            <w:pPr>
              <w:rPr>
                <w:color w:val="000000"/>
              </w:rPr>
            </w:pPr>
          </w:p>
          <w:p w:rsidRPr="00FC13B6" w:rsidR="00BD4ED8" w:rsidP="00190B9E" w:rsidRDefault="00BD4ED8" w14:paraId="1E975C33" w14:textId="51B231CF">
            <w:pPr>
              <w:rPr>
                <w:color w:val="000000"/>
                <w:u w:val="single"/>
              </w:rPr>
            </w:pPr>
            <w:r w:rsidRPr="00FC13B6">
              <w:rPr>
                <w:color w:val="000000"/>
                <w:u w:val="single"/>
              </w:rPr>
              <w:t>LCFS Holdback Revenues</w:t>
            </w:r>
          </w:p>
          <w:p w:rsidRPr="002D28A6" w:rsidR="00BD4ED8" w:rsidP="00190B9E" w:rsidRDefault="00BD4ED8" w14:paraId="39EB3312" w14:textId="77777777">
            <w:pPr>
              <w:rPr>
                <w:color w:val="000000"/>
              </w:rPr>
            </w:pPr>
          </w:p>
          <w:p w:rsidR="00BD4ED8" w:rsidP="00190B9E" w:rsidRDefault="00BD4ED8" w14:paraId="1B1CA2DF" w14:textId="0AC53C68">
            <w:pPr>
              <w:pStyle w:val="ListParagraph"/>
            </w:pPr>
            <w:r w:rsidRPr="002D28A6">
              <w:t>TURN Opening Brief, p</w:t>
            </w:r>
            <w:r>
              <w:t>p</w:t>
            </w:r>
            <w:r w:rsidRPr="002D28A6">
              <w:t>. 35</w:t>
            </w:r>
            <w:r>
              <w:t xml:space="preserve"> (use of LCFS funds), pp. 36-37 </w:t>
            </w:r>
            <w:r w:rsidRPr="008B2D96">
              <w:t>(reporting on use of LCFS funds in next GRC reasonableness review).</w:t>
            </w:r>
          </w:p>
          <w:p w:rsidR="00BD4ED8" w:rsidP="00190B9E" w:rsidRDefault="00BD4ED8" w14:paraId="348F47C5" w14:textId="77777777">
            <w:pPr>
              <w:pStyle w:val="ListParagraph"/>
              <w:numPr>
                <w:ilvl w:val="0"/>
                <w:numId w:val="0"/>
              </w:numPr>
              <w:ind w:left="374"/>
            </w:pPr>
          </w:p>
          <w:p w:rsidRPr="002D28A6" w:rsidR="00BD4ED8" w:rsidP="00190B9E" w:rsidRDefault="00BD4ED8" w14:paraId="4376089B" w14:textId="205C2C16">
            <w:pPr>
              <w:pStyle w:val="ListParagraph"/>
            </w:pPr>
            <w:r>
              <w:t>TURN Reply Brief, p. 20.</w:t>
            </w:r>
          </w:p>
          <w:p w:rsidR="00765964" w:rsidP="00765964" w:rsidRDefault="00765964" w14:paraId="775486BE" w14:textId="77777777">
            <w:pPr>
              <w:pStyle w:val="ListParagraph"/>
              <w:numPr>
                <w:ilvl w:val="0"/>
                <w:numId w:val="0"/>
              </w:numPr>
              <w:ind w:left="374"/>
            </w:pPr>
          </w:p>
          <w:p w:rsidRPr="002D28A6" w:rsidR="00BD4ED8" w:rsidP="00190B9E" w:rsidRDefault="00BD4ED8" w14:paraId="211E65EB" w14:textId="681BD808">
            <w:pPr>
              <w:ind w:left="14"/>
            </w:pPr>
          </w:p>
          <w:p w:rsidRPr="002D28A6" w:rsidR="00BD4ED8" w:rsidP="00190B9E" w:rsidRDefault="00BD4ED8" w14:paraId="7F2801E0" w14:textId="53125F93">
            <w:pPr>
              <w:pStyle w:val="ListParagraph"/>
            </w:pPr>
            <w:r w:rsidRPr="002D28A6">
              <w:t>D.24-07-008, p</w:t>
            </w:r>
            <w:r>
              <w:t>p</w:t>
            </w:r>
            <w:r w:rsidRPr="002D28A6">
              <w:t>. 71</w:t>
            </w:r>
            <w:r>
              <w:t>-72</w:t>
            </w:r>
            <w:r w:rsidRPr="002D28A6">
              <w:t>.</w:t>
            </w:r>
          </w:p>
          <w:p w:rsidR="00765964" w:rsidP="00765964" w:rsidRDefault="00765964" w14:paraId="00C212B3" w14:textId="77777777">
            <w:pPr>
              <w:pStyle w:val="ListParagraph"/>
              <w:rPr>
                <w:color w:val="000000"/>
              </w:rPr>
            </w:pPr>
          </w:p>
          <w:p w:rsidRPr="002D28A6" w:rsidR="00BD4ED8" w:rsidP="00190B9E" w:rsidRDefault="00BD4ED8" w14:paraId="6BA45D1F" w14:textId="77777777">
            <w:pPr>
              <w:rPr>
                <w:color w:val="000000"/>
              </w:rPr>
            </w:pPr>
          </w:p>
          <w:p w:rsidRPr="002D28A6" w:rsidR="00BD4ED8" w:rsidP="00190B9E" w:rsidRDefault="00BD4ED8" w14:paraId="5066692E" w14:textId="77777777">
            <w:pPr>
              <w:rPr>
                <w:color w:val="000000"/>
              </w:rPr>
            </w:pPr>
          </w:p>
          <w:p w:rsidRPr="00FC13B6" w:rsidR="00BD4ED8" w:rsidP="00190B9E" w:rsidRDefault="00BD4ED8" w14:paraId="2414F14C" w14:textId="51CB0BAE">
            <w:pPr>
              <w:rPr>
                <w:color w:val="000000"/>
                <w:u w:val="single"/>
              </w:rPr>
            </w:pPr>
            <w:r w:rsidRPr="00FC13B6">
              <w:rPr>
                <w:color w:val="000000"/>
                <w:u w:val="single"/>
              </w:rPr>
              <w:t>Alternative Approaches to Managing Load and Connection Customers</w:t>
            </w:r>
          </w:p>
          <w:p w:rsidR="00BD4ED8" w:rsidP="00190B9E" w:rsidRDefault="00BD4ED8" w14:paraId="2537DD1A" w14:textId="77777777">
            <w:pPr>
              <w:rPr>
                <w:color w:val="000000"/>
              </w:rPr>
            </w:pPr>
          </w:p>
          <w:p w:rsidR="00BD4ED8" w:rsidP="00190B9E" w:rsidRDefault="00BD4ED8" w14:paraId="20CBB5A6" w14:textId="02E95F13">
            <w:pPr>
              <w:pStyle w:val="ListParagraph"/>
            </w:pPr>
            <w:r w:rsidRPr="002D28A6">
              <w:t>TURN Opening Brief, p</w:t>
            </w:r>
            <w:r>
              <w:t>p</w:t>
            </w:r>
            <w:r w:rsidRPr="002D28A6">
              <w:t xml:space="preserve">. </w:t>
            </w:r>
            <w:r>
              <w:t>35-</w:t>
            </w:r>
            <w:r w:rsidRPr="002D28A6">
              <w:t>3</w:t>
            </w:r>
            <w:r>
              <w:t>7</w:t>
            </w:r>
            <w:r w:rsidRPr="002D28A6">
              <w:t>.</w:t>
            </w:r>
          </w:p>
          <w:p w:rsidR="00BD4ED8" w:rsidP="00190B9E" w:rsidRDefault="00BD4ED8" w14:paraId="3AF9B35B" w14:textId="77777777">
            <w:pPr>
              <w:pStyle w:val="ListParagraph"/>
              <w:numPr>
                <w:ilvl w:val="0"/>
                <w:numId w:val="0"/>
              </w:numPr>
              <w:ind w:left="374"/>
            </w:pPr>
          </w:p>
          <w:p w:rsidRPr="002D28A6" w:rsidR="00BD4ED8" w:rsidP="00190B9E" w:rsidRDefault="00BD4ED8" w14:paraId="15780FC8" w14:textId="71463F5B">
            <w:pPr>
              <w:pStyle w:val="ListParagraph"/>
            </w:pPr>
            <w:r>
              <w:t>TURN Reply Brief, pp. 17-20.</w:t>
            </w:r>
          </w:p>
          <w:p w:rsidR="00765964" w:rsidP="00765964" w:rsidRDefault="00765964" w14:paraId="30541141" w14:textId="77777777">
            <w:pPr>
              <w:pStyle w:val="ListParagraph"/>
            </w:pPr>
          </w:p>
          <w:p w:rsidRPr="002D28A6" w:rsidR="00BD4ED8" w:rsidP="00190B9E" w:rsidRDefault="00BD4ED8" w14:paraId="16ECAB25" w14:textId="77777777">
            <w:pPr>
              <w:pStyle w:val="ListParagraph"/>
              <w:numPr>
                <w:ilvl w:val="0"/>
                <w:numId w:val="0"/>
              </w:numPr>
              <w:ind w:left="374"/>
            </w:pPr>
          </w:p>
          <w:p w:rsidRPr="002D28A6" w:rsidR="00BD4ED8" w:rsidP="00190B9E" w:rsidRDefault="00BD4ED8" w14:paraId="7E1D6767" w14:textId="5E9519D2">
            <w:pPr>
              <w:pStyle w:val="ListParagraph"/>
            </w:pPr>
            <w:r w:rsidRPr="002D28A6">
              <w:t>D.24-</w:t>
            </w:r>
            <w:r>
              <w:t>0</w:t>
            </w:r>
            <w:r w:rsidRPr="002D28A6">
              <w:t>7-008, pp. 7</w:t>
            </w:r>
            <w:r>
              <w:t>4</w:t>
            </w:r>
            <w:r w:rsidRPr="002D28A6">
              <w:t>-76.</w:t>
            </w:r>
          </w:p>
        </w:tc>
        <w:tc>
          <w:tcPr>
            <w:tcW w:w="2337" w:type="dxa"/>
            <w:shd w:val="clear" w:color="auto" w:fill="auto"/>
          </w:tcPr>
          <w:p w:rsidR="00BD4ED8" w:rsidP="00765964" w:rsidRDefault="00BD4ED8" w14:paraId="3335EC71" w14:textId="77777777">
            <w:pPr>
              <w:jc w:val="center"/>
              <w:rPr>
                <w:color w:val="000000"/>
              </w:rPr>
            </w:pPr>
          </w:p>
          <w:p w:rsidR="00765964" w:rsidP="00765964" w:rsidRDefault="00765964" w14:paraId="7C03ED90" w14:textId="77777777">
            <w:pPr>
              <w:jc w:val="center"/>
              <w:rPr>
                <w:color w:val="000000"/>
              </w:rPr>
            </w:pPr>
          </w:p>
          <w:p w:rsidR="00765964" w:rsidP="00765964" w:rsidRDefault="00765964" w14:paraId="31BA96F6" w14:textId="77777777">
            <w:pPr>
              <w:jc w:val="center"/>
              <w:rPr>
                <w:color w:val="000000"/>
              </w:rPr>
            </w:pPr>
          </w:p>
          <w:p w:rsidR="00765964" w:rsidP="00765964" w:rsidRDefault="00765964" w14:paraId="0FDA4E7A" w14:textId="77777777">
            <w:pPr>
              <w:jc w:val="center"/>
              <w:rPr>
                <w:color w:val="000000"/>
              </w:rPr>
            </w:pPr>
          </w:p>
          <w:p w:rsidR="00765964" w:rsidP="00765964" w:rsidRDefault="00765964" w14:paraId="60919AEC" w14:textId="77777777">
            <w:pPr>
              <w:jc w:val="center"/>
              <w:rPr>
                <w:color w:val="000000"/>
              </w:rPr>
            </w:pPr>
          </w:p>
          <w:p w:rsidR="00765964" w:rsidP="00765964" w:rsidRDefault="00765964" w14:paraId="5FA026DA" w14:textId="77777777">
            <w:pPr>
              <w:jc w:val="center"/>
              <w:rPr>
                <w:color w:val="000000"/>
              </w:rPr>
            </w:pPr>
          </w:p>
          <w:p w:rsidR="00765964" w:rsidP="00765964" w:rsidRDefault="00765964" w14:paraId="67D0AA0D" w14:textId="77777777">
            <w:pPr>
              <w:jc w:val="center"/>
              <w:rPr>
                <w:color w:val="000000"/>
              </w:rPr>
            </w:pPr>
          </w:p>
          <w:p w:rsidR="00765964" w:rsidP="00765964" w:rsidRDefault="00765964" w14:paraId="0AA2FF26" w14:textId="77777777">
            <w:pPr>
              <w:jc w:val="center"/>
              <w:rPr>
                <w:color w:val="000000"/>
              </w:rPr>
            </w:pPr>
          </w:p>
          <w:p w:rsidR="00765964" w:rsidP="00765964" w:rsidRDefault="00765964" w14:paraId="32B50446" w14:textId="77777777">
            <w:pPr>
              <w:jc w:val="center"/>
              <w:rPr>
                <w:color w:val="000000"/>
              </w:rPr>
            </w:pPr>
            <w:r>
              <w:rPr>
                <w:color w:val="000000"/>
              </w:rPr>
              <w:t>Verified</w:t>
            </w:r>
          </w:p>
          <w:p w:rsidR="00765964" w:rsidP="00765964" w:rsidRDefault="00765964" w14:paraId="57DDDB44" w14:textId="77777777">
            <w:pPr>
              <w:jc w:val="center"/>
              <w:rPr>
                <w:color w:val="000000"/>
              </w:rPr>
            </w:pPr>
          </w:p>
          <w:p w:rsidR="00765964" w:rsidP="00765964" w:rsidRDefault="00765964" w14:paraId="0C0FCD55" w14:textId="77777777">
            <w:pPr>
              <w:jc w:val="center"/>
              <w:rPr>
                <w:color w:val="000000"/>
              </w:rPr>
            </w:pPr>
          </w:p>
          <w:p w:rsidR="00765964" w:rsidP="00765964" w:rsidRDefault="00765964" w14:paraId="529338E1" w14:textId="77777777">
            <w:pPr>
              <w:jc w:val="center"/>
              <w:rPr>
                <w:color w:val="000000"/>
              </w:rPr>
            </w:pPr>
          </w:p>
          <w:p w:rsidR="00765964" w:rsidP="00765964" w:rsidRDefault="00765964" w14:paraId="368D75E2" w14:textId="77777777">
            <w:pPr>
              <w:jc w:val="center"/>
              <w:rPr>
                <w:color w:val="000000"/>
              </w:rPr>
            </w:pPr>
          </w:p>
          <w:p w:rsidR="00765964" w:rsidP="00765964" w:rsidRDefault="00765964" w14:paraId="75DCF43A" w14:textId="77777777">
            <w:pPr>
              <w:jc w:val="center"/>
              <w:rPr>
                <w:color w:val="000000"/>
              </w:rPr>
            </w:pPr>
          </w:p>
          <w:p w:rsidR="00765964" w:rsidP="00765964" w:rsidRDefault="00765964" w14:paraId="5D46598F" w14:textId="77777777">
            <w:pPr>
              <w:jc w:val="center"/>
              <w:rPr>
                <w:color w:val="000000"/>
              </w:rPr>
            </w:pPr>
          </w:p>
          <w:p w:rsidR="00765964" w:rsidP="00765964" w:rsidRDefault="00765964" w14:paraId="233BBEFA" w14:textId="77777777">
            <w:pPr>
              <w:jc w:val="center"/>
              <w:rPr>
                <w:color w:val="000000"/>
              </w:rPr>
            </w:pPr>
          </w:p>
          <w:p w:rsidR="00765964" w:rsidP="00765964" w:rsidRDefault="00765964" w14:paraId="75D863FC" w14:textId="77777777">
            <w:pPr>
              <w:jc w:val="center"/>
              <w:rPr>
                <w:color w:val="000000"/>
              </w:rPr>
            </w:pPr>
          </w:p>
          <w:p w:rsidR="00765964" w:rsidP="00765964" w:rsidRDefault="00765964" w14:paraId="2A0AAF30" w14:textId="77777777">
            <w:pPr>
              <w:jc w:val="center"/>
              <w:rPr>
                <w:color w:val="000000"/>
              </w:rPr>
            </w:pPr>
          </w:p>
          <w:p w:rsidR="00765964" w:rsidP="00765964" w:rsidRDefault="00765964" w14:paraId="3D94F471" w14:textId="77777777">
            <w:pPr>
              <w:jc w:val="center"/>
              <w:rPr>
                <w:color w:val="000000"/>
              </w:rPr>
            </w:pPr>
            <w:r>
              <w:rPr>
                <w:color w:val="000000"/>
              </w:rPr>
              <w:t>Verified</w:t>
            </w:r>
          </w:p>
          <w:p w:rsidR="00765964" w:rsidP="00765964" w:rsidRDefault="00765964" w14:paraId="3B69DF4C" w14:textId="77777777">
            <w:pPr>
              <w:jc w:val="center"/>
              <w:rPr>
                <w:color w:val="000000"/>
              </w:rPr>
            </w:pPr>
          </w:p>
          <w:p w:rsidR="00765964" w:rsidP="00765964" w:rsidRDefault="00765964" w14:paraId="3DF97F39" w14:textId="77777777">
            <w:pPr>
              <w:jc w:val="center"/>
              <w:rPr>
                <w:color w:val="000000"/>
              </w:rPr>
            </w:pPr>
          </w:p>
          <w:p w:rsidR="00765964" w:rsidP="00765964" w:rsidRDefault="00765964" w14:paraId="3C63CC27" w14:textId="77777777">
            <w:pPr>
              <w:jc w:val="center"/>
              <w:rPr>
                <w:color w:val="000000"/>
              </w:rPr>
            </w:pPr>
          </w:p>
          <w:p w:rsidR="00765964" w:rsidP="00765964" w:rsidRDefault="00765964" w14:paraId="008ED32F" w14:textId="77777777">
            <w:pPr>
              <w:jc w:val="center"/>
              <w:rPr>
                <w:color w:val="000000"/>
              </w:rPr>
            </w:pPr>
          </w:p>
          <w:p w:rsidR="00765964" w:rsidP="00765964" w:rsidRDefault="00765964" w14:paraId="2BDD4162" w14:textId="77777777">
            <w:pPr>
              <w:jc w:val="center"/>
              <w:rPr>
                <w:color w:val="000000"/>
              </w:rPr>
            </w:pPr>
          </w:p>
          <w:p w:rsidR="00765964" w:rsidP="00765964" w:rsidRDefault="00765964" w14:paraId="51E61645" w14:textId="77777777">
            <w:pPr>
              <w:jc w:val="center"/>
              <w:rPr>
                <w:color w:val="000000"/>
              </w:rPr>
            </w:pPr>
          </w:p>
          <w:p w:rsidR="00765964" w:rsidP="00765964" w:rsidRDefault="00765964" w14:paraId="788A787F" w14:textId="77777777">
            <w:pPr>
              <w:jc w:val="center"/>
              <w:rPr>
                <w:color w:val="000000"/>
              </w:rPr>
            </w:pPr>
          </w:p>
          <w:p w:rsidR="00765964" w:rsidP="00765964" w:rsidRDefault="00765964" w14:paraId="1AD6198B" w14:textId="77777777">
            <w:pPr>
              <w:jc w:val="center"/>
              <w:rPr>
                <w:color w:val="000000"/>
              </w:rPr>
            </w:pPr>
          </w:p>
          <w:p w:rsidR="00765964" w:rsidP="00765964" w:rsidRDefault="00765964" w14:paraId="3CC1AE0E" w14:textId="77777777">
            <w:pPr>
              <w:jc w:val="center"/>
              <w:rPr>
                <w:color w:val="000000"/>
              </w:rPr>
            </w:pPr>
          </w:p>
          <w:p w:rsidR="00765964" w:rsidP="00765964" w:rsidRDefault="00765964" w14:paraId="2D1186C0" w14:textId="77777777">
            <w:pPr>
              <w:jc w:val="center"/>
              <w:rPr>
                <w:color w:val="000000"/>
              </w:rPr>
            </w:pPr>
          </w:p>
          <w:p w:rsidR="00765964" w:rsidP="00765964" w:rsidRDefault="00765964" w14:paraId="72C8F452" w14:textId="77777777">
            <w:pPr>
              <w:jc w:val="center"/>
              <w:rPr>
                <w:color w:val="000000"/>
              </w:rPr>
            </w:pPr>
          </w:p>
          <w:p w:rsidR="00765964" w:rsidP="00765964" w:rsidRDefault="00765964" w14:paraId="381369D6" w14:textId="77777777">
            <w:pPr>
              <w:jc w:val="center"/>
              <w:rPr>
                <w:color w:val="000000"/>
              </w:rPr>
            </w:pPr>
          </w:p>
          <w:p w:rsidR="00765964" w:rsidP="00765964" w:rsidRDefault="00765964" w14:paraId="586C520D" w14:textId="77777777">
            <w:pPr>
              <w:jc w:val="center"/>
              <w:rPr>
                <w:color w:val="000000"/>
              </w:rPr>
            </w:pPr>
          </w:p>
          <w:p w:rsidR="00765964" w:rsidP="00765964" w:rsidRDefault="00765964" w14:paraId="34A60C64" w14:textId="77777777">
            <w:pPr>
              <w:jc w:val="center"/>
              <w:rPr>
                <w:color w:val="000000"/>
              </w:rPr>
            </w:pPr>
          </w:p>
          <w:p w:rsidR="00765964" w:rsidP="00765964" w:rsidRDefault="00765964" w14:paraId="77044F3B" w14:textId="77777777">
            <w:pPr>
              <w:jc w:val="center"/>
              <w:rPr>
                <w:color w:val="000000"/>
              </w:rPr>
            </w:pPr>
          </w:p>
          <w:p w:rsidR="00765964" w:rsidP="00765964" w:rsidRDefault="00765964" w14:paraId="3F661B8C" w14:textId="77777777">
            <w:pPr>
              <w:jc w:val="center"/>
              <w:rPr>
                <w:color w:val="000000"/>
              </w:rPr>
            </w:pPr>
          </w:p>
          <w:p w:rsidR="00765964" w:rsidP="00765964" w:rsidRDefault="00765964" w14:paraId="4C2BC2DE" w14:textId="77777777">
            <w:pPr>
              <w:jc w:val="center"/>
              <w:rPr>
                <w:color w:val="000000"/>
              </w:rPr>
            </w:pPr>
          </w:p>
          <w:p w:rsidR="00765964" w:rsidP="00765964" w:rsidRDefault="00765964" w14:paraId="30006D07" w14:textId="77777777">
            <w:pPr>
              <w:jc w:val="center"/>
              <w:rPr>
                <w:color w:val="000000"/>
              </w:rPr>
            </w:pPr>
          </w:p>
          <w:p w:rsidR="00765964" w:rsidP="00765964" w:rsidRDefault="00765964" w14:paraId="532623C1" w14:textId="77777777">
            <w:pPr>
              <w:jc w:val="center"/>
              <w:rPr>
                <w:color w:val="000000"/>
              </w:rPr>
            </w:pPr>
          </w:p>
          <w:p w:rsidRPr="002D28A6" w:rsidR="00765964" w:rsidP="00765964" w:rsidRDefault="00765964" w14:paraId="4914D23A" w14:textId="0C1389D7">
            <w:pPr>
              <w:jc w:val="center"/>
              <w:rPr>
                <w:color w:val="000000"/>
              </w:rPr>
            </w:pPr>
            <w:r>
              <w:rPr>
                <w:color w:val="000000"/>
              </w:rPr>
              <w:t>Verified</w:t>
            </w:r>
          </w:p>
        </w:tc>
      </w:tr>
      <w:tr w:rsidRPr="002D28A6" w:rsidR="00BD4ED8" w:rsidTr="00DC7CDC" w14:paraId="32D64638" w14:textId="77777777">
        <w:trPr>
          <w:trHeight w:val="707"/>
        </w:trPr>
        <w:tc>
          <w:tcPr>
            <w:tcW w:w="4469" w:type="dxa"/>
            <w:shd w:val="clear" w:color="auto" w:fill="auto"/>
          </w:tcPr>
          <w:p w:rsidRPr="002D28A6" w:rsidR="00BD4ED8" w:rsidP="00190B9E" w:rsidRDefault="00BD4ED8" w14:paraId="40C52D0E" w14:textId="3F6A4A42">
            <w:pPr>
              <w:tabs>
                <w:tab w:val="left" w:pos="2104"/>
              </w:tabs>
              <w:rPr>
                <w:b/>
                <w:bCs/>
                <w:color w:val="000000"/>
              </w:rPr>
            </w:pPr>
            <w:r w:rsidRPr="002D28A6">
              <w:rPr>
                <w:b/>
                <w:bCs/>
                <w:color w:val="000000"/>
              </w:rPr>
              <w:lastRenderedPageBreak/>
              <w:t xml:space="preserve">6. </w:t>
            </w:r>
            <w:r w:rsidR="00760F34">
              <w:rPr>
                <w:b/>
                <w:bCs/>
                <w:color w:val="000000"/>
              </w:rPr>
              <w:t xml:space="preserve"> </w:t>
            </w:r>
            <w:r w:rsidRPr="002D28A6">
              <w:rPr>
                <w:b/>
                <w:bCs/>
                <w:color w:val="000000"/>
              </w:rPr>
              <w:t xml:space="preserve">Energization targets and </w:t>
            </w:r>
            <w:r>
              <w:rPr>
                <w:b/>
                <w:bCs/>
                <w:color w:val="000000"/>
              </w:rPr>
              <w:t>r</w:t>
            </w:r>
            <w:r w:rsidRPr="002D28A6">
              <w:rPr>
                <w:b/>
                <w:bCs/>
                <w:color w:val="000000"/>
              </w:rPr>
              <w:t>eporting requirements under AB 50 and SB 410</w:t>
            </w:r>
          </w:p>
          <w:p w:rsidRPr="002D28A6" w:rsidR="00BD4ED8" w:rsidP="00190B9E" w:rsidRDefault="00BD4ED8" w14:paraId="295CABAC" w14:textId="77777777">
            <w:pPr>
              <w:tabs>
                <w:tab w:val="left" w:pos="2104"/>
              </w:tabs>
              <w:rPr>
                <w:color w:val="000000"/>
              </w:rPr>
            </w:pPr>
          </w:p>
          <w:p w:rsidRPr="002D28A6" w:rsidR="00BD4ED8" w:rsidP="00190B9E" w:rsidRDefault="00BD4ED8" w14:paraId="157122D5" w14:textId="5458DD35">
            <w:pPr>
              <w:tabs>
                <w:tab w:val="left" w:pos="2104"/>
              </w:tabs>
              <w:rPr>
                <w:color w:val="000000"/>
              </w:rPr>
            </w:pPr>
            <w:r w:rsidRPr="002D28A6">
              <w:rPr>
                <w:color w:val="000000"/>
              </w:rPr>
              <w:t xml:space="preserve">TURN argued that the Commission should require PG&amp;E to comply with the energization targets and reporting required </w:t>
            </w:r>
            <w:r w:rsidRPr="002D28A6">
              <w:rPr>
                <w:color w:val="000000"/>
              </w:rPr>
              <w:lastRenderedPageBreak/>
              <w:t xml:space="preserve">by SB 410 and AB 50 through an annual </w:t>
            </w:r>
            <w:r>
              <w:rPr>
                <w:color w:val="000000"/>
              </w:rPr>
              <w:t>Tier 3 a</w:t>
            </w:r>
            <w:r w:rsidRPr="002D28A6">
              <w:rPr>
                <w:color w:val="000000"/>
              </w:rPr>
              <w:t xml:space="preserve">dvice </w:t>
            </w:r>
            <w:r>
              <w:rPr>
                <w:color w:val="000000"/>
              </w:rPr>
              <w:t>l</w:t>
            </w:r>
            <w:r w:rsidRPr="002D28A6">
              <w:rPr>
                <w:color w:val="000000"/>
              </w:rPr>
              <w:t>etter filing</w:t>
            </w:r>
            <w:r>
              <w:rPr>
                <w:color w:val="000000"/>
              </w:rPr>
              <w:t>,</w:t>
            </w:r>
            <w:r w:rsidRPr="002D28A6">
              <w:rPr>
                <w:color w:val="000000"/>
              </w:rPr>
              <w:t xml:space="preserve"> </w:t>
            </w:r>
            <w:r>
              <w:rPr>
                <w:color w:val="000000"/>
              </w:rPr>
              <w:t>as well as</w:t>
            </w:r>
            <w:r w:rsidRPr="002D28A6">
              <w:rPr>
                <w:color w:val="000000"/>
              </w:rPr>
              <w:t xml:space="preserve"> clarify that failure to comply with the SB 410 energization targets will impact the Commission’s reasonableness review of costs recorded to the ECNBBA.</w:t>
            </w:r>
          </w:p>
          <w:p w:rsidRPr="002D28A6" w:rsidR="00BD4ED8" w:rsidP="00190B9E" w:rsidRDefault="00BD4ED8" w14:paraId="30520BE3" w14:textId="77777777">
            <w:pPr>
              <w:rPr>
                <w:color w:val="000000"/>
              </w:rPr>
            </w:pPr>
          </w:p>
          <w:p w:rsidRPr="004C69FF" w:rsidR="00BD4ED8" w:rsidP="00190B9E" w:rsidRDefault="00BD4ED8" w14:paraId="569EDA61" w14:textId="59568DA3">
            <w:pPr>
              <w:pStyle w:val="Default"/>
              <w:rPr>
                <w:rFonts w:ascii="Times New Roman" w:hAnsi="Times New Roman" w:cs="Times New Roman"/>
              </w:rPr>
            </w:pPr>
            <w:r>
              <w:rPr>
                <w:rFonts w:ascii="Times New Roman" w:hAnsi="Times New Roman" w:cs="Times New Roman"/>
              </w:rPr>
              <w:t>The Commission agreed that PG&amp;E’s performance in meeting the Commission’s energization timelines is relevant to the AB 410 auditor’s scope of work and directed PG&amp;E to report on its energization performance through a Tier 1 advice letter, served to the service list for this proceeding and R.24-01-018.  The Commission also agreed with TURN that it “also may be appropriate for these energization targets and reporting requirements to inform that Commission’s consideration of the reasonableness of PG&amp;E’s costs recorded to the ECNBIMA.”  The Commission deferred consideration of reporting requirements for AB 50 energization timelines until such timelines are adopted in R.24-01-018, and kept this proceeding open for that purpose.</w:t>
            </w:r>
          </w:p>
        </w:tc>
        <w:tc>
          <w:tcPr>
            <w:tcW w:w="2926" w:type="dxa"/>
            <w:shd w:val="clear" w:color="auto" w:fill="auto"/>
          </w:tcPr>
          <w:p w:rsidRPr="002D28A6" w:rsidR="00BD4ED8" w:rsidP="00190B9E" w:rsidRDefault="00BD4ED8" w14:paraId="0021026E" w14:textId="77777777">
            <w:pPr>
              <w:rPr>
                <w:color w:val="000000"/>
              </w:rPr>
            </w:pPr>
          </w:p>
          <w:p w:rsidRPr="002D28A6" w:rsidR="00BD4ED8" w:rsidP="00190B9E" w:rsidRDefault="00BD4ED8" w14:paraId="41B70C9C" w14:textId="77777777">
            <w:pPr>
              <w:rPr>
                <w:color w:val="000000"/>
              </w:rPr>
            </w:pPr>
          </w:p>
          <w:p w:rsidRPr="002D28A6" w:rsidR="00BD4ED8" w:rsidP="00190B9E" w:rsidRDefault="00BD4ED8" w14:paraId="5B54AE77" w14:textId="77777777">
            <w:pPr>
              <w:rPr>
                <w:color w:val="000000"/>
              </w:rPr>
            </w:pPr>
          </w:p>
          <w:p w:rsidRPr="00C10EAD" w:rsidR="00BD4ED8" w:rsidP="00190B9E" w:rsidRDefault="00BD4ED8" w14:paraId="073FE76A" w14:textId="1268D8DF">
            <w:pPr>
              <w:pStyle w:val="ListParagraph"/>
            </w:pPr>
            <w:r w:rsidRPr="00C10EAD">
              <w:t>TURN Opening Brief, pp. 8-9.</w:t>
            </w:r>
          </w:p>
          <w:p w:rsidRPr="00C10EAD" w:rsidR="00BD4ED8" w:rsidP="00190B9E" w:rsidRDefault="00BD4ED8" w14:paraId="6916E47A" w14:textId="77777777">
            <w:pPr>
              <w:pStyle w:val="ListParagraph"/>
              <w:numPr>
                <w:ilvl w:val="0"/>
                <w:numId w:val="0"/>
              </w:numPr>
              <w:ind w:left="374"/>
            </w:pPr>
          </w:p>
          <w:p w:rsidRPr="00C10EAD" w:rsidR="00BD4ED8" w:rsidP="00190B9E" w:rsidRDefault="00BD4ED8" w14:paraId="5A078E4B" w14:textId="18BF586E">
            <w:pPr>
              <w:pStyle w:val="ListParagraph"/>
            </w:pPr>
            <w:r w:rsidRPr="00C10EAD">
              <w:t>D.24-07-008, pp. 66-68.</w:t>
            </w:r>
          </w:p>
          <w:p w:rsidR="00765964" w:rsidP="00765964" w:rsidRDefault="00765964" w14:paraId="2D26A224" w14:textId="77777777">
            <w:pPr>
              <w:pStyle w:val="ListParagraph"/>
              <w:numPr>
                <w:ilvl w:val="0"/>
                <w:numId w:val="0"/>
              </w:numPr>
              <w:ind w:left="374"/>
              <w:rPr>
                <w:color w:val="000000"/>
              </w:rPr>
            </w:pPr>
          </w:p>
          <w:p w:rsidR="00BD4ED8" w:rsidP="00190B9E" w:rsidRDefault="00BD4ED8" w14:paraId="3E4C3C27" w14:textId="77777777">
            <w:pPr>
              <w:rPr>
                <w:color w:val="000000"/>
              </w:rPr>
            </w:pPr>
          </w:p>
          <w:p w:rsidR="00BD4ED8" w:rsidP="00190B9E" w:rsidRDefault="00BD4ED8" w14:paraId="2D3CE678" w14:textId="77777777">
            <w:pPr>
              <w:rPr>
                <w:color w:val="000000"/>
              </w:rPr>
            </w:pPr>
          </w:p>
          <w:p w:rsidRPr="002D28A6" w:rsidR="00BD4ED8" w:rsidP="00190B9E" w:rsidRDefault="00BD4ED8" w14:paraId="272CB00E" w14:textId="695E5C0B">
            <w:pPr>
              <w:rPr>
                <w:color w:val="000000"/>
              </w:rPr>
            </w:pPr>
          </w:p>
        </w:tc>
        <w:tc>
          <w:tcPr>
            <w:tcW w:w="2337" w:type="dxa"/>
            <w:shd w:val="clear" w:color="auto" w:fill="auto"/>
          </w:tcPr>
          <w:p w:rsidR="00BD4ED8" w:rsidP="00765964" w:rsidRDefault="00BD4ED8" w14:paraId="41C13BF9" w14:textId="77777777">
            <w:pPr>
              <w:jc w:val="center"/>
              <w:rPr>
                <w:color w:val="000000"/>
              </w:rPr>
            </w:pPr>
          </w:p>
          <w:p w:rsidR="00765964" w:rsidP="00765964" w:rsidRDefault="00765964" w14:paraId="7878D4A4" w14:textId="77777777">
            <w:pPr>
              <w:jc w:val="center"/>
              <w:rPr>
                <w:color w:val="000000"/>
              </w:rPr>
            </w:pPr>
          </w:p>
          <w:p w:rsidR="00765964" w:rsidP="00765964" w:rsidRDefault="00765964" w14:paraId="02284F71" w14:textId="77777777">
            <w:pPr>
              <w:jc w:val="center"/>
              <w:rPr>
                <w:color w:val="000000"/>
              </w:rPr>
            </w:pPr>
          </w:p>
          <w:p w:rsidR="00765964" w:rsidP="00765964" w:rsidRDefault="00765964" w14:paraId="3DBF26AD" w14:textId="77777777">
            <w:pPr>
              <w:jc w:val="center"/>
              <w:rPr>
                <w:color w:val="000000"/>
              </w:rPr>
            </w:pPr>
          </w:p>
          <w:p w:rsidR="00765964" w:rsidP="00765964" w:rsidRDefault="00765964" w14:paraId="2F9B6067" w14:textId="77777777">
            <w:pPr>
              <w:jc w:val="center"/>
              <w:rPr>
                <w:color w:val="000000"/>
              </w:rPr>
            </w:pPr>
          </w:p>
          <w:p w:rsidRPr="002D28A6" w:rsidR="00765964" w:rsidP="00765964" w:rsidRDefault="00765964" w14:paraId="786AC361" w14:textId="00DD6CA9">
            <w:pPr>
              <w:jc w:val="center"/>
              <w:rPr>
                <w:color w:val="000000"/>
              </w:rPr>
            </w:pPr>
            <w:r>
              <w:rPr>
                <w:color w:val="000000"/>
              </w:rPr>
              <w:t>Verified</w:t>
            </w:r>
          </w:p>
        </w:tc>
      </w:tr>
      <w:tr w:rsidRPr="002D28A6" w:rsidR="00BD4ED8" w:rsidTr="008C05FA" w14:paraId="205B8109" w14:textId="77777777">
        <w:trPr>
          <w:trHeight w:val="707"/>
        </w:trPr>
        <w:tc>
          <w:tcPr>
            <w:tcW w:w="4469" w:type="dxa"/>
            <w:shd w:val="clear" w:color="auto" w:fill="auto"/>
          </w:tcPr>
          <w:p w:rsidRPr="002D28A6" w:rsidR="00BD4ED8" w:rsidP="00190B9E" w:rsidRDefault="00BD4ED8" w14:paraId="33401B53" w14:textId="217AB10F">
            <w:pPr>
              <w:rPr>
                <w:b/>
                <w:bCs/>
                <w:color w:val="000000"/>
              </w:rPr>
            </w:pPr>
            <w:r w:rsidRPr="002D28A6">
              <w:rPr>
                <w:b/>
                <w:bCs/>
                <w:color w:val="000000"/>
              </w:rPr>
              <w:t xml:space="preserve">7. </w:t>
            </w:r>
            <w:r w:rsidR="00FC13B6">
              <w:rPr>
                <w:b/>
                <w:bCs/>
                <w:color w:val="000000"/>
              </w:rPr>
              <w:t xml:space="preserve"> </w:t>
            </w:r>
            <w:r w:rsidRPr="002D28A6">
              <w:rPr>
                <w:b/>
                <w:bCs/>
                <w:color w:val="000000"/>
              </w:rPr>
              <w:t>Requirements for the SB 410 Independent Auditor</w:t>
            </w:r>
          </w:p>
          <w:p w:rsidRPr="002D28A6" w:rsidR="00BD4ED8" w:rsidP="00190B9E" w:rsidRDefault="00BD4ED8" w14:paraId="49A04179" w14:textId="77777777">
            <w:pPr>
              <w:rPr>
                <w:color w:val="000000"/>
              </w:rPr>
            </w:pPr>
          </w:p>
          <w:p w:rsidRPr="00FC13B6" w:rsidR="00BD4ED8" w:rsidP="00190B9E" w:rsidRDefault="00BD4ED8" w14:paraId="615F79C7" w14:textId="77777777">
            <w:pPr>
              <w:ind w:left="14"/>
              <w:rPr>
                <w:u w:val="single"/>
              </w:rPr>
            </w:pPr>
            <w:r w:rsidRPr="00FC13B6">
              <w:rPr>
                <w:u w:val="single"/>
              </w:rPr>
              <w:t>Auditor Selection Process and Contracting</w:t>
            </w:r>
          </w:p>
          <w:p w:rsidR="00BD4ED8" w:rsidP="00190B9E" w:rsidRDefault="00BD4ED8" w14:paraId="6950F1F7" w14:textId="77777777">
            <w:pPr>
              <w:rPr>
                <w:color w:val="000000"/>
              </w:rPr>
            </w:pPr>
          </w:p>
          <w:p w:rsidR="00BD4ED8" w:rsidP="00190B9E" w:rsidRDefault="00BD4ED8" w14:paraId="3427F1CC" w14:textId="32835F1A">
            <w:pPr>
              <w:rPr>
                <w:color w:val="000000"/>
              </w:rPr>
            </w:pPr>
            <w:r>
              <w:rPr>
                <w:color w:val="000000"/>
              </w:rPr>
              <w:t xml:space="preserve">TURN recommended that the Commission follow the same process for selecting the SB 410 auditor as the Commission adopted in Resolution M-4855, </w:t>
            </w:r>
            <w:r w:rsidRPr="00340008">
              <w:rPr>
                <w:color w:val="000000"/>
              </w:rPr>
              <w:t>which addressed th</w:t>
            </w:r>
            <w:r>
              <w:rPr>
                <w:color w:val="000000"/>
              </w:rPr>
              <w:t xml:space="preserve">e </w:t>
            </w:r>
            <w:r w:rsidRPr="00340008">
              <w:rPr>
                <w:color w:val="000000"/>
              </w:rPr>
              <w:t>Commission’s selection of and PG&amp;E’s contracting with the Independent Safety</w:t>
            </w:r>
            <w:r>
              <w:rPr>
                <w:color w:val="000000"/>
              </w:rPr>
              <w:t xml:space="preserve"> </w:t>
            </w:r>
            <w:r w:rsidRPr="00340008">
              <w:rPr>
                <w:color w:val="000000"/>
              </w:rPr>
              <w:t>Monitor pursuant to D.20-05-053,</w:t>
            </w:r>
            <w:r>
              <w:rPr>
                <w:color w:val="000000"/>
              </w:rPr>
              <w:t xml:space="preserve"> </w:t>
            </w:r>
            <w:r w:rsidRPr="00340008">
              <w:rPr>
                <w:color w:val="000000"/>
              </w:rPr>
              <w:t>including directing PG&amp;E to allow</w:t>
            </w:r>
            <w:r>
              <w:rPr>
                <w:color w:val="000000"/>
              </w:rPr>
              <w:t xml:space="preserve"> </w:t>
            </w:r>
            <w:r w:rsidRPr="00340008">
              <w:rPr>
                <w:color w:val="000000"/>
              </w:rPr>
              <w:t>Commission staff to review, revise (as appropriate), and approve PG&amp;E’s</w:t>
            </w:r>
            <w:r>
              <w:rPr>
                <w:color w:val="000000"/>
              </w:rPr>
              <w:t xml:space="preserve"> </w:t>
            </w:r>
            <w:r w:rsidRPr="00340008">
              <w:rPr>
                <w:color w:val="000000"/>
              </w:rPr>
              <w:t>proposed services contract with the</w:t>
            </w:r>
            <w:r>
              <w:rPr>
                <w:color w:val="000000"/>
              </w:rPr>
              <w:t xml:space="preserve"> </w:t>
            </w:r>
            <w:r w:rsidRPr="00340008">
              <w:rPr>
                <w:color w:val="000000"/>
              </w:rPr>
              <w:t>auditor prior to execution, and making the</w:t>
            </w:r>
            <w:r>
              <w:rPr>
                <w:color w:val="000000"/>
              </w:rPr>
              <w:t xml:space="preserve"> </w:t>
            </w:r>
            <w:r w:rsidRPr="00340008">
              <w:rPr>
                <w:color w:val="000000"/>
              </w:rPr>
              <w:t>Commission a third-party beneficiary of that contrac</w:t>
            </w:r>
            <w:r>
              <w:rPr>
                <w:color w:val="000000"/>
              </w:rPr>
              <w:t>t.</w:t>
            </w:r>
            <w:r w:rsidR="00BB1C77">
              <w:rPr>
                <w:color w:val="000000"/>
              </w:rPr>
              <w:t xml:space="preserve">  The Commission implemented TURN’s recommendations.</w:t>
            </w:r>
          </w:p>
          <w:p w:rsidR="00BD4ED8" w:rsidP="00190B9E" w:rsidRDefault="00BD4ED8" w14:paraId="0987E151" w14:textId="77777777">
            <w:pPr>
              <w:rPr>
                <w:color w:val="000000"/>
              </w:rPr>
            </w:pPr>
          </w:p>
          <w:p w:rsidRPr="00FC13B6" w:rsidR="00BD4ED8" w:rsidP="00190B9E" w:rsidRDefault="00BD4ED8" w14:paraId="04096FDD" w14:textId="42C60B58">
            <w:pPr>
              <w:ind w:left="14"/>
              <w:rPr>
                <w:u w:val="single"/>
              </w:rPr>
            </w:pPr>
            <w:r w:rsidRPr="00FC13B6">
              <w:rPr>
                <w:u w:val="single"/>
              </w:rPr>
              <w:t>Confirming Costs Recorded to the ECNBIMA are Limited to Those Necessary to Enable Energization</w:t>
            </w:r>
          </w:p>
          <w:p w:rsidR="00BD4ED8" w:rsidP="00190B9E" w:rsidRDefault="00BD4ED8" w14:paraId="04A28B8A" w14:textId="77777777">
            <w:pPr>
              <w:rPr>
                <w:color w:val="000000"/>
              </w:rPr>
            </w:pPr>
          </w:p>
          <w:p w:rsidRPr="002D28A6" w:rsidR="00BD4ED8" w:rsidP="00190B9E" w:rsidRDefault="00BD4ED8" w14:paraId="094B6A47" w14:textId="42AE17F2">
            <w:pPr>
              <w:rPr>
                <w:color w:val="000000"/>
              </w:rPr>
            </w:pPr>
            <w:r w:rsidRPr="002D28A6">
              <w:rPr>
                <w:color w:val="000000"/>
              </w:rPr>
              <w:t xml:space="preserve">TURN recommended that the Commission require the third-party auditor </w:t>
            </w:r>
            <w:r>
              <w:rPr>
                <w:color w:val="000000"/>
              </w:rPr>
              <w:t xml:space="preserve">to </w:t>
            </w:r>
            <w:r w:rsidRPr="002D28A6">
              <w:rPr>
                <w:color w:val="000000"/>
              </w:rPr>
              <w:t>confirm costs recorded to the ECNBBA are</w:t>
            </w:r>
            <w:r>
              <w:rPr>
                <w:color w:val="000000"/>
              </w:rPr>
              <w:t xml:space="preserve"> </w:t>
            </w:r>
            <w:r w:rsidRPr="002D28A6">
              <w:rPr>
                <w:color w:val="000000"/>
              </w:rPr>
              <w:t>limited to costs directly necessary to enable pending customer connection requests</w:t>
            </w:r>
            <w:r>
              <w:rPr>
                <w:color w:val="000000"/>
              </w:rPr>
              <w:t>, including those within the relevant MAT codes within MWCs 06, 10, 16, and 46</w:t>
            </w:r>
            <w:r w:rsidRPr="002D28A6">
              <w:rPr>
                <w:color w:val="000000"/>
              </w:rPr>
              <w:t>.</w:t>
            </w:r>
            <w:r>
              <w:rPr>
                <w:color w:val="000000"/>
              </w:rPr>
              <w:t xml:space="preserve">  PG&amp;E sought flexibility to include new MATs.  The Commission agreed with TURN.</w:t>
            </w:r>
          </w:p>
          <w:p w:rsidRPr="002D28A6" w:rsidR="00BD4ED8" w:rsidP="00190B9E" w:rsidRDefault="00BD4ED8" w14:paraId="7C4CBF0F" w14:textId="77777777">
            <w:pPr>
              <w:rPr>
                <w:color w:val="000000"/>
              </w:rPr>
            </w:pPr>
          </w:p>
          <w:p w:rsidRPr="00DD025D" w:rsidR="00BD4ED8" w:rsidP="00190B9E" w:rsidRDefault="00BD4ED8" w14:paraId="76BD4E07" w14:textId="77777777">
            <w:pPr>
              <w:ind w:left="14"/>
              <w:rPr>
                <w:u w:val="single"/>
              </w:rPr>
            </w:pPr>
            <w:r w:rsidRPr="00DD025D">
              <w:rPr>
                <w:u w:val="single"/>
              </w:rPr>
              <w:t xml:space="preserve">PG&amp;E’s Performance Relative to Energization Timeliness Targets </w:t>
            </w:r>
          </w:p>
          <w:p w:rsidR="00BD4ED8" w:rsidP="00190B9E" w:rsidRDefault="00BD4ED8" w14:paraId="18F47F1E" w14:textId="77777777">
            <w:pPr>
              <w:rPr>
                <w:color w:val="000000"/>
              </w:rPr>
            </w:pPr>
          </w:p>
          <w:p w:rsidRPr="002D28A6" w:rsidR="00BD4ED8" w:rsidP="00190B9E" w:rsidRDefault="00BD4ED8" w14:paraId="4167A19B" w14:textId="5FD96634">
            <w:pPr>
              <w:rPr>
                <w:color w:val="000000"/>
              </w:rPr>
            </w:pPr>
            <w:r w:rsidRPr="002D28A6">
              <w:rPr>
                <w:color w:val="000000"/>
              </w:rPr>
              <w:t>TURN recommended that the auditor review and report on compliance with the energization timeliness targets adopted by the Commission in R.24-01-008, as part of assessing PG&amp;E’s energization performance.</w:t>
            </w:r>
          </w:p>
          <w:p w:rsidRPr="002D28A6" w:rsidR="00BD4ED8" w:rsidP="00190B9E" w:rsidRDefault="00BD4ED8" w14:paraId="46C367D1" w14:textId="77777777">
            <w:pPr>
              <w:rPr>
                <w:color w:val="000000"/>
              </w:rPr>
            </w:pPr>
          </w:p>
          <w:p w:rsidRPr="00AC0550" w:rsidR="00BD4ED8" w:rsidP="00190B9E" w:rsidRDefault="00BD4ED8" w14:paraId="7A4FA6F2" w14:textId="71A6C597">
            <w:pPr>
              <w:rPr>
                <w:color w:val="000000"/>
              </w:rPr>
            </w:pPr>
            <w:r w:rsidRPr="00AC0550">
              <w:rPr>
                <w:color w:val="000000"/>
              </w:rPr>
              <w:t xml:space="preserve">The Commission </w:t>
            </w:r>
            <w:r>
              <w:rPr>
                <w:color w:val="000000"/>
              </w:rPr>
              <w:t>agreed that PG&amp;E’s performance related to the energization timelines is within the auditor’s scope of work.</w:t>
            </w:r>
          </w:p>
          <w:p w:rsidR="00BD4ED8" w:rsidP="00190B9E" w:rsidRDefault="00BD4ED8" w14:paraId="1A06909C" w14:textId="77777777">
            <w:pPr>
              <w:rPr>
                <w:color w:val="000000"/>
              </w:rPr>
            </w:pPr>
          </w:p>
          <w:p w:rsidRPr="00D028FE" w:rsidR="00BD4ED8" w:rsidP="00190B9E" w:rsidRDefault="00BD4ED8" w14:paraId="50D33358" w14:textId="77777777">
            <w:pPr>
              <w:ind w:left="14"/>
              <w:rPr>
                <w:u w:val="single"/>
              </w:rPr>
            </w:pPr>
            <w:r w:rsidRPr="00D028FE">
              <w:rPr>
                <w:u w:val="single"/>
              </w:rPr>
              <w:t>PG&amp;E’s Level of Work, Including Number and Scope of Projects</w:t>
            </w:r>
          </w:p>
          <w:p w:rsidR="00BD4ED8" w:rsidP="00190B9E" w:rsidRDefault="00BD4ED8" w14:paraId="0C37B97A" w14:textId="77777777">
            <w:pPr>
              <w:rPr>
                <w:color w:val="000000"/>
              </w:rPr>
            </w:pPr>
          </w:p>
          <w:p w:rsidRPr="002D28A6" w:rsidR="00BD4ED8" w:rsidP="00190B9E" w:rsidRDefault="00BD4ED8" w14:paraId="6F3B727D" w14:textId="36F951A4">
            <w:pPr>
              <w:rPr>
                <w:color w:val="000000"/>
              </w:rPr>
            </w:pPr>
            <w:r w:rsidRPr="002D28A6">
              <w:rPr>
                <w:color w:val="000000"/>
              </w:rPr>
              <w:t>TURN recommended that the auditor review the costs recorded to the ECNBBA to verify the number and scope of energization projects completed each year and report on PG&amp;E’s achievements relative to the Commission’s expectations regarding minimum levels of work.</w:t>
            </w:r>
            <w:r>
              <w:rPr>
                <w:color w:val="000000"/>
              </w:rPr>
              <w:t xml:space="preserve">  TURN suggested that PG&amp;E’s achievement relative to expected level of work minimums should be considered in the Commission’s reasonableness review of PG&amp;E’s costs in the next GRC.</w:t>
            </w:r>
            <w:r w:rsidR="008B0BBF">
              <w:rPr>
                <w:color w:val="000000"/>
              </w:rPr>
              <w:t xml:space="preserve">  </w:t>
            </w:r>
          </w:p>
          <w:p w:rsidRPr="002D28A6" w:rsidR="00BD4ED8" w:rsidP="00190B9E" w:rsidRDefault="00BD4ED8" w14:paraId="417C51A0" w14:textId="77777777">
            <w:pPr>
              <w:rPr>
                <w:color w:val="000000"/>
              </w:rPr>
            </w:pPr>
          </w:p>
          <w:p w:rsidRPr="009818BB" w:rsidR="00BD4ED8" w:rsidP="00190B9E" w:rsidRDefault="00BD4ED8" w14:paraId="2B838B95" w14:textId="2C7A2EB0">
            <w:pPr>
              <w:rPr>
                <w:color w:val="000000"/>
              </w:rPr>
            </w:pPr>
            <w:r>
              <w:rPr>
                <w:color w:val="000000"/>
              </w:rPr>
              <w:t>While the Commission declined to adopt expectations regarding the number of projects to be completed based on the spending cap, t</w:t>
            </w:r>
            <w:r w:rsidRPr="004746ED">
              <w:rPr>
                <w:color w:val="000000"/>
              </w:rPr>
              <w:t xml:space="preserve">he Commission </w:t>
            </w:r>
            <w:r>
              <w:rPr>
                <w:color w:val="000000"/>
              </w:rPr>
              <w:t xml:space="preserve">agreed that the SB 410 auditor </w:t>
            </w:r>
            <w:r w:rsidRPr="009818BB">
              <w:rPr>
                <w:color w:val="000000"/>
              </w:rPr>
              <w:t xml:space="preserve">should </w:t>
            </w:r>
            <w:r w:rsidRPr="009818BB">
              <w:t>verify the number and scope of energization projects completed each year.  The Commission further directed the auditor “to recommend which types of projects are similar enough to provide meaningful average costs or costs that correlate with known data (e.g., transformer size, length and size of installed conductor) along with their average costs or correlations.”  The Commission noted that this information might be used to develop average project costs per type of common project (e.g., connecting single family residences)</w:t>
            </w:r>
            <w:r w:rsidR="00216C9F">
              <w:t>.  The Commission agreed with TURN that providing average project costs</w:t>
            </w:r>
            <w:r w:rsidR="00FE5D02">
              <w:t xml:space="preserve"> (for certain common project types)</w:t>
            </w:r>
            <w:r w:rsidRPr="009818BB">
              <w:t xml:space="preserve"> would improve transparency and accountability</w:t>
            </w:r>
            <w:r w:rsidR="00F455DC">
              <w:t xml:space="preserve"> and further, could assist the Commission in modifying energization tariff rules to require </w:t>
            </w:r>
            <w:r w:rsidR="004D382D">
              <w:t xml:space="preserve">requesting </w:t>
            </w:r>
            <w:r w:rsidR="00F455DC">
              <w:t xml:space="preserve">customers </w:t>
            </w:r>
            <w:r w:rsidR="00E0694F">
              <w:t>to bear some of the costs</w:t>
            </w:r>
            <w:r w:rsidR="00647594">
              <w:t xml:space="preserve">, especially the costs of delays </w:t>
            </w:r>
            <w:r w:rsidR="003F314A">
              <w:t>caused by factors within the customers’ control</w:t>
            </w:r>
            <w:r w:rsidRPr="009818BB">
              <w:t xml:space="preserve">. </w:t>
            </w:r>
            <w:r w:rsidR="00495482">
              <w:t xml:space="preserve"> </w:t>
            </w:r>
            <w:r w:rsidRPr="009818BB">
              <w:t xml:space="preserve">Finally, the Commission noted that such costs may be considered in PG&amp;E’s next GRC.  </w:t>
            </w:r>
          </w:p>
          <w:p w:rsidRPr="002D28A6" w:rsidR="00BD4ED8" w:rsidP="00190B9E" w:rsidRDefault="00BD4ED8" w14:paraId="42878035" w14:textId="77777777">
            <w:pPr>
              <w:rPr>
                <w:color w:val="000000"/>
              </w:rPr>
            </w:pPr>
          </w:p>
          <w:p w:rsidRPr="00D028FE" w:rsidR="00BD4ED8" w:rsidP="00190B9E" w:rsidRDefault="00BD4ED8" w14:paraId="741B35D3" w14:textId="77777777">
            <w:pPr>
              <w:ind w:left="14"/>
              <w:rPr>
                <w:u w:val="single"/>
              </w:rPr>
            </w:pPr>
            <w:r w:rsidRPr="00D028FE">
              <w:rPr>
                <w:u w:val="single"/>
              </w:rPr>
              <w:t>PG&amp;E’s Analysis of New Connections Requests from New vs. Existing Customers</w:t>
            </w:r>
          </w:p>
          <w:p w:rsidR="00BD4ED8" w:rsidP="00190B9E" w:rsidRDefault="00BD4ED8" w14:paraId="223C0868" w14:textId="77777777">
            <w:pPr>
              <w:rPr>
                <w:color w:val="000000"/>
              </w:rPr>
            </w:pPr>
          </w:p>
          <w:p w:rsidRPr="002D28A6" w:rsidR="00BD4ED8" w:rsidP="00190B9E" w:rsidRDefault="00BD4ED8" w14:paraId="01E96762" w14:textId="36073A10">
            <w:pPr>
              <w:rPr>
                <w:color w:val="000000"/>
              </w:rPr>
            </w:pPr>
            <w:r w:rsidRPr="002D28A6">
              <w:rPr>
                <w:color w:val="000000"/>
              </w:rPr>
              <w:t>TURN recommended that the auditor review PG&amp;E’s analysis</w:t>
            </w:r>
            <w:r w:rsidR="001E330C">
              <w:rPr>
                <w:color w:val="000000"/>
              </w:rPr>
              <w:t xml:space="preserve"> – also recommended by TURN </w:t>
            </w:r>
            <w:r w:rsidR="00DE1B25">
              <w:rPr>
                <w:color w:val="000000"/>
              </w:rPr>
              <w:t>as referenced above --</w:t>
            </w:r>
            <w:r w:rsidRPr="002D28A6">
              <w:rPr>
                <w:color w:val="000000"/>
              </w:rPr>
              <w:t xml:space="preserve"> of the fraction of new connections requests (MWC 16 and 10) attributable to new vs. existing customers to determine how changes in the portion of existing vs. new customers submitting applications affects cost forecasting. </w:t>
            </w:r>
            <w:r>
              <w:rPr>
                <w:color w:val="000000"/>
              </w:rPr>
              <w:t xml:space="preserve"> TURN suggested t</w:t>
            </w:r>
            <w:r w:rsidRPr="002D28A6">
              <w:rPr>
                <w:color w:val="000000"/>
              </w:rPr>
              <w:t>his review should inform PG&amp;E’s customer energization forecasts in the next GRC.</w:t>
            </w:r>
          </w:p>
          <w:p w:rsidRPr="002D28A6" w:rsidR="00BD4ED8" w:rsidP="00190B9E" w:rsidRDefault="00BD4ED8" w14:paraId="52EC979F" w14:textId="77777777">
            <w:pPr>
              <w:rPr>
                <w:color w:val="000000"/>
              </w:rPr>
            </w:pPr>
          </w:p>
          <w:p w:rsidRPr="009818BB" w:rsidR="00BD4ED8" w:rsidP="00190B9E" w:rsidRDefault="00BD4ED8" w14:paraId="303975BC" w14:textId="33FE7408">
            <w:pPr>
              <w:rPr>
                <w:color w:val="000000"/>
              </w:rPr>
            </w:pPr>
            <w:r w:rsidRPr="009818BB">
              <w:rPr>
                <w:color w:val="000000"/>
              </w:rPr>
              <w:t>The Commission agreed with TURN and required PG&amp;E to track this data because it will “</w:t>
            </w:r>
            <w:r w:rsidRPr="009818BB">
              <w:t>provide important information for the reasonableness review…”</w:t>
            </w:r>
          </w:p>
          <w:p w:rsidRPr="002D28A6" w:rsidR="00BD4ED8" w:rsidP="00190B9E" w:rsidRDefault="00BD4ED8" w14:paraId="0122D45C" w14:textId="77777777">
            <w:pPr>
              <w:rPr>
                <w:color w:val="000000"/>
              </w:rPr>
            </w:pPr>
          </w:p>
          <w:p w:rsidRPr="00D028FE" w:rsidR="00BD4ED8" w:rsidP="00190B9E" w:rsidRDefault="00BD4ED8" w14:paraId="1C2A659A" w14:textId="07AC062A">
            <w:pPr>
              <w:ind w:left="14"/>
              <w:rPr>
                <w:u w:val="single"/>
              </w:rPr>
            </w:pPr>
            <w:r w:rsidRPr="00D028FE">
              <w:rPr>
                <w:u w:val="single"/>
              </w:rPr>
              <w:t>Submitting Auditor’s Report in Next GRC</w:t>
            </w:r>
          </w:p>
          <w:p w:rsidR="00BD4ED8" w:rsidP="00190B9E" w:rsidRDefault="00BD4ED8" w14:paraId="0B2A5CCA" w14:textId="77777777">
            <w:pPr>
              <w:rPr>
                <w:color w:val="000000"/>
              </w:rPr>
            </w:pPr>
          </w:p>
          <w:p w:rsidRPr="002D28A6" w:rsidR="00BD4ED8" w:rsidP="00190B9E" w:rsidRDefault="00BD4ED8" w14:paraId="73A7F0BF" w14:textId="2188762D">
            <w:pPr>
              <w:rPr>
                <w:color w:val="000000"/>
              </w:rPr>
            </w:pPr>
            <w:r w:rsidRPr="002D28A6">
              <w:rPr>
                <w:color w:val="000000"/>
              </w:rPr>
              <w:t>TURN recommended that PG&amp;E submit the auditor’s report as part of its reasonableness review showing in the next GRC.</w:t>
            </w:r>
          </w:p>
          <w:p w:rsidRPr="002D28A6" w:rsidR="00BD4ED8" w:rsidP="00190B9E" w:rsidRDefault="00BD4ED8" w14:paraId="0DDB505E" w14:textId="77777777">
            <w:pPr>
              <w:rPr>
                <w:color w:val="000000"/>
              </w:rPr>
            </w:pPr>
          </w:p>
          <w:p w:rsidRPr="002D28A6" w:rsidR="00BD4ED8" w:rsidP="00190B9E" w:rsidRDefault="00BD4ED8" w14:paraId="01984769" w14:textId="588159F6">
            <w:pPr>
              <w:rPr>
                <w:color w:val="000000"/>
              </w:rPr>
            </w:pPr>
            <w:r w:rsidRPr="00360CFE">
              <w:rPr>
                <w:color w:val="000000"/>
              </w:rPr>
              <w:t xml:space="preserve">The Commission </w:t>
            </w:r>
            <w:r>
              <w:rPr>
                <w:color w:val="000000"/>
              </w:rPr>
              <w:t>adopted TURN’s recommendation.</w:t>
            </w:r>
          </w:p>
        </w:tc>
        <w:tc>
          <w:tcPr>
            <w:tcW w:w="2926" w:type="dxa"/>
            <w:shd w:val="clear" w:color="auto" w:fill="auto"/>
          </w:tcPr>
          <w:p w:rsidRPr="002D28A6" w:rsidR="00BD4ED8" w:rsidP="00190B9E" w:rsidRDefault="00BD4ED8" w14:paraId="5C99FD1F" w14:textId="77777777">
            <w:pPr>
              <w:rPr>
                <w:color w:val="000000"/>
              </w:rPr>
            </w:pPr>
          </w:p>
          <w:p w:rsidRPr="002D28A6" w:rsidR="00BD4ED8" w:rsidP="00190B9E" w:rsidRDefault="00BD4ED8" w14:paraId="33242607" w14:textId="77777777">
            <w:pPr>
              <w:rPr>
                <w:color w:val="000000"/>
              </w:rPr>
            </w:pPr>
          </w:p>
          <w:p w:rsidRPr="002D28A6" w:rsidR="00BD4ED8" w:rsidP="00190B9E" w:rsidRDefault="00BD4ED8" w14:paraId="31965B72" w14:textId="77777777">
            <w:pPr>
              <w:rPr>
                <w:color w:val="000000"/>
              </w:rPr>
            </w:pPr>
          </w:p>
          <w:p w:rsidRPr="00FC13B6" w:rsidR="00BD4ED8" w:rsidP="00190B9E" w:rsidRDefault="00BD4ED8" w14:paraId="25E8EFE9" w14:textId="0E954B38">
            <w:pPr>
              <w:ind w:left="14"/>
              <w:rPr>
                <w:u w:val="single"/>
              </w:rPr>
            </w:pPr>
            <w:r w:rsidRPr="00FC13B6">
              <w:rPr>
                <w:u w:val="single"/>
              </w:rPr>
              <w:t>Auditor Selection Process and Contracting</w:t>
            </w:r>
          </w:p>
          <w:p w:rsidR="00BD4ED8" w:rsidP="00190B9E" w:rsidRDefault="00BD4ED8" w14:paraId="5163FD55" w14:textId="77777777">
            <w:pPr>
              <w:rPr>
                <w:color w:val="000000"/>
              </w:rPr>
            </w:pPr>
          </w:p>
          <w:p w:rsidR="00BD4ED8" w:rsidP="00190B9E" w:rsidRDefault="00BD4ED8" w14:paraId="48A8AC94" w14:textId="495FFD01">
            <w:pPr>
              <w:pStyle w:val="ListParagraph"/>
            </w:pPr>
            <w:r>
              <w:t xml:space="preserve">2/8/23 PHC Transcript, 2 RT 163: 14 – 165: 3 (TURN/Goodson)(first presenting this recommendation).  </w:t>
            </w:r>
          </w:p>
          <w:p w:rsidR="00BD4ED8" w:rsidP="00190B9E" w:rsidRDefault="00BD4ED8" w14:paraId="264A87E4" w14:textId="77777777">
            <w:pPr>
              <w:pStyle w:val="ListParagraph"/>
              <w:numPr>
                <w:ilvl w:val="0"/>
                <w:numId w:val="0"/>
              </w:numPr>
              <w:ind w:left="374"/>
            </w:pPr>
          </w:p>
          <w:p w:rsidR="00BD4ED8" w:rsidP="00190B9E" w:rsidRDefault="00BD4ED8" w14:paraId="0E72B67D" w14:textId="4BAADC76">
            <w:pPr>
              <w:pStyle w:val="ListParagraph"/>
            </w:pPr>
            <w:r>
              <w:t>TURN Opening Brief, pp. 39-41 (recounting TURN’s recommendation presented at the Phase II PHC).</w:t>
            </w:r>
          </w:p>
          <w:p w:rsidR="00BD4ED8" w:rsidP="00190B9E" w:rsidRDefault="00BD4ED8" w14:paraId="44D8ACAD" w14:textId="77777777">
            <w:pPr>
              <w:pStyle w:val="ListParagraph"/>
              <w:numPr>
                <w:ilvl w:val="0"/>
                <w:numId w:val="0"/>
              </w:numPr>
              <w:ind w:left="374"/>
            </w:pPr>
          </w:p>
          <w:p w:rsidR="00BD4ED8" w:rsidP="00190B9E" w:rsidRDefault="00BD4ED8" w14:paraId="573BE139" w14:textId="43976B83">
            <w:pPr>
              <w:pStyle w:val="ListParagraph"/>
            </w:pPr>
            <w:r>
              <w:lastRenderedPageBreak/>
              <w:t>D.24-07-008, pp. 59-60 (recounting the auditor selection and contracting process adopted in this proceeding, and requiring modifications to PG&amp;E’s proposed audit services contract to incorporate the Commission’s Energy Division); p. 62 (confirming that TURN’s recommendations have been implemented).</w:t>
            </w:r>
          </w:p>
          <w:p w:rsidR="00BD4ED8" w:rsidP="00190B9E" w:rsidRDefault="00BD4ED8" w14:paraId="4EF84454" w14:textId="77777777">
            <w:pPr>
              <w:rPr>
                <w:color w:val="000000"/>
              </w:rPr>
            </w:pPr>
          </w:p>
          <w:p w:rsidRPr="00A52D4D" w:rsidR="00BD4ED8" w:rsidP="00190B9E" w:rsidRDefault="00BD4ED8" w14:paraId="2A0C4E48" w14:textId="77777777">
            <w:pPr>
              <w:rPr>
                <w:color w:val="000000"/>
              </w:rPr>
            </w:pPr>
          </w:p>
          <w:p w:rsidRPr="00DD025D" w:rsidR="00BD4ED8" w:rsidP="00190B9E" w:rsidRDefault="00BD4ED8" w14:paraId="3224B9B8" w14:textId="46018131">
            <w:pPr>
              <w:ind w:left="14"/>
              <w:rPr>
                <w:u w:val="single"/>
              </w:rPr>
            </w:pPr>
            <w:r w:rsidRPr="00DD025D">
              <w:rPr>
                <w:u w:val="single"/>
              </w:rPr>
              <w:t>Confirming Costs Recorded to the ECNBIMA are Limited to Those Necessary to Enable Energization</w:t>
            </w:r>
          </w:p>
          <w:p w:rsidR="00BD4ED8" w:rsidP="00190B9E" w:rsidRDefault="00BD4ED8" w14:paraId="00BC158D" w14:textId="77777777">
            <w:pPr>
              <w:rPr>
                <w:color w:val="000000"/>
              </w:rPr>
            </w:pPr>
          </w:p>
          <w:p w:rsidR="00BD4ED8" w:rsidP="00190B9E" w:rsidRDefault="00BD4ED8" w14:paraId="0F3DF596" w14:textId="04EA5FE4">
            <w:pPr>
              <w:pStyle w:val="ListParagraph"/>
            </w:pPr>
            <w:r w:rsidRPr="002D28A6">
              <w:t xml:space="preserve">TURN Opening Brief, </w:t>
            </w:r>
            <w:r>
              <w:t xml:space="preserve">p. 41. </w:t>
            </w:r>
          </w:p>
          <w:p w:rsidR="00BD4ED8" w:rsidP="00190B9E" w:rsidRDefault="00BD4ED8" w14:paraId="57032FB7" w14:textId="77777777">
            <w:pPr>
              <w:pStyle w:val="ListParagraph"/>
              <w:numPr>
                <w:ilvl w:val="0"/>
                <w:numId w:val="0"/>
              </w:numPr>
              <w:ind w:left="374"/>
            </w:pPr>
          </w:p>
          <w:p w:rsidR="00BD4ED8" w:rsidP="00190B9E" w:rsidRDefault="00BD4ED8" w14:paraId="726E57E4" w14:textId="3CEBDB7C">
            <w:pPr>
              <w:pStyle w:val="ListParagraph"/>
            </w:pPr>
            <w:r>
              <w:t>D. 24-07-008, pp. 64, 76-77.</w:t>
            </w:r>
          </w:p>
          <w:p w:rsidR="00BD4ED8" w:rsidP="00190B9E" w:rsidRDefault="00BD4ED8" w14:paraId="59C90E2E" w14:textId="77777777">
            <w:pPr>
              <w:rPr>
                <w:color w:val="000000"/>
              </w:rPr>
            </w:pPr>
          </w:p>
          <w:p w:rsidR="00BD4ED8" w:rsidP="00190B9E" w:rsidRDefault="00BD4ED8" w14:paraId="117E27BA" w14:textId="77777777">
            <w:pPr>
              <w:rPr>
                <w:color w:val="000000"/>
              </w:rPr>
            </w:pPr>
          </w:p>
          <w:p w:rsidRPr="00D028FE" w:rsidR="00BD4ED8" w:rsidP="00190B9E" w:rsidRDefault="00BD4ED8" w14:paraId="48234CA6" w14:textId="2AA6E9C1">
            <w:pPr>
              <w:ind w:left="14"/>
              <w:rPr>
                <w:u w:val="single"/>
              </w:rPr>
            </w:pPr>
            <w:r w:rsidRPr="00D028FE">
              <w:rPr>
                <w:u w:val="single"/>
              </w:rPr>
              <w:t xml:space="preserve">PG&amp;E’s Performance Relative to Energization Timeliness Targets </w:t>
            </w:r>
          </w:p>
          <w:p w:rsidR="00BD4ED8" w:rsidP="00190B9E" w:rsidRDefault="00BD4ED8" w14:paraId="53DD9318" w14:textId="77777777">
            <w:pPr>
              <w:rPr>
                <w:color w:val="000000"/>
              </w:rPr>
            </w:pPr>
          </w:p>
          <w:p w:rsidR="00BD4ED8" w:rsidP="00190B9E" w:rsidRDefault="00BD4ED8" w14:paraId="2EA5F6D1" w14:textId="74D70D7E">
            <w:pPr>
              <w:pStyle w:val="ListParagraph"/>
            </w:pPr>
            <w:r w:rsidRPr="002D28A6">
              <w:t>TURN Opening Brief,</w:t>
            </w:r>
            <w:r>
              <w:t xml:space="preserve"> pp. iv, 37-38.</w:t>
            </w:r>
          </w:p>
          <w:p w:rsidR="00BD4ED8" w:rsidP="00190B9E" w:rsidRDefault="00BD4ED8" w14:paraId="619D08A9" w14:textId="77777777">
            <w:pPr>
              <w:pStyle w:val="ListParagraph"/>
              <w:numPr>
                <w:ilvl w:val="0"/>
                <w:numId w:val="0"/>
              </w:numPr>
              <w:ind w:left="374"/>
            </w:pPr>
          </w:p>
          <w:p w:rsidR="00BD4ED8" w:rsidP="00190B9E" w:rsidRDefault="00BD4ED8" w14:paraId="2FC999F8" w14:textId="4003AA36">
            <w:pPr>
              <w:pStyle w:val="ListParagraph"/>
            </w:pPr>
            <w:r>
              <w:t>TURN Reply Brief, pp. 22-24.</w:t>
            </w:r>
          </w:p>
          <w:p w:rsidR="00BD4ED8" w:rsidP="00190B9E" w:rsidRDefault="00BD4ED8" w14:paraId="442ACFD8" w14:textId="77777777">
            <w:pPr>
              <w:pStyle w:val="ListParagraph"/>
              <w:numPr>
                <w:ilvl w:val="0"/>
                <w:numId w:val="0"/>
              </w:numPr>
              <w:ind w:left="374"/>
            </w:pPr>
          </w:p>
          <w:p w:rsidR="00BD4ED8" w:rsidP="00190B9E" w:rsidRDefault="00BD4ED8" w14:paraId="6F110E7B" w14:textId="78EB421B">
            <w:pPr>
              <w:pStyle w:val="ListParagraph"/>
            </w:pPr>
            <w:r>
              <w:t>D.24-07-008, pp. 62, 66-67.</w:t>
            </w:r>
          </w:p>
          <w:p w:rsidR="00BD4ED8" w:rsidP="00190B9E" w:rsidRDefault="00BD4ED8" w14:paraId="512C618B" w14:textId="77777777">
            <w:pPr>
              <w:rPr>
                <w:color w:val="000000"/>
              </w:rPr>
            </w:pPr>
          </w:p>
          <w:p w:rsidRPr="00A52D4D" w:rsidR="00BD4ED8" w:rsidP="00190B9E" w:rsidRDefault="00BD4ED8" w14:paraId="60087A4D" w14:textId="77777777">
            <w:pPr>
              <w:rPr>
                <w:color w:val="000000"/>
              </w:rPr>
            </w:pPr>
          </w:p>
          <w:p w:rsidRPr="00D028FE" w:rsidR="00BD4ED8" w:rsidP="00190B9E" w:rsidRDefault="00BD4ED8" w14:paraId="389C5743" w14:textId="09686E00">
            <w:pPr>
              <w:ind w:left="14"/>
              <w:rPr>
                <w:u w:val="single"/>
              </w:rPr>
            </w:pPr>
            <w:r w:rsidRPr="00D028FE">
              <w:rPr>
                <w:u w:val="single"/>
              </w:rPr>
              <w:lastRenderedPageBreak/>
              <w:t>PG&amp;E’s Level of Work, Including Number and Scope of Projects</w:t>
            </w:r>
          </w:p>
          <w:p w:rsidR="00BD4ED8" w:rsidP="00190B9E" w:rsidRDefault="00BD4ED8" w14:paraId="2B2F2B9B" w14:textId="77777777">
            <w:pPr>
              <w:rPr>
                <w:color w:val="000000"/>
              </w:rPr>
            </w:pPr>
          </w:p>
          <w:p w:rsidR="00BD4ED8" w:rsidP="00190B9E" w:rsidRDefault="00BD4ED8" w14:paraId="4238A55E" w14:textId="4F071526">
            <w:pPr>
              <w:pStyle w:val="ListParagraph"/>
            </w:pPr>
            <w:r>
              <w:t xml:space="preserve">TURN Opening Brief, pp. 42-43. </w:t>
            </w:r>
          </w:p>
          <w:p w:rsidR="00BD4ED8" w:rsidP="00190B9E" w:rsidRDefault="00BD4ED8" w14:paraId="6FB13D99" w14:textId="77777777">
            <w:pPr>
              <w:pStyle w:val="ListParagraph"/>
              <w:numPr>
                <w:ilvl w:val="0"/>
                <w:numId w:val="0"/>
              </w:numPr>
              <w:ind w:left="374"/>
            </w:pPr>
          </w:p>
          <w:p w:rsidR="00BD4ED8" w:rsidP="00190B9E" w:rsidRDefault="00BD4ED8" w14:paraId="5878D2B8" w14:textId="0B17CA08">
            <w:pPr>
              <w:pStyle w:val="ListParagraph"/>
            </w:pPr>
            <w:r>
              <w:t>TURN Reply Brief, pp. 24, 26-28.</w:t>
            </w:r>
          </w:p>
          <w:p w:rsidR="00BD4ED8" w:rsidP="00190B9E" w:rsidRDefault="00BD4ED8" w14:paraId="4B1F6E70" w14:textId="77777777">
            <w:pPr>
              <w:pStyle w:val="ListParagraph"/>
              <w:numPr>
                <w:ilvl w:val="0"/>
                <w:numId w:val="0"/>
              </w:numPr>
              <w:ind w:left="374"/>
            </w:pPr>
          </w:p>
          <w:p w:rsidR="00BD4ED8" w:rsidP="00190B9E" w:rsidRDefault="00BD4ED8" w14:paraId="4488CAF5" w14:textId="1A445031">
            <w:pPr>
              <w:pStyle w:val="ListParagraph"/>
            </w:pPr>
            <w:r>
              <w:t>D.24-07-008, pp. 62, 69-70.</w:t>
            </w:r>
          </w:p>
          <w:p w:rsidR="00BD4ED8" w:rsidP="00190B9E" w:rsidRDefault="00BD4ED8" w14:paraId="73BCBCC4" w14:textId="77777777">
            <w:pPr>
              <w:rPr>
                <w:color w:val="000000"/>
              </w:rPr>
            </w:pPr>
          </w:p>
          <w:p w:rsidR="00BD4ED8" w:rsidP="00190B9E" w:rsidRDefault="00BD4ED8" w14:paraId="191206ED" w14:textId="77777777">
            <w:pPr>
              <w:rPr>
                <w:color w:val="000000"/>
              </w:rPr>
            </w:pPr>
          </w:p>
          <w:p w:rsidRPr="00D028FE" w:rsidR="00BD4ED8" w:rsidP="00190B9E" w:rsidRDefault="00BD4ED8" w14:paraId="410A6CD9" w14:textId="48F4719B">
            <w:pPr>
              <w:ind w:left="14"/>
              <w:rPr>
                <w:u w:val="single"/>
              </w:rPr>
            </w:pPr>
            <w:r w:rsidRPr="00D028FE">
              <w:rPr>
                <w:u w:val="single"/>
              </w:rPr>
              <w:t>PG&amp;E’s Analysis of New Connections Requests from New vs. Existing Customers</w:t>
            </w:r>
          </w:p>
          <w:p w:rsidR="00BD4ED8" w:rsidP="00190B9E" w:rsidRDefault="00BD4ED8" w14:paraId="79EE63C7" w14:textId="77777777">
            <w:pPr>
              <w:rPr>
                <w:color w:val="000000"/>
              </w:rPr>
            </w:pPr>
          </w:p>
          <w:p w:rsidR="00BD4ED8" w:rsidP="00190B9E" w:rsidRDefault="00BD4ED8" w14:paraId="37E1DA04" w14:textId="451B5401">
            <w:pPr>
              <w:pStyle w:val="ListParagraph"/>
            </w:pPr>
            <w:r>
              <w:t xml:space="preserve">TURN Opening Brief, p. 13. </w:t>
            </w:r>
          </w:p>
          <w:p w:rsidR="00BD4ED8" w:rsidP="00190B9E" w:rsidRDefault="00BD4ED8" w14:paraId="2CB20E53" w14:textId="77777777">
            <w:pPr>
              <w:pStyle w:val="ListParagraph"/>
              <w:numPr>
                <w:ilvl w:val="0"/>
                <w:numId w:val="0"/>
              </w:numPr>
              <w:ind w:left="374"/>
            </w:pPr>
          </w:p>
          <w:p w:rsidR="00BD4ED8" w:rsidP="00190B9E" w:rsidRDefault="00BD4ED8" w14:paraId="0F986460" w14:textId="75837060">
            <w:pPr>
              <w:pStyle w:val="ListParagraph"/>
            </w:pPr>
            <w:r>
              <w:t>D.24-07-008, pp. 62-63.</w:t>
            </w:r>
          </w:p>
          <w:p w:rsidR="00BD4ED8" w:rsidP="00190B9E" w:rsidRDefault="00BD4ED8" w14:paraId="569995B9" w14:textId="77777777">
            <w:pPr>
              <w:rPr>
                <w:color w:val="000000"/>
              </w:rPr>
            </w:pPr>
          </w:p>
          <w:p w:rsidR="00BD4ED8" w:rsidP="00190B9E" w:rsidRDefault="00BD4ED8" w14:paraId="3EFE1721" w14:textId="77777777">
            <w:pPr>
              <w:rPr>
                <w:color w:val="000000"/>
              </w:rPr>
            </w:pPr>
          </w:p>
          <w:p w:rsidRPr="00D028FE" w:rsidR="00BD4ED8" w:rsidP="00190B9E" w:rsidRDefault="00BD4ED8" w14:paraId="3E278B42" w14:textId="4B6072BA">
            <w:pPr>
              <w:rPr>
                <w:u w:val="single"/>
              </w:rPr>
            </w:pPr>
            <w:r w:rsidRPr="00D028FE">
              <w:rPr>
                <w:u w:val="single"/>
              </w:rPr>
              <w:t>Submitting Auditor’s Report in Next GRC</w:t>
            </w:r>
          </w:p>
          <w:p w:rsidR="00BD4ED8" w:rsidP="00190B9E" w:rsidRDefault="00BD4ED8" w14:paraId="43FC5D29" w14:textId="77777777">
            <w:pPr>
              <w:rPr>
                <w:color w:val="000000"/>
              </w:rPr>
            </w:pPr>
          </w:p>
          <w:p w:rsidR="00BD4ED8" w:rsidP="00190B9E" w:rsidRDefault="00BD4ED8" w14:paraId="392C63EC" w14:textId="71F2D2C1">
            <w:pPr>
              <w:pStyle w:val="ListParagraph"/>
            </w:pPr>
            <w:r>
              <w:t xml:space="preserve">TURN Opening Brief, p. 41.  </w:t>
            </w:r>
          </w:p>
          <w:p w:rsidR="00BD4ED8" w:rsidP="00190B9E" w:rsidRDefault="00BD4ED8" w14:paraId="73D5E48A" w14:textId="77777777">
            <w:pPr>
              <w:pStyle w:val="ListParagraph"/>
              <w:numPr>
                <w:ilvl w:val="0"/>
                <w:numId w:val="0"/>
              </w:numPr>
              <w:ind w:left="374"/>
            </w:pPr>
          </w:p>
          <w:p w:rsidR="00BD4ED8" w:rsidP="00190B9E" w:rsidRDefault="00BD4ED8" w14:paraId="630FC48A" w14:textId="1E1974E4">
            <w:pPr>
              <w:pStyle w:val="ListParagraph"/>
            </w:pPr>
            <w:r>
              <w:t>D.24-07-008, pp. 63, 77.</w:t>
            </w:r>
          </w:p>
          <w:p w:rsidR="00BD4ED8" w:rsidP="00190B9E" w:rsidRDefault="00BD4ED8" w14:paraId="587A1E7E" w14:textId="77777777">
            <w:pPr>
              <w:rPr>
                <w:color w:val="000000"/>
              </w:rPr>
            </w:pPr>
          </w:p>
          <w:p w:rsidRPr="002D28A6" w:rsidR="00BD4ED8" w:rsidP="00190B9E" w:rsidRDefault="00BD4ED8" w14:paraId="49F8348D" w14:textId="044B517A">
            <w:pPr>
              <w:rPr>
                <w:color w:val="000000"/>
              </w:rPr>
            </w:pPr>
          </w:p>
        </w:tc>
        <w:tc>
          <w:tcPr>
            <w:tcW w:w="2337" w:type="dxa"/>
            <w:shd w:val="clear" w:color="auto" w:fill="auto"/>
          </w:tcPr>
          <w:p w:rsidR="00BD4ED8" w:rsidP="00765964" w:rsidRDefault="00BD4ED8" w14:paraId="5BC51286" w14:textId="77777777">
            <w:pPr>
              <w:jc w:val="center"/>
              <w:rPr>
                <w:color w:val="000000"/>
              </w:rPr>
            </w:pPr>
          </w:p>
          <w:p w:rsidR="00765964" w:rsidP="00765964" w:rsidRDefault="00765964" w14:paraId="5610F9BA" w14:textId="77777777">
            <w:pPr>
              <w:jc w:val="center"/>
              <w:rPr>
                <w:color w:val="000000"/>
              </w:rPr>
            </w:pPr>
          </w:p>
          <w:p w:rsidR="00765964" w:rsidP="00765964" w:rsidRDefault="00765964" w14:paraId="65ABCDA5" w14:textId="77777777">
            <w:pPr>
              <w:jc w:val="center"/>
              <w:rPr>
                <w:color w:val="000000"/>
              </w:rPr>
            </w:pPr>
          </w:p>
          <w:p w:rsidR="00765964" w:rsidP="00765964" w:rsidRDefault="00765964" w14:paraId="29C05C3E" w14:textId="77777777">
            <w:pPr>
              <w:jc w:val="center"/>
              <w:rPr>
                <w:color w:val="000000"/>
              </w:rPr>
            </w:pPr>
          </w:p>
          <w:p w:rsidR="00765964" w:rsidP="00765964" w:rsidRDefault="00765964" w14:paraId="29332B53" w14:textId="77777777">
            <w:pPr>
              <w:jc w:val="center"/>
              <w:rPr>
                <w:color w:val="000000"/>
              </w:rPr>
            </w:pPr>
          </w:p>
          <w:p w:rsidR="00765964" w:rsidP="00765964" w:rsidRDefault="00765964" w14:paraId="661C0CDC" w14:textId="77777777">
            <w:pPr>
              <w:jc w:val="center"/>
              <w:rPr>
                <w:color w:val="000000"/>
              </w:rPr>
            </w:pPr>
          </w:p>
          <w:p w:rsidR="00765964" w:rsidP="00765964" w:rsidRDefault="00765964" w14:paraId="1FFFA04B" w14:textId="77777777">
            <w:pPr>
              <w:jc w:val="center"/>
              <w:rPr>
                <w:color w:val="000000"/>
              </w:rPr>
            </w:pPr>
            <w:r>
              <w:rPr>
                <w:color w:val="000000"/>
              </w:rPr>
              <w:t>Verified</w:t>
            </w:r>
          </w:p>
          <w:p w:rsidR="00765964" w:rsidP="00765964" w:rsidRDefault="00765964" w14:paraId="3A6BEE14" w14:textId="77777777">
            <w:pPr>
              <w:jc w:val="center"/>
              <w:rPr>
                <w:color w:val="000000"/>
              </w:rPr>
            </w:pPr>
          </w:p>
          <w:p w:rsidR="00765964" w:rsidP="00765964" w:rsidRDefault="00765964" w14:paraId="65C51B49" w14:textId="77777777">
            <w:pPr>
              <w:jc w:val="center"/>
              <w:rPr>
                <w:color w:val="000000"/>
              </w:rPr>
            </w:pPr>
          </w:p>
          <w:p w:rsidR="00765964" w:rsidP="00765964" w:rsidRDefault="00765964" w14:paraId="0F8E2C04" w14:textId="77777777">
            <w:pPr>
              <w:jc w:val="center"/>
              <w:rPr>
                <w:color w:val="000000"/>
              </w:rPr>
            </w:pPr>
          </w:p>
          <w:p w:rsidR="00765964" w:rsidP="00765964" w:rsidRDefault="00765964" w14:paraId="698382F7" w14:textId="77777777">
            <w:pPr>
              <w:jc w:val="center"/>
              <w:rPr>
                <w:color w:val="000000"/>
              </w:rPr>
            </w:pPr>
          </w:p>
          <w:p w:rsidR="00765964" w:rsidP="00765964" w:rsidRDefault="00765964" w14:paraId="56286A13" w14:textId="77777777">
            <w:pPr>
              <w:jc w:val="center"/>
              <w:rPr>
                <w:color w:val="000000"/>
              </w:rPr>
            </w:pPr>
          </w:p>
          <w:p w:rsidR="00765964" w:rsidP="00765964" w:rsidRDefault="00765964" w14:paraId="552C7B5E" w14:textId="77777777">
            <w:pPr>
              <w:jc w:val="center"/>
              <w:rPr>
                <w:color w:val="000000"/>
              </w:rPr>
            </w:pPr>
          </w:p>
          <w:p w:rsidR="00765964" w:rsidP="00765964" w:rsidRDefault="00765964" w14:paraId="7227FF70" w14:textId="77777777">
            <w:pPr>
              <w:jc w:val="center"/>
              <w:rPr>
                <w:color w:val="000000"/>
              </w:rPr>
            </w:pPr>
          </w:p>
          <w:p w:rsidR="00765964" w:rsidP="00765964" w:rsidRDefault="00765964" w14:paraId="4838B426" w14:textId="77777777">
            <w:pPr>
              <w:jc w:val="center"/>
              <w:rPr>
                <w:color w:val="000000"/>
              </w:rPr>
            </w:pPr>
          </w:p>
          <w:p w:rsidR="00765964" w:rsidP="00765964" w:rsidRDefault="00765964" w14:paraId="0C835A6C" w14:textId="77777777">
            <w:pPr>
              <w:jc w:val="center"/>
              <w:rPr>
                <w:color w:val="000000"/>
              </w:rPr>
            </w:pPr>
          </w:p>
          <w:p w:rsidR="00765964" w:rsidP="00765964" w:rsidRDefault="00765964" w14:paraId="3141763B" w14:textId="77777777">
            <w:pPr>
              <w:jc w:val="center"/>
              <w:rPr>
                <w:color w:val="000000"/>
              </w:rPr>
            </w:pPr>
          </w:p>
          <w:p w:rsidR="00765964" w:rsidP="00765964" w:rsidRDefault="00765964" w14:paraId="3121CBE0" w14:textId="77777777">
            <w:pPr>
              <w:jc w:val="center"/>
              <w:rPr>
                <w:color w:val="000000"/>
              </w:rPr>
            </w:pPr>
          </w:p>
          <w:p w:rsidR="00765964" w:rsidP="00765964" w:rsidRDefault="00765964" w14:paraId="586C8679" w14:textId="77777777">
            <w:pPr>
              <w:jc w:val="center"/>
              <w:rPr>
                <w:color w:val="000000"/>
              </w:rPr>
            </w:pPr>
          </w:p>
          <w:p w:rsidR="00765964" w:rsidP="00765964" w:rsidRDefault="00765964" w14:paraId="167575E7" w14:textId="77777777">
            <w:pPr>
              <w:jc w:val="center"/>
              <w:rPr>
                <w:color w:val="000000"/>
              </w:rPr>
            </w:pPr>
          </w:p>
          <w:p w:rsidR="00765964" w:rsidP="00765964" w:rsidRDefault="00765964" w14:paraId="27ACAA31" w14:textId="77777777">
            <w:pPr>
              <w:jc w:val="center"/>
              <w:rPr>
                <w:color w:val="000000"/>
              </w:rPr>
            </w:pPr>
          </w:p>
          <w:p w:rsidR="00765964" w:rsidP="00765964" w:rsidRDefault="00765964" w14:paraId="62681F34" w14:textId="77777777">
            <w:pPr>
              <w:jc w:val="center"/>
              <w:rPr>
                <w:color w:val="000000"/>
              </w:rPr>
            </w:pPr>
          </w:p>
          <w:p w:rsidR="00765964" w:rsidP="00765964" w:rsidRDefault="00765964" w14:paraId="476FADEA" w14:textId="77777777">
            <w:pPr>
              <w:jc w:val="center"/>
              <w:rPr>
                <w:color w:val="000000"/>
              </w:rPr>
            </w:pPr>
          </w:p>
          <w:p w:rsidR="00765964" w:rsidP="00765964" w:rsidRDefault="00765964" w14:paraId="3393FAB2" w14:textId="77777777">
            <w:pPr>
              <w:jc w:val="center"/>
              <w:rPr>
                <w:color w:val="000000"/>
              </w:rPr>
            </w:pPr>
          </w:p>
          <w:p w:rsidR="00765964" w:rsidP="00765964" w:rsidRDefault="00765964" w14:paraId="1AD0A229" w14:textId="77777777">
            <w:pPr>
              <w:jc w:val="center"/>
              <w:rPr>
                <w:color w:val="000000"/>
              </w:rPr>
            </w:pPr>
          </w:p>
          <w:p w:rsidR="00765964" w:rsidP="00765964" w:rsidRDefault="00765964" w14:paraId="3066F872" w14:textId="77777777">
            <w:pPr>
              <w:jc w:val="center"/>
              <w:rPr>
                <w:color w:val="000000"/>
              </w:rPr>
            </w:pPr>
          </w:p>
          <w:p w:rsidR="00765964" w:rsidP="00765964" w:rsidRDefault="00765964" w14:paraId="6FCC4F0C" w14:textId="77777777">
            <w:pPr>
              <w:jc w:val="center"/>
              <w:rPr>
                <w:color w:val="000000"/>
              </w:rPr>
            </w:pPr>
          </w:p>
          <w:p w:rsidR="00765964" w:rsidP="00765964" w:rsidRDefault="00765964" w14:paraId="2F7F14F5" w14:textId="77777777">
            <w:pPr>
              <w:jc w:val="center"/>
              <w:rPr>
                <w:color w:val="000000"/>
              </w:rPr>
            </w:pPr>
          </w:p>
          <w:p w:rsidR="00765964" w:rsidP="00765964" w:rsidRDefault="00765964" w14:paraId="6066D0A6" w14:textId="77777777">
            <w:pPr>
              <w:jc w:val="center"/>
              <w:rPr>
                <w:color w:val="000000"/>
              </w:rPr>
            </w:pPr>
          </w:p>
          <w:p w:rsidR="00765964" w:rsidP="00765964" w:rsidRDefault="00765964" w14:paraId="5A2D994B" w14:textId="77777777">
            <w:pPr>
              <w:jc w:val="center"/>
              <w:rPr>
                <w:color w:val="000000"/>
              </w:rPr>
            </w:pPr>
          </w:p>
          <w:p w:rsidR="00765964" w:rsidP="00765964" w:rsidRDefault="00765964" w14:paraId="25DFAF73" w14:textId="77777777">
            <w:pPr>
              <w:jc w:val="center"/>
              <w:rPr>
                <w:color w:val="000000"/>
              </w:rPr>
            </w:pPr>
          </w:p>
          <w:p w:rsidR="00765964" w:rsidP="00765964" w:rsidRDefault="00765964" w14:paraId="5B26880C" w14:textId="77777777">
            <w:pPr>
              <w:jc w:val="center"/>
              <w:rPr>
                <w:color w:val="000000"/>
              </w:rPr>
            </w:pPr>
          </w:p>
          <w:p w:rsidR="00765964" w:rsidP="00765964" w:rsidRDefault="00765964" w14:paraId="19E412FC" w14:textId="77777777">
            <w:pPr>
              <w:jc w:val="center"/>
              <w:rPr>
                <w:color w:val="000000"/>
              </w:rPr>
            </w:pPr>
          </w:p>
          <w:p w:rsidR="00765964" w:rsidP="00765964" w:rsidRDefault="00765964" w14:paraId="1DA85202" w14:textId="77777777">
            <w:pPr>
              <w:jc w:val="center"/>
              <w:rPr>
                <w:color w:val="000000"/>
              </w:rPr>
            </w:pPr>
          </w:p>
          <w:p w:rsidR="00765964" w:rsidP="00765964" w:rsidRDefault="00765964" w14:paraId="1C17D52E" w14:textId="77777777">
            <w:pPr>
              <w:jc w:val="center"/>
              <w:rPr>
                <w:color w:val="000000"/>
              </w:rPr>
            </w:pPr>
          </w:p>
          <w:p w:rsidR="00765964" w:rsidP="00765964" w:rsidRDefault="00765964" w14:paraId="6F400F80" w14:textId="77777777">
            <w:pPr>
              <w:jc w:val="center"/>
              <w:rPr>
                <w:color w:val="000000"/>
              </w:rPr>
            </w:pPr>
          </w:p>
          <w:p w:rsidR="00765964" w:rsidP="00765964" w:rsidRDefault="00765964" w14:paraId="0DC6F949" w14:textId="77777777">
            <w:pPr>
              <w:jc w:val="center"/>
              <w:rPr>
                <w:color w:val="000000"/>
              </w:rPr>
            </w:pPr>
          </w:p>
          <w:p w:rsidR="00765964" w:rsidP="00765964" w:rsidRDefault="00765964" w14:paraId="72FB60F4" w14:textId="77777777">
            <w:pPr>
              <w:jc w:val="center"/>
              <w:rPr>
                <w:color w:val="000000"/>
              </w:rPr>
            </w:pPr>
          </w:p>
          <w:p w:rsidR="00765964" w:rsidP="00765964" w:rsidRDefault="00765964" w14:paraId="52125F91" w14:textId="77777777">
            <w:pPr>
              <w:jc w:val="center"/>
              <w:rPr>
                <w:color w:val="000000"/>
              </w:rPr>
            </w:pPr>
          </w:p>
          <w:p w:rsidR="00765964" w:rsidP="00765964" w:rsidRDefault="00765964" w14:paraId="7ABF0E8B" w14:textId="77777777">
            <w:pPr>
              <w:jc w:val="center"/>
              <w:rPr>
                <w:color w:val="000000"/>
              </w:rPr>
            </w:pPr>
          </w:p>
          <w:p w:rsidR="00765964" w:rsidP="00765964" w:rsidRDefault="00765964" w14:paraId="5AE88AB5" w14:textId="77777777">
            <w:pPr>
              <w:jc w:val="center"/>
              <w:rPr>
                <w:color w:val="000000"/>
              </w:rPr>
            </w:pPr>
          </w:p>
          <w:p w:rsidR="00765964" w:rsidP="00765964" w:rsidRDefault="00765964" w14:paraId="6DE9F2CF" w14:textId="77777777">
            <w:pPr>
              <w:jc w:val="center"/>
              <w:rPr>
                <w:color w:val="000000"/>
              </w:rPr>
            </w:pPr>
          </w:p>
          <w:p w:rsidR="00765964" w:rsidP="00765964" w:rsidRDefault="00765964" w14:paraId="1231969F" w14:textId="77777777">
            <w:pPr>
              <w:jc w:val="center"/>
              <w:rPr>
                <w:color w:val="000000"/>
              </w:rPr>
            </w:pPr>
          </w:p>
          <w:p w:rsidR="00765964" w:rsidP="00765964" w:rsidRDefault="00765964" w14:paraId="35EBBA79" w14:textId="77777777">
            <w:pPr>
              <w:jc w:val="center"/>
              <w:rPr>
                <w:color w:val="000000"/>
              </w:rPr>
            </w:pPr>
          </w:p>
          <w:p w:rsidR="00765964" w:rsidP="00765964" w:rsidRDefault="00765964" w14:paraId="716EFFFD" w14:textId="77777777">
            <w:pPr>
              <w:jc w:val="center"/>
              <w:rPr>
                <w:color w:val="000000"/>
              </w:rPr>
            </w:pPr>
            <w:r>
              <w:rPr>
                <w:color w:val="000000"/>
              </w:rPr>
              <w:t>Verified</w:t>
            </w:r>
          </w:p>
          <w:p w:rsidR="00765964" w:rsidP="00765964" w:rsidRDefault="00765964" w14:paraId="4BB02625" w14:textId="77777777">
            <w:pPr>
              <w:jc w:val="center"/>
              <w:rPr>
                <w:color w:val="000000"/>
              </w:rPr>
            </w:pPr>
          </w:p>
          <w:p w:rsidR="00765964" w:rsidP="00765964" w:rsidRDefault="00765964" w14:paraId="008D3268" w14:textId="77777777">
            <w:pPr>
              <w:jc w:val="center"/>
              <w:rPr>
                <w:color w:val="000000"/>
              </w:rPr>
            </w:pPr>
          </w:p>
          <w:p w:rsidR="00765964" w:rsidP="00765964" w:rsidRDefault="00765964" w14:paraId="23F645C3" w14:textId="77777777">
            <w:pPr>
              <w:jc w:val="center"/>
              <w:rPr>
                <w:color w:val="000000"/>
              </w:rPr>
            </w:pPr>
          </w:p>
          <w:p w:rsidR="00765964" w:rsidP="00765964" w:rsidRDefault="00765964" w14:paraId="3C3B4BFE" w14:textId="77777777">
            <w:pPr>
              <w:jc w:val="center"/>
              <w:rPr>
                <w:color w:val="000000"/>
              </w:rPr>
            </w:pPr>
          </w:p>
          <w:p w:rsidR="00765964" w:rsidP="00765964" w:rsidRDefault="00765964" w14:paraId="10EE5293" w14:textId="77777777">
            <w:pPr>
              <w:jc w:val="center"/>
              <w:rPr>
                <w:color w:val="000000"/>
              </w:rPr>
            </w:pPr>
          </w:p>
          <w:p w:rsidR="00765964" w:rsidP="00765964" w:rsidRDefault="00765964" w14:paraId="08CE8BE6" w14:textId="77777777">
            <w:pPr>
              <w:jc w:val="center"/>
              <w:rPr>
                <w:color w:val="000000"/>
              </w:rPr>
            </w:pPr>
          </w:p>
          <w:p w:rsidR="00765964" w:rsidP="00765964" w:rsidRDefault="00765964" w14:paraId="1779854A" w14:textId="77777777">
            <w:pPr>
              <w:jc w:val="center"/>
              <w:rPr>
                <w:color w:val="000000"/>
              </w:rPr>
            </w:pPr>
          </w:p>
          <w:p w:rsidR="00765964" w:rsidP="00765964" w:rsidRDefault="00765964" w14:paraId="5AD6EFC8" w14:textId="77777777">
            <w:pPr>
              <w:jc w:val="center"/>
              <w:rPr>
                <w:color w:val="000000"/>
              </w:rPr>
            </w:pPr>
          </w:p>
          <w:p w:rsidR="00765964" w:rsidP="00765964" w:rsidRDefault="00765964" w14:paraId="2B2ADB7A" w14:textId="77777777">
            <w:pPr>
              <w:jc w:val="center"/>
              <w:rPr>
                <w:color w:val="000000"/>
              </w:rPr>
            </w:pPr>
          </w:p>
          <w:p w:rsidR="00765964" w:rsidP="00765964" w:rsidRDefault="00765964" w14:paraId="7FE0704B" w14:textId="77777777">
            <w:pPr>
              <w:jc w:val="center"/>
              <w:rPr>
                <w:color w:val="000000"/>
              </w:rPr>
            </w:pPr>
          </w:p>
          <w:p w:rsidR="00765964" w:rsidP="00765964" w:rsidRDefault="00765964" w14:paraId="34BA13C5" w14:textId="77777777">
            <w:pPr>
              <w:jc w:val="center"/>
              <w:rPr>
                <w:color w:val="000000"/>
              </w:rPr>
            </w:pPr>
          </w:p>
          <w:p w:rsidR="00765964" w:rsidP="00765964" w:rsidRDefault="00765964" w14:paraId="370871F6" w14:textId="77777777">
            <w:pPr>
              <w:jc w:val="center"/>
              <w:rPr>
                <w:color w:val="000000"/>
              </w:rPr>
            </w:pPr>
          </w:p>
          <w:p w:rsidR="00765964" w:rsidP="00765964" w:rsidRDefault="00765964" w14:paraId="1DDD511C" w14:textId="77777777">
            <w:pPr>
              <w:jc w:val="center"/>
              <w:rPr>
                <w:color w:val="000000"/>
              </w:rPr>
            </w:pPr>
          </w:p>
          <w:p w:rsidR="00765964" w:rsidP="00765964" w:rsidRDefault="00765964" w14:paraId="433E9C32" w14:textId="77777777">
            <w:pPr>
              <w:jc w:val="center"/>
              <w:rPr>
                <w:color w:val="000000"/>
              </w:rPr>
            </w:pPr>
            <w:r>
              <w:rPr>
                <w:color w:val="000000"/>
              </w:rPr>
              <w:t>Verified</w:t>
            </w:r>
          </w:p>
          <w:p w:rsidR="00765964" w:rsidP="00765964" w:rsidRDefault="00765964" w14:paraId="5E6B3C54" w14:textId="77777777">
            <w:pPr>
              <w:jc w:val="center"/>
              <w:rPr>
                <w:color w:val="000000"/>
              </w:rPr>
            </w:pPr>
          </w:p>
          <w:p w:rsidR="00765964" w:rsidP="00765964" w:rsidRDefault="00765964" w14:paraId="4E789E12" w14:textId="77777777">
            <w:pPr>
              <w:jc w:val="center"/>
              <w:rPr>
                <w:color w:val="000000"/>
              </w:rPr>
            </w:pPr>
          </w:p>
          <w:p w:rsidR="00765964" w:rsidP="00765964" w:rsidRDefault="00765964" w14:paraId="4B0877B8" w14:textId="77777777">
            <w:pPr>
              <w:jc w:val="center"/>
              <w:rPr>
                <w:color w:val="000000"/>
              </w:rPr>
            </w:pPr>
          </w:p>
          <w:p w:rsidR="00765964" w:rsidP="00765964" w:rsidRDefault="00765964" w14:paraId="6B8CB42D" w14:textId="77777777">
            <w:pPr>
              <w:jc w:val="center"/>
              <w:rPr>
                <w:color w:val="000000"/>
              </w:rPr>
            </w:pPr>
          </w:p>
          <w:p w:rsidR="00765964" w:rsidP="00765964" w:rsidRDefault="00765964" w14:paraId="79AC3D56" w14:textId="77777777">
            <w:pPr>
              <w:jc w:val="center"/>
              <w:rPr>
                <w:color w:val="000000"/>
              </w:rPr>
            </w:pPr>
          </w:p>
          <w:p w:rsidR="00765964" w:rsidP="00765964" w:rsidRDefault="00765964" w14:paraId="7BB94E68" w14:textId="77777777">
            <w:pPr>
              <w:jc w:val="center"/>
              <w:rPr>
                <w:color w:val="000000"/>
              </w:rPr>
            </w:pPr>
          </w:p>
          <w:p w:rsidR="00765964" w:rsidP="00765964" w:rsidRDefault="00765964" w14:paraId="57A1960C" w14:textId="77777777">
            <w:pPr>
              <w:jc w:val="center"/>
              <w:rPr>
                <w:color w:val="000000"/>
              </w:rPr>
            </w:pPr>
          </w:p>
          <w:p w:rsidR="00765964" w:rsidP="00765964" w:rsidRDefault="00765964" w14:paraId="23F478AB" w14:textId="77777777">
            <w:pPr>
              <w:jc w:val="center"/>
              <w:rPr>
                <w:color w:val="000000"/>
              </w:rPr>
            </w:pPr>
          </w:p>
          <w:p w:rsidR="00765964" w:rsidP="00765964" w:rsidRDefault="00765964" w14:paraId="6CCBA620" w14:textId="77777777">
            <w:pPr>
              <w:jc w:val="center"/>
              <w:rPr>
                <w:color w:val="000000"/>
              </w:rPr>
            </w:pPr>
          </w:p>
          <w:p w:rsidR="00765964" w:rsidP="00765964" w:rsidRDefault="00765964" w14:paraId="309555AA" w14:textId="77777777">
            <w:pPr>
              <w:jc w:val="center"/>
              <w:rPr>
                <w:color w:val="000000"/>
              </w:rPr>
            </w:pPr>
          </w:p>
          <w:p w:rsidR="00765964" w:rsidP="00765964" w:rsidRDefault="00765964" w14:paraId="783D44EF" w14:textId="77777777">
            <w:pPr>
              <w:jc w:val="center"/>
              <w:rPr>
                <w:color w:val="000000"/>
              </w:rPr>
            </w:pPr>
          </w:p>
          <w:p w:rsidR="00765964" w:rsidP="00765964" w:rsidRDefault="00765964" w14:paraId="169797E7" w14:textId="77777777">
            <w:pPr>
              <w:jc w:val="center"/>
              <w:rPr>
                <w:color w:val="000000"/>
              </w:rPr>
            </w:pPr>
          </w:p>
          <w:p w:rsidR="00765964" w:rsidP="00765964" w:rsidRDefault="00765964" w14:paraId="514056F5" w14:textId="77777777">
            <w:pPr>
              <w:jc w:val="center"/>
              <w:rPr>
                <w:color w:val="000000"/>
              </w:rPr>
            </w:pPr>
          </w:p>
          <w:p w:rsidR="00765964" w:rsidP="00765964" w:rsidRDefault="00765964" w14:paraId="4F3F073B" w14:textId="77777777">
            <w:pPr>
              <w:jc w:val="center"/>
              <w:rPr>
                <w:color w:val="000000"/>
              </w:rPr>
            </w:pPr>
          </w:p>
          <w:p w:rsidR="00765964" w:rsidP="00765964" w:rsidRDefault="00765964" w14:paraId="0E1408AC" w14:textId="77777777">
            <w:pPr>
              <w:jc w:val="center"/>
              <w:rPr>
                <w:color w:val="000000"/>
              </w:rPr>
            </w:pPr>
            <w:r>
              <w:rPr>
                <w:color w:val="000000"/>
              </w:rPr>
              <w:t>Verified</w:t>
            </w:r>
          </w:p>
          <w:p w:rsidR="00765964" w:rsidP="00765964" w:rsidRDefault="00765964" w14:paraId="7E9E6235" w14:textId="77777777">
            <w:pPr>
              <w:jc w:val="center"/>
              <w:rPr>
                <w:color w:val="000000"/>
              </w:rPr>
            </w:pPr>
          </w:p>
          <w:p w:rsidR="00765964" w:rsidP="00765964" w:rsidRDefault="00765964" w14:paraId="033224E5" w14:textId="77777777">
            <w:pPr>
              <w:jc w:val="center"/>
              <w:rPr>
                <w:color w:val="000000"/>
              </w:rPr>
            </w:pPr>
          </w:p>
          <w:p w:rsidR="00765964" w:rsidP="00765964" w:rsidRDefault="00765964" w14:paraId="57D69487" w14:textId="77777777">
            <w:pPr>
              <w:jc w:val="center"/>
              <w:rPr>
                <w:color w:val="000000"/>
              </w:rPr>
            </w:pPr>
          </w:p>
          <w:p w:rsidR="00765964" w:rsidP="00765964" w:rsidRDefault="00765964" w14:paraId="30CEC669" w14:textId="77777777">
            <w:pPr>
              <w:jc w:val="center"/>
              <w:rPr>
                <w:color w:val="000000"/>
              </w:rPr>
            </w:pPr>
          </w:p>
          <w:p w:rsidR="00765964" w:rsidP="00765964" w:rsidRDefault="00765964" w14:paraId="630CDC53" w14:textId="77777777">
            <w:pPr>
              <w:jc w:val="center"/>
              <w:rPr>
                <w:color w:val="000000"/>
              </w:rPr>
            </w:pPr>
          </w:p>
          <w:p w:rsidR="00765964" w:rsidP="00765964" w:rsidRDefault="00765964" w14:paraId="21322418" w14:textId="77777777">
            <w:pPr>
              <w:jc w:val="center"/>
              <w:rPr>
                <w:color w:val="000000"/>
              </w:rPr>
            </w:pPr>
          </w:p>
          <w:p w:rsidR="00765964" w:rsidP="00765964" w:rsidRDefault="00765964" w14:paraId="50B7FC1B" w14:textId="77777777">
            <w:pPr>
              <w:jc w:val="center"/>
              <w:rPr>
                <w:color w:val="000000"/>
              </w:rPr>
            </w:pPr>
          </w:p>
          <w:p w:rsidR="00765964" w:rsidP="00765964" w:rsidRDefault="00765964" w14:paraId="2BE47DAF" w14:textId="77777777">
            <w:pPr>
              <w:jc w:val="center"/>
              <w:rPr>
                <w:color w:val="000000"/>
              </w:rPr>
            </w:pPr>
          </w:p>
          <w:p w:rsidR="00765964" w:rsidP="00765964" w:rsidRDefault="00765964" w14:paraId="2E5145DF" w14:textId="77777777">
            <w:pPr>
              <w:jc w:val="center"/>
              <w:rPr>
                <w:color w:val="000000"/>
              </w:rPr>
            </w:pPr>
          </w:p>
          <w:p w:rsidR="00765964" w:rsidP="00765964" w:rsidRDefault="00765964" w14:paraId="3036707E" w14:textId="77777777">
            <w:pPr>
              <w:jc w:val="center"/>
              <w:rPr>
                <w:color w:val="000000"/>
              </w:rPr>
            </w:pPr>
          </w:p>
          <w:p w:rsidR="00765964" w:rsidP="00765964" w:rsidRDefault="00765964" w14:paraId="43C1DB67" w14:textId="77777777">
            <w:pPr>
              <w:jc w:val="center"/>
              <w:rPr>
                <w:color w:val="000000"/>
              </w:rPr>
            </w:pPr>
          </w:p>
          <w:p w:rsidR="00765964" w:rsidP="00765964" w:rsidRDefault="00765964" w14:paraId="5C0085B4" w14:textId="77777777">
            <w:pPr>
              <w:jc w:val="center"/>
              <w:rPr>
                <w:color w:val="000000"/>
              </w:rPr>
            </w:pPr>
          </w:p>
          <w:p w:rsidR="00765964" w:rsidP="00765964" w:rsidRDefault="00765964" w14:paraId="2D7D45E1" w14:textId="77777777">
            <w:pPr>
              <w:jc w:val="center"/>
              <w:rPr>
                <w:color w:val="000000"/>
              </w:rPr>
            </w:pPr>
            <w:r>
              <w:rPr>
                <w:color w:val="000000"/>
              </w:rPr>
              <w:t>Verified</w:t>
            </w:r>
          </w:p>
          <w:p w:rsidR="00765964" w:rsidP="00765964" w:rsidRDefault="00765964" w14:paraId="1147ABCE" w14:textId="77777777">
            <w:pPr>
              <w:jc w:val="center"/>
              <w:rPr>
                <w:color w:val="000000"/>
              </w:rPr>
            </w:pPr>
          </w:p>
          <w:p w:rsidR="00765964" w:rsidP="00765964" w:rsidRDefault="00765964" w14:paraId="02818BB4" w14:textId="77777777">
            <w:pPr>
              <w:jc w:val="center"/>
              <w:rPr>
                <w:color w:val="000000"/>
              </w:rPr>
            </w:pPr>
          </w:p>
          <w:p w:rsidR="00765964" w:rsidP="00765964" w:rsidRDefault="00765964" w14:paraId="2A8C0B4F" w14:textId="77777777">
            <w:pPr>
              <w:jc w:val="center"/>
              <w:rPr>
                <w:color w:val="000000"/>
              </w:rPr>
            </w:pPr>
          </w:p>
          <w:p w:rsidR="00765964" w:rsidP="00765964" w:rsidRDefault="00765964" w14:paraId="1D6FBCC4" w14:textId="77777777">
            <w:pPr>
              <w:jc w:val="center"/>
              <w:rPr>
                <w:color w:val="000000"/>
              </w:rPr>
            </w:pPr>
          </w:p>
          <w:p w:rsidR="00765964" w:rsidP="00765964" w:rsidRDefault="00765964" w14:paraId="182059AF" w14:textId="77777777">
            <w:pPr>
              <w:jc w:val="center"/>
              <w:rPr>
                <w:color w:val="000000"/>
              </w:rPr>
            </w:pPr>
          </w:p>
          <w:p w:rsidR="00765964" w:rsidP="00765964" w:rsidRDefault="00765964" w14:paraId="7D83AFF7" w14:textId="77777777">
            <w:pPr>
              <w:jc w:val="center"/>
              <w:rPr>
                <w:color w:val="000000"/>
              </w:rPr>
            </w:pPr>
          </w:p>
          <w:p w:rsidR="00765964" w:rsidP="00765964" w:rsidRDefault="00765964" w14:paraId="3B1526A6" w14:textId="77777777">
            <w:pPr>
              <w:jc w:val="center"/>
              <w:rPr>
                <w:color w:val="000000"/>
              </w:rPr>
            </w:pPr>
          </w:p>
          <w:p w:rsidR="00765964" w:rsidP="00765964" w:rsidRDefault="00765964" w14:paraId="6A317A73" w14:textId="77777777">
            <w:pPr>
              <w:jc w:val="center"/>
              <w:rPr>
                <w:color w:val="000000"/>
              </w:rPr>
            </w:pPr>
          </w:p>
          <w:p w:rsidRPr="002D28A6" w:rsidR="00765964" w:rsidP="00765964" w:rsidRDefault="00765964" w14:paraId="5204E1E9" w14:textId="707AFC4C">
            <w:pPr>
              <w:jc w:val="center"/>
              <w:rPr>
                <w:color w:val="000000"/>
              </w:rPr>
            </w:pPr>
            <w:r>
              <w:rPr>
                <w:color w:val="000000"/>
              </w:rPr>
              <w:t>Verified</w:t>
            </w:r>
          </w:p>
        </w:tc>
      </w:tr>
      <w:tr w:rsidRPr="002D28A6" w:rsidR="00BD4ED8" w:rsidTr="00DC7CDC" w14:paraId="4A7A65B0" w14:textId="77777777">
        <w:trPr>
          <w:trHeight w:val="707"/>
        </w:trPr>
        <w:tc>
          <w:tcPr>
            <w:tcW w:w="4469" w:type="dxa"/>
            <w:shd w:val="clear" w:color="auto" w:fill="auto"/>
          </w:tcPr>
          <w:p w:rsidRPr="002D28A6" w:rsidR="00BD4ED8" w:rsidP="00190B9E" w:rsidRDefault="00BD4ED8" w14:paraId="7891EC72" w14:textId="2F026A28">
            <w:pPr>
              <w:rPr>
                <w:b/>
                <w:bCs/>
                <w:color w:val="000000"/>
              </w:rPr>
            </w:pPr>
            <w:r w:rsidRPr="002D28A6">
              <w:rPr>
                <w:b/>
                <w:bCs/>
                <w:color w:val="000000"/>
              </w:rPr>
              <w:lastRenderedPageBreak/>
              <w:t xml:space="preserve">8. </w:t>
            </w:r>
            <w:r w:rsidR="006F4D5A">
              <w:rPr>
                <w:b/>
                <w:bCs/>
                <w:color w:val="000000"/>
              </w:rPr>
              <w:t xml:space="preserve"> </w:t>
            </w:r>
            <w:r w:rsidRPr="002D28A6">
              <w:rPr>
                <w:b/>
                <w:bCs/>
                <w:color w:val="000000"/>
              </w:rPr>
              <w:t>PG&amp;E’s showing in the next GRC related to costs recorded to the ECNB</w:t>
            </w:r>
            <w:r>
              <w:rPr>
                <w:b/>
                <w:bCs/>
                <w:color w:val="000000"/>
              </w:rPr>
              <w:t>IMA</w:t>
            </w:r>
          </w:p>
          <w:p w:rsidRPr="002D28A6" w:rsidR="00BD4ED8" w:rsidP="00190B9E" w:rsidRDefault="00BD4ED8" w14:paraId="6609EBA0" w14:textId="77777777">
            <w:pPr>
              <w:rPr>
                <w:color w:val="000000"/>
              </w:rPr>
            </w:pPr>
          </w:p>
          <w:p w:rsidRPr="002D28A6" w:rsidR="00BD4ED8" w:rsidP="00190B9E" w:rsidRDefault="00BD4ED8" w14:paraId="1B17AE15" w14:textId="39C38E19">
            <w:pPr>
              <w:rPr>
                <w:color w:val="000000"/>
              </w:rPr>
            </w:pPr>
            <w:r w:rsidRPr="002D28A6">
              <w:rPr>
                <w:color w:val="000000"/>
              </w:rPr>
              <w:t>TURN recommended that PG&amp;E demonstrate all of the following in its next GRC to permit a meaningful reasonableness review:</w:t>
            </w:r>
          </w:p>
          <w:p w:rsidRPr="002D28A6" w:rsidR="00BD4ED8" w:rsidP="00190B9E" w:rsidRDefault="00BD4ED8" w14:paraId="12C909AD" w14:textId="77777777">
            <w:pPr>
              <w:rPr>
                <w:color w:val="000000"/>
              </w:rPr>
            </w:pPr>
          </w:p>
          <w:p w:rsidRPr="00765964" w:rsidR="00BD4ED8" w:rsidP="00765964" w:rsidRDefault="00BD4ED8" w14:paraId="21E48F2A" w14:textId="7819ABE1">
            <w:pPr>
              <w:pStyle w:val="ListParagraph"/>
              <w:numPr>
                <w:ilvl w:val="0"/>
                <w:numId w:val="14"/>
              </w:numPr>
              <w:rPr>
                <w:color w:val="000000"/>
              </w:rPr>
            </w:pPr>
            <w:r w:rsidRPr="00765964">
              <w:rPr>
                <w:color w:val="000000"/>
              </w:rPr>
              <w:t>The costs PG&amp;E recorded to the SB 410 account were limited to those associated with the activities within MWC 06, 10, 16, and 46 that are directly related to connecting customers/new load.</w:t>
            </w:r>
          </w:p>
          <w:p w:rsidRPr="002D28A6" w:rsidR="00BD4ED8" w:rsidP="00190B9E" w:rsidRDefault="00BD4ED8" w14:paraId="2E996A31" w14:textId="77777777">
            <w:pPr>
              <w:rPr>
                <w:color w:val="000000"/>
              </w:rPr>
            </w:pPr>
          </w:p>
          <w:p w:rsidRPr="002D28A6" w:rsidR="00BD4ED8" w:rsidP="00190B9E" w:rsidRDefault="00BD4ED8" w14:paraId="52497FCE" w14:textId="7E7119C2">
            <w:pPr>
              <w:rPr>
                <w:color w:val="000000"/>
              </w:rPr>
            </w:pPr>
            <w:r w:rsidRPr="002D28A6">
              <w:rPr>
                <w:color w:val="000000"/>
              </w:rPr>
              <w:t>b. The costs recorded to the ECNBBA were incremental to the costs authorized in D.23-11-069.</w:t>
            </w:r>
          </w:p>
          <w:p w:rsidRPr="002D28A6" w:rsidR="00BD4ED8" w:rsidP="00190B9E" w:rsidRDefault="00BD4ED8" w14:paraId="6B68ABCF" w14:textId="77777777">
            <w:pPr>
              <w:rPr>
                <w:color w:val="000000"/>
              </w:rPr>
            </w:pPr>
          </w:p>
          <w:p w:rsidRPr="002D28A6" w:rsidR="00BD4ED8" w:rsidP="00190B9E" w:rsidRDefault="00BD4ED8" w14:paraId="7B8A770D" w14:textId="4E818594">
            <w:pPr>
              <w:rPr>
                <w:color w:val="000000"/>
              </w:rPr>
            </w:pPr>
            <w:r>
              <w:rPr>
                <w:color w:val="000000"/>
              </w:rPr>
              <w:t>c</w:t>
            </w:r>
            <w:r w:rsidRPr="002D28A6">
              <w:rPr>
                <w:color w:val="000000"/>
              </w:rPr>
              <w:t>. PG&amp;E prioritized the use of Diablo Canyon volumetric payments to support customer connection expenditures.</w:t>
            </w:r>
          </w:p>
          <w:p w:rsidRPr="002D28A6" w:rsidR="00BD4ED8" w:rsidP="00190B9E" w:rsidRDefault="00BD4ED8" w14:paraId="2D127132" w14:textId="77777777">
            <w:pPr>
              <w:rPr>
                <w:color w:val="000000"/>
              </w:rPr>
            </w:pPr>
          </w:p>
          <w:p w:rsidRPr="002D28A6" w:rsidR="00BD4ED8" w:rsidP="00190B9E" w:rsidRDefault="00BD4ED8" w14:paraId="3C28D8EE" w14:textId="2ACF4132">
            <w:pPr>
              <w:rPr>
                <w:color w:val="000000"/>
              </w:rPr>
            </w:pPr>
            <w:r>
              <w:rPr>
                <w:color w:val="000000"/>
              </w:rPr>
              <w:t>d</w:t>
            </w:r>
            <w:r w:rsidRPr="002D28A6">
              <w:rPr>
                <w:color w:val="000000"/>
              </w:rPr>
              <w:t>. Before investing in infrastructure upgrades, PG&amp;E determined that alternative approaches to managing load and connecting customers were infeasible (including an explanation of why).</w:t>
            </w:r>
          </w:p>
          <w:p w:rsidRPr="002D28A6" w:rsidR="00BD4ED8" w:rsidP="00190B9E" w:rsidRDefault="00BD4ED8" w14:paraId="443BA2BF" w14:textId="77777777">
            <w:pPr>
              <w:rPr>
                <w:color w:val="000000"/>
              </w:rPr>
            </w:pPr>
          </w:p>
          <w:p w:rsidR="00BD4ED8" w:rsidP="00190B9E" w:rsidRDefault="00BD4ED8" w14:paraId="087D878F" w14:textId="0FFF552D">
            <w:pPr>
              <w:rPr>
                <w:color w:val="000000"/>
              </w:rPr>
            </w:pPr>
            <w:r>
              <w:rPr>
                <w:color w:val="000000"/>
              </w:rPr>
              <w:lastRenderedPageBreak/>
              <w:t>e</w:t>
            </w:r>
            <w:r w:rsidRPr="002D28A6">
              <w:rPr>
                <w:color w:val="000000"/>
              </w:rPr>
              <w:t>. Before investing ratepayer funds in infrastructure upgrades, PG&amp;E exhausted all non-ratepayer sources of funding to support new connections, including but not necessarily limited to LCFS holdback revenues.</w:t>
            </w:r>
          </w:p>
          <w:p w:rsidR="006C4F57" w:rsidP="00190B9E" w:rsidRDefault="006C4F57" w14:paraId="57B2944F" w14:textId="77777777">
            <w:pPr>
              <w:rPr>
                <w:color w:val="000000"/>
              </w:rPr>
            </w:pPr>
          </w:p>
          <w:p w:rsidR="006C4F57" w:rsidP="00190B9E" w:rsidRDefault="006C4F57" w14:paraId="3EEF7E8F" w14:textId="29AC2A40">
            <w:pPr>
              <w:rPr>
                <w:color w:val="000000"/>
              </w:rPr>
            </w:pPr>
            <w:r>
              <w:rPr>
                <w:color w:val="000000"/>
              </w:rPr>
              <w:t xml:space="preserve">f.  PG&amp;E has complied with the energization timeliness targets </w:t>
            </w:r>
            <w:r w:rsidR="0012482B">
              <w:rPr>
                <w:color w:val="000000"/>
              </w:rPr>
              <w:t>adopted in R.24-01-008, or if not, why non-compliance was reasonable.</w:t>
            </w:r>
          </w:p>
          <w:p w:rsidR="00BD4ED8" w:rsidP="00190B9E" w:rsidRDefault="00BD4ED8" w14:paraId="4FE6FE34" w14:textId="77777777">
            <w:pPr>
              <w:rPr>
                <w:color w:val="000000"/>
              </w:rPr>
            </w:pPr>
          </w:p>
          <w:p w:rsidR="00BD4ED8" w:rsidP="00190B9E" w:rsidRDefault="0012482B" w14:paraId="1E04949A" w14:textId="6C079ABF">
            <w:pPr>
              <w:rPr>
                <w:color w:val="000000"/>
              </w:rPr>
            </w:pPr>
            <w:r>
              <w:rPr>
                <w:color w:val="000000"/>
              </w:rPr>
              <w:t>g</w:t>
            </w:r>
            <w:r w:rsidR="00BD4ED8">
              <w:rPr>
                <w:color w:val="000000"/>
              </w:rPr>
              <w:t>. PG&amp;E has met the minimum level of completed projects expected by the Commission, or if not, why achieving a lower level of project completion was reasonable.</w:t>
            </w:r>
          </w:p>
          <w:p w:rsidR="00BD4ED8" w:rsidP="00190B9E" w:rsidRDefault="00BD4ED8" w14:paraId="276E09CB" w14:textId="77777777">
            <w:pPr>
              <w:rPr>
                <w:color w:val="000000"/>
              </w:rPr>
            </w:pPr>
          </w:p>
          <w:p w:rsidRPr="002D28A6" w:rsidR="00BD4ED8" w:rsidP="00190B9E" w:rsidRDefault="00BD4ED8" w14:paraId="1A9C7C2B" w14:textId="58A53D05">
            <w:pPr>
              <w:rPr>
                <w:color w:val="000000"/>
              </w:rPr>
            </w:pPr>
            <w:r>
              <w:rPr>
                <w:color w:val="000000"/>
              </w:rPr>
              <w:t xml:space="preserve">As documented </w:t>
            </w:r>
            <w:r w:rsidR="00BB5AA2">
              <w:rPr>
                <w:color w:val="000000"/>
              </w:rPr>
              <w:t>in the preceding sections</w:t>
            </w:r>
            <w:r>
              <w:rPr>
                <w:color w:val="000000"/>
              </w:rPr>
              <w:t xml:space="preserve">, </w:t>
            </w:r>
            <w:r w:rsidR="00BB5AA2">
              <w:rPr>
                <w:color w:val="000000"/>
              </w:rPr>
              <w:t xml:space="preserve">each of these </w:t>
            </w:r>
            <w:r>
              <w:rPr>
                <w:color w:val="000000"/>
              </w:rPr>
              <w:t>recommendations</w:t>
            </w:r>
            <w:r w:rsidR="003E62BA">
              <w:rPr>
                <w:color w:val="000000"/>
              </w:rPr>
              <w:t xml:space="preserve"> </w:t>
            </w:r>
            <w:r w:rsidR="00BB5AA2">
              <w:rPr>
                <w:color w:val="000000"/>
              </w:rPr>
              <w:t xml:space="preserve">is reflected in whole, or in part, in the requirements the Commission adopted for </w:t>
            </w:r>
            <w:r w:rsidR="003E62BA">
              <w:rPr>
                <w:color w:val="000000"/>
              </w:rPr>
              <w:t xml:space="preserve">data reporting </w:t>
            </w:r>
            <w:r w:rsidR="00BB5AA2">
              <w:rPr>
                <w:color w:val="000000"/>
              </w:rPr>
              <w:t xml:space="preserve">and PG&amp;E’s showing </w:t>
            </w:r>
            <w:r w:rsidR="003E62BA">
              <w:rPr>
                <w:color w:val="000000"/>
              </w:rPr>
              <w:t xml:space="preserve">in the next GRC to inform the reasonableness review.  </w:t>
            </w:r>
            <w:r w:rsidR="004750BE">
              <w:rPr>
                <w:color w:val="000000"/>
              </w:rPr>
              <w:t>TURN repeats some of those citations to D.24-07-008 here, while a more complete explanation of TURN’s substantial contribution</w:t>
            </w:r>
            <w:r w:rsidR="00244A54">
              <w:rPr>
                <w:color w:val="000000"/>
              </w:rPr>
              <w:t xml:space="preserve"> for each of these factors</w:t>
            </w:r>
            <w:r w:rsidR="004750BE">
              <w:rPr>
                <w:color w:val="000000"/>
              </w:rPr>
              <w:t xml:space="preserve"> is provided above.</w:t>
            </w:r>
          </w:p>
        </w:tc>
        <w:tc>
          <w:tcPr>
            <w:tcW w:w="2926" w:type="dxa"/>
            <w:shd w:val="clear" w:color="auto" w:fill="auto"/>
          </w:tcPr>
          <w:p w:rsidRPr="002D28A6" w:rsidR="00BD4ED8" w:rsidP="00190B9E" w:rsidRDefault="00BD4ED8" w14:paraId="485CC7A3" w14:textId="77777777">
            <w:pPr>
              <w:rPr>
                <w:color w:val="000000"/>
              </w:rPr>
            </w:pPr>
          </w:p>
          <w:p w:rsidRPr="002D28A6" w:rsidR="00BD4ED8" w:rsidP="00190B9E" w:rsidRDefault="00BD4ED8" w14:paraId="2A63914E" w14:textId="77777777">
            <w:pPr>
              <w:rPr>
                <w:color w:val="000000"/>
              </w:rPr>
            </w:pPr>
          </w:p>
          <w:p w:rsidRPr="002D28A6" w:rsidR="00BD4ED8" w:rsidP="00190B9E" w:rsidRDefault="00BD4ED8" w14:paraId="48CA360D" w14:textId="77777777">
            <w:pPr>
              <w:rPr>
                <w:color w:val="000000"/>
              </w:rPr>
            </w:pPr>
          </w:p>
          <w:p w:rsidR="00BD4ED8" w:rsidP="00190B9E" w:rsidRDefault="00BD4ED8" w14:paraId="10886CF6" w14:textId="77777777">
            <w:pPr>
              <w:rPr>
                <w:color w:val="000000"/>
              </w:rPr>
            </w:pPr>
          </w:p>
          <w:p w:rsidR="00BD4ED8" w:rsidP="00190B9E" w:rsidRDefault="00BD4ED8" w14:paraId="7C15EA1B" w14:textId="5DBDFD33">
            <w:pPr>
              <w:pStyle w:val="ListParagraph"/>
            </w:pPr>
            <w:r>
              <w:t>TURN Opening Brief, p. 45.</w:t>
            </w:r>
          </w:p>
          <w:p w:rsidR="00BD4ED8" w:rsidP="00190B9E" w:rsidRDefault="00BD4ED8" w14:paraId="7DB82455" w14:textId="77777777">
            <w:pPr>
              <w:pStyle w:val="ListParagraph"/>
              <w:numPr>
                <w:ilvl w:val="0"/>
                <w:numId w:val="0"/>
              </w:numPr>
              <w:ind w:left="374"/>
            </w:pPr>
          </w:p>
          <w:p w:rsidRPr="002D28A6" w:rsidR="00BD4ED8" w:rsidP="00190B9E" w:rsidRDefault="00BD4ED8" w14:paraId="4728F0BA" w14:textId="5D5E9B92">
            <w:pPr>
              <w:pStyle w:val="ListParagraph"/>
            </w:pPr>
            <w:r>
              <w:t>TURN Reply Brief, pp. 24-28.</w:t>
            </w:r>
          </w:p>
          <w:p w:rsidR="00765964" w:rsidP="00765964" w:rsidRDefault="00765964" w14:paraId="13DC9AD8" w14:textId="77777777">
            <w:pPr>
              <w:pStyle w:val="ListParagraph"/>
            </w:pPr>
          </w:p>
          <w:p w:rsidR="00BD4ED8" w:rsidP="00190B9E" w:rsidRDefault="00BD4ED8" w14:paraId="101B2F88" w14:textId="77777777">
            <w:pPr>
              <w:pStyle w:val="ListParagraph"/>
              <w:numPr>
                <w:ilvl w:val="0"/>
                <w:numId w:val="0"/>
              </w:numPr>
              <w:ind w:left="374"/>
            </w:pPr>
          </w:p>
          <w:p w:rsidR="00BD4ED8" w:rsidP="00190B9E" w:rsidRDefault="00BD4ED8" w14:paraId="75EAD507" w14:textId="75908F5B">
            <w:pPr>
              <w:pStyle w:val="ListParagraph"/>
            </w:pPr>
            <w:r>
              <w:t>D.24-07-008, p. 64</w:t>
            </w:r>
            <w:r w:rsidR="00242AA8">
              <w:t>; Ordering Paragraph 27(a)</w:t>
            </w:r>
            <w:r w:rsidR="00BA3223">
              <w:t>; Ordering Paragraph 4 (costs were limited to those found reasonable for SB 410 tracking in MWC 06, 10, 16, 46 and not beyond).</w:t>
            </w:r>
          </w:p>
          <w:p w:rsidR="00765964" w:rsidP="00765964" w:rsidRDefault="00765964" w14:paraId="112D0A64" w14:textId="77777777">
            <w:pPr>
              <w:pStyle w:val="ListParagraph"/>
            </w:pPr>
          </w:p>
          <w:p w:rsidR="00BD4ED8" w:rsidP="00190B9E" w:rsidRDefault="00BD4ED8" w14:paraId="7B93F2F7" w14:textId="77777777">
            <w:pPr>
              <w:pStyle w:val="ListParagraph"/>
              <w:numPr>
                <w:ilvl w:val="0"/>
                <w:numId w:val="0"/>
              </w:numPr>
              <w:ind w:left="374"/>
            </w:pPr>
          </w:p>
          <w:p w:rsidR="00BD4ED8" w:rsidP="00190B9E" w:rsidRDefault="00BD4ED8" w14:paraId="7C7F09EF" w14:textId="1043012B">
            <w:pPr>
              <w:pStyle w:val="ListParagraph"/>
            </w:pPr>
            <w:r>
              <w:t>D.24-07-008, p. 65</w:t>
            </w:r>
            <w:r w:rsidR="00CF0B36">
              <w:t>; Ordering Paragraph 26</w:t>
            </w:r>
            <w:r>
              <w:t xml:space="preserve"> (incrementality).</w:t>
            </w:r>
          </w:p>
          <w:p w:rsidR="00765964" w:rsidP="00765964" w:rsidRDefault="00765964" w14:paraId="07F46178" w14:textId="77777777">
            <w:pPr>
              <w:pStyle w:val="ListParagraph"/>
            </w:pPr>
          </w:p>
          <w:p w:rsidR="00BD4ED8" w:rsidP="00190B9E" w:rsidRDefault="00BD4ED8" w14:paraId="7C387071" w14:textId="77777777"/>
          <w:p w:rsidR="00BD4ED8" w:rsidP="00190B9E" w:rsidRDefault="00BD4ED8" w14:paraId="4B3F6AD9" w14:textId="2E94746B">
            <w:pPr>
              <w:pStyle w:val="ListParagraph"/>
            </w:pPr>
            <w:r>
              <w:t>D.24-07-008, pp. 73-74</w:t>
            </w:r>
            <w:r w:rsidR="00CC39D1">
              <w:t xml:space="preserve"> (</w:t>
            </w:r>
            <w:r w:rsidR="000E532D">
              <w:t xml:space="preserve">possible use of </w:t>
            </w:r>
            <w:r w:rsidR="00CC39D1">
              <w:t xml:space="preserve">Diablo Canyon volumetric </w:t>
            </w:r>
            <w:r w:rsidR="00CC39D1">
              <w:lastRenderedPageBreak/>
              <w:t>payments</w:t>
            </w:r>
            <w:r w:rsidR="000E532D">
              <w:t xml:space="preserve"> to offset costs recorded in DCNBIMA</w:t>
            </w:r>
            <w:r w:rsidR="00CC39D1">
              <w:t>)</w:t>
            </w:r>
            <w:r>
              <w:t>.</w:t>
            </w:r>
          </w:p>
          <w:p w:rsidR="00765964" w:rsidP="00765964" w:rsidRDefault="00765964" w14:paraId="454BE27B" w14:textId="77777777">
            <w:pPr>
              <w:pStyle w:val="ListParagraph"/>
            </w:pPr>
          </w:p>
          <w:p w:rsidR="00BD4ED8" w:rsidP="00190B9E" w:rsidRDefault="00BD4ED8" w14:paraId="3345D0C9" w14:textId="77777777">
            <w:pPr>
              <w:pStyle w:val="ListParagraph"/>
              <w:numPr>
                <w:ilvl w:val="0"/>
                <w:numId w:val="0"/>
              </w:numPr>
              <w:ind w:left="374"/>
            </w:pPr>
          </w:p>
          <w:p w:rsidR="00BD4ED8" w:rsidP="00190B9E" w:rsidRDefault="00BD4ED8" w14:paraId="6D5276C4" w14:textId="6808A450">
            <w:pPr>
              <w:pStyle w:val="ListParagraph"/>
            </w:pPr>
            <w:r>
              <w:t>D.24-07-008, pp. 74-76</w:t>
            </w:r>
            <w:r w:rsidR="00074332">
              <w:t xml:space="preserve">; Ordering Paragraph </w:t>
            </w:r>
            <w:r w:rsidR="00B0731B">
              <w:t>24 (</w:t>
            </w:r>
            <w:r w:rsidR="007B0724">
              <w:t xml:space="preserve">report in the next GRC on </w:t>
            </w:r>
            <w:r w:rsidR="00B0731B">
              <w:t>alternative load management and customer connection approaches)</w:t>
            </w:r>
            <w:r>
              <w:t>.</w:t>
            </w:r>
          </w:p>
          <w:p w:rsidR="00765964" w:rsidP="00765964" w:rsidRDefault="00765964" w14:paraId="0B3C50C5" w14:textId="77777777">
            <w:pPr>
              <w:pStyle w:val="ListParagraph"/>
            </w:pPr>
          </w:p>
          <w:p w:rsidR="00BD4ED8" w:rsidP="00190B9E" w:rsidRDefault="00BD4ED8" w14:paraId="19D5558C" w14:textId="77777777">
            <w:pPr>
              <w:pStyle w:val="ListParagraph"/>
              <w:numPr>
                <w:ilvl w:val="0"/>
                <w:numId w:val="0"/>
              </w:numPr>
              <w:ind w:left="374"/>
            </w:pPr>
          </w:p>
          <w:p w:rsidR="00BD4ED8" w:rsidP="00190B9E" w:rsidRDefault="00BD4ED8" w14:paraId="7B15459B" w14:textId="45D893DD">
            <w:pPr>
              <w:pStyle w:val="ListParagraph"/>
            </w:pPr>
            <w:r>
              <w:t xml:space="preserve">D.24-07-008, </w:t>
            </w:r>
            <w:r w:rsidR="00F263EA">
              <w:t xml:space="preserve">COL </w:t>
            </w:r>
            <w:r w:rsidR="00171424">
              <w:t xml:space="preserve">9; </w:t>
            </w:r>
            <w:r w:rsidR="004B761F">
              <w:t>Ordering Paragraph 22</w:t>
            </w:r>
            <w:r w:rsidR="003F58E7">
              <w:t xml:space="preserve"> (</w:t>
            </w:r>
            <w:r w:rsidR="001737D5">
              <w:t xml:space="preserve">testimony in the next GRC regarding use of </w:t>
            </w:r>
            <w:r w:rsidR="003F58E7">
              <w:t>alternative funding sources, e.g., LCFS)</w:t>
            </w:r>
            <w:r>
              <w:t>.</w:t>
            </w:r>
          </w:p>
          <w:p w:rsidR="00765964" w:rsidP="00765964" w:rsidRDefault="00765964" w14:paraId="23F33F01" w14:textId="77777777">
            <w:pPr>
              <w:pStyle w:val="ListParagraph"/>
            </w:pPr>
          </w:p>
          <w:p w:rsidR="00786D44" w:rsidP="00190B9E" w:rsidRDefault="00786D44" w14:paraId="218C39CA" w14:textId="77777777">
            <w:pPr>
              <w:pStyle w:val="ListParagraph"/>
              <w:numPr>
                <w:ilvl w:val="0"/>
                <w:numId w:val="0"/>
              </w:numPr>
              <w:ind w:left="374"/>
            </w:pPr>
          </w:p>
          <w:p w:rsidR="0012482B" w:rsidP="00190B9E" w:rsidRDefault="0012482B" w14:paraId="7961183A" w14:textId="2E79D2CB">
            <w:pPr>
              <w:pStyle w:val="ListParagraph"/>
            </w:pPr>
            <w:r>
              <w:t xml:space="preserve">D.24-07-008, </w:t>
            </w:r>
            <w:r w:rsidR="004F6C17">
              <w:t xml:space="preserve">p. 67; </w:t>
            </w:r>
            <w:r w:rsidR="00191B27">
              <w:t>Finding of Fact 32</w:t>
            </w:r>
            <w:r w:rsidR="00B8519C">
              <w:t xml:space="preserve"> (PG&amp;E’s performance in meeting energization time periods </w:t>
            </w:r>
            <w:r w:rsidR="00741090">
              <w:t>may inform the Commission’s consideration of the reasonableness of PG&amp;E’s costs recorded to the ECNBIMA).</w:t>
            </w:r>
            <w:r w:rsidR="00191B27">
              <w:t xml:space="preserve"> </w:t>
            </w:r>
          </w:p>
          <w:p w:rsidR="00765964" w:rsidP="00765964" w:rsidRDefault="00765964" w14:paraId="45C4CDFF" w14:textId="77777777">
            <w:pPr>
              <w:pStyle w:val="ListParagraph"/>
            </w:pPr>
          </w:p>
          <w:p w:rsidR="0012482B" w:rsidP="00190B9E" w:rsidRDefault="0012482B" w14:paraId="1CEB5665" w14:textId="77777777">
            <w:pPr>
              <w:pStyle w:val="ListParagraph"/>
              <w:numPr>
                <w:ilvl w:val="0"/>
                <w:numId w:val="0"/>
              </w:numPr>
              <w:ind w:left="374"/>
            </w:pPr>
          </w:p>
          <w:p w:rsidR="00786D44" w:rsidP="00190B9E" w:rsidRDefault="00786D44" w14:paraId="11E88D95" w14:textId="7AC88346">
            <w:pPr>
              <w:pStyle w:val="ListParagraph"/>
            </w:pPr>
            <w:r>
              <w:t xml:space="preserve">D.24-07-008, </w:t>
            </w:r>
            <w:r w:rsidR="00171424">
              <w:t xml:space="preserve">COL 8; </w:t>
            </w:r>
            <w:r>
              <w:t>Ordering Paragraph</w:t>
            </w:r>
            <w:r w:rsidR="00642BB9">
              <w:t>s 19, 21 (</w:t>
            </w:r>
            <w:r w:rsidR="00273BFB">
              <w:t xml:space="preserve">auditor shall verify and report on the </w:t>
            </w:r>
            <w:r w:rsidR="00642BB9">
              <w:t>number and scope of energization projects completed each year, plus average costs of similar types of projects)</w:t>
            </w:r>
            <w:r w:rsidR="001737D5">
              <w:t xml:space="preserve">(auditor’s </w:t>
            </w:r>
            <w:r w:rsidR="001737D5">
              <w:lastRenderedPageBreak/>
              <w:t>report submitted as an exhibit in the next GRC)</w:t>
            </w:r>
            <w:r w:rsidR="00642BB9">
              <w:t>.</w:t>
            </w:r>
          </w:p>
          <w:p w:rsidR="00765964" w:rsidP="00765964" w:rsidRDefault="00765964" w14:paraId="2A1F982A" w14:textId="77777777">
            <w:pPr>
              <w:pStyle w:val="ListParagraph"/>
              <w:rPr>
                <w:color w:val="000000"/>
              </w:rPr>
            </w:pPr>
          </w:p>
          <w:p w:rsidRPr="002D28A6" w:rsidR="00BD4ED8" w:rsidP="00190B9E" w:rsidRDefault="00BD4ED8" w14:paraId="00544BB3" w14:textId="1B378BB7">
            <w:pPr>
              <w:rPr>
                <w:color w:val="000000"/>
              </w:rPr>
            </w:pPr>
          </w:p>
        </w:tc>
        <w:tc>
          <w:tcPr>
            <w:tcW w:w="2337" w:type="dxa"/>
            <w:shd w:val="clear" w:color="auto" w:fill="auto"/>
          </w:tcPr>
          <w:p w:rsidR="00BD4ED8" w:rsidP="00765964" w:rsidRDefault="00BD4ED8" w14:paraId="306A465A" w14:textId="77777777">
            <w:pPr>
              <w:jc w:val="center"/>
              <w:rPr>
                <w:color w:val="000000"/>
              </w:rPr>
            </w:pPr>
          </w:p>
          <w:p w:rsidR="00765964" w:rsidP="00765964" w:rsidRDefault="00765964" w14:paraId="7EFCA972" w14:textId="77777777">
            <w:pPr>
              <w:jc w:val="center"/>
              <w:rPr>
                <w:color w:val="000000"/>
              </w:rPr>
            </w:pPr>
          </w:p>
          <w:p w:rsidR="00765964" w:rsidP="00765964" w:rsidRDefault="00765964" w14:paraId="427DB851" w14:textId="77777777">
            <w:pPr>
              <w:jc w:val="center"/>
              <w:rPr>
                <w:color w:val="000000"/>
              </w:rPr>
            </w:pPr>
          </w:p>
          <w:p w:rsidR="00765964" w:rsidP="00765964" w:rsidRDefault="00765964" w14:paraId="73A8A181" w14:textId="77777777">
            <w:pPr>
              <w:jc w:val="center"/>
              <w:rPr>
                <w:color w:val="000000"/>
              </w:rPr>
            </w:pPr>
          </w:p>
          <w:p w:rsidR="00765964" w:rsidP="00765964" w:rsidRDefault="00765964" w14:paraId="2FCC66A1" w14:textId="77777777">
            <w:pPr>
              <w:jc w:val="center"/>
              <w:rPr>
                <w:color w:val="000000"/>
              </w:rPr>
            </w:pPr>
          </w:p>
          <w:p w:rsidR="00765964" w:rsidP="00765964" w:rsidRDefault="00765964" w14:paraId="7DFB29D9" w14:textId="77777777">
            <w:pPr>
              <w:jc w:val="center"/>
              <w:rPr>
                <w:color w:val="000000"/>
              </w:rPr>
            </w:pPr>
          </w:p>
          <w:p w:rsidR="00765964" w:rsidP="00765964" w:rsidRDefault="00765964" w14:paraId="29385F54" w14:textId="77777777">
            <w:pPr>
              <w:jc w:val="center"/>
              <w:rPr>
                <w:color w:val="000000"/>
              </w:rPr>
            </w:pPr>
          </w:p>
          <w:p w:rsidR="00765964" w:rsidP="00765964" w:rsidRDefault="00765964" w14:paraId="137AFCF8" w14:textId="77777777">
            <w:pPr>
              <w:jc w:val="center"/>
              <w:rPr>
                <w:color w:val="000000"/>
              </w:rPr>
            </w:pPr>
          </w:p>
          <w:p w:rsidR="00765964" w:rsidP="00765964" w:rsidRDefault="00765964" w14:paraId="02197024" w14:textId="77777777">
            <w:pPr>
              <w:jc w:val="center"/>
              <w:rPr>
                <w:color w:val="000000"/>
              </w:rPr>
            </w:pPr>
          </w:p>
          <w:p w:rsidR="00765964" w:rsidP="00765964" w:rsidRDefault="00765964" w14:paraId="2831DDEE" w14:textId="77777777">
            <w:pPr>
              <w:jc w:val="center"/>
              <w:rPr>
                <w:color w:val="000000"/>
              </w:rPr>
            </w:pPr>
            <w:r>
              <w:rPr>
                <w:color w:val="000000"/>
              </w:rPr>
              <w:t>Verified</w:t>
            </w:r>
          </w:p>
          <w:p w:rsidR="00765964" w:rsidP="00765964" w:rsidRDefault="00765964" w14:paraId="70BCBEDC" w14:textId="77777777">
            <w:pPr>
              <w:jc w:val="center"/>
              <w:rPr>
                <w:color w:val="000000"/>
              </w:rPr>
            </w:pPr>
          </w:p>
          <w:p w:rsidR="00765964" w:rsidP="00765964" w:rsidRDefault="00765964" w14:paraId="6906A63C" w14:textId="77777777">
            <w:pPr>
              <w:jc w:val="center"/>
              <w:rPr>
                <w:color w:val="000000"/>
              </w:rPr>
            </w:pPr>
          </w:p>
          <w:p w:rsidR="00765964" w:rsidP="00765964" w:rsidRDefault="00765964" w14:paraId="6A31BF76" w14:textId="77777777">
            <w:pPr>
              <w:jc w:val="center"/>
              <w:rPr>
                <w:color w:val="000000"/>
              </w:rPr>
            </w:pPr>
          </w:p>
          <w:p w:rsidR="00765964" w:rsidP="00765964" w:rsidRDefault="00765964" w14:paraId="1B7E198A" w14:textId="77777777">
            <w:pPr>
              <w:jc w:val="center"/>
              <w:rPr>
                <w:color w:val="000000"/>
              </w:rPr>
            </w:pPr>
          </w:p>
          <w:p w:rsidR="00765964" w:rsidP="00765964" w:rsidRDefault="00765964" w14:paraId="3FFBB206" w14:textId="77777777">
            <w:pPr>
              <w:jc w:val="center"/>
              <w:rPr>
                <w:color w:val="000000"/>
              </w:rPr>
            </w:pPr>
          </w:p>
          <w:p w:rsidR="00765964" w:rsidP="00765964" w:rsidRDefault="00765964" w14:paraId="58CB5A03" w14:textId="77777777">
            <w:pPr>
              <w:jc w:val="center"/>
              <w:rPr>
                <w:color w:val="000000"/>
              </w:rPr>
            </w:pPr>
          </w:p>
          <w:p w:rsidR="00765964" w:rsidP="00765964" w:rsidRDefault="00765964" w14:paraId="6668EDA4" w14:textId="77777777">
            <w:pPr>
              <w:jc w:val="center"/>
              <w:rPr>
                <w:color w:val="000000"/>
              </w:rPr>
            </w:pPr>
          </w:p>
          <w:p w:rsidR="00765964" w:rsidP="00765964" w:rsidRDefault="00765964" w14:paraId="3B664434" w14:textId="77777777">
            <w:pPr>
              <w:jc w:val="center"/>
              <w:rPr>
                <w:color w:val="000000"/>
              </w:rPr>
            </w:pPr>
          </w:p>
          <w:p w:rsidR="00765964" w:rsidP="00765964" w:rsidRDefault="00765964" w14:paraId="605D7CAA" w14:textId="77777777">
            <w:pPr>
              <w:jc w:val="center"/>
              <w:rPr>
                <w:color w:val="000000"/>
              </w:rPr>
            </w:pPr>
          </w:p>
          <w:p w:rsidR="00765964" w:rsidP="00765964" w:rsidRDefault="00765964" w14:paraId="5F256AC6" w14:textId="77777777">
            <w:pPr>
              <w:jc w:val="center"/>
              <w:rPr>
                <w:color w:val="000000"/>
              </w:rPr>
            </w:pPr>
          </w:p>
          <w:p w:rsidR="00765964" w:rsidP="00765964" w:rsidRDefault="00765964" w14:paraId="3272E872" w14:textId="77777777">
            <w:pPr>
              <w:jc w:val="center"/>
              <w:rPr>
                <w:color w:val="000000"/>
              </w:rPr>
            </w:pPr>
          </w:p>
          <w:p w:rsidR="00765964" w:rsidP="00765964" w:rsidRDefault="00765964" w14:paraId="70C540B6" w14:textId="77777777">
            <w:pPr>
              <w:jc w:val="center"/>
              <w:rPr>
                <w:color w:val="000000"/>
              </w:rPr>
            </w:pPr>
          </w:p>
          <w:p w:rsidR="00765964" w:rsidP="00765964" w:rsidRDefault="00765964" w14:paraId="5E7746F3" w14:textId="77777777">
            <w:pPr>
              <w:jc w:val="center"/>
              <w:rPr>
                <w:color w:val="000000"/>
              </w:rPr>
            </w:pPr>
          </w:p>
          <w:p w:rsidR="00765964" w:rsidP="00765964" w:rsidRDefault="00765964" w14:paraId="40829926" w14:textId="77777777">
            <w:pPr>
              <w:jc w:val="center"/>
              <w:rPr>
                <w:color w:val="000000"/>
              </w:rPr>
            </w:pPr>
          </w:p>
          <w:p w:rsidR="00765964" w:rsidP="00765964" w:rsidRDefault="00765964" w14:paraId="68E6986A" w14:textId="77777777">
            <w:pPr>
              <w:jc w:val="center"/>
              <w:rPr>
                <w:color w:val="000000"/>
              </w:rPr>
            </w:pPr>
          </w:p>
          <w:p w:rsidR="00765964" w:rsidP="00765964" w:rsidRDefault="00765964" w14:paraId="3F4FA29F" w14:textId="77777777">
            <w:pPr>
              <w:jc w:val="center"/>
              <w:rPr>
                <w:color w:val="000000"/>
              </w:rPr>
            </w:pPr>
          </w:p>
          <w:p w:rsidR="00765964" w:rsidP="00765964" w:rsidRDefault="00765964" w14:paraId="451189F7" w14:textId="77777777">
            <w:pPr>
              <w:jc w:val="center"/>
              <w:rPr>
                <w:color w:val="000000"/>
              </w:rPr>
            </w:pPr>
          </w:p>
          <w:p w:rsidR="00765964" w:rsidP="00765964" w:rsidRDefault="00765964" w14:paraId="473C899B" w14:textId="77777777">
            <w:pPr>
              <w:jc w:val="center"/>
              <w:rPr>
                <w:color w:val="000000"/>
              </w:rPr>
            </w:pPr>
          </w:p>
          <w:p w:rsidR="00765964" w:rsidP="00765964" w:rsidRDefault="00765964" w14:paraId="2B2DFD52" w14:textId="77777777">
            <w:pPr>
              <w:jc w:val="center"/>
              <w:rPr>
                <w:color w:val="000000"/>
              </w:rPr>
            </w:pPr>
          </w:p>
          <w:p w:rsidR="00765964" w:rsidP="00765964" w:rsidRDefault="00765964" w14:paraId="4915F3EC" w14:textId="77777777">
            <w:pPr>
              <w:jc w:val="center"/>
              <w:rPr>
                <w:color w:val="000000"/>
              </w:rPr>
            </w:pPr>
          </w:p>
          <w:p w:rsidR="00765964" w:rsidP="00765964" w:rsidRDefault="00765964" w14:paraId="097EC78A" w14:textId="77777777">
            <w:pPr>
              <w:jc w:val="center"/>
              <w:rPr>
                <w:color w:val="000000"/>
              </w:rPr>
            </w:pPr>
          </w:p>
          <w:p w:rsidR="00765964" w:rsidP="00765964" w:rsidRDefault="00765964" w14:paraId="73A3915F" w14:textId="77777777">
            <w:pPr>
              <w:jc w:val="center"/>
              <w:rPr>
                <w:color w:val="000000"/>
              </w:rPr>
            </w:pPr>
          </w:p>
          <w:p w:rsidR="00765964" w:rsidP="00765964" w:rsidRDefault="00765964" w14:paraId="3B01A824" w14:textId="77777777">
            <w:pPr>
              <w:jc w:val="center"/>
              <w:rPr>
                <w:color w:val="000000"/>
              </w:rPr>
            </w:pPr>
          </w:p>
          <w:p w:rsidR="00765964" w:rsidP="00765964" w:rsidRDefault="00765964" w14:paraId="0CCC465D" w14:textId="77777777">
            <w:pPr>
              <w:jc w:val="center"/>
              <w:rPr>
                <w:color w:val="000000"/>
              </w:rPr>
            </w:pPr>
          </w:p>
          <w:p w:rsidR="00765964" w:rsidP="00765964" w:rsidRDefault="00765964" w14:paraId="7EC7A058" w14:textId="77777777">
            <w:pPr>
              <w:jc w:val="center"/>
              <w:rPr>
                <w:color w:val="000000"/>
              </w:rPr>
            </w:pPr>
          </w:p>
          <w:p w:rsidR="00765964" w:rsidP="00765964" w:rsidRDefault="00765964" w14:paraId="215FE77F" w14:textId="77777777">
            <w:pPr>
              <w:jc w:val="center"/>
              <w:rPr>
                <w:color w:val="000000"/>
              </w:rPr>
            </w:pPr>
          </w:p>
          <w:p w:rsidR="00765964" w:rsidP="00765964" w:rsidRDefault="00765964" w14:paraId="090AA6C4" w14:textId="77777777">
            <w:pPr>
              <w:jc w:val="center"/>
              <w:rPr>
                <w:color w:val="000000"/>
              </w:rPr>
            </w:pPr>
          </w:p>
          <w:p w:rsidR="00765964" w:rsidP="00765964" w:rsidRDefault="00765964" w14:paraId="0AA666A0" w14:textId="77777777">
            <w:pPr>
              <w:jc w:val="center"/>
              <w:rPr>
                <w:color w:val="000000"/>
              </w:rPr>
            </w:pPr>
          </w:p>
          <w:p w:rsidR="00765964" w:rsidP="00765964" w:rsidRDefault="00765964" w14:paraId="383E5E72" w14:textId="77777777">
            <w:pPr>
              <w:jc w:val="center"/>
              <w:rPr>
                <w:color w:val="000000"/>
              </w:rPr>
            </w:pPr>
          </w:p>
          <w:p w:rsidR="00765964" w:rsidP="00765964" w:rsidRDefault="00765964" w14:paraId="3DAE6633" w14:textId="77777777">
            <w:pPr>
              <w:jc w:val="center"/>
              <w:rPr>
                <w:color w:val="000000"/>
              </w:rPr>
            </w:pPr>
          </w:p>
          <w:p w:rsidR="00765964" w:rsidP="00765964" w:rsidRDefault="00765964" w14:paraId="433DDDB0" w14:textId="77777777">
            <w:pPr>
              <w:jc w:val="center"/>
              <w:rPr>
                <w:color w:val="000000"/>
              </w:rPr>
            </w:pPr>
          </w:p>
          <w:p w:rsidRPr="002D28A6" w:rsidR="00765964" w:rsidP="00765964" w:rsidRDefault="00765964" w14:paraId="3CE8CFD8" w14:textId="1853EF7F">
            <w:pPr>
              <w:jc w:val="center"/>
              <w:rPr>
                <w:color w:val="000000"/>
              </w:rPr>
            </w:pPr>
            <w:r>
              <w:rPr>
                <w:color w:val="000000"/>
              </w:rPr>
              <w:t>Verified</w:t>
            </w:r>
          </w:p>
        </w:tc>
      </w:tr>
    </w:tbl>
    <w:p w:rsidRPr="002D28A6" w:rsidR="00A92D0B" w:rsidP="005B5B44" w:rsidRDefault="00A92D0B" w14:paraId="0D4BCD3A" w14:textId="77777777">
      <w:pPr>
        <w:keepNext/>
        <w:numPr>
          <w:ilvl w:val="0"/>
          <w:numId w:val="8"/>
        </w:numPr>
        <w:spacing w:before="240" w:after="240"/>
        <w:rPr>
          <w:b/>
          <w:color w:val="000000"/>
        </w:rPr>
      </w:pPr>
      <w:r w:rsidRPr="002D28A6">
        <w:rPr>
          <w:b/>
          <w:color w:val="000000"/>
        </w:rPr>
        <w:lastRenderedPageBreak/>
        <w:t xml:space="preserve">Duplication of Effort (§ 1801.3(f) </w:t>
      </w:r>
      <w:r w:rsidRPr="002D28A6" w:rsidR="00F30DA8">
        <w:rPr>
          <w:b/>
          <w:color w:val="000000"/>
        </w:rPr>
        <w:t xml:space="preserve">and § </w:t>
      </w:r>
      <w:r w:rsidRPr="002D28A6" w:rsidR="0022302F">
        <w:rPr>
          <w:b/>
          <w:color w:val="000000"/>
        </w:rPr>
        <w:t>1802.5)</w:t>
      </w:r>
      <w:r w:rsidRPr="002D28A6"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6048"/>
        <w:gridCol w:w="1710"/>
        <w:gridCol w:w="1980"/>
      </w:tblGrid>
      <w:tr w:rsidRPr="002D28A6" w:rsidR="00A92D0B" w:rsidTr="00190B9E" w14:paraId="76F3266C" w14:textId="77777777">
        <w:tc>
          <w:tcPr>
            <w:tcW w:w="6048" w:type="dxa"/>
            <w:shd w:val="clear" w:color="auto" w:fill="D9D9D9" w:themeFill="background1" w:themeFillShade="D9"/>
          </w:tcPr>
          <w:p w:rsidRPr="002D28A6" w:rsidR="00A92D0B" w:rsidP="00073262" w:rsidRDefault="00A92D0B" w14:paraId="300CEDBC" w14:textId="77777777">
            <w:pPr>
              <w:keepNext/>
              <w:keepLines/>
              <w:rPr>
                <w:color w:val="000000"/>
              </w:rPr>
            </w:pPr>
          </w:p>
        </w:tc>
        <w:tc>
          <w:tcPr>
            <w:tcW w:w="1710" w:type="dxa"/>
            <w:tcBorders>
              <w:bottom w:val="single" w:color="auto" w:sz="4" w:space="0"/>
            </w:tcBorders>
            <w:shd w:val="clear" w:color="auto" w:fill="D9D9D9" w:themeFill="background1" w:themeFillShade="D9"/>
          </w:tcPr>
          <w:p w:rsidRPr="002D28A6" w:rsidR="00A92D0B" w:rsidP="00073262" w:rsidRDefault="005A63D4" w14:paraId="7B091096" w14:textId="77777777">
            <w:pPr>
              <w:keepNext/>
              <w:keepLines/>
              <w:jc w:val="center"/>
              <w:rPr>
                <w:b/>
                <w:color w:val="000000"/>
              </w:rPr>
            </w:pPr>
            <w:r w:rsidRPr="002D28A6">
              <w:rPr>
                <w:b/>
                <w:color w:val="000000"/>
              </w:rPr>
              <w:t>Interveno</w:t>
            </w:r>
            <w:r w:rsidRPr="002D28A6" w:rsidR="00204E3A">
              <w:rPr>
                <w:b/>
                <w:color w:val="000000"/>
              </w:rPr>
              <w:t>r</w:t>
            </w:r>
            <w:r w:rsidRPr="002D28A6">
              <w:rPr>
                <w:b/>
                <w:color w:val="000000"/>
              </w:rPr>
              <w:t xml:space="preserve">’s </w:t>
            </w:r>
            <w:r w:rsidRPr="002D28A6" w:rsidR="00D075B1">
              <w:rPr>
                <w:b/>
                <w:color w:val="000000"/>
              </w:rPr>
              <w:t>Assertion</w:t>
            </w:r>
          </w:p>
        </w:tc>
        <w:tc>
          <w:tcPr>
            <w:tcW w:w="1980" w:type="dxa"/>
            <w:shd w:val="clear" w:color="auto" w:fill="D9D9D9" w:themeFill="background1" w:themeFillShade="D9"/>
          </w:tcPr>
          <w:p w:rsidRPr="002D28A6" w:rsidR="00A92D0B" w:rsidP="00073262" w:rsidRDefault="00A92D0B" w14:paraId="25CE5081" w14:textId="77777777">
            <w:pPr>
              <w:keepNext/>
              <w:keepLines/>
              <w:jc w:val="center"/>
              <w:rPr>
                <w:b/>
                <w:color w:val="000000"/>
              </w:rPr>
            </w:pPr>
            <w:r w:rsidRPr="002D28A6">
              <w:rPr>
                <w:b/>
                <w:color w:val="000000"/>
              </w:rPr>
              <w:t xml:space="preserve">CPUC </w:t>
            </w:r>
            <w:r w:rsidRPr="002D28A6" w:rsidR="00D075B1">
              <w:rPr>
                <w:b/>
                <w:color w:val="000000"/>
              </w:rPr>
              <w:t>Discussion</w:t>
            </w:r>
          </w:p>
        </w:tc>
      </w:tr>
      <w:tr w:rsidRPr="002D28A6" w:rsidR="00A92D0B" w:rsidTr="00190B9E" w14:paraId="24A12BE1" w14:textId="77777777">
        <w:tc>
          <w:tcPr>
            <w:tcW w:w="6048" w:type="dxa"/>
            <w:shd w:val="clear" w:color="auto" w:fill="auto"/>
          </w:tcPr>
          <w:p w:rsidRPr="002D28A6" w:rsidR="00A92D0B" w:rsidP="00073262" w:rsidRDefault="00A92D0B" w14:paraId="6915FAF6" w14:textId="7E413A2D">
            <w:pPr>
              <w:keepLines/>
              <w:ind w:left="360" w:hanging="360"/>
              <w:rPr>
                <w:b/>
                <w:color w:val="000000"/>
              </w:rPr>
            </w:pPr>
            <w:r w:rsidRPr="002D28A6">
              <w:rPr>
                <w:b/>
                <w:color w:val="000000"/>
              </w:rPr>
              <w:t>a.</w:t>
            </w:r>
            <w:r w:rsidRPr="002D28A6">
              <w:rPr>
                <w:b/>
                <w:color w:val="000000"/>
              </w:rPr>
              <w:tab/>
            </w:r>
            <w:r w:rsidRPr="002D28A6">
              <w:rPr>
                <w:b/>
              </w:rPr>
              <w:t xml:space="preserve">Was the </w:t>
            </w:r>
            <w:r w:rsidRPr="002D28A6" w:rsidR="009E48E4">
              <w:rPr>
                <w:b/>
                <w:color w:val="000000"/>
              </w:rPr>
              <w:t>Public Advocate</w:t>
            </w:r>
            <w:r w:rsidRPr="002D28A6" w:rsidR="00621A7C">
              <w:rPr>
                <w:b/>
                <w:color w:val="000000"/>
              </w:rPr>
              <w:t>’</w:t>
            </w:r>
            <w:r w:rsidRPr="002D28A6" w:rsidR="009E48E4">
              <w:rPr>
                <w:b/>
                <w:color w:val="000000"/>
              </w:rPr>
              <w:t>s Office of the Public Utilities Commission</w:t>
            </w:r>
            <w:r w:rsidRPr="002D28A6" w:rsidR="009E48E4">
              <w:rPr>
                <w:b/>
              </w:rPr>
              <w:t xml:space="preserve"> </w:t>
            </w:r>
            <w:r w:rsidRPr="002D28A6">
              <w:rPr>
                <w:b/>
                <w:color w:val="000000"/>
              </w:rPr>
              <w:t>(</w:t>
            </w:r>
            <w:r w:rsidRPr="002D28A6" w:rsidR="00B55D78">
              <w:rPr>
                <w:b/>
                <w:color w:val="000000"/>
              </w:rPr>
              <w:t>Cal Advocates</w:t>
            </w:r>
            <w:r w:rsidRPr="002D28A6">
              <w:rPr>
                <w:b/>
              </w:rPr>
              <w:t>) a party to the proceeding</w:t>
            </w:r>
            <w:r w:rsidRPr="002D28A6">
              <w:rPr>
                <w:b/>
                <w:color w:val="000000"/>
              </w:rPr>
              <w:t>?</w:t>
            </w:r>
          </w:p>
        </w:tc>
        <w:tc>
          <w:tcPr>
            <w:tcW w:w="1710" w:type="dxa"/>
            <w:shd w:val="clear" w:color="auto" w:fill="auto"/>
          </w:tcPr>
          <w:p w:rsidRPr="002D28A6" w:rsidR="00A92D0B" w:rsidP="00073262" w:rsidRDefault="00FB001F" w14:paraId="0B49A7C8" w14:textId="71E7C500">
            <w:pPr>
              <w:keepNext/>
              <w:keepLines/>
              <w:rPr>
                <w:color w:val="000000"/>
              </w:rPr>
            </w:pPr>
            <w:r>
              <w:rPr>
                <w:color w:val="000000"/>
              </w:rPr>
              <w:t>Yes</w:t>
            </w:r>
          </w:p>
        </w:tc>
        <w:tc>
          <w:tcPr>
            <w:tcW w:w="1980" w:type="dxa"/>
            <w:shd w:val="clear" w:color="auto" w:fill="auto"/>
          </w:tcPr>
          <w:p w:rsidRPr="002D28A6" w:rsidR="00A92D0B" w:rsidP="00190B9E" w:rsidRDefault="00190B9E" w14:paraId="23B6532A" w14:textId="2011FE29">
            <w:pPr>
              <w:keepNext/>
              <w:keepLines/>
              <w:jc w:val="center"/>
              <w:rPr>
                <w:color w:val="000000"/>
              </w:rPr>
            </w:pPr>
            <w:r>
              <w:rPr>
                <w:color w:val="000000"/>
              </w:rPr>
              <w:t>Yes</w:t>
            </w:r>
          </w:p>
        </w:tc>
      </w:tr>
      <w:tr w:rsidRPr="002D28A6" w:rsidR="00A92D0B" w:rsidTr="00190B9E" w14:paraId="3317BD71" w14:textId="77777777">
        <w:tc>
          <w:tcPr>
            <w:tcW w:w="6048" w:type="dxa"/>
            <w:shd w:val="clear" w:color="auto" w:fill="auto"/>
          </w:tcPr>
          <w:p w:rsidRPr="002D28A6" w:rsidR="00A92D0B" w:rsidP="00073262" w:rsidRDefault="00A92D0B" w14:paraId="561D245D" w14:textId="77777777">
            <w:pPr>
              <w:tabs>
                <w:tab w:val="left" w:pos="360"/>
              </w:tabs>
              <w:ind w:left="360" w:hanging="360"/>
              <w:rPr>
                <w:b/>
                <w:color w:val="000000"/>
              </w:rPr>
            </w:pPr>
            <w:r w:rsidRPr="002D28A6">
              <w:rPr>
                <w:b/>
                <w:color w:val="000000"/>
              </w:rPr>
              <w:t>b.</w:t>
            </w:r>
            <w:r w:rsidRPr="002D28A6">
              <w:rPr>
                <w:b/>
                <w:color w:val="000000"/>
              </w:rPr>
              <w:tab/>
              <w:t xml:space="preserve">Were there other parties to the proceeding with positions similar to yours? </w:t>
            </w:r>
          </w:p>
        </w:tc>
        <w:tc>
          <w:tcPr>
            <w:tcW w:w="1710" w:type="dxa"/>
            <w:shd w:val="clear" w:color="auto" w:fill="auto"/>
          </w:tcPr>
          <w:p w:rsidRPr="002D28A6" w:rsidR="00A92D0B" w:rsidP="00073262" w:rsidRDefault="0078039F" w14:paraId="3708E485" w14:textId="2FDE4265">
            <w:pPr>
              <w:rPr>
                <w:color w:val="000000"/>
              </w:rPr>
            </w:pPr>
            <w:r>
              <w:rPr>
                <w:color w:val="000000"/>
              </w:rPr>
              <w:t>Yes</w:t>
            </w:r>
          </w:p>
        </w:tc>
        <w:tc>
          <w:tcPr>
            <w:tcW w:w="1980" w:type="dxa"/>
            <w:shd w:val="clear" w:color="auto" w:fill="auto"/>
          </w:tcPr>
          <w:p w:rsidRPr="002D28A6" w:rsidR="00A92D0B" w:rsidP="00190B9E" w:rsidRDefault="00190B9E" w14:paraId="6B3388E6" w14:textId="0082B494">
            <w:pPr>
              <w:jc w:val="center"/>
              <w:rPr>
                <w:color w:val="000000"/>
              </w:rPr>
            </w:pPr>
            <w:r>
              <w:rPr>
                <w:color w:val="000000"/>
              </w:rPr>
              <w:t>Yes</w:t>
            </w:r>
          </w:p>
        </w:tc>
      </w:tr>
      <w:tr w:rsidRPr="002D28A6" w:rsidR="00A92D0B" w:rsidTr="00190B9E" w14:paraId="0A51B7D4" w14:textId="77777777">
        <w:tc>
          <w:tcPr>
            <w:tcW w:w="7758" w:type="dxa"/>
            <w:gridSpan w:val="2"/>
            <w:shd w:val="clear" w:color="auto" w:fill="auto"/>
          </w:tcPr>
          <w:p w:rsidRPr="002D28A6" w:rsidR="00A92D0B" w:rsidP="00073262" w:rsidRDefault="00A92D0B" w14:paraId="30CB6275" w14:textId="5EBB2579">
            <w:pPr>
              <w:ind w:left="360" w:hanging="360"/>
              <w:rPr>
                <w:color w:val="000000"/>
              </w:rPr>
            </w:pPr>
            <w:r w:rsidRPr="002D28A6">
              <w:rPr>
                <w:b/>
                <w:color w:val="000000"/>
              </w:rPr>
              <w:t>c.</w:t>
            </w:r>
            <w:r w:rsidRPr="002D28A6">
              <w:rPr>
                <w:b/>
                <w:color w:val="000000"/>
              </w:rPr>
              <w:tab/>
              <w:t>If so, provide name of other parties:</w:t>
            </w:r>
            <w:r w:rsidRPr="002D28A6" w:rsidR="00E25078">
              <w:rPr>
                <w:color w:val="000000"/>
              </w:rPr>
              <w:t xml:space="preserve"> </w:t>
            </w:r>
            <w:r w:rsidR="00BE6074">
              <w:rPr>
                <w:color w:val="000000"/>
              </w:rPr>
              <w:t xml:space="preserve"> </w:t>
            </w:r>
            <w:r w:rsidRPr="00385B40" w:rsidR="0078039F">
              <w:rPr>
                <w:color w:val="000000"/>
              </w:rPr>
              <w:t xml:space="preserve">Walmart, like TURN, </w:t>
            </w:r>
            <w:r w:rsidRPr="00385B40" w:rsidR="00FB55F6">
              <w:rPr>
                <w:color w:val="000000"/>
              </w:rPr>
              <w:t>argued that</w:t>
            </w:r>
            <w:r w:rsidRPr="00385B40" w:rsidR="00572F59">
              <w:rPr>
                <w:color w:val="000000"/>
              </w:rPr>
              <w:t xml:space="preserve"> PG&amp;E’s proposed </w:t>
            </w:r>
            <w:r w:rsidRPr="00385B40" w:rsidR="00111F12">
              <w:rPr>
                <w:color w:val="000000"/>
              </w:rPr>
              <w:t xml:space="preserve">cap </w:t>
            </w:r>
            <w:r w:rsidRPr="00385B40" w:rsidR="00572F59">
              <w:rPr>
                <w:color w:val="000000"/>
              </w:rPr>
              <w:t>was too high</w:t>
            </w:r>
            <w:r w:rsidRPr="00385B40" w:rsidR="0078039F">
              <w:rPr>
                <w:color w:val="000000"/>
              </w:rPr>
              <w:t>.</w:t>
            </w:r>
          </w:p>
          <w:p w:rsidR="00A92D0B" w:rsidP="00DE7B31" w:rsidRDefault="00A92D0B" w14:paraId="117B0836" w14:textId="77777777">
            <w:pPr>
              <w:rPr>
                <w:color w:val="000000"/>
              </w:rPr>
            </w:pPr>
          </w:p>
          <w:p w:rsidR="00952403" w:rsidP="00DE7B31" w:rsidRDefault="00952403" w14:paraId="11916B3E" w14:textId="77777777">
            <w:pPr>
              <w:rPr>
                <w:color w:val="000000"/>
              </w:rPr>
            </w:pPr>
          </w:p>
          <w:p w:rsidRPr="002D28A6" w:rsidR="00952403" w:rsidP="00DE7B31" w:rsidRDefault="00952403" w14:paraId="0919176B" w14:textId="77777777">
            <w:pPr>
              <w:rPr>
                <w:color w:val="000000"/>
              </w:rPr>
            </w:pPr>
          </w:p>
        </w:tc>
        <w:tc>
          <w:tcPr>
            <w:tcW w:w="1980" w:type="dxa"/>
            <w:shd w:val="clear" w:color="auto" w:fill="auto"/>
          </w:tcPr>
          <w:p w:rsidRPr="002D28A6" w:rsidR="00A92D0B" w:rsidP="00190B9E" w:rsidRDefault="00190B9E" w14:paraId="22A40B49" w14:textId="1CFC648D">
            <w:pPr>
              <w:jc w:val="center"/>
              <w:rPr>
                <w:color w:val="000000"/>
              </w:rPr>
            </w:pPr>
            <w:r>
              <w:rPr>
                <w:color w:val="000000"/>
              </w:rPr>
              <w:t>Noted</w:t>
            </w:r>
          </w:p>
        </w:tc>
      </w:tr>
      <w:tr w:rsidRPr="002D28A6" w:rsidR="00A92D0B" w:rsidTr="00190B9E" w14:paraId="744830F5" w14:textId="77777777">
        <w:tc>
          <w:tcPr>
            <w:tcW w:w="7758" w:type="dxa"/>
            <w:gridSpan w:val="2"/>
            <w:shd w:val="clear" w:color="auto" w:fill="auto"/>
          </w:tcPr>
          <w:p w:rsidR="00A92D0B" w:rsidP="00073262" w:rsidRDefault="00A92D0B" w14:paraId="7C05FE5A" w14:textId="7521972E">
            <w:pPr>
              <w:tabs>
                <w:tab w:val="left" w:pos="360"/>
              </w:tabs>
              <w:ind w:left="360" w:hanging="360"/>
              <w:rPr>
                <w:color w:val="000000"/>
              </w:rPr>
            </w:pPr>
            <w:r w:rsidRPr="002D28A6">
              <w:rPr>
                <w:b/>
                <w:color w:val="000000"/>
              </w:rPr>
              <w:t>d.</w:t>
            </w:r>
            <w:r w:rsidRPr="002D28A6">
              <w:rPr>
                <w:b/>
                <w:color w:val="000000"/>
              </w:rPr>
              <w:tab/>
            </w:r>
            <w:r w:rsidRPr="002D28A6" w:rsidR="00D075B1">
              <w:rPr>
                <w:b/>
                <w:color w:val="000000"/>
              </w:rPr>
              <w:t xml:space="preserve">Intervenor’s </w:t>
            </w:r>
            <w:r w:rsidRPr="002D28A6" w:rsidR="00A319DE">
              <w:rPr>
                <w:b/>
                <w:color w:val="000000"/>
              </w:rPr>
              <w:t>c</w:t>
            </w:r>
            <w:r w:rsidRPr="002D28A6" w:rsidR="00D075B1">
              <w:rPr>
                <w:b/>
                <w:color w:val="000000"/>
              </w:rPr>
              <w:t xml:space="preserve">laim of </w:t>
            </w:r>
            <w:r w:rsidRPr="002D28A6" w:rsidR="00A319DE">
              <w:rPr>
                <w:b/>
                <w:color w:val="000000"/>
              </w:rPr>
              <w:t>n</w:t>
            </w:r>
            <w:r w:rsidRPr="002D28A6" w:rsidR="00D075B1">
              <w:rPr>
                <w:b/>
                <w:color w:val="000000"/>
              </w:rPr>
              <w:t>on-</w:t>
            </w:r>
            <w:r w:rsidRPr="002D28A6" w:rsidR="00A319DE">
              <w:rPr>
                <w:b/>
                <w:color w:val="000000"/>
              </w:rPr>
              <w:t>d</w:t>
            </w:r>
            <w:r w:rsidRPr="002D28A6" w:rsidR="00D075B1">
              <w:rPr>
                <w:b/>
                <w:color w:val="000000"/>
              </w:rPr>
              <w:t>uplication:</w:t>
            </w:r>
            <w:r w:rsidRPr="002D28A6" w:rsidR="00E25078">
              <w:rPr>
                <w:color w:val="000000"/>
              </w:rPr>
              <w:t xml:space="preserve"> </w:t>
            </w:r>
          </w:p>
          <w:p w:rsidR="008B1A10" w:rsidP="00073262" w:rsidRDefault="008B1A10" w14:paraId="1EE6586A" w14:textId="77777777">
            <w:pPr>
              <w:tabs>
                <w:tab w:val="left" w:pos="360"/>
              </w:tabs>
              <w:ind w:left="360" w:hanging="360"/>
              <w:rPr>
                <w:color w:val="000000"/>
              </w:rPr>
            </w:pPr>
          </w:p>
          <w:p w:rsidR="008B1A10" w:rsidP="008B1A10" w:rsidRDefault="008B1A10" w14:paraId="30BBC939" w14:textId="5864AE84">
            <w:pPr>
              <w:tabs>
                <w:tab w:val="left" w:pos="360"/>
              </w:tabs>
              <w:rPr>
                <w:color w:val="000000"/>
              </w:rPr>
            </w:pPr>
            <w:r>
              <w:rPr>
                <w:color w:val="000000"/>
              </w:rPr>
              <w:t>The Commission should find no undue duplication between TURN’s participation and that of Walmar</w:t>
            </w:r>
            <w:r w:rsidR="002E02DE">
              <w:rPr>
                <w:color w:val="000000"/>
              </w:rPr>
              <w:t>t</w:t>
            </w:r>
            <w:r>
              <w:rPr>
                <w:color w:val="000000"/>
              </w:rPr>
              <w:t xml:space="preserve">.  While both parties </w:t>
            </w:r>
            <w:r w:rsidR="0053214B">
              <w:rPr>
                <w:color w:val="000000"/>
              </w:rPr>
              <w:t xml:space="preserve">advocated a lower cost cap to promote affordability, TURN presented the Commission with a unique, detailed analysis of the activities within </w:t>
            </w:r>
            <w:r w:rsidR="001C59BF">
              <w:rPr>
                <w:color w:val="000000"/>
              </w:rPr>
              <w:t xml:space="preserve">the MAT codes included within MWC 06, 10, 46, and 16 to demonstrate that </w:t>
            </w:r>
            <w:r w:rsidR="004B0879">
              <w:rPr>
                <w:color w:val="000000"/>
              </w:rPr>
              <w:t xml:space="preserve">PG&amp;E’s proposed cap included activities that should not be eligible for tracking and interim rate recovery through the SB 410 ratemaking mechanism. </w:t>
            </w:r>
            <w:r w:rsidR="005369BF">
              <w:rPr>
                <w:color w:val="000000"/>
              </w:rPr>
              <w:t>(Compare Ex. TURN-PhII-01-E with Ex. WMT-01-E</w:t>
            </w:r>
            <w:r w:rsidR="009025B3">
              <w:rPr>
                <w:color w:val="000000"/>
              </w:rPr>
              <w:t xml:space="preserve">). </w:t>
            </w:r>
            <w:r w:rsidR="00237503">
              <w:rPr>
                <w:color w:val="000000"/>
              </w:rPr>
              <w:t xml:space="preserve"> </w:t>
            </w:r>
            <w:r w:rsidR="009025B3">
              <w:rPr>
                <w:color w:val="000000"/>
              </w:rPr>
              <w:t>Walmart</w:t>
            </w:r>
            <w:r w:rsidR="00385B40">
              <w:rPr>
                <w:color w:val="000000"/>
              </w:rPr>
              <w:t>’s testimony</w:t>
            </w:r>
            <w:r w:rsidR="009025B3">
              <w:rPr>
                <w:color w:val="000000"/>
              </w:rPr>
              <w:t xml:space="preserve"> did not address </w:t>
            </w:r>
            <w:r w:rsidR="00237503">
              <w:rPr>
                <w:color w:val="000000"/>
              </w:rPr>
              <w:t xml:space="preserve">any of the other issues TURN addressed in its testimony, but </w:t>
            </w:r>
            <w:r w:rsidR="0055669B">
              <w:rPr>
                <w:color w:val="000000"/>
              </w:rPr>
              <w:t>Walmart endorsed TURN’s recommended reasonableness review factors in its opening brief.</w:t>
            </w:r>
            <w:r w:rsidR="00237503">
              <w:rPr>
                <w:color w:val="000000"/>
              </w:rPr>
              <w:t xml:space="preserve"> (Walmart Opening Brief, p. 15).</w:t>
            </w:r>
          </w:p>
          <w:p w:rsidR="00BE6074" w:rsidP="008B1A10" w:rsidRDefault="00BE6074" w14:paraId="351D9DB7" w14:textId="77777777">
            <w:pPr>
              <w:tabs>
                <w:tab w:val="left" w:pos="360"/>
              </w:tabs>
              <w:rPr>
                <w:color w:val="000000"/>
              </w:rPr>
            </w:pPr>
          </w:p>
          <w:p w:rsidRPr="002D28A6" w:rsidR="00BE6074" w:rsidP="008B1A10" w:rsidRDefault="00BE6074" w14:paraId="2314BED5" w14:textId="2DC2EB50">
            <w:pPr>
              <w:tabs>
                <w:tab w:val="left" w:pos="360"/>
              </w:tabs>
              <w:rPr>
                <w:color w:val="000000"/>
              </w:rPr>
            </w:pPr>
            <w:r>
              <w:rPr>
                <w:color w:val="000000"/>
              </w:rPr>
              <w:t>The Commission should</w:t>
            </w:r>
            <w:r w:rsidR="009700D7">
              <w:rPr>
                <w:color w:val="000000"/>
              </w:rPr>
              <w:t xml:space="preserve"> also</w:t>
            </w:r>
            <w:r>
              <w:rPr>
                <w:color w:val="000000"/>
              </w:rPr>
              <w:t xml:space="preserve"> find no undue duplication between TURN’s participation and that of Cal Advocates.  </w:t>
            </w:r>
            <w:r w:rsidR="000E632F">
              <w:rPr>
                <w:color w:val="000000"/>
              </w:rPr>
              <w:t xml:space="preserve">Although TURN and Cal Advocates both recommended lower cost caps than PG&amp;E, the two parties </w:t>
            </w:r>
            <w:r w:rsidR="0094615E">
              <w:rPr>
                <w:color w:val="000000"/>
              </w:rPr>
              <w:t>conducted completely different analyses</w:t>
            </w:r>
            <w:r w:rsidR="008C2317">
              <w:rPr>
                <w:color w:val="000000"/>
              </w:rPr>
              <w:t xml:space="preserve"> and arrived at different recommended caps</w:t>
            </w:r>
            <w:r w:rsidR="0094615E">
              <w:rPr>
                <w:color w:val="000000"/>
              </w:rPr>
              <w:t xml:space="preserve">. </w:t>
            </w:r>
            <w:r w:rsidR="008A6445">
              <w:rPr>
                <w:color w:val="000000"/>
              </w:rPr>
              <w:t xml:space="preserve"> In evaluating the reasonableness of PG&amp;E’s proposed cap, </w:t>
            </w:r>
            <w:r w:rsidR="003A7102">
              <w:rPr>
                <w:color w:val="000000"/>
              </w:rPr>
              <w:t>TURN’s testimony</w:t>
            </w:r>
            <w:r w:rsidR="00B00BC2">
              <w:rPr>
                <w:color w:val="000000"/>
              </w:rPr>
              <w:t xml:space="preserve"> focused on </w:t>
            </w:r>
            <w:r w:rsidR="00687B08">
              <w:rPr>
                <w:color w:val="000000"/>
              </w:rPr>
              <w:t xml:space="preserve">the extent to which the </w:t>
            </w:r>
            <w:r w:rsidR="00852C8D">
              <w:rPr>
                <w:color w:val="000000"/>
              </w:rPr>
              <w:t xml:space="preserve">specific </w:t>
            </w:r>
            <w:r w:rsidR="00B00BC2">
              <w:rPr>
                <w:color w:val="000000"/>
              </w:rPr>
              <w:t xml:space="preserve">activities within </w:t>
            </w:r>
            <w:r w:rsidR="00852C8D">
              <w:rPr>
                <w:color w:val="000000"/>
              </w:rPr>
              <w:t>each</w:t>
            </w:r>
            <w:r w:rsidR="00B00BC2">
              <w:rPr>
                <w:color w:val="000000"/>
              </w:rPr>
              <w:t xml:space="preserve"> MAT code</w:t>
            </w:r>
            <w:r w:rsidR="00852C8D">
              <w:rPr>
                <w:color w:val="000000"/>
              </w:rPr>
              <w:t xml:space="preserve"> associated with MWC 06, 10, 46, and 16</w:t>
            </w:r>
            <w:r w:rsidR="00687B08">
              <w:rPr>
                <w:color w:val="000000"/>
              </w:rPr>
              <w:t xml:space="preserve"> are related to customer energization</w:t>
            </w:r>
            <w:r w:rsidR="008C2317">
              <w:rPr>
                <w:color w:val="000000"/>
              </w:rPr>
              <w:t xml:space="preserve">.  In contrast, </w:t>
            </w:r>
            <w:r w:rsidR="00852C8D">
              <w:rPr>
                <w:color w:val="000000"/>
              </w:rPr>
              <w:t>Cal Advocates</w:t>
            </w:r>
            <w:r w:rsidR="0021270B">
              <w:rPr>
                <w:color w:val="000000"/>
              </w:rPr>
              <w:t>’ testimony</w:t>
            </w:r>
            <w:r w:rsidR="00852C8D">
              <w:rPr>
                <w:color w:val="000000"/>
              </w:rPr>
              <w:t xml:space="preserve"> </w:t>
            </w:r>
            <w:r w:rsidR="003F0CEC">
              <w:rPr>
                <w:color w:val="000000"/>
              </w:rPr>
              <w:t xml:space="preserve">compared PG&amp;E’s request to Cal Advocates’ August 2023 Distribution </w:t>
            </w:r>
            <w:r w:rsidR="009E3345">
              <w:rPr>
                <w:color w:val="000000"/>
              </w:rPr>
              <w:t xml:space="preserve">Grid Electrification Model – Study and Report (DGEM), which uses a model built by Cal Advocates to estimate the </w:t>
            </w:r>
            <w:r w:rsidR="009E3345">
              <w:rPr>
                <w:color w:val="000000"/>
              </w:rPr>
              <w:lastRenderedPageBreak/>
              <w:t xml:space="preserve">cost of upgrading the three large electric utilities’ distribution grids to meet California’s electrification goals and other load growth.  </w:t>
            </w:r>
            <w:r w:rsidR="006E726F">
              <w:rPr>
                <w:color w:val="000000"/>
              </w:rPr>
              <w:t xml:space="preserve">Cal Advocates also </w:t>
            </w:r>
            <w:r w:rsidR="008A6445">
              <w:rPr>
                <w:color w:val="000000"/>
              </w:rPr>
              <w:t>considered</w:t>
            </w:r>
            <w:r w:rsidR="006E726F">
              <w:rPr>
                <w:color w:val="000000"/>
              </w:rPr>
              <w:t xml:space="preserve"> the feasibility of PG&amp;E</w:t>
            </w:r>
            <w:r w:rsidR="002B2ACC">
              <w:rPr>
                <w:color w:val="000000"/>
              </w:rPr>
              <w:t>’s proposed increase</w:t>
            </w:r>
            <w:r w:rsidR="009A5D1F">
              <w:rPr>
                <w:color w:val="000000"/>
              </w:rPr>
              <w:t>d</w:t>
            </w:r>
            <w:r w:rsidR="002B2ACC">
              <w:rPr>
                <w:color w:val="000000"/>
              </w:rPr>
              <w:t xml:space="preserve"> pace of work</w:t>
            </w:r>
            <w:r w:rsidR="00A90ABD">
              <w:rPr>
                <w:color w:val="000000"/>
              </w:rPr>
              <w:t xml:space="preserve"> and recommended a slower pace </w:t>
            </w:r>
            <w:r w:rsidR="009A6F68">
              <w:rPr>
                <w:color w:val="000000"/>
              </w:rPr>
              <w:t>(</w:t>
            </w:r>
            <w:r w:rsidR="00A90ABD">
              <w:rPr>
                <w:color w:val="000000"/>
              </w:rPr>
              <w:t xml:space="preserve">clearing the backlog </w:t>
            </w:r>
            <w:r w:rsidR="0092235B">
              <w:rPr>
                <w:color w:val="000000"/>
              </w:rPr>
              <w:t>over two years instead of one</w:t>
            </w:r>
            <w:r w:rsidR="009A6F68">
              <w:rPr>
                <w:color w:val="000000"/>
              </w:rPr>
              <w:t>)</w:t>
            </w:r>
            <w:r w:rsidR="002B2ACC">
              <w:rPr>
                <w:color w:val="000000"/>
              </w:rPr>
              <w:t xml:space="preserve">.  </w:t>
            </w:r>
            <w:r w:rsidR="001727C1">
              <w:rPr>
                <w:color w:val="000000"/>
              </w:rPr>
              <w:t>Furthermore, b</w:t>
            </w:r>
            <w:r w:rsidR="00D76C08">
              <w:rPr>
                <w:color w:val="000000"/>
              </w:rPr>
              <w:t xml:space="preserve">oth </w:t>
            </w:r>
            <w:r w:rsidR="000620C0">
              <w:rPr>
                <w:color w:val="000000"/>
              </w:rPr>
              <w:t xml:space="preserve">Cal Advocates </w:t>
            </w:r>
            <w:r w:rsidR="00D76C08">
              <w:rPr>
                <w:color w:val="000000"/>
              </w:rPr>
              <w:t>and TURN</w:t>
            </w:r>
            <w:r w:rsidR="000620C0">
              <w:rPr>
                <w:color w:val="000000"/>
              </w:rPr>
              <w:t xml:space="preserve"> addressed </w:t>
            </w:r>
            <w:r w:rsidR="00D47DFA">
              <w:rPr>
                <w:color w:val="000000"/>
              </w:rPr>
              <w:t>accounting for energization-related costs in MWC</w:t>
            </w:r>
            <w:r w:rsidR="000620C0">
              <w:rPr>
                <w:color w:val="000000"/>
              </w:rPr>
              <w:t xml:space="preserve"> 10</w:t>
            </w:r>
            <w:r w:rsidR="00665550">
              <w:rPr>
                <w:color w:val="000000"/>
              </w:rPr>
              <w:t xml:space="preserve"> but </w:t>
            </w:r>
            <w:r w:rsidR="000F13FD">
              <w:rPr>
                <w:color w:val="000000"/>
              </w:rPr>
              <w:t>offered different proposals.  O</w:t>
            </w:r>
            <w:r w:rsidR="00665550">
              <w:rPr>
                <w:color w:val="000000"/>
              </w:rPr>
              <w:t xml:space="preserve">nly TURN recommended </w:t>
            </w:r>
            <w:r w:rsidR="00A835BA">
              <w:rPr>
                <w:color w:val="000000"/>
              </w:rPr>
              <w:t xml:space="preserve">adjusting PG&amp;E’s estimate of the portion of </w:t>
            </w:r>
            <w:r w:rsidR="009142A3">
              <w:rPr>
                <w:color w:val="000000"/>
              </w:rPr>
              <w:t xml:space="preserve">the </w:t>
            </w:r>
            <w:r w:rsidR="00A835BA">
              <w:rPr>
                <w:color w:val="000000"/>
              </w:rPr>
              <w:t>GRC budget authorized associated with energization</w:t>
            </w:r>
            <w:r w:rsidR="009142A3">
              <w:rPr>
                <w:color w:val="000000"/>
              </w:rPr>
              <w:t xml:space="preserve"> from 22% to 24%</w:t>
            </w:r>
            <w:r w:rsidR="000F13FD">
              <w:rPr>
                <w:color w:val="000000"/>
              </w:rPr>
              <w:t>, a position adopted by the Commission</w:t>
            </w:r>
            <w:r w:rsidR="007128A5">
              <w:rPr>
                <w:color w:val="000000"/>
              </w:rPr>
              <w:t xml:space="preserve">. (Compare Ex. </w:t>
            </w:r>
            <w:r w:rsidR="005F7E4D">
              <w:rPr>
                <w:color w:val="000000"/>
              </w:rPr>
              <w:t xml:space="preserve">CALPA-PhII-01-E with Ex. TURN-PhII-01-E).  </w:t>
            </w:r>
            <w:r w:rsidR="009142A3">
              <w:rPr>
                <w:color w:val="000000"/>
              </w:rPr>
              <w:t xml:space="preserve">  </w:t>
            </w:r>
          </w:p>
          <w:p w:rsidRPr="002D28A6" w:rsidR="00A92D0B" w:rsidP="000F13FD" w:rsidRDefault="00A92D0B" w14:paraId="3228BB07" w14:textId="77777777">
            <w:pPr>
              <w:tabs>
                <w:tab w:val="left" w:pos="360"/>
              </w:tabs>
              <w:rPr>
                <w:color w:val="000000"/>
              </w:rPr>
            </w:pPr>
          </w:p>
        </w:tc>
        <w:tc>
          <w:tcPr>
            <w:tcW w:w="1980" w:type="dxa"/>
            <w:shd w:val="clear" w:color="auto" w:fill="auto"/>
          </w:tcPr>
          <w:p w:rsidR="00A92D0B" w:rsidP="00073262" w:rsidRDefault="00A92D0B" w14:paraId="335EE0AF" w14:textId="77777777">
            <w:pPr>
              <w:tabs>
                <w:tab w:val="left" w:pos="360"/>
              </w:tabs>
              <w:ind w:left="360" w:hanging="360"/>
              <w:rPr>
                <w:color w:val="000000"/>
              </w:rPr>
            </w:pPr>
          </w:p>
          <w:p w:rsidR="00190B9E" w:rsidP="00073262" w:rsidRDefault="00190B9E" w14:paraId="46717602" w14:textId="77777777">
            <w:pPr>
              <w:tabs>
                <w:tab w:val="left" w:pos="360"/>
              </w:tabs>
              <w:ind w:left="360" w:hanging="360"/>
              <w:rPr>
                <w:color w:val="000000"/>
              </w:rPr>
            </w:pPr>
          </w:p>
          <w:p w:rsidR="00190B9E" w:rsidP="00073262" w:rsidRDefault="00190B9E" w14:paraId="7DFAD4C7" w14:textId="77777777">
            <w:pPr>
              <w:tabs>
                <w:tab w:val="left" w:pos="360"/>
              </w:tabs>
              <w:ind w:left="360" w:hanging="360"/>
              <w:rPr>
                <w:color w:val="000000"/>
              </w:rPr>
            </w:pPr>
          </w:p>
          <w:p w:rsidRPr="002D28A6" w:rsidR="00190B9E" w:rsidP="00190B9E" w:rsidRDefault="00190B9E" w14:paraId="5F9BBA55" w14:textId="6BFD0234">
            <w:pPr>
              <w:tabs>
                <w:tab w:val="left" w:pos="360"/>
              </w:tabs>
              <w:ind w:left="360" w:hanging="360"/>
              <w:jc w:val="center"/>
              <w:rPr>
                <w:color w:val="000000"/>
              </w:rPr>
            </w:pPr>
            <w:r>
              <w:rPr>
                <w:color w:val="000000"/>
              </w:rPr>
              <w:t>Noted</w:t>
            </w:r>
          </w:p>
        </w:tc>
      </w:tr>
    </w:tbl>
    <w:p w:rsidRPr="002D28A6" w:rsidR="00B312DA" w:rsidP="005B5B44" w:rsidRDefault="00A92D0B" w14:paraId="175C3F89" w14:textId="736CA93D">
      <w:pPr>
        <w:keepNext/>
        <w:tabs>
          <w:tab w:val="left" w:pos="1260"/>
        </w:tabs>
        <w:spacing w:before="480"/>
        <w:ind w:left="1267" w:hanging="1267"/>
        <w:jc w:val="center"/>
        <w:rPr>
          <w:b/>
          <w:color w:val="000000"/>
        </w:rPr>
      </w:pPr>
      <w:r w:rsidRPr="002D28A6">
        <w:rPr>
          <w:b/>
          <w:color w:val="000000"/>
        </w:rPr>
        <w:t>PART III</w:t>
      </w:r>
      <w:r w:rsidRPr="002D28A6" w:rsidR="0053513F">
        <w:rPr>
          <w:b/>
          <w:color w:val="000000"/>
        </w:rPr>
        <w:t>: REASONABLENESS</w:t>
      </w:r>
      <w:r w:rsidRPr="002D28A6">
        <w:rPr>
          <w:b/>
          <w:color w:val="000000"/>
        </w:rPr>
        <w:t xml:space="preserve"> OF REQUESTED COMPENSATION</w:t>
      </w:r>
    </w:p>
    <w:p w:rsidRPr="002D28A6" w:rsidR="00A92D0B" w:rsidP="005B5B44" w:rsidRDefault="00A92D0B" w14:paraId="6F74DAE2" w14:textId="77777777">
      <w:pPr>
        <w:keepNext/>
        <w:numPr>
          <w:ilvl w:val="0"/>
          <w:numId w:val="9"/>
        </w:numPr>
        <w:spacing w:before="240" w:after="240"/>
        <w:rPr>
          <w:b/>
          <w:color w:val="000000"/>
        </w:rPr>
      </w:pPr>
      <w:r w:rsidRPr="002D28A6">
        <w:rPr>
          <w:b/>
          <w:color w:val="000000"/>
        </w:rPr>
        <w:t xml:space="preserve">General Claim of Reasonableness </w:t>
      </w:r>
      <w:r w:rsidRPr="002D28A6" w:rsidR="00F30DA8">
        <w:rPr>
          <w:b/>
          <w:color w:val="000000"/>
        </w:rPr>
        <w:t xml:space="preserve">(§ </w:t>
      </w:r>
      <w:r w:rsidRPr="002D28A6">
        <w:rPr>
          <w:b/>
          <w:color w:val="000000"/>
        </w:rPr>
        <w:t xml:space="preserve">1801 </w:t>
      </w:r>
      <w:r w:rsidRPr="002D28A6" w:rsidR="00F30DA8">
        <w:rPr>
          <w:b/>
          <w:color w:val="000000"/>
        </w:rPr>
        <w:t>and §</w:t>
      </w:r>
      <w:r w:rsidRPr="002D28A6" w:rsidR="0022302F">
        <w:rPr>
          <w:b/>
          <w:color w:val="000000"/>
        </w:rPr>
        <w:t xml:space="preserve"> 1806)</w:t>
      </w:r>
      <w:r w:rsidRPr="002D28A6" w:rsidR="00C02649">
        <w:rPr>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488"/>
        <w:gridCol w:w="2250"/>
      </w:tblGrid>
      <w:tr w:rsidRPr="002D28A6" w:rsidR="00FE3BAE" w:rsidTr="00EC6387" w14:paraId="4078AC87" w14:textId="77777777">
        <w:trPr>
          <w:tblHeader/>
        </w:trPr>
        <w:tc>
          <w:tcPr>
            <w:tcW w:w="7488" w:type="dxa"/>
            <w:tcBorders>
              <w:bottom w:val="single" w:color="auto" w:sz="4" w:space="0"/>
            </w:tcBorders>
            <w:shd w:val="clear" w:color="auto" w:fill="D9D9D9" w:themeFill="background1" w:themeFillShade="D9"/>
          </w:tcPr>
          <w:p w:rsidRPr="002D28A6" w:rsidR="00FE3BAE" w:rsidP="00EC6387" w:rsidRDefault="00FE3BAE" w14:paraId="70FDF5DA" w14:textId="77777777">
            <w:pPr>
              <w:rPr>
                <w:b/>
                <w:color w:val="000000"/>
              </w:rPr>
            </w:pPr>
          </w:p>
        </w:tc>
        <w:tc>
          <w:tcPr>
            <w:tcW w:w="2250" w:type="dxa"/>
            <w:shd w:val="clear" w:color="auto" w:fill="D9D9D9" w:themeFill="background1" w:themeFillShade="D9"/>
          </w:tcPr>
          <w:p w:rsidRPr="002D28A6" w:rsidR="00FE3BAE" w:rsidP="00EC6387" w:rsidRDefault="00FE3BAE" w14:paraId="59CD9FCF" w14:textId="77777777">
            <w:pPr>
              <w:rPr>
                <w:color w:val="000000"/>
              </w:rPr>
            </w:pPr>
            <w:r w:rsidRPr="002D28A6">
              <w:rPr>
                <w:b/>
                <w:color w:val="000000"/>
              </w:rPr>
              <w:t>CPUC Discussion</w:t>
            </w:r>
          </w:p>
        </w:tc>
      </w:tr>
      <w:tr w:rsidRPr="002D28A6" w:rsidR="00FE3BAE" w:rsidTr="002820DF" w14:paraId="5708510E" w14:textId="77777777">
        <w:tc>
          <w:tcPr>
            <w:tcW w:w="7488" w:type="dxa"/>
            <w:tcBorders>
              <w:bottom w:val="single" w:color="auto" w:sz="4" w:space="0"/>
            </w:tcBorders>
            <w:shd w:val="clear" w:color="auto" w:fill="auto"/>
          </w:tcPr>
          <w:p w:rsidRPr="002D28A6" w:rsidR="00FE3BAE" w:rsidP="00EC6387" w:rsidRDefault="00FE3BAE" w14:paraId="707F9932" w14:textId="24B1B5E0">
            <w:pPr>
              <w:rPr>
                <w:color w:val="000000"/>
              </w:rPr>
            </w:pPr>
            <w:r w:rsidRPr="002D28A6">
              <w:rPr>
                <w:b/>
                <w:color w:val="000000"/>
              </w:rPr>
              <w:t>a. Intervenor’s claim of cost reasonableness:</w:t>
            </w:r>
            <w:r w:rsidRPr="002D28A6" w:rsidR="00E25078">
              <w:rPr>
                <w:color w:val="000000"/>
              </w:rPr>
              <w:t xml:space="preserve"> </w:t>
            </w:r>
          </w:p>
          <w:p w:rsidR="00691528" w:rsidP="00EC6387" w:rsidRDefault="00691528" w14:paraId="6A25116A" w14:textId="77777777">
            <w:pPr>
              <w:rPr>
                <w:color w:val="000000"/>
              </w:rPr>
            </w:pPr>
          </w:p>
          <w:p w:rsidR="0036619A" w:rsidP="00EC6387" w:rsidRDefault="00FB2C40" w14:paraId="644003BB" w14:textId="687B3F7C">
            <w:r w:rsidRPr="006D27C6">
              <w:t xml:space="preserve">TURN’s request for intervenor compensation seeks an award of </w:t>
            </w:r>
            <w:r w:rsidRPr="002279DD">
              <w:t xml:space="preserve">approximately </w:t>
            </w:r>
            <w:r w:rsidRPr="00372538">
              <w:t>$</w:t>
            </w:r>
            <w:r w:rsidRPr="00372538" w:rsidR="00372538">
              <w:t>183,000</w:t>
            </w:r>
            <w:r w:rsidRPr="002279DD">
              <w:t xml:space="preserve"> as t</w:t>
            </w:r>
            <w:r w:rsidRPr="006D27C6">
              <w:t xml:space="preserve">he reasonable cost of our participation in </w:t>
            </w:r>
            <w:r w:rsidR="00456E53">
              <w:t>Phase II of this proceeding related to the implementation of SB 410</w:t>
            </w:r>
            <w:r w:rsidRPr="006D27C6">
              <w:t>.  The Commission should conclude that the amount requested is reasonable</w:t>
            </w:r>
            <w:r>
              <w:t xml:space="preserve"> under the circumstances here</w:t>
            </w:r>
            <w:r w:rsidRPr="006D27C6">
              <w:t xml:space="preserve">.  </w:t>
            </w:r>
            <w:r>
              <w:t xml:space="preserve">As is more fully described in the substantial contribution section above, </w:t>
            </w:r>
            <w:r w:rsidRPr="006D27C6">
              <w:t>TURN’s participation in the proceeding</w:t>
            </w:r>
            <w:r>
              <w:t xml:space="preserve"> was instrumental in </w:t>
            </w:r>
            <w:r w:rsidR="00471186">
              <w:t>narrowing the scope of costs eligible for SB 410 interim cost recovery</w:t>
            </w:r>
            <w:r w:rsidR="00C7173F">
              <w:t xml:space="preserve"> and reducing the annual </w:t>
            </w:r>
            <w:r w:rsidR="00F16176">
              <w:t xml:space="preserve">cost recovery </w:t>
            </w:r>
            <w:r w:rsidR="00C7173F">
              <w:t>cap</w:t>
            </w:r>
            <w:r w:rsidR="00F16176">
              <w:t>, thus tempering potential rate increases faced by PG&amp;E’s customers before t</w:t>
            </w:r>
            <w:r w:rsidR="00DD0F2D">
              <w:t>he next GRC</w:t>
            </w:r>
            <w:r w:rsidR="00F16176">
              <w:t xml:space="preserve">.  </w:t>
            </w:r>
            <w:r w:rsidR="00DD0F2D">
              <w:t xml:space="preserve">TURN’s participation further resulted in policies that </w:t>
            </w:r>
            <w:r w:rsidR="00F233B7">
              <w:t xml:space="preserve">will hold PG&amp;E accountable for </w:t>
            </w:r>
            <w:r w:rsidR="00DD0F2D">
              <w:t>explor</w:t>
            </w:r>
            <w:r w:rsidR="00F233B7">
              <w:t>ing</w:t>
            </w:r>
            <w:r w:rsidR="00DD0F2D">
              <w:t xml:space="preserve"> </w:t>
            </w:r>
            <w:r w:rsidR="00744AC6">
              <w:t xml:space="preserve">the use of less expensive operational approaches </w:t>
            </w:r>
            <w:r w:rsidR="00F233B7">
              <w:t>than system capacity upgrades, as well as</w:t>
            </w:r>
            <w:r w:rsidR="00272C74">
              <w:t xml:space="preserve"> alternative funding sources</w:t>
            </w:r>
            <w:r w:rsidR="00F233B7">
              <w:t xml:space="preserve"> for customer energization.  Finally, TURN’s participation resulted in </w:t>
            </w:r>
            <w:r w:rsidR="001075B2">
              <w:t xml:space="preserve">increased </w:t>
            </w:r>
            <w:r w:rsidR="00B21661">
              <w:t xml:space="preserve">transparency and </w:t>
            </w:r>
            <w:r w:rsidR="001075B2">
              <w:t xml:space="preserve">oversight </w:t>
            </w:r>
            <w:r w:rsidR="00B518AF">
              <w:t>of</w:t>
            </w:r>
            <w:r w:rsidR="00A95DBA">
              <w:t xml:space="preserve"> PG&amp;E’s expenditures related to customer energization</w:t>
            </w:r>
            <w:r w:rsidR="00012013">
              <w:t>, specifically through the Commission’s</w:t>
            </w:r>
            <w:r w:rsidR="0076143A">
              <w:t xml:space="preserve"> requirements related to the SB 410 independent auditor, </w:t>
            </w:r>
            <w:r w:rsidR="00A83E2E">
              <w:t>data reporting</w:t>
            </w:r>
            <w:r w:rsidR="0076143A">
              <w:t xml:space="preserve">, and the reasonableness review of costs recovered through the </w:t>
            </w:r>
            <w:r w:rsidR="009B57FF">
              <w:rPr>
                <w:color w:val="000000"/>
              </w:rPr>
              <w:t>ECNBIMA</w:t>
            </w:r>
            <w:r w:rsidR="0076143A">
              <w:t xml:space="preserve"> in PG&amp;E’s next GRC</w:t>
            </w:r>
            <w:r w:rsidR="00A95DBA">
              <w:t xml:space="preserve">.  </w:t>
            </w:r>
          </w:p>
          <w:p w:rsidR="0036619A" w:rsidP="00EC6387" w:rsidRDefault="0036619A" w14:paraId="408290FF" w14:textId="77777777"/>
          <w:p w:rsidR="00471186" w:rsidP="00EC6387" w:rsidRDefault="0036619A" w14:paraId="56A04249" w14:textId="1B9DED28">
            <w:r>
              <w:t xml:space="preserve">It is difficult to estimate the actual financial benefits to ratepayers from TURN’s participation because </w:t>
            </w:r>
            <w:r w:rsidR="00C55919">
              <w:t>PG&amp;E</w:t>
            </w:r>
            <w:r w:rsidR="008A0CE1">
              <w:t xml:space="preserve"> may not </w:t>
            </w:r>
            <w:r w:rsidR="00C55919">
              <w:t xml:space="preserve">record </w:t>
            </w:r>
            <w:r w:rsidR="008A0CE1">
              <w:t xml:space="preserve">incremental customer energization </w:t>
            </w:r>
            <w:r w:rsidR="00C55919">
              <w:t>costs up to the authorized ECNBIMA cap in any year.  However, a comparison between the cap authorized in D.24-07-008 and the cap proposed by PG&amp;E re</w:t>
            </w:r>
            <w:r w:rsidR="00E174F6">
              <w:t xml:space="preserve">sults in </w:t>
            </w:r>
            <w:r w:rsidR="00F27769">
              <w:t xml:space="preserve">potential </w:t>
            </w:r>
            <w:r w:rsidR="00DE3B95">
              <w:t xml:space="preserve">revenue requirement </w:t>
            </w:r>
            <w:r w:rsidR="00E174F6">
              <w:t xml:space="preserve">savings to ratepayers of up to </w:t>
            </w:r>
            <w:r w:rsidR="007D1A21">
              <w:t>$39 million</w:t>
            </w:r>
            <w:r w:rsidR="00E174F6">
              <w:t xml:space="preserve"> in 2024, </w:t>
            </w:r>
            <w:r w:rsidR="007D1A21">
              <w:t>$105 million</w:t>
            </w:r>
            <w:r w:rsidR="00E174F6">
              <w:t xml:space="preserve"> in 2025, and</w:t>
            </w:r>
            <w:r w:rsidR="007D1A21">
              <w:t xml:space="preserve"> $112 million</w:t>
            </w:r>
            <w:r w:rsidR="00E174F6">
              <w:t xml:space="preserve"> in 2026. </w:t>
            </w:r>
            <w:r w:rsidRPr="00B03F36" w:rsidR="00D70497">
              <w:t xml:space="preserve">(Compare </w:t>
            </w:r>
            <w:r w:rsidRPr="00B03F36" w:rsidR="007D1A21">
              <w:t xml:space="preserve">authorized </w:t>
            </w:r>
            <w:r w:rsidRPr="00B03F36" w:rsidR="009C6D2E">
              <w:t xml:space="preserve">cost caps in RRQ </w:t>
            </w:r>
            <w:r w:rsidRPr="00B03F36" w:rsidR="00B03F36">
              <w:t>(</w:t>
            </w:r>
            <w:r w:rsidRPr="00B03F36" w:rsidR="00D70497">
              <w:t>D.24-07-008, Appendix A</w:t>
            </w:r>
            <w:r w:rsidRPr="00B03F36" w:rsidR="00B03F36">
              <w:t>)</w:t>
            </w:r>
            <w:r w:rsidRPr="00B03F36" w:rsidR="009C6D2E">
              <w:t>,</w:t>
            </w:r>
            <w:r w:rsidRPr="00B03F36" w:rsidR="00D70497">
              <w:t xml:space="preserve"> with </w:t>
            </w:r>
            <w:r w:rsidRPr="00B03F36" w:rsidR="009C6D2E">
              <w:t xml:space="preserve">PG&amp;E’s proposed cost caps </w:t>
            </w:r>
            <w:r w:rsidRPr="00B03F36" w:rsidR="00B03F36">
              <w:t>(</w:t>
            </w:r>
            <w:r w:rsidRPr="00B03F36" w:rsidR="00D70497">
              <w:t xml:space="preserve">PG&amp;E Opening Brief, p. </w:t>
            </w:r>
            <w:r w:rsidRPr="00B03F36" w:rsidR="00200422">
              <w:lastRenderedPageBreak/>
              <w:t>6</w:t>
            </w:r>
            <w:r w:rsidRPr="00B03F36" w:rsidR="00B03F36">
              <w:t>)</w:t>
            </w:r>
            <w:r w:rsidRPr="00B03F36" w:rsidR="00D70497">
              <w:t xml:space="preserve">). </w:t>
            </w:r>
            <w:r w:rsidRPr="00B03F36" w:rsidR="00E174F6">
              <w:t xml:space="preserve"> </w:t>
            </w:r>
            <w:r w:rsidRPr="00372538" w:rsidR="00F153AA">
              <w:t>TURN’s costs requested in this intervenor compensation claim</w:t>
            </w:r>
            <w:r w:rsidRPr="00372538" w:rsidR="00372538">
              <w:t xml:space="preserve"> </w:t>
            </w:r>
            <w:r w:rsidR="00FA0F8D">
              <w:t xml:space="preserve">-- </w:t>
            </w:r>
            <w:r w:rsidRPr="00372538" w:rsidR="00372538">
              <w:t>less than $183,000</w:t>
            </w:r>
            <w:r w:rsidR="00FA0F8D">
              <w:t xml:space="preserve"> --</w:t>
            </w:r>
            <w:r w:rsidRPr="00372538" w:rsidR="00F153AA">
              <w:t xml:space="preserve"> are but a mere fraction of these potential financial benefits to ratepayers.</w:t>
            </w:r>
            <w:r w:rsidR="00F153AA">
              <w:t xml:space="preserve">  </w:t>
            </w:r>
            <w:r w:rsidRPr="00B03F36" w:rsidR="00B81E7B">
              <w:t>As noted above</w:t>
            </w:r>
            <w:r w:rsidR="00B81E7B">
              <w:t xml:space="preserve">, ratepayers may also </w:t>
            </w:r>
            <w:r w:rsidR="001E76B4">
              <w:t>reap financial benefits from PG&amp;E’s use of alternative funding sources or operational strategies to avoid the need for capacity upgrades.</w:t>
            </w:r>
          </w:p>
          <w:p w:rsidR="00471186" w:rsidP="00EC6387" w:rsidRDefault="00471186" w14:paraId="0E206566" w14:textId="77777777"/>
          <w:p w:rsidRPr="002D28A6" w:rsidR="006F036B" w:rsidP="00EC6387" w:rsidRDefault="00FB2C40" w14:paraId="6138E2B2" w14:textId="22D60CBF">
            <w:pPr>
              <w:rPr>
                <w:color w:val="000000"/>
              </w:rPr>
            </w:pPr>
            <w:r w:rsidRPr="006D27C6">
              <w:t xml:space="preserve">In light of these clear </w:t>
            </w:r>
            <w:r>
              <w:t xml:space="preserve">and very substantial potential </w:t>
            </w:r>
            <w:r w:rsidRPr="006D27C6">
              <w:t xml:space="preserve">financial </w:t>
            </w:r>
            <w:r w:rsidR="00013BA9">
              <w:t>benefits</w:t>
            </w:r>
            <w:r w:rsidR="000F6966">
              <w:t xml:space="preserve"> coupled with</w:t>
            </w:r>
            <w:r w:rsidR="00013BA9">
              <w:t xml:space="preserve"> the </w:t>
            </w:r>
            <w:r w:rsidR="000F6966">
              <w:t xml:space="preserve">ratepayer </w:t>
            </w:r>
            <w:r w:rsidR="00013BA9">
              <w:t>benefits from improved oversight and transparency,</w:t>
            </w:r>
            <w:r w:rsidRPr="006D27C6">
              <w:t xml:space="preserve"> the Commission should conclude that the requested amount of compensation is reasonable.  </w:t>
            </w:r>
          </w:p>
          <w:p w:rsidRPr="002D28A6" w:rsidR="00FE3BAE" w:rsidP="00EC6387" w:rsidRDefault="00FE3BAE" w14:paraId="2B1A1242" w14:textId="77777777">
            <w:pPr>
              <w:rPr>
                <w:color w:val="000000"/>
              </w:rPr>
            </w:pPr>
          </w:p>
        </w:tc>
        <w:tc>
          <w:tcPr>
            <w:tcW w:w="2250" w:type="dxa"/>
            <w:shd w:val="clear" w:color="auto" w:fill="auto"/>
          </w:tcPr>
          <w:p w:rsidR="00FE3BAE" w:rsidP="00EC6387" w:rsidRDefault="00FE3BAE" w14:paraId="45FE1B10" w14:textId="77777777">
            <w:pPr>
              <w:rPr>
                <w:color w:val="000000"/>
              </w:rPr>
            </w:pPr>
          </w:p>
          <w:p w:rsidR="00190B9E" w:rsidP="00EC6387" w:rsidRDefault="00190B9E" w14:paraId="64A7636B" w14:textId="77777777">
            <w:pPr>
              <w:rPr>
                <w:color w:val="000000"/>
              </w:rPr>
            </w:pPr>
          </w:p>
          <w:p w:rsidR="00190B9E" w:rsidP="00EC6387" w:rsidRDefault="00190B9E" w14:paraId="3992EBD0" w14:textId="77777777">
            <w:pPr>
              <w:rPr>
                <w:color w:val="000000"/>
              </w:rPr>
            </w:pPr>
          </w:p>
          <w:p w:rsidR="00190B9E" w:rsidP="00EC6387" w:rsidRDefault="00190B9E" w14:paraId="015E8FDD" w14:textId="77777777">
            <w:pPr>
              <w:rPr>
                <w:color w:val="000000"/>
              </w:rPr>
            </w:pPr>
          </w:p>
          <w:p w:rsidRPr="002D28A6" w:rsidR="00190B9E" w:rsidP="00190B9E" w:rsidRDefault="00190B9E" w14:paraId="223B4665" w14:textId="2308349D">
            <w:pPr>
              <w:jc w:val="center"/>
              <w:rPr>
                <w:color w:val="000000"/>
              </w:rPr>
            </w:pPr>
            <w:r>
              <w:rPr>
                <w:color w:val="000000"/>
              </w:rPr>
              <w:t>Noted</w:t>
            </w:r>
          </w:p>
        </w:tc>
      </w:tr>
      <w:tr w:rsidRPr="002D28A6" w:rsidR="00FE3BAE" w:rsidTr="002820DF" w14:paraId="5548029C" w14:textId="77777777">
        <w:tc>
          <w:tcPr>
            <w:tcW w:w="7488" w:type="dxa"/>
            <w:shd w:val="clear" w:color="auto" w:fill="auto"/>
          </w:tcPr>
          <w:p w:rsidRPr="002D28A6" w:rsidR="00FE3BAE" w:rsidP="00EC6387" w:rsidRDefault="00FE3BAE" w14:paraId="751A610C" w14:textId="509B1715">
            <w:pPr>
              <w:rPr>
                <w:color w:val="000000"/>
              </w:rPr>
            </w:pPr>
            <w:r w:rsidRPr="002D28A6">
              <w:rPr>
                <w:b/>
                <w:color w:val="000000"/>
              </w:rPr>
              <w:t>b. Reasonableness of hours claimed:</w:t>
            </w:r>
            <w:r w:rsidRPr="002D28A6" w:rsidR="00E25078">
              <w:rPr>
                <w:color w:val="000000"/>
              </w:rPr>
              <w:t xml:space="preserve"> </w:t>
            </w:r>
          </w:p>
          <w:p w:rsidR="00C059F3" w:rsidP="00C059F3" w:rsidRDefault="00C059F3" w14:paraId="5CB39EBB" w14:textId="77777777">
            <w:pPr>
              <w:rPr>
                <w:color w:val="000000"/>
              </w:rPr>
            </w:pPr>
          </w:p>
          <w:p w:rsidR="00C059F3" w:rsidP="00C059F3" w:rsidRDefault="00C059F3" w14:paraId="3AC456EB" w14:textId="4AC1EC4E">
            <w:pPr>
              <w:rPr>
                <w:color w:val="000000"/>
              </w:rPr>
            </w:pPr>
            <w:r>
              <w:rPr>
                <w:color w:val="000000"/>
              </w:rPr>
              <w:t xml:space="preserve">This request for compensation </w:t>
            </w:r>
            <w:r w:rsidRPr="00BE2D30">
              <w:rPr>
                <w:color w:val="000000"/>
              </w:rPr>
              <w:t>includes 295 hours of</w:t>
            </w:r>
            <w:r>
              <w:rPr>
                <w:color w:val="000000"/>
              </w:rPr>
              <w:t xml:space="preserve"> TURN’s </w:t>
            </w:r>
            <w:r w:rsidR="00845367">
              <w:rPr>
                <w:color w:val="000000"/>
              </w:rPr>
              <w:t>staff</w:t>
            </w:r>
            <w:r>
              <w:rPr>
                <w:color w:val="000000"/>
              </w:rPr>
              <w:t xml:space="preserve"> time since September 2023 devoted to Phase II of this proceeding.  </w:t>
            </w:r>
          </w:p>
          <w:p w:rsidR="00C059F3" w:rsidP="00C059F3" w:rsidRDefault="00C059F3" w14:paraId="19474792" w14:textId="77777777">
            <w:pPr>
              <w:rPr>
                <w:color w:val="000000"/>
              </w:rPr>
            </w:pPr>
          </w:p>
          <w:p w:rsidR="00C059F3" w:rsidP="00C059F3" w:rsidRDefault="00C059F3" w14:paraId="5E91697B" w14:textId="7D5972DE">
            <w:pPr>
              <w:rPr>
                <w:color w:val="000000"/>
              </w:rPr>
            </w:pPr>
            <w:r>
              <w:rPr>
                <w:color w:val="000000"/>
              </w:rPr>
              <w:t>Phase II commenced while TURN was still very actively working on Phase I advocacy related to the proposed and alternate proposed decisions</w:t>
            </w:r>
            <w:r w:rsidR="00E35323">
              <w:rPr>
                <w:color w:val="000000"/>
              </w:rPr>
              <w:t xml:space="preserve"> and oral argument</w:t>
            </w:r>
            <w:r>
              <w:rPr>
                <w:color w:val="000000"/>
              </w:rPr>
              <w:t xml:space="preserve">.  With resources </w:t>
            </w:r>
            <w:r w:rsidR="00E35323">
              <w:rPr>
                <w:color w:val="000000"/>
              </w:rPr>
              <w:t xml:space="preserve">already </w:t>
            </w:r>
            <w:r>
              <w:rPr>
                <w:color w:val="000000"/>
              </w:rPr>
              <w:t xml:space="preserve">spread very thin due to the GRC and other casework, TURN by necessity assembled a team of three experienced attorneys who would juggle the responsibilities of preparing testimony, drafting briefs, and drafting comments on the proposed decision, based on the availability of each attorney at each stage of this proceeding.  </w:t>
            </w:r>
          </w:p>
          <w:p w:rsidR="00C059F3" w:rsidP="00C059F3" w:rsidRDefault="00C059F3" w14:paraId="0B886B6E" w14:textId="77777777">
            <w:pPr>
              <w:rPr>
                <w:color w:val="000000"/>
              </w:rPr>
            </w:pPr>
          </w:p>
          <w:p w:rsidR="00C059F3" w:rsidP="00C059F3" w:rsidRDefault="00C059F3" w14:paraId="0B8E02FA" w14:textId="77777777">
            <w:pPr>
              <w:rPr>
                <w:color w:val="000000"/>
              </w:rPr>
            </w:pPr>
            <w:r>
              <w:rPr>
                <w:color w:val="000000"/>
              </w:rPr>
              <w:t xml:space="preserve">TURN attorney Hayley Goodson served as TURN’s primary attorney throughout Phase II, with staff attorneys Matthew Freedman and Elise Torres primarily serving as TURN’s expert witnesses.  </w:t>
            </w:r>
          </w:p>
          <w:p w:rsidR="00C059F3" w:rsidP="00C059F3" w:rsidRDefault="00C059F3" w14:paraId="6214E425" w14:textId="77777777">
            <w:pPr>
              <w:rPr>
                <w:color w:val="000000"/>
              </w:rPr>
            </w:pPr>
          </w:p>
          <w:p w:rsidR="00C059F3" w:rsidP="00C059F3" w:rsidRDefault="00C059F3" w14:paraId="5681498A" w14:textId="77777777">
            <w:pPr>
              <w:rPr>
                <w:color w:val="000000"/>
              </w:rPr>
            </w:pPr>
            <w:r>
              <w:rPr>
                <w:color w:val="000000"/>
              </w:rPr>
              <w:t xml:space="preserve">While their roles were somewhat fluid, Mr. Freedman generally took the lead on evaluating the activities PG&amp;E proposed to include in the new SB 410 ratemaking mechanism and calculating an alternative, bottoms-up cap on interim rate recovery based on TURN’s view of the MAT codes within each MWC directly related to customer energization and the appropriate forecasts of new connections work.  Mr. Freedman also covered the use of Diablo Canyon </w:t>
            </w:r>
            <w:r w:rsidRPr="002D28A6">
              <w:rPr>
                <w:color w:val="000000"/>
              </w:rPr>
              <w:t xml:space="preserve">volumetric payments </w:t>
            </w:r>
            <w:r>
              <w:rPr>
                <w:color w:val="000000"/>
              </w:rPr>
              <w:t xml:space="preserve">to support customer connection expenditures prior to PG&amp;E’s seeking interim rate recovery of incremental costs covered by SB 410.  Mr. Freedman is TURN’s attorney in the two proceedings addressing issues related to the Diablo Canyon volumetric payments, R.23-01-007 (Implementing SB 846 Concerning Potential Extension of Diablo Canyon Power Plant Operations) and A.24-03-018, making him the right person to address this issue here.  Mr. Freedman took primary responsibility for drafting TURN’s testimony, briefs, and </w:t>
            </w:r>
            <w:r>
              <w:rPr>
                <w:color w:val="000000"/>
              </w:rPr>
              <w:lastRenderedPageBreak/>
              <w:t>comments on the proposed decision related to these issue areas, with feedback from Ms. Goodson and Ms. Torres.</w:t>
            </w:r>
          </w:p>
          <w:p w:rsidR="00C059F3" w:rsidP="00C059F3" w:rsidRDefault="00C059F3" w14:paraId="38EF14C4" w14:textId="77777777">
            <w:pPr>
              <w:rPr>
                <w:color w:val="000000"/>
              </w:rPr>
            </w:pPr>
          </w:p>
          <w:p w:rsidR="00C059F3" w:rsidP="00C059F3" w:rsidRDefault="00C059F3" w14:paraId="46FC70AE" w14:textId="77777777">
            <w:pPr>
              <w:rPr>
                <w:color w:val="000000"/>
              </w:rPr>
            </w:pPr>
            <w:r>
              <w:rPr>
                <w:color w:val="000000"/>
              </w:rPr>
              <w:t>Ms. Torres generally took the lead on developing TURN’s positions related to the Commission’s oversight (re: the scope of the audit and data collection and reporting requirements to support the reasonableness review in the next GRC), other alternative funding sources, alternative approaches to managing load and connecting customers, as well as the affordability of PG&amp;E’s proposed cap and associated policy implications.  Ms. Torres was well-suited to address these issues because she has represented TURN in many matters before the Commission related to transportation electrification, including but not limited to implications for load growth and policies related to connecting customers, as well as the Commission’s oversight over utility investments related to transportation electrification.  Ms. Torres took primary responsibility for drafting TURN’s testimony, briefs, and comments on the proposed decision related to these issue areas, with feedback from Ms. Goodson and Mr. Freedman.</w:t>
            </w:r>
          </w:p>
          <w:p w:rsidR="00C059F3" w:rsidP="00C059F3" w:rsidRDefault="00C059F3" w14:paraId="5D7B9601" w14:textId="77777777">
            <w:pPr>
              <w:rPr>
                <w:color w:val="000000"/>
              </w:rPr>
            </w:pPr>
          </w:p>
          <w:p w:rsidR="00C059F3" w:rsidP="00C059F3" w:rsidRDefault="00C059F3" w14:paraId="6936998D" w14:textId="77777777">
            <w:pPr>
              <w:rPr>
                <w:color w:val="000000"/>
              </w:rPr>
            </w:pPr>
            <w:r>
              <w:rPr>
                <w:color w:val="000000"/>
              </w:rPr>
              <w:t xml:space="preserve">Consistent with her primary role as TURN’s attorney, Ms. Goodson represented TURN in interactions with the Commission and other parties, including at the PHC, status conferences, evidentiary hearings, and various meet and confers required by the ALJs.  Ms. Goodson also took the lead on preparing TURN’s response to PG&amp;E’s motion seeking to add MWC 10 to the scope of costs to be subject to the SB 410 ratemaking mechanism.  Ms. Goodson further advised Mr. Freedman and Ms. Torres and oversaw the development of TURN’s positions.  She guided the allocation of work responsibilities between Mr. Freedman and Ms. Torres and coordination of TURN’s efforts across the small team, so as to allow TURN to efficiency examine and address as many issues as possible.  Ms. Goodson also contributed to the drafting of sections of TURN’s briefs not covered by Ms. Torres and Mr. Freedman, providing strategic guidance related to responding to other parties’ briefs and comments, and otherwise ensuring that TURN’s participation in this proceeding would result in quality workproduct and assist the Commission in making its decision – despite TURN’s need to juggle resources throughout the course of Phase II.  </w:t>
            </w:r>
          </w:p>
          <w:p w:rsidR="00C059F3" w:rsidP="00C059F3" w:rsidRDefault="00C059F3" w14:paraId="6EAD935B" w14:textId="77777777">
            <w:pPr>
              <w:rPr>
                <w:color w:val="000000"/>
              </w:rPr>
            </w:pPr>
          </w:p>
          <w:p w:rsidRPr="002D28A6" w:rsidR="00FE3BAE" w:rsidP="00C059F3" w:rsidRDefault="00C059F3" w14:paraId="1009F6D5" w14:textId="13FB01CC">
            <w:pPr>
              <w:rPr>
                <w:color w:val="000000"/>
              </w:rPr>
            </w:pPr>
            <w:r>
              <w:rPr>
                <w:color w:val="000000"/>
              </w:rPr>
              <w:t xml:space="preserve">This request for compensation includes time that the TURN team devoted to internal meetings to address issue coverage, division of labor, the development and evolution of TURN’s recommendations, and strategy.  Usually Ms. Goodson, Ms. Torres, and Mr. Freedman participated in these meetings, and TURN has included time for all participants in this claim.  Because of the way TURN staffed this matter by necessity, each person needed to participate in these internal meetings in order to share the results of their analysis and avoid internal duplication in the preparation of TURN’s testimony, briefs, and comments.  Given these circumstances, </w:t>
            </w:r>
            <w:r>
              <w:rPr>
                <w:color w:val="000000"/>
              </w:rPr>
              <w:lastRenderedPageBreak/>
              <w:t>TURN submits that this time was necessary to support the efficient development and presentation of TURN’s positions through testimony, briefing, and comments and does not reflect “internal duplication.”  TURN also includes 0.75 hours that TURN spent coordinating with Cal Advocates.</w:t>
            </w:r>
          </w:p>
          <w:p w:rsidRPr="002D28A6" w:rsidR="00F153AA" w:rsidP="00EC6387" w:rsidRDefault="00F153AA" w14:paraId="694F0B63" w14:textId="38BC8A2C">
            <w:pPr>
              <w:rPr>
                <w:color w:val="000000"/>
              </w:rPr>
            </w:pPr>
          </w:p>
        </w:tc>
        <w:tc>
          <w:tcPr>
            <w:tcW w:w="2250" w:type="dxa"/>
            <w:shd w:val="clear" w:color="auto" w:fill="auto"/>
          </w:tcPr>
          <w:p w:rsidR="00FE3BAE" w:rsidP="00EC6387" w:rsidRDefault="00FE3BAE" w14:paraId="3909FC17" w14:textId="77777777">
            <w:pPr>
              <w:rPr>
                <w:color w:val="000000"/>
              </w:rPr>
            </w:pPr>
          </w:p>
          <w:p w:rsidR="00190B9E" w:rsidP="00EC6387" w:rsidRDefault="00190B9E" w14:paraId="08305C12" w14:textId="77777777">
            <w:pPr>
              <w:rPr>
                <w:color w:val="000000"/>
              </w:rPr>
            </w:pPr>
          </w:p>
          <w:p w:rsidR="00190B9E" w:rsidP="00EC6387" w:rsidRDefault="00190B9E" w14:paraId="7FE70706" w14:textId="77777777">
            <w:pPr>
              <w:rPr>
                <w:color w:val="000000"/>
              </w:rPr>
            </w:pPr>
          </w:p>
          <w:p w:rsidR="00190B9E" w:rsidP="00EC6387" w:rsidRDefault="00190B9E" w14:paraId="36769BEE" w14:textId="77777777">
            <w:pPr>
              <w:rPr>
                <w:color w:val="000000"/>
              </w:rPr>
            </w:pPr>
          </w:p>
          <w:p w:rsidRPr="002D28A6" w:rsidR="00190B9E" w:rsidP="00190B9E" w:rsidRDefault="00190B9E" w14:paraId="1874D625" w14:textId="6D0F009B">
            <w:pPr>
              <w:jc w:val="center"/>
              <w:rPr>
                <w:color w:val="000000"/>
              </w:rPr>
            </w:pPr>
            <w:r>
              <w:rPr>
                <w:color w:val="000000"/>
              </w:rPr>
              <w:t>Noted</w:t>
            </w:r>
          </w:p>
        </w:tc>
      </w:tr>
      <w:tr w:rsidRPr="002D28A6" w:rsidR="00FE3BAE" w:rsidTr="002820DF" w14:paraId="3FD38B74" w14:textId="77777777">
        <w:tc>
          <w:tcPr>
            <w:tcW w:w="7488" w:type="dxa"/>
            <w:shd w:val="clear" w:color="auto" w:fill="auto"/>
          </w:tcPr>
          <w:p w:rsidRPr="002D28A6" w:rsidR="00FE3BAE" w:rsidP="00EC6387" w:rsidRDefault="00FE3BAE" w14:paraId="46990B37" w14:textId="569E5E0F">
            <w:pPr>
              <w:rPr>
                <w:color w:val="000000"/>
              </w:rPr>
            </w:pPr>
            <w:r w:rsidRPr="002D28A6">
              <w:rPr>
                <w:b/>
                <w:color w:val="000000"/>
              </w:rPr>
              <w:lastRenderedPageBreak/>
              <w:t>c. Allocation of hours by issue:</w:t>
            </w:r>
            <w:r w:rsidRPr="002D28A6" w:rsidR="00E25078">
              <w:rPr>
                <w:color w:val="000000"/>
              </w:rPr>
              <w:t xml:space="preserve"> </w:t>
            </w:r>
          </w:p>
          <w:p w:rsidR="00913B4A" w:rsidP="00913B4A" w:rsidRDefault="00913B4A" w14:paraId="3A86D1F2" w14:textId="77777777">
            <w:pPr>
              <w:autoSpaceDE w:val="0"/>
              <w:autoSpaceDN w:val="0"/>
              <w:adjustRightInd w:val="0"/>
            </w:pPr>
          </w:p>
          <w:p w:rsidRPr="009B6B0A" w:rsidR="00913B4A" w:rsidP="00913B4A" w:rsidRDefault="00913B4A" w14:paraId="7451654A" w14:textId="2D1C8393">
            <w:pPr>
              <w:autoSpaceDE w:val="0"/>
              <w:autoSpaceDN w:val="0"/>
              <w:adjustRightInd w:val="0"/>
            </w:pPr>
            <w:r w:rsidRPr="006F2565">
              <w:t xml:space="preserve">TURN has allocated all of our </w:t>
            </w:r>
            <w:r>
              <w:t>staff</w:t>
            </w:r>
            <w:r w:rsidRPr="006F2565">
              <w:t xml:space="preserve"> time by issue area, as is evident on our </w:t>
            </w:r>
            <w:r w:rsidRPr="0046433B">
              <w:t xml:space="preserve">attached timesheets (Attachment 2) and in Attachment </w:t>
            </w:r>
            <w:r>
              <w:t>3</w:t>
            </w:r>
            <w:r w:rsidRPr="0046433B">
              <w:t xml:space="preserve">, which shows the allocation of TURN’s time included in this request by </w:t>
            </w:r>
            <w:r w:rsidR="00AA6BDA">
              <w:t>advocate</w:t>
            </w:r>
            <w:r w:rsidRPr="0046433B">
              <w:t xml:space="preserve"> and issue</w:t>
            </w:r>
            <w:r w:rsidRPr="006F2565">
              <w:t xml:space="preserve"> area. The following codes relate</w:t>
            </w:r>
            <w:r>
              <w:t xml:space="preserve"> </w:t>
            </w:r>
            <w:r w:rsidRPr="006F2565">
              <w:t>to specific substantive issue and activity areas addressed by TURN.</w:t>
            </w:r>
          </w:p>
          <w:p w:rsidR="00FE3BAE" w:rsidP="00EC6387" w:rsidRDefault="00FE3BAE" w14:paraId="78501013" w14:textId="77777777">
            <w:pPr>
              <w:rPr>
                <w:color w:val="000000"/>
              </w:rPr>
            </w:pPr>
          </w:p>
          <w:tbl>
            <w:tblPr>
              <w:tblW w:w="6620" w:type="dxa"/>
              <w:tblLook w:val="04A0" w:firstRow="1" w:lastRow="0" w:firstColumn="1" w:lastColumn="0" w:noHBand="0" w:noVBand="1"/>
            </w:tblPr>
            <w:tblGrid>
              <w:gridCol w:w="1540"/>
              <w:gridCol w:w="3820"/>
              <w:gridCol w:w="1260"/>
            </w:tblGrid>
            <w:tr w:rsidR="008D5988" w:rsidTr="008D5988" w14:paraId="0AB76C13" w14:textId="77777777">
              <w:trPr>
                <w:trHeight w:val="560"/>
              </w:trPr>
              <w:tc>
                <w:tcPr>
                  <w:tcW w:w="1540" w:type="dxa"/>
                  <w:tcBorders>
                    <w:top w:val="single" w:color="auto" w:sz="4" w:space="0"/>
                    <w:left w:val="single" w:color="auto" w:sz="4" w:space="0"/>
                    <w:bottom w:val="single" w:color="auto" w:sz="4" w:space="0"/>
                    <w:right w:val="single" w:color="auto" w:sz="4" w:space="0"/>
                  </w:tcBorders>
                  <w:shd w:val="clear" w:color="auto" w:fill="auto"/>
                  <w:hideMark/>
                </w:tcPr>
                <w:p w:rsidR="008D5988" w:rsidP="008D5988" w:rsidRDefault="008D5988" w14:paraId="60897EF7" w14:textId="77777777">
                  <w:pPr>
                    <w:rPr>
                      <w:b/>
                      <w:bCs/>
                      <w:color w:val="000000"/>
                      <w:sz w:val="20"/>
                      <w:szCs w:val="20"/>
                    </w:rPr>
                  </w:pPr>
                  <w:r>
                    <w:rPr>
                      <w:b/>
                      <w:bCs/>
                      <w:color w:val="000000"/>
                      <w:sz w:val="20"/>
                      <w:szCs w:val="20"/>
                    </w:rPr>
                    <w:t>Code</w:t>
                  </w:r>
                </w:p>
              </w:tc>
              <w:tc>
                <w:tcPr>
                  <w:tcW w:w="3820" w:type="dxa"/>
                  <w:tcBorders>
                    <w:top w:val="single" w:color="auto" w:sz="4" w:space="0"/>
                    <w:left w:val="nil"/>
                    <w:bottom w:val="single" w:color="auto" w:sz="4" w:space="0"/>
                    <w:right w:val="single" w:color="auto" w:sz="4" w:space="0"/>
                  </w:tcBorders>
                  <w:shd w:val="clear" w:color="auto" w:fill="auto"/>
                  <w:hideMark/>
                </w:tcPr>
                <w:p w:rsidR="008D5988" w:rsidP="008D5988" w:rsidRDefault="008D5988" w14:paraId="15D8A3DF" w14:textId="77777777">
                  <w:pPr>
                    <w:rPr>
                      <w:b/>
                      <w:bCs/>
                      <w:color w:val="000000"/>
                      <w:sz w:val="20"/>
                      <w:szCs w:val="20"/>
                    </w:rPr>
                  </w:pPr>
                  <w:r>
                    <w:rPr>
                      <w:b/>
                      <w:bCs/>
                      <w:color w:val="000000"/>
                      <w:sz w:val="20"/>
                      <w:szCs w:val="20"/>
                    </w:rPr>
                    <w:t>Description</w:t>
                  </w:r>
                </w:p>
              </w:tc>
              <w:tc>
                <w:tcPr>
                  <w:tcW w:w="1260" w:type="dxa"/>
                  <w:tcBorders>
                    <w:top w:val="single" w:color="auto" w:sz="4" w:space="0"/>
                    <w:left w:val="nil"/>
                    <w:bottom w:val="single" w:color="auto" w:sz="4" w:space="0"/>
                    <w:right w:val="single" w:color="auto" w:sz="4" w:space="0"/>
                  </w:tcBorders>
                  <w:shd w:val="clear" w:color="auto" w:fill="auto"/>
                  <w:hideMark/>
                </w:tcPr>
                <w:p w:rsidR="008D5988" w:rsidP="008D5988" w:rsidRDefault="008D5988" w14:paraId="33136932" w14:textId="77777777">
                  <w:pPr>
                    <w:rPr>
                      <w:b/>
                      <w:bCs/>
                      <w:color w:val="000000"/>
                      <w:sz w:val="20"/>
                      <w:szCs w:val="20"/>
                    </w:rPr>
                  </w:pPr>
                  <w:r>
                    <w:rPr>
                      <w:b/>
                      <w:bCs/>
                      <w:color w:val="000000"/>
                      <w:sz w:val="20"/>
                      <w:szCs w:val="20"/>
                    </w:rPr>
                    <w:t>Allocation of Time</w:t>
                  </w:r>
                </w:p>
              </w:tc>
            </w:tr>
            <w:tr w:rsidR="008D5988" w:rsidTr="008D5988" w14:paraId="120EA220" w14:textId="77777777">
              <w:trPr>
                <w:trHeight w:val="84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39B9BE43" w14:textId="77777777">
                  <w:pPr>
                    <w:rPr>
                      <w:color w:val="000000"/>
                      <w:sz w:val="20"/>
                      <w:szCs w:val="20"/>
                    </w:rPr>
                  </w:pPr>
                  <w:r>
                    <w:rPr>
                      <w:color w:val="000000"/>
                      <w:sz w:val="20"/>
                      <w:szCs w:val="20"/>
                    </w:rPr>
                    <w:t>Ph2-Afford</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25C4F45F" w14:textId="77777777">
                  <w:pPr>
                    <w:rPr>
                      <w:color w:val="000000"/>
                      <w:sz w:val="20"/>
                      <w:szCs w:val="20"/>
                    </w:rPr>
                  </w:pPr>
                  <w:r>
                    <w:rPr>
                      <w:color w:val="000000"/>
                      <w:sz w:val="20"/>
                      <w:szCs w:val="20"/>
                    </w:rPr>
                    <w:t>Work related to advocating for the consideration of affordability in determining a reasonable cap on interim cost recovery</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0FDFA6CC" w14:textId="77777777">
                  <w:pPr>
                    <w:jc w:val="right"/>
                    <w:rPr>
                      <w:color w:val="000000"/>
                      <w:sz w:val="20"/>
                      <w:szCs w:val="20"/>
                    </w:rPr>
                  </w:pPr>
                  <w:r>
                    <w:rPr>
                      <w:color w:val="000000"/>
                      <w:sz w:val="20"/>
                      <w:szCs w:val="20"/>
                    </w:rPr>
                    <w:t>2.5%</w:t>
                  </w:r>
                </w:p>
              </w:tc>
            </w:tr>
            <w:tr w:rsidR="008D5988" w:rsidTr="008D5988" w14:paraId="0F3F5BBF" w14:textId="77777777">
              <w:trPr>
                <w:trHeight w:val="84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566E5A13" w14:textId="77777777">
                  <w:pPr>
                    <w:rPr>
                      <w:color w:val="000000"/>
                      <w:sz w:val="20"/>
                      <w:szCs w:val="20"/>
                    </w:rPr>
                  </w:pPr>
                  <w:r>
                    <w:rPr>
                      <w:color w:val="000000"/>
                      <w:sz w:val="20"/>
                      <w:szCs w:val="20"/>
                    </w:rPr>
                    <w:t>Ph2-Alts</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62826A6F" w14:textId="77777777">
                  <w:pPr>
                    <w:rPr>
                      <w:color w:val="000000"/>
                      <w:sz w:val="20"/>
                      <w:szCs w:val="20"/>
                    </w:rPr>
                  </w:pPr>
                  <w:r>
                    <w:rPr>
                      <w:color w:val="000000"/>
                      <w:sz w:val="20"/>
                      <w:szCs w:val="20"/>
                    </w:rPr>
                    <w:t>Work related to reducing the need for interim cost recovery through alternative funding sources or operational practices</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403A14DE" w14:textId="77777777">
                  <w:pPr>
                    <w:jc w:val="right"/>
                    <w:rPr>
                      <w:color w:val="000000"/>
                      <w:sz w:val="20"/>
                      <w:szCs w:val="20"/>
                    </w:rPr>
                  </w:pPr>
                  <w:r>
                    <w:rPr>
                      <w:color w:val="000000"/>
                      <w:sz w:val="20"/>
                      <w:szCs w:val="20"/>
                    </w:rPr>
                    <w:t>7.3%</w:t>
                  </w:r>
                </w:p>
              </w:tc>
            </w:tr>
            <w:tr w:rsidR="008D5988" w:rsidTr="008D5988" w14:paraId="05484A8B" w14:textId="77777777">
              <w:trPr>
                <w:trHeight w:val="84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0CAF72BA" w14:textId="77777777">
                  <w:pPr>
                    <w:rPr>
                      <w:color w:val="000000"/>
                      <w:sz w:val="20"/>
                      <w:szCs w:val="20"/>
                    </w:rPr>
                  </w:pPr>
                  <w:r>
                    <w:rPr>
                      <w:color w:val="000000"/>
                      <w:sz w:val="20"/>
                      <w:szCs w:val="20"/>
                    </w:rPr>
                    <w:t>Ph2-Brief</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41D0EFDC" w14:textId="77777777">
                  <w:pPr>
                    <w:rPr>
                      <w:color w:val="000000"/>
                      <w:sz w:val="20"/>
                      <w:szCs w:val="20"/>
                    </w:rPr>
                  </w:pPr>
                  <w:r>
                    <w:rPr>
                      <w:color w:val="000000"/>
                      <w:sz w:val="20"/>
                      <w:szCs w:val="20"/>
                    </w:rPr>
                    <w:t>Work related to briefing that was not specific to one of the major issue areas addressed by TURN in its testimony</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078E9DCC" w14:textId="77777777">
                  <w:pPr>
                    <w:jc w:val="right"/>
                    <w:rPr>
                      <w:color w:val="000000"/>
                      <w:sz w:val="20"/>
                      <w:szCs w:val="20"/>
                    </w:rPr>
                  </w:pPr>
                  <w:r>
                    <w:rPr>
                      <w:color w:val="000000"/>
                      <w:sz w:val="20"/>
                      <w:szCs w:val="20"/>
                    </w:rPr>
                    <w:t>5.3%</w:t>
                  </w:r>
                </w:p>
              </w:tc>
            </w:tr>
            <w:tr w:rsidR="008D5988" w:rsidTr="008D5988" w14:paraId="4FCD633B" w14:textId="77777777">
              <w:trPr>
                <w:trHeight w:val="56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41606926" w14:textId="77777777">
                  <w:pPr>
                    <w:rPr>
                      <w:color w:val="000000"/>
                      <w:sz w:val="20"/>
                      <w:szCs w:val="20"/>
                    </w:rPr>
                  </w:pPr>
                  <w:r>
                    <w:rPr>
                      <w:color w:val="000000"/>
                      <w:sz w:val="20"/>
                      <w:szCs w:val="20"/>
                    </w:rPr>
                    <w:t>Ph2-Comp</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2AAEA88E" w14:textId="77777777">
                  <w:pPr>
                    <w:rPr>
                      <w:color w:val="000000"/>
                      <w:sz w:val="20"/>
                      <w:szCs w:val="20"/>
                    </w:rPr>
                  </w:pPr>
                  <w:r>
                    <w:rPr>
                      <w:color w:val="000000"/>
                      <w:sz w:val="20"/>
                      <w:szCs w:val="20"/>
                    </w:rPr>
                    <w:t>Work preparing TURN's request for intervenor compensation</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09850996" w14:textId="77777777">
                  <w:pPr>
                    <w:jc w:val="right"/>
                    <w:rPr>
                      <w:color w:val="000000"/>
                      <w:sz w:val="20"/>
                      <w:szCs w:val="20"/>
                    </w:rPr>
                  </w:pPr>
                  <w:r>
                    <w:rPr>
                      <w:color w:val="000000"/>
                      <w:sz w:val="20"/>
                      <w:szCs w:val="20"/>
                    </w:rPr>
                    <w:t>4.6%</w:t>
                  </w:r>
                </w:p>
              </w:tc>
            </w:tr>
            <w:tr w:rsidR="008D5988" w:rsidTr="008D5988" w14:paraId="1B6047AE" w14:textId="77777777">
              <w:trPr>
                <w:trHeight w:val="140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1564C0ED" w14:textId="77777777">
                  <w:pPr>
                    <w:rPr>
                      <w:color w:val="000000"/>
                      <w:sz w:val="20"/>
                      <w:szCs w:val="20"/>
                    </w:rPr>
                  </w:pPr>
                  <w:r>
                    <w:rPr>
                      <w:color w:val="000000"/>
                      <w:sz w:val="20"/>
                      <w:szCs w:val="20"/>
                    </w:rPr>
                    <w:t>Ph2-Coord</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554A0C8D" w14:textId="77777777">
                  <w:pPr>
                    <w:rPr>
                      <w:color w:val="000000"/>
                      <w:sz w:val="20"/>
                      <w:szCs w:val="20"/>
                    </w:rPr>
                  </w:pPr>
                  <w:r>
                    <w:rPr>
                      <w:color w:val="000000"/>
                      <w:sz w:val="20"/>
                      <w:szCs w:val="20"/>
                    </w:rPr>
                    <w:t>Work related to internal or external coordination to inform TURN's efficient and effective participation that was not specific to one of the major issue areas addressed by TURN</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14D06FDE" w14:textId="77777777">
                  <w:pPr>
                    <w:jc w:val="right"/>
                    <w:rPr>
                      <w:color w:val="000000"/>
                      <w:sz w:val="20"/>
                      <w:szCs w:val="20"/>
                    </w:rPr>
                  </w:pPr>
                  <w:r>
                    <w:rPr>
                      <w:color w:val="000000"/>
                      <w:sz w:val="20"/>
                      <w:szCs w:val="20"/>
                    </w:rPr>
                    <w:t>0.5%</w:t>
                  </w:r>
                </w:p>
              </w:tc>
            </w:tr>
            <w:tr w:rsidR="008D5988" w:rsidTr="008D5988" w14:paraId="7B44D0D9" w14:textId="77777777">
              <w:trPr>
                <w:trHeight w:val="84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57AAA23F" w14:textId="77777777">
                  <w:pPr>
                    <w:rPr>
                      <w:color w:val="000000"/>
                      <w:sz w:val="20"/>
                      <w:szCs w:val="20"/>
                    </w:rPr>
                  </w:pPr>
                  <w:r>
                    <w:rPr>
                      <w:color w:val="000000"/>
                      <w:sz w:val="20"/>
                      <w:szCs w:val="20"/>
                    </w:rPr>
                    <w:t>Ph2-Costs</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481F2207" w14:textId="77777777">
                  <w:pPr>
                    <w:rPr>
                      <w:color w:val="000000"/>
                      <w:sz w:val="20"/>
                      <w:szCs w:val="20"/>
                    </w:rPr>
                  </w:pPr>
                  <w:r>
                    <w:rPr>
                      <w:color w:val="000000"/>
                      <w:sz w:val="20"/>
                      <w:szCs w:val="20"/>
                    </w:rPr>
                    <w:t>Work related to determining costs eligible for tracking in the SB 410 account and the interim cost recovery cap</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6D6949E5" w14:textId="77777777">
                  <w:pPr>
                    <w:jc w:val="right"/>
                    <w:rPr>
                      <w:color w:val="000000"/>
                      <w:sz w:val="20"/>
                      <w:szCs w:val="20"/>
                    </w:rPr>
                  </w:pPr>
                  <w:r>
                    <w:rPr>
                      <w:color w:val="000000"/>
                      <w:sz w:val="20"/>
                      <w:szCs w:val="20"/>
                    </w:rPr>
                    <w:t>32.3%</w:t>
                  </w:r>
                </w:p>
              </w:tc>
            </w:tr>
            <w:tr w:rsidR="008D5988" w:rsidTr="008D5988" w14:paraId="73FE72F1" w14:textId="77777777">
              <w:trPr>
                <w:trHeight w:val="84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1A0CFC03" w14:textId="77777777">
                  <w:pPr>
                    <w:rPr>
                      <w:color w:val="000000"/>
                      <w:sz w:val="20"/>
                      <w:szCs w:val="20"/>
                    </w:rPr>
                  </w:pPr>
                  <w:r>
                    <w:rPr>
                      <w:color w:val="000000"/>
                      <w:sz w:val="20"/>
                      <w:szCs w:val="20"/>
                    </w:rPr>
                    <w:t>Ph2-Disc</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7F2CB735" w14:textId="77777777">
                  <w:pPr>
                    <w:rPr>
                      <w:color w:val="000000"/>
                      <w:sz w:val="20"/>
                      <w:szCs w:val="20"/>
                    </w:rPr>
                  </w:pPr>
                  <w:r>
                    <w:rPr>
                      <w:color w:val="000000"/>
                      <w:sz w:val="20"/>
                      <w:szCs w:val="20"/>
                    </w:rPr>
                    <w:t>Work related to discovery that was not specific to one of the major issue areas addressed by TURN in its testimony</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717D6E54" w14:textId="77777777">
                  <w:pPr>
                    <w:jc w:val="right"/>
                    <w:rPr>
                      <w:color w:val="000000"/>
                      <w:sz w:val="20"/>
                      <w:szCs w:val="20"/>
                    </w:rPr>
                  </w:pPr>
                  <w:r>
                    <w:rPr>
                      <w:color w:val="000000"/>
                      <w:sz w:val="20"/>
                      <w:szCs w:val="20"/>
                    </w:rPr>
                    <w:t>1.7%</w:t>
                  </w:r>
                </w:p>
              </w:tc>
            </w:tr>
            <w:tr w:rsidR="008D5988" w:rsidTr="008D5988" w14:paraId="7A348C12" w14:textId="77777777">
              <w:trPr>
                <w:trHeight w:val="56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038C6D15" w14:textId="77777777">
                  <w:pPr>
                    <w:rPr>
                      <w:color w:val="000000"/>
                      <w:sz w:val="20"/>
                      <w:szCs w:val="20"/>
                    </w:rPr>
                  </w:pPr>
                  <w:r>
                    <w:rPr>
                      <w:color w:val="000000"/>
                      <w:sz w:val="20"/>
                      <w:szCs w:val="20"/>
                    </w:rPr>
                    <w:t>Ph2-EH</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3D4176E7" w14:textId="77777777">
                  <w:pPr>
                    <w:rPr>
                      <w:color w:val="000000"/>
                      <w:sz w:val="20"/>
                      <w:szCs w:val="20"/>
                    </w:rPr>
                  </w:pPr>
                  <w:r>
                    <w:rPr>
                      <w:color w:val="000000"/>
                      <w:sz w:val="20"/>
                      <w:szCs w:val="20"/>
                    </w:rPr>
                    <w:t>Preparation for and participation in the evidentiary hearing conducted in Phase II</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137B3F35" w14:textId="77777777">
                  <w:pPr>
                    <w:jc w:val="right"/>
                    <w:rPr>
                      <w:color w:val="000000"/>
                      <w:sz w:val="20"/>
                      <w:szCs w:val="20"/>
                    </w:rPr>
                  </w:pPr>
                  <w:r>
                    <w:rPr>
                      <w:color w:val="000000"/>
                      <w:sz w:val="20"/>
                      <w:szCs w:val="20"/>
                    </w:rPr>
                    <w:t>7.8%</w:t>
                  </w:r>
                </w:p>
              </w:tc>
            </w:tr>
            <w:tr w:rsidR="008D5988" w:rsidTr="008D5988" w14:paraId="652426C4" w14:textId="77777777">
              <w:trPr>
                <w:trHeight w:val="56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4CEE9B1B" w14:textId="77777777">
                  <w:pPr>
                    <w:rPr>
                      <w:color w:val="000000"/>
                      <w:sz w:val="20"/>
                      <w:szCs w:val="20"/>
                    </w:rPr>
                  </w:pPr>
                  <w:r>
                    <w:rPr>
                      <w:color w:val="000000"/>
                      <w:sz w:val="20"/>
                      <w:szCs w:val="20"/>
                    </w:rPr>
                    <w:t>Ph2-GP</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78C12B5A" w14:textId="77777777">
                  <w:pPr>
                    <w:rPr>
                      <w:color w:val="000000"/>
                      <w:sz w:val="20"/>
                      <w:szCs w:val="20"/>
                    </w:rPr>
                  </w:pPr>
                  <w:r>
                    <w:rPr>
                      <w:color w:val="000000"/>
                      <w:sz w:val="20"/>
                      <w:szCs w:val="20"/>
                    </w:rPr>
                    <w:t>General participation related to Phase II, such as reviewing rulings on scope and schedule</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25A92604" w14:textId="77777777">
                  <w:pPr>
                    <w:jc w:val="right"/>
                    <w:rPr>
                      <w:color w:val="000000"/>
                      <w:sz w:val="20"/>
                      <w:szCs w:val="20"/>
                    </w:rPr>
                  </w:pPr>
                  <w:r>
                    <w:rPr>
                      <w:color w:val="000000"/>
                      <w:sz w:val="20"/>
                      <w:szCs w:val="20"/>
                    </w:rPr>
                    <w:t>0.8%</w:t>
                  </w:r>
                </w:p>
              </w:tc>
            </w:tr>
            <w:tr w:rsidR="008D5988" w:rsidTr="008D5988" w14:paraId="75A8F94D" w14:textId="77777777">
              <w:trPr>
                <w:trHeight w:val="112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36F019B3" w14:textId="77777777">
                  <w:pPr>
                    <w:rPr>
                      <w:color w:val="000000"/>
                      <w:sz w:val="20"/>
                      <w:szCs w:val="20"/>
                    </w:rPr>
                  </w:pPr>
                  <w:r>
                    <w:rPr>
                      <w:color w:val="000000"/>
                      <w:sz w:val="20"/>
                      <w:szCs w:val="20"/>
                    </w:rPr>
                    <w:lastRenderedPageBreak/>
                    <w:t>Ph2-Oversight</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3416C278" w14:textId="77777777">
                  <w:pPr>
                    <w:rPr>
                      <w:color w:val="000000"/>
                      <w:sz w:val="20"/>
                      <w:szCs w:val="20"/>
                    </w:rPr>
                  </w:pPr>
                  <w:r>
                    <w:rPr>
                      <w:color w:val="000000"/>
                      <w:sz w:val="20"/>
                      <w:szCs w:val="20"/>
                    </w:rPr>
                    <w:t>Work related to the Commission's oversight of PG&amp;E's SB 410 costs, including auditor requirements, data tracking and reporting, and reasonableness review</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682F3249" w14:textId="77777777">
                  <w:pPr>
                    <w:jc w:val="right"/>
                    <w:rPr>
                      <w:color w:val="000000"/>
                      <w:sz w:val="20"/>
                      <w:szCs w:val="20"/>
                    </w:rPr>
                  </w:pPr>
                  <w:r>
                    <w:rPr>
                      <w:color w:val="000000"/>
                      <w:sz w:val="20"/>
                      <w:szCs w:val="20"/>
                    </w:rPr>
                    <w:t>12.6%</w:t>
                  </w:r>
                </w:p>
              </w:tc>
            </w:tr>
            <w:tr w:rsidR="008D5988" w:rsidTr="008D5988" w14:paraId="388F381B" w14:textId="77777777">
              <w:trPr>
                <w:trHeight w:val="84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6E70F68E" w14:textId="77777777">
                  <w:pPr>
                    <w:rPr>
                      <w:color w:val="000000"/>
                      <w:sz w:val="20"/>
                      <w:szCs w:val="20"/>
                    </w:rPr>
                  </w:pPr>
                  <w:r>
                    <w:rPr>
                      <w:color w:val="000000"/>
                      <w:sz w:val="20"/>
                      <w:szCs w:val="20"/>
                    </w:rPr>
                    <w:t>Ph2-PD</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7EAFA1E3" w14:textId="77777777">
                  <w:pPr>
                    <w:rPr>
                      <w:color w:val="000000"/>
                      <w:sz w:val="20"/>
                      <w:szCs w:val="20"/>
                    </w:rPr>
                  </w:pPr>
                  <w:r>
                    <w:rPr>
                      <w:color w:val="000000"/>
                      <w:sz w:val="20"/>
                      <w:szCs w:val="20"/>
                    </w:rPr>
                    <w:t>Work related to reviewing and commenting on the proposed decision that preceded D.24-07-008</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32E28EDB" w14:textId="77777777">
                  <w:pPr>
                    <w:jc w:val="right"/>
                    <w:rPr>
                      <w:color w:val="000000"/>
                      <w:sz w:val="20"/>
                      <w:szCs w:val="20"/>
                    </w:rPr>
                  </w:pPr>
                  <w:r>
                    <w:rPr>
                      <w:color w:val="000000"/>
                      <w:sz w:val="20"/>
                      <w:szCs w:val="20"/>
                    </w:rPr>
                    <w:t>11.3%</w:t>
                  </w:r>
                </w:p>
              </w:tc>
            </w:tr>
            <w:tr w:rsidR="008D5988" w:rsidTr="008D5988" w14:paraId="2A706B38" w14:textId="77777777">
              <w:trPr>
                <w:trHeight w:val="56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696847C3" w14:textId="77777777">
                  <w:pPr>
                    <w:rPr>
                      <w:color w:val="000000"/>
                      <w:sz w:val="20"/>
                      <w:szCs w:val="20"/>
                    </w:rPr>
                  </w:pPr>
                  <w:r>
                    <w:rPr>
                      <w:color w:val="000000"/>
                      <w:sz w:val="20"/>
                      <w:szCs w:val="20"/>
                    </w:rPr>
                    <w:t>Ph2-Proc</w:t>
                  </w:r>
                </w:p>
              </w:tc>
              <w:tc>
                <w:tcPr>
                  <w:tcW w:w="3820" w:type="dxa"/>
                  <w:tcBorders>
                    <w:top w:val="nil"/>
                    <w:left w:val="nil"/>
                    <w:bottom w:val="nil"/>
                    <w:right w:val="nil"/>
                  </w:tcBorders>
                  <w:shd w:val="clear" w:color="auto" w:fill="auto"/>
                  <w:hideMark/>
                </w:tcPr>
                <w:p w:rsidR="008D5988" w:rsidP="008D5988" w:rsidRDefault="008D5988" w14:paraId="6095E984" w14:textId="77777777">
                  <w:pPr>
                    <w:rPr>
                      <w:color w:val="000000"/>
                      <w:sz w:val="20"/>
                      <w:szCs w:val="20"/>
                    </w:rPr>
                  </w:pPr>
                  <w:r>
                    <w:rPr>
                      <w:color w:val="000000"/>
                      <w:sz w:val="20"/>
                      <w:szCs w:val="20"/>
                    </w:rPr>
                    <w:t>Procedural work required by ALJs, including meet and confers, status conferences, PHCs</w:t>
                  </w:r>
                </w:p>
              </w:tc>
              <w:tc>
                <w:tcPr>
                  <w:tcW w:w="126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722C5972" w14:textId="77777777">
                  <w:pPr>
                    <w:jc w:val="right"/>
                    <w:rPr>
                      <w:color w:val="000000"/>
                      <w:sz w:val="20"/>
                      <w:szCs w:val="20"/>
                    </w:rPr>
                  </w:pPr>
                  <w:r>
                    <w:rPr>
                      <w:color w:val="000000"/>
                      <w:sz w:val="20"/>
                      <w:szCs w:val="20"/>
                    </w:rPr>
                    <w:t>2.5%</w:t>
                  </w:r>
                </w:p>
              </w:tc>
            </w:tr>
            <w:tr w:rsidR="008D5988" w:rsidTr="008D5988" w14:paraId="2C13F6D9" w14:textId="77777777">
              <w:trPr>
                <w:trHeight w:val="84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35CE001D" w14:textId="77777777">
                  <w:pPr>
                    <w:rPr>
                      <w:color w:val="000000"/>
                      <w:sz w:val="20"/>
                      <w:szCs w:val="20"/>
                    </w:rPr>
                  </w:pPr>
                  <w:r>
                    <w:rPr>
                      <w:color w:val="000000"/>
                      <w:sz w:val="20"/>
                      <w:szCs w:val="20"/>
                    </w:rPr>
                    <w:t>Ph2-Scope</w:t>
                  </w:r>
                </w:p>
              </w:tc>
              <w:tc>
                <w:tcPr>
                  <w:tcW w:w="3820" w:type="dxa"/>
                  <w:tcBorders>
                    <w:top w:val="single" w:color="auto" w:sz="4" w:space="0"/>
                    <w:left w:val="nil"/>
                    <w:bottom w:val="single" w:color="auto" w:sz="4" w:space="0"/>
                    <w:right w:val="single" w:color="auto" w:sz="4" w:space="0"/>
                  </w:tcBorders>
                  <w:shd w:val="clear" w:color="auto" w:fill="auto"/>
                  <w:hideMark/>
                </w:tcPr>
                <w:p w:rsidR="008D5988" w:rsidP="008D5988" w:rsidRDefault="008D5988" w14:paraId="3AE717ED" w14:textId="77777777">
                  <w:pPr>
                    <w:rPr>
                      <w:color w:val="000000"/>
                      <w:sz w:val="20"/>
                      <w:szCs w:val="20"/>
                    </w:rPr>
                  </w:pPr>
                  <w:r>
                    <w:rPr>
                      <w:color w:val="000000"/>
                      <w:sz w:val="20"/>
                      <w:szCs w:val="20"/>
                    </w:rPr>
                    <w:t>Work responding to PG&amp;E's motion to supplement its Phase II request to include MWC 10 costs</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4E8DAC33" w14:textId="77777777">
                  <w:pPr>
                    <w:jc w:val="right"/>
                    <w:rPr>
                      <w:color w:val="000000"/>
                      <w:sz w:val="20"/>
                      <w:szCs w:val="20"/>
                    </w:rPr>
                  </w:pPr>
                  <w:r>
                    <w:rPr>
                      <w:color w:val="000000"/>
                      <w:sz w:val="20"/>
                      <w:szCs w:val="20"/>
                    </w:rPr>
                    <w:t>2.7%</w:t>
                  </w:r>
                </w:p>
              </w:tc>
            </w:tr>
            <w:tr w:rsidR="008D5988" w:rsidTr="008D5988" w14:paraId="3997FD19" w14:textId="77777777">
              <w:trPr>
                <w:trHeight w:val="840"/>
              </w:trPr>
              <w:tc>
                <w:tcPr>
                  <w:tcW w:w="1540" w:type="dxa"/>
                  <w:tcBorders>
                    <w:top w:val="nil"/>
                    <w:left w:val="single" w:color="auto" w:sz="4" w:space="0"/>
                    <w:bottom w:val="single" w:color="auto" w:sz="4" w:space="0"/>
                    <w:right w:val="single" w:color="auto" w:sz="4" w:space="0"/>
                  </w:tcBorders>
                  <w:shd w:val="clear" w:color="auto" w:fill="auto"/>
                  <w:hideMark/>
                </w:tcPr>
                <w:p w:rsidR="008D5988" w:rsidP="008D5988" w:rsidRDefault="008D5988" w14:paraId="14F19FE7" w14:textId="77777777">
                  <w:pPr>
                    <w:rPr>
                      <w:color w:val="000000"/>
                      <w:sz w:val="20"/>
                      <w:szCs w:val="20"/>
                    </w:rPr>
                  </w:pPr>
                  <w:r>
                    <w:rPr>
                      <w:color w:val="000000"/>
                      <w:sz w:val="20"/>
                      <w:szCs w:val="20"/>
                    </w:rPr>
                    <w:t>Ph2-Test</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149015D2" w14:textId="77777777">
                  <w:pPr>
                    <w:rPr>
                      <w:color w:val="000000"/>
                      <w:sz w:val="20"/>
                      <w:szCs w:val="20"/>
                    </w:rPr>
                  </w:pPr>
                  <w:r>
                    <w:rPr>
                      <w:color w:val="000000"/>
                      <w:sz w:val="20"/>
                      <w:szCs w:val="20"/>
                    </w:rPr>
                    <w:t>Work related to developing TURN's Ph II testimony that was not specific to one of the major issue areas addressed by TURN</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76A1D5E7" w14:textId="77777777">
                  <w:pPr>
                    <w:jc w:val="right"/>
                    <w:rPr>
                      <w:color w:val="000000"/>
                      <w:sz w:val="20"/>
                      <w:szCs w:val="20"/>
                    </w:rPr>
                  </w:pPr>
                  <w:r>
                    <w:rPr>
                      <w:color w:val="000000"/>
                      <w:sz w:val="20"/>
                      <w:szCs w:val="20"/>
                    </w:rPr>
                    <w:t>8.1%</w:t>
                  </w:r>
                </w:p>
              </w:tc>
            </w:tr>
            <w:tr w:rsidR="008D5988" w:rsidTr="008D5988" w14:paraId="757A590A" w14:textId="77777777">
              <w:trPr>
                <w:trHeight w:val="280"/>
              </w:trPr>
              <w:tc>
                <w:tcPr>
                  <w:tcW w:w="1540" w:type="dxa"/>
                  <w:tcBorders>
                    <w:top w:val="nil"/>
                    <w:left w:val="single" w:color="auto" w:sz="4" w:space="0"/>
                    <w:bottom w:val="single" w:color="auto" w:sz="4" w:space="0"/>
                    <w:right w:val="single" w:color="auto" w:sz="4" w:space="0"/>
                  </w:tcBorders>
                  <w:shd w:val="clear" w:color="auto" w:fill="auto"/>
                  <w:vAlign w:val="bottom"/>
                  <w:hideMark/>
                </w:tcPr>
                <w:p w:rsidR="008D5988" w:rsidP="008D5988" w:rsidRDefault="008D5988" w14:paraId="16D57D6E" w14:textId="77777777">
                  <w:pPr>
                    <w:rPr>
                      <w:b/>
                      <w:bCs/>
                      <w:color w:val="000000"/>
                      <w:sz w:val="20"/>
                      <w:szCs w:val="20"/>
                    </w:rPr>
                  </w:pPr>
                  <w:r>
                    <w:rPr>
                      <w:b/>
                      <w:bCs/>
                      <w:color w:val="000000"/>
                      <w:sz w:val="20"/>
                      <w:szCs w:val="20"/>
                    </w:rPr>
                    <w:t>TOTAL</w:t>
                  </w:r>
                </w:p>
              </w:tc>
              <w:tc>
                <w:tcPr>
                  <w:tcW w:w="3820" w:type="dxa"/>
                  <w:tcBorders>
                    <w:top w:val="nil"/>
                    <w:left w:val="nil"/>
                    <w:bottom w:val="single" w:color="auto" w:sz="4" w:space="0"/>
                    <w:right w:val="single" w:color="auto" w:sz="4" w:space="0"/>
                  </w:tcBorders>
                  <w:shd w:val="clear" w:color="auto" w:fill="auto"/>
                  <w:hideMark/>
                </w:tcPr>
                <w:p w:rsidR="008D5988" w:rsidP="008D5988" w:rsidRDefault="008D5988" w14:paraId="1739942B" w14:textId="77777777">
                  <w:pPr>
                    <w:rPr>
                      <w:b/>
                      <w:bCs/>
                      <w:color w:val="000000"/>
                      <w:sz w:val="20"/>
                      <w:szCs w:val="20"/>
                    </w:rPr>
                  </w:pPr>
                  <w:r>
                    <w:rPr>
                      <w:b/>
                      <w:bCs/>
                      <w:color w:val="000000"/>
                      <w:sz w:val="20"/>
                      <w:szCs w:val="20"/>
                    </w:rPr>
                    <w:t> </w:t>
                  </w:r>
                </w:p>
              </w:tc>
              <w:tc>
                <w:tcPr>
                  <w:tcW w:w="1260" w:type="dxa"/>
                  <w:tcBorders>
                    <w:top w:val="nil"/>
                    <w:left w:val="nil"/>
                    <w:bottom w:val="single" w:color="auto" w:sz="4" w:space="0"/>
                    <w:right w:val="single" w:color="auto" w:sz="4" w:space="0"/>
                  </w:tcBorders>
                  <w:shd w:val="clear" w:color="auto" w:fill="auto"/>
                  <w:hideMark/>
                </w:tcPr>
                <w:p w:rsidR="008D5988" w:rsidP="008D5988" w:rsidRDefault="008D5988" w14:paraId="16F5F9BC" w14:textId="77777777">
                  <w:pPr>
                    <w:jc w:val="right"/>
                    <w:rPr>
                      <w:b/>
                      <w:bCs/>
                      <w:color w:val="000000"/>
                      <w:sz w:val="20"/>
                      <w:szCs w:val="20"/>
                    </w:rPr>
                  </w:pPr>
                  <w:r>
                    <w:rPr>
                      <w:b/>
                      <w:bCs/>
                      <w:color w:val="000000"/>
                      <w:sz w:val="20"/>
                      <w:szCs w:val="20"/>
                    </w:rPr>
                    <w:t>100.0%</w:t>
                  </w:r>
                </w:p>
              </w:tc>
            </w:tr>
          </w:tbl>
          <w:p w:rsidR="00A80D8B" w:rsidP="00375092" w:rsidRDefault="00A80D8B" w14:paraId="3B4FE458" w14:textId="1AC114FC">
            <w:pPr>
              <w:rPr>
                <w:color w:val="000000"/>
              </w:rPr>
            </w:pPr>
          </w:p>
          <w:p w:rsidRPr="00DE4516" w:rsidR="00DE4516" w:rsidP="00DE4516" w:rsidRDefault="00DE4516" w14:paraId="37987971" w14:textId="3BADDDF4">
            <w:pPr>
              <w:autoSpaceDE w:val="0"/>
              <w:autoSpaceDN w:val="0"/>
              <w:adjustRightInd w:val="0"/>
            </w:pPr>
            <w:r w:rsidRPr="006F2565">
              <w:t>If the Commission believes that a different approach to issue-specific allocation is</w:t>
            </w:r>
            <w:r>
              <w:t xml:space="preserve"> </w:t>
            </w:r>
            <w:r w:rsidRPr="006F2565">
              <w:t>warranted here, TURN requests the opportunity to supplement this section of the</w:t>
            </w:r>
            <w:r>
              <w:t xml:space="preserve"> </w:t>
            </w:r>
            <w:r w:rsidRPr="006F2565">
              <w:t>request.</w:t>
            </w:r>
          </w:p>
          <w:p w:rsidRPr="002D28A6" w:rsidR="00691528" w:rsidP="004E5D48" w:rsidRDefault="00691528" w14:paraId="3285939A" w14:textId="57BA040E">
            <w:pPr>
              <w:rPr>
                <w:color w:val="000000"/>
              </w:rPr>
            </w:pPr>
          </w:p>
        </w:tc>
        <w:tc>
          <w:tcPr>
            <w:tcW w:w="2250" w:type="dxa"/>
            <w:shd w:val="clear" w:color="auto" w:fill="auto"/>
          </w:tcPr>
          <w:p w:rsidR="00FE3BAE" w:rsidP="00EC6387" w:rsidRDefault="00FE3BAE" w14:paraId="07DB3150" w14:textId="77777777">
            <w:pPr>
              <w:rPr>
                <w:color w:val="000000"/>
              </w:rPr>
            </w:pPr>
          </w:p>
          <w:p w:rsidR="00190B9E" w:rsidP="00EC6387" w:rsidRDefault="00190B9E" w14:paraId="28BF7CFB" w14:textId="77777777">
            <w:pPr>
              <w:rPr>
                <w:color w:val="000000"/>
              </w:rPr>
            </w:pPr>
          </w:p>
          <w:p w:rsidR="00190B9E" w:rsidP="00EC6387" w:rsidRDefault="00190B9E" w14:paraId="59815F67" w14:textId="77777777">
            <w:pPr>
              <w:rPr>
                <w:color w:val="000000"/>
              </w:rPr>
            </w:pPr>
          </w:p>
          <w:p w:rsidRPr="002D28A6" w:rsidR="00190B9E" w:rsidP="00190B9E" w:rsidRDefault="00190B9E" w14:paraId="497C4799" w14:textId="572CA00F">
            <w:pPr>
              <w:jc w:val="center"/>
              <w:rPr>
                <w:color w:val="000000"/>
              </w:rPr>
            </w:pPr>
            <w:r>
              <w:rPr>
                <w:color w:val="000000"/>
              </w:rPr>
              <w:t>Noted</w:t>
            </w:r>
          </w:p>
        </w:tc>
      </w:tr>
    </w:tbl>
    <w:p w:rsidRPr="002D28A6" w:rsidR="00A92D0B" w:rsidP="005B5B44" w:rsidRDefault="00A92D0B" w14:paraId="710BC7D6" w14:textId="77777777">
      <w:pPr>
        <w:keepNext/>
        <w:numPr>
          <w:ilvl w:val="0"/>
          <w:numId w:val="9"/>
        </w:numPr>
        <w:spacing w:before="240" w:after="240"/>
        <w:rPr>
          <w:b/>
          <w:color w:val="000000"/>
        </w:rPr>
      </w:pPr>
      <w:r w:rsidRPr="002D28A6">
        <w:rPr>
          <w:b/>
          <w:color w:val="000000"/>
        </w:rPr>
        <w:t>Specific Claim</w:t>
      </w:r>
      <w:r w:rsidRPr="002D28A6" w:rsidR="00C02649">
        <w:rPr>
          <w:b/>
          <w:color w:val="000000"/>
        </w:rPr>
        <w:t>:</w:t>
      </w:r>
      <w:r w:rsidRPr="002D28A6" w:rsidR="00D075B1">
        <w:rPr>
          <w:b/>
          <w:color w:val="000000"/>
        </w:rPr>
        <w:t>*</w:t>
      </w:r>
    </w:p>
    <w:tbl>
      <w:tblPr>
        <w:tblW w:w="11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89"/>
        <w:gridCol w:w="821"/>
        <w:gridCol w:w="382"/>
        <w:gridCol w:w="502"/>
        <w:gridCol w:w="930"/>
        <w:gridCol w:w="477"/>
        <w:gridCol w:w="1244"/>
        <w:gridCol w:w="1047"/>
        <w:gridCol w:w="286"/>
        <w:gridCol w:w="955"/>
        <w:gridCol w:w="1146"/>
        <w:gridCol w:w="1881"/>
      </w:tblGrid>
      <w:tr w:rsidRPr="002D28A6" w:rsidR="00A92D0B" w:rsidTr="00EC6387" w14:paraId="780664A2" w14:textId="77777777">
        <w:trPr>
          <w:tblHeader/>
          <w:jc w:val="center"/>
        </w:trPr>
        <w:tc>
          <w:tcPr>
            <w:tcW w:w="7178" w:type="dxa"/>
            <w:gridSpan w:val="9"/>
            <w:tcBorders>
              <w:bottom w:val="single" w:color="auto" w:sz="4" w:space="0"/>
              <w:right w:val="single" w:color="auto" w:sz="24" w:space="0"/>
            </w:tcBorders>
            <w:shd w:val="clear" w:color="auto" w:fill="auto"/>
          </w:tcPr>
          <w:p w:rsidRPr="002D28A6" w:rsidR="00A92D0B" w:rsidP="00DE3A5D" w:rsidRDefault="00A92D0B" w14:paraId="6BFE54DA" w14:textId="77777777">
            <w:pPr>
              <w:keepNext/>
              <w:keepLines/>
              <w:spacing w:before="60" w:after="60"/>
              <w:jc w:val="center"/>
              <w:rPr>
                <w:b/>
                <w:smallCaps/>
                <w:color w:val="000000"/>
              </w:rPr>
            </w:pPr>
            <w:r w:rsidRPr="002D28A6">
              <w:rPr>
                <w:b/>
                <w:smallCaps/>
                <w:color w:val="000000"/>
              </w:rPr>
              <w:t>Claimed</w:t>
            </w:r>
          </w:p>
        </w:tc>
        <w:tc>
          <w:tcPr>
            <w:tcW w:w="3982" w:type="dxa"/>
            <w:gridSpan w:val="3"/>
            <w:tcBorders>
              <w:left w:val="single" w:color="auto" w:sz="24" w:space="0"/>
              <w:bottom w:val="single" w:color="auto" w:sz="4" w:space="0"/>
            </w:tcBorders>
            <w:shd w:val="clear" w:color="auto" w:fill="auto"/>
          </w:tcPr>
          <w:p w:rsidRPr="002D28A6" w:rsidR="00A92D0B" w:rsidP="00DE3A5D" w:rsidRDefault="00A92D0B" w14:paraId="170A0FA1" w14:textId="77777777">
            <w:pPr>
              <w:keepNext/>
              <w:keepLines/>
              <w:spacing w:before="60" w:after="60"/>
              <w:jc w:val="center"/>
              <w:rPr>
                <w:b/>
                <w:smallCaps/>
                <w:color w:val="000000"/>
              </w:rPr>
            </w:pPr>
            <w:r w:rsidRPr="002D28A6">
              <w:rPr>
                <w:b/>
                <w:smallCaps/>
                <w:color w:val="000000"/>
              </w:rPr>
              <w:t>CPUC Award</w:t>
            </w:r>
          </w:p>
        </w:tc>
      </w:tr>
      <w:tr w:rsidRPr="002D28A6" w:rsidR="00A92D0B" w:rsidTr="00EC6387" w14:paraId="0F5B6CAA"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2D28A6" w:rsidR="00A92D0B" w:rsidP="00DE3A5D" w:rsidRDefault="00A92D0B" w14:paraId="284F9031" w14:textId="77777777">
            <w:pPr>
              <w:keepNext/>
              <w:keepLines/>
              <w:spacing w:before="60" w:after="60"/>
              <w:jc w:val="center"/>
              <w:rPr>
                <w:b/>
              </w:rPr>
            </w:pPr>
            <w:r w:rsidRPr="002D28A6">
              <w:rPr>
                <w:b/>
              </w:rPr>
              <w:t>ATTORNEY, EXPERT, AND ADVOCATE FEES</w:t>
            </w:r>
          </w:p>
        </w:tc>
      </w:tr>
      <w:tr w:rsidRPr="002D28A6" w:rsidR="00A92D0B" w:rsidTr="00763797" w14:paraId="5A70C962" w14:textId="77777777">
        <w:trPr>
          <w:jc w:val="center"/>
        </w:trPr>
        <w:tc>
          <w:tcPr>
            <w:tcW w:w="1489" w:type="dxa"/>
            <w:tcBorders>
              <w:top w:val="single" w:color="auto" w:sz="4" w:space="0"/>
              <w:bottom w:val="single" w:color="auto" w:sz="4" w:space="0"/>
            </w:tcBorders>
            <w:shd w:val="clear" w:color="auto" w:fill="auto"/>
            <w:vAlign w:val="bottom"/>
          </w:tcPr>
          <w:p w:rsidRPr="002D28A6" w:rsidR="00A92D0B" w:rsidP="003B6A1B" w:rsidRDefault="00A92D0B" w14:paraId="41646676" w14:textId="77777777">
            <w:pPr>
              <w:keepNext/>
              <w:keepLines/>
              <w:spacing w:before="60" w:after="60"/>
              <w:jc w:val="center"/>
              <w:rPr>
                <w:b/>
                <w:color w:val="000000"/>
              </w:rPr>
            </w:pPr>
            <w:r w:rsidRPr="002D28A6">
              <w:rPr>
                <w:b/>
                <w:color w:val="000000"/>
              </w:rPr>
              <w:t>Item</w:t>
            </w:r>
          </w:p>
        </w:tc>
        <w:tc>
          <w:tcPr>
            <w:tcW w:w="821" w:type="dxa"/>
            <w:tcBorders>
              <w:top w:val="single" w:color="auto" w:sz="4" w:space="0"/>
              <w:bottom w:val="single" w:color="auto" w:sz="4" w:space="0"/>
            </w:tcBorders>
            <w:shd w:val="clear" w:color="auto" w:fill="auto"/>
            <w:vAlign w:val="bottom"/>
          </w:tcPr>
          <w:p w:rsidRPr="002D28A6" w:rsidR="00A92D0B" w:rsidP="003B6A1B" w:rsidRDefault="00A92D0B" w14:paraId="43BB9941" w14:textId="77777777">
            <w:pPr>
              <w:keepNext/>
              <w:keepLines/>
              <w:spacing w:before="60" w:after="60"/>
              <w:jc w:val="center"/>
              <w:rPr>
                <w:b/>
                <w:color w:val="000000"/>
              </w:rPr>
            </w:pPr>
            <w:r w:rsidRPr="002D28A6">
              <w:rPr>
                <w:b/>
                <w:color w:val="000000"/>
              </w:rPr>
              <w:t>Year</w:t>
            </w:r>
          </w:p>
        </w:tc>
        <w:tc>
          <w:tcPr>
            <w:tcW w:w="884" w:type="dxa"/>
            <w:gridSpan w:val="2"/>
            <w:tcBorders>
              <w:top w:val="single" w:color="auto" w:sz="4" w:space="0"/>
              <w:bottom w:val="single" w:color="auto" w:sz="4" w:space="0"/>
            </w:tcBorders>
            <w:shd w:val="clear" w:color="auto" w:fill="auto"/>
            <w:vAlign w:val="bottom"/>
          </w:tcPr>
          <w:p w:rsidRPr="002D28A6" w:rsidR="00A92D0B" w:rsidP="003B6A1B" w:rsidRDefault="00A92D0B" w14:paraId="0EF32B08" w14:textId="77777777">
            <w:pPr>
              <w:keepNext/>
              <w:keepLines/>
              <w:spacing w:before="60" w:after="60"/>
              <w:jc w:val="center"/>
              <w:rPr>
                <w:b/>
                <w:color w:val="000000"/>
              </w:rPr>
            </w:pPr>
            <w:r w:rsidRPr="002D28A6">
              <w:rPr>
                <w:b/>
                <w:color w:val="000000"/>
              </w:rPr>
              <w:t>Hours</w:t>
            </w:r>
          </w:p>
        </w:tc>
        <w:tc>
          <w:tcPr>
            <w:tcW w:w="930" w:type="dxa"/>
            <w:tcBorders>
              <w:top w:val="single" w:color="auto" w:sz="4" w:space="0"/>
              <w:bottom w:val="single" w:color="auto" w:sz="4" w:space="0"/>
            </w:tcBorders>
            <w:shd w:val="clear" w:color="auto" w:fill="auto"/>
            <w:vAlign w:val="bottom"/>
          </w:tcPr>
          <w:p w:rsidRPr="002D28A6" w:rsidR="00A92D0B" w:rsidP="003B6A1B" w:rsidRDefault="00A92D0B" w14:paraId="21C69246" w14:textId="77777777">
            <w:pPr>
              <w:keepNext/>
              <w:keepLines/>
              <w:spacing w:before="60" w:after="60"/>
              <w:jc w:val="center"/>
              <w:rPr>
                <w:b/>
                <w:color w:val="000000"/>
              </w:rPr>
            </w:pPr>
            <w:r w:rsidRPr="002D28A6">
              <w:rPr>
                <w:b/>
                <w:color w:val="000000"/>
              </w:rPr>
              <w:t>Rate</w:t>
            </w:r>
            <w:r w:rsidRPr="002D28A6" w:rsidR="00E3786F">
              <w:rPr>
                <w:b/>
                <w:color w:val="000000"/>
              </w:rPr>
              <w:t xml:space="preserve"> $</w:t>
            </w:r>
          </w:p>
        </w:tc>
        <w:tc>
          <w:tcPr>
            <w:tcW w:w="1721" w:type="dxa"/>
            <w:gridSpan w:val="2"/>
            <w:tcBorders>
              <w:top w:val="single" w:color="auto" w:sz="4" w:space="0"/>
              <w:bottom w:val="single" w:color="auto" w:sz="4" w:space="0"/>
              <w:right w:val="single" w:color="auto" w:sz="4" w:space="0"/>
            </w:tcBorders>
            <w:shd w:val="clear" w:color="auto" w:fill="auto"/>
            <w:vAlign w:val="bottom"/>
          </w:tcPr>
          <w:p w:rsidRPr="002D28A6" w:rsidR="00A92D0B" w:rsidP="003B6A1B" w:rsidRDefault="00A92D0B" w14:paraId="59E63C07" w14:textId="77777777">
            <w:pPr>
              <w:keepNext/>
              <w:keepLines/>
              <w:spacing w:before="60" w:after="60"/>
              <w:jc w:val="center"/>
              <w:rPr>
                <w:b/>
                <w:color w:val="000000"/>
              </w:rPr>
            </w:pPr>
            <w:r w:rsidRPr="002D28A6">
              <w:rPr>
                <w:b/>
                <w:color w:val="000000"/>
              </w:rPr>
              <w:t>Basis for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D28A6" w:rsidR="00A92D0B" w:rsidP="003B6A1B" w:rsidRDefault="00A92D0B" w14:paraId="7099C603" w14:textId="77777777">
            <w:pPr>
              <w:keepNext/>
              <w:keepLines/>
              <w:spacing w:before="60" w:after="60"/>
              <w:jc w:val="center"/>
              <w:rPr>
                <w:b/>
                <w:color w:val="000000"/>
              </w:rPr>
            </w:pPr>
            <w:r w:rsidRPr="002D28A6">
              <w:rPr>
                <w:b/>
                <w:color w:val="000000"/>
              </w:rPr>
              <w:t>Total $</w:t>
            </w:r>
          </w:p>
        </w:tc>
        <w:tc>
          <w:tcPr>
            <w:tcW w:w="955" w:type="dxa"/>
            <w:tcBorders>
              <w:top w:val="single" w:color="auto" w:sz="4" w:space="0"/>
              <w:left w:val="single" w:color="auto" w:sz="4" w:space="0"/>
            </w:tcBorders>
            <w:shd w:val="clear" w:color="auto" w:fill="auto"/>
            <w:vAlign w:val="bottom"/>
          </w:tcPr>
          <w:p w:rsidRPr="002D28A6" w:rsidR="00A92D0B" w:rsidP="003B6A1B" w:rsidRDefault="00A92D0B" w14:paraId="564E4964" w14:textId="77777777">
            <w:pPr>
              <w:keepNext/>
              <w:keepLines/>
              <w:spacing w:before="60" w:after="60"/>
              <w:jc w:val="center"/>
              <w:rPr>
                <w:b/>
                <w:color w:val="000000"/>
              </w:rPr>
            </w:pPr>
            <w:r w:rsidRPr="002D28A6">
              <w:rPr>
                <w:b/>
                <w:color w:val="000000"/>
              </w:rPr>
              <w:t>Hours</w:t>
            </w:r>
          </w:p>
        </w:tc>
        <w:tc>
          <w:tcPr>
            <w:tcW w:w="1146" w:type="dxa"/>
            <w:tcBorders>
              <w:top w:val="single" w:color="auto" w:sz="4" w:space="0"/>
            </w:tcBorders>
            <w:shd w:val="clear" w:color="auto" w:fill="auto"/>
            <w:vAlign w:val="bottom"/>
          </w:tcPr>
          <w:p w:rsidRPr="002D28A6" w:rsidR="00A92D0B" w:rsidP="003B6A1B" w:rsidRDefault="00A92D0B" w14:paraId="1462552D" w14:textId="77777777">
            <w:pPr>
              <w:keepNext/>
              <w:keepLines/>
              <w:spacing w:before="60" w:after="60"/>
              <w:jc w:val="center"/>
              <w:rPr>
                <w:b/>
                <w:color w:val="000000"/>
              </w:rPr>
            </w:pPr>
            <w:r w:rsidRPr="002D28A6">
              <w:rPr>
                <w:b/>
                <w:color w:val="000000"/>
              </w:rPr>
              <w:t>Rate</w:t>
            </w:r>
            <w:r w:rsidRPr="002D28A6" w:rsidR="00E3786F">
              <w:rPr>
                <w:b/>
                <w:color w:val="000000"/>
              </w:rPr>
              <w:t xml:space="preserve"> $</w:t>
            </w:r>
          </w:p>
        </w:tc>
        <w:tc>
          <w:tcPr>
            <w:tcW w:w="1881" w:type="dxa"/>
            <w:tcBorders>
              <w:top w:val="single" w:color="auto" w:sz="4" w:space="0"/>
            </w:tcBorders>
            <w:shd w:val="clear" w:color="auto" w:fill="auto"/>
            <w:vAlign w:val="bottom"/>
          </w:tcPr>
          <w:p w:rsidRPr="002D28A6" w:rsidR="00A92D0B" w:rsidP="003B6A1B" w:rsidRDefault="00A92D0B" w14:paraId="1B6A5CA4" w14:textId="77777777">
            <w:pPr>
              <w:keepNext/>
              <w:keepLines/>
              <w:spacing w:before="60" w:after="60"/>
              <w:jc w:val="center"/>
              <w:rPr>
                <w:b/>
                <w:color w:val="000000"/>
              </w:rPr>
            </w:pPr>
            <w:r w:rsidRPr="002D28A6">
              <w:rPr>
                <w:b/>
                <w:color w:val="000000"/>
              </w:rPr>
              <w:t>Total $</w:t>
            </w:r>
          </w:p>
        </w:tc>
      </w:tr>
      <w:tr w:rsidRPr="002D28A6" w:rsidR="002820DF" w:rsidTr="008C05FA" w14:paraId="22EBE221" w14:textId="77777777">
        <w:trPr>
          <w:jc w:val="center"/>
        </w:trPr>
        <w:tc>
          <w:tcPr>
            <w:tcW w:w="1489" w:type="dxa"/>
            <w:shd w:val="clear" w:color="auto" w:fill="auto"/>
          </w:tcPr>
          <w:p w:rsidRPr="00174A06" w:rsidR="002820DF" w:rsidP="002820DF" w:rsidRDefault="002820DF" w14:paraId="41453C5C" w14:textId="77777777">
            <w:pPr>
              <w:spacing w:before="60" w:after="60"/>
              <w:rPr>
                <w:color w:val="000000"/>
                <w:sz w:val="22"/>
                <w:szCs w:val="22"/>
              </w:rPr>
            </w:pPr>
            <w:r w:rsidRPr="00174A06">
              <w:rPr>
                <w:color w:val="000000"/>
                <w:sz w:val="22"/>
                <w:szCs w:val="22"/>
              </w:rPr>
              <w:t>Matthew Freedman, TURN Attorney</w:t>
            </w:r>
          </w:p>
        </w:tc>
        <w:tc>
          <w:tcPr>
            <w:tcW w:w="821" w:type="dxa"/>
            <w:shd w:val="clear" w:color="auto" w:fill="auto"/>
          </w:tcPr>
          <w:p w:rsidRPr="00174A06" w:rsidR="002820DF" w:rsidP="002820DF" w:rsidRDefault="002820DF" w14:paraId="18295BC8" w14:textId="77777777">
            <w:pPr>
              <w:spacing w:before="60" w:after="60"/>
              <w:jc w:val="center"/>
              <w:rPr>
                <w:color w:val="000000"/>
                <w:sz w:val="22"/>
                <w:szCs w:val="22"/>
              </w:rPr>
            </w:pPr>
            <w:r w:rsidRPr="00174A06">
              <w:rPr>
                <w:color w:val="000000"/>
                <w:sz w:val="22"/>
                <w:szCs w:val="22"/>
              </w:rPr>
              <w:t>2023</w:t>
            </w:r>
          </w:p>
        </w:tc>
        <w:tc>
          <w:tcPr>
            <w:tcW w:w="884" w:type="dxa"/>
            <w:gridSpan w:val="2"/>
            <w:shd w:val="clear" w:color="auto" w:fill="auto"/>
          </w:tcPr>
          <w:p w:rsidRPr="00174A06" w:rsidR="002820DF" w:rsidP="002820DF" w:rsidRDefault="002820DF" w14:paraId="05B2D0A4" w14:textId="19F3EF1B">
            <w:pPr>
              <w:spacing w:before="60" w:after="60"/>
              <w:jc w:val="center"/>
              <w:rPr>
                <w:color w:val="000000"/>
                <w:sz w:val="22"/>
                <w:szCs w:val="22"/>
              </w:rPr>
            </w:pPr>
            <w:r w:rsidRPr="00174A06">
              <w:rPr>
                <w:color w:val="000000"/>
                <w:sz w:val="22"/>
                <w:szCs w:val="22"/>
              </w:rPr>
              <w:t xml:space="preserve">   </w:t>
            </w:r>
            <w:r>
              <w:rPr>
                <w:color w:val="000000"/>
                <w:sz w:val="22"/>
                <w:szCs w:val="22"/>
              </w:rPr>
              <w:t>7.50</w:t>
            </w:r>
            <w:r w:rsidRPr="00174A06">
              <w:rPr>
                <w:color w:val="000000"/>
                <w:sz w:val="22"/>
                <w:szCs w:val="22"/>
              </w:rPr>
              <w:t xml:space="preserve">          </w:t>
            </w:r>
          </w:p>
        </w:tc>
        <w:tc>
          <w:tcPr>
            <w:tcW w:w="930" w:type="dxa"/>
            <w:shd w:val="clear" w:color="auto" w:fill="auto"/>
          </w:tcPr>
          <w:p w:rsidRPr="00174A06" w:rsidR="002820DF" w:rsidP="002820DF" w:rsidRDefault="002820DF" w14:paraId="37FAD3E8" w14:textId="77777777">
            <w:pPr>
              <w:spacing w:before="60" w:after="60"/>
              <w:jc w:val="right"/>
              <w:rPr>
                <w:color w:val="000000"/>
                <w:sz w:val="22"/>
                <w:szCs w:val="22"/>
              </w:rPr>
            </w:pPr>
            <w:r w:rsidRPr="00174A06">
              <w:rPr>
                <w:sz w:val="22"/>
                <w:szCs w:val="22"/>
              </w:rPr>
              <w:t>$710</w:t>
            </w:r>
          </w:p>
        </w:tc>
        <w:tc>
          <w:tcPr>
            <w:tcW w:w="1721" w:type="dxa"/>
            <w:gridSpan w:val="2"/>
            <w:tcBorders>
              <w:right w:val="single" w:color="auto" w:sz="4" w:space="0"/>
            </w:tcBorders>
            <w:shd w:val="clear" w:color="auto" w:fill="auto"/>
          </w:tcPr>
          <w:p w:rsidRPr="00174A06" w:rsidR="002820DF" w:rsidP="002820DF" w:rsidRDefault="002820DF" w14:paraId="2CA04B31" w14:textId="77777777">
            <w:pPr>
              <w:spacing w:before="60" w:after="60"/>
              <w:rPr>
                <w:color w:val="000000"/>
                <w:sz w:val="22"/>
                <w:szCs w:val="22"/>
              </w:rPr>
            </w:pPr>
            <w:r w:rsidRPr="00174A06">
              <w:rPr>
                <w:sz w:val="22"/>
                <w:szCs w:val="22"/>
              </w:rPr>
              <w:t>D.23-10-013</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174A06" w:rsidR="002820DF" w:rsidP="002820DF" w:rsidRDefault="002820DF" w14:paraId="1C715D76" w14:textId="0BCB0027">
            <w:pPr>
              <w:spacing w:before="60" w:after="60"/>
              <w:jc w:val="right"/>
              <w:rPr>
                <w:color w:val="000000"/>
                <w:sz w:val="22"/>
                <w:szCs w:val="22"/>
              </w:rPr>
            </w:pPr>
            <w:r w:rsidRPr="00174A06">
              <w:rPr>
                <w:color w:val="000000"/>
                <w:sz w:val="22"/>
                <w:szCs w:val="22"/>
              </w:rPr>
              <w:t>$5,325.00</w:t>
            </w:r>
          </w:p>
        </w:tc>
        <w:tc>
          <w:tcPr>
            <w:tcW w:w="955" w:type="dxa"/>
            <w:tcBorders>
              <w:left w:val="single" w:color="auto" w:sz="4" w:space="0"/>
              <w:right w:val="single" w:color="auto" w:sz="4" w:space="0"/>
            </w:tcBorders>
            <w:shd w:val="clear" w:color="auto" w:fill="auto"/>
          </w:tcPr>
          <w:p w:rsidRPr="002D28A6" w:rsidR="002820DF" w:rsidP="002820DF" w:rsidRDefault="002820DF" w14:paraId="441B365C" w14:textId="221A96B0">
            <w:pPr>
              <w:spacing w:before="60" w:after="60"/>
              <w:jc w:val="center"/>
              <w:rPr>
                <w:color w:val="000000"/>
              </w:rPr>
            </w:pPr>
            <w:r w:rsidRPr="008619DF">
              <w:t>7.50</w:t>
            </w:r>
          </w:p>
        </w:tc>
        <w:tc>
          <w:tcPr>
            <w:tcW w:w="1146" w:type="dxa"/>
            <w:tcBorders>
              <w:left w:val="single" w:color="auto" w:sz="4" w:space="0"/>
            </w:tcBorders>
            <w:shd w:val="clear" w:color="auto" w:fill="auto"/>
          </w:tcPr>
          <w:p w:rsidRPr="002D28A6" w:rsidR="002820DF" w:rsidP="002820DF" w:rsidRDefault="002820DF" w14:paraId="63012DA1" w14:textId="612F2A8A">
            <w:pPr>
              <w:spacing w:before="60" w:after="60"/>
              <w:jc w:val="center"/>
              <w:rPr>
                <w:color w:val="000000"/>
              </w:rPr>
            </w:pPr>
            <w:r>
              <w:rPr>
                <w:color w:val="000000"/>
              </w:rPr>
              <w:t>$710.00</w:t>
            </w:r>
            <w:r w:rsidR="00F3526D">
              <w:rPr>
                <w:color w:val="000000"/>
              </w:rPr>
              <w:t xml:space="preserve"> [1]</w:t>
            </w:r>
          </w:p>
        </w:tc>
        <w:tc>
          <w:tcPr>
            <w:tcW w:w="1881" w:type="dxa"/>
            <w:shd w:val="clear" w:color="auto" w:fill="auto"/>
          </w:tcPr>
          <w:p w:rsidRPr="002D28A6" w:rsidR="002820DF" w:rsidP="002820DF" w:rsidRDefault="002820DF" w14:paraId="3F405AE5" w14:textId="6B3E9352">
            <w:pPr>
              <w:spacing w:before="60" w:after="60"/>
              <w:jc w:val="right"/>
              <w:rPr>
                <w:color w:val="000000"/>
              </w:rPr>
            </w:pPr>
            <w:r w:rsidRPr="008A0C32">
              <w:t xml:space="preserve">$5,325.00 </w:t>
            </w:r>
          </w:p>
        </w:tc>
      </w:tr>
      <w:tr w:rsidRPr="002D28A6" w:rsidR="002820DF" w:rsidTr="008C05FA" w14:paraId="70932F88" w14:textId="77777777">
        <w:trPr>
          <w:jc w:val="center"/>
        </w:trPr>
        <w:tc>
          <w:tcPr>
            <w:tcW w:w="1489" w:type="dxa"/>
            <w:shd w:val="clear" w:color="auto" w:fill="auto"/>
          </w:tcPr>
          <w:p w:rsidRPr="00174A06" w:rsidR="002820DF" w:rsidP="002820DF" w:rsidRDefault="002820DF" w14:paraId="4E4EC4C9" w14:textId="77777777">
            <w:pPr>
              <w:spacing w:before="60" w:after="60"/>
              <w:rPr>
                <w:color w:val="000000"/>
                <w:sz w:val="22"/>
                <w:szCs w:val="22"/>
              </w:rPr>
            </w:pPr>
            <w:r w:rsidRPr="00174A06">
              <w:rPr>
                <w:color w:val="000000"/>
                <w:sz w:val="22"/>
                <w:szCs w:val="22"/>
              </w:rPr>
              <w:t>Matthew Freedman</w:t>
            </w:r>
          </w:p>
        </w:tc>
        <w:tc>
          <w:tcPr>
            <w:tcW w:w="821" w:type="dxa"/>
            <w:shd w:val="clear" w:color="auto" w:fill="auto"/>
          </w:tcPr>
          <w:p w:rsidRPr="00174A06" w:rsidR="002820DF" w:rsidP="002820DF" w:rsidRDefault="002820DF" w14:paraId="3EE020B8" w14:textId="77777777">
            <w:pPr>
              <w:spacing w:before="60" w:after="60"/>
              <w:jc w:val="center"/>
              <w:rPr>
                <w:color w:val="000000"/>
                <w:sz w:val="22"/>
                <w:szCs w:val="22"/>
              </w:rPr>
            </w:pPr>
            <w:r w:rsidRPr="00174A06">
              <w:rPr>
                <w:color w:val="000000"/>
                <w:sz w:val="22"/>
                <w:szCs w:val="22"/>
              </w:rPr>
              <w:t>2024</w:t>
            </w:r>
          </w:p>
        </w:tc>
        <w:tc>
          <w:tcPr>
            <w:tcW w:w="884" w:type="dxa"/>
            <w:gridSpan w:val="2"/>
            <w:shd w:val="clear" w:color="auto" w:fill="auto"/>
          </w:tcPr>
          <w:p w:rsidRPr="00174A06" w:rsidR="002820DF" w:rsidP="002820DF" w:rsidRDefault="002820DF" w14:paraId="37541A8C" w14:textId="2412FAD1">
            <w:pPr>
              <w:spacing w:before="60" w:after="60"/>
              <w:jc w:val="center"/>
              <w:rPr>
                <w:color w:val="000000"/>
                <w:sz w:val="22"/>
                <w:szCs w:val="22"/>
              </w:rPr>
            </w:pPr>
            <w:r w:rsidRPr="00174A06">
              <w:rPr>
                <w:color w:val="000000"/>
                <w:sz w:val="22"/>
                <w:szCs w:val="22"/>
              </w:rPr>
              <w:t xml:space="preserve">   </w:t>
            </w:r>
            <w:r>
              <w:rPr>
                <w:color w:val="000000"/>
                <w:sz w:val="22"/>
                <w:szCs w:val="22"/>
              </w:rPr>
              <w:t>76.50</w:t>
            </w:r>
            <w:r w:rsidRPr="00174A06">
              <w:rPr>
                <w:color w:val="000000"/>
                <w:sz w:val="22"/>
                <w:szCs w:val="22"/>
              </w:rPr>
              <w:t xml:space="preserve">      </w:t>
            </w:r>
          </w:p>
        </w:tc>
        <w:tc>
          <w:tcPr>
            <w:tcW w:w="930" w:type="dxa"/>
            <w:shd w:val="clear" w:color="auto" w:fill="auto"/>
          </w:tcPr>
          <w:p w:rsidRPr="00174A06" w:rsidR="002820DF" w:rsidP="002820DF" w:rsidRDefault="002820DF" w14:paraId="308B2F52" w14:textId="77777777">
            <w:pPr>
              <w:spacing w:before="60" w:after="60"/>
              <w:jc w:val="right"/>
              <w:rPr>
                <w:color w:val="000000"/>
                <w:sz w:val="22"/>
                <w:szCs w:val="22"/>
              </w:rPr>
            </w:pPr>
            <w:r w:rsidRPr="00174A06">
              <w:rPr>
                <w:sz w:val="22"/>
                <w:szCs w:val="22"/>
              </w:rPr>
              <w:t>$740</w:t>
            </w:r>
          </w:p>
        </w:tc>
        <w:tc>
          <w:tcPr>
            <w:tcW w:w="1721" w:type="dxa"/>
            <w:gridSpan w:val="2"/>
            <w:tcBorders>
              <w:right w:val="single" w:color="auto" w:sz="4" w:space="0"/>
            </w:tcBorders>
            <w:shd w:val="clear" w:color="auto" w:fill="auto"/>
          </w:tcPr>
          <w:p w:rsidRPr="00174A06" w:rsidR="002820DF" w:rsidP="002820DF" w:rsidRDefault="002820DF" w14:paraId="66A33B0C" w14:textId="77777777">
            <w:pPr>
              <w:spacing w:before="60" w:after="60"/>
              <w:rPr>
                <w:color w:val="000000"/>
                <w:sz w:val="22"/>
                <w:szCs w:val="22"/>
              </w:rPr>
            </w:pPr>
            <w:r w:rsidRPr="00174A06">
              <w:rPr>
                <w:color w:val="000000"/>
                <w:sz w:val="22"/>
                <w:szCs w:val="22"/>
              </w:rPr>
              <w:t>D.24-09-015</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174A06" w:rsidR="002820DF" w:rsidP="002820DF" w:rsidRDefault="002820DF" w14:paraId="1F1D2888" w14:textId="05D185CE">
            <w:pPr>
              <w:spacing w:before="60" w:after="60"/>
              <w:jc w:val="right"/>
              <w:rPr>
                <w:color w:val="000000"/>
                <w:sz w:val="22"/>
                <w:szCs w:val="22"/>
              </w:rPr>
            </w:pPr>
            <w:r w:rsidRPr="00174A06">
              <w:rPr>
                <w:color w:val="000000"/>
                <w:sz w:val="22"/>
                <w:szCs w:val="22"/>
              </w:rPr>
              <w:t>$56,610.00</w:t>
            </w:r>
          </w:p>
        </w:tc>
        <w:tc>
          <w:tcPr>
            <w:tcW w:w="955" w:type="dxa"/>
            <w:tcBorders>
              <w:left w:val="single" w:color="auto" w:sz="4" w:space="0"/>
              <w:right w:val="single" w:color="auto" w:sz="4" w:space="0"/>
            </w:tcBorders>
            <w:shd w:val="clear" w:color="auto" w:fill="auto"/>
          </w:tcPr>
          <w:p w:rsidRPr="002D28A6" w:rsidR="002820DF" w:rsidP="002820DF" w:rsidRDefault="002820DF" w14:paraId="3CA8B5D5" w14:textId="1BBAA7C3">
            <w:pPr>
              <w:spacing w:before="60" w:after="60"/>
              <w:jc w:val="center"/>
              <w:rPr>
                <w:color w:val="000000"/>
              </w:rPr>
            </w:pPr>
            <w:r w:rsidRPr="008619DF">
              <w:t>76.50</w:t>
            </w:r>
          </w:p>
        </w:tc>
        <w:tc>
          <w:tcPr>
            <w:tcW w:w="1146" w:type="dxa"/>
            <w:tcBorders>
              <w:left w:val="single" w:color="auto" w:sz="4" w:space="0"/>
            </w:tcBorders>
            <w:shd w:val="clear" w:color="auto" w:fill="auto"/>
          </w:tcPr>
          <w:p w:rsidRPr="002D28A6" w:rsidR="002820DF" w:rsidP="002820DF" w:rsidRDefault="002820DF" w14:paraId="2F5490B6" w14:textId="4F090C79">
            <w:pPr>
              <w:spacing w:before="60" w:after="60"/>
              <w:jc w:val="center"/>
              <w:rPr>
                <w:color w:val="000000"/>
              </w:rPr>
            </w:pPr>
            <w:r>
              <w:rPr>
                <w:color w:val="000000"/>
              </w:rPr>
              <w:t>$740.00</w:t>
            </w:r>
            <w:r w:rsidR="00F3526D">
              <w:rPr>
                <w:color w:val="000000"/>
              </w:rPr>
              <w:t xml:space="preserve"> [1]</w:t>
            </w:r>
          </w:p>
        </w:tc>
        <w:tc>
          <w:tcPr>
            <w:tcW w:w="1881" w:type="dxa"/>
            <w:shd w:val="clear" w:color="auto" w:fill="auto"/>
          </w:tcPr>
          <w:p w:rsidRPr="002D28A6" w:rsidR="002820DF" w:rsidP="002820DF" w:rsidRDefault="002820DF" w14:paraId="5A4051E9" w14:textId="5AA697D0">
            <w:pPr>
              <w:spacing w:before="60" w:after="60"/>
              <w:jc w:val="right"/>
              <w:rPr>
                <w:color w:val="000000"/>
              </w:rPr>
            </w:pPr>
            <w:r w:rsidRPr="008A0C32">
              <w:t xml:space="preserve">$56,610.00 </w:t>
            </w:r>
          </w:p>
        </w:tc>
      </w:tr>
      <w:tr w:rsidRPr="002D28A6" w:rsidR="002820DF" w:rsidTr="008C05FA" w14:paraId="4EB090BD" w14:textId="77777777">
        <w:trPr>
          <w:jc w:val="center"/>
        </w:trPr>
        <w:tc>
          <w:tcPr>
            <w:tcW w:w="1489" w:type="dxa"/>
            <w:shd w:val="clear" w:color="auto" w:fill="auto"/>
          </w:tcPr>
          <w:p w:rsidRPr="00174A06" w:rsidR="002820DF" w:rsidP="002820DF" w:rsidRDefault="002820DF" w14:paraId="59937714" w14:textId="77777777">
            <w:pPr>
              <w:spacing w:before="60" w:after="60"/>
              <w:rPr>
                <w:color w:val="000000"/>
                <w:sz w:val="22"/>
                <w:szCs w:val="22"/>
              </w:rPr>
            </w:pPr>
            <w:r w:rsidRPr="00174A06">
              <w:rPr>
                <w:color w:val="000000"/>
                <w:sz w:val="22"/>
                <w:szCs w:val="22"/>
              </w:rPr>
              <w:t>Hayley Goodson, TURN Attorney</w:t>
            </w:r>
          </w:p>
        </w:tc>
        <w:tc>
          <w:tcPr>
            <w:tcW w:w="821" w:type="dxa"/>
            <w:shd w:val="clear" w:color="auto" w:fill="auto"/>
          </w:tcPr>
          <w:p w:rsidRPr="00174A06" w:rsidR="002820DF" w:rsidP="002820DF" w:rsidRDefault="002820DF" w14:paraId="094C3214" w14:textId="77777777">
            <w:pPr>
              <w:spacing w:before="60" w:after="60"/>
              <w:jc w:val="center"/>
              <w:rPr>
                <w:color w:val="000000"/>
                <w:sz w:val="22"/>
                <w:szCs w:val="22"/>
              </w:rPr>
            </w:pPr>
            <w:r w:rsidRPr="00174A06">
              <w:rPr>
                <w:color w:val="000000"/>
                <w:sz w:val="22"/>
                <w:szCs w:val="22"/>
              </w:rPr>
              <w:t>2023</w:t>
            </w:r>
          </w:p>
        </w:tc>
        <w:tc>
          <w:tcPr>
            <w:tcW w:w="884" w:type="dxa"/>
            <w:gridSpan w:val="2"/>
            <w:shd w:val="clear" w:color="auto" w:fill="auto"/>
          </w:tcPr>
          <w:p w:rsidRPr="00174A06" w:rsidR="002820DF" w:rsidP="002820DF" w:rsidRDefault="002820DF" w14:paraId="4B29EDC0" w14:textId="0AF14678">
            <w:pPr>
              <w:spacing w:before="60" w:after="60"/>
              <w:jc w:val="center"/>
              <w:rPr>
                <w:color w:val="000000"/>
                <w:sz w:val="22"/>
                <w:szCs w:val="22"/>
              </w:rPr>
            </w:pPr>
            <w:r w:rsidRPr="00174A06">
              <w:rPr>
                <w:color w:val="000000"/>
                <w:sz w:val="22"/>
                <w:szCs w:val="22"/>
              </w:rPr>
              <w:t xml:space="preserve">  </w:t>
            </w:r>
            <w:r>
              <w:rPr>
                <w:color w:val="000000"/>
                <w:sz w:val="22"/>
                <w:szCs w:val="22"/>
              </w:rPr>
              <w:t>12.75</w:t>
            </w:r>
            <w:r w:rsidRPr="00174A06">
              <w:rPr>
                <w:color w:val="000000"/>
                <w:sz w:val="22"/>
                <w:szCs w:val="22"/>
              </w:rPr>
              <w:t xml:space="preserve">       </w:t>
            </w:r>
          </w:p>
        </w:tc>
        <w:tc>
          <w:tcPr>
            <w:tcW w:w="930" w:type="dxa"/>
            <w:shd w:val="clear" w:color="auto" w:fill="auto"/>
          </w:tcPr>
          <w:p w:rsidRPr="00174A06" w:rsidR="002820DF" w:rsidP="002820DF" w:rsidRDefault="002820DF" w14:paraId="2292B957" w14:textId="77777777">
            <w:pPr>
              <w:spacing w:before="60" w:after="60"/>
              <w:jc w:val="right"/>
              <w:rPr>
                <w:color w:val="000000"/>
                <w:sz w:val="22"/>
                <w:szCs w:val="22"/>
              </w:rPr>
            </w:pPr>
            <w:r w:rsidRPr="00174A06">
              <w:rPr>
                <w:color w:val="000000"/>
                <w:sz w:val="22"/>
                <w:szCs w:val="22"/>
              </w:rPr>
              <w:t>$625</w:t>
            </w:r>
          </w:p>
        </w:tc>
        <w:tc>
          <w:tcPr>
            <w:tcW w:w="1721" w:type="dxa"/>
            <w:gridSpan w:val="2"/>
            <w:tcBorders>
              <w:right w:val="single" w:color="auto" w:sz="4" w:space="0"/>
            </w:tcBorders>
            <w:shd w:val="clear" w:color="auto" w:fill="auto"/>
          </w:tcPr>
          <w:p w:rsidRPr="00174A06" w:rsidR="002820DF" w:rsidP="002820DF" w:rsidRDefault="002820DF" w14:paraId="71DD093B" w14:textId="77777777">
            <w:pPr>
              <w:spacing w:before="60" w:after="60"/>
              <w:rPr>
                <w:color w:val="000000"/>
                <w:sz w:val="22"/>
                <w:szCs w:val="22"/>
              </w:rPr>
            </w:pPr>
            <w:r w:rsidRPr="00174A06">
              <w:rPr>
                <w:sz w:val="22"/>
                <w:szCs w:val="22"/>
              </w:rPr>
              <w:t>D.24-02-040</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174A06" w:rsidR="002820DF" w:rsidP="002820DF" w:rsidRDefault="002820DF" w14:paraId="47B81957" w14:textId="5206D4B3">
            <w:pPr>
              <w:spacing w:before="60" w:after="60"/>
              <w:jc w:val="right"/>
              <w:rPr>
                <w:color w:val="000000"/>
                <w:sz w:val="22"/>
                <w:szCs w:val="22"/>
              </w:rPr>
            </w:pPr>
            <w:r w:rsidRPr="00174A06">
              <w:rPr>
                <w:color w:val="000000"/>
                <w:sz w:val="22"/>
                <w:szCs w:val="22"/>
              </w:rPr>
              <w:t>$7,968.75</w:t>
            </w:r>
          </w:p>
        </w:tc>
        <w:tc>
          <w:tcPr>
            <w:tcW w:w="955" w:type="dxa"/>
            <w:tcBorders>
              <w:left w:val="single" w:color="auto" w:sz="4" w:space="0"/>
              <w:right w:val="single" w:color="auto" w:sz="4" w:space="0"/>
            </w:tcBorders>
            <w:shd w:val="clear" w:color="auto" w:fill="auto"/>
          </w:tcPr>
          <w:p w:rsidRPr="002D28A6" w:rsidR="002820DF" w:rsidP="002820DF" w:rsidRDefault="002820DF" w14:paraId="7CB0F0A6" w14:textId="5FE8BC70">
            <w:pPr>
              <w:spacing w:before="60" w:after="60"/>
              <w:jc w:val="center"/>
              <w:rPr>
                <w:color w:val="000000"/>
              </w:rPr>
            </w:pPr>
            <w:r w:rsidRPr="008619DF">
              <w:t>12.75</w:t>
            </w:r>
          </w:p>
        </w:tc>
        <w:tc>
          <w:tcPr>
            <w:tcW w:w="1146" w:type="dxa"/>
            <w:tcBorders>
              <w:left w:val="single" w:color="auto" w:sz="4" w:space="0"/>
            </w:tcBorders>
            <w:shd w:val="clear" w:color="auto" w:fill="auto"/>
          </w:tcPr>
          <w:p w:rsidRPr="002D28A6" w:rsidR="002820DF" w:rsidP="002820DF" w:rsidRDefault="002820DF" w14:paraId="2B0D0C8A" w14:textId="30F2A873">
            <w:pPr>
              <w:spacing w:before="60" w:after="60"/>
              <w:jc w:val="center"/>
              <w:rPr>
                <w:color w:val="000000"/>
              </w:rPr>
            </w:pPr>
            <w:r>
              <w:rPr>
                <w:color w:val="000000"/>
              </w:rPr>
              <w:t>$625.00</w:t>
            </w:r>
            <w:r w:rsidR="00F3526D">
              <w:rPr>
                <w:color w:val="000000"/>
              </w:rPr>
              <w:t xml:space="preserve"> [2]</w:t>
            </w:r>
          </w:p>
        </w:tc>
        <w:tc>
          <w:tcPr>
            <w:tcW w:w="1881" w:type="dxa"/>
            <w:shd w:val="clear" w:color="auto" w:fill="auto"/>
          </w:tcPr>
          <w:p w:rsidRPr="002D28A6" w:rsidR="002820DF" w:rsidP="002820DF" w:rsidRDefault="002820DF" w14:paraId="2EA6C3C1" w14:textId="441AFD79">
            <w:pPr>
              <w:spacing w:before="60" w:after="60"/>
              <w:jc w:val="right"/>
              <w:rPr>
                <w:color w:val="000000"/>
              </w:rPr>
            </w:pPr>
            <w:r w:rsidRPr="008A0C32">
              <w:t xml:space="preserve">$7,968.75 </w:t>
            </w:r>
          </w:p>
        </w:tc>
      </w:tr>
      <w:tr w:rsidRPr="002D28A6" w:rsidR="002820DF" w:rsidTr="008C05FA" w14:paraId="5D8404CE" w14:textId="77777777">
        <w:trPr>
          <w:jc w:val="center"/>
        </w:trPr>
        <w:tc>
          <w:tcPr>
            <w:tcW w:w="1489" w:type="dxa"/>
            <w:shd w:val="clear" w:color="auto" w:fill="auto"/>
          </w:tcPr>
          <w:p w:rsidRPr="00174A06" w:rsidR="002820DF" w:rsidP="002820DF" w:rsidRDefault="002820DF" w14:paraId="66AD8364" w14:textId="77777777">
            <w:pPr>
              <w:spacing w:before="60" w:after="60"/>
              <w:rPr>
                <w:color w:val="000000"/>
                <w:sz w:val="22"/>
                <w:szCs w:val="22"/>
              </w:rPr>
            </w:pPr>
            <w:r w:rsidRPr="00174A06">
              <w:rPr>
                <w:color w:val="000000"/>
                <w:sz w:val="22"/>
                <w:szCs w:val="22"/>
              </w:rPr>
              <w:t>Hayley Goodson</w:t>
            </w:r>
          </w:p>
        </w:tc>
        <w:tc>
          <w:tcPr>
            <w:tcW w:w="821" w:type="dxa"/>
            <w:shd w:val="clear" w:color="auto" w:fill="auto"/>
          </w:tcPr>
          <w:p w:rsidRPr="00174A06" w:rsidR="002820DF" w:rsidP="002820DF" w:rsidRDefault="002820DF" w14:paraId="29968047" w14:textId="77777777">
            <w:pPr>
              <w:spacing w:before="60" w:after="60"/>
              <w:jc w:val="center"/>
              <w:rPr>
                <w:color w:val="000000"/>
                <w:sz w:val="22"/>
                <w:szCs w:val="22"/>
              </w:rPr>
            </w:pPr>
            <w:r w:rsidRPr="00174A06">
              <w:rPr>
                <w:color w:val="000000"/>
                <w:sz w:val="22"/>
                <w:szCs w:val="22"/>
              </w:rPr>
              <w:t>2024</w:t>
            </w:r>
          </w:p>
        </w:tc>
        <w:tc>
          <w:tcPr>
            <w:tcW w:w="884" w:type="dxa"/>
            <w:gridSpan w:val="2"/>
            <w:shd w:val="clear" w:color="auto" w:fill="auto"/>
          </w:tcPr>
          <w:p w:rsidRPr="00174A06" w:rsidR="002820DF" w:rsidP="002820DF" w:rsidRDefault="002820DF" w14:paraId="0DC3DB51" w14:textId="16944D2B">
            <w:pPr>
              <w:spacing w:before="60" w:after="60"/>
              <w:jc w:val="center"/>
              <w:rPr>
                <w:color w:val="000000"/>
                <w:sz w:val="22"/>
                <w:szCs w:val="22"/>
              </w:rPr>
            </w:pPr>
            <w:r>
              <w:rPr>
                <w:color w:val="000000"/>
                <w:sz w:val="22"/>
                <w:szCs w:val="22"/>
              </w:rPr>
              <w:t>59.75</w:t>
            </w:r>
            <w:r w:rsidRPr="00174A06">
              <w:rPr>
                <w:color w:val="000000"/>
                <w:sz w:val="22"/>
                <w:szCs w:val="22"/>
              </w:rPr>
              <w:t xml:space="preserve">        </w:t>
            </w:r>
          </w:p>
        </w:tc>
        <w:tc>
          <w:tcPr>
            <w:tcW w:w="930" w:type="dxa"/>
            <w:shd w:val="clear" w:color="auto" w:fill="auto"/>
          </w:tcPr>
          <w:p w:rsidRPr="00174A06" w:rsidR="002820DF" w:rsidP="002820DF" w:rsidRDefault="002820DF" w14:paraId="2DC17CC2" w14:textId="77777777">
            <w:pPr>
              <w:spacing w:before="60" w:after="60"/>
              <w:jc w:val="right"/>
              <w:rPr>
                <w:color w:val="000000"/>
                <w:sz w:val="22"/>
                <w:szCs w:val="22"/>
              </w:rPr>
            </w:pPr>
            <w:r w:rsidRPr="00174A06">
              <w:rPr>
                <w:color w:val="000000"/>
                <w:sz w:val="22"/>
                <w:szCs w:val="22"/>
              </w:rPr>
              <w:t>$680</w:t>
            </w:r>
          </w:p>
        </w:tc>
        <w:tc>
          <w:tcPr>
            <w:tcW w:w="1721" w:type="dxa"/>
            <w:gridSpan w:val="2"/>
            <w:tcBorders>
              <w:right w:val="single" w:color="auto" w:sz="4" w:space="0"/>
            </w:tcBorders>
            <w:shd w:val="clear" w:color="auto" w:fill="auto"/>
          </w:tcPr>
          <w:p w:rsidRPr="00174A06" w:rsidR="002820DF" w:rsidP="002820DF" w:rsidRDefault="002820DF" w14:paraId="72DBD925" w14:textId="77777777">
            <w:pPr>
              <w:spacing w:before="60" w:after="60"/>
              <w:rPr>
                <w:color w:val="000000"/>
                <w:sz w:val="22"/>
                <w:szCs w:val="22"/>
              </w:rPr>
            </w:pPr>
            <w:r w:rsidRPr="00174A06">
              <w:rPr>
                <w:sz w:val="22"/>
                <w:szCs w:val="22"/>
              </w:rPr>
              <w:t>D.24-09-017</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174A06" w:rsidR="002820DF" w:rsidP="002820DF" w:rsidRDefault="002820DF" w14:paraId="772642E5" w14:textId="6B1ABEF3">
            <w:pPr>
              <w:spacing w:before="60" w:after="60"/>
              <w:jc w:val="right"/>
              <w:rPr>
                <w:color w:val="000000"/>
                <w:sz w:val="22"/>
                <w:szCs w:val="22"/>
              </w:rPr>
            </w:pPr>
            <w:r w:rsidRPr="00174A06">
              <w:rPr>
                <w:color w:val="000000"/>
                <w:sz w:val="22"/>
                <w:szCs w:val="22"/>
              </w:rPr>
              <w:t>$40,630.00</w:t>
            </w:r>
          </w:p>
        </w:tc>
        <w:tc>
          <w:tcPr>
            <w:tcW w:w="955" w:type="dxa"/>
            <w:tcBorders>
              <w:left w:val="single" w:color="auto" w:sz="4" w:space="0"/>
              <w:right w:val="single" w:color="auto" w:sz="4" w:space="0"/>
            </w:tcBorders>
            <w:shd w:val="clear" w:color="auto" w:fill="auto"/>
          </w:tcPr>
          <w:p w:rsidRPr="002D28A6" w:rsidR="002820DF" w:rsidP="002820DF" w:rsidRDefault="002820DF" w14:paraId="11E13EF5" w14:textId="7E9207D9">
            <w:pPr>
              <w:spacing w:before="60" w:after="60"/>
              <w:jc w:val="center"/>
              <w:rPr>
                <w:color w:val="000000"/>
              </w:rPr>
            </w:pPr>
            <w:r w:rsidRPr="008619DF">
              <w:t>59.75</w:t>
            </w:r>
          </w:p>
        </w:tc>
        <w:tc>
          <w:tcPr>
            <w:tcW w:w="1146" w:type="dxa"/>
            <w:tcBorders>
              <w:left w:val="single" w:color="auto" w:sz="4" w:space="0"/>
            </w:tcBorders>
            <w:shd w:val="clear" w:color="auto" w:fill="auto"/>
          </w:tcPr>
          <w:p w:rsidRPr="002D28A6" w:rsidR="002820DF" w:rsidP="002820DF" w:rsidRDefault="002820DF" w14:paraId="093908E9" w14:textId="0EEF8EFD">
            <w:pPr>
              <w:spacing w:before="60" w:after="60"/>
              <w:jc w:val="center"/>
              <w:rPr>
                <w:color w:val="000000"/>
              </w:rPr>
            </w:pPr>
            <w:r>
              <w:rPr>
                <w:color w:val="000000"/>
              </w:rPr>
              <w:t>$680.00</w:t>
            </w:r>
            <w:r w:rsidR="00F3526D">
              <w:rPr>
                <w:color w:val="000000"/>
              </w:rPr>
              <w:t xml:space="preserve"> [2]</w:t>
            </w:r>
          </w:p>
        </w:tc>
        <w:tc>
          <w:tcPr>
            <w:tcW w:w="1881" w:type="dxa"/>
            <w:shd w:val="clear" w:color="auto" w:fill="auto"/>
          </w:tcPr>
          <w:p w:rsidRPr="002D28A6" w:rsidR="002820DF" w:rsidP="002820DF" w:rsidRDefault="002820DF" w14:paraId="6C178631" w14:textId="5A7AEEE9">
            <w:pPr>
              <w:spacing w:before="60" w:after="60"/>
              <w:jc w:val="right"/>
              <w:rPr>
                <w:color w:val="000000"/>
              </w:rPr>
            </w:pPr>
            <w:r w:rsidRPr="008A0C32">
              <w:t xml:space="preserve">$40,630.00 </w:t>
            </w:r>
          </w:p>
        </w:tc>
      </w:tr>
      <w:tr w:rsidRPr="002D28A6" w:rsidR="002820DF" w:rsidTr="008C05FA" w14:paraId="01BAF0A1" w14:textId="77777777">
        <w:trPr>
          <w:jc w:val="center"/>
        </w:trPr>
        <w:tc>
          <w:tcPr>
            <w:tcW w:w="1489" w:type="dxa"/>
            <w:shd w:val="clear" w:color="auto" w:fill="auto"/>
          </w:tcPr>
          <w:p w:rsidRPr="00174A06" w:rsidR="002820DF" w:rsidP="002820DF" w:rsidRDefault="002820DF" w14:paraId="2CB9282E" w14:textId="77777777">
            <w:pPr>
              <w:spacing w:before="60" w:after="60"/>
              <w:rPr>
                <w:color w:val="000000"/>
                <w:sz w:val="22"/>
                <w:szCs w:val="22"/>
              </w:rPr>
            </w:pPr>
            <w:r w:rsidRPr="00174A06">
              <w:rPr>
                <w:color w:val="000000"/>
                <w:sz w:val="22"/>
                <w:szCs w:val="22"/>
              </w:rPr>
              <w:lastRenderedPageBreak/>
              <w:t>Elise Torres, TURN Attorney</w:t>
            </w:r>
          </w:p>
        </w:tc>
        <w:tc>
          <w:tcPr>
            <w:tcW w:w="821" w:type="dxa"/>
            <w:shd w:val="clear" w:color="auto" w:fill="auto"/>
          </w:tcPr>
          <w:p w:rsidRPr="00174A06" w:rsidR="002820DF" w:rsidP="002820DF" w:rsidRDefault="002820DF" w14:paraId="56474247" w14:textId="77777777">
            <w:pPr>
              <w:spacing w:before="60" w:after="60"/>
              <w:jc w:val="center"/>
              <w:rPr>
                <w:color w:val="000000"/>
                <w:sz w:val="22"/>
                <w:szCs w:val="22"/>
              </w:rPr>
            </w:pPr>
            <w:r w:rsidRPr="00174A06">
              <w:rPr>
                <w:color w:val="000000"/>
                <w:sz w:val="22"/>
                <w:szCs w:val="22"/>
              </w:rPr>
              <w:t>2023</w:t>
            </w:r>
          </w:p>
        </w:tc>
        <w:tc>
          <w:tcPr>
            <w:tcW w:w="884" w:type="dxa"/>
            <w:gridSpan w:val="2"/>
            <w:shd w:val="clear" w:color="auto" w:fill="auto"/>
          </w:tcPr>
          <w:p w:rsidRPr="00174A06" w:rsidR="002820DF" w:rsidP="002820DF" w:rsidRDefault="002820DF" w14:paraId="06C68845" w14:textId="33239F28">
            <w:pPr>
              <w:spacing w:before="60" w:after="60"/>
              <w:jc w:val="center"/>
              <w:rPr>
                <w:color w:val="000000"/>
                <w:sz w:val="22"/>
                <w:szCs w:val="22"/>
              </w:rPr>
            </w:pPr>
            <w:r w:rsidRPr="00174A06">
              <w:rPr>
                <w:color w:val="000000"/>
                <w:sz w:val="22"/>
                <w:szCs w:val="22"/>
              </w:rPr>
              <w:t xml:space="preserve">         38.50 </w:t>
            </w:r>
          </w:p>
        </w:tc>
        <w:tc>
          <w:tcPr>
            <w:tcW w:w="930" w:type="dxa"/>
            <w:shd w:val="clear" w:color="auto" w:fill="auto"/>
          </w:tcPr>
          <w:p w:rsidRPr="00174A06" w:rsidR="002820DF" w:rsidP="002820DF" w:rsidRDefault="002820DF" w14:paraId="096676D1" w14:textId="77777777">
            <w:pPr>
              <w:spacing w:before="60" w:after="60"/>
              <w:jc w:val="right"/>
              <w:rPr>
                <w:color w:val="000000"/>
                <w:sz w:val="22"/>
                <w:szCs w:val="22"/>
              </w:rPr>
            </w:pPr>
            <w:r w:rsidRPr="00174A06">
              <w:rPr>
                <w:color w:val="000000"/>
                <w:sz w:val="22"/>
                <w:szCs w:val="22"/>
              </w:rPr>
              <w:t>$510</w:t>
            </w:r>
          </w:p>
        </w:tc>
        <w:tc>
          <w:tcPr>
            <w:tcW w:w="1721" w:type="dxa"/>
            <w:gridSpan w:val="2"/>
            <w:tcBorders>
              <w:right w:val="single" w:color="auto" w:sz="4" w:space="0"/>
            </w:tcBorders>
            <w:shd w:val="clear" w:color="auto" w:fill="auto"/>
          </w:tcPr>
          <w:p w:rsidRPr="00174A06" w:rsidR="002820DF" w:rsidP="002820DF" w:rsidRDefault="002820DF" w14:paraId="3AE8E8CC" w14:textId="77777777">
            <w:pPr>
              <w:spacing w:before="60" w:after="60"/>
              <w:rPr>
                <w:color w:val="000000"/>
                <w:sz w:val="22"/>
                <w:szCs w:val="22"/>
              </w:rPr>
            </w:pPr>
            <w:r w:rsidRPr="00174A06">
              <w:rPr>
                <w:color w:val="000000"/>
                <w:sz w:val="22"/>
                <w:szCs w:val="22"/>
              </w:rPr>
              <w:t>D.24-01-045</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174A06" w:rsidR="002820DF" w:rsidP="002820DF" w:rsidRDefault="002820DF" w14:paraId="1437AEC8" w14:textId="7C1C6E01">
            <w:pPr>
              <w:spacing w:before="60" w:after="60"/>
              <w:jc w:val="right"/>
              <w:rPr>
                <w:color w:val="000000"/>
                <w:sz w:val="22"/>
                <w:szCs w:val="22"/>
              </w:rPr>
            </w:pPr>
            <w:r w:rsidRPr="00174A06">
              <w:rPr>
                <w:color w:val="000000"/>
                <w:sz w:val="22"/>
                <w:szCs w:val="22"/>
              </w:rPr>
              <w:t>$19,635.00</w:t>
            </w:r>
          </w:p>
        </w:tc>
        <w:tc>
          <w:tcPr>
            <w:tcW w:w="955" w:type="dxa"/>
            <w:tcBorders>
              <w:left w:val="single" w:color="auto" w:sz="4" w:space="0"/>
              <w:right w:val="single" w:color="auto" w:sz="4" w:space="0"/>
            </w:tcBorders>
            <w:shd w:val="clear" w:color="auto" w:fill="auto"/>
          </w:tcPr>
          <w:p w:rsidRPr="002D28A6" w:rsidR="002820DF" w:rsidP="002820DF" w:rsidRDefault="002820DF" w14:paraId="3738EBE0" w14:textId="26334EEA">
            <w:pPr>
              <w:spacing w:before="60" w:after="60"/>
              <w:jc w:val="center"/>
              <w:rPr>
                <w:color w:val="000000"/>
              </w:rPr>
            </w:pPr>
            <w:r w:rsidRPr="008619DF">
              <w:t>38.50</w:t>
            </w:r>
          </w:p>
        </w:tc>
        <w:tc>
          <w:tcPr>
            <w:tcW w:w="1146" w:type="dxa"/>
            <w:tcBorders>
              <w:left w:val="single" w:color="auto" w:sz="4" w:space="0"/>
            </w:tcBorders>
            <w:shd w:val="clear" w:color="auto" w:fill="auto"/>
          </w:tcPr>
          <w:p w:rsidRPr="002D28A6" w:rsidR="002820DF" w:rsidP="002820DF" w:rsidRDefault="002820DF" w14:paraId="1DBDB337" w14:textId="351085F9">
            <w:pPr>
              <w:spacing w:before="60" w:after="60"/>
              <w:jc w:val="center"/>
              <w:rPr>
                <w:color w:val="000000"/>
              </w:rPr>
            </w:pPr>
            <w:r>
              <w:rPr>
                <w:color w:val="000000"/>
              </w:rPr>
              <w:t>$510.00</w:t>
            </w:r>
            <w:r w:rsidR="00F3526D">
              <w:rPr>
                <w:color w:val="000000"/>
              </w:rPr>
              <w:t xml:space="preserve"> [3]</w:t>
            </w:r>
          </w:p>
        </w:tc>
        <w:tc>
          <w:tcPr>
            <w:tcW w:w="1881" w:type="dxa"/>
            <w:shd w:val="clear" w:color="auto" w:fill="auto"/>
          </w:tcPr>
          <w:p w:rsidRPr="002D28A6" w:rsidR="002820DF" w:rsidP="002820DF" w:rsidRDefault="002820DF" w14:paraId="1190F95C" w14:textId="392C4653">
            <w:pPr>
              <w:spacing w:before="60" w:after="60"/>
              <w:jc w:val="right"/>
              <w:rPr>
                <w:color w:val="000000"/>
              </w:rPr>
            </w:pPr>
            <w:r w:rsidRPr="008A0C32">
              <w:t xml:space="preserve">$19,635.00 </w:t>
            </w:r>
          </w:p>
        </w:tc>
      </w:tr>
      <w:tr w:rsidRPr="002D28A6" w:rsidR="002820DF" w:rsidTr="008C05FA" w14:paraId="1D18076E" w14:textId="77777777">
        <w:trPr>
          <w:jc w:val="center"/>
        </w:trPr>
        <w:tc>
          <w:tcPr>
            <w:tcW w:w="1489" w:type="dxa"/>
            <w:shd w:val="clear" w:color="auto" w:fill="auto"/>
          </w:tcPr>
          <w:p w:rsidRPr="00174A06" w:rsidR="002820DF" w:rsidP="002820DF" w:rsidRDefault="002820DF" w14:paraId="7BADF86C" w14:textId="77777777">
            <w:pPr>
              <w:spacing w:before="60" w:after="60"/>
              <w:rPr>
                <w:color w:val="000000"/>
                <w:sz w:val="22"/>
                <w:szCs w:val="22"/>
              </w:rPr>
            </w:pPr>
            <w:r w:rsidRPr="00174A06">
              <w:rPr>
                <w:color w:val="000000"/>
                <w:sz w:val="22"/>
                <w:szCs w:val="22"/>
              </w:rPr>
              <w:t>Elise Torres</w:t>
            </w:r>
          </w:p>
        </w:tc>
        <w:tc>
          <w:tcPr>
            <w:tcW w:w="821" w:type="dxa"/>
            <w:shd w:val="clear" w:color="auto" w:fill="auto"/>
          </w:tcPr>
          <w:p w:rsidRPr="00174A06" w:rsidR="002820DF" w:rsidP="002820DF" w:rsidRDefault="002820DF" w14:paraId="5C204052" w14:textId="77777777">
            <w:pPr>
              <w:spacing w:before="60" w:after="60"/>
              <w:jc w:val="center"/>
              <w:rPr>
                <w:color w:val="000000"/>
                <w:sz w:val="22"/>
                <w:szCs w:val="22"/>
              </w:rPr>
            </w:pPr>
            <w:r w:rsidRPr="00174A06">
              <w:rPr>
                <w:color w:val="000000"/>
                <w:sz w:val="22"/>
                <w:szCs w:val="22"/>
              </w:rPr>
              <w:t>2024</w:t>
            </w:r>
          </w:p>
        </w:tc>
        <w:tc>
          <w:tcPr>
            <w:tcW w:w="884" w:type="dxa"/>
            <w:gridSpan w:val="2"/>
            <w:shd w:val="clear" w:color="auto" w:fill="auto"/>
          </w:tcPr>
          <w:p w:rsidRPr="00174A06" w:rsidR="002820DF" w:rsidP="002820DF" w:rsidRDefault="002820DF" w14:paraId="5C506892" w14:textId="33FFC38C">
            <w:pPr>
              <w:spacing w:before="60" w:after="60"/>
              <w:jc w:val="center"/>
              <w:rPr>
                <w:color w:val="000000"/>
                <w:sz w:val="22"/>
                <w:szCs w:val="22"/>
              </w:rPr>
            </w:pPr>
            <w:r>
              <w:rPr>
                <w:color w:val="000000"/>
                <w:sz w:val="22"/>
                <w:szCs w:val="22"/>
              </w:rPr>
              <w:t>86.50</w:t>
            </w:r>
            <w:r w:rsidRPr="00174A06">
              <w:rPr>
                <w:color w:val="000000"/>
                <w:sz w:val="22"/>
                <w:szCs w:val="22"/>
              </w:rPr>
              <w:t xml:space="preserve">         </w:t>
            </w:r>
          </w:p>
        </w:tc>
        <w:tc>
          <w:tcPr>
            <w:tcW w:w="930" w:type="dxa"/>
            <w:shd w:val="clear" w:color="auto" w:fill="auto"/>
          </w:tcPr>
          <w:p w:rsidRPr="00174A06" w:rsidR="002820DF" w:rsidP="002820DF" w:rsidRDefault="002820DF" w14:paraId="13C8A0A1" w14:textId="77777777">
            <w:pPr>
              <w:spacing w:before="60" w:after="60"/>
              <w:jc w:val="right"/>
              <w:rPr>
                <w:color w:val="000000"/>
                <w:sz w:val="22"/>
                <w:szCs w:val="22"/>
              </w:rPr>
            </w:pPr>
            <w:r w:rsidRPr="00174A06">
              <w:rPr>
                <w:color w:val="000000"/>
                <w:sz w:val="22"/>
                <w:szCs w:val="22"/>
              </w:rPr>
              <w:t>$555</w:t>
            </w:r>
          </w:p>
        </w:tc>
        <w:tc>
          <w:tcPr>
            <w:tcW w:w="1721" w:type="dxa"/>
            <w:gridSpan w:val="2"/>
            <w:tcBorders>
              <w:right w:val="single" w:color="auto" w:sz="4" w:space="0"/>
            </w:tcBorders>
            <w:shd w:val="clear" w:color="auto" w:fill="auto"/>
          </w:tcPr>
          <w:p w:rsidRPr="00174A06" w:rsidR="002820DF" w:rsidP="002820DF" w:rsidRDefault="002820DF" w14:paraId="12C6F012" w14:textId="77777777">
            <w:pPr>
              <w:spacing w:before="60" w:after="60"/>
              <w:rPr>
                <w:color w:val="000000"/>
                <w:sz w:val="22"/>
                <w:szCs w:val="22"/>
              </w:rPr>
            </w:pPr>
            <w:r w:rsidRPr="00174A06">
              <w:rPr>
                <w:color w:val="000000"/>
                <w:sz w:val="22"/>
                <w:szCs w:val="22"/>
              </w:rPr>
              <w:t>See Comment 1</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174A06" w:rsidR="002820DF" w:rsidP="002820DF" w:rsidRDefault="002820DF" w14:paraId="74F4A320" w14:textId="69B5149F">
            <w:pPr>
              <w:spacing w:before="60" w:after="60"/>
              <w:jc w:val="right"/>
              <w:rPr>
                <w:color w:val="000000"/>
                <w:sz w:val="22"/>
                <w:szCs w:val="22"/>
              </w:rPr>
            </w:pPr>
            <w:r w:rsidRPr="00174A06">
              <w:rPr>
                <w:color w:val="000000"/>
                <w:sz w:val="22"/>
                <w:szCs w:val="22"/>
              </w:rPr>
              <w:t>$48,007.50</w:t>
            </w:r>
          </w:p>
        </w:tc>
        <w:tc>
          <w:tcPr>
            <w:tcW w:w="955" w:type="dxa"/>
            <w:tcBorders>
              <w:left w:val="single" w:color="auto" w:sz="4" w:space="0"/>
              <w:right w:val="single" w:color="auto" w:sz="4" w:space="0"/>
            </w:tcBorders>
            <w:shd w:val="clear" w:color="auto" w:fill="auto"/>
          </w:tcPr>
          <w:p w:rsidRPr="002D28A6" w:rsidR="002820DF" w:rsidP="002820DF" w:rsidRDefault="002820DF" w14:paraId="6822F27E" w14:textId="196740C6">
            <w:pPr>
              <w:spacing w:before="60" w:after="60"/>
              <w:jc w:val="center"/>
              <w:rPr>
                <w:color w:val="000000"/>
              </w:rPr>
            </w:pPr>
            <w:r w:rsidRPr="008619DF">
              <w:t>86.50</w:t>
            </w:r>
          </w:p>
        </w:tc>
        <w:tc>
          <w:tcPr>
            <w:tcW w:w="1146" w:type="dxa"/>
            <w:tcBorders>
              <w:left w:val="single" w:color="auto" w:sz="4" w:space="0"/>
            </w:tcBorders>
            <w:shd w:val="clear" w:color="auto" w:fill="auto"/>
          </w:tcPr>
          <w:p w:rsidRPr="002D28A6" w:rsidR="002820DF" w:rsidP="002820DF" w:rsidRDefault="002820DF" w14:paraId="1FBDACF5" w14:textId="607DA951">
            <w:pPr>
              <w:spacing w:before="60" w:after="60"/>
              <w:jc w:val="center"/>
              <w:rPr>
                <w:color w:val="000000"/>
              </w:rPr>
            </w:pPr>
            <w:r>
              <w:rPr>
                <w:color w:val="000000"/>
              </w:rPr>
              <w:t>$555.00</w:t>
            </w:r>
            <w:r w:rsidR="00F3526D">
              <w:rPr>
                <w:color w:val="000000"/>
              </w:rPr>
              <w:t xml:space="preserve"> [3]</w:t>
            </w:r>
          </w:p>
        </w:tc>
        <w:tc>
          <w:tcPr>
            <w:tcW w:w="1881" w:type="dxa"/>
            <w:shd w:val="clear" w:color="auto" w:fill="auto"/>
          </w:tcPr>
          <w:p w:rsidRPr="002D28A6" w:rsidR="002820DF" w:rsidP="002820DF" w:rsidRDefault="002820DF" w14:paraId="4AA0FD08" w14:textId="7292A448">
            <w:pPr>
              <w:spacing w:before="60" w:after="60"/>
              <w:jc w:val="right"/>
              <w:rPr>
                <w:color w:val="000000"/>
              </w:rPr>
            </w:pPr>
            <w:r w:rsidRPr="008A0C32">
              <w:t xml:space="preserve">$48,007.50 </w:t>
            </w:r>
          </w:p>
        </w:tc>
      </w:tr>
      <w:tr w:rsidRPr="002D28A6" w:rsidR="00E3786F" w:rsidTr="00EC6387" w14:paraId="1B237C11" w14:textId="77777777">
        <w:trPr>
          <w:jc w:val="center"/>
        </w:trPr>
        <w:tc>
          <w:tcPr>
            <w:tcW w:w="7178" w:type="dxa"/>
            <w:gridSpan w:val="9"/>
            <w:tcBorders>
              <w:bottom w:val="single" w:color="auto" w:sz="4" w:space="0"/>
              <w:right w:val="single" w:color="auto" w:sz="24" w:space="0"/>
            </w:tcBorders>
            <w:shd w:val="clear" w:color="auto" w:fill="auto"/>
            <w:vAlign w:val="bottom"/>
          </w:tcPr>
          <w:p w:rsidRPr="002D28A6" w:rsidR="00E3786F" w:rsidP="008A01BC" w:rsidRDefault="00E3786F" w14:paraId="2ECB6744" w14:textId="63CEB2A4">
            <w:pPr>
              <w:tabs>
                <w:tab w:val="left" w:pos="957"/>
              </w:tabs>
              <w:spacing w:before="60" w:after="60"/>
              <w:ind w:right="162"/>
              <w:jc w:val="right"/>
              <w:rPr>
                <w:b/>
                <w:i/>
                <w:color w:val="000000"/>
              </w:rPr>
            </w:pPr>
            <w:r w:rsidRPr="002D28A6">
              <w:rPr>
                <w:b/>
                <w:i/>
                <w:color w:val="000000"/>
              </w:rPr>
              <w:t>Subtotal: $</w:t>
            </w:r>
            <w:r w:rsidRPr="004533ED" w:rsidR="004533ED">
              <w:rPr>
                <w:b/>
                <w:bCs/>
                <w:i/>
                <w:iCs/>
                <w:color w:val="000000"/>
                <w:sz w:val="22"/>
                <w:szCs w:val="22"/>
              </w:rPr>
              <w:t>178,176.25</w:t>
            </w:r>
          </w:p>
        </w:tc>
        <w:tc>
          <w:tcPr>
            <w:tcW w:w="3982" w:type="dxa"/>
            <w:gridSpan w:val="3"/>
            <w:tcBorders>
              <w:left w:val="single" w:color="auto" w:sz="24" w:space="0"/>
              <w:bottom w:val="single" w:color="auto" w:sz="4" w:space="0"/>
            </w:tcBorders>
            <w:shd w:val="clear" w:color="auto" w:fill="auto"/>
            <w:vAlign w:val="bottom"/>
          </w:tcPr>
          <w:p w:rsidRPr="002D28A6" w:rsidR="00E3786F" w:rsidP="003B6A1B" w:rsidRDefault="00E3786F" w14:paraId="4C4556E5" w14:textId="3E0BCCE5">
            <w:pPr>
              <w:tabs>
                <w:tab w:val="left" w:pos="957"/>
              </w:tabs>
              <w:spacing w:before="60" w:after="60"/>
              <w:ind w:right="162"/>
              <w:jc w:val="right"/>
              <w:rPr>
                <w:color w:val="000000"/>
              </w:rPr>
            </w:pPr>
            <w:r w:rsidRPr="002D28A6">
              <w:rPr>
                <w:b/>
                <w:i/>
                <w:color w:val="000000"/>
              </w:rPr>
              <w:t xml:space="preserve">Subtotal: </w:t>
            </w:r>
            <w:r w:rsidRPr="002820DF" w:rsidR="002820DF">
              <w:rPr>
                <w:b/>
                <w:color w:val="000000"/>
              </w:rPr>
              <w:t>$178,176.25</w:t>
            </w:r>
          </w:p>
        </w:tc>
      </w:tr>
      <w:tr w:rsidRPr="002D28A6" w:rsidR="00A92D0B" w:rsidTr="00EC6387" w14:paraId="4F8FAF05"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E6E6E6"/>
          </w:tcPr>
          <w:p w:rsidRPr="002D28A6" w:rsidR="00A92D0B" w:rsidP="004A6FD4" w:rsidRDefault="00A92D0B" w14:paraId="41FE304C" w14:textId="77777777">
            <w:pPr>
              <w:keepNext/>
              <w:spacing w:before="60" w:after="60"/>
              <w:jc w:val="center"/>
              <w:rPr>
                <w:color w:val="000000"/>
              </w:rPr>
            </w:pPr>
            <w:r w:rsidRPr="002D28A6">
              <w:rPr>
                <w:b/>
                <w:color w:val="000000"/>
              </w:rPr>
              <w:t xml:space="preserve">INTERVENOR COMPENSATION CLAIM PREPARATION </w:t>
            </w:r>
            <w:r w:rsidRPr="002D28A6">
              <w:rPr>
                <w:b/>
                <w:smallCaps/>
                <w:color w:val="000000"/>
              </w:rPr>
              <w:t xml:space="preserve"> **</w:t>
            </w:r>
          </w:p>
        </w:tc>
      </w:tr>
      <w:tr w:rsidRPr="002D28A6" w:rsidR="00A92D0B" w:rsidTr="00763797" w14:paraId="48B3E535" w14:textId="77777777">
        <w:trPr>
          <w:jc w:val="center"/>
        </w:trPr>
        <w:tc>
          <w:tcPr>
            <w:tcW w:w="1489" w:type="dxa"/>
            <w:tcBorders>
              <w:top w:val="single" w:color="auto" w:sz="4" w:space="0"/>
              <w:bottom w:val="single" w:color="auto" w:sz="4" w:space="0"/>
            </w:tcBorders>
            <w:shd w:val="clear" w:color="auto" w:fill="auto"/>
            <w:vAlign w:val="bottom"/>
          </w:tcPr>
          <w:p w:rsidRPr="002D28A6" w:rsidR="00A92D0B" w:rsidP="004A6FD4" w:rsidRDefault="00A92D0B" w14:paraId="563A43BB" w14:textId="77777777">
            <w:pPr>
              <w:keepNext/>
              <w:spacing w:before="60" w:after="60"/>
              <w:jc w:val="center"/>
              <w:rPr>
                <w:b/>
                <w:color w:val="000000"/>
              </w:rPr>
            </w:pPr>
            <w:r w:rsidRPr="002D28A6">
              <w:rPr>
                <w:b/>
                <w:color w:val="000000"/>
              </w:rPr>
              <w:t>Item</w:t>
            </w:r>
          </w:p>
        </w:tc>
        <w:tc>
          <w:tcPr>
            <w:tcW w:w="821" w:type="dxa"/>
            <w:tcBorders>
              <w:top w:val="single" w:color="auto" w:sz="4" w:space="0"/>
              <w:bottom w:val="single" w:color="auto" w:sz="4" w:space="0"/>
            </w:tcBorders>
            <w:shd w:val="clear" w:color="auto" w:fill="auto"/>
            <w:vAlign w:val="bottom"/>
          </w:tcPr>
          <w:p w:rsidRPr="002D28A6" w:rsidR="00A92D0B" w:rsidP="004A6FD4" w:rsidRDefault="00A92D0B" w14:paraId="144552E0" w14:textId="77777777">
            <w:pPr>
              <w:keepNext/>
              <w:spacing w:before="60" w:after="60"/>
              <w:jc w:val="center"/>
              <w:rPr>
                <w:b/>
                <w:color w:val="000000"/>
              </w:rPr>
            </w:pPr>
            <w:r w:rsidRPr="002D28A6">
              <w:rPr>
                <w:b/>
                <w:color w:val="000000"/>
              </w:rPr>
              <w:t>Year</w:t>
            </w:r>
          </w:p>
        </w:tc>
        <w:tc>
          <w:tcPr>
            <w:tcW w:w="884" w:type="dxa"/>
            <w:gridSpan w:val="2"/>
            <w:tcBorders>
              <w:top w:val="single" w:color="auto" w:sz="4" w:space="0"/>
              <w:bottom w:val="single" w:color="auto" w:sz="4" w:space="0"/>
            </w:tcBorders>
            <w:shd w:val="clear" w:color="auto" w:fill="auto"/>
            <w:vAlign w:val="bottom"/>
          </w:tcPr>
          <w:p w:rsidRPr="002D28A6" w:rsidR="00A92D0B" w:rsidP="004A6FD4" w:rsidRDefault="00A92D0B" w14:paraId="42890B1B" w14:textId="77777777">
            <w:pPr>
              <w:keepNext/>
              <w:spacing w:before="60" w:after="60"/>
              <w:jc w:val="center"/>
              <w:rPr>
                <w:b/>
                <w:color w:val="000000"/>
              </w:rPr>
            </w:pPr>
            <w:r w:rsidRPr="002D28A6">
              <w:rPr>
                <w:b/>
                <w:color w:val="000000"/>
              </w:rPr>
              <w:t>Hours</w:t>
            </w:r>
          </w:p>
        </w:tc>
        <w:tc>
          <w:tcPr>
            <w:tcW w:w="930" w:type="dxa"/>
            <w:tcBorders>
              <w:top w:val="single" w:color="auto" w:sz="4" w:space="0"/>
              <w:bottom w:val="single" w:color="auto" w:sz="4" w:space="0"/>
            </w:tcBorders>
            <w:shd w:val="clear" w:color="auto" w:fill="auto"/>
            <w:vAlign w:val="bottom"/>
          </w:tcPr>
          <w:p w:rsidRPr="002D28A6" w:rsidR="00A92D0B" w:rsidP="004A6FD4" w:rsidRDefault="00A92D0B" w14:paraId="1E7BD956" w14:textId="243077B9">
            <w:pPr>
              <w:keepNext/>
              <w:spacing w:before="60" w:after="60"/>
              <w:jc w:val="center"/>
              <w:rPr>
                <w:b/>
                <w:color w:val="000000"/>
              </w:rPr>
            </w:pPr>
            <w:r w:rsidRPr="002D28A6">
              <w:rPr>
                <w:b/>
                <w:color w:val="000000"/>
              </w:rPr>
              <w:t>Rate</w:t>
            </w:r>
            <w:r w:rsidRPr="002D28A6" w:rsidR="00380703">
              <w:rPr>
                <w:b/>
                <w:color w:val="000000"/>
              </w:rPr>
              <w:t xml:space="preserve"> $</w:t>
            </w:r>
          </w:p>
        </w:tc>
        <w:tc>
          <w:tcPr>
            <w:tcW w:w="1721" w:type="dxa"/>
            <w:gridSpan w:val="2"/>
            <w:tcBorders>
              <w:top w:val="single" w:color="auto" w:sz="4" w:space="0"/>
              <w:bottom w:val="single" w:color="auto" w:sz="4" w:space="0"/>
              <w:right w:val="single" w:color="auto" w:sz="4" w:space="0"/>
            </w:tcBorders>
            <w:shd w:val="clear" w:color="auto" w:fill="auto"/>
            <w:vAlign w:val="bottom"/>
          </w:tcPr>
          <w:p w:rsidRPr="002D28A6" w:rsidR="00A92D0B" w:rsidP="004A6FD4" w:rsidRDefault="00A92D0B" w14:paraId="104D7982" w14:textId="77777777">
            <w:pPr>
              <w:keepNext/>
              <w:spacing w:before="60" w:after="60"/>
              <w:jc w:val="center"/>
              <w:rPr>
                <w:b/>
                <w:color w:val="000000"/>
              </w:rPr>
            </w:pPr>
            <w:r w:rsidRPr="002D28A6">
              <w:rPr>
                <w:b/>
                <w:color w:val="000000"/>
              </w:rPr>
              <w:t>Basis for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2D28A6" w:rsidR="00A92D0B" w:rsidP="004A6FD4" w:rsidRDefault="00A92D0B" w14:paraId="073B2BB9" w14:textId="77777777">
            <w:pPr>
              <w:keepNext/>
              <w:spacing w:before="60" w:after="60"/>
              <w:jc w:val="center"/>
              <w:rPr>
                <w:b/>
                <w:color w:val="000000"/>
              </w:rPr>
            </w:pPr>
            <w:r w:rsidRPr="002D28A6">
              <w:rPr>
                <w:b/>
                <w:color w:val="000000"/>
              </w:rPr>
              <w:t>Total $</w:t>
            </w:r>
          </w:p>
        </w:tc>
        <w:tc>
          <w:tcPr>
            <w:tcW w:w="955" w:type="dxa"/>
            <w:tcBorders>
              <w:top w:val="single" w:color="auto" w:sz="4" w:space="0"/>
              <w:left w:val="single" w:color="auto" w:sz="4" w:space="0"/>
            </w:tcBorders>
            <w:shd w:val="clear" w:color="auto" w:fill="auto"/>
            <w:vAlign w:val="bottom"/>
          </w:tcPr>
          <w:p w:rsidRPr="002D28A6" w:rsidR="00A92D0B" w:rsidP="004A6FD4" w:rsidRDefault="00A92D0B" w14:paraId="0409143B" w14:textId="77777777">
            <w:pPr>
              <w:keepNext/>
              <w:spacing w:before="60" w:after="60"/>
              <w:jc w:val="center"/>
              <w:rPr>
                <w:b/>
                <w:color w:val="000000"/>
              </w:rPr>
            </w:pPr>
            <w:r w:rsidRPr="002D28A6">
              <w:rPr>
                <w:b/>
                <w:color w:val="000000"/>
              </w:rPr>
              <w:t>Hours</w:t>
            </w:r>
          </w:p>
        </w:tc>
        <w:tc>
          <w:tcPr>
            <w:tcW w:w="1146" w:type="dxa"/>
            <w:tcBorders>
              <w:top w:val="single" w:color="auto" w:sz="4" w:space="0"/>
            </w:tcBorders>
            <w:shd w:val="clear" w:color="auto" w:fill="auto"/>
            <w:vAlign w:val="bottom"/>
          </w:tcPr>
          <w:p w:rsidRPr="002D28A6" w:rsidR="00A92D0B" w:rsidP="004A6FD4" w:rsidRDefault="00A92D0B" w14:paraId="6B59BB80" w14:textId="2C791D8E">
            <w:pPr>
              <w:keepNext/>
              <w:spacing w:before="60" w:after="60"/>
              <w:jc w:val="center"/>
              <w:rPr>
                <w:b/>
                <w:color w:val="000000"/>
              </w:rPr>
            </w:pPr>
            <w:r w:rsidRPr="002D28A6">
              <w:rPr>
                <w:b/>
                <w:color w:val="000000"/>
              </w:rPr>
              <w:t xml:space="preserve">Rate </w:t>
            </w:r>
            <w:r w:rsidRPr="002D28A6" w:rsidR="00B17005">
              <w:rPr>
                <w:b/>
                <w:color w:val="000000"/>
              </w:rPr>
              <w:t>$</w:t>
            </w:r>
          </w:p>
        </w:tc>
        <w:tc>
          <w:tcPr>
            <w:tcW w:w="1881" w:type="dxa"/>
            <w:tcBorders>
              <w:top w:val="single" w:color="auto" w:sz="4" w:space="0"/>
            </w:tcBorders>
            <w:shd w:val="clear" w:color="auto" w:fill="auto"/>
            <w:vAlign w:val="bottom"/>
          </w:tcPr>
          <w:p w:rsidRPr="002D28A6" w:rsidR="00A92D0B" w:rsidP="004A6FD4" w:rsidRDefault="00A92D0B" w14:paraId="6C7B13CF" w14:textId="77777777">
            <w:pPr>
              <w:keepNext/>
              <w:spacing w:before="60" w:after="60"/>
              <w:jc w:val="center"/>
              <w:rPr>
                <w:b/>
                <w:color w:val="000000"/>
              </w:rPr>
            </w:pPr>
            <w:r w:rsidRPr="002D28A6">
              <w:rPr>
                <w:b/>
                <w:color w:val="000000"/>
              </w:rPr>
              <w:t>Total $</w:t>
            </w:r>
          </w:p>
        </w:tc>
      </w:tr>
      <w:tr w:rsidRPr="002D28A6" w:rsidR="00A92D0B" w:rsidTr="008C05FA" w14:paraId="25086E67" w14:textId="77777777">
        <w:trPr>
          <w:jc w:val="center"/>
        </w:trPr>
        <w:tc>
          <w:tcPr>
            <w:tcW w:w="1489" w:type="dxa"/>
            <w:shd w:val="clear" w:color="auto" w:fill="auto"/>
          </w:tcPr>
          <w:p w:rsidRPr="00EA2036" w:rsidR="00A92D0B" w:rsidP="003B6A1B" w:rsidRDefault="00C165E8" w14:paraId="386D0995" w14:textId="6732AEE3">
            <w:pPr>
              <w:spacing w:before="60" w:after="60"/>
              <w:rPr>
                <w:color w:val="000000"/>
                <w:sz w:val="22"/>
                <w:szCs w:val="22"/>
              </w:rPr>
            </w:pPr>
            <w:r w:rsidRPr="00EA2036">
              <w:rPr>
                <w:color w:val="000000"/>
                <w:sz w:val="22"/>
                <w:szCs w:val="22"/>
              </w:rPr>
              <w:t>Hayley Goodson</w:t>
            </w:r>
          </w:p>
        </w:tc>
        <w:tc>
          <w:tcPr>
            <w:tcW w:w="821" w:type="dxa"/>
            <w:shd w:val="clear" w:color="auto" w:fill="auto"/>
          </w:tcPr>
          <w:p w:rsidRPr="00EA2036" w:rsidR="00A92D0B" w:rsidP="00AF61A9" w:rsidRDefault="00C165E8" w14:paraId="4A155F1D" w14:textId="100134DA">
            <w:pPr>
              <w:spacing w:before="60" w:after="60"/>
              <w:jc w:val="center"/>
              <w:rPr>
                <w:color w:val="000000"/>
                <w:sz w:val="22"/>
                <w:szCs w:val="22"/>
              </w:rPr>
            </w:pPr>
            <w:r w:rsidRPr="00EA2036">
              <w:rPr>
                <w:color w:val="000000"/>
                <w:sz w:val="22"/>
                <w:szCs w:val="22"/>
              </w:rPr>
              <w:t>2024</w:t>
            </w:r>
          </w:p>
        </w:tc>
        <w:tc>
          <w:tcPr>
            <w:tcW w:w="884" w:type="dxa"/>
            <w:gridSpan w:val="2"/>
            <w:shd w:val="clear" w:color="auto" w:fill="auto"/>
          </w:tcPr>
          <w:p w:rsidRPr="00EA2036" w:rsidR="00A92D0B" w:rsidP="00AF61A9" w:rsidRDefault="008A01BC" w14:paraId="30EEA80A" w14:textId="6967A691">
            <w:pPr>
              <w:spacing w:before="60" w:after="60"/>
              <w:jc w:val="center"/>
              <w:rPr>
                <w:color w:val="000000"/>
                <w:sz w:val="22"/>
                <w:szCs w:val="22"/>
              </w:rPr>
            </w:pPr>
            <w:r>
              <w:rPr>
                <w:color w:val="000000"/>
                <w:sz w:val="22"/>
                <w:szCs w:val="22"/>
              </w:rPr>
              <w:t>13.50</w:t>
            </w:r>
          </w:p>
        </w:tc>
        <w:tc>
          <w:tcPr>
            <w:tcW w:w="930" w:type="dxa"/>
            <w:shd w:val="clear" w:color="auto" w:fill="auto"/>
          </w:tcPr>
          <w:p w:rsidRPr="00EA2036" w:rsidR="00A92D0B" w:rsidP="003B6A1B" w:rsidRDefault="00C165E8" w14:paraId="4EB14C91" w14:textId="46858632">
            <w:pPr>
              <w:spacing w:before="60" w:after="60"/>
              <w:rPr>
                <w:color w:val="000000"/>
                <w:sz w:val="22"/>
                <w:szCs w:val="22"/>
              </w:rPr>
            </w:pPr>
            <w:r w:rsidRPr="00EA2036">
              <w:rPr>
                <w:color w:val="000000"/>
                <w:sz w:val="22"/>
                <w:szCs w:val="22"/>
              </w:rPr>
              <w:t>$340</w:t>
            </w:r>
          </w:p>
        </w:tc>
        <w:tc>
          <w:tcPr>
            <w:tcW w:w="1721" w:type="dxa"/>
            <w:gridSpan w:val="2"/>
            <w:tcBorders>
              <w:right w:val="single" w:color="auto" w:sz="4" w:space="0"/>
            </w:tcBorders>
            <w:shd w:val="clear" w:color="auto" w:fill="auto"/>
          </w:tcPr>
          <w:p w:rsidRPr="00EA2036" w:rsidR="00A92D0B" w:rsidP="003B6A1B" w:rsidRDefault="00C165E8" w14:paraId="02D334B7" w14:textId="186CA373">
            <w:pPr>
              <w:spacing w:before="60" w:after="60"/>
              <w:rPr>
                <w:color w:val="000000"/>
                <w:sz w:val="22"/>
                <w:szCs w:val="22"/>
              </w:rPr>
            </w:pPr>
            <w:r w:rsidRPr="00EA2036">
              <w:rPr>
                <w:color w:val="000000"/>
                <w:sz w:val="22"/>
                <w:szCs w:val="22"/>
              </w:rPr>
              <w:t>½ of 2024 rate</w:t>
            </w:r>
          </w:p>
        </w:tc>
        <w:tc>
          <w:tcPr>
            <w:tcW w:w="1333" w:type="dxa"/>
            <w:gridSpan w:val="2"/>
            <w:tcBorders>
              <w:top w:val="single" w:color="auto" w:sz="4" w:space="0"/>
              <w:left w:val="single" w:color="auto" w:sz="4" w:space="0"/>
              <w:bottom w:val="single" w:color="auto" w:sz="4" w:space="0"/>
              <w:right w:val="single" w:color="auto" w:sz="24" w:space="0"/>
            </w:tcBorders>
            <w:shd w:val="clear" w:color="auto" w:fill="auto"/>
          </w:tcPr>
          <w:p w:rsidRPr="002D28A6" w:rsidR="00A92D0B" w:rsidP="00AE6488" w:rsidRDefault="008A01BC" w14:paraId="7B9A0261" w14:textId="7A44984B">
            <w:pPr>
              <w:spacing w:before="60" w:after="60"/>
              <w:jc w:val="right"/>
              <w:rPr>
                <w:color w:val="000000"/>
              </w:rPr>
            </w:pPr>
            <w:r>
              <w:rPr>
                <w:color w:val="000000"/>
              </w:rPr>
              <w:t>$4,590.00</w:t>
            </w:r>
          </w:p>
        </w:tc>
        <w:tc>
          <w:tcPr>
            <w:tcW w:w="955" w:type="dxa"/>
            <w:tcBorders>
              <w:left w:val="single" w:color="auto" w:sz="4" w:space="0"/>
              <w:right w:val="single" w:color="auto" w:sz="4" w:space="0"/>
            </w:tcBorders>
            <w:shd w:val="clear" w:color="auto" w:fill="auto"/>
          </w:tcPr>
          <w:p w:rsidRPr="002D28A6" w:rsidR="00A92D0B" w:rsidP="008B7D2C" w:rsidRDefault="008B7D2C" w14:paraId="5E5A4264" w14:textId="456C4B2E">
            <w:pPr>
              <w:spacing w:before="60" w:after="60"/>
              <w:jc w:val="center"/>
              <w:rPr>
                <w:color w:val="000000"/>
              </w:rPr>
            </w:pPr>
            <w:r>
              <w:rPr>
                <w:color w:val="000000"/>
              </w:rPr>
              <w:t>13.50</w:t>
            </w:r>
          </w:p>
        </w:tc>
        <w:tc>
          <w:tcPr>
            <w:tcW w:w="1146" w:type="dxa"/>
            <w:tcBorders>
              <w:left w:val="single" w:color="auto" w:sz="4" w:space="0"/>
            </w:tcBorders>
            <w:shd w:val="clear" w:color="auto" w:fill="auto"/>
          </w:tcPr>
          <w:p w:rsidRPr="002D28A6" w:rsidR="00A92D0B" w:rsidP="008B7D2C" w:rsidRDefault="008B7D2C" w14:paraId="47B1F089" w14:textId="3AA194CB">
            <w:pPr>
              <w:spacing w:before="60" w:after="60"/>
              <w:jc w:val="center"/>
              <w:rPr>
                <w:color w:val="000000"/>
              </w:rPr>
            </w:pPr>
            <w:r>
              <w:rPr>
                <w:color w:val="000000"/>
              </w:rPr>
              <w:t>$340.00</w:t>
            </w:r>
            <w:r w:rsidR="00F3526D">
              <w:rPr>
                <w:color w:val="000000"/>
              </w:rPr>
              <w:t xml:space="preserve"> [2]</w:t>
            </w:r>
          </w:p>
        </w:tc>
        <w:tc>
          <w:tcPr>
            <w:tcW w:w="1881" w:type="dxa"/>
            <w:shd w:val="clear" w:color="auto" w:fill="auto"/>
          </w:tcPr>
          <w:p w:rsidRPr="002D28A6" w:rsidR="00A92D0B" w:rsidP="00B17005" w:rsidRDefault="002820DF" w14:paraId="10659B6D" w14:textId="0927496C">
            <w:pPr>
              <w:spacing w:before="60" w:after="60"/>
              <w:jc w:val="right"/>
              <w:rPr>
                <w:color w:val="000000"/>
              </w:rPr>
            </w:pPr>
            <w:r w:rsidRPr="002820DF">
              <w:rPr>
                <w:color w:val="000000"/>
              </w:rPr>
              <w:t>$4,590.00</w:t>
            </w:r>
          </w:p>
        </w:tc>
      </w:tr>
      <w:tr w:rsidRPr="002D28A6" w:rsidR="00E15DC3" w:rsidTr="00EC6387" w14:paraId="266CEDD5" w14:textId="77777777">
        <w:trPr>
          <w:jc w:val="center"/>
        </w:trPr>
        <w:tc>
          <w:tcPr>
            <w:tcW w:w="7178" w:type="dxa"/>
            <w:gridSpan w:val="9"/>
            <w:tcBorders>
              <w:bottom w:val="single" w:color="auto" w:sz="4" w:space="0"/>
              <w:right w:val="single" w:color="auto" w:sz="24" w:space="0"/>
            </w:tcBorders>
            <w:shd w:val="clear" w:color="auto" w:fill="auto"/>
            <w:vAlign w:val="bottom"/>
          </w:tcPr>
          <w:p w:rsidRPr="002D28A6" w:rsidR="00E15DC3" w:rsidP="003B6A1B" w:rsidRDefault="00E15DC3" w14:paraId="4A1F5988" w14:textId="2E04B948">
            <w:pPr>
              <w:tabs>
                <w:tab w:val="left" w:pos="957"/>
              </w:tabs>
              <w:spacing w:before="60" w:after="60"/>
              <w:ind w:right="162"/>
              <w:jc w:val="right"/>
              <w:rPr>
                <w:b/>
                <w:i/>
                <w:color w:val="000000"/>
              </w:rPr>
            </w:pPr>
            <w:r w:rsidRPr="002D28A6">
              <w:rPr>
                <w:b/>
                <w:i/>
                <w:color w:val="000000"/>
              </w:rPr>
              <w:t>Subtotal: $</w:t>
            </w:r>
            <w:r w:rsidRPr="008A01BC" w:rsidR="008A01BC">
              <w:rPr>
                <w:b/>
                <w:bCs/>
                <w:i/>
                <w:iCs/>
                <w:color w:val="000000"/>
              </w:rPr>
              <w:t>4,590.00</w:t>
            </w:r>
          </w:p>
        </w:tc>
        <w:tc>
          <w:tcPr>
            <w:tcW w:w="3982" w:type="dxa"/>
            <w:gridSpan w:val="3"/>
            <w:tcBorders>
              <w:left w:val="single" w:color="auto" w:sz="24" w:space="0"/>
              <w:bottom w:val="single" w:color="auto" w:sz="4" w:space="0"/>
            </w:tcBorders>
            <w:shd w:val="clear" w:color="auto" w:fill="auto"/>
            <w:vAlign w:val="bottom"/>
          </w:tcPr>
          <w:p w:rsidRPr="002D28A6" w:rsidR="00E15DC3" w:rsidP="00691528" w:rsidRDefault="00E15DC3" w14:paraId="2FBAA587" w14:textId="033520CC">
            <w:pPr>
              <w:tabs>
                <w:tab w:val="left" w:pos="957"/>
              </w:tabs>
              <w:spacing w:before="60" w:after="60"/>
              <w:ind w:right="162"/>
              <w:jc w:val="right"/>
              <w:rPr>
                <w:b/>
                <w:i/>
                <w:color w:val="000000"/>
              </w:rPr>
            </w:pPr>
            <w:r w:rsidRPr="002D28A6">
              <w:rPr>
                <w:b/>
                <w:i/>
                <w:color w:val="000000"/>
              </w:rPr>
              <w:t xml:space="preserve">Subtotal: </w:t>
            </w:r>
            <w:r w:rsidRPr="002820DF" w:rsidR="002820DF">
              <w:rPr>
                <w:b/>
                <w:i/>
                <w:color w:val="000000"/>
              </w:rPr>
              <w:t>$4,590.00</w:t>
            </w:r>
          </w:p>
        </w:tc>
      </w:tr>
      <w:tr w:rsidRPr="002D28A6" w:rsidR="003B6A1B" w:rsidTr="00EC6387" w14:paraId="06E7371A" w14:textId="77777777">
        <w:trPr>
          <w:jc w:val="center"/>
        </w:trPr>
        <w:tc>
          <w:tcPr>
            <w:tcW w:w="7178" w:type="dxa"/>
            <w:gridSpan w:val="9"/>
            <w:tcBorders>
              <w:top w:val="single" w:color="auto" w:sz="4" w:space="0"/>
              <w:bottom w:val="single" w:color="auto" w:sz="4" w:space="0"/>
              <w:right w:val="single" w:color="auto" w:sz="24" w:space="0"/>
            </w:tcBorders>
            <w:shd w:val="clear" w:color="auto" w:fill="E6E6E6"/>
            <w:vAlign w:val="bottom"/>
          </w:tcPr>
          <w:p w:rsidRPr="002D28A6" w:rsidR="003B6A1B" w:rsidP="00FE3BAE" w:rsidRDefault="003B6A1B" w14:paraId="11B3B704" w14:textId="45C0F710">
            <w:pPr>
              <w:tabs>
                <w:tab w:val="left" w:pos="957"/>
              </w:tabs>
              <w:spacing w:before="60" w:after="60"/>
              <w:ind w:right="72"/>
              <w:jc w:val="right"/>
              <w:rPr>
                <w:b/>
                <w:color w:val="000000"/>
              </w:rPr>
            </w:pPr>
            <w:r w:rsidRPr="002D28A6">
              <w:rPr>
                <w:b/>
                <w:i/>
                <w:color w:val="000000"/>
              </w:rPr>
              <w:t>TOTAL REQUEST: $</w:t>
            </w:r>
            <w:r w:rsidR="008A01BC">
              <w:rPr>
                <w:b/>
                <w:i/>
                <w:color w:val="000000"/>
              </w:rPr>
              <w:t>182,766.25</w:t>
            </w:r>
          </w:p>
        </w:tc>
        <w:tc>
          <w:tcPr>
            <w:tcW w:w="3982" w:type="dxa"/>
            <w:gridSpan w:val="3"/>
            <w:tcBorders>
              <w:left w:val="single" w:color="auto" w:sz="24" w:space="0"/>
            </w:tcBorders>
            <w:shd w:val="clear" w:color="auto" w:fill="E6E6E6"/>
            <w:vAlign w:val="bottom"/>
          </w:tcPr>
          <w:p w:rsidRPr="002D28A6" w:rsidR="003B6A1B" w:rsidP="00FE3BAE" w:rsidRDefault="003B6A1B" w14:paraId="3680D139" w14:textId="08F61147">
            <w:pPr>
              <w:tabs>
                <w:tab w:val="left" w:pos="957"/>
              </w:tabs>
              <w:spacing w:before="60" w:after="60"/>
              <w:ind w:right="72"/>
              <w:jc w:val="right"/>
              <w:rPr>
                <w:b/>
                <w:color w:val="000000"/>
              </w:rPr>
            </w:pPr>
            <w:r w:rsidRPr="002D28A6">
              <w:rPr>
                <w:b/>
                <w:i/>
                <w:color w:val="000000"/>
              </w:rPr>
              <w:t xml:space="preserve">TOTAL AWARD: </w:t>
            </w:r>
            <w:r w:rsidRPr="002820DF" w:rsidR="002820DF">
              <w:rPr>
                <w:b/>
                <w:i/>
                <w:color w:val="000000"/>
              </w:rPr>
              <w:t>$182,766.25</w:t>
            </w:r>
          </w:p>
        </w:tc>
      </w:tr>
      <w:tr w:rsidRPr="002D28A6" w:rsidR="003B6A1B" w:rsidTr="00EC6387" w14:paraId="6A909BC1" w14:textId="77777777">
        <w:trPr>
          <w:jc w:val="center"/>
        </w:trPr>
        <w:tc>
          <w:tcPr>
            <w:tcW w:w="11160" w:type="dxa"/>
            <w:gridSpan w:val="12"/>
            <w:tcBorders>
              <w:top w:val="single" w:color="auto" w:sz="4" w:space="0"/>
              <w:bottom w:val="single" w:color="auto" w:sz="4" w:space="0"/>
            </w:tcBorders>
            <w:shd w:val="clear" w:color="auto" w:fill="auto"/>
          </w:tcPr>
          <w:p w:rsidRPr="002D28A6" w:rsidR="003B6A1B" w:rsidP="00D075B1" w:rsidRDefault="003B6A1B" w14:paraId="6F39872E" w14:textId="77777777">
            <w:pPr>
              <w:spacing w:before="60" w:after="60"/>
              <w:rPr>
                <w:color w:val="000000"/>
              </w:rPr>
            </w:pPr>
            <w:r w:rsidRPr="002D28A6">
              <w:rPr>
                <w:color w:val="000000"/>
              </w:rPr>
              <w:t xml:space="preserve">  *We remind all intervenors that Commission staff may audit </w:t>
            </w:r>
            <w:r w:rsidRPr="002D28A6">
              <w:t>the records and books of the intervenors to the extent necessary to verify the basis for the award (§1804(d)).  I</w:t>
            </w:r>
            <w:r w:rsidRPr="002D28A6">
              <w:rPr>
                <w:color w:val="000000"/>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2D28A6" w:rsidR="003B6A1B" w:rsidP="00963EEF" w:rsidRDefault="003B6A1B" w14:paraId="0D03EC65" w14:textId="77777777">
            <w:pPr>
              <w:spacing w:before="60" w:after="60"/>
              <w:rPr>
                <w:color w:val="000000"/>
              </w:rPr>
            </w:pPr>
            <w:r w:rsidRPr="002D28A6">
              <w:rPr>
                <w:color w:val="000000"/>
              </w:rPr>
              <w:t>**Travel and Reasonable Claim preparation time are typically compensated at ½ of preparer’s normal hourly rate</w:t>
            </w:r>
            <w:r w:rsidRPr="002D28A6" w:rsidDel="00D075B1">
              <w:rPr>
                <w:color w:val="000000"/>
              </w:rPr>
              <w:t xml:space="preserve"> </w:t>
            </w:r>
          </w:p>
        </w:tc>
      </w:tr>
      <w:tr w:rsidRPr="002D28A6" w:rsidR="003B6A1B" w:rsidTr="00EC6387" w14:paraId="458B01A4" w14:textId="77777777">
        <w:trPr>
          <w:jc w:val="center"/>
        </w:trPr>
        <w:tc>
          <w:tcPr>
            <w:tcW w:w="11160"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2D28A6" w:rsidR="003B6A1B" w:rsidP="004A6FD4" w:rsidRDefault="00BD27C4" w14:paraId="48B43CBD" w14:textId="15F79A54">
            <w:pPr>
              <w:keepNext/>
              <w:spacing w:before="60" w:after="60"/>
              <w:jc w:val="center"/>
              <w:rPr>
                <w:b/>
                <w:smallCaps/>
                <w:color w:val="000000"/>
              </w:rPr>
            </w:pPr>
            <w:r>
              <w:br w:type="page"/>
            </w:r>
            <w:r w:rsidRPr="002D28A6" w:rsidR="003B6A1B">
              <w:rPr>
                <w:b/>
                <w:smallCaps/>
                <w:color w:val="000000"/>
              </w:rPr>
              <w:t>ATTORNEY INFORMATION</w:t>
            </w:r>
          </w:p>
        </w:tc>
      </w:tr>
      <w:tr w:rsidRPr="002D28A6" w:rsidR="003B6A1B" w:rsidTr="00EC6387" w14:paraId="790C92C0" w14:textId="77777777">
        <w:trPr>
          <w:trHeight w:val="173"/>
          <w:jc w:val="center"/>
        </w:trPr>
        <w:tc>
          <w:tcPr>
            <w:tcW w:w="2692" w:type="dxa"/>
            <w:gridSpan w:val="3"/>
            <w:tcBorders>
              <w:top w:val="single" w:color="auto" w:sz="4" w:space="0"/>
              <w:bottom w:val="single" w:color="auto" w:sz="4" w:space="0"/>
            </w:tcBorders>
            <w:shd w:val="clear" w:color="auto" w:fill="FFFFFF"/>
            <w:vAlign w:val="bottom"/>
          </w:tcPr>
          <w:p w:rsidRPr="002D28A6" w:rsidR="003B6A1B" w:rsidP="00E775D0" w:rsidRDefault="003B6A1B" w14:paraId="00CAC866" w14:textId="77777777">
            <w:pPr>
              <w:keepNext/>
              <w:keepLines/>
              <w:spacing w:before="60" w:after="60"/>
              <w:jc w:val="center"/>
              <w:rPr>
                <w:b/>
                <w:color w:val="000000"/>
              </w:rPr>
            </w:pPr>
            <w:r w:rsidRPr="002D28A6">
              <w:rPr>
                <w:b/>
              </w:rPr>
              <w:t>Attorney</w:t>
            </w:r>
          </w:p>
        </w:tc>
        <w:tc>
          <w:tcPr>
            <w:tcW w:w="1909" w:type="dxa"/>
            <w:gridSpan w:val="3"/>
            <w:tcBorders>
              <w:top w:val="single" w:color="auto" w:sz="4" w:space="0"/>
              <w:bottom w:val="single" w:color="auto" w:sz="4" w:space="0"/>
            </w:tcBorders>
            <w:shd w:val="clear" w:color="auto" w:fill="FFFFFF"/>
            <w:vAlign w:val="bottom"/>
          </w:tcPr>
          <w:p w:rsidRPr="002D28A6" w:rsidR="003B6A1B" w:rsidP="00E775D0" w:rsidRDefault="003B6A1B" w14:paraId="7E76A008" w14:textId="77777777">
            <w:pPr>
              <w:keepNext/>
              <w:keepLines/>
              <w:spacing w:before="60" w:after="60"/>
              <w:jc w:val="center"/>
              <w:rPr>
                <w:b/>
                <w:color w:val="000000"/>
              </w:rPr>
            </w:pPr>
            <w:r w:rsidRPr="002D28A6">
              <w:rPr>
                <w:b/>
              </w:rPr>
              <w:t>Date Admitted to CA BAR</w:t>
            </w:r>
            <w:r w:rsidRPr="002D28A6">
              <w:rPr>
                <w:rStyle w:val="FootnoteReference"/>
                <w:b/>
              </w:rPr>
              <w:footnoteReference w:id="2"/>
            </w:r>
          </w:p>
        </w:tc>
        <w:tc>
          <w:tcPr>
            <w:tcW w:w="2291" w:type="dxa"/>
            <w:gridSpan w:val="2"/>
            <w:tcBorders>
              <w:top w:val="single" w:color="auto" w:sz="4" w:space="0"/>
              <w:bottom w:val="single" w:color="auto" w:sz="4" w:space="0"/>
            </w:tcBorders>
            <w:shd w:val="clear" w:color="auto" w:fill="FFFFFF"/>
            <w:vAlign w:val="bottom"/>
          </w:tcPr>
          <w:p w:rsidRPr="002D28A6" w:rsidR="003B6A1B" w:rsidP="00E775D0" w:rsidRDefault="003B6A1B" w14:paraId="27E64ED7" w14:textId="77777777">
            <w:pPr>
              <w:keepNext/>
              <w:keepLines/>
              <w:spacing w:before="60" w:after="60"/>
              <w:jc w:val="center"/>
              <w:rPr>
                <w:b/>
                <w:color w:val="000000"/>
              </w:rPr>
            </w:pPr>
            <w:r w:rsidRPr="002D28A6">
              <w:rPr>
                <w:b/>
              </w:rPr>
              <w:t>Member Number</w:t>
            </w:r>
          </w:p>
        </w:tc>
        <w:tc>
          <w:tcPr>
            <w:tcW w:w="4268" w:type="dxa"/>
            <w:gridSpan w:val="4"/>
            <w:tcBorders>
              <w:top w:val="single" w:color="auto" w:sz="4" w:space="0"/>
              <w:bottom w:val="single" w:color="auto" w:sz="4" w:space="0"/>
            </w:tcBorders>
            <w:shd w:val="clear" w:color="auto" w:fill="FFFFFF"/>
            <w:vAlign w:val="bottom"/>
          </w:tcPr>
          <w:p w:rsidRPr="002D28A6" w:rsidR="003B6A1B" w:rsidP="00E775D0" w:rsidRDefault="003B6A1B" w14:paraId="496B5DC1" w14:textId="77777777">
            <w:pPr>
              <w:keepNext/>
              <w:keepLines/>
              <w:spacing w:before="60" w:after="60"/>
              <w:jc w:val="center"/>
              <w:rPr>
                <w:b/>
              </w:rPr>
            </w:pPr>
            <w:r w:rsidRPr="002D28A6">
              <w:rPr>
                <w:b/>
              </w:rPr>
              <w:t>Actions Affecting Eligibility (Yes/No?)</w:t>
            </w:r>
          </w:p>
          <w:p w:rsidRPr="002D28A6" w:rsidR="003B6A1B" w:rsidP="00E775D0" w:rsidRDefault="003B6A1B" w14:paraId="36F8922D" w14:textId="77777777">
            <w:pPr>
              <w:keepNext/>
              <w:keepLines/>
              <w:spacing w:before="60" w:after="60"/>
              <w:jc w:val="center"/>
              <w:rPr>
                <w:b/>
                <w:color w:val="000000"/>
              </w:rPr>
            </w:pPr>
            <w:r w:rsidRPr="002D28A6">
              <w:rPr>
                <w:b/>
              </w:rPr>
              <w:t>If “Yes”, attach explanation</w:t>
            </w:r>
          </w:p>
        </w:tc>
      </w:tr>
      <w:tr w:rsidRPr="002D28A6" w:rsidR="003B6A1B" w:rsidTr="00190B9E" w14:paraId="4DC5EE9B" w14:textId="77777777">
        <w:trPr>
          <w:trHeight w:val="172"/>
          <w:jc w:val="center"/>
        </w:trPr>
        <w:tc>
          <w:tcPr>
            <w:tcW w:w="2692" w:type="dxa"/>
            <w:gridSpan w:val="3"/>
            <w:tcBorders>
              <w:top w:val="single" w:color="auto" w:sz="4" w:space="0"/>
              <w:bottom w:val="single" w:color="auto" w:sz="4" w:space="0"/>
            </w:tcBorders>
            <w:shd w:val="clear" w:color="auto" w:fill="auto"/>
          </w:tcPr>
          <w:p w:rsidRPr="002D28A6" w:rsidR="003B6A1B" w:rsidP="001A3CF3" w:rsidRDefault="00EB1F90" w14:paraId="7266B7BF" w14:textId="1422F237">
            <w:pPr>
              <w:keepLines/>
              <w:spacing w:before="60" w:after="60"/>
              <w:jc w:val="center"/>
              <w:rPr>
                <w:color w:val="000000"/>
              </w:rPr>
            </w:pPr>
            <w:r>
              <w:rPr>
                <w:color w:val="000000"/>
              </w:rPr>
              <w:t>Matthew Freedman</w:t>
            </w:r>
          </w:p>
        </w:tc>
        <w:tc>
          <w:tcPr>
            <w:tcW w:w="1909" w:type="dxa"/>
            <w:gridSpan w:val="3"/>
            <w:tcBorders>
              <w:top w:val="single" w:color="auto" w:sz="4" w:space="0"/>
              <w:bottom w:val="single" w:color="auto" w:sz="4" w:space="0"/>
            </w:tcBorders>
            <w:shd w:val="clear" w:color="auto" w:fill="auto"/>
          </w:tcPr>
          <w:p w:rsidRPr="002D28A6" w:rsidR="003B6A1B" w:rsidP="001A3CF3" w:rsidRDefault="00EB1F90" w14:paraId="69A41F15" w14:textId="3EA5DE75">
            <w:pPr>
              <w:keepLines/>
              <w:spacing w:before="60" w:after="60"/>
              <w:jc w:val="center"/>
              <w:rPr>
                <w:color w:val="000000"/>
              </w:rPr>
            </w:pPr>
            <w:r>
              <w:rPr>
                <w:color w:val="000000"/>
              </w:rPr>
              <w:t>March 2001</w:t>
            </w:r>
          </w:p>
        </w:tc>
        <w:tc>
          <w:tcPr>
            <w:tcW w:w="2291" w:type="dxa"/>
            <w:gridSpan w:val="2"/>
            <w:tcBorders>
              <w:top w:val="single" w:color="auto" w:sz="4" w:space="0"/>
              <w:bottom w:val="single" w:color="auto" w:sz="4" w:space="0"/>
            </w:tcBorders>
            <w:shd w:val="clear" w:color="auto" w:fill="auto"/>
          </w:tcPr>
          <w:p w:rsidRPr="002D28A6" w:rsidR="003B6A1B" w:rsidP="001A3CF3" w:rsidRDefault="00E47F0C" w14:paraId="58495CD7" w14:textId="2C2B8B85">
            <w:pPr>
              <w:keepLines/>
              <w:spacing w:before="60" w:after="60"/>
              <w:jc w:val="center"/>
              <w:rPr>
                <w:color w:val="000000"/>
              </w:rPr>
            </w:pPr>
            <w:r>
              <w:rPr>
                <w:color w:val="000000"/>
              </w:rPr>
              <w:t>214812</w:t>
            </w:r>
          </w:p>
        </w:tc>
        <w:tc>
          <w:tcPr>
            <w:tcW w:w="4268" w:type="dxa"/>
            <w:gridSpan w:val="4"/>
            <w:tcBorders>
              <w:top w:val="single" w:color="auto" w:sz="4" w:space="0"/>
              <w:bottom w:val="single" w:color="auto" w:sz="4" w:space="0"/>
            </w:tcBorders>
            <w:shd w:val="clear" w:color="auto" w:fill="auto"/>
          </w:tcPr>
          <w:p w:rsidRPr="002D28A6" w:rsidR="003B6A1B" w:rsidP="001A3CF3" w:rsidRDefault="00BD27C4" w14:paraId="117B99BF" w14:textId="1ACEF3BD">
            <w:pPr>
              <w:keepLines/>
              <w:spacing w:before="60" w:after="60"/>
              <w:jc w:val="center"/>
              <w:rPr>
                <w:color w:val="000000"/>
              </w:rPr>
            </w:pPr>
            <w:r>
              <w:rPr>
                <w:color w:val="000000"/>
              </w:rPr>
              <w:t>No</w:t>
            </w:r>
          </w:p>
        </w:tc>
      </w:tr>
      <w:tr w:rsidRPr="002D28A6" w:rsidR="003B6A1B" w:rsidTr="00190B9E" w14:paraId="5D036E2E" w14:textId="77777777">
        <w:trPr>
          <w:trHeight w:val="172"/>
          <w:jc w:val="center"/>
        </w:trPr>
        <w:tc>
          <w:tcPr>
            <w:tcW w:w="2692" w:type="dxa"/>
            <w:gridSpan w:val="3"/>
            <w:tcBorders>
              <w:top w:val="single" w:color="auto" w:sz="4" w:space="0"/>
              <w:bottom w:val="single" w:color="auto" w:sz="4" w:space="0"/>
            </w:tcBorders>
            <w:shd w:val="clear" w:color="auto" w:fill="auto"/>
          </w:tcPr>
          <w:p w:rsidRPr="002D28A6" w:rsidR="003B6A1B" w:rsidP="00E17B34" w:rsidRDefault="00BD27C4" w14:paraId="3D5F8F51" w14:textId="3195761E">
            <w:pPr>
              <w:spacing w:before="60" w:after="60"/>
              <w:jc w:val="center"/>
              <w:rPr>
                <w:color w:val="000000"/>
              </w:rPr>
            </w:pPr>
            <w:r>
              <w:rPr>
                <w:color w:val="000000"/>
              </w:rPr>
              <w:t>Hayley Goodson</w:t>
            </w:r>
          </w:p>
        </w:tc>
        <w:tc>
          <w:tcPr>
            <w:tcW w:w="1909" w:type="dxa"/>
            <w:gridSpan w:val="3"/>
            <w:tcBorders>
              <w:top w:val="single" w:color="auto" w:sz="4" w:space="0"/>
              <w:bottom w:val="single" w:color="auto" w:sz="4" w:space="0"/>
            </w:tcBorders>
            <w:shd w:val="clear" w:color="auto" w:fill="auto"/>
          </w:tcPr>
          <w:p w:rsidRPr="002D28A6" w:rsidR="003B6A1B" w:rsidP="00E17B34" w:rsidRDefault="00BD27C4" w14:paraId="1609FC8E" w14:textId="5047CF44">
            <w:pPr>
              <w:spacing w:before="60" w:after="60"/>
              <w:jc w:val="center"/>
              <w:rPr>
                <w:color w:val="000000"/>
              </w:rPr>
            </w:pPr>
            <w:r>
              <w:rPr>
                <w:color w:val="000000"/>
              </w:rPr>
              <w:t>December 2003</w:t>
            </w:r>
          </w:p>
        </w:tc>
        <w:tc>
          <w:tcPr>
            <w:tcW w:w="2291" w:type="dxa"/>
            <w:gridSpan w:val="2"/>
            <w:tcBorders>
              <w:top w:val="single" w:color="auto" w:sz="4" w:space="0"/>
              <w:bottom w:val="single" w:color="auto" w:sz="4" w:space="0"/>
            </w:tcBorders>
            <w:shd w:val="clear" w:color="auto" w:fill="auto"/>
          </w:tcPr>
          <w:p w:rsidRPr="002D28A6" w:rsidR="003B6A1B" w:rsidP="00E17B34" w:rsidRDefault="00BD27C4" w14:paraId="182A9D2B" w14:textId="210470C9">
            <w:pPr>
              <w:spacing w:before="60" w:after="60"/>
              <w:jc w:val="center"/>
              <w:rPr>
                <w:color w:val="000000"/>
              </w:rPr>
            </w:pPr>
            <w:r>
              <w:rPr>
                <w:color w:val="000000"/>
              </w:rPr>
              <w:t>228535</w:t>
            </w:r>
          </w:p>
        </w:tc>
        <w:tc>
          <w:tcPr>
            <w:tcW w:w="4268" w:type="dxa"/>
            <w:gridSpan w:val="4"/>
            <w:tcBorders>
              <w:top w:val="single" w:color="auto" w:sz="4" w:space="0"/>
              <w:bottom w:val="single" w:color="auto" w:sz="4" w:space="0"/>
            </w:tcBorders>
            <w:shd w:val="clear" w:color="auto" w:fill="auto"/>
          </w:tcPr>
          <w:p w:rsidRPr="002D28A6" w:rsidR="003B6A1B" w:rsidP="00E17B34" w:rsidRDefault="00BD27C4" w14:paraId="35DC3C56" w14:textId="34C0B25E">
            <w:pPr>
              <w:spacing w:before="60" w:after="60"/>
              <w:jc w:val="center"/>
              <w:rPr>
                <w:color w:val="000000"/>
              </w:rPr>
            </w:pPr>
            <w:r>
              <w:rPr>
                <w:color w:val="000000"/>
              </w:rPr>
              <w:t>No</w:t>
            </w:r>
          </w:p>
        </w:tc>
      </w:tr>
      <w:tr w:rsidRPr="002D28A6" w:rsidR="00A860BA" w:rsidTr="00190B9E" w14:paraId="6872D5A9" w14:textId="77777777">
        <w:trPr>
          <w:trHeight w:val="172"/>
          <w:jc w:val="center"/>
        </w:trPr>
        <w:tc>
          <w:tcPr>
            <w:tcW w:w="2692" w:type="dxa"/>
            <w:gridSpan w:val="3"/>
            <w:tcBorders>
              <w:top w:val="single" w:color="auto" w:sz="4" w:space="0"/>
              <w:bottom w:val="single" w:color="auto" w:sz="4" w:space="0"/>
            </w:tcBorders>
            <w:shd w:val="clear" w:color="auto" w:fill="auto"/>
          </w:tcPr>
          <w:p w:rsidRPr="002D28A6" w:rsidR="00A860BA" w:rsidP="00A860BA" w:rsidRDefault="00A860BA" w14:paraId="341A7652" w14:textId="75DFED04">
            <w:pPr>
              <w:spacing w:before="60" w:after="60"/>
              <w:jc w:val="center"/>
              <w:rPr>
                <w:color w:val="000000"/>
              </w:rPr>
            </w:pPr>
            <w:r>
              <w:rPr>
                <w:color w:val="000000"/>
              </w:rPr>
              <w:t>Elise Torres</w:t>
            </w:r>
          </w:p>
        </w:tc>
        <w:tc>
          <w:tcPr>
            <w:tcW w:w="1909" w:type="dxa"/>
            <w:gridSpan w:val="3"/>
            <w:tcBorders>
              <w:top w:val="single" w:color="auto" w:sz="4" w:space="0"/>
              <w:bottom w:val="single" w:color="auto" w:sz="4" w:space="0"/>
            </w:tcBorders>
            <w:shd w:val="clear" w:color="auto" w:fill="auto"/>
            <w:vAlign w:val="bottom"/>
          </w:tcPr>
          <w:p w:rsidRPr="00A860BA" w:rsidR="00A860BA" w:rsidP="00A860BA" w:rsidRDefault="00A860BA" w14:paraId="7639E7C6" w14:textId="4B51B6D5">
            <w:pPr>
              <w:spacing w:before="60" w:after="60"/>
              <w:jc w:val="center"/>
              <w:rPr>
                <w:color w:val="000000"/>
              </w:rPr>
            </w:pPr>
            <w:r w:rsidRPr="00A860BA">
              <w:t>December 2011</w:t>
            </w:r>
          </w:p>
        </w:tc>
        <w:tc>
          <w:tcPr>
            <w:tcW w:w="2291" w:type="dxa"/>
            <w:gridSpan w:val="2"/>
            <w:tcBorders>
              <w:top w:val="single" w:color="auto" w:sz="4" w:space="0"/>
              <w:bottom w:val="single" w:color="auto" w:sz="4" w:space="0"/>
            </w:tcBorders>
            <w:shd w:val="clear" w:color="auto" w:fill="auto"/>
            <w:vAlign w:val="bottom"/>
          </w:tcPr>
          <w:p w:rsidRPr="00A860BA" w:rsidR="00A860BA" w:rsidP="00A860BA" w:rsidRDefault="00A860BA" w14:paraId="267D9BC8" w14:textId="18DFEE3C">
            <w:pPr>
              <w:spacing w:before="60" w:after="60"/>
              <w:jc w:val="center"/>
              <w:rPr>
                <w:color w:val="000000"/>
              </w:rPr>
            </w:pPr>
            <w:r w:rsidRPr="00A860BA">
              <w:t>280443</w:t>
            </w:r>
          </w:p>
        </w:tc>
        <w:tc>
          <w:tcPr>
            <w:tcW w:w="4268" w:type="dxa"/>
            <w:gridSpan w:val="4"/>
            <w:tcBorders>
              <w:top w:val="single" w:color="auto" w:sz="4" w:space="0"/>
              <w:bottom w:val="single" w:color="auto" w:sz="4" w:space="0"/>
            </w:tcBorders>
            <w:shd w:val="clear" w:color="auto" w:fill="auto"/>
          </w:tcPr>
          <w:p w:rsidRPr="002D28A6" w:rsidR="00A860BA" w:rsidP="00A860BA" w:rsidRDefault="00A860BA" w14:paraId="3BCDFD15" w14:textId="6F67D960">
            <w:pPr>
              <w:spacing w:before="60" w:after="60"/>
              <w:jc w:val="center"/>
              <w:rPr>
                <w:color w:val="000000"/>
              </w:rPr>
            </w:pPr>
            <w:r>
              <w:rPr>
                <w:color w:val="000000"/>
              </w:rPr>
              <w:t>No</w:t>
            </w:r>
          </w:p>
        </w:tc>
      </w:tr>
    </w:tbl>
    <w:p w:rsidRPr="002D28A6" w:rsidR="0022302F" w:rsidP="005B5B44" w:rsidRDefault="00A92D0B" w14:paraId="67A6CABA" w14:textId="71E0B43F">
      <w:pPr>
        <w:keepNext/>
        <w:numPr>
          <w:ilvl w:val="0"/>
          <w:numId w:val="9"/>
        </w:numPr>
        <w:spacing w:before="240"/>
        <w:rPr>
          <w:b/>
          <w:color w:val="000000"/>
        </w:rPr>
      </w:pPr>
      <w:r w:rsidRPr="002D28A6">
        <w:rPr>
          <w:b/>
          <w:color w:val="000000"/>
        </w:rPr>
        <w:t>Attachments</w:t>
      </w:r>
      <w:r w:rsidRPr="002D28A6">
        <w:rPr>
          <w:b/>
        </w:rPr>
        <w:t xml:space="preserve"> Documenting Specific Claim and Comments on Part III</w:t>
      </w:r>
      <w:r w:rsidR="00190B9E">
        <w:rPr>
          <w:rStyle w:val="FootnoteReference"/>
          <w:b/>
        </w:rPr>
        <w:footnoteReference w:id="3"/>
      </w:r>
      <w:r w:rsidRPr="002D28A6" w:rsidR="00C02649">
        <w:rPr>
          <w:b/>
        </w:rPr>
        <w:t>:</w:t>
      </w:r>
    </w:p>
    <w:p w:rsidRPr="002D28A6" w:rsidR="00A92D0B" w:rsidP="0022302F" w:rsidRDefault="00A92D0B" w14:paraId="04BC309E" w14:textId="3996D130">
      <w:pPr>
        <w:spacing w:after="240"/>
        <w:ind w:left="360"/>
        <w:rPr>
          <w:b/>
          <w:i/>
          <w:color w:val="000000"/>
          <w:u w:val="single"/>
        </w:rPr>
      </w:pPr>
      <w:r w:rsidRPr="002D28A6">
        <w:rPr>
          <w:b/>
          <w:i/>
          <w:color w:val="000000"/>
          <w:u w:val="single"/>
        </w:rPr>
        <w:t>(</w:t>
      </w:r>
      <w:r w:rsidRPr="002D28A6" w:rsidR="005A63D4">
        <w:rPr>
          <w:b/>
          <w:i/>
          <w:color w:val="000000"/>
          <w:u w:val="single"/>
        </w:rPr>
        <w:t>Intervenor</w:t>
      </w:r>
      <w:r w:rsidRPr="002D28A6" w:rsidR="00F30DA8">
        <w:rPr>
          <w:b/>
          <w:i/>
          <w:color w:val="000000"/>
          <w:u w:val="single"/>
        </w:rPr>
        <w:t xml:space="preserve"> </w:t>
      </w:r>
      <w:r w:rsidRPr="002D28A6">
        <w:rPr>
          <w:b/>
          <w:i/>
          <w:color w:val="000000"/>
          <w:u w:val="single"/>
        </w:rPr>
        <w:t>completes</w:t>
      </w:r>
      <w:r w:rsidRPr="002D28A6" w:rsidR="0022302F">
        <w:rPr>
          <w:b/>
          <w:i/>
          <w:color w:val="000000"/>
          <w:u w:val="single"/>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565"/>
      </w:tblGrid>
      <w:tr w:rsidRPr="002D28A6" w:rsidR="00A92D0B" w:rsidTr="001A3CF3" w14:paraId="0C2B760A" w14:textId="77777777">
        <w:trPr>
          <w:tblHeader/>
        </w:trPr>
        <w:tc>
          <w:tcPr>
            <w:tcW w:w="1795" w:type="dxa"/>
            <w:shd w:val="clear" w:color="auto" w:fill="D9D9D9" w:themeFill="background1" w:themeFillShade="D9"/>
            <w:vAlign w:val="bottom"/>
          </w:tcPr>
          <w:p w:rsidRPr="002D28A6" w:rsidR="00A92D0B" w:rsidP="001A3CF3" w:rsidRDefault="00A92D0B" w14:paraId="42A1D838" w14:textId="77777777">
            <w:pPr>
              <w:tabs>
                <w:tab w:val="left" w:pos="1260"/>
              </w:tabs>
              <w:jc w:val="center"/>
              <w:rPr>
                <w:b/>
                <w:color w:val="000000"/>
              </w:rPr>
            </w:pPr>
            <w:r w:rsidRPr="002D28A6">
              <w:rPr>
                <w:b/>
                <w:color w:val="000000"/>
              </w:rPr>
              <w:lastRenderedPageBreak/>
              <w:t>Attachment or Comment  #</w:t>
            </w:r>
          </w:p>
        </w:tc>
        <w:tc>
          <w:tcPr>
            <w:tcW w:w="7565" w:type="dxa"/>
            <w:tcBorders>
              <w:bottom w:val="single" w:color="auto" w:sz="4" w:space="0"/>
            </w:tcBorders>
            <w:shd w:val="clear" w:color="auto" w:fill="D9D9D9" w:themeFill="background1" w:themeFillShade="D9"/>
            <w:vAlign w:val="bottom"/>
          </w:tcPr>
          <w:p w:rsidRPr="002D28A6" w:rsidR="00A92D0B" w:rsidP="001A3CF3" w:rsidRDefault="00A92D0B" w14:paraId="55F0A65F" w14:textId="77777777">
            <w:pPr>
              <w:tabs>
                <w:tab w:val="left" w:pos="1260"/>
              </w:tabs>
              <w:jc w:val="center"/>
              <w:rPr>
                <w:b/>
                <w:color w:val="000000"/>
              </w:rPr>
            </w:pPr>
            <w:r w:rsidRPr="002D28A6">
              <w:rPr>
                <w:b/>
                <w:color w:val="000000"/>
              </w:rPr>
              <w:t>Description/Comment</w:t>
            </w:r>
          </w:p>
        </w:tc>
      </w:tr>
      <w:tr w:rsidRPr="002D28A6" w:rsidR="00A92D0B" w:rsidTr="00190B9E" w14:paraId="71F47148" w14:textId="77777777">
        <w:tc>
          <w:tcPr>
            <w:tcW w:w="1795" w:type="dxa"/>
            <w:tcBorders>
              <w:bottom w:val="single" w:color="auto" w:sz="4" w:space="0"/>
            </w:tcBorders>
            <w:shd w:val="clear" w:color="auto" w:fill="auto"/>
          </w:tcPr>
          <w:p w:rsidRPr="002D28A6" w:rsidR="00A92D0B" w:rsidP="001A3CF3" w:rsidRDefault="00604753" w14:paraId="7A5C03D8" w14:textId="41219A7E">
            <w:pPr>
              <w:tabs>
                <w:tab w:val="left" w:pos="1260"/>
              </w:tabs>
              <w:rPr>
                <w:color w:val="000000"/>
              </w:rPr>
            </w:pPr>
            <w:r>
              <w:rPr>
                <w:color w:val="000000"/>
              </w:rPr>
              <w:t xml:space="preserve">Attachment </w:t>
            </w:r>
            <w:r w:rsidRPr="002D28A6" w:rsidR="00A92D0B">
              <w:rPr>
                <w:color w:val="000000"/>
              </w:rPr>
              <w:t>1</w:t>
            </w:r>
          </w:p>
        </w:tc>
        <w:tc>
          <w:tcPr>
            <w:tcW w:w="7565" w:type="dxa"/>
            <w:tcBorders>
              <w:bottom w:val="single" w:color="auto" w:sz="4" w:space="0"/>
            </w:tcBorders>
            <w:shd w:val="clear" w:color="auto" w:fill="auto"/>
          </w:tcPr>
          <w:p w:rsidRPr="002D28A6" w:rsidR="00A92D0B" w:rsidP="001A3CF3" w:rsidRDefault="00A92D0B" w14:paraId="370C67BC" w14:textId="77777777">
            <w:pPr>
              <w:tabs>
                <w:tab w:val="left" w:pos="1260"/>
              </w:tabs>
              <w:rPr>
                <w:color w:val="000000"/>
              </w:rPr>
            </w:pPr>
            <w:r w:rsidRPr="002D28A6">
              <w:rPr>
                <w:color w:val="000000"/>
              </w:rPr>
              <w:t>Certificate of Service</w:t>
            </w:r>
          </w:p>
        </w:tc>
      </w:tr>
      <w:tr w:rsidRPr="002D28A6" w:rsidR="003A616F" w:rsidTr="00190B9E" w14:paraId="72C869B0" w14:textId="77777777">
        <w:tc>
          <w:tcPr>
            <w:tcW w:w="1795" w:type="dxa"/>
            <w:shd w:val="clear" w:color="auto" w:fill="auto"/>
          </w:tcPr>
          <w:p w:rsidRPr="002D28A6" w:rsidR="003A616F" w:rsidP="003A616F" w:rsidRDefault="003A616F" w14:paraId="49AADD21" w14:textId="1790AD30">
            <w:pPr>
              <w:tabs>
                <w:tab w:val="left" w:pos="1260"/>
              </w:tabs>
              <w:rPr>
                <w:color w:val="000000"/>
              </w:rPr>
            </w:pPr>
            <w:r>
              <w:rPr>
                <w:color w:val="000000"/>
              </w:rPr>
              <w:t>Attachment 2</w:t>
            </w:r>
          </w:p>
        </w:tc>
        <w:tc>
          <w:tcPr>
            <w:tcW w:w="7565" w:type="dxa"/>
            <w:shd w:val="clear" w:color="auto" w:fill="auto"/>
          </w:tcPr>
          <w:p w:rsidRPr="002D28A6" w:rsidR="003A616F" w:rsidP="003A616F" w:rsidRDefault="003A616F" w14:paraId="3AF20C23" w14:textId="317F4F68">
            <w:pPr>
              <w:tabs>
                <w:tab w:val="left" w:pos="1260"/>
              </w:tabs>
              <w:rPr>
                <w:b/>
                <w:color w:val="000000"/>
              </w:rPr>
            </w:pPr>
            <w:r w:rsidRPr="006362FE">
              <w:rPr>
                <w:bCs/>
                <w:color w:val="000000"/>
              </w:rPr>
              <w:t>TURN Hours</w:t>
            </w:r>
          </w:p>
        </w:tc>
      </w:tr>
      <w:tr w:rsidRPr="002D28A6" w:rsidR="003A616F" w:rsidTr="00190B9E" w14:paraId="39DB881E" w14:textId="77777777">
        <w:tc>
          <w:tcPr>
            <w:tcW w:w="1795" w:type="dxa"/>
            <w:shd w:val="clear" w:color="auto" w:fill="auto"/>
          </w:tcPr>
          <w:p w:rsidRPr="002D28A6" w:rsidR="003A616F" w:rsidP="003A616F" w:rsidRDefault="003A616F" w14:paraId="0CA752A8" w14:textId="75D2410D">
            <w:pPr>
              <w:tabs>
                <w:tab w:val="left" w:pos="1260"/>
              </w:tabs>
              <w:rPr>
                <w:color w:val="000000"/>
              </w:rPr>
            </w:pPr>
            <w:r>
              <w:rPr>
                <w:color w:val="000000"/>
              </w:rPr>
              <w:t>Attachment 3</w:t>
            </w:r>
          </w:p>
        </w:tc>
        <w:tc>
          <w:tcPr>
            <w:tcW w:w="7565" w:type="dxa"/>
            <w:shd w:val="clear" w:color="auto" w:fill="auto"/>
          </w:tcPr>
          <w:p w:rsidRPr="002D28A6" w:rsidR="003A616F" w:rsidP="003A616F" w:rsidRDefault="003A616F" w14:paraId="0A1A9BE6" w14:textId="7C16161B">
            <w:pPr>
              <w:tabs>
                <w:tab w:val="left" w:pos="1260"/>
              </w:tabs>
              <w:rPr>
                <w:b/>
                <w:color w:val="000000"/>
              </w:rPr>
            </w:pPr>
            <w:r w:rsidRPr="006362FE">
              <w:rPr>
                <w:bCs/>
                <w:color w:val="000000"/>
              </w:rPr>
              <w:t>Time Allocation by Issue</w:t>
            </w:r>
          </w:p>
        </w:tc>
      </w:tr>
      <w:tr w:rsidRPr="002D28A6" w:rsidR="00604753" w:rsidTr="00190B9E" w14:paraId="3FB2F0D2" w14:textId="77777777">
        <w:tc>
          <w:tcPr>
            <w:tcW w:w="1795" w:type="dxa"/>
            <w:shd w:val="clear" w:color="auto" w:fill="auto"/>
          </w:tcPr>
          <w:p w:rsidRPr="002D28A6" w:rsidR="00604753" w:rsidP="001A3CF3" w:rsidRDefault="00604753" w14:paraId="4F6FC3E0" w14:textId="2702100E">
            <w:pPr>
              <w:tabs>
                <w:tab w:val="left" w:pos="1260"/>
              </w:tabs>
              <w:rPr>
                <w:color w:val="000000"/>
              </w:rPr>
            </w:pPr>
            <w:r>
              <w:rPr>
                <w:color w:val="000000"/>
              </w:rPr>
              <w:t>Comment 1</w:t>
            </w:r>
          </w:p>
        </w:tc>
        <w:tc>
          <w:tcPr>
            <w:tcW w:w="7565" w:type="dxa"/>
            <w:shd w:val="clear" w:color="auto" w:fill="auto"/>
          </w:tcPr>
          <w:p w:rsidR="00604753" w:rsidP="001A3CF3" w:rsidRDefault="00286E78" w14:paraId="22095483" w14:textId="77777777">
            <w:pPr>
              <w:tabs>
                <w:tab w:val="left" w:pos="1260"/>
              </w:tabs>
              <w:rPr>
                <w:b/>
                <w:color w:val="000000"/>
              </w:rPr>
            </w:pPr>
            <w:r>
              <w:rPr>
                <w:b/>
                <w:color w:val="000000"/>
              </w:rPr>
              <w:t>2024 Hourly Rate for TURN Attorney Elise Torres</w:t>
            </w:r>
          </w:p>
          <w:p w:rsidR="00286E78" w:rsidP="001A3CF3" w:rsidRDefault="00286E78" w14:paraId="0BF3E525" w14:textId="77777777">
            <w:pPr>
              <w:tabs>
                <w:tab w:val="left" w:pos="1260"/>
              </w:tabs>
              <w:rPr>
                <w:b/>
                <w:color w:val="000000"/>
              </w:rPr>
            </w:pPr>
          </w:p>
          <w:p w:rsidRPr="00DB7B16" w:rsidR="000F7BCD" w:rsidP="000F7BCD" w:rsidRDefault="000F7BCD" w14:paraId="52872732" w14:textId="79B6FD52">
            <w:pPr>
              <w:tabs>
                <w:tab w:val="left" w:pos="1260"/>
              </w:tabs>
              <w:spacing w:before="120"/>
              <w:rPr>
                <w:rFonts w:asciiTheme="majorBidi" w:hAnsiTheme="majorBidi" w:cstheme="majorBidi"/>
                <w:bCs/>
                <w:color w:val="000000" w:themeColor="text1"/>
              </w:rPr>
            </w:pPr>
            <w:r w:rsidRPr="00DB7B16">
              <w:rPr>
                <w:rFonts w:asciiTheme="majorBidi" w:hAnsiTheme="majorBidi" w:cstheme="majorBidi"/>
                <w:bCs/>
                <w:color w:val="000000" w:themeColor="text1"/>
              </w:rPr>
              <w:t>TURN requests that the Commission apply its annual escalation methodology to determine the 2024 hourly rate for Elise Torres.  This annual escalation methodology is based on the annual percentage change in the Bureau of Labor Statistics Employment Cost Index, Table 5, for the Occupational Group “Management, Professional, and Related excluding Incentive Paid Occupations.”  (Res. ALJ-393, p. 4; Intervenor Compensation Market Rate Study, Final Report, p. 8).  The percent change for this occupational group for 202</w:t>
            </w:r>
            <w:r w:rsidR="00A62439">
              <w:rPr>
                <w:rFonts w:asciiTheme="majorBidi" w:hAnsiTheme="majorBidi" w:cstheme="majorBidi"/>
                <w:bCs/>
                <w:color w:val="000000" w:themeColor="text1"/>
              </w:rPr>
              <w:t>4</w:t>
            </w:r>
            <w:r w:rsidRPr="00DB7B16">
              <w:rPr>
                <w:rFonts w:asciiTheme="majorBidi" w:hAnsiTheme="majorBidi" w:cstheme="majorBidi"/>
                <w:bCs/>
                <w:color w:val="000000" w:themeColor="text1"/>
              </w:rPr>
              <w:t xml:space="preserve"> is 4.</w:t>
            </w:r>
            <w:r>
              <w:rPr>
                <w:rFonts w:asciiTheme="majorBidi" w:hAnsiTheme="majorBidi" w:cstheme="majorBidi"/>
                <w:bCs/>
                <w:color w:val="000000" w:themeColor="text1"/>
              </w:rPr>
              <w:t>07</w:t>
            </w:r>
            <w:r w:rsidRPr="00DB7B16">
              <w:rPr>
                <w:rFonts w:asciiTheme="majorBidi" w:hAnsiTheme="majorBidi" w:cstheme="majorBidi"/>
                <w:bCs/>
                <w:color w:val="000000" w:themeColor="text1"/>
              </w:rPr>
              <w:t xml:space="preserve">%.  </w:t>
            </w:r>
            <w:r w:rsidRPr="00DB7B16">
              <w:rPr>
                <w:rFonts w:asciiTheme="majorBidi" w:hAnsiTheme="majorBidi" w:cstheme="majorBidi"/>
                <w:color w:val="000000" w:themeColor="text1"/>
              </w:rPr>
              <w:t>Furthermore, TURN requests that the Commission adopt a 5% step increase for 2024 Ms. Torres.</w:t>
            </w:r>
            <w:r w:rsidR="007E344F">
              <w:rPr>
                <w:rFonts w:asciiTheme="majorBidi" w:hAnsiTheme="majorBidi" w:cstheme="majorBidi"/>
                <w:color w:val="000000" w:themeColor="text1"/>
              </w:rPr>
              <w:t xml:space="preserve">  This will be Ms. Torres’ second step increase </w:t>
            </w:r>
            <w:r w:rsidR="002C5EB5">
              <w:rPr>
                <w:rFonts w:asciiTheme="majorBidi" w:hAnsiTheme="majorBidi" w:cstheme="majorBidi"/>
                <w:color w:val="000000" w:themeColor="text1"/>
              </w:rPr>
              <w:t xml:space="preserve">before she exits the </w:t>
            </w:r>
            <w:r w:rsidR="007E344F">
              <w:rPr>
                <w:rFonts w:asciiTheme="majorBidi" w:hAnsiTheme="majorBidi" w:cstheme="majorBidi"/>
                <w:color w:val="000000" w:themeColor="text1"/>
              </w:rPr>
              <w:t>Attorney – Level III experience tier</w:t>
            </w:r>
            <w:r w:rsidR="00182DE5">
              <w:rPr>
                <w:rFonts w:asciiTheme="majorBidi" w:hAnsiTheme="majorBidi" w:cstheme="majorBidi"/>
                <w:color w:val="000000" w:themeColor="text1"/>
              </w:rPr>
              <w:t xml:space="preserve"> in 2025</w:t>
            </w:r>
            <w:r w:rsidR="007E344F">
              <w:rPr>
                <w:rFonts w:asciiTheme="majorBidi" w:hAnsiTheme="majorBidi" w:cstheme="majorBidi"/>
                <w:color w:val="000000" w:themeColor="text1"/>
              </w:rPr>
              <w:t>.</w:t>
            </w:r>
            <w:r w:rsidR="00885F3E">
              <w:rPr>
                <w:rFonts w:asciiTheme="majorBidi" w:hAnsiTheme="majorBidi" w:cstheme="majorBidi"/>
                <w:color w:val="000000" w:themeColor="text1"/>
              </w:rPr>
              <w:t xml:space="preserve">  The Commission authorized her first </w:t>
            </w:r>
            <w:r w:rsidR="00C93D27">
              <w:rPr>
                <w:rFonts w:asciiTheme="majorBidi" w:hAnsiTheme="majorBidi" w:cstheme="majorBidi"/>
                <w:color w:val="000000" w:themeColor="text1"/>
              </w:rPr>
              <w:t xml:space="preserve">Attorney – Level III </w:t>
            </w:r>
            <w:r w:rsidR="00885F3E">
              <w:rPr>
                <w:rFonts w:asciiTheme="majorBidi" w:hAnsiTheme="majorBidi" w:cstheme="majorBidi"/>
                <w:color w:val="000000" w:themeColor="text1"/>
              </w:rPr>
              <w:t xml:space="preserve">step increase for 2023 in </w:t>
            </w:r>
            <w:r w:rsidRPr="00885F3E" w:rsidR="00885F3E">
              <w:rPr>
                <w:rFonts w:asciiTheme="majorBidi" w:hAnsiTheme="majorBidi" w:cstheme="majorBidi"/>
                <w:color w:val="000000" w:themeColor="text1"/>
              </w:rPr>
              <w:t>D.24-01-045</w:t>
            </w:r>
            <w:r w:rsidR="00885F3E">
              <w:rPr>
                <w:rFonts w:asciiTheme="majorBidi" w:hAnsiTheme="majorBidi" w:cstheme="majorBidi"/>
                <w:color w:val="000000" w:themeColor="text1"/>
              </w:rPr>
              <w:t>.</w:t>
            </w:r>
          </w:p>
          <w:p w:rsidRPr="00DB7B16" w:rsidR="000F7BCD" w:rsidP="000F7BCD" w:rsidRDefault="000F7BCD" w14:paraId="25F78494" w14:textId="6D88AA4B">
            <w:pPr>
              <w:tabs>
                <w:tab w:val="left" w:pos="1260"/>
              </w:tabs>
              <w:spacing w:before="120"/>
              <w:rPr>
                <w:rFonts w:asciiTheme="majorBidi" w:hAnsiTheme="majorBidi" w:cstheme="majorBidi"/>
                <w:color w:val="000000" w:themeColor="text1"/>
              </w:rPr>
            </w:pPr>
            <w:r w:rsidRPr="00DB7B16">
              <w:rPr>
                <w:rFonts w:asciiTheme="majorBidi" w:hAnsiTheme="majorBidi" w:cstheme="majorBidi"/>
                <w:bCs/>
                <w:color w:val="000000" w:themeColor="text1"/>
              </w:rPr>
              <w:t>TURN accordingly requests a 2024 hourly rate of $555 for Ms. Torres. This rate is equal to her 2023 rate of $510 (D.24-01-045), increased by 4.</w:t>
            </w:r>
            <w:r>
              <w:rPr>
                <w:rFonts w:asciiTheme="majorBidi" w:hAnsiTheme="majorBidi" w:cstheme="majorBidi"/>
                <w:bCs/>
                <w:color w:val="000000" w:themeColor="text1"/>
              </w:rPr>
              <w:t>07</w:t>
            </w:r>
            <w:r w:rsidRPr="00DB7B16">
              <w:rPr>
                <w:rFonts w:asciiTheme="majorBidi" w:hAnsiTheme="majorBidi" w:cstheme="majorBidi"/>
                <w:bCs/>
                <w:color w:val="000000" w:themeColor="text1"/>
              </w:rPr>
              <w:t>%, plus a 5% step increase, which equals $555 (</w:t>
            </w:r>
            <w:r w:rsidRPr="00DB7B16">
              <w:rPr>
                <w:rFonts w:asciiTheme="majorBidi" w:hAnsiTheme="majorBidi" w:cstheme="majorBidi"/>
                <w:color w:val="000000" w:themeColor="text1"/>
              </w:rPr>
              <w:t>rounded to the nearest $5 increment, as is the Commission's practice).</w:t>
            </w:r>
          </w:p>
          <w:p w:rsidRPr="002D28A6" w:rsidR="00286E78" w:rsidP="001A3CF3" w:rsidRDefault="00286E78" w14:paraId="0DBA509B" w14:textId="3EEEED1E">
            <w:pPr>
              <w:tabs>
                <w:tab w:val="left" w:pos="1260"/>
              </w:tabs>
              <w:rPr>
                <w:b/>
                <w:color w:val="000000"/>
              </w:rPr>
            </w:pPr>
          </w:p>
        </w:tc>
      </w:tr>
    </w:tbl>
    <w:p w:rsidRPr="002D28A6" w:rsidR="00A92D0B" w:rsidP="005B5B44" w:rsidRDefault="00A92D0B" w14:paraId="0D8B7003" w14:textId="19BE456A">
      <w:pPr>
        <w:keepNext/>
        <w:numPr>
          <w:ilvl w:val="0"/>
          <w:numId w:val="9"/>
        </w:numPr>
        <w:spacing w:before="240" w:after="240"/>
        <w:rPr>
          <w:b/>
          <w:color w:val="000000"/>
        </w:rPr>
      </w:pPr>
      <w:r w:rsidRPr="002D28A6">
        <w:rPr>
          <w:b/>
          <w:color w:val="000000"/>
        </w:rPr>
        <w:t xml:space="preserve">CPUC </w:t>
      </w:r>
      <w:r w:rsidRPr="002D28A6" w:rsidR="008C09F7">
        <w:rPr>
          <w:b/>
          <w:color w:val="000000"/>
        </w:rPr>
        <w:t xml:space="preserve">Comments, </w:t>
      </w:r>
      <w:r w:rsidRPr="002D28A6">
        <w:rPr>
          <w:b/>
          <w:color w:val="000000"/>
        </w:rPr>
        <w:t>Disallowances</w:t>
      </w:r>
      <w:r w:rsidRPr="002D28A6" w:rsidR="008C09F7">
        <w:rPr>
          <w:b/>
          <w:color w:val="000000"/>
        </w:rPr>
        <w:t>,</w:t>
      </w:r>
      <w:r w:rsidRPr="002D28A6" w:rsidR="00D075B1">
        <w:rPr>
          <w:b/>
          <w:color w:val="000000"/>
        </w:rPr>
        <w:t xml:space="preserve"> </w:t>
      </w:r>
      <w:r w:rsidRPr="002D28A6" w:rsidR="00A319DE">
        <w:rPr>
          <w:b/>
          <w:color w:val="000000"/>
        </w:rPr>
        <w:t>and</w:t>
      </w:r>
      <w:r w:rsidRPr="002D28A6" w:rsidR="00D075B1">
        <w:rPr>
          <w:b/>
          <w:color w:val="000000"/>
        </w:rPr>
        <w:t xml:space="preserve"> </w:t>
      </w:r>
      <w:r w:rsidRPr="002D28A6">
        <w:rPr>
          <w:b/>
          <w:color w:val="000000"/>
        </w:rPr>
        <w:t xml:space="preserve">Adjustments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537"/>
        <w:gridCol w:w="7823"/>
      </w:tblGrid>
      <w:tr w:rsidRPr="002D28A6" w:rsidR="00A92D0B" w:rsidTr="00EB64CF" w14:paraId="52CD0603" w14:textId="77777777">
        <w:trPr>
          <w:tblHeader/>
        </w:trPr>
        <w:tc>
          <w:tcPr>
            <w:tcW w:w="1548" w:type="dxa"/>
            <w:shd w:val="pct12" w:color="auto" w:fill="auto"/>
          </w:tcPr>
          <w:p w:rsidRPr="002D28A6" w:rsidR="00A92D0B" w:rsidP="00EB64CF" w:rsidRDefault="00072C81" w14:paraId="3954EC4C" w14:textId="77777777">
            <w:pPr>
              <w:tabs>
                <w:tab w:val="left" w:pos="1440"/>
              </w:tabs>
              <w:jc w:val="center"/>
              <w:rPr>
                <w:b/>
                <w:color w:val="000000"/>
              </w:rPr>
            </w:pPr>
            <w:r w:rsidRPr="002D28A6">
              <w:rPr>
                <w:b/>
                <w:color w:val="000000"/>
              </w:rPr>
              <w:t>Item</w:t>
            </w:r>
          </w:p>
        </w:tc>
        <w:tc>
          <w:tcPr>
            <w:tcW w:w="8010" w:type="dxa"/>
            <w:shd w:val="pct12" w:color="auto" w:fill="auto"/>
          </w:tcPr>
          <w:p w:rsidRPr="002D28A6" w:rsidR="00A92D0B" w:rsidP="00EB64CF" w:rsidRDefault="00A92D0B" w14:paraId="09F9E4D9" w14:textId="77777777">
            <w:pPr>
              <w:tabs>
                <w:tab w:val="left" w:pos="1440"/>
              </w:tabs>
              <w:jc w:val="center"/>
              <w:rPr>
                <w:b/>
                <w:color w:val="000000"/>
              </w:rPr>
            </w:pPr>
            <w:r w:rsidRPr="002D28A6">
              <w:rPr>
                <w:b/>
                <w:color w:val="000000"/>
              </w:rPr>
              <w:t>Reason</w:t>
            </w:r>
          </w:p>
        </w:tc>
      </w:tr>
      <w:tr w:rsidRPr="002D28A6" w:rsidR="00A92D0B" w:rsidTr="00EB64CF" w14:paraId="69DEE01C" w14:textId="77777777">
        <w:tc>
          <w:tcPr>
            <w:tcW w:w="1548" w:type="dxa"/>
            <w:shd w:val="clear" w:color="auto" w:fill="auto"/>
          </w:tcPr>
          <w:p w:rsidRPr="002D28A6" w:rsidR="00A92D0B" w:rsidP="00EB64CF" w:rsidRDefault="008C05FA" w14:paraId="1E6C8F3D" w14:textId="52C49A27">
            <w:pPr>
              <w:tabs>
                <w:tab w:val="left" w:pos="1440"/>
              </w:tabs>
              <w:rPr>
                <w:color w:val="000000"/>
              </w:rPr>
            </w:pPr>
            <w:r>
              <w:rPr>
                <w:color w:val="000000"/>
              </w:rPr>
              <w:t>[1] Matthew Freedman 2023 and 2024 Hourly Rate</w:t>
            </w:r>
          </w:p>
        </w:tc>
        <w:tc>
          <w:tcPr>
            <w:tcW w:w="8010" w:type="dxa"/>
            <w:shd w:val="clear" w:color="auto" w:fill="auto"/>
          </w:tcPr>
          <w:p w:rsidR="008C05FA" w:rsidP="008C05FA" w:rsidRDefault="008C05FA" w14:paraId="3617FD97" w14:textId="464D0D72">
            <w:pPr>
              <w:tabs>
                <w:tab w:val="left" w:pos="1440"/>
              </w:tabs>
              <w:rPr>
                <w:color w:val="000000"/>
              </w:rPr>
            </w:pPr>
            <w:r w:rsidRPr="008C05FA">
              <w:rPr>
                <w:color w:val="000000"/>
              </w:rPr>
              <w:t>D.23-10-013</w:t>
            </w:r>
            <w:r>
              <w:rPr>
                <w:color w:val="000000"/>
              </w:rPr>
              <w:t xml:space="preserve"> verified a 2023 rate of $710.00 for Matthew Freedman. We apply the same rate here.</w:t>
            </w:r>
          </w:p>
          <w:p w:rsidRPr="008C05FA" w:rsidR="008C05FA" w:rsidP="008C05FA" w:rsidRDefault="008C05FA" w14:paraId="2E3DDAA6" w14:textId="77777777">
            <w:pPr>
              <w:tabs>
                <w:tab w:val="left" w:pos="1440"/>
              </w:tabs>
              <w:rPr>
                <w:color w:val="000000"/>
              </w:rPr>
            </w:pPr>
          </w:p>
          <w:p w:rsidRPr="002D28A6" w:rsidR="00A92D0B" w:rsidP="008C05FA" w:rsidRDefault="008C05FA" w14:paraId="45BFCB16" w14:textId="7DFDF175">
            <w:pPr>
              <w:tabs>
                <w:tab w:val="left" w:pos="1440"/>
              </w:tabs>
              <w:rPr>
                <w:color w:val="000000"/>
              </w:rPr>
            </w:pPr>
            <w:r w:rsidRPr="008C05FA">
              <w:rPr>
                <w:color w:val="000000"/>
              </w:rPr>
              <w:t>D.24-09-015</w:t>
            </w:r>
            <w:r w:rsidR="008E3340">
              <w:rPr>
                <w:color w:val="000000"/>
              </w:rPr>
              <w:t xml:space="preserve"> verified a 2024 rate of $740.00 for Matthew Freedman. We apply the same rate here.</w:t>
            </w:r>
          </w:p>
        </w:tc>
      </w:tr>
      <w:tr w:rsidRPr="002D28A6" w:rsidR="00A92D0B" w:rsidTr="00EB64CF" w14:paraId="52155EFC" w14:textId="77777777">
        <w:tc>
          <w:tcPr>
            <w:tcW w:w="1548" w:type="dxa"/>
            <w:shd w:val="clear" w:color="auto" w:fill="auto"/>
          </w:tcPr>
          <w:p w:rsidRPr="002D28A6" w:rsidR="00A92D0B" w:rsidP="00EB64CF" w:rsidRDefault="008C05FA" w14:paraId="26487933" w14:textId="01758AA6">
            <w:pPr>
              <w:tabs>
                <w:tab w:val="left" w:pos="1440"/>
              </w:tabs>
              <w:rPr>
                <w:color w:val="000000"/>
              </w:rPr>
            </w:pPr>
            <w:r>
              <w:rPr>
                <w:color w:val="000000"/>
              </w:rPr>
              <w:t>[2] Hayley Goodson 2023 and 2024 Hourly Rate</w:t>
            </w:r>
          </w:p>
        </w:tc>
        <w:tc>
          <w:tcPr>
            <w:tcW w:w="8010" w:type="dxa"/>
            <w:shd w:val="clear" w:color="auto" w:fill="auto"/>
          </w:tcPr>
          <w:p w:rsidR="008E3340" w:rsidP="008E3340" w:rsidRDefault="008E3340" w14:paraId="2E962E68" w14:textId="01A88B22">
            <w:pPr>
              <w:tabs>
                <w:tab w:val="left" w:pos="1440"/>
              </w:tabs>
              <w:rPr>
                <w:color w:val="000000"/>
              </w:rPr>
            </w:pPr>
            <w:r w:rsidRPr="008E3340">
              <w:rPr>
                <w:color w:val="000000"/>
              </w:rPr>
              <w:t>D.24-02-040</w:t>
            </w:r>
            <w:r>
              <w:rPr>
                <w:color w:val="000000"/>
              </w:rPr>
              <w:t xml:space="preserve"> verified a 2023 rate of $625.00 for Hayley Goodson. We apply the same rate here.</w:t>
            </w:r>
          </w:p>
          <w:p w:rsidRPr="008E3340" w:rsidR="008E3340" w:rsidP="008E3340" w:rsidRDefault="008E3340" w14:paraId="62A69B05" w14:textId="77777777">
            <w:pPr>
              <w:tabs>
                <w:tab w:val="left" w:pos="1440"/>
              </w:tabs>
              <w:rPr>
                <w:color w:val="000000"/>
              </w:rPr>
            </w:pPr>
          </w:p>
          <w:p w:rsidR="00A92D0B" w:rsidP="008E3340" w:rsidRDefault="008E3340" w14:paraId="4044D772" w14:textId="77777777">
            <w:pPr>
              <w:tabs>
                <w:tab w:val="left" w:pos="1440"/>
              </w:tabs>
              <w:rPr>
                <w:color w:val="000000"/>
              </w:rPr>
            </w:pPr>
            <w:r w:rsidRPr="008E3340">
              <w:rPr>
                <w:color w:val="000000"/>
              </w:rPr>
              <w:t>D.24-09-017</w:t>
            </w:r>
            <w:r>
              <w:rPr>
                <w:color w:val="000000"/>
              </w:rPr>
              <w:t xml:space="preserve"> verified a 2023 rate of $680.00 for Hayley Goodson. We apply the same rate here.</w:t>
            </w:r>
          </w:p>
          <w:p w:rsidR="00E554D9" w:rsidP="008E3340" w:rsidRDefault="00E554D9" w14:paraId="16246937" w14:textId="77777777">
            <w:pPr>
              <w:tabs>
                <w:tab w:val="left" w:pos="1440"/>
              </w:tabs>
              <w:rPr>
                <w:color w:val="000000"/>
              </w:rPr>
            </w:pPr>
          </w:p>
          <w:p w:rsidRPr="002D28A6" w:rsidR="00E554D9" w:rsidP="008E3340" w:rsidRDefault="00E554D9" w14:paraId="455E6A00" w14:textId="2DF9E070">
            <w:pPr>
              <w:tabs>
                <w:tab w:val="left" w:pos="1440"/>
              </w:tabs>
              <w:rPr>
                <w:color w:val="000000"/>
              </w:rPr>
            </w:pPr>
            <w:r>
              <w:rPr>
                <w:color w:val="000000"/>
              </w:rPr>
              <w:t>Intervenor Compensation Claim Preparation is rated at ½ preparer’s normal rate, bringing the 2024 claim preparation rate to $340.00.</w:t>
            </w:r>
          </w:p>
        </w:tc>
      </w:tr>
      <w:tr w:rsidRPr="002D28A6" w:rsidR="008C05FA" w:rsidTr="00EB64CF" w14:paraId="3300DC41" w14:textId="77777777">
        <w:tc>
          <w:tcPr>
            <w:tcW w:w="1548" w:type="dxa"/>
            <w:shd w:val="clear" w:color="auto" w:fill="auto"/>
          </w:tcPr>
          <w:p w:rsidRPr="002D28A6" w:rsidR="008C05FA" w:rsidP="00EB64CF" w:rsidRDefault="008C05FA" w14:paraId="4EDC17A9" w14:textId="69415D3E">
            <w:pPr>
              <w:tabs>
                <w:tab w:val="left" w:pos="1440"/>
              </w:tabs>
              <w:rPr>
                <w:color w:val="000000"/>
              </w:rPr>
            </w:pPr>
            <w:r>
              <w:rPr>
                <w:color w:val="000000"/>
              </w:rPr>
              <w:lastRenderedPageBreak/>
              <w:t>[3] Elise Torres 2023 and 2024 Hourly Rate</w:t>
            </w:r>
          </w:p>
        </w:tc>
        <w:tc>
          <w:tcPr>
            <w:tcW w:w="8010" w:type="dxa"/>
            <w:shd w:val="clear" w:color="auto" w:fill="auto"/>
          </w:tcPr>
          <w:p w:rsidR="008C05FA" w:rsidP="00EB64CF" w:rsidRDefault="008E3340" w14:paraId="1624BEE8" w14:textId="77777777">
            <w:pPr>
              <w:tabs>
                <w:tab w:val="left" w:pos="1440"/>
              </w:tabs>
              <w:rPr>
                <w:color w:val="000000"/>
              </w:rPr>
            </w:pPr>
            <w:r w:rsidRPr="008E3340">
              <w:rPr>
                <w:color w:val="000000"/>
              </w:rPr>
              <w:t>D.24-01-045</w:t>
            </w:r>
            <w:r>
              <w:rPr>
                <w:color w:val="000000"/>
              </w:rPr>
              <w:t xml:space="preserve"> verified a 2023 rate of $510.00 for Elise Torres. We apply the same rate here.</w:t>
            </w:r>
          </w:p>
          <w:p w:rsidR="008E3340" w:rsidP="00EB64CF" w:rsidRDefault="008E3340" w14:paraId="4B0EFA36" w14:textId="77777777">
            <w:pPr>
              <w:tabs>
                <w:tab w:val="left" w:pos="1440"/>
              </w:tabs>
              <w:rPr>
                <w:color w:val="000000"/>
              </w:rPr>
            </w:pPr>
          </w:p>
          <w:p w:rsidR="008E3340" w:rsidP="00EB64CF" w:rsidRDefault="008E3340" w14:paraId="5C54C6DD" w14:textId="77777777">
            <w:pPr>
              <w:tabs>
                <w:tab w:val="left" w:pos="1440"/>
              </w:tabs>
              <w:rPr>
                <w:color w:val="000000"/>
              </w:rPr>
            </w:pPr>
            <w:r>
              <w:rPr>
                <w:color w:val="000000"/>
              </w:rPr>
              <w:t>Using our calculation methodology, based on the approved 2023 rate of $510.00, application of the 2024 4.07% escalation factor, second 5% step-increase as an Attorney – III, and rounding to the $5 increment:</w:t>
            </w:r>
          </w:p>
          <w:p w:rsidR="008E3340" w:rsidP="00EB64CF" w:rsidRDefault="008E3340" w14:paraId="1DE77910" w14:textId="77777777">
            <w:pPr>
              <w:tabs>
                <w:tab w:val="left" w:pos="1440"/>
              </w:tabs>
              <w:rPr>
                <w:color w:val="000000"/>
              </w:rPr>
            </w:pPr>
          </w:p>
          <w:p w:rsidR="008E3340" w:rsidP="00EB64CF" w:rsidRDefault="008E3340" w14:paraId="50C2C7F3" w14:textId="77777777">
            <w:pPr>
              <w:tabs>
                <w:tab w:val="left" w:pos="1440"/>
              </w:tabs>
              <w:rPr>
                <w:color w:val="000000"/>
              </w:rPr>
            </w:pPr>
            <w:r>
              <w:rPr>
                <w:color w:val="000000"/>
              </w:rPr>
              <w:t>2024: $510.00 x 1.0907 = $555.00</w:t>
            </w:r>
          </w:p>
          <w:p w:rsidR="008E3340" w:rsidP="00EB64CF" w:rsidRDefault="008E3340" w14:paraId="7AEE034F" w14:textId="77777777">
            <w:pPr>
              <w:tabs>
                <w:tab w:val="left" w:pos="1440"/>
              </w:tabs>
              <w:rPr>
                <w:color w:val="000000"/>
              </w:rPr>
            </w:pPr>
          </w:p>
          <w:p w:rsidRPr="002D28A6" w:rsidR="008E3340" w:rsidP="00EB64CF" w:rsidRDefault="008E3340" w14:paraId="6C848575" w14:textId="58B674F3">
            <w:pPr>
              <w:tabs>
                <w:tab w:val="left" w:pos="1440"/>
              </w:tabs>
              <w:rPr>
                <w:color w:val="000000"/>
              </w:rPr>
            </w:pPr>
            <w:r>
              <w:rPr>
                <w:color w:val="000000"/>
              </w:rPr>
              <w:t>We find the 2024 rate of $555.00</w:t>
            </w:r>
            <w:r w:rsidR="00E554D9">
              <w:rPr>
                <w:color w:val="000000"/>
              </w:rPr>
              <w:t xml:space="preserve"> for Elise Torres</w:t>
            </w:r>
            <w:r>
              <w:rPr>
                <w:color w:val="000000"/>
              </w:rPr>
              <w:t xml:space="preserve"> reasonable and adopt it here. </w:t>
            </w:r>
          </w:p>
        </w:tc>
      </w:tr>
    </w:tbl>
    <w:p w:rsidRPr="002D28A6" w:rsidR="00A92D0B" w:rsidP="00575494" w:rsidRDefault="00A92D0B" w14:paraId="18E9D359" w14:textId="2BBB9153">
      <w:pPr>
        <w:keepNext/>
        <w:tabs>
          <w:tab w:val="left" w:pos="1260"/>
        </w:tabs>
        <w:spacing w:before="480"/>
        <w:jc w:val="center"/>
        <w:rPr>
          <w:b/>
          <w:color w:val="000000"/>
        </w:rPr>
      </w:pPr>
      <w:r w:rsidRPr="002D28A6">
        <w:rPr>
          <w:b/>
          <w:color w:val="000000"/>
        </w:rPr>
        <w:t>PART IV</w:t>
      </w:r>
      <w:r w:rsidRPr="002D28A6" w:rsidR="0053513F">
        <w:rPr>
          <w:b/>
          <w:color w:val="000000"/>
        </w:rPr>
        <w:t>: OPPOSITIONS</w:t>
      </w:r>
      <w:r w:rsidRPr="002D28A6">
        <w:rPr>
          <w:b/>
          <w:color w:val="000000"/>
        </w:rPr>
        <w:t xml:space="preserve"> AND COMMENTS</w:t>
      </w:r>
    </w:p>
    <w:p w:rsidRPr="002D28A6" w:rsidR="00D1778A" w:rsidP="00575494" w:rsidRDefault="00A92D0B" w14:paraId="4E460EA0" w14:textId="77777777">
      <w:pPr>
        <w:keepNext/>
        <w:tabs>
          <w:tab w:val="left" w:pos="1260"/>
        </w:tabs>
        <w:ind w:left="1267" w:hanging="1267"/>
        <w:jc w:val="center"/>
        <w:rPr>
          <w:b/>
          <w:color w:val="000000"/>
        </w:rPr>
      </w:pPr>
      <w:r w:rsidRPr="002D28A6">
        <w:rPr>
          <w:b/>
          <w:color w:val="000000"/>
        </w:rPr>
        <w:t>Within 30 days after service of this Claim, Commission Staff</w:t>
      </w:r>
    </w:p>
    <w:p w:rsidRPr="002D28A6" w:rsidR="00A92D0B" w:rsidP="00575494" w:rsidRDefault="00F20061" w14:paraId="5D5DC317" w14:textId="6B3AEA94">
      <w:pPr>
        <w:keepNext/>
        <w:tabs>
          <w:tab w:val="left" w:pos="1260"/>
        </w:tabs>
        <w:spacing w:after="240"/>
        <w:ind w:left="1267" w:hanging="1267"/>
        <w:jc w:val="center"/>
        <w:rPr>
          <w:b/>
          <w:color w:val="000000"/>
        </w:rPr>
      </w:pPr>
      <w:r w:rsidRPr="002D28A6">
        <w:rPr>
          <w:b/>
          <w:color w:val="000000"/>
        </w:rPr>
        <w:t xml:space="preserve"> </w:t>
      </w:r>
      <w:r w:rsidRPr="002D28A6" w:rsidR="00A92D0B">
        <w:rPr>
          <w:b/>
          <w:color w:val="000000"/>
        </w:rPr>
        <w:t>or any other party may file a response to the Claim (</w:t>
      </w:r>
      <w:r w:rsidRPr="002D28A6" w:rsidR="00A92D0B">
        <w:rPr>
          <w:b/>
          <w:i/>
          <w:color w:val="000000"/>
        </w:rPr>
        <w:t>see</w:t>
      </w:r>
      <w:r w:rsidRPr="002D28A6" w:rsidR="00A92D0B">
        <w:rPr>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2D28A6" w:rsidR="00A92D0B" w:rsidTr="005A3018" w14:paraId="46A51699" w14:textId="77777777">
        <w:tc>
          <w:tcPr>
            <w:tcW w:w="7336" w:type="dxa"/>
            <w:shd w:val="clear" w:color="auto" w:fill="auto"/>
          </w:tcPr>
          <w:p w:rsidRPr="002D28A6" w:rsidR="00A92D0B" w:rsidP="005A3018" w:rsidRDefault="00A92D0B" w14:paraId="607B1FB9" w14:textId="639D7800">
            <w:pPr>
              <w:ind w:left="360" w:hanging="360"/>
              <w:rPr>
                <w:color w:val="000000"/>
              </w:rPr>
            </w:pPr>
            <w:r w:rsidRPr="002D28A6">
              <w:rPr>
                <w:b/>
                <w:color w:val="000000"/>
              </w:rPr>
              <w:t>A.</w:t>
            </w:r>
            <w:r w:rsidRPr="002D28A6" w:rsidR="005A3018">
              <w:rPr>
                <w:b/>
                <w:color w:val="000000"/>
              </w:rPr>
              <w:tab/>
            </w:r>
            <w:r w:rsidRPr="002D28A6">
              <w:rPr>
                <w:b/>
                <w:color w:val="000000"/>
              </w:rPr>
              <w:t>Opposition:  Did any party oppose the Claim?</w:t>
            </w:r>
          </w:p>
        </w:tc>
        <w:tc>
          <w:tcPr>
            <w:tcW w:w="2024" w:type="dxa"/>
            <w:shd w:val="clear" w:color="auto" w:fill="auto"/>
          </w:tcPr>
          <w:p w:rsidRPr="002D28A6" w:rsidR="00A92D0B" w:rsidP="00190B9E" w:rsidRDefault="00190B9E" w14:paraId="6E7CD931" w14:textId="15F9DB97">
            <w:pPr>
              <w:jc w:val="center"/>
              <w:rPr>
                <w:color w:val="000000"/>
              </w:rPr>
            </w:pPr>
            <w:r>
              <w:rPr>
                <w:color w:val="000000"/>
              </w:rPr>
              <w:t>No</w:t>
            </w:r>
          </w:p>
        </w:tc>
      </w:tr>
    </w:tbl>
    <w:p w:rsidRPr="002D28A6" w:rsidR="00A92D0B" w:rsidRDefault="00A92D0B" w14:paraId="23420BFC" w14:textId="77777777">
      <w:pPr>
        <w:tabs>
          <w:tab w:val="left" w:pos="1260"/>
        </w:tabs>
        <w:spacing w:before="60"/>
        <w:ind w:left="1267" w:hanging="1267"/>
        <w:jc w:val="center"/>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1"/>
        <w:gridCol w:w="2029"/>
      </w:tblGrid>
      <w:tr w:rsidRPr="002D28A6" w:rsidR="00A92D0B" w:rsidTr="005A3018" w14:paraId="7A0D8740" w14:textId="77777777">
        <w:tc>
          <w:tcPr>
            <w:tcW w:w="7488" w:type="dxa"/>
            <w:shd w:val="clear" w:color="auto" w:fill="auto"/>
          </w:tcPr>
          <w:p w:rsidRPr="002D28A6" w:rsidR="00A92D0B" w:rsidP="005A3018" w:rsidRDefault="00A92D0B" w14:paraId="37D28D8D" w14:textId="4DD2F575">
            <w:pPr>
              <w:ind w:left="360" w:hanging="360"/>
              <w:rPr>
                <w:color w:val="000000"/>
              </w:rPr>
            </w:pPr>
            <w:r w:rsidRPr="002D28A6">
              <w:rPr>
                <w:b/>
                <w:color w:val="000000"/>
              </w:rPr>
              <w:t>B.</w:t>
            </w:r>
            <w:r w:rsidRPr="002D28A6" w:rsidR="005A3018">
              <w:rPr>
                <w:b/>
                <w:color w:val="000000"/>
              </w:rPr>
              <w:tab/>
            </w:r>
            <w:r w:rsidRPr="002D28A6">
              <w:rPr>
                <w:b/>
                <w:color w:val="000000"/>
              </w:rPr>
              <w:t>Comment Period:  Was the 30-day comment period waived (</w:t>
            </w:r>
            <w:r w:rsidRPr="002D28A6">
              <w:rPr>
                <w:b/>
                <w:i/>
                <w:color w:val="000000"/>
              </w:rPr>
              <w:t>see</w:t>
            </w:r>
            <w:r w:rsidRPr="002D28A6" w:rsidR="00A60203">
              <w:rPr>
                <w:b/>
                <w:color w:val="000000"/>
              </w:rPr>
              <w:t> </w:t>
            </w:r>
            <w:r w:rsidRPr="002D28A6">
              <w:rPr>
                <w:b/>
                <w:color w:val="000000"/>
              </w:rPr>
              <w:t>Rule 14.6(</w:t>
            </w:r>
            <w:r w:rsidRPr="002D28A6" w:rsidR="00963EEF">
              <w:rPr>
                <w:b/>
                <w:color w:val="000000"/>
              </w:rPr>
              <w:t>c</w:t>
            </w:r>
            <w:r w:rsidRPr="002D28A6">
              <w:rPr>
                <w:b/>
                <w:color w:val="000000"/>
              </w:rPr>
              <w:t>)(6))?</w:t>
            </w:r>
          </w:p>
        </w:tc>
        <w:tc>
          <w:tcPr>
            <w:tcW w:w="2070" w:type="dxa"/>
            <w:shd w:val="clear" w:color="auto" w:fill="auto"/>
          </w:tcPr>
          <w:p w:rsidRPr="002D28A6" w:rsidR="00A92D0B" w:rsidP="00190B9E" w:rsidRDefault="00190B9E" w14:paraId="238D2D3F" w14:textId="423581B8">
            <w:pPr>
              <w:keepNext/>
              <w:keepLines/>
              <w:spacing w:after="240"/>
              <w:jc w:val="center"/>
              <w:rPr>
                <w:color w:val="000000"/>
              </w:rPr>
            </w:pPr>
            <w:r>
              <w:rPr>
                <w:color w:val="000000"/>
              </w:rPr>
              <w:t>Yes</w:t>
            </w:r>
          </w:p>
        </w:tc>
      </w:tr>
    </w:tbl>
    <w:p w:rsidRPr="002D28A6" w:rsidR="00A92D0B" w:rsidP="0053513F" w:rsidRDefault="00A92D0B" w14:paraId="186E115A" w14:textId="77777777">
      <w:pPr>
        <w:keepNext/>
        <w:spacing w:before="480" w:after="240"/>
        <w:jc w:val="center"/>
        <w:rPr>
          <w:b/>
          <w:color w:val="000000"/>
          <w:u w:val="single"/>
        </w:rPr>
      </w:pPr>
      <w:r w:rsidRPr="002D28A6">
        <w:rPr>
          <w:b/>
          <w:color w:val="000000"/>
          <w:u w:val="single"/>
        </w:rPr>
        <w:t>FINDINGS OF FACT</w:t>
      </w:r>
    </w:p>
    <w:p w:rsidRPr="002D28A6" w:rsidR="00A92D0B" w:rsidRDefault="008B7D2C" w14:paraId="7772A9DC" w14:textId="05E829DA">
      <w:pPr>
        <w:numPr>
          <w:ilvl w:val="0"/>
          <w:numId w:val="3"/>
        </w:numPr>
        <w:tabs>
          <w:tab w:val="num" w:pos="540"/>
        </w:tabs>
        <w:ind w:left="540" w:hanging="540"/>
      </w:pPr>
      <w:r w:rsidRPr="008B7D2C">
        <w:rPr>
          <w:bCs/>
        </w:rPr>
        <w:t>The Utility Reform Network</w:t>
      </w:r>
      <w:r w:rsidRPr="002D28A6">
        <w:t xml:space="preserve"> </w:t>
      </w:r>
      <w:r w:rsidRPr="002D28A6" w:rsidR="00A92D0B">
        <w:t>has made a substantia</w:t>
      </w:r>
      <w:r w:rsidRPr="002D28A6" w:rsidR="00DE3A5D">
        <w:t xml:space="preserve">l contribution to </w:t>
      </w:r>
      <w:r w:rsidRPr="008B7D2C" w:rsidR="00DE3A5D">
        <w:t>D.</w:t>
      </w:r>
      <w:r w:rsidRPr="008B7D2C" w:rsidR="00EB1F90">
        <w:t>24-07-008</w:t>
      </w:r>
      <w:r w:rsidRPr="002D28A6" w:rsidR="00A92D0B">
        <w:t>.</w:t>
      </w:r>
    </w:p>
    <w:p w:rsidRPr="002D28A6" w:rsidR="00A92D0B" w:rsidRDefault="00A92D0B" w14:paraId="04EB50FD" w14:textId="04E8D761">
      <w:pPr>
        <w:numPr>
          <w:ilvl w:val="0"/>
          <w:numId w:val="3"/>
        </w:numPr>
        <w:tabs>
          <w:tab w:val="num" w:pos="540"/>
        </w:tabs>
        <w:spacing w:before="240"/>
      </w:pPr>
      <w:r w:rsidRPr="002D28A6">
        <w:t>The requested hourly rates for</w:t>
      </w:r>
      <w:r w:rsidRPr="002D28A6" w:rsidR="003B6A1B">
        <w:t xml:space="preserve"> </w:t>
      </w:r>
      <w:r w:rsidRPr="008B7D2C" w:rsidR="008B7D2C">
        <w:rPr>
          <w:bCs/>
        </w:rPr>
        <w:t>The Utility Reform Network</w:t>
      </w:r>
      <w:r w:rsidRPr="002D28A6" w:rsidR="005A63D4">
        <w:t xml:space="preserve">’s </w:t>
      </w:r>
      <w:r w:rsidRPr="002D28A6">
        <w:t>representatives are comparable to market rates paid to experts and advocates having comparable training and experience and offering similar services.</w:t>
      </w:r>
    </w:p>
    <w:p w:rsidRPr="002D28A6" w:rsidR="00A92D0B" w:rsidRDefault="00A92D0B" w14:paraId="528EBB52" w14:textId="3EE3C160">
      <w:pPr>
        <w:numPr>
          <w:ilvl w:val="0"/>
          <w:numId w:val="3"/>
        </w:numPr>
        <w:tabs>
          <w:tab w:val="num" w:pos="540"/>
        </w:tabs>
        <w:spacing w:before="240"/>
      </w:pPr>
      <w:r w:rsidRPr="002D28A6">
        <w:t xml:space="preserve">The claimed costs and expenses are reasonable and commensurate with the work performed. </w:t>
      </w:r>
    </w:p>
    <w:p w:rsidRPr="002D28A6" w:rsidR="00A92D0B" w:rsidRDefault="00A92D0B" w14:paraId="48B52895" w14:textId="2D82D3D4">
      <w:pPr>
        <w:numPr>
          <w:ilvl w:val="0"/>
          <w:numId w:val="3"/>
        </w:numPr>
        <w:tabs>
          <w:tab w:val="num" w:pos="540"/>
        </w:tabs>
        <w:spacing w:before="240"/>
      </w:pPr>
      <w:r w:rsidRPr="002D28A6">
        <w:t xml:space="preserve">The total of reasonable </w:t>
      </w:r>
      <w:r w:rsidRPr="002D28A6" w:rsidR="003C608A">
        <w:t xml:space="preserve">compensation </w:t>
      </w:r>
      <w:r w:rsidRPr="002D28A6">
        <w:t xml:space="preserve">is </w:t>
      </w:r>
      <w:r w:rsidRPr="008C05FA" w:rsidR="008C05FA">
        <w:t>$182,766.25</w:t>
      </w:r>
      <w:r w:rsidRPr="002D28A6">
        <w:t>.</w:t>
      </w:r>
    </w:p>
    <w:p w:rsidRPr="002D28A6" w:rsidR="00A92D0B" w:rsidP="00CE057B" w:rsidRDefault="00A92D0B" w14:paraId="5C773C3F" w14:textId="77777777">
      <w:pPr>
        <w:keepNext/>
        <w:spacing w:before="480" w:after="240"/>
        <w:jc w:val="center"/>
        <w:rPr>
          <w:b/>
          <w:color w:val="000000"/>
          <w:u w:val="single"/>
        </w:rPr>
      </w:pPr>
      <w:r w:rsidRPr="002D28A6">
        <w:rPr>
          <w:b/>
          <w:color w:val="000000"/>
          <w:u w:val="single"/>
        </w:rPr>
        <w:t>CONCLUSION OF LAW</w:t>
      </w:r>
    </w:p>
    <w:p w:rsidRPr="002D28A6" w:rsidR="00A92D0B" w:rsidP="00575494" w:rsidRDefault="00A92D0B" w14:paraId="654F2C27" w14:textId="257CEEF3">
      <w:pPr>
        <w:numPr>
          <w:ilvl w:val="0"/>
          <w:numId w:val="10"/>
        </w:numPr>
        <w:spacing w:before="240"/>
        <w:rPr>
          <w:color w:val="000000"/>
        </w:rPr>
      </w:pPr>
      <w:r w:rsidRPr="002D28A6">
        <w:t>The</w:t>
      </w:r>
      <w:r w:rsidRPr="002D28A6">
        <w:rPr>
          <w:color w:val="000000"/>
        </w:rPr>
        <w:t xml:space="preserve"> Claim, with any adjustment set forth above, satisfies</w:t>
      </w:r>
      <w:r w:rsidRPr="002D28A6" w:rsidR="00DE3A5D">
        <w:rPr>
          <w:color w:val="000000"/>
        </w:rPr>
        <w:t xml:space="preserve"> all requirements of Pub. Util.</w:t>
      </w:r>
      <w:r w:rsidRPr="002D28A6">
        <w:rPr>
          <w:color w:val="000000"/>
        </w:rPr>
        <w:t xml:space="preserve"> Code §§ 1801-1812.</w:t>
      </w:r>
    </w:p>
    <w:p w:rsidRPr="002D28A6" w:rsidR="00A92D0B" w:rsidP="00CE057B" w:rsidRDefault="00A92D0B" w14:paraId="0E2503A5" w14:textId="77777777">
      <w:pPr>
        <w:keepNext/>
        <w:spacing w:before="480" w:after="240"/>
        <w:jc w:val="center"/>
        <w:rPr>
          <w:b/>
          <w:color w:val="000000"/>
          <w:u w:val="single"/>
        </w:rPr>
      </w:pPr>
      <w:r w:rsidRPr="002D28A6">
        <w:rPr>
          <w:b/>
          <w:color w:val="000000"/>
          <w:u w:val="single"/>
        </w:rPr>
        <w:lastRenderedPageBreak/>
        <w:t>ORDER</w:t>
      </w:r>
    </w:p>
    <w:p w:rsidRPr="002D28A6" w:rsidR="00A92D0B" w:rsidP="00CE057B" w:rsidRDefault="008B7D2C" w14:paraId="33FB4E15" w14:textId="023BF58E">
      <w:pPr>
        <w:keepNext/>
        <w:numPr>
          <w:ilvl w:val="0"/>
          <w:numId w:val="4"/>
        </w:numPr>
        <w:tabs>
          <w:tab w:val="clear" w:pos="900"/>
          <w:tab w:val="num" w:pos="540"/>
        </w:tabs>
        <w:ind w:left="547" w:hanging="547"/>
        <w:rPr>
          <w:color w:val="000000"/>
        </w:rPr>
      </w:pPr>
      <w:r w:rsidRPr="008C05FA">
        <w:rPr>
          <w:bCs/>
        </w:rPr>
        <w:t>The Utility Reform Network</w:t>
      </w:r>
      <w:r w:rsidRPr="002D28A6">
        <w:t xml:space="preserve"> </w:t>
      </w:r>
      <w:r w:rsidRPr="002D28A6" w:rsidR="00831652">
        <w:t>is</w:t>
      </w:r>
      <w:r w:rsidRPr="002D28A6" w:rsidR="00FE3BAE">
        <w:t xml:space="preserve"> </w:t>
      </w:r>
      <w:r w:rsidRPr="002D28A6" w:rsidR="00A92D0B">
        <w:rPr>
          <w:color w:val="000000"/>
        </w:rPr>
        <w:t xml:space="preserve">awarded </w:t>
      </w:r>
      <w:r w:rsidRPr="008C05FA" w:rsidR="008C05FA">
        <w:rPr>
          <w:color w:val="000000"/>
        </w:rPr>
        <w:t>$182,766.25</w:t>
      </w:r>
      <w:r w:rsidRPr="002D28A6" w:rsidR="00A92D0B">
        <w:rPr>
          <w:color w:val="000000"/>
        </w:rPr>
        <w:t>.</w:t>
      </w:r>
    </w:p>
    <w:p w:rsidRPr="002D28A6" w:rsidR="00A92D0B" w:rsidRDefault="00A92D0B" w14:paraId="4AEF5671" w14:textId="3F947F48">
      <w:pPr>
        <w:numPr>
          <w:ilvl w:val="0"/>
          <w:numId w:val="4"/>
        </w:numPr>
        <w:tabs>
          <w:tab w:val="clear" w:pos="900"/>
          <w:tab w:val="num" w:pos="540"/>
        </w:tabs>
        <w:spacing w:before="240"/>
        <w:ind w:left="547" w:hanging="547"/>
      </w:pPr>
      <w:r w:rsidRPr="002D28A6">
        <w:t xml:space="preserve">Within 30 days of the effective date of this decision, </w:t>
      </w:r>
      <w:r w:rsidR="008B7D2C">
        <w:t>Pacific Gas and Electric Company</w:t>
      </w:r>
      <w:r w:rsidRPr="002D28A6">
        <w:t xml:space="preserve"> shall </w:t>
      </w:r>
      <w:r w:rsidRPr="008B7D2C">
        <w:t xml:space="preserve">pay </w:t>
      </w:r>
      <w:r w:rsidRPr="008B7D2C" w:rsidR="008B7D2C">
        <w:rPr>
          <w:bCs/>
        </w:rPr>
        <w:t>The Utility Reform Network</w:t>
      </w:r>
      <w:r w:rsidRPr="002D28A6" w:rsidR="008B7D2C">
        <w:t xml:space="preserve"> </w:t>
      </w:r>
      <w:r w:rsidRPr="002D28A6">
        <w:t>the total award. Payment of the award shall include</w:t>
      </w:r>
      <w:r w:rsidRPr="002D28A6" w:rsidR="004E3939">
        <w:t xml:space="preserve"> compound </w:t>
      </w:r>
      <w:r w:rsidRPr="002D28A6">
        <w:t xml:space="preserve">interest at the rate earned on prime, three-month </w:t>
      </w:r>
      <w:r w:rsidRPr="002D28A6" w:rsidR="00214B22">
        <w:t xml:space="preserve">non-financial </w:t>
      </w:r>
      <w:r w:rsidRPr="002D28A6">
        <w:t>commercial paper as reported in Federal Reserve Statistical Release H.15, beginning</w:t>
      </w:r>
      <w:r w:rsidR="008B7D2C">
        <w:t xml:space="preserve"> November 30, 2024</w:t>
      </w:r>
      <w:r w:rsidRPr="002D28A6" w:rsidR="00357F1A">
        <w:t xml:space="preserve">, </w:t>
      </w:r>
      <w:r w:rsidRPr="002D28A6">
        <w:t>the 75</w:t>
      </w:r>
      <w:r w:rsidRPr="002D28A6">
        <w:rPr>
          <w:vertAlign w:val="superscript"/>
        </w:rPr>
        <w:t>th</w:t>
      </w:r>
      <w:r w:rsidRPr="002D28A6">
        <w:t xml:space="preserve"> day after the filing of </w:t>
      </w:r>
      <w:r w:rsidRPr="008B7D2C" w:rsidR="008B7D2C">
        <w:rPr>
          <w:bCs/>
        </w:rPr>
        <w:t>The Utility Reform Network</w:t>
      </w:r>
      <w:r w:rsidRPr="002D28A6" w:rsidR="00FE3BAE">
        <w:t>’s</w:t>
      </w:r>
      <w:r w:rsidRPr="002D28A6" w:rsidR="00FE3BAE">
        <w:rPr>
          <w:b/>
        </w:rPr>
        <w:t xml:space="preserve"> </w:t>
      </w:r>
      <w:r w:rsidRPr="002D28A6">
        <w:t>request, and continuing until full payment is made.</w:t>
      </w:r>
    </w:p>
    <w:p w:rsidRPr="002D28A6" w:rsidR="00A92D0B" w:rsidP="00DE3A5D" w:rsidRDefault="00A92D0B" w14:paraId="5AD40C95" w14:textId="5EFEFEA0">
      <w:pPr>
        <w:keepNext/>
        <w:keepLines/>
        <w:numPr>
          <w:ilvl w:val="0"/>
          <w:numId w:val="4"/>
        </w:numPr>
        <w:tabs>
          <w:tab w:val="clear" w:pos="900"/>
          <w:tab w:val="num" w:pos="540"/>
        </w:tabs>
        <w:spacing w:before="240"/>
        <w:ind w:left="547" w:hanging="547"/>
      </w:pPr>
      <w:r w:rsidRPr="002D28A6">
        <w:t>The comment period for today’s decision is waived.</w:t>
      </w:r>
    </w:p>
    <w:p w:rsidRPr="002D28A6" w:rsidR="00A92D0B" w:rsidP="00467E65" w:rsidRDefault="00A92D0B" w14:paraId="13F3A0AD" w14:textId="77777777">
      <w:pPr>
        <w:keepNext/>
        <w:keepLines/>
        <w:spacing w:before="240"/>
        <w:ind w:left="547"/>
        <w:rPr>
          <w:color w:val="000000"/>
        </w:rPr>
      </w:pPr>
      <w:r w:rsidRPr="002D28A6">
        <w:rPr>
          <w:color w:val="000000"/>
        </w:rPr>
        <w:t>This decision is effective today.</w:t>
      </w:r>
    </w:p>
    <w:p w:rsidR="00A92D0B" w:rsidP="006605D2" w:rsidRDefault="00A92D0B" w14:paraId="1A474D77" w14:textId="73A70950">
      <w:pPr>
        <w:keepNext/>
        <w:keepLines/>
        <w:spacing w:before="240"/>
        <w:ind w:left="547"/>
        <w:rPr>
          <w:color w:val="000000"/>
        </w:rPr>
      </w:pPr>
      <w:r w:rsidRPr="002D28A6">
        <w:rPr>
          <w:color w:val="000000"/>
        </w:rPr>
        <w:t xml:space="preserve">Dated </w:t>
      </w:r>
      <w:r w:rsidR="00D45F14">
        <w:rPr>
          <w:color w:val="000000"/>
        </w:rPr>
        <w:t>March 13, 2025</w:t>
      </w:r>
      <w:r w:rsidRPr="002D28A6">
        <w:rPr>
          <w:color w:val="000000"/>
        </w:rPr>
        <w:t>, at</w:t>
      </w:r>
      <w:r w:rsidR="0078575C">
        <w:rPr>
          <w:color w:val="000000"/>
        </w:rPr>
        <w:t xml:space="preserve"> Santa Clara,</w:t>
      </w:r>
      <w:r w:rsidRPr="002D28A6">
        <w:rPr>
          <w:color w:val="000000"/>
        </w:rPr>
        <w:t xml:space="preserve"> California.</w:t>
      </w:r>
    </w:p>
    <w:p w:rsidR="006605D2" w:rsidP="006605D2" w:rsidRDefault="006605D2" w14:paraId="11FA0710" w14:textId="77777777">
      <w:pPr>
        <w:keepNext/>
        <w:keepLines/>
        <w:spacing w:before="240"/>
        <w:rPr>
          <w:color w:val="000000"/>
        </w:rPr>
      </w:pPr>
    </w:p>
    <w:p w:rsidR="00B713E2" w:rsidP="006605D2" w:rsidRDefault="00B713E2" w14:paraId="2B65D72C" w14:textId="77777777">
      <w:pPr>
        <w:keepNext/>
        <w:keepLines/>
        <w:spacing w:before="240"/>
        <w:rPr>
          <w:color w:val="000000"/>
        </w:rPr>
      </w:pPr>
    </w:p>
    <w:p w:rsidRPr="006605D2" w:rsidR="006605D2" w:rsidP="006605D2" w:rsidRDefault="006605D2" w14:paraId="23BA90F1" w14:textId="77777777">
      <w:pPr>
        <w:keepNext/>
        <w:keepLines/>
        <w:autoSpaceDE w:val="0"/>
        <w:autoSpaceDN w:val="0"/>
        <w:adjustRightInd w:val="0"/>
        <w:ind w:left="4320"/>
        <w:jc w:val="both"/>
        <w:rPr>
          <w:rFonts w:eastAsia="Calibri"/>
        </w:rPr>
      </w:pPr>
      <w:r w:rsidRPr="006605D2">
        <w:rPr>
          <w:rFonts w:eastAsia="Calibri"/>
        </w:rPr>
        <w:t>ALICE REYNOLDS</w:t>
      </w:r>
    </w:p>
    <w:p w:rsidRPr="006605D2" w:rsidR="006605D2" w:rsidP="006605D2" w:rsidRDefault="006605D2" w14:paraId="47572440" w14:textId="77777777">
      <w:pPr>
        <w:keepNext/>
        <w:keepLines/>
        <w:autoSpaceDE w:val="0"/>
        <w:autoSpaceDN w:val="0"/>
        <w:adjustRightInd w:val="0"/>
        <w:ind w:firstLine="720"/>
        <w:jc w:val="both"/>
        <w:rPr>
          <w:rFonts w:eastAsia="Calibri"/>
        </w:rPr>
      </w:pPr>
      <w:r w:rsidRPr="006605D2">
        <w:rPr>
          <w:rFonts w:eastAsia="Calibri"/>
        </w:rPr>
        <w:tab/>
      </w:r>
      <w:r w:rsidRPr="006605D2">
        <w:rPr>
          <w:rFonts w:eastAsia="Calibri"/>
        </w:rPr>
        <w:tab/>
      </w:r>
      <w:r w:rsidRPr="006605D2">
        <w:rPr>
          <w:rFonts w:eastAsia="Calibri"/>
        </w:rPr>
        <w:tab/>
      </w:r>
      <w:r w:rsidRPr="006605D2">
        <w:rPr>
          <w:rFonts w:eastAsia="Calibri"/>
        </w:rPr>
        <w:tab/>
      </w:r>
      <w:r w:rsidRPr="006605D2">
        <w:rPr>
          <w:rFonts w:eastAsia="Calibri"/>
        </w:rPr>
        <w:tab/>
        <w:t xml:space="preserve">                       President</w:t>
      </w:r>
    </w:p>
    <w:p w:rsidRPr="006605D2" w:rsidR="006605D2" w:rsidP="006605D2" w:rsidRDefault="006605D2" w14:paraId="751675A7" w14:textId="77777777">
      <w:pPr>
        <w:autoSpaceDE w:val="0"/>
        <w:autoSpaceDN w:val="0"/>
        <w:adjustRightInd w:val="0"/>
        <w:ind w:left="3600" w:firstLine="720"/>
        <w:jc w:val="both"/>
        <w:rPr>
          <w:rFonts w:eastAsia="Calibri"/>
        </w:rPr>
      </w:pPr>
      <w:r w:rsidRPr="006605D2">
        <w:rPr>
          <w:rFonts w:eastAsia="Calibri"/>
        </w:rPr>
        <w:t>DARCIE L. HOUCK</w:t>
      </w:r>
    </w:p>
    <w:p w:rsidRPr="006605D2" w:rsidR="006605D2" w:rsidP="006605D2" w:rsidRDefault="006605D2" w14:paraId="79AC6FAA" w14:textId="77777777">
      <w:pPr>
        <w:autoSpaceDE w:val="0"/>
        <w:autoSpaceDN w:val="0"/>
        <w:adjustRightInd w:val="0"/>
        <w:ind w:left="3600" w:firstLine="720"/>
        <w:jc w:val="both"/>
        <w:rPr>
          <w:rFonts w:eastAsia="Calibri"/>
        </w:rPr>
      </w:pPr>
      <w:r w:rsidRPr="006605D2">
        <w:rPr>
          <w:rFonts w:eastAsia="Calibri"/>
        </w:rPr>
        <w:t>JOHN REYNOLDS</w:t>
      </w:r>
    </w:p>
    <w:p w:rsidRPr="006605D2" w:rsidR="006605D2" w:rsidP="006605D2" w:rsidRDefault="006605D2" w14:paraId="6744D174" w14:textId="77777777">
      <w:pPr>
        <w:autoSpaceDE w:val="0"/>
        <w:autoSpaceDN w:val="0"/>
        <w:adjustRightInd w:val="0"/>
        <w:ind w:left="3600" w:firstLine="720"/>
        <w:jc w:val="both"/>
        <w:rPr>
          <w:color w:val="000000"/>
        </w:rPr>
      </w:pPr>
      <w:r w:rsidRPr="006605D2">
        <w:rPr>
          <w:color w:val="000000"/>
        </w:rPr>
        <w:t>KAREN DOUGLAS</w:t>
      </w:r>
    </w:p>
    <w:p w:rsidRPr="006605D2" w:rsidR="006605D2" w:rsidP="006605D2" w:rsidRDefault="006605D2" w14:paraId="5624435A" w14:textId="77777777">
      <w:pPr>
        <w:keepNext/>
        <w:keepLines/>
        <w:autoSpaceDE w:val="0"/>
        <w:autoSpaceDN w:val="0"/>
        <w:adjustRightInd w:val="0"/>
        <w:ind w:left="4320" w:firstLine="720"/>
        <w:jc w:val="both"/>
        <w:rPr>
          <w:rFonts w:eastAsia="Calibri"/>
        </w:rPr>
      </w:pPr>
      <w:r w:rsidRPr="006605D2">
        <w:rPr>
          <w:rFonts w:eastAsia="Calibri"/>
        </w:rPr>
        <w:t xml:space="preserve">            Commissioners</w:t>
      </w:r>
    </w:p>
    <w:p w:rsidRPr="006605D2" w:rsidR="006605D2" w:rsidP="006605D2" w:rsidRDefault="006605D2" w14:paraId="4838C955" w14:textId="77777777">
      <w:pPr>
        <w:keepNext/>
        <w:keepLines/>
        <w:spacing w:line="360" w:lineRule="auto"/>
        <w:ind w:firstLine="720"/>
      </w:pPr>
    </w:p>
    <w:p w:rsidRPr="006605D2" w:rsidR="006605D2" w:rsidP="006605D2" w:rsidRDefault="006605D2" w14:paraId="4590A276" w14:textId="77777777">
      <w:pPr>
        <w:keepNext/>
        <w:keepLines/>
        <w:autoSpaceDE w:val="0"/>
        <w:autoSpaceDN w:val="0"/>
        <w:adjustRightInd w:val="0"/>
        <w:ind w:left="4380"/>
        <w:rPr>
          <w:rFonts w:eastAsia="Calibri"/>
        </w:rPr>
      </w:pPr>
      <w:r w:rsidRPr="006605D2">
        <w:rPr>
          <w:rFonts w:eastAsia="Calibri"/>
        </w:rPr>
        <w:t>Commissioner Matthew Baker recused himself from this agenda item and was not part of the quorum in its consideration.</w:t>
      </w:r>
    </w:p>
    <w:p w:rsidRPr="006605D2" w:rsidR="006605D2" w:rsidP="006605D2" w:rsidRDefault="006605D2" w14:paraId="1D709DC7" w14:textId="77777777">
      <w:pPr>
        <w:keepNext/>
        <w:keepLines/>
        <w:spacing w:before="240"/>
        <w:rPr>
          <w:color w:val="000000"/>
        </w:rPr>
      </w:pPr>
    </w:p>
    <w:p w:rsidRPr="002D28A6" w:rsidR="00FE3BAE" w:rsidRDefault="00FE3BAE" w14:paraId="3C739AE2" w14:textId="71F3AFC8"/>
    <w:p w:rsidRPr="002D28A6" w:rsidR="006B7228" w:rsidRDefault="006B7228" w14:paraId="37D74F32" w14:textId="77777777">
      <w:pPr>
        <w:sectPr w:rsidRPr="002D28A6" w:rsidR="006B7228" w:rsidSect="006B72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numberInDash" w:start="1"/>
          <w:cols w:space="720"/>
          <w:titlePg/>
          <w:docGrid w:linePitch="360"/>
        </w:sectPr>
      </w:pPr>
    </w:p>
    <w:p w:rsidRPr="002D28A6" w:rsidR="00FE3BAE" w:rsidP="00FE3BAE" w:rsidRDefault="00FE3BAE" w14:paraId="7A1C7043" w14:textId="77777777">
      <w:pPr>
        <w:pStyle w:val="standard"/>
        <w:ind w:firstLine="0"/>
        <w:jc w:val="center"/>
        <w:rPr>
          <w:rFonts w:ascii="Times New Roman" w:hAnsi="Times New Roman"/>
          <w:b/>
          <w:sz w:val="24"/>
          <w:szCs w:val="24"/>
        </w:rPr>
      </w:pPr>
      <w:r w:rsidRPr="002D28A6">
        <w:rPr>
          <w:rFonts w:ascii="Times New Roman" w:hAnsi="Times New Roman"/>
          <w:b/>
          <w:sz w:val="24"/>
          <w:szCs w:val="24"/>
        </w:rPr>
        <w:lastRenderedPageBreak/>
        <w:t>APPENDIX</w:t>
      </w:r>
    </w:p>
    <w:p w:rsidRPr="002D28A6" w:rsidR="00FE3BAE" w:rsidP="00F7579D" w:rsidRDefault="00FE3BAE" w14:paraId="300BB274" w14:textId="77777777">
      <w:pPr>
        <w:pStyle w:val="standard"/>
        <w:ind w:firstLine="0"/>
        <w:jc w:val="center"/>
        <w:rPr>
          <w:rFonts w:ascii="Times New Roman" w:hAnsi="Times New Roman"/>
          <w:b/>
          <w:bCs/>
          <w:sz w:val="24"/>
          <w:szCs w:val="24"/>
        </w:rPr>
      </w:pPr>
      <w:r w:rsidRPr="002D28A6">
        <w:rPr>
          <w:rFonts w:ascii="Times New Roman" w:hAnsi="Times New Roman"/>
          <w:b/>
          <w:bCs/>
          <w:sz w:val="24"/>
          <w:szCs w:val="24"/>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905"/>
        <w:gridCol w:w="3767"/>
        <w:gridCol w:w="2497"/>
        <w:gridCol w:w="1271"/>
      </w:tblGrid>
      <w:tr w:rsidRPr="002D28A6" w:rsidR="00FE3BAE" w:rsidTr="00F862A9"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2D28A6" w:rsidR="00FE3BAE" w:rsidP="00A23C17" w:rsidRDefault="00FE3BAE" w14:paraId="4BC9C636" w14:textId="77777777">
            <w:pPr>
              <w:rPr>
                <w:b/>
                <w:bCs/>
              </w:rPr>
            </w:pPr>
            <w:r w:rsidRPr="002D28A6">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2D28A6" w:rsidR="00FE3BAE" w:rsidP="00A23C17" w:rsidRDefault="00DE3169" w14:paraId="16C5D6B1" w14:textId="772BFD3A">
            <w:r w:rsidRPr="00DE3169">
              <w:t>D2503022</w:t>
            </w:r>
          </w:p>
        </w:tc>
        <w:tc>
          <w:tcPr>
            <w:tcW w:w="2475" w:type="dxa"/>
            <w:tcBorders>
              <w:top w:val="single" w:color="auto" w:sz="4" w:space="0"/>
              <w:left w:val="single" w:color="auto" w:sz="4" w:space="0"/>
              <w:bottom w:val="single" w:color="auto" w:sz="4" w:space="0"/>
              <w:right w:val="single" w:color="auto" w:sz="4" w:space="0"/>
            </w:tcBorders>
            <w:hideMark/>
          </w:tcPr>
          <w:p w:rsidRPr="002D28A6" w:rsidR="00FE3BAE" w:rsidP="00A23C17" w:rsidRDefault="00FE3BAE" w14:paraId="3ECA0C4F" w14:textId="77777777">
            <w:pPr>
              <w:rPr>
                <w:b/>
                <w:bCs/>
              </w:rPr>
            </w:pPr>
            <w:r w:rsidRPr="002D28A6">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2D28A6" w:rsidR="00FE3BAE" w:rsidP="00A23C17" w:rsidRDefault="00190B9E" w14:paraId="6846FB87" w14:textId="0F0A9903">
            <w:pPr>
              <w:jc w:val="center"/>
            </w:pPr>
            <w:r>
              <w:t>No</w:t>
            </w:r>
          </w:p>
        </w:tc>
      </w:tr>
      <w:tr w:rsidRPr="002D28A6" w:rsidR="00FE3BAE" w:rsidTr="008B7D2C" w14:paraId="3E0218A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2D28A6" w:rsidR="00FE3BAE" w:rsidP="00A23C17" w:rsidRDefault="00FE3BAE" w14:paraId="6E65620B" w14:textId="77777777">
            <w:pPr>
              <w:rPr>
                <w:b/>
                <w:bCs/>
              </w:rPr>
            </w:pPr>
            <w:r w:rsidRPr="002D28A6">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2D28A6" w:rsidR="00FE3BAE" w:rsidP="00A23C17" w:rsidRDefault="007E6390" w14:paraId="426F2C45" w14:textId="33B48876">
            <w:r>
              <w:t>D2407008</w:t>
            </w:r>
          </w:p>
        </w:tc>
      </w:tr>
      <w:tr w:rsidRPr="002D28A6" w:rsidR="00FE3BAE" w:rsidTr="008B7D2C"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2D28A6" w:rsidR="00FE3BAE" w:rsidP="00A23C17" w:rsidRDefault="00FE3BAE" w14:paraId="717974DE" w14:textId="77777777">
            <w:pPr>
              <w:rPr>
                <w:b/>
                <w:bCs/>
              </w:rPr>
            </w:pPr>
            <w:r w:rsidRPr="002D28A6">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2D28A6" w:rsidR="00FE3BAE" w:rsidP="00A23C17" w:rsidRDefault="007E6390" w14:paraId="5B85688D" w14:textId="1F92A189">
            <w:r>
              <w:t>A2106021</w:t>
            </w:r>
          </w:p>
        </w:tc>
      </w:tr>
      <w:tr w:rsidRPr="008B7D2C" w:rsidR="00FE3BAE" w:rsidTr="00F862A9"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2D28A6" w:rsidR="00FE3BAE" w:rsidP="00A23C17" w:rsidRDefault="00FE3BAE" w14:paraId="738C0A58" w14:textId="77777777">
            <w:pPr>
              <w:rPr>
                <w:b/>
                <w:bCs/>
              </w:rPr>
            </w:pPr>
            <w:r w:rsidRPr="002D28A6">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8B7D2C" w:rsidR="00FE3BAE" w:rsidP="00A23C17" w:rsidRDefault="00190B9E" w14:paraId="5E75C0F0" w14:textId="1830B389">
            <w:r w:rsidRPr="008B7D2C">
              <w:t xml:space="preserve">ALJ </w:t>
            </w:r>
            <w:r w:rsidRPr="008B7D2C" w:rsidR="008B7D2C">
              <w:t xml:space="preserve">John </w:t>
            </w:r>
            <w:r w:rsidRPr="008B7D2C">
              <w:t xml:space="preserve">Larsen and ALJ </w:t>
            </w:r>
            <w:r w:rsidRPr="008B7D2C" w:rsidR="008B7D2C">
              <w:t xml:space="preserve">Justin </w:t>
            </w:r>
            <w:r w:rsidRPr="008B7D2C">
              <w:t>Regnier</w:t>
            </w:r>
          </w:p>
        </w:tc>
      </w:tr>
      <w:tr w:rsidRPr="002D28A6" w:rsidR="00FE3BAE" w:rsidTr="00F862A9"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2D28A6" w:rsidR="00FE3BAE" w:rsidP="00A23C17" w:rsidRDefault="00FE3BAE" w14:paraId="1414CA71" w14:textId="77777777">
            <w:pPr>
              <w:rPr>
                <w:b/>
                <w:bCs/>
              </w:rPr>
            </w:pPr>
            <w:r w:rsidRPr="002D28A6">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2D28A6" w:rsidR="00FE3BAE" w:rsidP="00A23C17" w:rsidRDefault="008B7D2C" w14:paraId="7CA711B6" w14:textId="4C1608C3">
            <w:r>
              <w:t>Pacific Gas and Electric Company</w:t>
            </w:r>
          </w:p>
        </w:tc>
      </w:tr>
    </w:tbl>
    <w:p w:rsidRPr="002D28A6" w:rsidR="00FE3BAE" w:rsidP="00CE057B" w:rsidRDefault="00FE3BAE" w14:paraId="7F0236A2" w14:textId="77777777">
      <w:pPr>
        <w:spacing w:before="480" w:after="240"/>
        <w:jc w:val="center"/>
        <w:rPr>
          <w:b/>
          <w:bCs/>
        </w:rPr>
      </w:pPr>
      <w:r w:rsidRPr="002D28A6">
        <w:rPr>
          <w:b/>
          <w:bCs/>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2063"/>
        <w:gridCol w:w="1458"/>
        <w:gridCol w:w="1430"/>
        <w:gridCol w:w="1587"/>
        <w:gridCol w:w="1404"/>
        <w:gridCol w:w="2498"/>
      </w:tblGrid>
      <w:tr w:rsidRPr="002D28A6" w:rsidR="00FE3BAE" w:rsidTr="00F862A9" w14:paraId="6CDB318E" w14:textId="77777777">
        <w:trPr>
          <w:jc w:val="center"/>
        </w:trPr>
        <w:tc>
          <w:tcPr>
            <w:tcW w:w="2043" w:type="dxa"/>
            <w:tcBorders>
              <w:top w:val="single" w:color="auto" w:sz="4" w:space="0"/>
              <w:left w:val="single" w:color="auto" w:sz="4" w:space="0"/>
              <w:bottom w:val="single" w:color="auto" w:sz="4" w:space="0"/>
              <w:right w:val="single" w:color="auto" w:sz="4" w:space="0"/>
            </w:tcBorders>
            <w:vAlign w:val="bottom"/>
            <w:hideMark/>
          </w:tcPr>
          <w:p w:rsidRPr="002D28A6" w:rsidR="00FE3BAE" w:rsidP="00CE057B" w:rsidRDefault="00FE3BAE" w14:paraId="2578F35B" w14:textId="77777777">
            <w:pPr>
              <w:jc w:val="center"/>
              <w:rPr>
                <w:b/>
                <w:bCs/>
              </w:rPr>
            </w:pPr>
            <w:r w:rsidRPr="002D28A6">
              <w:rPr>
                <w:b/>
                <w:bCs/>
              </w:rPr>
              <w:t>Intervenor</w:t>
            </w:r>
          </w:p>
        </w:tc>
        <w:tc>
          <w:tcPr>
            <w:tcW w:w="1444" w:type="dxa"/>
            <w:tcBorders>
              <w:top w:val="single" w:color="auto" w:sz="4" w:space="0"/>
              <w:left w:val="single" w:color="auto" w:sz="4" w:space="0"/>
              <w:bottom w:val="single" w:color="auto" w:sz="4" w:space="0"/>
              <w:right w:val="single" w:color="auto" w:sz="4" w:space="0"/>
            </w:tcBorders>
            <w:vAlign w:val="bottom"/>
            <w:hideMark/>
          </w:tcPr>
          <w:p w:rsidRPr="002D28A6" w:rsidR="00B803D5" w:rsidP="00CE057B" w:rsidRDefault="0081626F" w14:paraId="1A2BF295" w14:textId="77777777">
            <w:pPr>
              <w:jc w:val="center"/>
              <w:rPr>
                <w:b/>
                <w:bCs/>
              </w:rPr>
            </w:pPr>
            <w:r w:rsidRPr="002D28A6">
              <w:rPr>
                <w:b/>
                <w:bCs/>
              </w:rPr>
              <w:t>Date</w:t>
            </w:r>
          </w:p>
          <w:p w:rsidRPr="002D28A6" w:rsidR="00FE3BAE" w:rsidP="00CE057B" w:rsidRDefault="0081626F" w14:paraId="2C1C9DC3" w14:textId="2305FDF8">
            <w:pPr>
              <w:jc w:val="center"/>
              <w:rPr>
                <w:b/>
                <w:bCs/>
              </w:rPr>
            </w:pPr>
            <w:r w:rsidRPr="002D28A6">
              <w:rPr>
                <w:b/>
                <w:bCs/>
              </w:rPr>
              <w:t>Claim Filed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2D28A6" w:rsidR="00FE3BAE" w:rsidP="00CE057B" w:rsidRDefault="00FE3BAE" w14:paraId="60DD020D" w14:textId="77777777">
            <w:pPr>
              <w:jc w:val="center"/>
              <w:rPr>
                <w:b/>
                <w:bCs/>
              </w:rPr>
            </w:pPr>
            <w:r w:rsidRPr="002D28A6">
              <w:rPr>
                <w:b/>
                <w:bCs/>
              </w:rPr>
              <w:t>Amount Requested</w:t>
            </w:r>
          </w:p>
        </w:tc>
        <w:tc>
          <w:tcPr>
            <w:tcW w:w="1571" w:type="dxa"/>
            <w:tcBorders>
              <w:top w:val="single" w:color="auto" w:sz="4" w:space="0"/>
              <w:left w:val="single" w:color="auto" w:sz="4" w:space="0"/>
              <w:bottom w:val="single" w:color="auto" w:sz="4" w:space="0"/>
              <w:right w:val="single" w:color="auto" w:sz="4" w:space="0"/>
            </w:tcBorders>
            <w:vAlign w:val="bottom"/>
            <w:hideMark/>
          </w:tcPr>
          <w:p w:rsidRPr="002D28A6" w:rsidR="00FE3BAE" w:rsidP="00CE057B" w:rsidRDefault="00FE3BAE" w14:paraId="19A4A01D" w14:textId="77777777">
            <w:pPr>
              <w:jc w:val="center"/>
              <w:rPr>
                <w:b/>
                <w:bCs/>
              </w:rPr>
            </w:pPr>
            <w:r w:rsidRPr="002D28A6">
              <w:rPr>
                <w:b/>
                <w:bCs/>
              </w:rPr>
              <w:t>Amount Awarded</w:t>
            </w:r>
          </w:p>
        </w:tc>
        <w:tc>
          <w:tcPr>
            <w:tcW w:w="1390" w:type="dxa"/>
            <w:tcBorders>
              <w:top w:val="single" w:color="auto" w:sz="4" w:space="0"/>
              <w:left w:val="single" w:color="auto" w:sz="4" w:space="0"/>
              <w:bottom w:val="single" w:color="auto" w:sz="4" w:space="0"/>
              <w:right w:val="single" w:color="auto" w:sz="4" w:space="0"/>
            </w:tcBorders>
            <w:vAlign w:val="bottom"/>
            <w:hideMark/>
          </w:tcPr>
          <w:p w:rsidRPr="002D28A6" w:rsidR="00FE3BAE" w:rsidP="00CE057B" w:rsidRDefault="00FE3BAE" w14:paraId="5B9F47E2" w14:textId="77777777">
            <w:pPr>
              <w:jc w:val="center"/>
              <w:rPr>
                <w:b/>
                <w:bCs/>
              </w:rPr>
            </w:pPr>
            <w:r w:rsidRPr="002D28A6">
              <w:rPr>
                <w:b/>
                <w:bCs/>
              </w:rPr>
              <w:t>Multiplier?</w:t>
            </w:r>
          </w:p>
        </w:tc>
        <w:tc>
          <w:tcPr>
            <w:tcW w:w="2474" w:type="dxa"/>
            <w:tcBorders>
              <w:top w:val="single" w:color="auto" w:sz="4" w:space="0"/>
              <w:left w:val="single" w:color="auto" w:sz="4" w:space="0"/>
              <w:bottom w:val="single" w:color="auto" w:sz="4" w:space="0"/>
              <w:right w:val="single" w:color="auto" w:sz="4" w:space="0"/>
            </w:tcBorders>
            <w:vAlign w:val="bottom"/>
            <w:hideMark/>
          </w:tcPr>
          <w:p w:rsidRPr="002D28A6" w:rsidR="00FE3BAE" w:rsidP="00CE057B" w:rsidRDefault="00FE3BAE" w14:paraId="089590A8" w14:textId="77777777">
            <w:pPr>
              <w:jc w:val="center"/>
              <w:rPr>
                <w:b/>
                <w:bCs/>
              </w:rPr>
            </w:pPr>
            <w:r w:rsidRPr="002D28A6">
              <w:rPr>
                <w:b/>
                <w:bCs/>
              </w:rPr>
              <w:t>Reason Change/Disallowance</w:t>
            </w:r>
          </w:p>
        </w:tc>
      </w:tr>
      <w:tr w:rsidRPr="002D28A6" w:rsidR="00FE3BAE" w:rsidTr="002820DF" w14:paraId="080524E3" w14:textId="77777777">
        <w:trPr>
          <w:trHeight w:val="872"/>
          <w:jc w:val="center"/>
        </w:trPr>
        <w:tc>
          <w:tcPr>
            <w:tcW w:w="2043" w:type="dxa"/>
            <w:tcBorders>
              <w:top w:val="single" w:color="auto" w:sz="4" w:space="0"/>
              <w:left w:val="single" w:color="auto" w:sz="4" w:space="0"/>
              <w:bottom w:val="single" w:color="auto" w:sz="4" w:space="0"/>
              <w:right w:val="single" w:color="auto" w:sz="4" w:space="0"/>
            </w:tcBorders>
            <w:shd w:val="clear" w:color="auto" w:fill="auto"/>
            <w:hideMark/>
          </w:tcPr>
          <w:p w:rsidRPr="002D28A6" w:rsidR="00FE3BAE" w:rsidP="00A23C17" w:rsidRDefault="008B7D2C" w14:paraId="3008FB17" w14:textId="54D52ED7">
            <w:pPr>
              <w:jc w:val="center"/>
            </w:pPr>
            <w:r w:rsidRPr="008B7D2C">
              <w:t>The Utility Reform Network</w:t>
            </w:r>
          </w:p>
        </w:tc>
        <w:tc>
          <w:tcPr>
            <w:tcW w:w="1444" w:type="dxa"/>
            <w:tcBorders>
              <w:top w:val="single" w:color="auto" w:sz="4" w:space="0"/>
              <w:left w:val="single" w:color="auto" w:sz="4" w:space="0"/>
              <w:bottom w:val="single" w:color="auto" w:sz="4" w:space="0"/>
              <w:right w:val="single" w:color="auto" w:sz="4" w:space="0"/>
            </w:tcBorders>
            <w:shd w:val="clear" w:color="auto" w:fill="auto"/>
            <w:hideMark/>
          </w:tcPr>
          <w:p w:rsidRPr="002D28A6" w:rsidR="00FE3BAE" w:rsidP="00A23C17" w:rsidRDefault="007E6390" w14:paraId="63956769" w14:textId="5FBA2324">
            <w:pPr>
              <w:jc w:val="center"/>
            </w:pPr>
            <w:r>
              <w:t>9/16/24</w:t>
            </w:r>
          </w:p>
        </w:tc>
        <w:tc>
          <w:tcPr>
            <w:tcW w:w="1405" w:type="dxa"/>
            <w:tcBorders>
              <w:top w:val="single" w:color="auto" w:sz="4" w:space="0"/>
              <w:left w:val="single" w:color="auto" w:sz="4" w:space="0"/>
              <w:bottom w:val="single" w:color="auto" w:sz="4" w:space="0"/>
              <w:right w:val="single" w:color="auto" w:sz="4" w:space="0"/>
            </w:tcBorders>
            <w:shd w:val="clear" w:color="auto" w:fill="auto"/>
            <w:hideMark/>
          </w:tcPr>
          <w:p w:rsidRPr="002D28A6" w:rsidR="00FE3BAE" w:rsidP="00A23C17" w:rsidRDefault="00CB1CEA" w14:paraId="75AD20FA" w14:textId="2E2916A1">
            <w:pPr>
              <w:jc w:val="center"/>
            </w:pPr>
            <w:r w:rsidRPr="0041308C">
              <w:t>$</w:t>
            </w:r>
            <w:r w:rsidRPr="0041308C" w:rsidR="0041308C">
              <w:rPr>
                <w:bCs/>
                <w:iCs/>
                <w:color w:val="000000"/>
              </w:rPr>
              <w:t>182,766.25</w:t>
            </w:r>
          </w:p>
        </w:tc>
        <w:tc>
          <w:tcPr>
            <w:tcW w:w="1571" w:type="dxa"/>
            <w:tcBorders>
              <w:top w:val="single" w:color="auto" w:sz="4" w:space="0"/>
              <w:left w:val="single" w:color="auto" w:sz="4" w:space="0"/>
              <w:bottom w:val="single" w:color="auto" w:sz="4" w:space="0"/>
              <w:right w:val="single" w:color="auto" w:sz="4" w:space="0"/>
            </w:tcBorders>
            <w:hideMark/>
          </w:tcPr>
          <w:p w:rsidRPr="002D28A6" w:rsidR="00FE3BAE" w:rsidP="00A23C17" w:rsidRDefault="002820DF" w14:paraId="0DD6FE00" w14:textId="58198097">
            <w:pPr>
              <w:jc w:val="center"/>
            </w:pPr>
            <w:r w:rsidRPr="002820DF">
              <w:t>$182,766.25</w:t>
            </w:r>
          </w:p>
        </w:tc>
        <w:tc>
          <w:tcPr>
            <w:tcW w:w="1390" w:type="dxa"/>
            <w:tcBorders>
              <w:top w:val="single" w:color="auto" w:sz="4" w:space="0"/>
              <w:left w:val="single" w:color="auto" w:sz="4" w:space="0"/>
              <w:bottom w:val="single" w:color="auto" w:sz="4" w:space="0"/>
              <w:right w:val="single" w:color="auto" w:sz="4" w:space="0"/>
            </w:tcBorders>
            <w:hideMark/>
          </w:tcPr>
          <w:p w:rsidRPr="002D28A6" w:rsidR="00FE3BAE" w:rsidP="00A23C17" w:rsidRDefault="00FE3BAE" w14:paraId="0BDAFE20" w14:textId="77777777">
            <w:pPr>
              <w:jc w:val="center"/>
            </w:pPr>
            <w:r w:rsidRPr="002D28A6">
              <w:t>N/A</w:t>
            </w:r>
          </w:p>
        </w:tc>
        <w:tc>
          <w:tcPr>
            <w:tcW w:w="2474" w:type="dxa"/>
            <w:tcBorders>
              <w:top w:val="single" w:color="auto" w:sz="4" w:space="0"/>
              <w:left w:val="single" w:color="auto" w:sz="4" w:space="0"/>
              <w:bottom w:val="single" w:color="auto" w:sz="4" w:space="0"/>
              <w:right w:val="single" w:color="auto" w:sz="4" w:space="0"/>
            </w:tcBorders>
            <w:hideMark/>
          </w:tcPr>
          <w:p w:rsidRPr="008B7D2C" w:rsidR="00FE3BAE" w:rsidP="00A23C17" w:rsidRDefault="008B7D2C" w14:paraId="6B53C6F9" w14:textId="777E1755">
            <w:pPr>
              <w:jc w:val="center"/>
            </w:pPr>
            <w:r>
              <w:rPr>
                <w:i/>
                <w:iCs/>
              </w:rPr>
              <w:t>See</w:t>
            </w:r>
            <w:r>
              <w:t xml:space="preserve"> Part III.D CPUC Comments, Disallowances and Adjustments</w:t>
            </w:r>
          </w:p>
        </w:tc>
      </w:tr>
    </w:tbl>
    <w:p w:rsidRPr="002D28A6" w:rsidR="00FE3BAE" w:rsidP="00CE057B" w:rsidRDefault="0022302F" w14:paraId="2841210B" w14:textId="77777777">
      <w:pPr>
        <w:spacing w:before="480" w:after="240"/>
        <w:jc w:val="center"/>
        <w:rPr>
          <w:b/>
          <w:bCs/>
        </w:rPr>
      </w:pPr>
      <w:r w:rsidRPr="002D28A6">
        <w:rPr>
          <w:b/>
          <w:bCs/>
        </w:rPr>
        <w:t>Hourly Fee</w:t>
      </w:r>
      <w:r w:rsidRPr="002D28A6" w:rsidR="00FE3BAE">
        <w:rPr>
          <w:b/>
          <w:bCs/>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1520"/>
        <w:gridCol w:w="1725"/>
        <w:gridCol w:w="2088"/>
        <w:gridCol w:w="1748"/>
        <w:gridCol w:w="1725"/>
        <w:gridCol w:w="1634"/>
      </w:tblGrid>
      <w:tr w:rsidRPr="002D28A6" w:rsidR="00C02649" w:rsidTr="007E6390" w14:paraId="7CF2F0CA"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2D28A6" w:rsidR="003B6A1B" w:rsidP="00CE057B" w:rsidRDefault="003B6A1B" w14:paraId="61500303" w14:textId="77777777">
            <w:pPr>
              <w:jc w:val="center"/>
              <w:rPr>
                <w:b/>
                <w:bCs/>
              </w:rPr>
            </w:pPr>
            <w:r w:rsidRPr="002D28A6">
              <w:rPr>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2D28A6" w:rsidR="003B6A1B" w:rsidP="00CE057B" w:rsidRDefault="003B6A1B" w14:paraId="55908486" w14:textId="77777777">
            <w:pPr>
              <w:jc w:val="center"/>
              <w:rPr>
                <w:b/>
                <w:bCs/>
              </w:rPr>
            </w:pPr>
            <w:r w:rsidRPr="002D28A6">
              <w:rPr>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2D28A6" w:rsidR="003B6A1B" w:rsidP="00CE057B" w:rsidRDefault="00171EBF" w14:paraId="2438DAE1" w14:textId="77777777">
            <w:pPr>
              <w:ind w:left="12" w:firstLine="12"/>
              <w:jc w:val="center"/>
              <w:rPr>
                <w:b/>
                <w:bCs/>
              </w:rPr>
            </w:pPr>
            <w:r w:rsidRPr="002D28A6">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Pr="002D28A6" w:rsidR="00B803D5" w:rsidP="00CE057B" w:rsidRDefault="003B6A1B" w14:paraId="30FCBD16" w14:textId="77777777">
            <w:pPr>
              <w:jc w:val="center"/>
              <w:rPr>
                <w:b/>
                <w:bCs/>
              </w:rPr>
            </w:pPr>
            <w:r w:rsidRPr="002D28A6">
              <w:rPr>
                <w:b/>
                <w:bCs/>
              </w:rPr>
              <w:t>Hourly</w:t>
            </w:r>
          </w:p>
          <w:p w:rsidRPr="002D28A6" w:rsidR="003B6A1B" w:rsidP="00CE057B" w:rsidRDefault="003B6A1B" w14:paraId="3431A72E" w14:textId="15E5EE89">
            <w:pPr>
              <w:jc w:val="center"/>
              <w:rPr>
                <w:b/>
                <w:bCs/>
              </w:rPr>
            </w:pPr>
            <w:r w:rsidRPr="002D28A6">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2D28A6" w:rsidR="00B803D5" w:rsidP="00CE057B" w:rsidRDefault="003B6A1B" w14:paraId="27A4F1D1" w14:textId="77777777">
            <w:pPr>
              <w:jc w:val="center"/>
              <w:rPr>
                <w:b/>
                <w:bCs/>
              </w:rPr>
            </w:pPr>
            <w:r w:rsidRPr="002D28A6">
              <w:rPr>
                <w:b/>
                <w:bCs/>
              </w:rPr>
              <w:t>Year Hourly</w:t>
            </w:r>
          </w:p>
          <w:p w:rsidRPr="002D28A6" w:rsidR="003B6A1B" w:rsidP="00CE057B" w:rsidRDefault="003B6A1B" w14:paraId="6FE76773" w14:textId="7DDDAF05">
            <w:pPr>
              <w:jc w:val="center"/>
              <w:rPr>
                <w:b/>
                <w:bCs/>
              </w:rPr>
            </w:pPr>
            <w:r w:rsidRPr="002D28A6">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Pr="002D28A6" w:rsidR="00B803D5" w:rsidP="00CE057B" w:rsidRDefault="003B6A1B" w14:paraId="08CD8CFB" w14:textId="50A63D11">
            <w:pPr>
              <w:jc w:val="center"/>
              <w:rPr>
                <w:b/>
                <w:bCs/>
              </w:rPr>
            </w:pPr>
            <w:r w:rsidRPr="002D28A6">
              <w:rPr>
                <w:b/>
                <w:bCs/>
              </w:rPr>
              <w:t>Hourly</w:t>
            </w:r>
          </w:p>
          <w:p w:rsidRPr="002D28A6" w:rsidR="003B6A1B" w:rsidP="00CE057B" w:rsidRDefault="003B6A1B" w14:paraId="1B789B85" w14:textId="3C9059B0">
            <w:pPr>
              <w:jc w:val="center"/>
              <w:rPr>
                <w:b/>
                <w:bCs/>
              </w:rPr>
            </w:pPr>
            <w:r w:rsidRPr="002D28A6">
              <w:rPr>
                <w:b/>
                <w:bCs/>
              </w:rPr>
              <w:t>Fee Adopted</w:t>
            </w:r>
          </w:p>
        </w:tc>
      </w:tr>
      <w:tr w:rsidRPr="002D28A6" w:rsidR="00C02649" w:rsidTr="008B7D2C" w14:paraId="1211B948"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B7D2C" w:rsidR="003B6A1B" w:rsidP="00A23C17" w:rsidRDefault="007E6390" w14:paraId="0F0C6D6C" w14:textId="70E54B3B">
            <w:pPr>
              <w:jc w:val="center"/>
            </w:pPr>
            <w:r w:rsidRPr="008B7D2C">
              <w:t>Matthew</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B7D2C" w:rsidR="003B6A1B" w:rsidP="00A23C17" w:rsidRDefault="007E6390" w14:paraId="6ACE7B68" w14:textId="6EB32C49">
            <w:pPr>
              <w:jc w:val="center"/>
            </w:pPr>
            <w:r w:rsidRPr="008B7D2C">
              <w:t>Freedman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B7D2C" w:rsidR="003B6A1B" w:rsidP="00A23C17" w:rsidRDefault="007E6390" w14:paraId="0E61474F" w14:textId="7962957B">
            <w:pPr>
              <w:jc w:val="center"/>
            </w:pPr>
            <w:r w:rsidRPr="008B7D2C">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2D28A6" w:rsidR="003B6A1B" w:rsidP="00A23C17" w:rsidRDefault="005935C6" w14:paraId="44F9655C" w14:textId="6ADC69DF">
            <w:pPr>
              <w:jc w:val="center"/>
            </w:pPr>
            <w:r>
              <w:t>$710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28A6" w:rsidR="003B6A1B" w:rsidP="00A23C17" w:rsidRDefault="007E6390" w14:paraId="2EB25516" w14:textId="602C3B58">
            <w:pPr>
              <w:jc w:val="center"/>
            </w:pPr>
            <w:r>
              <w:t>2023</w:t>
            </w:r>
          </w:p>
        </w:tc>
        <w:tc>
          <w:tcPr>
            <w:tcW w:w="1634" w:type="dxa"/>
            <w:tcBorders>
              <w:top w:val="single" w:color="auto" w:sz="4" w:space="0"/>
              <w:left w:val="single" w:color="auto" w:sz="4" w:space="0"/>
              <w:bottom w:val="single" w:color="auto" w:sz="4" w:space="0"/>
              <w:right w:val="single" w:color="auto" w:sz="4" w:space="0"/>
            </w:tcBorders>
          </w:tcPr>
          <w:p w:rsidRPr="002D28A6" w:rsidR="003B6A1B" w:rsidP="00A23C17" w:rsidRDefault="008B7D2C" w14:paraId="0A76FE98" w14:textId="44DF6998">
            <w:pPr>
              <w:jc w:val="center"/>
            </w:pPr>
            <w:r>
              <w:t>$710.00</w:t>
            </w:r>
          </w:p>
        </w:tc>
      </w:tr>
      <w:tr w:rsidRPr="002D28A6" w:rsidR="007E6390" w:rsidTr="008B7D2C" w14:paraId="23CC0A9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4CFDAB24" w14:textId="71CBB23B">
            <w:pPr>
              <w:jc w:val="center"/>
            </w:pPr>
            <w:r w:rsidRPr="008B7D2C">
              <w:t>Matthew</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3A9B4F75" w14:textId="2E816384">
            <w:pPr>
              <w:jc w:val="center"/>
            </w:pPr>
            <w:r w:rsidRPr="008B7D2C">
              <w:t>Freedman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73440B00" w14:textId="3E8774AA">
            <w:pPr>
              <w:jc w:val="center"/>
            </w:pPr>
            <w:r w:rsidRPr="008B7D2C">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2D28A6" w:rsidR="007E6390" w:rsidP="007E6390" w:rsidRDefault="005935C6" w14:paraId="1466F47E" w14:textId="2400C635">
            <w:pPr>
              <w:jc w:val="center"/>
            </w:pPr>
            <w:r>
              <w:t>$740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28A6" w:rsidR="007E6390" w:rsidP="007E6390" w:rsidRDefault="007E6390" w14:paraId="4CBE320E" w14:textId="6A76B9DF">
            <w:pPr>
              <w:jc w:val="center"/>
            </w:pPr>
            <w:r>
              <w:t>2024</w:t>
            </w:r>
          </w:p>
        </w:tc>
        <w:tc>
          <w:tcPr>
            <w:tcW w:w="1634" w:type="dxa"/>
            <w:tcBorders>
              <w:top w:val="single" w:color="auto" w:sz="4" w:space="0"/>
              <w:left w:val="single" w:color="auto" w:sz="4" w:space="0"/>
              <w:bottom w:val="single" w:color="auto" w:sz="4" w:space="0"/>
              <w:right w:val="single" w:color="auto" w:sz="4" w:space="0"/>
            </w:tcBorders>
          </w:tcPr>
          <w:p w:rsidRPr="002D28A6" w:rsidR="007E6390" w:rsidP="007E6390" w:rsidRDefault="008B7D2C" w14:paraId="37932A57" w14:textId="25AEA692">
            <w:pPr>
              <w:jc w:val="center"/>
            </w:pPr>
            <w:r>
              <w:t>$740.00</w:t>
            </w:r>
          </w:p>
        </w:tc>
      </w:tr>
      <w:tr w:rsidRPr="002D28A6" w:rsidR="007E6390" w:rsidTr="008B7D2C" w14:paraId="4C519B4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65C04662" w14:textId="70B42CA6">
            <w:pPr>
              <w:jc w:val="center"/>
            </w:pPr>
            <w:r w:rsidRPr="008B7D2C">
              <w:t>Hayley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1C590887" w14:textId="4E9C2FAE">
            <w:pPr>
              <w:jc w:val="center"/>
            </w:pPr>
            <w:r w:rsidRPr="008B7D2C">
              <w:t>Goodson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1EA8DE3D" w14:textId="6D936948">
            <w:pPr>
              <w:jc w:val="center"/>
            </w:pPr>
            <w:r w:rsidRPr="008B7D2C">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2D28A6" w:rsidR="007E6390" w:rsidP="007E6390" w:rsidRDefault="00E71145" w14:paraId="4F6290AB" w14:textId="10346083">
            <w:pPr>
              <w:jc w:val="center"/>
            </w:pPr>
            <w:r>
              <w:t>$625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28A6" w:rsidR="007E6390" w:rsidP="007E6390" w:rsidRDefault="007E6390" w14:paraId="1354C70A" w14:textId="75B11C96">
            <w:pPr>
              <w:jc w:val="center"/>
            </w:pPr>
            <w:r>
              <w:t>2023</w:t>
            </w:r>
          </w:p>
        </w:tc>
        <w:tc>
          <w:tcPr>
            <w:tcW w:w="1634" w:type="dxa"/>
            <w:tcBorders>
              <w:top w:val="single" w:color="auto" w:sz="4" w:space="0"/>
              <w:left w:val="single" w:color="auto" w:sz="4" w:space="0"/>
              <w:bottom w:val="single" w:color="auto" w:sz="4" w:space="0"/>
              <w:right w:val="single" w:color="auto" w:sz="4" w:space="0"/>
            </w:tcBorders>
          </w:tcPr>
          <w:p w:rsidRPr="002D28A6" w:rsidR="007E6390" w:rsidP="007E6390" w:rsidRDefault="00F12175" w14:paraId="36649915" w14:textId="70A2317E">
            <w:pPr>
              <w:jc w:val="center"/>
            </w:pPr>
            <w:r>
              <w:t>$625.00</w:t>
            </w:r>
          </w:p>
        </w:tc>
      </w:tr>
      <w:tr w:rsidRPr="002D28A6" w:rsidR="007E6390" w:rsidTr="008B7D2C" w14:paraId="6C04DB40"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71BF257F" w14:textId="56355023">
            <w:pPr>
              <w:jc w:val="center"/>
            </w:pPr>
            <w:r w:rsidRPr="008B7D2C">
              <w:t>Hayley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4D0E5B24" w14:textId="565024BB">
            <w:pPr>
              <w:jc w:val="center"/>
            </w:pPr>
            <w:r w:rsidRPr="008B7D2C">
              <w:t>Goodson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3ACB6465" w14:textId="4B3AF2F4">
            <w:pPr>
              <w:jc w:val="center"/>
            </w:pPr>
            <w:r w:rsidRPr="008B7D2C">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2D28A6" w:rsidR="007E6390" w:rsidP="007E6390" w:rsidRDefault="00E71145" w14:paraId="27D75B3F" w14:textId="53D23BF9">
            <w:pPr>
              <w:jc w:val="center"/>
            </w:pPr>
            <w:r>
              <w:t>$680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28A6" w:rsidR="007E6390" w:rsidP="007E6390" w:rsidRDefault="007E6390" w14:paraId="0BD45097" w14:textId="26A29158">
            <w:pPr>
              <w:jc w:val="center"/>
            </w:pPr>
            <w:r>
              <w:t>2024</w:t>
            </w:r>
          </w:p>
        </w:tc>
        <w:tc>
          <w:tcPr>
            <w:tcW w:w="1634" w:type="dxa"/>
            <w:tcBorders>
              <w:top w:val="single" w:color="auto" w:sz="4" w:space="0"/>
              <w:left w:val="single" w:color="auto" w:sz="4" w:space="0"/>
              <w:bottom w:val="single" w:color="auto" w:sz="4" w:space="0"/>
              <w:right w:val="single" w:color="auto" w:sz="4" w:space="0"/>
            </w:tcBorders>
          </w:tcPr>
          <w:p w:rsidRPr="002D28A6" w:rsidR="007E6390" w:rsidP="007E6390" w:rsidRDefault="008B7D2C" w14:paraId="6B245605" w14:textId="1C431138">
            <w:pPr>
              <w:jc w:val="center"/>
            </w:pPr>
            <w:r>
              <w:t>$680.00</w:t>
            </w:r>
          </w:p>
        </w:tc>
      </w:tr>
      <w:tr w:rsidRPr="002D28A6" w:rsidR="007E6390" w:rsidTr="008B7D2C" w14:paraId="474E258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115C1393" w14:textId="0A591678">
            <w:pPr>
              <w:jc w:val="center"/>
            </w:pPr>
            <w:r w:rsidRPr="008B7D2C">
              <w:t>Elise</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1467A27B" w14:textId="778ADA09">
            <w:pPr>
              <w:jc w:val="center"/>
            </w:pPr>
            <w:r w:rsidRPr="008B7D2C">
              <w:t>Torres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66D10560" w14:textId="2F8767F6">
            <w:pPr>
              <w:jc w:val="center"/>
            </w:pPr>
            <w:r w:rsidRPr="008B7D2C">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2D28A6" w:rsidR="007E6390" w:rsidP="007E6390" w:rsidRDefault="007E6390" w14:paraId="7BC812A8" w14:textId="5C6EBC4F">
            <w:pPr>
              <w:jc w:val="center"/>
            </w:pPr>
            <w:r>
              <w:t>$510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28A6" w:rsidR="007E6390" w:rsidP="007E6390" w:rsidRDefault="007E6390" w14:paraId="4580AE9E" w14:textId="3090C6F9">
            <w:pPr>
              <w:jc w:val="center"/>
            </w:pPr>
            <w:r>
              <w:t>2023</w:t>
            </w:r>
          </w:p>
        </w:tc>
        <w:tc>
          <w:tcPr>
            <w:tcW w:w="1634" w:type="dxa"/>
            <w:tcBorders>
              <w:top w:val="single" w:color="auto" w:sz="4" w:space="0"/>
              <w:left w:val="single" w:color="auto" w:sz="4" w:space="0"/>
              <w:bottom w:val="single" w:color="auto" w:sz="4" w:space="0"/>
              <w:right w:val="single" w:color="auto" w:sz="4" w:space="0"/>
            </w:tcBorders>
          </w:tcPr>
          <w:p w:rsidRPr="002D28A6" w:rsidR="007E6390" w:rsidP="007E6390" w:rsidRDefault="008B7D2C" w14:paraId="74B7B957" w14:textId="662FEBA6">
            <w:pPr>
              <w:jc w:val="center"/>
            </w:pPr>
            <w:r>
              <w:t>$510.00</w:t>
            </w:r>
          </w:p>
        </w:tc>
      </w:tr>
      <w:tr w:rsidRPr="002D28A6" w:rsidR="007E6390" w:rsidTr="008B7D2C" w14:paraId="0DC4129D"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1C03A89B" w14:textId="3B2BF3FA">
            <w:pPr>
              <w:jc w:val="center"/>
            </w:pPr>
            <w:r w:rsidRPr="008B7D2C">
              <w:t>Elise</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53680AFD" w14:textId="203BA154">
            <w:pPr>
              <w:jc w:val="center"/>
            </w:pPr>
            <w:r w:rsidRPr="008B7D2C">
              <w:t>Torres</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8B7D2C" w:rsidR="007E6390" w:rsidP="007E6390" w:rsidRDefault="007E6390" w14:paraId="597A6D17" w14:textId="78AC22BA">
            <w:pPr>
              <w:jc w:val="center"/>
            </w:pPr>
            <w:r w:rsidRPr="008B7D2C">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2D28A6" w:rsidR="007E6390" w:rsidP="007E6390" w:rsidRDefault="007E6390" w14:paraId="48B7FBBF" w14:textId="4C9B4B67">
            <w:pPr>
              <w:jc w:val="center"/>
            </w:pPr>
            <w:r>
              <w:t>$555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2D28A6" w:rsidR="007E6390" w:rsidP="007E6390" w:rsidRDefault="007E6390" w14:paraId="5541B9E8" w14:textId="3D2E117A">
            <w:pPr>
              <w:jc w:val="center"/>
            </w:pPr>
            <w:r>
              <w:t>2024</w:t>
            </w:r>
          </w:p>
        </w:tc>
        <w:tc>
          <w:tcPr>
            <w:tcW w:w="1634" w:type="dxa"/>
            <w:tcBorders>
              <w:top w:val="single" w:color="auto" w:sz="4" w:space="0"/>
              <w:left w:val="single" w:color="auto" w:sz="4" w:space="0"/>
              <w:bottom w:val="single" w:color="auto" w:sz="4" w:space="0"/>
              <w:right w:val="single" w:color="auto" w:sz="4" w:space="0"/>
            </w:tcBorders>
          </w:tcPr>
          <w:p w:rsidRPr="002D28A6" w:rsidR="007E6390" w:rsidP="007E6390" w:rsidRDefault="008B7D2C" w14:paraId="5585EC38" w14:textId="4D598926">
            <w:pPr>
              <w:jc w:val="center"/>
            </w:pPr>
            <w:r>
              <w:t>$555.00</w:t>
            </w:r>
          </w:p>
        </w:tc>
      </w:tr>
    </w:tbl>
    <w:p w:rsidRPr="002D28A6" w:rsidR="0022302F" w:rsidP="00FE3BAE" w:rsidRDefault="0022302F" w14:paraId="330D3693" w14:textId="77777777">
      <w:pPr>
        <w:spacing w:line="360" w:lineRule="auto"/>
        <w:rPr>
          <w:b/>
        </w:rPr>
      </w:pPr>
    </w:p>
    <w:p w:rsidRPr="002D28A6" w:rsidR="0022302F" w:rsidP="00FE3BAE" w:rsidRDefault="0022302F" w14:paraId="1CF37A00" w14:textId="77777777">
      <w:pPr>
        <w:spacing w:line="360" w:lineRule="auto"/>
        <w:rPr>
          <w:b/>
        </w:rPr>
      </w:pPr>
    </w:p>
    <w:p w:rsidRPr="002D28A6" w:rsidR="0022302F" w:rsidP="00FE3BAE" w:rsidRDefault="0022302F" w14:paraId="439C0840" w14:textId="77777777">
      <w:pPr>
        <w:spacing w:line="360" w:lineRule="auto"/>
        <w:rPr>
          <w:b/>
        </w:rPr>
      </w:pPr>
    </w:p>
    <w:p w:rsidRPr="002D28A6" w:rsidR="00FE3BAE" w:rsidP="00FE3BAE" w:rsidRDefault="00FE3BAE" w14:paraId="53F54635" w14:textId="77777777">
      <w:pPr>
        <w:jc w:val="center"/>
      </w:pPr>
      <w:r w:rsidRPr="002D28A6">
        <w:rPr>
          <w:b/>
        </w:rPr>
        <w:t>(END OF APPENDIX)</w:t>
      </w:r>
    </w:p>
    <w:sectPr w:rsidRPr="002D28A6" w:rsidR="00FE3BAE" w:rsidSect="006B7228">
      <w:footerReference w:type="default" r:id="rId14"/>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91D07" w14:textId="77777777" w:rsidR="00FF6FF6" w:rsidRDefault="00FF6FF6" w:rsidP="00885956">
      <w:r>
        <w:separator/>
      </w:r>
    </w:p>
  </w:endnote>
  <w:endnote w:type="continuationSeparator" w:id="0">
    <w:p w14:paraId="3BCCB33E" w14:textId="77777777" w:rsidR="00FF6FF6" w:rsidRDefault="00FF6FF6"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D6579" w14:textId="77777777" w:rsidR="007D7D55" w:rsidRDefault="007D7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570652"/>
      <w:docPartObj>
        <w:docPartGallery w:val="Page Numbers (Bottom of Page)"/>
        <w:docPartUnique/>
      </w:docPartObj>
    </w:sdtPr>
    <w:sdtEndPr>
      <w:rPr>
        <w:noProof/>
      </w:rPr>
    </w:sdtEndPr>
    <w:sdtContent>
      <w:p w14:paraId="28A020F4" w14:textId="3FB6E185" w:rsidR="003B6A1B" w:rsidRDefault="003B6A1B" w:rsidP="00880855">
        <w:pPr>
          <w:pStyle w:val="Footer"/>
          <w:jc w:val="center"/>
        </w:pPr>
        <w:r>
          <w:fldChar w:fldCharType="begin"/>
        </w:r>
        <w:r>
          <w:instrText xml:space="preserve"> PAGE   \* MERGEFORMAT </w:instrText>
        </w:r>
        <w:r>
          <w:fldChar w:fldCharType="separate"/>
        </w:r>
        <w:r w:rsidR="0055228B">
          <w:rPr>
            <w:noProof/>
          </w:rPr>
          <w:t>- 1 -</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4C2D" w14:textId="0E310347" w:rsidR="00CF1129" w:rsidRDefault="007D7D55" w:rsidP="0028270E">
    <w:pPr>
      <w:pStyle w:val="Footer"/>
    </w:pPr>
    <w:r w:rsidRPr="007D7D55">
      <w:rPr>
        <w:sz w:val="16"/>
        <w:szCs w:val="16"/>
      </w:rPr>
      <w:t>559372177</w:t>
    </w:r>
    <w:r w:rsidR="0028270E">
      <w:tab/>
    </w:r>
    <w:sdt>
      <w:sdtPr>
        <w:id w:val="66549329"/>
        <w:docPartObj>
          <w:docPartGallery w:val="Page Numbers (Bottom of Page)"/>
          <w:docPartUnique/>
        </w:docPartObj>
      </w:sdtPr>
      <w:sdtEndPr>
        <w:rPr>
          <w:noProof/>
        </w:rPr>
      </w:sdtEndPr>
      <w:sdtContent>
        <w:r w:rsidR="00CF1129">
          <w:fldChar w:fldCharType="begin"/>
        </w:r>
        <w:r w:rsidR="00CF1129">
          <w:instrText xml:space="preserve"> PAGE   \* MERGEFORMAT </w:instrText>
        </w:r>
        <w:r w:rsidR="00CF1129">
          <w:fldChar w:fldCharType="separate"/>
        </w:r>
        <w:r w:rsidR="002A6C07">
          <w:rPr>
            <w:noProof/>
          </w:rPr>
          <w:t>- 1 -</w:t>
        </w:r>
        <w:r w:rsidR="00CF1129">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DD96" w14:textId="7A4B1371" w:rsidR="00435C30" w:rsidRDefault="00435C30" w:rsidP="008808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F6D83" w14:textId="77777777" w:rsidR="00FF6FF6" w:rsidRDefault="00FF6FF6" w:rsidP="00885956">
      <w:r>
        <w:separator/>
      </w:r>
    </w:p>
  </w:footnote>
  <w:footnote w:type="continuationSeparator" w:id="0">
    <w:p w14:paraId="5C963342" w14:textId="77777777" w:rsidR="00FF6FF6" w:rsidRDefault="00FF6FF6" w:rsidP="00885956">
      <w:r>
        <w:continuationSeparator/>
      </w:r>
    </w:p>
  </w:footnote>
  <w:footnote w:id="1">
    <w:p w14:paraId="7CAF0DDD" w14:textId="77777777" w:rsidR="003B6A1B" w:rsidRDefault="003B6A1B">
      <w:pPr>
        <w:pStyle w:val="FootnoteText"/>
      </w:pPr>
      <w:r>
        <w:rPr>
          <w:rStyle w:val="FootnoteReference"/>
        </w:rPr>
        <w:footnoteRef/>
      </w:r>
      <w:r>
        <w:t xml:space="preserve"> All statutory references are to California Public Utilities Code unless indicated otherwise.</w:t>
      </w:r>
    </w:p>
  </w:footnote>
  <w:footnote w:id="2">
    <w:p w14:paraId="2A44723A" w14:textId="39A00E3D" w:rsidR="003B6A1B" w:rsidRPr="00DE3A5D" w:rsidRDefault="003B6A1B" w:rsidP="00A86489">
      <w:pPr>
        <w:pStyle w:val="FootnoteText"/>
      </w:pPr>
      <w:r w:rsidRPr="00DE3A5D">
        <w:rPr>
          <w:rStyle w:val="FootnoteReference"/>
          <w:sz w:val="20"/>
        </w:rPr>
        <w:footnoteRef/>
      </w:r>
      <w:r w:rsidRPr="00DE3A5D">
        <w:t xml:space="preserve"> This information may be </w:t>
      </w:r>
      <w:r w:rsidRPr="00DE3A5D">
        <w:rPr>
          <w:color w:val="000000"/>
        </w:rPr>
        <w:t>obtain</w:t>
      </w:r>
      <w:r>
        <w:rPr>
          <w:color w:val="000000"/>
        </w:rPr>
        <w:t xml:space="preserve">ed through the State Bar of California’s website at </w:t>
      </w:r>
      <w:hyperlink r:id="rId1" w:history="1">
        <w:r w:rsidRPr="00A86489">
          <w:rPr>
            <w:rStyle w:val="Hyperlink"/>
            <w:szCs w:val="22"/>
          </w:rPr>
          <w:t>http://members.calbar.ca.gov/fal/MemberSearch/QuickSearch</w:t>
        </w:r>
      </w:hyperlink>
      <w:r>
        <w:rPr>
          <w:color w:val="000000"/>
        </w:rPr>
        <w:t>.</w:t>
      </w:r>
    </w:p>
  </w:footnote>
  <w:footnote w:id="3">
    <w:p w14:paraId="546FB731" w14:textId="14F94348" w:rsidR="00190B9E" w:rsidRDefault="00190B9E">
      <w:pPr>
        <w:pStyle w:val="FootnoteText"/>
      </w:pPr>
      <w:r>
        <w:rPr>
          <w:rStyle w:val="FootnoteReference"/>
        </w:rPr>
        <w:footnoteRef/>
      </w:r>
      <w:r>
        <w:t xml:space="preserve"> A</w:t>
      </w:r>
      <w:r w:rsidRPr="00190B9E">
        <w:t>ttachments not attached to final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9394" w14:textId="77777777" w:rsidR="007D7D55" w:rsidRDefault="007D7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0333D" w14:textId="7322826E" w:rsidR="006E2590" w:rsidRPr="006E2590" w:rsidRDefault="006E2590">
    <w:pPr>
      <w:pStyle w:val="Header"/>
      <w:rPr>
        <w:b/>
        <w:bCs/>
      </w:rPr>
    </w:pPr>
    <w:r>
      <w:t>A.21-06-021 ALJ/JR7/JOR/hma</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F7E6" w14:textId="77777777" w:rsidR="007D7D55" w:rsidRDefault="007D7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C3658"/>
    <w:multiLevelType w:val="hybridMultilevel"/>
    <w:tmpl w:val="17660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0463F"/>
    <w:multiLevelType w:val="hybridMultilevel"/>
    <w:tmpl w:val="EC7CF442"/>
    <w:lvl w:ilvl="0" w:tplc="4F8E5DF2">
      <w:start w:val="1"/>
      <w:numFmt w:val="bullet"/>
      <w:pStyle w:val="ListParagraph"/>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740918"/>
    <w:multiLevelType w:val="hybridMultilevel"/>
    <w:tmpl w:val="F4CCE08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F3563B"/>
    <w:multiLevelType w:val="hybridMultilevel"/>
    <w:tmpl w:val="E3BE85E2"/>
    <w:lvl w:ilvl="0" w:tplc="96C45BA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6431786">
    <w:abstractNumId w:val="11"/>
  </w:num>
  <w:num w:numId="2" w16cid:durableId="296566636">
    <w:abstractNumId w:val="0"/>
  </w:num>
  <w:num w:numId="3" w16cid:durableId="2098595014">
    <w:abstractNumId w:val="13"/>
  </w:num>
  <w:num w:numId="4" w16cid:durableId="1312905431">
    <w:abstractNumId w:val="8"/>
  </w:num>
  <w:num w:numId="5" w16cid:durableId="417093550">
    <w:abstractNumId w:val="6"/>
  </w:num>
  <w:num w:numId="6" w16cid:durableId="1486429129">
    <w:abstractNumId w:val="10"/>
  </w:num>
  <w:num w:numId="7" w16cid:durableId="258221757">
    <w:abstractNumId w:val="7"/>
  </w:num>
  <w:num w:numId="8" w16cid:durableId="842936081">
    <w:abstractNumId w:val="9"/>
  </w:num>
  <w:num w:numId="9" w16cid:durableId="1685205339">
    <w:abstractNumId w:val="1"/>
  </w:num>
  <w:num w:numId="10" w16cid:durableId="789317941">
    <w:abstractNumId w:val="4"/>
  </w:num>
  <w:num w:numId="11" w16cid:durableId="1326783157">
    <w:abstractNumId w:val="12"/>
  </w:num>
  <w:num w:numId="12" w16cid:durableId="745147382">
    <w:abstractNumId w:val="2"/>
  </w:num>
  <w:num w:numId="13" w16cid:durableId="341401043">
    <w:abstractNumId w:val="3"/>
  </w:num>
  <w:num w:numId="14" w16cid:durableId="876240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198B"/>
    <w:rsid w:val="00003A49"/>
    <w:rsid w:val="0000592D"/>
    <w:rsid w:val="00011D4F"/>
    <w:rsid w:val="00012013"/>
    <w:rsid w:val="00013BA9"/>
    <w:rsid w:val="00017944"/>
    <w:rsid w:val="00022F4B"/>
    <w:rsid w:val="00023FFF"/>
    <w:rsid w:val="0002525B"/>
    <w:rsid w:val="00026A15"/>
    <w:rsid w:val="0003410B"/>
    <w:rsid w:val="00034492"/>
    <w:rsid w:val="00036F54"/>
    <w:rsid w:val="00044BCB"/>
    <w:rsid w:val="00045A2F"/>
    <w:rsid w:val="00053F01"/>
    <w:rsid w:val="0005538D"/>
    <w:rsid w:val="00055843"/>
    <w:rsid w:val="00061149"/>
    <w:rsid w:val="000620C0"/>
    <w:rsid w:val="000624FA"/>
    <w:rsid w:val="00072C81"/>
    <w:rsid w:val="00073262"/>
    <w:rsid w:val="000742C8"/>
    <w:rsid w:val="00074332"/>
    <w:rsid w:val="0007623C"/>
    <w:rsid w:val="00093AD2"/>
    <w:rsid w:val="000971C0"/>
    <w:rsid w:val="000A3134"/>
    <w:rsid w:val="000A54C5"/>
    <w:rsid w:val="000B0593"/>
    <w:rsid w:val="000C4028"/>
    <w:rsid w:val="000D1A59"/>
    <w:rsid w:val="000D2818"/>
    <w:rsid w:val="000D6CA0"/>
    <w:rsid w:val="000D6DF8"/>
    <w:rsid w:val="000D7D1C"/>
    <w:rsid w:val="000E41D9"/>
    <w:rsid w:val="000E532D"/>
    <w:rsid w:val="000E632F"/>
    <w:rsid w:val="000E6ABD"/>
    <w:rsid w:val="000E7758"/>
    <w:rsid w:val="000F13FD"/>
    <w:rsid w:val="000F595C"/>
    <w:rsid w:val="000F6966"/>
    <w:rsid w:val="000F7670"/>
    <w:rsid w:val="000F77FB"/>
    <w:rsid w:val="000F7BCD"/>
    <w:rsid w:val="0010480F"/>
    <w:rsid w:val="001075B2"/>
    <w:rsid w:val="00110D89"/>
    <w:rsid w:val="00111F12"/>
    <w:rsid w:val="001160AA"/>
    <w:rsid w:val="00120168"/>
    <w:rsid w:val="0012159D"/>
    <w:rsid w:val="00123103"/>
    <w:rsid w:val="00124508"/>
    <w:rsid w:val="0012482B"/>
    <w:rsid w:val="00125492"/>
    <w:rsid w:val="00125A09"/>
    <w:rsid w:val="00131209"/>
    <w:rsid w:val="001346EB"/>
    <w:rsid w:val="00135B5B"/>
    <w:rsid w:val="0013720A"/>
    <w:rsid w:val="00141A4E"/>
    <w:rsid w:val="001467E6"/>
    <w:rsid w:val="00151AA8"/>
    <w:rsid w:val="00152F94"/>
    <w:rsid w:val="00160B16"/>
    <w:rsid w:val="00171424"/>
    <w:rsid w:val="00171EBF"/>
    <w:rsid w:val="001727C1"/>
    <w:rsid w:val="001737D5"/>
    <w:rsid w:val="00174A06"/>
    <w:rsid w:val="00175865"/>
    <w:rsid w:val="00175A22"/>
    <w:rsid w:val="0017737D"/>
    <w:rsid w:val="00180E8C"/>
    <w:rsid w:val="00182DE5"/>
    <w:rsid w:val="001858A7"/>
    <w:rsid w:val="00190734"/>
    <w:rsid w:val="00190B9E"/>
    <w:rsid w:val="00191B27"/>
    <w:rsid w:val="00194877"/>
    <w:rsid w:val="001962EB"/>
    <w:rsid w:val="001A2D13"/>
    <w:rsid w:val="001A3CF3"/>
    <w:rsid w:val="001A3FB2"/>
    <w:rsid w:val="001B4565"/>
    <w:rsid w:val="001B713F"/>
    <w:rsid w:val="001C0DD1"/>
    <w:rsid w:val="001C21AE"/>
    <w:rsid w:val="001C2447"/>
    <w:rsid w:val="001C59BF"/>
    <w:rsid w:val="001D3ED2"/>
    <w:rsid w:val="001D5DAB"/>
    <w:rsid w:val="001E330C"/>
    <w:rsid w:val="001E76B4"/>
    <w:rsid w:val="001E77CF"/>
    <w:rsid w:val="001E7EE2"/>
    <w:rsid w:val="001F238E"/>
    <w:rsid w:val="001F3EEB"/>
    <w:rsid w:val="00200422"/>
    <w:rsid w:val="00204E3A"/>
    <w:rsid w:val="00205188"/>
    <w:rsid w:val="0021270B"/>
    <w:rsid w:val="002129E0"/>
    <w:rsid w:val="00212E10"/>
    <w:rsid w:val="00213730"/>
    <w:rsid w:val="00214B22"/>
    <w:rsid w:val="00216C9F"/>
    <w:rsid w:val="00217224"/>
    <w:rsid w:val="00217E6C"/>
    <w:rsid w:val="00221965"/>
    <w:rsid w:val="002220E1"/>
    <w:rsid w:val="0022287B"/>
    <w:rsid w:val="0022302F"/>
    <w:rsid w:val="002238A6"/>
    <w:rsid w:val="00230392"/>
    <w:rsid w:val="002323AB"/>
    <w:rsid w:val="00235738"/>
    <w:rsid w:val="00237503"/>
    <w:rsid w:val="00237930"/>
    <w:rsid w:val="002402FF"/>
    <w:rsid w:val="002415DC"/>
    <w:rsid w:val="00242AA8"/>
    <w:rsid w:val="00244A54"/>
    <w:rsid w:val="002466F8"/>
    <w:rsid w:val="00246CB7"/>
    <w:rsid w:val="00256F00"/>
    <w:rsid w:val="00260518"/>
    <w:rsid w:val="002632A9"/>
    <w:rsid w:val="00264333"/>
    <w:rsid w:val="00270E2E"/>
    <w:rsid w:val="00272C74"/>
    <w:rsid w:val="00273208"/>
    <w:rsid w:val="00273BFB"/>
    <w:rsid w:val="002765CC"/>
    <w:rsid w:val="0028014E"/>
    <w:rsid w:val="002816D0"/>
    <w:rsid w:val="002820DF"/>
    <w:rsid w:val="0028270E"/>
    <w:rsid w:val="00283F34"/>
    <w:rsid w:val="00286E78"/>
    <w:rsid w:val="002A0BAA"/>
    <w:rsid w:val="002A4AC7"/>
    <w:rsid w:val="002A6C07"/>
    <w:rsid w:val="002B2ACC"/>
    <w:rsid w:val="002B3534"/>
    <w:rsid w:val="002B5F30"/>
    <w:rsid w:val="002B644C"/>
    <w:rsid w:val="002B6E52"/>
    <w:rsid w:val="002C5EB5"/>
    <w:rsid w:val="002C6876"/>
    <w:rsid w:val="002C7567"/>
    <w:rsid w:val="002D21CA"/>
    <w:rsid w:val="002D28A6"/>
    <w:rsid w:val="002D316C"/>
    <w:rsid w:val="002D53AA"/>
    <w:rsid w:val="002D5893"/>
    <w:rsid w:val="002E02DE"/>
    <w:rsid w:val="002E0C8B"/>
    <w:rsid w:val="002E2271"/>
    <w:rsid w:val="002E58AC"/>
    <w:rsid w:val="002E5CF2"/>
    <w:rsid w:val="002E5F83"/>
    <w:rsid w:val="002E77D8"/>
    <w:rsid w:val="002F03A6"/>
    <w:rsid w:val="002F2B7E"/>
    <w:rsid w:val="002F5C92"/>
    <w:rsid w:val="00300D39"/>
    <w:rsid w:val="00301014"/>
    <w:rsid w:val="00302D00"/>
    <w:rsid w:val="00303C2B"/>
    <w:rsid w:val="0032128E"/>
    <w:rsid w:val="00326B0B"/>
    <w:rsid w:val="00327139"/>
    <w:rsid w:val="0033121A"/>
    <w:rsid w:val="00340008"/>
    <w:rsid w:val="00341588"/>
    <w:rsid w:val="003501DD"/>
    <w:rsid w:val="0035161F"/>
    <w:rsid w:val="0035325E"/>
    <w:rsid w:val="00357623"/>
    <w:rsid w:val="00357F1A"/>
    <w:rsid w:val="00360AB2"/>
    <w:rsid w:val="00360CFE"/>
    <w:rsid w:val="0036619A"/>
    <w:rsid w:val="003718D1"/>
    <w:rsid w:val="00372538"/>
    <w:rsid w:val="00373852"/>
    <w:rsid w:val="00374FD1"/>
    <w:rsid w:val="00375092"/>
    <w:rsid w:val="00375555"/>
    <w:rsid w:val="00377884"/>
    <w:rsid w:val="00380703"/>
    <w:rsid w:val="00385B40"/>
    <w:rsid w:val="00386A72"/>
    <w:rsid w:val="00387866"/>
    <w:rsid w:val="003962C1"/>
    <w:rsid w:val="003A17F1"/>
    <w:rsid w:val="003A616F"/>
    <w:rsid w:val="003A7102"/>
    <w:rsid w:val="003A7190"/>
    <w:rsid w:val="003A77C8"/>
    <w:rsid w:val="003B1782"/>
    <w:rsid w:val="003B2A5F"/>
    <w:rsid w:val="003B5EAC"/>
    <w:rsid w:val="003B6A1B"/>
    <w:rsid w:val="003C183F"/>
    <w:rsid w:val="003C1E49"/>
    <w:rsid w:val="003C2EE6"/>
    <w:rsid w:val="003C57AE"/>
    <w:rsid w:val="003C608A"/>
    <w:rsid w:val="003D24CF"/>
    <w:rsid w:val="003D359B"/>
    <w:rsid w:val="003D4455"/>
    <w:rsid w:val="003E34FD"/>
    <w:rsid w:val="003E62BA"/>
    <w:rsid w:val="003F0CEC"/>
    <w:rsid w:val="003F314A"/>
    <w:rsid w:val="003F52D2"/>
    <w:rsid w:val="003F58E7"/>
    <w:rsid w:val="004052BC"/>
    <w:rsid w:val="00406906"/>
    <w:rsid w:val="00407B01"/>
    <w:rsid w:val="00407F92"/>
    <w:rsid w:val="00412FC8"/>
    <w:rsid w:val="0041308C"/>
    <w:rsid w:val="004201AC"/>
    <w:rsid w:val="00421D7E"/>
    <w:rsid w:val="00430EDC"/>
    <w:rsid w:val="004324C6"/>
    <w:rsid w:val="0043427A"/>
    <w:rsid w:val="00435C30"/>
    <w:rsid w:val="004365F0"/>
    <w:rsid w:val="004375C2"/>
    <w:rsid w:val="00437C05"/>
    <w:rsid w:val="00437FC7"/>
    <w:rsid w:val="00451831"/>
    <w:rsid w:val="004533ED"/>
    <w:rsid w:val="004534E7"/>
    <w:rsid w:val="00456E53"/>
    <w:rsid w:val="00457B6C"/>
    <w:rsid w:val="0046248A"/>
    <w:rsid w:val="00467E65"/>
    <w:rsid w:val="00471186"/>
    <w:rsid w:val="004746ED"/>
    <w:rsid w:val="004750BE"/>
    <w:rsid w:val="00480BF6"/>
    <w:rsid w:val="00483566"/>
    <w:rsid w:val="004840D2"/>
    <w:rsid w:val="004942A2"/>
    <w:rsid w:val="00495482"/>
    <w:rsid w:val="004A6FD4"/>
    <w:rsid w:val="004B0879"/>
    <w:rsid w:val="004B761F"/>
    <w:rsid w:val="004C0961"/>
    <w:rsid w:val="004C39A1"/>
    <w:rsid w:val="004C5057"/>
    <w:rsid w:val="004C6380"/>
    <w:rsid w:val="004C69FF"/>
    <w:rsid w:val="004D1D96"/>
    <w:rsid w:val="004D254F"/>
    <w:rsid w:val="004D382D"/>
    <w:rsid w:val="004D3A64"/>
    <w:rsid w:val="004D6B6D"/>
    <w:rsid w:val="004D779D"/>
    <w:rsid w:val="004E0395"/>
    <w:rsid w:val="004E25DC"/>
    <w:rsid w:val="004E3939"/>
    <w:rsid w:val="004E3D93"/>
    <w:rsid w:val="004E47A6"/>
    <w:rsid w:val="004E5D48"/>
    <w:rsid w:val="004E71F4"/>
    <w:rsid w:val="004F01D6"/>
    <w:rsid w:val="004F047C"/>
    <w:rsid w:val="004F6C17"/>
    <w:rsid w:val="005065F4"/>
    <w:rsid w:val="0051205B"/>
    <w:rsid w:val="0051523F"/>
    <w:rsid w:val="00516CE7"/>
    <w:rsid w:val="005215EF"/>
    <w:rsid w:val="00521B86"/>
    <w:rsid w:val="00522B78"/>
    <w:rsid w:val="00527FDB"/>
    <w:rsid w:val="00531156"/>
    <w:rsid w:val="0053214B"/>
    <w:rsid w:val="00533373"/>
    <w:rsid w:val="0053513F"/>
    <w:rsid w:val="005369BF"/>
    <w:rsid w:val="00536BD8"/>
    <w:rsid w:val="00547145"/>
    <w:rsid w:val="00551967"/>
    <w:rsid w:val="0055228B"/>
    <w:rsid w:val="00555DDF"/>
    <w:rsid w:val="0055669B"/>
    <w:rsid w:val="0055720D"/>
    <w:rsid w:val="00562ECC"/>
    <w:rsid w:val="00563FBE"/>
    <w:rsid w:val="005659DD"/>
    <w:rsid w:val="005676DE"/>
    <w:rsid w:val="0057088A"/>
    <w:rsid w:val="00572F59"/>
    <w:rsid w:val="00575494"/>
    <w:rsid w:val="00575791"/>
    <w:rsid w:val="00576980"/>
    <w:rsid w:val="0057763A"/>
    <w:rsid w:val="005779D1"/>
    <w:rsid w:val="005819D2"/>
    <w:rsid w:val="00581A25"/>
    <w:rsid w:val="00584ADE"/>
    <w:rsid w:val="005912FA"/>
    <w:rsid w:val="00591B62"/>
    <w:rsid w:val="0059289A"/>
    <w:rsid w:val="00592A7F"/>
    <w:rsid w:val="005935C6"/>
    <w:rsid w:val="005976D9"/>
    <w:rsid w:val="005A3018"/>
    <w:rsid w:val="005A53F1"/>
    <w:rsid w:val="005A54E4"/>
    <w:rsid w:val="005A63D4"/>
    <w:rsid w:val="005A65C2"/>
    <w:rsid w:val="005B114E"/>
    <w:rsid w:val="005B5B02"/>
    <w:rsid w:val="005B5B44"/>
    <w:rsid w:val="005C0ACA"/>
    <w:rsid w:val="005C1D2E"/>
    <w:rsid w:val="005C2186"/>
    <w:rsid w:val="005C327F"/>
    <w:rsid w:val="005C4288"/>
    <w:rsid w:val="005C521B"/>
    <w:rsid w:val="005D5273"/>
    <w:rsid w:val="005E1A09"/>
    <w:rsid w:val="005E2488"/>
    <w:rsid w:val="005E4368"/>
    <w:rsid w:val="005E44C2"/>
    <w:rsid w:val="005E4549"/>
    <w:rsid w:val="005E4E33"/>
    <w:rsid w:val="005E72C2"/>
    <w:rsid w:val="005F2410"/>
    <w:rsid w:val="005F4312"/>
    <w:rsid w:val="005F4D82"/>
    <w:rsid w:val="005F7E4D"/>
    <w:rsid w:val="00600839"/>
    <w:rsid w:val="00604753"/>
    <w:rsid w:val="00606AA1"/>
    <w:rsid w:val="00615B2D"/>
    <w:rsid w:val="006202E2"/>
    <w:rsid w:val="00621A7C"/>
    <w:rsid w:val="00631218"/>
    <w:rsid w:val="00631F22"/>
    <w:rsid w:val="006331C2"/>
    <w:rsid w:val="00637470"/>
    <w:rsid w:val="00642BB9"/>
    <w:rsid w:val="00643961"/>
    <w:rsid w:val="00647594"/>
    <w:rsid w:val="0065087E"/>
    <w:rsid w:val="006523B7"/>
    <w:rsid w:val="00652DEA"/>
    <w:rsid w:val="00655371"/>
    <w:rsid w:val="006605D2"/>
    <w:rsid w:val="00660D7E"/>
    <w:rsid w:val="006637D2"/>
    <w:rsid w:val="00665550"/>
    <w:rsid w:val="0066778F"/>
    <w:rsid w:val="00672F36"/>
    <w:rsid w:val="00673595"/>
    <w:rsid w:val="00673EB1"/>
    <w:rsid w:val="00673FD2"/>
    <w:rsid w:val="00681941"/>
    <w:rsid w:val="00687B08"/>
    <w:rsid w:val="00691528"/>
    <w:rsid w:val="00692738"/>
    <w:rsid w:val="00697BF4"/>
    <w:rsid w:val="006A2BF4"/>
    <w:rsid w:val="006A7272"/>
    <w:rsid w:val="006B0BC7"/>
    <w:rsid w:val="006B2523"/>
    <w:rsid w:val="006B2EB7"/>
    <w:rsid w:val="006B66BB"/>
    <w:rsid w:val="006B6857"/>
    <w:rsid w:val="006B7228"/>
    <w:rsid w:val="006B7375"/>
    <w:rsid w:val="006C0426"/>
    <w:rsid w:val="006C48F7"/>
    <w:rsid w:val="006C4F57"/>
    <w:rsid w:val="006D1BE0"/>
    <w:rsid w:val="006D2AF0"/>
    <w:rsid w:val="006D3A96"/>
    <w:rsid w:val="006D4B0E"/>
    <w:rsid w:val="006D67C9"/>
    <w:rsid w:val="006D7147"/>
    <w:rsid w:val="006E2590"/>
    <w:rsid w:val="006E726F"/>
    <w:rsid w:val="006F036B"/>
    <w:rsid w:val="006F4D5A"/>
    <w:rsid w:val="006F64EA"/>
    <w:rsid w:val="006F7D57"/>
    <w:rsid w:val="00702810"/>
    <w:rsid w:val="00703D5A"/>
    <w:rsid w:val="007056FC"/>
    <w:rsid w:val="00710801"/>
    <w:rsid w:val="007128A5"/>
    <w:rsid w:val="00720205"/>
    <w:rsid w:val="0072741D"/>
    <w:rsid w:val="0073041E"/>
    <w:rsid w:val="00731C1F"/>
    <w:rsid w:val="00741090"/>
    <w:rsid w:val="00744AC6"/>
    <w:rsid w:val="00744B72"/>
    <w:rsid w:val="0074539D"/>
    <w:rsid w:val="0074620B"/>
    <w:rsid w:val="00746DEF"/>
    <w:rsid w:val="00757B44"/>
    <w:rsid w:val="00760F34"/>
    <w:rsid w:val="0076143A"/>
    <w:rsid w:val="00763797"/>
    <w:rsid w:val="00763E10"/>
    <w:rsid w:val="0076448A"/>
    <w:rsid w:val="00765964"/>
    <w:rsid w:val="00767518"/>
    <w:rsid w:val="0078039F"/>
    <w:rsid w:val="00780C7B"/>
    <w:rsid w:val="0078377C"/>
    <w:rsid w:val="0078575C"/>
    <w:rsid w:val="00786CAD"/>
    <w:rsid w:val="00786D44"/>
    <w:rsid w:val="007947E5"/>
    <w:rsid w:val="00794B1D"/>
    <w:rsid w:val="00797BA1"/>
    <w:rsid w:val="007A3FCC"/>
    <w:rsid w:val="007A54C3"/>
    <w:rsid w:val="007B0724"/>
    <w:rsid w:val="007B3ECD"/>
    <w:rsid w:val="007B3FCB"/>
    <w:rsid w:val="007B7156"/>
    <w:rsid w:val="007C1B69"/>
    <w:rsid w:val="007C350D"/>
    <w:rsid w:val="007C48C8"/>
    <w:rsid w:val="007D1A21"/>
    <w:rsid w:val="007D54B3"/>
    <w:rsid w:val="007D6D26"/>
    <w:rsid w:val="007D7D55"/>
    <w:rsid w:val="007E344F"/>
    <w:rsid w:val="007E417D"/>
    <w:rsid w:val="007E6390"/>
    <w:rsid w:val="007E71C3"/>
    <w:rsid w:val="007F620E"/>
    <w:rsid w:val="007F6CF5"/>
    <w:rsid w:val="00802101"/>
    <w:rsid w:val="00802701"/>
    <w:rsid w:val="00811DB1"/>
    <w:rsid w:val="00815F1F"/>
    <w:rsid w:val="0081626F"/>
    <w:rsid w:val="00820F68"/>
    <w:rsid w:val="00831652"/>
    <w:rsid w:val="0083350A"/>
    <w:rsid w:val="0083442F"/>
    <w:rsid w:val="008346C8"/>
    <w:rsid w:val="00835877"/>
    <w:rsid w:val="00840EB8"/>
    <w:rsid w:val="0084135B"/>
    <w:rsid w:val="00845367"/>
    <w:rsid w:val="00850EF3"/>
    <w:rsid w:val="00852320"/>
    <w:rsid w:val="00852C8D"/>
    <w:rsid w:val="00853B82"/>
    <w:rsid w:val="00855FD7"/>
    <w:rsid w:val="00860478"/>
    <w:rsid w:val="00861A91"/>
    <w:rsid w:val="00875E39"/>
    <w:rsid w:val="00880077"/>
    <w:rsid w:val="00880855"/>
    <w:rsid w:val="008844B6"/>
    <w:rsid w:val="00884888"/>
    <w:rsid w:val="00885956"/>
    <w:rsid w:val="00885F3E"/>
    <w:rsid w:val="00886869"/>
    <w:rsid w:val="008949D1"/>
    <w:rsid w:val="008A01BC"/>
    <w:rsid w:val="008A0CE1"/>
    <w:rsid w:val="008A52C3"/>
    <w:rsid w:val="008A6445"/>
    <w:rsid w:val="008B0BBF"/>
    <w:rsid w:val="008B1A10"/>
    <w:rsid w:val="008B2D96"/>
    <w:rsid w:val="008B319F"/>
    <w:rsid w:val="008B3FD0"/>
    <w:rsid w:val="008B639B"/>
    <w:rsid w:val="008B67E2"/>
    <w:rsid w:val="008B7D2C"/>
    <w:rsid w:val="008C05FA"/>
    <w:rsid w:val="008C09F7"/>
    <w:rsid w:val="008C2208"/>
    <w:rsid w:val="008C2317"/>
    <w:rsid w:val="008C383E"/>
    <w:rsid w:val="008C4124"/>
    <w:rsid w:val="008D2C3E"/>
    <w:rsid w:val="008D3CC0"/>
    <w:rsid w:val="008D5988"/>
    <w:rsid w:val="008D6A3F"/>
    <w:rsid w:val="008E02EC"/>
    <w:rsid w:val="008E182E"/>
    <w:rsid w:val="008E3340"/>
    <w:rsid w:val="008E3450"/>
    <w:rsid w:val="008E4336"/>
    <w:rsid w:val="008E6A6A"/>
    <w:rsid w:val="008F189E"/>
    <w:rsid w:val="008F7E87"/>
    <w:rsid w:val="00901A03"/>
    <w:rsid w:val="009025B3"/>
    <w:rsid w:val="0090530D"/>
    <w:rsid w:val="00913B4A"/>
    <w:rsid w:val="009142A3"/>
    <w:rsid w:val="00915118"/>
    <w:rsid w:val="00916C1C"/>
    <w:rsid w:val="00920EA7"/>
    <w:rsid w:val="00921A34"/>
    <w:rsid w:val="0092235B"/>
    <w:rsid w:val="00922B9D"/>
    <w:rsid w:val="0092323A"/>
    <w:rsid w:val="00925FAB"/>
    <w:rsid w:val="00926555"/>
    <w:rsid w:val="00930E1B"/>
    <w:rsid w:val="00933A57"/>
    <w:rsid w:val="0093465D"/>
    <w:rsid w:val="00943A08"/>
    <w:rsid w:val="0094615E"/>
    <w:rsid w:val="00952403"/>
    <w:rsid w:val="009533C0"/>
    <w:rsid w:val="00956DB3"/>
    <w:rsid w:val="00963EEF"/>
    <w:rsid w:val="009700D7"/>
    <w:rsid w:val="00974631"/>
    <w:rsid w:val="00976C63"/>
    <w:rsid w:val="009818BB"/>
    <w:rsid w:val="00987C56"/>
    <w:rsid w:val="009968A2"/>
    <w:rsid w:val="009A2557"/>
    <w:rsid w:val="009A5D1F"/>
    <w:rsid w:val="009A62F6"/>
    <w:rsid w:val="009A6871"/>
    <w:rsid w:val="009A6F68"/>
    <w:rsid w:val="009B13F4"/>
    <w:rsid w:val="009B1C7F"/>
    <w:rsid w:val="009B57FF"/>
    <w:rsid w:val="009B7098"/>
    <w:rsid w:val="009C3637"/>
    <w:rsid w:val="009C37D6"/>
    <w:rsid w:val="009C6463"/>
    <w:rsid w:val="009C6D2E"/>
    <w:rsid w:val="009D1B58"/>
    <w:rsid w:val="009D2C39"/>
    <w:rsid w:val="009D2E70"/>
    <w:rsid w:val="009D6E8F"/>
    <w:rsid w:val="009E3345"/>
    <w:rsid w:val="009E48E4"/>
    <w:rsid w:val="009E7E4C"/>
    <w:rsid w:val="00A02719"/>
    <w:rsid w:val="00A07A96"/>
    <w:rsid w:val="00A21D21"/>
    <w:rsid w:val="00A21F5C"/>
    <w:rsid w:val="00A23930"/>
    <w:rsid w:val="00A24E91"/>
    <w:rsid w:val="00A319DE"/>
    <w:rsid w:val="00A451F5"/>
    <w:rsid w:val="00A46757"/>
    <w:rsid w:val="00A51E5D"/>
    <w:rsid w:val="00A520E1"/>
    <w:rsid w:val="00A52D4D"/>
    <w:rsid w:val="00A532EF"/>
    <w:rsid w:val="00A60203"/>
    <w:rsid w:val="00A62439"/>
    <w:rsid w:val="00A67DB1"/>
    <w:rsid w:val="00A67E89"/>
    <w:rsid w:val="00A70CFC"/>
    <w:rsid w:val="00A71AE7"/>
    <w:rsid w:val="00A737E5"/>
    <w:rsid w:val="00A75D2D"/>
    <w:rsid w:val="00A80D8B"/>
    <w:rsid w:val="00A835BA"/>
    <w:rsid w:val="00A83E2E"/>
    <w:rsid w:val="00A860BA"/>
    <w:rsid w:val="00A86489"/>
    <w:rsid w:val="00A86988"/>
    <w:rsid w:val="00A90ABD"/>
    <w:rsid w:val="00A910F1"/>
    <w:rsid w:val="00A91A58"/>
    <w:rsid w:val="00A9208E"/>
    <w:rsid w:val="00A92D0B"/>
    <w:rsid w:val="00A9433C"/>
    <w:rsid w:val="00A95DBA"/>
    <w:rsid w:val="00AA1740"/>
    <w:rsid w:val="00AA4486"/>
    <w:rsid w:val="00AA6BDA"/>
    <w:rsid w:val="00AB2F7F"/>
    <w:rsid w:val="00AB3510"/>
    <w:rsid w:val="00AB4F48"/>
    <w:rsid w:val="00AB7F14"/>
    <w:rsid w:val="00AC0550"/>
    <w:rsid w:val="00AC5A4B"/>
    <w:rsid w:val="00AC7F66"/>
    <w:rsid w:val="00AD5499"/>
    <w:rsid w:val="00AD5797"/>
    <w:rsid w:val="00AD742A"/>
    <w:rsid w:val="00AE209C"/>
    <w:rsid w:val="00AE3AF3"/>
    <w:rsid w:val="00AE429F"/>
    <w:rsid w:val="00AE6488"/>
    <w:rsid w:val="00AE73C1"/>
    <w:rsid w:val="00AF560A"/>
    <w:rsid w:val="00AF61A9"/>
    <w:rsid w:val="00AF73D5"/>
    <w:rsid w:val="00AF7BF2"/>
    <w:rsid w:val="00B00BC2"/>
    <w:rsid w:val="00B00BCD"/>
    <w:rsid w:val="00B03003"/>
    <w:rsid w:val="00B0355A"/>
    <w:rsid w:val="00B03F36"/>
    <w:rsid w:val="00B04820"/>
    <w:rsid w:val="00B0731B"/>
    <w:rsid w:val="00B15253"/>
    <w:rsid w:val="00B1593B"/>
    <w:rsid w:val="00B17005"/>
    <w:rsid w:val="00B21661"/>
    <w:rsid w:val="00B30F84"/>
    <w:rsid w:val="00B312DA"/>
    <w:rsid w:val="00B31565"/>
    <w:rsid w:val="00B36E71"/>
    <w:rsid w:val="00B41D5F"/>
    <w:rsid w:val="00B422B5"/>
    <w:rsid w:val="00B43552"/>
    <w:rsid w:val="00B43E8B"/>
    <w:rsid w:val="00B46EB8"/>
    <w:rsid w:val="00B50892"/>
    <w:rsid w:val="00B5159C"/>
    <w:rsid w:val="00B518AF"/>
    <w:rsid w:val="00B51C2B"/>
    <w:rsid w:val="00B51F03"/>
    <w:rsid w:val="00B54991"/>
    <w:rsid w:val="00B55CCD"/>
    <w:rsid w:val="00B55D78"/>
    <w:rsid w:val="00B5606F"/>
    <w:rsid w:val="00B62AC0"/>
    <w:rsid w:val="00B647D3"/>
    <w:rsid w:val="00B66424"/>
    <w:rsid w:val="00B66CF5"/>
    <w:rsid w:val="00B67B24"/>
    <w:rsid w:val="00B713E2"/>
    <w:rsid w:val="00B74874"/>
    <w:rsid w:val="00B803D5"/>
    <w:rsid w:val="00B81E7B"/>
    <w:rsid w:val="00B81F60"/>
    <w:rsid w:val="00B8519C"/>
    <w:rsid w:val="00B947B2"/>
    <w:rsid w:val="00B95BBF"/>
    <w:rsid w:val="00BA13D2"/>
    <w:rsid w:val="00BA2E1B"/>
    <w:rsid w:val="00BA3223"/>
    <w:rsid w:val="00BA548C"/>
    <w:rsid w:val="00BB1C77"/>
    <w:rsid w:val="00BB49BB"/>
    <w:rsid w:val="00BB59FB"/>
    <w:rsid w:val="00BB5AA2"/>
    <w:rsid w:val="00BC1E3F"/>
    <w:rsid w:val="00BC524D"/>
    <w:rsid w:val="00BC7BDC"/>
    <w:rsid w:val="00BD27C4"/>
    <w:rsid w:val="00BD28B0"/>
    <w:rsid w:val="00BD4ED8"/>
    <w:rsid w:val="00BE2D30"/>
    <w:rsid w:val="00BE4341"/>
    <w:rsid w:val="00BE45D0"/>
    <w:rsid w:val="00BE6074"/>
    <w:rsid w:val="00BF0A2E"/>
    <w:rsid w:val="00BF2F45"/>
    <w:rsid w:val="00C0162A"/>
    <w:rsid w:val="00C02649"/>
    <w:rsid w:val="00C0471D"/>
    <w:rsid w:val="00C059F3"/>
    <w:rsid w:val="00C07CF4"/>
    <w:rsid w:val="00C10EAD"/>
    <w:rsid w:val="00C12ED0"/>
    <w:rsid w:val="00C13B3F"/>
    <w:rsid w:val="00C165E8"/>
    <w:rsid w:val="00C16981"/>
    <w:rsid w:val="00C372E0"/>
    <w:rsid w:val="00C45EC9"/>
    <w:rsid w:val="00C46755"/>
    <w:rsid w:val="00C47A2B"/>
    <w:rsid w:val="00C535AC"/>
    <w:rsid w:val="00C54069"/>
    <w:rsid w:val="00C544EE"/>
    <w:rsid w:val="00C55919"/>
    <w:rsid w:val="00C61883"/>
    <w:rsid w:val="00C61BD4"/>
    <w:rsid w:val="00C649A7"/>
    <w:rsid w:val="00C7173F"/>
    <w:rsid w:val="00C7190B"/>
    <w:rsid w:val="00C742D7"/>
    <w:rsid w:val="00C765A2"/>
    <w:rsid w:val="00C8006C"/>
    <w:rsid w:val="00C80771"/>
    <w:rsid w:val="00C93D27"/>
    <w:rsid w:val="00CA1211"/>
    <w:rsid w:val="00CA17B9"/>
    <w:rsid w:val="00CB1272"/>
    <w:rsid w:val="00CB1CEA"/>
    <w:rsid w:val="00CB40FA"/>
    <w:rsid w:val="00CB42DD"/>
    <w:rsid w:val="00CB5158"/>
    <w:rsid w:val="00CC10AF"/>
    <w:rsid w:val="00CC39D1"/>
    <w:rsid w:val="00CC4B40"/>
    <w:rsid w:val="00CC598A"/>
    <w:rsid w:val="00CC5F46"/>
    <w:rsid w:val="00CD37C7"/>
    <w:rsid w:val="00CD5C24"/>
    <w:rsid w:val="00CD6886"/>
    <w:rsid w:val="00CD7D17"/>
    <w:rsid w:val="00CE057B"/>
    <w:rsid w:val="00CE3465"/>
    <w:rsid w:val="00CE6357"/>
    <w:rsid w:val="00CF0B36"/>
    <w:rsid w:val="00CF1129"/>
    <w:rsid w:val="00CF17FC"/>
    <w:rsid w:val="00CF29DF"/>
    <w:rsid w:val="00D011F0"/>
    <w:rsid w:val="00D028FE"/>
    <w:rsid w:val="00D075B1"/>
    <w:rsid w:val="00D10372"/>
    <w:rsid w:val="00D169A5"/>
    <w:rsid w:val="00D1778A"/>
    <w:rsid w:val="00D232A5"/>
    <w:rsid w:val="00D23342"/>
    <w:rsid w:val="00D260B8"/>
    <w:rsid w:val="00D27D5F"/>
    <w:rsid w:val="00D30039"/>
    <w:rsid w:val="00D30C4F"/>
    <w:rsid w:val="00D3149C"/>
    <w:rsid w:val="00D338E7"/>
    <w:rsid w:val="00D35A66"/>
    <w:rsid w:val="00D36884"/>
    <w:rsid w:val="00D36927"/>
    <w:rsid w:val="00D41BFB"/>
    <w:rsid w:val="00D426EB"/>
    <w:rsid w:val="00D45F14"/>
    <w:rsid w:val="00D47DFA"/>
    <w:rsid w:val="00D50545"/>
    <w:rsid w:val="00D52F06"/>
    <w:rsid w:val="00D56BCA"/>
    <w:rsid w:val="00D61430"/>
    <w:rsid w:val="00D6267B"/>
    <w:rsid w:val="00D636BC"/>
    <w:rsid w:val="00D70497"/>
    <w:rsid w:val="00D74F4E"/>
    <w:rsid w:val="00D75107"/>
    <w:rsid w:val="00D76C08"/>
    <w:rsid w:val="00D77BB3"/>
    <w:rsid w:val="00D832B6"/>
    <w:rsid w:val="00D83E4B"/>
    <w:rsid w:val="00D84F94"/>
    <w:rsid w:val="00D86033"/>
    <w:rsid w:val="00D864AB"/>
    <w:rsid w:val="00D8769E"/>
    <w:rsid w:val="00D90A86"/>
    <w:rsid w:val="00D90BC7"/>
    <w:rsid w:val="00D91F28"/>
    <w:rsid w:val="00D92A21"/>
    <w:rsid w:val="00D94A5F"/>
    <w:rsid w:val="00DA0373"/>
    <w:rsid w:val="00DA1C62"/>
    <w:rsid w:val="00DA3AEE"/>
    <w:rsid w:val="00DA4484"/>
    <w:rsid w:val="00DA6CE0"/>
    <w:rsid w:val="00DB0E1E"/>
    <w:rsid w:val="00DB7CD7"/>
    <w:rsid w:val="00DC542A"/>
    <w:rsid w:val="00DC64BB"/>
    <w:rsid w:val="00DC7CDC"/>
    <w:rsid w:val="00DD025D"/>
    <w:rsid w:val="00DD0F2D"/>
    <w:rsid w:val="00DD1E99"/>
    <w:rsid w:val="00DD52BB"/>
    <w:rsid w:val="00DD6DA4"/>
    <w:rsid w:val="00DE1B25"/>
    <w:rsid w:val="00DE3169"/>
    <w:rsid w:val="00DE3A5D"/>
    <w:rsid w:val="00DE3B95"/>
    <w:rsid w:val="00DE4516"/>
    <w:rsid w:val="00DE7B31"/>
    <w:rsid w:val="00DF5CF2"/>
    <w:rsid w:val="00E00990"/>
    <w:rsid w:val="00E00FCE"/>
    <w:rsid w:val="00E0694F"/>
    <w:rsid w:val="00E072B0"/>
    <w:rsid w:val="00E07DAD"/>
    <w:rsid w:val="00E15DC3"/>
    <w:rsid w:val="00E174F6"/>
    <w:rsid w:val="00E176E7"/>
    <w:rsid w:val="00E17B34"/>
    <w:rsid w:val="00E20603"/>
    <w:rsid w:val="00E21EA5"/>
    <w:rsid w:val="00E25078"/>
    <w:rsid w:val="00E30D03"/>
    <w:rsid w:val="00E35323"/>
    <w:rsid w:val="00E3786F"/>
    <w:rsid w:val="00E40140"/>
    <w:rsid w:val="00E47414"/>
    <w:rsid w:val="00E47F0C"/>
    <w:rsid w:val="00E52992"/>
    <w:rsid w:val="00E554D9"/>
    <w:rsid w:val="00E60942"/>
    <w:rsid w:val="00E66FE7"/>
    <w:rsid w:val="00E7017A"/>
    <w:rsid w:val="00E71145"/>
    <w:rsid w:val="00E75E09"/>
    <w:rsid w:val="00E76F7F"/>
    <w:rsid w:val="00E775D0"/>
    <w:rsid w:val="00E81881"/>
    <w:rsid w:val="00E9366A"/>
    <w:rsid w:val="00E94785"/>
    <w:rsid w:val="00E959A0"/>
    <w:rsid w:val="00EA2036"/>
    <w:rsid w:val="00EA77EB"/>
    <w:rsid w:val="00EB0DBA"/>
    <w:rsid w:val="00EB1F90"/>
    <w:rsid w:val="00EB5697"/>
    <w:rsid w:val="00EB64CF"/>
    <w:rsid w:val="00EB6F71"/>
    <w:rsid w:val="00EC6387"/>
    <w:rsid w:val="00EC7DF2"/>
    <w:rsid w:val="00ED6B6B"/>
    <w:rsid w:val="00ED6E68"/>
    <w:rsid w:val="00EE4DB5"/>
    <w:rsid w:val="00EE7455"/>
    <w:rsid w:val="00F028C8"/>
    <w:rsid w:val="00F04904"/>
    <w:rsid w:val="00F11127"/>
    <w:rsid w:val="00F12175"/>
    <w:rsid w:val="00F153AA"/>
    <w:rsid w:val="00F16176"/>
    <w:rsid w:val="00F16654"/>
    <w:rsid w:val="00F17DB4"/>
    <w:rsid w:val="00F20061"/>
    <w:rsid w:val="00F21027"/>
    <w:rsid w:val="00F233B7"/>
    <w:rsid w:val="00F26371"/>
    <w:rsid w:val="00F263EA"/>
    <w:rsid w:val="00F2682B"/>
    <w:rsid w:val="00F27769"/>
    <w:rsid w:val="00F30DA8"/>
    <w:rsid w:val="00F34A96"/>
    <w:rsid w:val="00F34B06"/>
    <w:rsid w:val="00F34C1F"/>
    <w:rsid w:val="00F34CD6"/>
    <w:rsid w:val="00F3526D"/>
    <w:rsid w:val="00F3772B"/>
    <w:rsid w:val="00F3783A"/>
    <w:rsid w:val="00F410C9"/>
    <w:rsid w:val="00F455DC"/>
    <w:rsid w:val="00F47E87"/>
    <w:rsid w:val="00F53851"/>
    <w:rsid w:val="00F60F67"/>
    <w:rsid w:val="00F63C29"/>
    <w:rsid w:val="00F650AE"/>
    <w:rsid w:val="00F66961"/>
    <w:rsid w:val="00F70D32"/>
    <w:rsid w:val="00F7579D"/>
    <w:rsid w:val="00F76ED3"/>
    <w:rsid w:val="00F81778"/>
    <w:rsid w:val="00F862A9"/>
    <w:rsid w:val="00F878BB"/>
    <w:rsid w:val="00F93393"/>
    <w:rsid w:val="00FA0F8D"/>
    <w:rsid w:val="00FA4732"/>
    <w:rsid w:val="00FA6FD9"/>
    <w:rsid w:val="00FB001F"/>
    <w:rsid w:val="00FB2C40"/>
    <w:rsid w:val="00FB55F6"/>
    <w:rsid w:val="00FC13B6"/>
    <w:rsid w:val="00FC3AF0"/>
    <w:rsid w:val="00FC72B7"/>
    <w:rsid w:val="00FD38DB"/>
    <w:rsid w:val="00FD688E"/>
    <w:rsid w:val="00FE2839"/>
    <w:rsid w:val="00FE3BAE"/>
    <w:rsid w:val="00FE5D02"/>
    <w:rsid w:val="00FF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0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A86489"/>
    <w:pPr>
      <w:spacing w:after="120"/>
    </w:pPr>
    <w:rPr>
      <w:sz w:val="22"/>
      <w:szCs w:val="20"/>
    </w:rPr>
  </w:style>
  <w:style w:type="character" w:customStyle="1" w:styleId="FootnoteTextChar">
    <w:name w:val="Footnote Text Char"/>
    <w:basedOn w:val="DefaultParagraphFont"/>
    <w:link w:val="FootnoteText"/>
    <w:uiPriority w:val="99"/>
    <w:rsid w:val="00A86489"/>
    <w:rPr>
      <w:sz w:val="22"/>
    </w:rPr>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B5606F"/>
    <w:pPr>
      <w:numPr>
        <w:numId w:val="13"/>
      </w:numPr>
      <w:ind w:left="374"/>
    </w:pPr>
    <w:rPr>
      <w:rFonts w:eastAsia="Calibri"/>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paragraph" w:customStyle="1" w:styleId="Default">
    <w:name w:val="Default"/>
    <w:rsid w:val="005F4312"/>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737">
      <w:bodyDiv w:val="1"/>
      <w:marLeft w:val="0"/>
      <w:marRight w:val="0"/>
      <w:marTop w:val="0"/>
      <w:marBottom w:val="0"/>
      <w:divBdr>
        <w:top w:val="none" w:sz="0" w:space="0" w:color="auto"/>
        <w:left w:val="none" w:sz="0" w:space="0" w:color="auto"/>
        <w:bottom w:val="none" w:sz="0" w:space="0" w:color="auto"/>
        <w:right w:val="none" w:sz="0" w:space="0" w:color="auto"/>
      </w:divBdr>
    </w:div>
    <w:div w:id="112286172">
      <w:bodyDiv w:val="1"/>
      <w:marLeft w:val="0"/>
      <w:marRight w:val="0"/>
      <w:marTop w:val="0"/>
      <w:marBottom w:val="0"/>
      <w:divBdr>
        <w:top w:val="none" w:sz="0" w:space="0" w:color="auto"/>
        <w:left w:val="none" w:sz="0" w:space="0" w:color="auto"/>
        <w:bottom w:val="none" w:sz="0" w:space="0" w:color="auto"/>
        <w:right w:val="none" w:sz="0" w:space="0" w:color="auto"/>
      </w:divBdr>
    </w:div>
    <w:div w:id="177819030">
      <w:bodyDiv w:val="1"/>
      <w:marLeft w:val="0"/>
      <w:marRight w:val="0"/>
      <w:marTop w:val="0"/>
      <w:marBottom w:val="0"/>
      <w:divBdr>
        <w:top w:val="none" w:sz="0" w:space="0" w:color="auto"/>
        <w:left w:val="none" w:sz="0" w:space="0" w:color="auto"/>
        <w:bottom w:val="none" w:sz="0" w:space="0" w:color="auto"/>
        <w:right w:val="none" w:sz="0" w:space="0" w:color="auto"/>
      </w:divBdr>
    </w:div>
    <w:div w:id="205724461">
      <w:bodyDiv w:val="1"/>
      <w:marLeft w:val="0"/>
      <w:marRight w:val="0"/>
      <w:marTop w:val="0"/>
      <w:marBottom w:val="0"/>
      <w:divBdr>
        <w:top w:val="none" w:sz="0" w:space="0" w:color="auto"/>
        <w:left w:val="none" w:sz="0" w:space="0" w:color="auto"/>
        <w:bottom w:val="none" w:sz="0" w:space="0" w:color="auto"/>
        <w:right w:val="none" w:sz="0" w:space="0" w:color="auto"/>
      </w:divBdr>
    </w:div>
    <w:div w:id="367993389">
      <w:bodyDiv w:val="1"/>
      <w:marLeft w:val="0"/>
      <w:marRight w:val="0"/>
      <w:marTop w:val="0"/>
      <w:marBottom w:val="0"/>
      <w:divBdr>
        <w:top w:val="none" w:sz="0" w:space="0" w:color="auto"/>
        <w:left w:val="none" w:sz="0" w:space="0" w:color="auto"/>
        <w:bottom w:val="none" w:sz="0" w:space="0" w:color="auto"/>
        <w:right w:val="none" w:sz="0" w:space="0" w:color="auto"/>
      </w:divBdr>
    </w:div>
    <w:div w:id="389115326">
      <w:bodyDiv w:val="1"/>
      <w:marLeft w:val="0"/>
      <w:marRight w:val="0"/>
      <w:marTop w:val="0"/>
      <w:marBottom w:val="0"/>
      <w:divBdr>
        <w:top w:val="none" w:sz="0" w:space="0" w:color="auto"/>
        <w:left w:val="none" w:sz="0" w:space="0" w:color="auto"/>
        <w:bottom w:val="none" w:sz="0" w:space="0" w:color="auto"/>
        <w:right w:val="none" w:sz="0" w:space="0" w:color="auto"/>
      </w:divBdr>
    </w:div>
    <w:div w:id="510222115">
      <w:bodyDiv w:val="1"/>
      <w:marLeft w:val="0"/>
      <w:marRight w:val="0"/>
      <w:marTop w:val="0"/>
      <w:marBottom w:val="0"/>
      <w:divBdr>
        <w:top w:val="none" w:sz="0" w:space="0" w:color="auto"/>
        <w:left w:val="none" w:sz="0" w:space="0" w:color="auto"/>
        <w:bottom w:val="none" w:sz="0" w:space="0" w:color="auto"/>
        <w:right w:val="none" w:sz="0" w:space="0" w:color="auto"/>
      </w:divBdr>
    </w:div>
    <w:div w:id="544485545">
      <w:bodyDiv w:val="1"/>
      <w:marLeft w:val="0"/>
      <w:marRight w:val="0"/>
      <w:marTop w:val="0"/>
      <w:marBottom w:val="0"/>
      <w:divBdr>
        <w:top w:val="none" w:sz="0" w:space="0" w:color="auto"/>
        <w:left w:val="none" w:sz="0" w:space="0" w:color="auto"/>
        <w:bottom w:val="none" w:sz="0" w:space="0" w:color="auto"/>
        <w:right w:val="none" w:sz="0" w:space="0" w:color="auto"/>
      </w:divBdr>
    </w:div>
    <w:div w:id="731076576">
      <w:bodyDiv w:val="1"/>
      <w:marLeft w:val="0"/>
      <w:marRight w:val="0"/>
      <w:marTop w:val="0"/>
      <w:marBottom w:val="0"/>
      <w:divBdr>
        <w:top w:val="none" w:sz="0" w:space="0" w:color="auto"/>
        <w:left w:val="none" w:sz="0" w:space="0" w:color="auto"/>
        <w:bottom w:val="none" w:sz="0" w:space="0" w:color="auto"/>
        <w:right w:val="none" w:sz="0" w:space="0" w:color="auto"/>
      </w:divBdr>
    </w:div>
    <w:div w:id="899252004">
      <w:bodyDiv w:val="1"/>
      <w:marLeft w:val="0"/>
      <w:marRight w:val="0"/>
      <w:marTop w:val="0"/>
      <w:marBottom w:val="0"/>
      <w:divBdr>
        <w:top w:val="none" w:sz="0" w:space="0" w:color="auto"/>
        <w:left w:val="none" w:sz="0" w:space="0" w:color="auto"/>
        <w:bottom w:val="none" w:sz="0" w:space="0" w:color="auto"/>
        <w:right w:val="none" w:sz="0" w:space="0" w:color="auto"/>
      </w:divBdr>
    </w:div>
    <w:div w:id="909726817">
      <w:bodyDiv w:val="1"/>
      <w:marLeft w:val="0"/>
      <w:marRight w:val="0"/>
      <w:marTop w:val="0"/>
      <w:marBottom w:val="0"/>
      <w:divBdr>
        <w:top w:val="none" w:sz="0" w:space="0" w:color="auto"/>
        <w:left w:val="none" w:sz="0" w:space="0" w:color="auto"/>
        <w:bottom w:val="none" w:sz="0" w:space="0" w:color="auto"/>
        <w:right w:val="none" w:sz="0" w:space="0" w:color="auto"/>
      </w:divBdr>
    </w:div>
    <w:div w:id="1101877213">
      <w:bodyDiv w:val="1"/>
      <w:marLeft w:val="0"/>
      <w:marRight w:val="0"/>
      <w:marTop w:val="0"/>
      <w:marBottom w:val="0"/>
      <w:divBdr>
        <w:top w:val="none" w:sz="0" w:space="0" w:color="auto"/>
        <w:left w:val="none" w:sz="0" w:space="0" w:color="auto"/>
        <w:bottom w:val="none" w:sz="0" w:space="0" w:color="auto"/>
        <w:right w:val="none" w:sz="0" w:space="0" w:color="auto"/>
      </w:divBdr>
    </w:div>
    <w:div w:id="1132211804">
      <w:bodyDiv w:val="1"/>
      <w:marLeft w:val="0"/>
      <w:marRight w:val="0"/>
      <w:marTop w:val="0"/>
      <w:marBottom w:val="0"/>
      <w:divBdr>
        <w:top w:val="none" w:sz="0" w:space="0" w:color="auto"/>
        <w:left w:val="none" w:sz="0" w:space="0" w:color="auto"/>
        <w:bottom w:val="none" w:sz="0" w:space="0" w:color="auto"/>
        <w:right w:val="none" w:sz="0" w:space="0" w:color="auto"/>
      </w:divBdr>
    </w:div>
    <w:div w:id="1335959291">
      <w:bodyDiv w:val="1"/>
      <w:marLeft w:val="0"/>
      <w:marRight w:val="0"/>
      <w:marTop w:val="0"/>
      <w:marBottom w:val="0"/>
      <w:divBdr>
        <w:top w:val="none" w:sz="0" w:space="0" w:color="auto"/>
        <w:left w:val="none" w:sz="0" w:space="0" w:color="auto"/>
        <w:bottom w:val="none" w:sz="0" w:space="0" w:color="auto"/>
        <w:right w:val="none" w:sz="0" w:space="0" w:color="auto"/>
      </w:divBdr>
    </w:div>
    <w:div w:id="1346439364">
      <w:bodyDiv w:val="1"/>
      <w:marLeft w:val="0"/>
      <w:marRight w:val="0"/>
      <w:marTop w:val="0"/>
      <w:marBottom w:val="0"/>
      <w:divBdr>
        <w:top w:val="none" w:sz="0" w:space="0" w:color="auto"/>
        <w:left w:val="none" w:sz="0" w:space="0" w:color="auto"/>
        <w:bottom w:val="none" w:sz="0" w:space="0" w:color="auto"/>
        <w:right w:val="none" w:sz="0" w:space="0" w:color="auto"/>
      </w:divBdr>
    </w:div>
    <w:div w:id="1413502609">
      <w:bodyDiv w:val="1"/>
      <w:marLeft w:val="0"/>
      <w:marRight w:val="0"/>
      <w:marTop w:val="0"/>
      <w:marBottom w:val="0"/>
      <w:divBdr>
        <w:top w:val="none" w:sz="0" w:space="0" w:color="auto"/>
        <w:left w:val="none" w:sz="0" w:space="0" w:color="auto"/>
        <w:bottom w:val="none" w:sz="0" w:space="0" w:color="auto"/>
        <w:right w:val="none" w:sz="0" w:space="0" w:color="auto"/>
      </w:divBdr>
    </w:div>
    <w:div w:id="1494757667">
      <w:bodyDiv w:val="1"/>
      <w:marLeft w:val="0"/>
      <w:marRight w:val="0"/>
      <w:marTop w:val="0"/>
      <w:marBottom w:val="0"/>
      <w:divBdr>
        <w:top w:val="none" w:sz="0" w:space="0" w:color="auto"/>
        <w:left w:val="none" w:sz="0" w:space="0" w:color="auto"/>
        <w:bottom w:val="none" w:sz="0" w:space="0" w:color="auto"/>
        <w:right w:val="none" w:sz="0" w:space="0" w:color="auto"/>
      </w:divBdr>
    </w:div>
    <w:div w:id="1535388111">
      <w:bodyDiv w:val="1"/>
      <w:marLeft w:val="0"/>
      <w:marRight w:val="0"/>
      <w:marTop w:val="0"/>
      <w:marBottom w:val="0"/>
      <w:divBdr>
        <w:top w:val="none" w:sz="0" w:space="0" w:color="auto"/>
        <w:left w:val="none" w:sz="0" w:space="0" w:color="auto"/>
        <w:bottom w:val="none" w:sz="0" w:space="0" w:color="auto"/>
        <w:right w:val="none" w:sz="0" w:space="0" w:color="auto"/>
      </w:divBdr>
    </w:div>
    <w:div w:id="1548645645">
      <w:bodyDiv w:val="1"/>
      <w:marLeft w:val="0"/>
      <w:marRight w:val="0"/>
      <w:marTop w:val="0"/>
      <w:marBottom w:val="0"/>
      <w:divBdr>
        <w:top w:val="none" w:sz="0" w:space="0" w:color="auto"/>
        <w:left w:val="none" w:sz="0" w:space="0" w:color="auto"/>
        <w:bottom w:val="none" w:sz="0" w:space="0" w:color="auto"/>
        <w:right w:val="none" w:sz="0" w:space="0" w:color="auto"/>
      </w:divBdr>
    </w:div>
    <w:div w:id="1562406275">
      <w:bodyDiv w:val="1"/>
      <w:marLeft w:val="0"/>
      <w:marRight w:val="0"/>
      <w:marTop w:val="0"/>
      <w:marBottom w:val="0"/>
      <w:divBdr>
        <w:top w:val="none" w:sz="0" w:space="0" w:color="auto"/>
        <w:left w:val="none" w:sz="0" w:space="0" w:color="auto"/>
        <w:bottom w:val="none" w:sz="0" w:space="0" w:color="auto"/>
        <w:right w:val="none" w:sz="0" w:space="0" w:color="auto"/>
      </w:divBdr>
    </w:div>
    <w:div w:id="1842313468">
      <w:bodyDiv w:val="1"/>
      <w:marLeft w:val="0"/>
      <w:marRight w:val="0"/>
      <w:marTop w:val="0"/>
      <w:marBottom w:val="0"/>
      <w:divBdr>
        <w:top w:val="none" w:sz="0" w:space="0" w:color="auto"/>
        <w:left w:val="none" w:sz="0" w:space="0" w:color="auto"/>
        <w:bottom w:val="none" w:sz="0" w:space="0" w:color="auto"/>
        <w:right w:val="none" w:sz="0" w:space="0" w:color="auto"/>
      </w:divBdr>
    </w:div>
    <w:div w:id="1867018056">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886867357">
      <w:bodyDiv w:val="1"/>
      <w:marLeft w:val="0"/>
      <w:marRight w:val="0"/>
      <w:marTop w:val="0"/>
      <w:marBottom w:val="0"/>
      <w:divBdr>
        <w:top w:val="none" w:sz="0" w:space="0" w:color="auto"/>
        <w:left w:val="none" w:sz="0" w:space="0" w:color="auto"/>
        <w:bottom w:val="none" w:sz="0" w:space="0" w:color="auto"/>
        <w:right w:val="none" w:sz="0" w:space="0" w:color="auto"/>
      </w:divBdr>
    </w:div>
    <w:div w:id="21218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24</ap:Pages>
  <ap:Words>6521</ap:Words>
  <ap:Characters>37175</ap:Characters>
  <ap:Application>Microsoft Office Word</ap:Application>
  <ap:DocSecurity>0</ap:DocSecurity>
  <ap:Lines>309</ap:Lines>
  <ap:Paragraphs>87</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LinksUpToDate>false</ap:LinksUpToDate>
  <ap:CharactersWithSpaces>43609</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2025-03-14T11:03:09Z</dcterms:created>
  <dcterms:modified xsi:type="dcterms:W3CDTF">2025-03-14T11:03:09Z</dcterms:modified>
</cp:coreProperties>
</file>