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4315" w:rsidR="00FD1CC7" w:rsidP="007C3223" w:rsidRDefault="00221FDC" w14:paraId="18EE7A32" w14:textId="294F87BF">
      <w:pPr>
        <w:tabs>
          <w:tab w:val="center" w:pos="4680"/>
          <w:tab w:val="right" w:pos="9360"/>
        </w:tabs>
        <w:spacing w:line="240" w:lineRule="auto"/>
        <w:ind w:firstLine="0"/>
        <w:rPr>
          <w:b/>
        </w:rPr>
      </w:pPr>
      <w:r>
        <w:t>ALJ/</w:t>
      </w:r>
      <w:r w:rsidR="003D1F17">
        <w:t>MPO</w:t>
      </w:r>
      <w:r>
        <w:t>/</w:t>
      </w:r>
      <w:r w:rsidR="00963416">
        <w:t>cg7</w:t>
      </w:r>
      <w:r w:rsidR="007E0FEE">
        <w:tab/>
      </w:r>
      <w:r w:rsidR="007E76EE">
        <w:tab/>
      </w:r>
      <w:r w:rsidR="007C3223">
        <w:rPr>
          <w:b/>
        </w:rPr>
        <w:t>Date of Issuance 04/25/2025</w:t>
      </w:r>
    </w:p>
    <w:p w:rsidR="007C3223" w:rsidP="007C3223" w:rsidRDefault="007C3223" w14:paraId="5DE0D973" w14:textId="77777777">
      <w:pPr>
        <w:spacing w:line="240" w:lineRule="auto"/>
        <w:ind w:firstLine="0"/>
      </w:pPr>
    </w:p>
    <w:p w:rsidR="007C3223" w:rsidP="007C3223" w:rsidRDefault="007C3223" w14:paraId="16030AEA" w14:textId="77777777">
      <w:pPr>
        <w:spacing w:line="240" w:lineRule="auto"/>
        <w:ind w:firstLine="0"/>
      </w:pPr>
    </w:p>
    <w:p w:rsidRPr="008436EB" w:rsidR="007C3223" w:rsidP="007C3223" w:rsidRDefault="007C3223" w14:paraId="0DC66956" w14:textId="29044DFD">
      <w:pPr>
        <w:spacing w:line="240" w:lineRule="auto"/>
        <w:ind w:firstLine="0"/>
        <w:rPr>
          <w:sz w:val="20"/>
          <w:u w:val="single"/>
        </w:rPr>
      </w:pPr>
      <w:r w:rsidRPr="008436EB">
        <w:t xml:space="preserve">Decision </w:t>
      </w:r>
      <w:r>
        <w:t>25-04-</w:t>
      </w:r>
      <w:proofErr w:type="gramStart"/>
      <w:r>
        <w:t>033  April</w:t>
      </w:r>
      <w:proofErr w:type="gramEnd"/>
      <w:r>
        <w:t xml:space="preserve"> 24, 2025</w:t>
      </w:r>
    </w:p>
    <w:p w:rsidR="00DA7B5D" w:rsidP="007C3223" w:rsidRDefault="00DA7B5D" w14:paraId="5D82AD69" w14:textId="77777777">
      <w:pPr>
        <w:spacing w:line="240" w:lineRule="auto"/>
        <w:ind w:firstLine="0"/>
      </w:pPr>
    </w:p>
    <w:p w:rsidR="00DA7B5D" w:rsidP="007C3223" w:rsidRDefault="00DA7B5D" w14:paraId="2F413A77" w14:textId="77777777">
      <w:pPr>
        <w:spacing w:line="240" w:lineRule="auto"/>
        <w:ind w:firstLine="0"/>
        <w:rPr>
          <w:u w:val="single"/>
        </w:rPr>
      </w:pPr>
    </w:p>
    <w:p w:rsidR="00DA7B5D" w:rsidP="00BB0243" w:rsidRDefault="00DA7B5D" w14:paraId="746CAD9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084C42D7" w14:textId="77777777">
      <w:pPr>
        <w:spacing w:line="240" w:lineRule="auto"/>
        <w:ind w:firstLine="0"/>
        <w:rPr>
          <w:rFonts w:ascii="Arial" w:hAnsi="Arial" w:cs="Arial"/>
          <w:sz w:val="24"/>
          <w:szCs w:val="24"/>
        </w:rPr>
      </w:pPr>
    </w:p>
    <w:p w:rsidR="00963416" w:rsidP="008F0116" w:rsidRDefault="00963416" w14:paraId="08DC93F4"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5040"/>
        <w:gridCol w:w="4320"/>
      </w:tblGrid>
      <w:tr w:rsidR="008674F8" w:rsidTr="00221FDC" w14:paraId="6B3E4462" w14:textId="77777777">
        <w:trPr>
          <w:jc w:val="center"/>
        </w:trPr>
        <w:tc>
          <w:tcPr>
            <w:tcW w:w="5040" w:type="dxa"/>
            <w:tcBorders>
              <w:top w:val="nil"/>
              <w:left w:val="nil"/>
              <w:bottom w:val="single" w:color="auto" w:sz="4" w:space="0"/>
              <w:right w:val="single" w:color="auto" w:sz="4" w:space="0"/>
            </w:tcBorders>
          </w:tcPr>
          <w:p w:rsidRPr="00DA7B5D" w:rsidR="008674F8" w:rsidP="00224D8E" w:rsidRDefault="008674F8" w14:paraId="70ACE295" w14:textId="559A287B">
            <w:pPr>
              <w:autoSpaceDE w:val="0"/>
              <w:autoSpaceDN w:val="0"/>
              <w:adjustRightInd w:val="0"/>
              <w:spacing w:after="120" w:line="240" w:lineRule="auto"/>
              <w:ind w:firstLine="0"/>
              <w:rPr>
                <w:rFonts w:cs="Arial"/>
                <w:szCs w:val="26"/>
              </w:rPr>
            </w:pPr>
            <w:r>
              <w:rPr>
                <w:szCs w:val="26"/>
              </w:rPr>
              <w:t>Joint Application of Wild Goose Storage, LLC (U911G) and Lodi Gas Storage, L.L.C. (U912G) for an Order under Public Utilities Code Sections 829 and 853 to Exempt from Commission Authorization the Encumbrance of the Assets of Wild Goose Storage, LLC and Lodi Gas Storage, L.L.C. and the Issuance of a Corporate Guarantee, or in the Alternative for Authorization for the Same Relief under Sections 830 and 851.</w:t>
            </w:r>
            <w:r w:rsidR="00224D8E">
              <w:rPr>
                <w:szCs w:val="26"/>
              </w:rPr>
              <w:br/>
            </w:r>
          </w:p>
        </w:tc>
        <w:tc>
          <w:tcPr>
            <w:tcW w:w="4320" w:type="dxa"/>
            <w:tcBorders>
              <w:top w:val="nil"/>
              <w:left w:val="single" w:color="auto" w:sz="4" w:space="0"/>
              <w:bottom w:val="nil"/>
              <w:right w:val="nil"/>
            </w:tcBorders>
            <w:vAlign w:val="center"/>
          </w:tcPr>
          <w:p w:rsidRPr="00DA7B5D" w:rsidR="008674F8" w:rsidP="008674F8" w:rsidRDefault="008674F8" w14:paraId="337D5BFA" w14:textId="73A9F190">
            <w:pPr>
              <w:spacing w:line="240" w:lineRule="auto"/>
              <w:ind w:firstLine="0"/>
              <w:jc w:val="center"/>
              <w:rPr>
                <w:rFonts w:cs="Arial"/>
                <w:szCs w:val="26"/>
              </w:rPr>
            </w:pPr>
            <w:r>
              <w:rPr>
                <w:rFonts w:cs="Arial"/>
                <w:szCs w:val="26"/>
              </w:rPr>
              <w:t>Application 2</w:t>
            </w:r>
            <w:r w:rsidR="003D1F17">
              <w:rPr>
                <w:rFonts w:cs="Arial"/>
                <w:szCs w:val="26"/>
              </w:rPr>
              <w:t>4</w:t>
            </w:r>
            <w:r>
              <w:rPr>
                <w:rFonts w:cs="Arial"/>
                <w:szCs w:val="26"/>
              </w:rPr>
              <w:t>-</w:t>
            </w:r>
            <w:r w:rsidR="003D1F17">
              <w:rPr>
                <w:rFonts w:cs="Arial"/>
                <w:szCs w:val="26"/>
              </w:rPr>
              <w:t>1</w:t>
            </w:r>
            <w:r>
              <w:rPr>
                <w:rFonts w:cs="Arial"/>
                <w:szCs w:val="26"/>
              </w:rPr>
              <w:t>0-0</w:t>
            </w:r>
            <w:r w:rsidR="003D1F17">
              <w:rPr>
                <w:rFonts w:cs="Arial"/>
                <w:szCs w:val="26"/>
              </w:rPr>
              <w:t>04</w:t>
            </w:r>
          </w:p>
        </w:tc>
      </w:tr>
    </w:tbl>
    <w:p w:rsidR="00DA7B5D" w:rsidP="008F0116" w:rsidRDefault="00DA7B5D" w14:paraId="4ED25724" w14:textId="77777777">
      <w:pPr>
        <w:spacing w:line="240" w:lineRule="auto"/>
        <w:ind w:firstLine="0"/>
        <w:rPr>
          <w:rFonts w:ascii="Arial" w:hAnsi="Arial" w:cs="Arial"/>
          <w:sz w:val="24"/>
          <w:szCs w:val="24"/>
        </w:rPr>
      </w:pPr>
    </w:p>
    <w:p w:rsidR="00DA7B5D" w:rsidP="008F0116" w:rsidRDefault="00DA7B5D" w14:paraId="7665DD83" w14:textId="77777777">
      <w:pPr>
        <w:spacing w:line="240" w:lineRule="auto"/>
        <w:ind w:firstLine="0"/>
        <w:rPr>
          <w:rFonts w:ascii="Arial" w:hAnsi="Arial" w:cs="Arial"/>
          <w:sz w:val="24"/>
          <w:szCs w:val="24"/>
        </w:rPr>
      </w:pPr>
    </w:p>
    <w:p w:rsidR="004B50E7" w:rsidP="00221FDC" w:rsidRDefault="008674F8" w14:paraId="209AB29F" w14:textId="167374B1">
      <w:pPr>
        <w:pStyle w:val="Dummy"/>
        <w:jc w:val="center"/>
      </w:pPr>
      <w:r>
        <w:t xml:space="preserve">DECISION GRANTING EXEMPTIONS TO PERMIT ENCUMBRANCE </w:t>
      </w:r>
      <w:r w:rsidR="00221FDC">
        <w:br/>
      </w:r>
      <w:r>
        <w:t>OF UTILITY ASSETS OF WILD GOOSE STORAGE</w:t>
      </w:r>
      <w:r w:rsidR="005B0614">
        <w:t>,</w:t>
      </w:r>
      <w:r>
        <w:t xml:space="preserve"> LLC </w:t>
      </w:r>
      <w:r w:rsidR="00221FDC">
        <w:br/>
      </w:r>
      <w:r>
        <w:t>AND LODI GAS STORAGE, L.L.C.</w:t>
      </w:r>
    </w:p>
    <w:p w:rsidR="005A148C" w:rsidP="005A148C" w:rsidRDefault="005A148C" w14:paraId="49C6E212" w14:textId="77777777">
      <w:pPr>
        <w:pStyle w:val="Dummy"/>
      </w:pPr>
      <w:bookmarkStart w:name="_Toc8123714" w:id="0"/>
      <w:bookmarkStart w:name="_Toc133843842" w:id="1"/>
      <w:r>
        <w:t>Summary</w:t>
      </w:r>
      <w:bookmarkEnd w:id="0"/>
      <w:bookmarkEnd w:id="1"/>
    </w:p>
    <w:p w:rsidR="0073353F" w:rsidP="00221FDC" w:rsidRDefault="008674F8" w14:paraId="5FAED432" w14:textId="6650784D">
      <w:pPr>
        <w:pStyle w:val="Standard"/>
      </w:pPr>
      <w:r>
        <w:t>This decision grants the request</w:t>
      </w:r>
      <w:r w:rsidR="0059012B">
        <w:t>s</w:t>
      </w:r>
      <w:r>
        <w:t xml:space="preserve"> of Wild Goose Storage, LLC and Lodi Gas Storage</w:t>
      </w:r>
      <w:r w:rsidR="005B0614">
        <w:t>,</w:t>
      </w:r>
      <w:r>
        <w:t xml:space="preserve"> L.L.C. for exemption</w:t>
      </w:r>
      <w:r w:rsidR="0059012B">
        <w:t>s</w:t>
      </w:r>
      <w:r>
        <w:t xml:space="preserve"> under </w:t>
      </w:r>
      <w:r w:rsidR="00DB0C34">
        <w:t xml:space="preserve">California Public Utilities Code </w:t>
      </w:r>
      <w:r>
        <w:t>Section</w:t>
      </w:r>
      <w:r w:rsidR="00DB0C34">
        <w:t>s</w:t>
      </w:r>
      <w:r>
        <w:t xml:space="preserve"> 853(b) and 829(c) to </w:t>
      </w:r>
      <w:r w:rsidR="0059012B">
        <w:t>encumber</w:t>
      </w:r>
      <w:r>
        <w:t xml:space="preserve"> their utility assets and iss</w:t>
      </w:r>
      <w:r w:rsidR="0059012B">
        <w:t>u</w:t>
      </w:r>
      <w:r>
        <w:t>e a corporate guarantee to secure the debt refinancing of their senior affiliates.</w:t>
      </w:r>
      <w:r w:rsidR="004B50E7">
        <w:t xml:space="preserve">  This proceeding is closed.</w:t>
      </w:r>
    </w:p>
    <w:p w:rsidRPr="00121089" w:rsidR="005A148C" w:rsidP="00A55ACD" w:rsidRDefault="002C7FE9" w14:paraId="510F636C" w14:textId="77777777">
      <w:pPr>
        <w:pStyle w:val="Heading1"/>
      </w:pPr>
      <w:bookmarkStart w:name="_Toc8123715" w:id="2"/>
      <w:bookmarkStart w:name="_Toc133843843" w:id="3"/>
      <w:r w:rsidRPr="00121089">
        <w:lastRenderedPageBreak/>
        <w:t>Background</w:t>
      </w:r>
      <w:bookmarkEnd w:id="2"/>
      <w:bookmarkEnd w:id="3"/>
    </w:p>
    <w:p w:rsidR="002525E6" w:rsidP="00221FDC" w:rsidRDefault="008674F8" w14:paraId="02A60BDA" w14:textId="5FAD6862">
      <w:pPr>
        <w:pStyle w:val="Standard"/>
      </w:pPr>
      <w:r>
        <w:t>On</w:t>
      </w:r>
      <w:r w:rsidR="007F3CBE">
        <w:t xml:space="preserve"> </w:t>
      </w:r>
      <w:r w:rsidR="001F3594">
        <w:t>October 11</w:t>
      </w:r>
      <w:r w:rsidR="007F3CBE">
        <w:t>, 202</w:t>
      </w:r>
      <w:r w:rsidR="001F3594">
        <w:t>4</w:t>
      </w:r>
      <w:r w:rsidR="007F3CBE">
        <w:t>, Wild Goose Storage, LLC and Lodi Gas Storage, L.L.C. (Joint Applicants)</w:t>
      </w:r>
      <w:r w:rsidR="007F3CBE">
        <w:rPr>
          <w:rStyle w:val="FootnoteReference"/>
        </w:rPr>
        <w:footnoteReference w:id="2"/>
      </w:r>
      <w:r w:rsidR="007F3CBE">
        <w:t xml:space="preserve"> filed Application (A.) 2</w:t>
      </w:r>
      <w:r w:rsidR="001F3594">
        <w:t>4</w:t>
      </w:r>
      <w:r w:rsidR="007F3CBE">
        <w:t>-</w:t>
      </w:r>
      <w:r w:rsidR="001F3594">
        <w:t>10</w:t>
      </w:r>
      <w:r w:rsidR="007F3CBE">
        <w:t>-0</w:t>
      </w:r>
      <w:r w:rsidR="001F3594">
        <w:t>04</w:t>
      </w:r>
      <w:r w:rsidR="007F3CBE">
        <w:t xml:space="preserve"> </w:t>
      </w:r>
      <w:r w:rsidR="001753EE">
        <w:t xml:space="preserve">for </w:t>
      </w:r>
      <w:r w:rsidR="004311F4">
        <w:t xml:space="preserve">an order pursuant to Public Utilities </w:t>
      </w:r>
      <w:r w:rsidRPr="00074C1D" w:rsidR="004E4EF0">
        <w:t>(Pub. Util.</w:t>
      </w:r>
      <w:r w:rsidR="004E4EF0">
        <w:t>)</w:t>
      </w:r>
      <w:r w:rsidR="004311F4">
        <w:t xml:space="preserve"> Code Sections 829 and 853 exempting them from the statutory requirements to obtain Commission authorization </w:t>
      </w:r>
      <w:r w:rsidR="001753EE">
        <w:t xml:space="preserve">to </w:t>
      </w:r>
      <w:bookmarkStart w:name="_Hlk162541526" w:id="4"/>
      <w:r w:rsidR="001753EE">
        <w:t xml:space="preserve">encumber utility assets and issue guarantees associated </w:t>
      </w:r>
      <w:r w:rsidR="00DE221D">
        <w:t>with the</w:t>
      </w:r>
      <w:r w:rsidR="007F3CBE">
        <w:t xml:space="preserve"> </w:t>
      </w:r>
      <w:r w:rsidR="00042A03">
        <w:t xml:space="preserve">following </w:t>
      </w:r>
      <w:r w:rsidR="00DE221D">
        <w:t xml:space="preserve">refinancing </w:t>
      </w:r>
      <w:r w:rsidR="00C5642A">
        <w:t>transactions</w:t>
      </w:r>
      <w:r w:rsidR="00042A03">
        <w:t xml:space="preserve">: </w:t>
      </w:r>
    </w:p>
    <w:p w:rsidR="002525E6" w:rsidP="00E309A1" w:rsidRDefault="00DE221D" w14:paraId="010F286A" w14:textId="48A5AF2E">
      <w:pPr>
        <w:pStyle w:val="ListAlpha"/>
        <w:ind w:right="1440"/>
      </w:pPr>
      <w:r>
        <w:t>A</w:t>
      </w:r>
      <w:r w:rsidR="00042A03">
        <w:t xml:space="preserve">n </w:t>
      </w:r>
      <w:r w:rsidRPr="007C25AC" w:rsidR="007C25AC">
        <w:t>extension of the A</w:t>
      </w:r>
      <w:r w:rsidR="005B0614">
        <w:t>sset-Based Loan</w:t>
      </w:r>
      <w:r w:rsidRPr="007C25AC" w:rsidR="007C25AC">
        <w:t xml:space="preserve"> </w:t>
      </w:r>
      <w:r w:rsidRPr="007C25AC" w:rsidR="00066F2D">
        <w:t xml:space="preserve">(ABL) </w:t>
      </w:r>
      <w:r w:rsidRPr="007C25AC" w:rsidR="007C25AC">
        <w:t>Credit Agreement approved in D</w:t>
      </w:r>
      <w:r w:rsidR="007C25AC">
        <w:t>ecision (D</w:t>
      </w:r>
      <w:r w:rsidRPr="007C25AC" w:rsidR="007C25AC">
        <w:t>.</w:t>
      </w:r>
      <w:r w:rsidR="007C25AC">
        <w:t xml:space="preserve">) </w:t>
      </w:r>
      <w:r w:rsidRPr="007C25AC" w:rsidR="007C25AC">
        <w:t>24-05-049</w:t>
      </w:r>
      <w:r w:rsidR="007C25AC">
        <w:t xml:space="preserve"> until June 20, 2031</w:t>
      </w:r>
      <w:r w:rsidR="00381D61">
        <w:t>,</w:t>
      </w:r>
      <w:r w:rsidRPr="007C25AC" w:rsidR="007C25AC">
        <w:t xml:space="preserve"> and </w:t>
      </w:r>
      <w:r w:rsidR="007C25AC">
        <w:t xml:space="preserve">an </w:t>
      </w:r>
      <w:r w:rsidRPr="007C25AC" w:rsidR="007C25AC">
        <w:t xml:space="preserve">increase the amount of the ABL </w:t>
      </w:r>
      <w:r w:rsidR="00066F2D">
        <w:t>Credit Agreement</w:t>
      </w:r>
      <w:r w:rsidRPr="007C25AC" w:rsidR="007C25AC">
        <w:t xml:space="preserve"> to $350 </w:t>
      </w:r>
      <w:proofErr w:type="gramStart"/>
      <w:r w:rsidRPr="007C25AC" w:rsidR="007C25AC">
        <w:t>million</w:t>
      </w:r>
      <w:r w:rsidR="00042A03">
        <w:t>;</w:t>
      </w:r>
      <w:proofErr w:type="gramEnd"/>
      <w:r w:rsidR="00042A03">
        <w:t xml:space="preserve"> </w:t>
      </w:r>
    </w:p>
    <w:p w:rsidR="002525E6" w:rsidP="00E309A1" w:rsidRDefault="00DE221D" w14:paraId="19109472" w14:textId="65631176">
      <w:pPr>
        <w:pStyle w:val="ListAlpha"/>
        <w:ind w:right="1440"/>
      </w:pPr>
      <w:r>
        <w:t>A</w:t>
      </w:r>
      <w:r w:rsidRPr="007C25AC" w:rsidR="007C25AC">
        <w:t xml:space="preserve"> </w:t>
      </w:r>
      <w:r w:rsidR="005B0614">
        <w:t xml:space="preserve">new Term Loan </w:t>
      </w:r>
      <w:r w:rsidRPr="007C25AC" w:rsidR="00066F2D">
        <w:t xml:space="preserve">(TLB) </w:t>
      </w:r>
      <w:r w:rsidR="005B0614">
        <w:t>C</w:t>
      </w:r>
      <w:r w:rsidRPr="007C25AC" w:rsidR="007C25AC">
        <w:t xml:space="preserve">redit </w:t>
      </w:r>
      <w:r w:rsidR="005B0614">
        <w:t>A</w:t>
      </w:r>
      <w:r w:rsidRPr="007C25AC" w:rsidR="007C25AC">
        <w:t>greement in the amount of $1.25 billion</w:t>
      </w:r>
      <w:r w:rsidR="005176B1">
        <w:t xml:space="preserve">, </w:t>
      </w:r>
      <w:r w:rsidRPr="005176B1" w:rsidR="005176B1">
        <w:t xml:space="preserve">including the option for Lodi to become an additional borrower under the TLB Credit </w:t>
      </w:r>
      <w:proofErr w:type="gramStart"/>
      <w:r w:rsidRPr="005176B1" w:rsidR="005176B1">
        <w:t>Agreement</w:t>
      </w:r>
      <w:r w:rsidRPr="007C25AC" w:rsidR="007C25AC">
        <w:t>;</w:t>
      </w:r>
      <w:proofErr w:type="gramEnd"/>
      <w:r w:rsidRPr="007C25AC" w:rsidR="007C25AC">
        <w:t xml:space="preserve"> </w:t>
      </w:r>
    </w:p>
    <w:p w:rsidR="002525E6" w:rsidP="00E309A1" w:rsidRDefault="007C25AC" w14:paraId="0A83F863" w14:textId="51271DB0">
      <w:pPr>
        <w:pStyle w:val="ListAlpha"/>
        <w:ind w:right="1440"/>
      </w:pPr>
      <w:r>
        <w:t>A</w:t>
      </w:r>
      <w:r w:rsidRPr="007C25AC">
        <w:t>n extension of the maturity date in the Intercompany Credit Agreement</w:t>
      </w:r>
      <w:r>
        <w:t xml:space="preserve"> </w:t>
      </w:r>
      <w:r w:rsidRPr="007C25AC">
        <w:t>approved in D.24-05-049</w:t>
      </w:r>
      <w:r w:rsidR="006064CA">
        <w:t>;</w:t>
      </w:r>
      <w:r w:rsidR="00381D61">
        <w:t xml:space="preserve"> and</w:t>
      </w:r>
    </w:p>
    <w:p w:rsidR="006064CA" w:rsidP="00E309A1" w:rsidRDefault="006064CA" w14:paraId="4ED0C141" w14:textId="449AB67C">
      <w:pPr>
        <w:pStyle w:val="ListAlpha"/>
        <w:ind w:right="1440"/>
      </w:pPr>
      <w:r>
        <w:t>T</w:t>
      </w:r>
      <w:r w:rsidRPr="007C25AC" w:rsidR="007C25AC">
        <w:t xml:space="preserve">he issuance of corporate guarantees for the ABL, TLB, and Intercompany </w:t>
      </w:r>
      <w:r w:rsidR="00066F2D">
        <w:t>c</w:t>
      </w:r>
      <w:r w:rsidRPr="007C25AC" w:rsidR="007C25AC">
        <w:t xml:space="preserve">redit </w:t>
      </w:r>
      <w:r w:rsidR="00066F2D">
        <w:t>a</w:t>
      </w:r>
      <w:r w:rsidRPr="007C25AC" w:rsidR="007C25AC">
        <w:t>greement</w:t>
      </w:r>
      <w:r w:rsidR="00066F2D">
        <w:t>s</w:t>
      </w:r>
      <w:r w:rsidRPr="007C25AC" w:rsidR="007C25AC">
        <w:t>, and the provision of assets as security for the ABL and TLB</w:t>
      </w:r>
      <w:r w:rsidR="00066F2D">
        <w:t xml:space="preserve"> credit agreements</w:t>
      </w:r>
      <w:r w:rsidRPr="007C25AC" w:rsidR="007C25AC">
        <w:t xml:space="preserve">. </w:t>
      </w:r>
    </w:p>
    <w:bookmarkEnd w:id="4"/>
    <w:p w:rsidR="002C7FE9" w:rsidP="006929D0" w:rsidRDefault="006929D0" w14:paraId="5665F73B" w14:textId="04831CF3">
      <w:pPr>
        <w:pStyle w:val="Standard"/>
      </w:pPr>
      <w:r>
        <w:t>T</w:t>
      </w:r>
      <w:r w:rsidR="00042A03">
        <w:t>h</w:t>
      </w:r>
      <w:r w:rsidR="00743279">
        <w:t xml:space="preserve">rough these </w:t>
      </w:r>
      <w:r w:rsidR="00F37D16">
        <w:t>transactions</w:t>
      </w:r>
      <w:r w:rsidR="00042A03">
        <w:t xml:space="preserve"> </w:t>
      </w:r>
      <w:r w:rsidR="00046423">
        <w:t>(</w:t>
      </w:r>
      <w:r w:rsidR="004B50E7">
        <w:t xml:space="preserve">collectively </w:t>
      </w:r>
      <w:r w:rsidR="00743279">
        <w:t xml:space="preserve">referred to as the </w:t>
      </w:r>
      <w:r w:rsidR="00FD1CC7">
        <w:t>2024</w:t>
      </w:r>
      <w:r w:rsidR="00743279">
        <w:t xml:space="preserve"> </w:t>
      </w:r>
      <w:r w:rsidR="00264AB9">
        <w:t>Refinancing</w:t>
      </w:r>
      <w:r w:rsidR="00B117DE">
        <w:t xml:space="preserve"> Request</w:t>
      </w:r>
      <w:r w:rsidR="00046423">
        <w:t>)</w:t>
      </w:r>
      <w:r w:rsidR="00CC0013">
        <w:t>,</w:t>
      </w:r>
      <w:r w:rsidR="00743279">
        <w:t xml:space="preserve"> </w:t>
      </w:r>
      <w:r w:rsidR="00042A03">
        <w:t xml:space="preserve">the Joint Applicants </w:t>
      </w:r>
      <w:r w:rsidR="00FC7EA7">
        <w:t>will</w:t>
      </w:r>
      <w:r w:rsidR="00042A03">
        <w:t xml:space="preserve"> encumber</w:t>
      </w:r>
      <w:r w:rsidR="004B50E7">
        <w:t xml:space="preserve"> </w:t>
      </w:r>
      <w:r w:rsidR="00042A03">
        <w:t>or guarantee their individual assets as security for the debt of their senior affiliates.</w:t>
      </w:r>
      <w:r w:rsidR="00F37D16">
        <w:rPr>
          <w:rStyle w:val="FootnoteReference"/>
        </w:rPr>
        <w:footnoteReference w:id="3"/>
      </w:r>
    </w:p>
    <w:p w:rsidR="0063491C" w:rsidP="00F31A69" w:rsidRDefault="003D65AA" w14:paraId="20CA79D6" w14:textId="339D9FD1">
      <w:pPr>
        <w:pStyle w:val="Heading3"/>
        <w:numPr>
          <w:ilvl w:val="1"/>
          <w:numId w:val="21"/>
        </w:numPr>
        <w:tabs>
          <w:tab w:val="left" w:pos="1440"/>
        </w:tabs>
        <w:ind w:left="1440"/>
      </w:pPr>
      <w:r>
        <w:lastRenderedPageBreak/>
        <w:t>Description and Background</w:t>
      </w:r>
      <w:r w:rsidR="00F31A69">
        <w:t xml:space="preserve"> </w:t>
      </w:r>
      <w:r>
        <w:t xml:space="preserve">of </w:t>
      </w:r>
      <w:r w:rsidR="004311F4">
        <w:t xml:space="preserve">the </w:t>
      </w:r>
      <w:r w:rsidR="00FD1CC7">
        <w:t>2024</w:t>
      </w:r>
      <w:r>
        <w:t xml:space="preserve"> Refinancing</w:t>
      </w:r>
      <w:r w:rsidR="0071386A">
        <w:t xml:space="preserve"> Request</w:t>
      </w:r>
    </w:p>
    <w:p w:rsidR="00F30675" w:rsidP="00221FDC" w:rsidRDefault="00F30675" w14:paraId="3A4AC608" w14:textId="54B9B5E5">
      <w:pPr>
        <w:pStyle w:val="Standard"/>
      </w:pPr>
      <w:bookmarkStart w:name="_Toc8123717" w:id="5"/>
      <w:bookmarkStart w:name="_Toc133843845" w:id="6"/>
      <w:r>
        <w:t xml:space="preserve">Approval of the </w:t>
      </w:r>
      <w:r w:rsidR="00FD1CC7">
        <w:t>2024</w:t>
      </w:r>
      <w:r>
        <w:t xml:space="preserve"> </w:t>
      </w:r>
      <w:r w:rsidR="00264AB9">
        <w:t xml:space="preserve">Refinancing </w:t>
      </w:r>
      <w:r w:rsidR="00B117DE">
        <w:t xml:space="preserve">Request </w:t>
      </w:r>
      <w:r w:rsidR="005B0614">
        <w:t xml:space="preserve">would </w:t>
      </w:r>
      <w:r>
        <w:t>a</w:t>
      </w:r>
      <w:r w:rsidR="00456760">
        <w:t>uthorize</w:t>
      </w:r>
      <w:r>
        <w:t xml:space="preserve"> the Joint Applicants to pledge the</w:t>
      </w:r>
      <w:r w:rsidR="00456760">
        <w:t>ir</w:t>
      </w:r>
      <w:r>
        <w:t xml:space="preserve"> physical and financial assets, the accounts </w:t>
      </w:r>
      <w:r w:rsidR="0048754F">
        <w:t>receivable</w:t>
      </w:r>
      <w:r>
        <w:t xml:space="preserve"> owned by their customers, and the proprietary natural gas in their respective storage facilities.</w:t>
      </w:r>
      <w:r w:rsidR="00221FDC">
        <w:t xml:space="preserve">  </w:t>
      </w:r>
      <w:r>
        <w:t xml:space="preserve">It </w:t>
      </w:r>
      <w:r w:rsidR="005B0614">
        <w:t xml:space="preserve">would also </w:t>
      </w:r>
      <w:r>
        <w:t>a</w:t>
      </w:r>
      <w:r w:rsidR="00456760">
        <w:t>uthorize</w:t>
      </w:r>
      <w:r>
        <w:t xml:space="preserve"> </w:t>
      </w:r>
      <w:r w:rsidR="001753EE">
        <w:t xml:space="preserve">the </w:t>
      </w:r>
      <w:r>
        <w:t xml:space="preserve">Joint Applicants to offer a corporate guarantee to secure the debt of their affiliates. </w:t>
      </w:r>
      <w:r w:rsidR="005D7108">
        <w:t xml:space="preserve"> </w:t>
      </w:r>
      <w:r w:rsidR="0048754F">
        <w:t>T</w:t>
      </w:r>
      <w:r w:rsidR="00456760">
        <w:t>h</w:t>
      </w:r>
      <w:r w:rsidR="00CC0013">
        <w:t>e</w:t>
      </w:r>
      <w:r>
        <w:t xml:space="preserve"> pledge and guarantee</w:t>
      </w:r>
      <w:r w:rsidR="00456760">
        <w:t xml:space="preserve"> </w:t>
      </w:r>
      <w:r>
        <w:t>provide the Joint Applicants with access to lower-cost financing for their operations and working capital requirements, which allows the Joint Applicants to conduct their business more efficiently and provide service at more attractive rates.</w:t>
      </w:r>
    </w:p>
    <w:p w:rsidR="004E4EF0" w:rsidP="004E4EF0" w:rsidRDefault="00F30675" w14:paraId="0B782F42" w14:textId="7336D3B1">
      <w:pPr>
        <w:pStyle w:val="Standard"/>
      </w:pPr>
      <w:r w:rsidRPr="00074C1D">
        <w:t xml:space="preserve">In </w:t>
      </w:r>
      <w:r w:rsidR="00221FDC">
        <w:t>D.</w:t>
      </w:r>
      <w:r w:rsidRPr="00074C1D">
        <w:t>17-10-01</w:t>
      </w:r>
      <w:r w:rsidRPr="00074C1D" w:rsidR="00456760">
        <w:t>4</w:t>
      </w:r>
      <w:r w:rsidRPr="00074C1D">
        <w:t xml:space="preserve">, the Commission granted </w:t>
      </w:r>
      <w:r w:rsidRPr="00074C1D" w:rsidR="00CC0013">
        <w:t xml:space="preserve">a similar request by the </w:t>
      </w:r>
      <w:r w:rsidRPr="00074C1D">
        <w:t xml:space="preserve">Joint Applicants to exempt from </w:t>
      </w:r>
      <w:r w:rsidRPr="00074C1D" w:rsidR="001753EE">
        <w:t xml:space="preserve">Pub. Util. Code </w:t>
      </w:r>
      <w:r w:rsidRPr="00074C1D">
        <w:t>Section 8</w:t>
      </w:r>
      <w:r w:rsidRPr="00074C1D" w:rsidR="00E84401">
        <w:t>31</w:t>
      </w:r>
      <w:r w:rsidRPr="00074C1D">
        <w:t xml:space="preserve"> and 85</w:t>
      </w:r>
      <w:r w:rsidRPr="00074C1D" w:rsidR="00E84401">
        <w:t>0</w:t>
      </w:r>
      <w:r w:rsidRPr="00074C1D">
        <w:t xml:space="preserve"> a</w:t>
      </w:r>
      <w:r w:rsidRPr="00074C1D" w:rsidR="00046423">
        <w:t>n</w:t>
      </w:r>
      <w:r w:rsidRPr="00074C1D">
        <w:t xml:space="preserve"> ABL Credit Agreement, </w:t>
      </w:r>
      <w:r w:rsidR="00066F2D">
        <w:t>TLB</w:t>
      </w:r>
      <w:r w:rsidRPr="00074C1D">
        <w:t xml:space="preserve"> </w:t>
      </w:r>
      <w:r w:rsidR="00066F2D">
        <w:t xml:space="preserve">Credit </w:t>
      </w:r>
      <w:r w:rsidRPr="00074C1D">
        <w:t xml:space="preserve">Agreement, and Intercompany Agreement. </w:t>
      </w:r>
      <w:r w:rsidRPr="00074C1D" w:rsidR="00092574">
        <w:t xml:space="preserve"> </w:t>
      </w:r>
      <w:r w:rsidRPr="00074C1D">
        <w:t>In D.18-10-029</w:t>
      </w:r>
      <w:r w:rsidR="007D685A">
        <w:t>,</w:t>
      </w:r>
      <w:r w:rsidRPr="00074C1D">
        <w:t xml:space="preserve"> D.21-11-020</w:t>
      </w:r>
      <w:r w:rsidR="007D685A">
        <w:t xml:space="preserve"> and D.24-</w:t>
      </w:r>
      <w:r w:rsidR="009E09DE">
        <w:t>05</w:t>
      </w:r>
      <w:r w:rsidR="007D685A">
        <w:t>-</w:t>
      </w:r>
      <w:r w:rsidR="009E09DE">
        <w:t>049</w:t>
      </w:r>
      <w:r w:rsidRPr="00074C1D">
        <w:t>, the Commission granted</w:t>
      </w:r>
      <w:r w:rsidRPr="00074C1D" w:rsidR="001753EE">
        <w:t xml:space="preserve"> the</w:t>
      </w:r>
      <w:r w:rsidRPr="00074C1D">
        <w:t xml:space="preserve"> Joint Applicants’ requests </w:t>
      </w:r>
      <w:r w:rsidR="005B0614">
        <w:t xml:space="preserve">for </w:t>
      </w:r>
      <w:r w:rsidRPr="00074C1D" w:rsidR="00E84401">
        <w:t xml:space="preserve">extensions </w:t>
      </w:r>
      <w:r w:rsidR="005B0614">
        <w:t xml:space="preserve">of the exemptions </w:t>
      </w:r>
      <w:r w:rsidRPr="00074C1D" w:rsidR="00E84401">
        <w:t xml:space="preserve">to </w:t>
      </w:r>
      <w:r w:rsidRPr="00074C1D">
        <w:t>similar financing transact</w:t>
      </w:r>
      <w:r w:rsidRPr="00074C1D" w:rsidR="0048754F">
        <w:t>i</w:t>
      </w:r>
      <w:r w:rsidRPr="00074C1D">
        <w:t xml:space="preserve">ons. </w:t>
      </w:r>
      <w:r w:rsidR="004E4EF0">
        <w:t xml:space="preserve"> </w:t>
      </w:r>
    </w:p>
    <w:p w:rsidR="009E09DE" w:rsidP="00C06CAD" w:rsidRDefault="00F30675" w14:paraId="2910CE06" w14:textId="0F75A76D">
      <w:pPr>
        <w:pStyle w:val="Standard"/>
      </w:pPr>
      <w:r w:rsidRPr="00074C1D">
        <w:t xml:space="preserve">The </w:t>
      </w:r>
      <w:r w:rsidR="00FD1CC7">
        <w:t>2024</w:t>
      </w:r>
      <w:r w:rsidRPr="00074C1D">
        <w:t xml:space="preserve"> Refinancing </w:t>
      </w:r>
      <w:r w:rsidR="00B117DE">
        <w:t>Request</w:t>
      </w:r>
      <w:r w:rsidRPr="00074C1D" w:rsidR="00B117DE">
        <w:t xml:space="preserve"> </w:t>
      </w:r>
      <w:r w:rsidRPr="00074C1D">
        <w:t xml:space="preserve">will </w:t>
      </w:r>
      <w:r w:rsidRPr="00074C1D" w:rsidR="00E84401">
        <w:t xml:space="preserve">make a total of </w:t>
      </w:r>
      <w:r w:rsidRPr="00041767" w:rsidR="00E84401">
        <w:t>$</w:t>
      </w:r>
      <w:r w:rsidRPr="00041767" w:rsidR="004E4EF0">
        <w:t>1.</w:t>
      </w:r>
      <w:r w:rsidRPr="00041767" w:rsidR="006B1412">
        <w:t>7</w:t>
      </w:r>
      <w:r w:rsidRPr="00041767" w:rsidR="00E84401">
        <w:t xml:space="preserve"> </w:t>
      </w:r>
      <w:r w:rsidRPr="00041767" w:rsidR="004E4EF0">
        <w:t>b</w:t>
      </w:r>
      <w:r w:rsidRPr="00041767" w:rsidR="00E84401">
        <w:t>illion</w:t>
      </w:r>
      <w:r w:rsidRPr="00074C1D" w:rsidR="00E84401">
        <w:t xml:space="preserve"> available in financial resources.</w:t>
      </w:r>
      <w:r w:rsidRPr="00074C1D" w:rsidR="00EA4FB9">
        <w:rPr>
          <w:rStyle w:val="FootnoteReference"/>
        </w:rPr>
        <w:footnoteReference w:id="4"/>
      </w:r>
      <w:r w:rsidRPr="00074C1D" w:rsidR="00E84401">
        <w:t xml:space="preserve">  </w:t>
      </w:r>
      <w:r w:rsidR="00041767">
        <w:t>This includes</w:t>
      </w:r>
      <w:r w:rsidR="007D685A">
        <w:t xml:space="preserve">: (1) $350 million under the </w:t>
      </w:r>
      <w:r w:rsidRPr="00074C1D">
        <w:t>ABL Credit Agreement</w:t>
      </w:r>
      <w:r w:rsidR="007D685A">
        <w:t xml:space="preserve">; (2) </w:t>
      </w:r>
      <w:r w:rsidR="004E4EF0">
        <w:t xml:space="preserve">a </w:t>
      </w:r>
      <w:r w:rsidRPr="007C25AC" w:rsidR="004E4EF0">
        <w:t xml:space="preserve">TLB Credit </w:t>
      </w:r>
      <w:r w:rsidR="004E4EF0">
        <w:t>Agreement</w:t>
      </w:r>
      <w:r w:rsidR="00C06CAD">
        <w:t xml:space="preserve"> </w:t>
      </w:r>
      <w:r w:rsidR="007D685A">
        <w:t>for up to</w:t>
      </w:r>
      <w:r w:rsidR="00C06CAD">
        <w:t xml:space="preserve"> $1.</w:t>
      </w:r>
      <w:r w:rsidR="007D685A">
        <w:t>2</w:t>
      </w:r>
      <w:r w:rsidR="00C06CAD">
        <w:t>5 billion</w:t>
      </w:r>
      <w:r w:rsidR="007D685A">
        <w:t xml:space="preserve"> and (3) an Intercompany Credit</w:t>
      </w:r>
      <w:r w:rsidR="009E09DE">
        <w:t xml:space="preserve"> </w:t>
      </w:r>
      <w:r w:rsidR="007D685A">
        <w:t>Agreement for a $100 million backstop loan</w:t>
      </w:r>
      <w:r w:rsidR="00C06CAD">
        <w:t>.</w:t>
      </w:r>
      <w:r w:rsidR="004E4EF0">
        <w:t xml:space="preserve">  </w:t>
      </w:r>
      <w:r w:rsidR="007D685A">
        <w:t>The 2024 Refina</w:t>
      </w:r>
      <w:r w:rsidR="009E09DE">
        <w:t>n</w:t>
      </w:r>
      <w:r w:rsidR="007D685A">
        <w:t xml:space="preserve">cing </w:t>
      </w:r>
      <w:r w:rsidR="00B117DE">
        <w:t xml:space="preserve">Request </w:t>
      </w:r>
      <w:r w:rsidR="009E09DE">
        <w:t xml:space="preserve">also includes extensions of the ABL Credit Agreement and the Intercompany Credit Agreement, which have been previously authorized by the Commission.  </w:t>
      </w:r>
      <w:r w:rsidRPr="009E09DE" w:rsidR="009E09DE">
        <w:t>The TLB Credit Agreement is a seven-year loan for $1.25 billion that matures on September 18, 2031</w:t>
      </w:r>
      <w:r w:rsidR="006929D0">
        <w:t>,</w:t>
      </w:r>
      <w:r w:rsidR="009E09DE">
        <w:t xml:space="preserve"> and</w:t>
      </w:r>
      <w:r w:rsidRPr="009E09DE" w:rsidR="009E09DE">
        <w:t xml:space="preserve"> provid</w:t>
      </w:r>
      <w:r w:rsidR="009E09DE">
        <w:t>e</w:t>
      </w:r>
      <w:r w:rsidR="00884CA2">
        <w:t>s</w:t>
      </w:r>
      <w:r w:rsidRPr="009E09DE" w:rsidR="009E09DE">
        <w:t xml:space="preserve"> an opportunity to retire existing debt under favorable terms.</w:t>
      </w:r>
      <w:r w:rsidR="009E09DE">
        <w:rPr>
          <w:rStyle w:val="FootnoteReference"/>
        </w:rPr>
        <w:footnoteReference w:id="5"/>
      </w:r>
      <w:r w:rsidRPr="009E09DE" w:rsidR="009E09DE">
        <w:t xml:space="preserve"> </w:t>
      </w:r>
    </w:p>
    <w:p w:rsidRPr="00074C1D" w:rsidR="00F30675" w:rsidP="00C06CAD" w:rsidRDefault="00C06CAD" w14:paraId="36A791CD" w14:textId="48F427C2">
      <w:pPr>
        <w:pStyle w:val="Standard"/>
      </w:pPr>
      <w:r>
        <w:lastRenderedPageBreak/>
        <w:t>The Joint Applicants assert that t</w:t>
      </w:r>
      <w:r w:rsidRPr="00074C1D" w:rsidR="00F30675">
        <w:t>he increase</w:t>
      </w:r>
      <w:r w:rsidR="007D685A">
        <w:t xml:space="preserve"> in </w:t>
      </w:r>
      <w:r w:rsidR="005B0614">
        <w:t xml:space="preserve">available </w:t>
      </w:r>
      <w:r w:rsidR="007D685A">
        <w:t xml:space="preserve">financing </w:t>
      </w:r>
      <w:r w:rsidR="005B0614">
        <w:t>resources</w:t>
      </w:r>
      <w:r w:rsidRPr="00074C1D" w:rsidR="00F30675">
        <w:t xml:space="preserve"> is </w:t>
      </w:r>
      <w:r w:rsidR="007D685A">
        <w:t xml:space="preserve">necessary </w:t>
      </w:r>
      <w:r w:rsidRPr="00074C1D" w:rsidR="00F30675">
        <w:t>due to rising costs of gas</w:t>
      </w:r>
      <w:r w:rsidRPr="00074C1D" w:rsidR="00092574">
        <w:t xml:space="preserve"> and</w:t>
      </w:r>
      <w:r w:rsidRPr="00074C1D" w:rsidR="00F30675">
        <w:t xml:space="preserve"> inflation, and a more volatile natural gas market.</w:t>
      </w:r>
      <w:r w:rsidRPr="00074C1D" w:rsidR="00EA4FB9">
        <w:rPr>
          <w:rStyle w:val="FootnoteReference"/>
        </w:rPr>
        <w:footnoteReference w:id="6"/>
      </w:r>
      <w:r w:rsidR="006B1412">
        <w:t xml:space="preserve">  They also indicate that the inclusion of </w:t>
      </w:r>
      <w:r w:rsidR="003911B6">
        <w:t>California</w:t>
      </w:r>
      <w:r w:rsidR="006B1412">
        <w:t xml:space="preserve"> storage assets is necessary to secure reasonable interest rates and terms for the refinancing.</w:t>
      </w:r>
      <w:r w:rsidR="006B1412">
        <w:rPr>
          <w:rStyle w:val="FootnoteReference"/>
        </w:rPr>
        <w:footnoteReference w:id="7"/>
      </w:r>
      <w:r w:rsidR="006B1412">
        <w:t xml:space="preserve"> </w:t>
      </w:r>
    </w:p>
    <w:p w:rsidRPr="00074C1D" w:rsidR="003D65AA" w:rsidP="00F31A69" w:rsidRDefault="00F31A69" w14:paraId="4CE9994A" w14:textId="361B477B">
      <w:pPr>
        <w:pStyle w:val="Heading2"/>
        <w:tabs>
          <w:tab w:val="clear" w:pos="1080"/>
          <w:tab w:val="left" w:pos="1170"/>
        </w:tabs>
        <w:ind w:left="1440"/>
      </w:pPr>
      <w:r>
        <w:t xml:space="preserve">    </w:t>
      </w:r>
      <w:r w:rsidRPr="00074C1D" w:rsidR="003D65AA">
        <w:t xml:space="preserve">Description of </w:t>
      </w:r>
      <w:r w:rsidRPr="00074C1D" w:rsidR="001753EE">
        <w:t xml:space="preserve">the </w:t>
      </w:r>
      <w:r w:rsidRPr="00074C1D" w:rsidR="003D65AA">
        <w:t>Joint Applicants and Related Corporate Affiliates</w:t>
      </w:r>
    </w:p>
    <w:p w:rsidRPr="00074C1D" w:rsidR="00BB5CA6" w:rsidP="00221FDC" w:rsidRDefault="00BB5CA6" w14:paraId="2D1912FB" w14:textId="29228943">
      <w:pPr>
        <w:pStyle w:val="Standard"/>
      </w:pPr>
      <w:r w:rsidRPr="00074C1D">
        <w:t>The Joint Applicants are both certified working gas storage facilities.  Wild Goose Storage, LLC (Wild Goose) began commercial operations in April 1999 and is certified to provide 1,200 million cubic feet per day (</w:t>
      </w:r>
      <w:proofErr w:type="spellStart"/>
      <w:r w:rsidRPr="00074C1D">
        <w:t>MMcf</w:t>
      </w:r>
      <w:proofErr w:type="spellEnd"/>
      <w:r w:rsidRPr="00074C1D" w:rsidR="002F375A">
        <w:t>/</w:t>
      </w:r>
      <w:r w:rsidRPr="00074C1D">
        <w:t xml:space="preserve">d) of withdrawal capacity, 650 </w:t>
      </w:r>
      <w:proofErr w:type="spellStart"/>
      <w:r w:rsidRPr="00074C1D">
        <w:t>MMcf</w:t>
      </w:r>
      <w:proofErr w:type="spellEnd"/>
      <w:r w:rsidRPr="00074C1D">
        <w:t xml:space="preserve">/d of injection capability, and 75 billion cubic feet (Bcf) of working </w:t>
      </w:r>
      <w:r w:rsidRPr="00074C1D" w:rsidR="00E60219">
        <w:t>g</w:t>
      </w:r>
      <w:r w:rsidRPr="00074C1D">
        <w:t>as storage capacity.</w:t>
      </w:r>
      <w:r w:rsidRPr="00074C1D" w:rsidR="00EA4FB9">
        <w:rPr>
          <w:rStyle w:val="FootnoteReference"/>
        </w:rPr>
        <w:footnoteReference w:id="8"/>
      </w:r>
      <w:r w:rsidRPr="00074C1D">
        <w:t xml:space="preserve"> </w:t>
      </w:r>
      <w:r w:rsidRPr="00074C1D" w:rsidR="00092574">
        <w:t xml:space="preserve"> </w:t>
      </w:r>
      <w:r w:rsidRPr="00074C1D">
        <w:t xml:space="preserve">Lodi Gas Storage Facility, L.L.C. (Lodi) began commercial operations in 2002 and </w:t>
      </w:r>
      <w:r w:rsidRPr="00074C1D" w:rsidR="00E60219">
        <w:t xml:space="preserve">is certified to provide 500 </w:t>
      </w:r>
      <w:proofErr w:type="spellStart"/>
      <w:r w:rsidRPr="00074C1D" w:rsidR="00E60219">
        <w:t>MMcf</w:t>
      </w:r>
      <w:proofErr w:type="spellEnd"/>
      <w:r w:rsidRPr="00074C1D" w:rsidR="00E60219">
        <w:t xml:space="preserve">/d of withdrawal capacity, 400 </w:t>
      </w:r>
      <w:proofErr w:type="spellStart"/>
      <w:r w:rsidRPr="00074C1D" w:rsidR="00E60219">
        <w:t>MMcf</w:t>
      </w:r>
      <w:proofErr w:type="spellEnd"/>
      <w:r w:rsidRPr="00074C1D" w:rsidR="00E60219">
        <w:t xml:space="preserve">/d of injection capability, and </w:t>
      </w:r>
      <w:r w:rsidRPr="00074C1D">
        <w:t xml:space="preserve">17 Bcf </w:t>
      </w:r>
      <w:r w:rsidRPr="00074C1D" w:rsidR="00E60219">
        <w:t>of working gas storage capacity.</w:t>
      </w:r>
      <w:r w:rsidRPr="00074C1D" w:rsidR="00EA4FB9">
        <w:rPr>
          <w:rStyle w:val="FootnoteReference"/>
        </w:rPr>
        <w:footnoteReference w:id="9"/>
      </w:r>
      <w:r w:rsidRPr="00074C1D">
        <w:t xml:space="preserve"> </w:t>
      </w:r>
      <w:r w:rsidR="00A57646">
        <w:t xml:space="preserve"> </w:t>
      </w:r>
      <w:r w:rsidRPr="005176B1" w:rsidR="00A57646">
        <w:t>Lodi’s Kirby Hills facility was placed in service in 2007 and has 17.5 Bcf of working gas storage capacity and a 300MMcf/d for both injection and withdrawal capacity.</w:t>
      </w:r>
    </w:p>
    <w:p w:rsidRPr="00074C1D" w:rsidR="003D65AA" w:rsidP="003D65AA" w:rsidRDefault="00BB5CA6" w14:paraId="594DA7ED" w14:textId="3C41A642">
      <w:pPr>
        <w:pStyle w:val="Standard"/>
      </w:pPr>
      <w:r w:rsidRPr="00074C1D">
        <w:t>The Commission granted the Joint Applicants authority to provide firm and interruptible storage services at market-based rates</w:t>
      </w:r>
      <w:r w:rsidR="002D4D00">
        <w:t>.</w:t>
      </w:r>
      <w:r w:rsidRPr="00074C1D">
        <w:t xml:space="preserve"> </w:t>
      </w:r>
      <w:r w:rsidRPr="00074C1D" w:rsidR="00092574">
        <w:t xml:space="preserve"> </w:t>
      </w:r>
      <w:r w:rsidRPr="00074C1D">
        <w:t xml:space="preserve">The Joint Applicants </w:t>
      </w:r>
      <w:r w:rsidR="00FD6282">
        <w:t>bear the</w:t>
      </w:r>
      <w:r w:rsidRPr="00074C1D" w:rsidR="00FD6282">
        <w:t xml:space="preserve"> risk </w:t>
      </w:r>
      <w:proofErr w:type="gramStart"/>
      <w:r w:rsidR="00FD6282">
        <w:t>to</w:t>
      </w:r>
      <w:r w:rsidRPr="00074C1D" w:rsidR="00FD6282">
        <w:t xml:space="preserve"> recover</w:t>
      </w:r>
      <w:proofErr w:type="gramEnd"/>
      <w:r w:rsidRPr="00074C1D" w:rsidR="00FD6282">
        <w:t xml:space="preserve"> </w:t>
      </w:r>
      <w:r w:rsidR="00FD6282">
        <w:t>the costs of providing storage</w:t>
      </w:r>
      <w:r w:rsidRPr="00074C1D">
        <w:t xml:space="preserve">. </w:t>
      </w:r>
      <w:r w:rsidRPr="00074C1D" w:rsidR="00092574">
        <w:t xml:space="preserve"> </w:t>
      </w:r>
      <w:r w:rsidRPr="00074C1D" w:rsidR="00977D72">
        <w:t>Wild Goose’s owners funded the initial facility and all subsequent expansions.</w:t>
      </w:r>
      <w:r w:rsidRPr="00074C1D" w:rsidR="002D7F7B">
        <w:rPr>
          <w:rStyle w:val="FootnoteReference"/>
        </w:rPr>
        <w:footnoteReference w:id="10"/>
      </w:r>
      <w:r w:rsidRPr="00074C1D" w:rsidR="00977D72">
        <w:t xml:space="preserve"> </w:t>
      </w:r>
      <w:r w:rsidRPr="00074C1D" w:rsidR="00092574">
        <w:t xml:space="preserve"> </w:t>
      </w:r>
      <w:r w:rsidRPr="00074C1D" w:rsidR="00977D72">
        <w:t xml:space="preserve">The Commission </w:t>
      </w:r>
      <w:r w:rsidRPr="00074C1D" w:rsidR="00977D72">
        <w:lastRenderedPageBreak/>
        <w:t xml:space="preserve">granted Lodi </w:t>
      </w:r>
      <w:r w:rsidRPr="00074C1D" w:rsidR="002627E4">
        <w:t>a</w:t>
      </w:r>
      <w:r w:rsidRPr="00074C1D" w:rsidR="00742439">
        <w:t xml:space="preserve"> project-specific</w:t>
      </w:r>
      <w:r w:rsidRPr="00074C1D" w:rsidR="00977D72">
        <w:t xml:space="preserve"> exemption from the requirements of the Pub</w:t>
      </w:r>
      <w:r w:rsidRPr="00074C1D" w:rsidR="001753EE">
        <w:t>.</w:t>
      </w:r>
      <w:r w:rsidRPr="00074C1D" w:rsidR="00977D72">
        <w:t xml:space="preserve"> Util</w:t>
      </w:r>
      <w:r w:rsidRPr="00074C1D" w:rsidR="001753EE">
        <w:t>.</w:t>
      </w:r>
      <w:r w:rsidRPr="00074C1D" w:rsidR="00977D72">
        <w:t xml:space="preserve"> Code to obtain financing to construct its original facilities.</w:t>
      </w:r>
      <w:r w:rsidRPr="00074C1D" w:rsidR="002D7F7B">
        <w:rPr>
          <w:rStyle w:val="FootnoteReference"/>
        </w:rPr>
        <w:footnoteReference w:id="11"/>
      </w:r>
      <w:r w:rsidRPr="00074C1D">
        <w:t xml:space="preserve"> </w:t>
      </w:r>
    </w:p>
    <w:p w:rsidRPr="003D65AA" w:rsidR="00CB3CDD" w:rsidP="003D65AA" w:rsidRDefault="00CB3CDD" w14:paraId="694B785B" w14:textId="3C6F2863">
      <w:pPr>
        <w:pStyle w:val="Standard"/>
      </w:pPr>
      <w:r w:rsidRPr="00074C1D">
        <w:t xml:space="preserve">The Commission authorized the transfer of Lodi and </w:t>
      </w:r>
      <w:r w:rsidRPr="00074C1D" w:rsidR="00E64B7A">
        <w:t xml:space="preserve">Wild Goose to </w:t>
      </w:r>
      <w:r w:rsidRPr="00074C1D">
        <w:t xml:space="preserve">Brookfield Infrastructure </w:t>
      </w:r>
      <w:r w:rsidRPr="00074C1D" w:rsidR="00695CF2">
        <w:t xml:space="preserve">Fund </w:t>
      </w:r>
      <w:r w:rsidRPr="00074C1D" w:rsidR="00E64B7A">
        <w:t xml:space="preserve">(Brookfield) in </w:t>
      </w:r>
      <w:r w:rsidRPr="00074C1D">
        <w:t>D.14-12-013</w:t>
      </w:r>
      <w:r w:rsidRPr="00074C1D" w:rsidR="00E64B7A">
        <w:t xml:space="preserve"> and</w:t>
      </w:r>
      <w:r w:rsidRPr="00074C1D">
        <w:t xml:space="preserve"> D.16-06-014,</w:t>
      </w:r>
      <w:r>
        <w:t xml:space="preserve"> </w:t>
      </w:r>
      <w:r w:rsidR="00E64B7A">
        <w:t>respectively.</w:t>
      </w:r>
      <w:r w:rsidR="00DE221D">
        <w:rPr>
          <w:rStyle w:val="FootnoteReference"/>
        </w:rPr>
        <w:footnoteReference w:id="12"/>
      </w:r>
      <w:r w:rsidR="00092574">
        <w:t xml:space="preserve"> </w:t>
      </w:r>
      <w:r w:rsidR="00E64B7A">
        <w:t xml:space="preserve"> </w:t>
      </w:r>
      <w:r>
        <w:t xml:space="preserve">After acquiring </w:t>
      </w:r>
      <w:r w:rsidR="00E64B7A">
        <w:t xml:space="preserve">the Joint Applicants, Brookfield rebranded its portfolio of gas storage facilities (comprising </w:t>
      </w:r>
      <w:r w:rsidR="00A4185A">
        <w:t xml:space="preserve">of </w:t>
      </w:r>
      <w:r w:rsidR="00E64B7A">
        <w:t>Wild Goo</w:t>
      </w:r>
      <w:r w:rsidR="00E93BD8">
        <w:t>s</w:t>
      </w:r>
      <w:r w:rsidR="00E64B7A">
        <w:t>e, AECO, Salt Plains, Lodi, Tres Palacios, and Warick</w:t>
      </w:r>
      <w:r w:rsidR="00092574">
        <w:t>, at the time</w:t>
      </w:r>
      <w:r w:rsidR="00E64B7A">
        <w:t xml:space="preserve">) as </w:t>
      </w:r>
      <w:proofErr w:type="spellStart"/>
      <w:r w:rsidR="00E64B7A">
        <w:t>Rockpoint</w:t>
      </w:r>
      <w:proofErr w:type="spellEnd"/>
      <w:r w:rsidR="00E64B7A">
        <w:t xml:space="preserve"> Gas Storage (</w:t>
      </w:r>
      <w:proofErr w:type="spellStart"/>
      <w:r w:rsidR="00E64B7A">
        <w:t>Rockpoint</w:t>
      </w:r>
      <w:proofErr w:type="spellEnd"/>
      <w:r w:rsidR="00E64B7A">
        <w:t>).</w:t>
      </w:r>
      <w:r w:rsidR="008E2D2E">
        <w:rPr>
          <w:rStyle w:val="FootnoteReference"/>
        </w:rPr>
        <w:footnoteReference w:id="13"/>
      </w:r>
      <w:r w:rsidR="00E64B7A">
        <w:t xml:space="preserve"> </w:t>
      </w:r>
      <w:r w:rsidR="00092574">
        <w:t xml:space="preserve"> </w:t>
      </w:r>
      <w:proofErr w:type="spellStart"/>
      <w:r w:rsidR="00E64B7A">
        <w:t>Rockpoint</w:t>
      </w:r>
      <w:proofErr w:type="spellEnd"/>
      <w:r w:rsidR="00E64B7A">
        <w:t xml:space="preserve"> now manages and operates both the Wild Goose and Lodi facilities. </w:t>
      </w:r>
      <w:r w:rsidR="00092574">
        <w:t xml:space="preserve"> </w:t>
      </w:r>
      <w:r w:rsidRPr="00041767" w:rsidR="00E64B7A">
        <w:t xml:space="preserve">The combined and consolidated financial statements of </w:t>
      </w:r>
      <w:proofErr w:type="spellStart"/>
      <w:r w:rsidRPr="00041767" w:rsidR="00E64B7A">
        <w:t>Rockpoint</w:t>
      </w:r>
      <w:proofErr w:type="spellEnd"/>
      <w:r w:rsidRPr="00041767" w:rsidR="00E64B7A">
        <w:t xml:space="preserve"> were attached to the </w:t>
      </w:r>
      <w:r w:rsidRPr="00041767" w:rsidR="004300B9">
        <w:t xml:space="preserve">instant </w:t>
      </w:r>
      <w:r w:rsidRPr="00041767" w:rsidR="00A4185A">
        <w:t>a</w:t>
      </w:r>
      <w:r w:rsidRPr="00041767" w:rsidR="00E64B7A">
        <w:t>pplication as Exhibits Joint Applicants (JA)-1</w:t>
      </w:r>
      <w:r w:rsidRPr="00041767" w:rsidR="00041767">
        <w:t>7</w:t>
      </w:r>
      <w:r w:rsidRPr="00041767" w:rsidR="00E64B7A">
        <w:t xml:space="preserve"> and JA-</w:t>
      </w:r>
      <w:r w:rsidRPr="00041767" w:rsidR="00C205AB">
        <w:t>1</w:t>
      </w:r>
      <w:r w:rsidRPr="00041767" w:rsidR="00041767">
        <w:t>8</w:t>
      </w:r>
      <w:r w:rsidRPr="00041767" w:rsidR="00E64B7A">
        <w:t xml:space="preserve"> and are filed under seal.</w:t>
      </w:r>
    </w:p>
    <w:p w:rsidR="0063491C" w:rsidP="006929D0" w:rsidRDefault="0063491C" w14:paraId="24B61C0C" w14:textId="55418073">
      <w:pPr>
        <w:pStyle w:val="Heading2"/>
        <w:tabs>
          <w:tab w:val="clear" w:pos="1080"/>
          <w:tab w:val="num" w:pos="1440"/>
        </w:tabs>
        <w:ind w:left="1440"/>
      </w:pPr>
      <w:r>
        <w:t>Procedural Background</w:t>
      </w:r>
      <w:bookmarkEnd w:id="5"/>
      <w:bookmarkEnd w:id="6"/>
    </w:p>
    <w:p w:rsidR="001F3594" w:rsidP="001F3594" w:rsidRDefault="00092574" w14:paraId="64DE34A0" w14:textId="4EA3BAEF">
      <w:pPr>
        <w:pStyle w:val="Standard"/>
      </w:pPr>
      <w:r>
        <w:t xml:space="preserve">The </w:t>
      </w:r>
      <w:r w:rsidR="00CC0013">
        <w:t xml:space="preserve">Joint Applicants filed the </w:t>
      </w:r>
      <w:r w:rsidR="00A4185A">
        <w:t>a</w:t>
      </w:r>
      <w:r w:rsidR="00CC0013">
        <w:t>pplication</w:t>
      </w:r>
      <w:r w:rsidR="00874AE1">
        <w:t xml:space="preserve"> on </w:t>
      </w:r>
      <w:r w:rsidR="00905F94">
        <w:t>October</w:t>
      </w:r>
      <w:r w:rsidR="00874AE1">
        <w:t xml:space="preserve"> </w:t>
      </w:r>
      <w:r w:rsidR="00905F94">
        <w:t>11</w:t>
      </w:r>
      <w:r w:rsidR="00874AE1">
        <w:t>, 202</w:t>
      </w:r>
      <w:r w:rsidR="00905F94">
        <w:t xml:space="preserve">4.  </w:t>
      </w:r>
      <w:r w:rsidR="008F1078">
        <w:t xml:space="preserve">As attachments to their </w:t>
      </w:r>
      <w:r w:rsidR="00A4185A">
        <w:t>a</w:t>
      </w:r>
      <w:r w:rsidR="008F1078">
        <w:t xml:space="preserve">pplication, the Joint Applicants offered supporting exhibits and the </w:t>
      </w:r>
      <w:r w:rsidRPr="003E2005" w:rsidR="008F1078">
        <w:t xml:space="preserve">verification of </w:t>
      </w:r>
      <w:r w:rsidRPr="003E2005" w:rsidR="00041767">
        <w:t>James Bartlett</w:t>
      </w:r>
      <w:r w:rsidR="008F1078">
        <w:t xml:space="preserve">, an officer of Wild Goose and Lodi.  </w:t>
      </w:r>
      <w:r w:rsidR="00843027">
        <w:t>Certain information in the application and</w:t>
      </w:r>
      <w:r w:rsidR="008F1078">
        <w:t xml:space="preserve"> exhibits </w:t>
      </w:r>
      <w:r w:rsidR="005B0614">
        <w:t>concerned</w:t>
      </w:r>
      <w:r w:rsidR="008F1078">
        <w:t xml:space="preserve"> confidential financial data and legal documents</w:t>
      </w:r>
      <w:r w:rsidR="00843027">
        <w:t>.  T</w:t>
      </w:r>
      <w:r w:rsidR="001753EE">
        <w:t>he</w:t>
      </w:r>
      <w:r w:rsidR="008F1078">
        <w:t xml:space="preserve"> Joint Applicants redacted </w:t>
      </w:r>
      <w:r w:rsidR="00843027">
        <w:t>these portions of</w:t>
      </w:r>
      <w:r w:rsidR="008F1078">
        <w:t xml:space="preserve"> their </w:t>
      </w:r>
      <w:r w:rsidR="00A4185A">
        <w:t>a</w:t>
      </w:r>
      <w:r w:rsidR="008F1078">
        <w:t>pplication and supporting exhibits and filed a motion for leave to file under seal the confidential version</w:t>
      </w:r>
      <w:r w:rsidR="00843027">
        <w:t>s</w:t>
      </w:r>
      <w:r w:rsidR="008F1078">
        <w:t xml:space="preserve">.  </w:t>
      </w:r>
    </w:p>
    <w:p w:rsidR="008F1078" w:rsidP="00E20E55" w:rsidRDefault="00874AE1" w14:paraId="3E1C190F" w14:textId="514E56FC">
      <w:pPr>
        <w:pStyle w:val="Standard"/>
      </w:pPr>
      <w:r w:rsidRPr="003911B6">
        <w:lastRenderedPageBreak/>
        <w:t xml:space="preserve">No protests were filed in response to the </w:t>
      </w:r>
      <w:r w:rsidRPr="003911B6" w:rsidR="00A4185A">
        <w:t>a</w:t>
      </w:r>
      <w:r w:rsidRPr="003911B6">
        <w:t xml:space="preserve">pplication. </w:t>
      </w:r>
      <w:r w:rsidRPr="003911B6" w:rsidR="00092574">
        <w:t xml:space="preserve"> </w:t>
      </w:r>
      <w:r w:rsidRPr="003911B6">
        <w:t xml:space="preserve">A prehearing conference was held on </w:t>
      </w:r>
      <w:r w:rsidRPr="003911B6" w:rsidR="001F3594">
        <w:t>January</w:t>
      </w:r>
      <w:r w:rsidRPr="003911B6">
        <w:t xml:space="preserve"> </w:t>
      </w:r>
      <w:r w:rsidRPr="003911B6" w:rsidR="001F3594">
        <w:t>9</w:t>
      </w:r>
      <w:r w:rsidRPr="003911B6">
        <w:t>, 202</w:t>
      </w:r>
      <w:r w:rsidRPr="003911B6" w:rsidR="001F3594">
        <w:t>5</w:t>
      </w:r>
      <w:r w:rsidRPr="003911B6" w:rsidR="0048754F">
        <w:t>,</w:t>
      </w:r>
      <w:r w:rsidRPr="003911B6">
        <w:t xml:space="preserve"> to identify issues of law and fact, determine the need for hearing, set the schedule for resolving the matter, and address other matters as necessary. </w:t>
      </w:r>
      <w:r w:rsidRPr="003911B6" w:rsidR="00092574">
        <w:t xml:space="preserve"> </w:t>
      </w:r>
      <w:r w:rsidRPr="003E2005" w:rsidR="005B0614">
        <w:t xml:space="preserve">No parties other than the Joint Applicants attended the prehearing conference.  </w:t>
      </w:r>
      <w:r w:rsidRPr="003E2005">
        <w:t xml:space="preserve">The assigned Commissioner issued a Scoping Memo </w:t>
      </w:r>
      <w:r w:rsidRPr="003E2005" w:rsidR="00CD7CB0">
        <w:t xml:space="preserve">and Ruling (Scoping Memo) </w:t>
      </w:r>
      <w:r w:rsidRPr="003E2005">
        <w:t>on</w:t>
      </w:r>
      <w:r w:rsidRPr="003E2005" w:rsidR="00CC0013">
        <w:t xml:space="preserve"> February 1</w:t>
      </w:r>
      <w:r w:rsidRPr="003E2005" w:rsidR="001F3594">
        <w:t>8</w:t>
      </w:r>
      <w:r w:rsidRPr="003E2005">
        <w:t>, 202</w:t>
      </w:r>
      <w:r w:rsidRPr="003E2005" w:rsidR="001F3594">
        <w:t>5</w:t>
      </w:r>
      <w:r w:rsidRPr="003E2005">
        <w:t xml:space="preserve">, determining the issues and initial </w:t>
      </w:r>
      <w:r w:rsidRPr="003E2005" w:rsidR="00092574">
        <w:t xml:space="preserve">proceeding </w:t>
      </w:r>
      <w:r w:rsidRPr="003E2005">
        <w:t xml:space="preserve">schedule. </w:t>
      </w:r>
      <w:r w:rsidRPr="003E2005" w:rsidR="00092574">
        <w:t xml:space="preserve"> </w:t>
      </w:r>
      <w:r w:rsidRPr="003E2005">
        <w:t xml:space="preserve">The Scoping Memo affirmed the categorization of the proceeding as </w:t>
      </w:r>
      <w:proofErr w:type="spellStart"/>
      <w:r w:rsidRPr="003E2005">
        <w:t>ratesetting</w:t>
      </w:r>
      <w:proofErr w:type="spellEnd"/>
      <w:r w:rsidRPr="003E2005">
        <w:t xml:space="preserve">. </w:t>
      </w:r>
      <w:r w:rsidRPr="003E2005" w:rsidR="00092574">
        <w:t xml:space="preserve"> </w:t>
      </w:r>
      <w:r w:rsidRPr="003E2005">
        <w:t>However, the assigned Commissioner determined that evidentiary hearings were unnecessary because there were no material issues of disputed fact.</w:t>
      </w:r>
      <w:r w:rsidRPr="003E2005" w:rsidR="008F1078">
        <w:t xml:space="preserve"> </w:t>
      </w:r>
      <w:r w:rsidRPr="003E2005" w:rsidR="00092574">
        <w:t xml:space="preserve"> </w:t>
      </w:r>
      <w:r w:rsidRPr="003E2005" w:rsidR="008F1078">
        <w:t xml:space="preserve">The matter was submitted upon the filing of the assigned Commissioner’s Scoping Memo. </w:t>
      </w:r>
      <w:r w:rsidRPr="003E2005" w:rsidR="00092574">
        <w:t xml:space="preserve"> </w:t>
      </w:r>
      <w:r w:rsidRPr="003E2005" w:rsidR="008F1078">
        <w:t xml:space="preserve">The decision is issued based on the record as </w:t>
      </w:r>
      <w:r w:rsidRPr="003E2005" w:rsidR="004300B9">
        <w:t>submitted</w:t>
      </w:r>
      <w:r w:rsidRPr="003E2005" w:rsidR="008F1078">
        <w:t>.</w:t>
      </w:r>
    </w:p>
    <w:p w:rsidR="005A148C" w:rsidP="005939A5" w:rsidRDefault="005939A5" w14:paraId="659A5709" w14:textId="5B211F39">
      <w:pPr>
        <w:pStyle w:val="Heading1"/>
      </w:pPr>
      <w:bookmarkStart w:name="_Toc8123719" w:id="7"/>
      <w:bookmarkStart w:name="_Toc133843848" w:id="8"/>
      <w:r>
        <w:t xml:space="preserve">Issues Before the </w:t>
      </w:r>
      <w:bookmarkEnd w:id="7"/>
      <w:r w:rsidR="008A08BF">
        <w:t>Commission</w:t>
      </w:r>
      <w:bookmarkEnd w:id="8"/>
    </w:p>
    <w:p w:rsidR="005939A5" w:rsidP="00A44E8D" w:rsidRDefault="003D65AA" w14:paraId="6D09EC61" w14:textId="4A001243">
      <w:pPr>
        <w:pStyle w:val="Standard"/>
      </w:pPr>
      <w:r>
        <w:t>The issues determined in this decision are:</w:t>
      </w:r>
      <w:r>
        <w:rPr>
          <w:rStyle w:val="FootnoteReference"/>
        </w:rPr>
        <w:footnoteReference w:id="14"/>
      </w:r>
    </w:p>
    <w:p w:rsidR="003D65AA" w:rsidP="00CE5555" w:rsidRDefault="00E20E55" w14:paraId="5FD179B7" w14:textId="1F718B7E">
      <w:pPr>
        <w:pStyle w:val="ListNum"/>
        <w:tabs>
          <w:tab w:val="clear" w:pos="1080"/>
        </w:tabs>
        <w:ind w:right="1440"/>
      </w:pPr>
      <w:r w:rsidRPr="00E20E55">
        <w:t>Should the Commission</w:t>
      </w:r>
      <w:r w:rsidR="00DF7F6F">
        <w:t>, pursuant to Section 829(c),</w:t>
      </w:r>
      <w:r w:rsidRPr="00E20E55">
        <w:t xml:space="preserve"> grant Wild Goose and Lodi exemptions from Section 830 to permit them to provide a guarantee to secure the debt of their affiliates, and the debt of Lodi if it becomes an additional borrower under the TLB Credit Agreement, in a refinancing transaction that will provide funding for their respective utility operations?</w:t>
      </w:r>
    </w:p>
    <w:p w:rsidR="003D65AA" w:rsidP="00CE5555" w:rsidRDefault="00E20E55" w14:paraId="02374570" w14:textId="3C7CBF1D">
      <w:pPr>
        <w:pStyle w:val="ListNum"/>
        <w:tabs>
          <w:tab w:val="clear" w:pos="1080"/>
        </w:tabs>
        <w:ind w:right="1440"/>
      </w:pPr>
      <w:r w:rsidRPr="00E20E55">
        <w:t>Should the Commission</w:t>
      </w:r>
      <w:r w:rsidR="00DF7F6F">
        <w:t>, pursuant to Section 853(b)</w:t>
      </w:r>
      <w:r w:rsidRPr="00E20E55">
        <w:t xml:space="preserve"> grant Wild Goose and Lodi exemptions from Section 851 to permit them to provide a security interest in their physical and financial assets as collateral for a refinancing transaction on behalf of themselves and their affiliates that will provide funding for their respective utility operations?</w:t>
      </w:r>
    </w:p>
    <w:p w:rsidR="003D65AA" w:rsidP="00CE5555" w:rsidRDefault="00E20E55" w14:paraId="1D6F9901" w14:textId="65DA774D">
      <w:pPr>
        <w:pStyle w:val="ListNum"/>
        <w:tabs>
          <w:tab w:val="clear" w:pos="1080"/>
        </w:tabs>
        <w:ind w:right="1440"/>
      </w:pPr>
      <w:r w:rsidRPr="00E20E55">
        <w:t xml:space="preserve">If the Commission does not grant exemptions from Sections 830 and 851, should the proposed refinancing </w:t>
      </w:r>
      <w:r w:rsidRPr="00E20E55">
        <w:lastRenderedPageBreak/>
        <w:t>transaction be approved subject to the provisions of those statutes?</w:t>
      </w:r>
    </w:p>
    <w:p w:rsidR="0061696E" w:rsidP="005939A5" w:rsidRDefault="0061696E" w14:paraId="1563F847" w14:textId="733CA769">
      <w:pPr>
        <w:pStyle w:val="Heading1"/>
      </w:pPr>
      <w:r>
        <w:t>Legal Framework</w:t>
      </w:r>
    </w:p>
    <w:p w:rsidR="00E03685" w:rsidP="00E03685" w:rsidRDefault="00E03685" w14:paraId="5325ED51" w14:textId="602965B5">
      <w:pPr>
        <w:pStyle w:val="Standard"/>
      </w:pPr>
      <w:r>
        <w:t xml:space="preserve">Pub. Util. Code Section 830 requires a utility to obtain Commission approval before assuming any obligation or liability with respect to the obligations of its parent or affiliate if those obligations have a term of more than 12 months. </w:t>
      </w:r>
      <w:r w:rsidR="00092574">
        <w:t xml:space="preserve"> </w:t>
      </w:r>
      <w:r w:rsidR="00DA7A73">
        <w:t xml:space="preserve">In this case, </w:t>
      </w:r>
      <w:r w:rsidR="001753EE">
        <w:t xml:space="preserve">the </w:t>
      </w:r>
      <w:r w:rsidR="00DA7A73">
        <w:t xml:space="preserve">Joint Applicants </w:t>
      </w:r>
      <w:r w:rsidR="00E8623A">
        <w:t>will provide</w:t>
      </w:r>
      <w:r w:rsidR="00DA7A73">
        <w:t xml:space="preserve"> corporate guarantees </w:t>
      </w:r>
      <w:r w:rsidR="00E8623A">
        <w:t>related to</w:t>
      </w:r>
      <w:r w:rsidR="00DA7A73">
        <w:t xml:space="preserve"> the refinancing transaction undertaken by their senior affiliates</w:t>
      </w:r>
      <w:r w:rsidR="007E69DF">
        <w:t xml:space="preserve"> for </w:t>
      </w:r>
      <w:r w:rsidR="00DA7A73">
        <w:t>more than 12 months.</w:t>
      </w:r>
      <w:r w:rsidR="007E69DF">
        <w:t xml:space="preserve"> </w:t>
      </w:r>
      <w:r w:rsidR="00092574">
        <w:t xml:space="preserve"> </w:t>
      </w:r>
      <w:r w:rsidR="007E69DF">
        <w:t xml:space="preserve">Therefore, the </w:t>
      </w:r>
      <w:r w:rsidR="00FD1CC7">
        <w:t>2024</w:t>
      </w:r>
      <w:r w:rsidR="007E69DF">
        <w:t xml:space="preserve"> </w:t>
      </w:r>
      <w:r w:rsidR="001753EE">
        <w:t>R</w:t>
      </w:r>
      <w:r w:rsidR="007E69DF">
        <w:t xml:space="preserve">efinancing </w:t>
      </w:r>
      <w:r w:rsidR="00B117DE">
        <w:t xml:space="preserve">Request </w:t>
      </w:r>
      <w:r w:rsidR="007E69DF">
        <w:t xml:space="preserve">is </w:t>
      </w:r>
      <w:r w:rsidR="004300B9">
        <w:t>subject to</w:t>
      </w:r>
      <w:r w:rsidR="007E69DF">
        <w:t xml:space="preserve"> </w:t>
      </w:r>
      <w:r w:rsidR="00CD7CB0">
        <w:t xml:space="preserve">Pub. Util. Code </w:t>
      </w:r>
      <w:r w:rsidR="007E69DF">
        <w:t>Section 830.</w:t>
      </w:r>
    </w:p>
    <w:p w:rsidR="00321EB9" w:rsidP="00E03685" w:rsidRDefault="009E113D" w14:paraId="362FE1DB" w14:textId="44B43EE9">
      <w:pPr>
        <w:pStyle w:val="Standard"/>
      </w:pPr>
      <w:r>
        <w:t xml:space="preserve">Similarly, Pub. Util. Code </w:t>
      </w:r>
      <w:r w:rsidR="00321EB9">
        <w:t xml:space="preserve">Section 851 requires Commission approval before a utility encumbers its property. </w:t>
      </w:r>
      <w:r w:rsidR="00092574">
        <w:t xml:space="preserve"> </w:t>
      </w:r>
      <w:r w:rsidR="0095388C">
        <w:t>Since</w:t>
      </w:r>
      <w:r w:rsidR="001753EE">
        <w:t xml:space="preserve"> the</w:t>
      </w:r>
      <w:r w:rsidR="00DA7A73">
        <w:t xml:space="preserve"> Joint Applicants seek to provide their physical and financial assets to serve as collateral for the </w:t>
      </w:r>
      <w:r w:rsidR="00FD1CC7">
        <w:t>2024</w:t>
      </w:r>
      <w:r w:rsidR="00DA7A73">
        <w:t xml:space="preserve"> </w:t>
      </w:r>
      <w:r w:rsidR="001753EE">
        <w:t>R</w:t>
      </w:r>
      <w:r w:rsidR="00DA7A73">
        <w:t>efinancing</w:t>
      </w:r>
      <w:r w:rsidRPr="00B117DE" w:rsidR="00B117DE">
        <w:t xml:space="preserve"> </w:t>
      </w:r>
      <w:r w:rsidR="00B117DE">
        <w:t>Request</w:t>
      </w:r>
      <w:r w:rsidR="007E69DF">
        <w:t>,</w:t>
      </w:r>
      <w:r w:rsidR="00DA7A73">
        <w:t xml:space="preserve"> </w:t>
      </w:r>
      <w:r w:rsidR="00B117DE">
        <w:t>it</w:t>
      </w:r>
      <w:r w:rsidR="00DA7A73">
        <w:t xml:space="preserve"> </w:t>
      </w:r>
      <w:r w:rsidR="00755EDF">
        <w:t xml:space="preserve">is </w:t>
      </w:r>
      <w:r>
        <w:t xml:space="preserve">also </w:t>
      </w:r>
      <w:r w:rsidR="004300B9">
        <w:t>subject to</w:t>
      </w:r>
      <w:r w:rsidR="00DA7A73">
        <w:t xml:space="preserve"> </w:t>
      </w:r>
      <w:r w:rsidR="00CD7CB0">
        <w:t xml:space="preserve">Pub. Util. Code </w:t>
      </w:r>
      <w:r w:rsidR="00DA7A73">
        <w:t>Section 851.</w:t>
      </w:r>
    </w:p>
    <w:p w:rsidR="007E69DF" w:rsidP="007E69DF" w:rsidRDefault="00321EB9" w14:paraId="0A669B44" w14:textId="54E640FB">
      <w:pPr>
        <w:pStyle w:val="Standard"/>
      </w:pPr>
      <w:r>
        <w:t xml:space="preserve">However, </w:t>
      </w:r>
      <w:r w:rsidR="00C970C1">
        <w:t>Pub</w:t>
      </w:r>
      <w:r w:rsidR="004300B9">
        <w:t>.</w:t>
      </w:r>
      <w:r w:rsidR="00C970C1">
        <w:t xml:space="preserve"> Util. Code Section</w:t>
      </w:r>
      <w:r w:rsidR="005B0614">
        <w:t>s</w:t>
      </w:r>
      <w:r w:rsidR="00C970C1">
        <w:t xml:space="preserve"> 829(c) and 853(b) authorize </w:t>
      </w:r>
      <w:r>
        <w:t>the Commission</w:t>
      </w:r>
      <w:r w:rsidR="00C970C1">
        <w:t xml:space="preserve"> to exempt</w:t>
      </w:r>
      <w:r>
        <w:t xml:space="preserve"> public utilit</w:t>
      </w:r>
      <w:r w:rsidR="004300B9">
        <w:t>ies</w:t>
      </w:r>
      <w:r>
        <w:t xml:space="preserve"> from the</w:t>
      </w:r>
      <w:r w:rsidR="004300B9">
        <w:t>se</w:t>
      </w:r>
      <w:r>
        <w:t xml:space="preserve"> requirements </w:t>
      </w:r>
      <w:r w:rsidR="004300B9">
        <w:t>if the</w:t>
      </w:r>
      <w:r w:rsidR="00C970C1">
        <w:t xml:space="preserve"> Commission </w:t>
      </w:r>
      <w:r>
        <w:t>find</w:t>
      </w:r>
      <w:r w:rsidR="004300B9">
        <w:t>s</w:t>
      </w:r>
      <w:r>
        <w:t xml:space="preserve"> that the application of the </w:t>
      </w:r>
      <w:r w:rsidR="00C970C1">
        <w:t xml:space="preserve">pre-approval </w:t>
      </w:r>
      <w:r>
        <w:t>requirements</w:t>
      </w:r>
      <w:r w:rsidR="00C970C1">
        <w:t xml:space="preserve"> </w:t>
      </w:r>
      <w:r>
        <w:t>“is not necessary in the public interest.”</w:t>
      </w:r>
      <w:r w:rsidR="00DB0C34">
        <w:t xml:space="preserve">  Under both statutes, the Commission may impose conditions, rules, or requirements deemed necessary in connection with the grant of such exemptions.</w:t>
      </w:r>
      <w:r w:rsidR="007E69DF">
        <w:t xml:space="preserve"> </w:t>
      </w:r>
    </w:p>
    <w:p w:rsidR="0061696E" w:rsidP="006D0DBD" w:rsidRDefault="0061696E" w14:paraId="751546AD" w14:textId="0F23A210">
      <w:pPr>
        <w:pStyle w:val="Heading1"/>
      </w:pPr>
      <w:r>
        <w:t>Discussion</w:t>
      </w:r>
    </w:p>
    <w:p w:rsidR="0061696E" w:rsidP="008D4F07" w:rsidRDefault="0061696E" w14:paraId="294D81FB" w14:textId="1660FD8C">
      <w:pPr>
        <w:pStyle w:val="Standard"/>
      </w:pPr>
      <w:r>
        <w:t>As discussed below</w:t>
      </w:r>
      <w:r w:rsidR="008D4F07">
        <w:t xml:space="preserve">, we find good cause exists to grant </w:t>
      </w:r>
      <w:r w:rsidR="00092574">
        <w:t xml:space="preserve">the </w:t>
      </w:r>
      <w:r w:rsidR="008D4F07">
        <w:t xml:space="preserve">Joint Applicants’ request for exemptions </w:t>
      </w:r>
      <w:r w:rsidR="00FD7A62">
        <w:t xml:space="preserve">from Pub. Util. Code Sections 830 and 851 </w:t>
      </w:r>
      <w:r w:rsidR="008D4F07">
        <w:t>under Pub. Util. Code Section</w:t>
      </w:r>
      <w:r w:rsidR="00FD7A62">
        <w:t>s</w:t>
      </w:r>
      <w:r w:rsidR="008D4F07">
        <w:t xml:space="preserve"> 829(c) and 853(b). </w:t>
      </w:r>
      <w:r w:rsidR="0095388C">
        <w:t xml:space="preserve"> </w:t>
      </w:r>
      <w:r w:rsidR="00FD7A62">
        <w:t>The e</w:t>
      </w:r>
      <w:r w:rsidR="0095388C">
        <w:t>xemption</w:t>
      </w:r>
      <w:r w:rsidR="00FD7A62">
        <w:t>s are</w:t>
      </w:r>
      <w:r w:rsidR="0095388C">
        <w:t xml:space="preserve"> consistent with Commission precedent under similar circumstances. </w:t>
      </w:r>
      <w:r w:rsidR="008D4F07">
        <w:t xml:space="preserve"> </w:t>
      </w:r>
      <w:r>
        <w:t xml:space="preserve">We therefore </w:t>
      </w:r>
      <w:r w:rsidRPr="0061696E">
        <w:t>grant the Joint Applicants’ request for exemptions under Pub. Util. Code Section</w:t>
      </w:r>
      <w:r w:rsidR="00FD7A62">
        <w:t>s</w:t>
      </w:r>
      <w:r w:rsidRPr="0061696E">
        <w:t xml:space="preserve"> 829(c) and 853(b).</w:t>
      </w:r>
    </w:p>
    <w:p w:rsidRPr="00A204C9" w:rsidR="00A5089A" w:rsidP="006929D0" w:rsidRDefault="0095388C" w14:paraId="62A5627B" w14:textId="2F7884FF">
      <w:pPr>
        <w:pStyle w:val="Heading2"/>
        <w:tabs>
          <w:tab w:val="clear" w:pos="1080"/>
          <w:tab w:val="left" w:pos="1440"/>
        </w:tabs>
        <w:ind w:left="1440"/>
      </w:pPr>
      <w:r>
        <w:lastRenderedPageBreak/>
        <w:t xml:space="preserve">Financial </w:t>
      </w:r>
      <w:r w:rsidR="003914FE">
        <w:t xml:space="preserve">and Operational </w:t>
      </w:r>
      <w:r>
        <w:t xml:space="preserve">Benefits of the </w:t>
      </w:r>
      <w:r w:rsidR="003914FE">
        <w:t>2024 Refinancing</w:t>
      </w:r>
      <w:r w:rsidR="00B117DE">
        <w:t xml:space="preserve"> Request</w:t>
      </w:r>
    </w:p>
    <w:p w:rsidR="00C970C1" w:rsidP="00C970C1" w:rsidRDefault="0053499B" w14:paraId="4F151FD7" w14:textId="4C09B77D">
      <w:pPr>
        <w:pStyle w:val="Standard"/>
      </w:pPr>
      <w:r>
        <w:t>In past decisions</w:t>
      </w:r>
      <w:r w:rsidR="009B1D10">
        <w:t xml:space="preserve"> considering exemptions</w:t>
      </w:r>
      <w:r>
        <w:t xml:space="preserve">, the Commission </w:t>
      </w:r>
      <w:r w:rsidR="00DD1C6F">
        <w:t>has</w:t>
      </w:r>
      <w:r w:rsidR="002D5CF2">
        <w:t xml:space="preserve"> </w:t>
      </w:r>
      <w:r w:rsidR="00D02FDE">
        <w:t>considered whether I</w:t>
      </w:r>
      <w:r>
        <w:t xml:space="preserve">ndependent </w:t>
      </w:r>
      <w:r w:rsidR="00D02FDE">
        <w:t>G</w:t>
      </w:r>
      <w:r>
        <w:t xml:space="preserve">as </w:t>
      </w:r>
      <w:r w:rsidR="00D02FDE">
        <w:t>S</w:t>
      </w:r>
      <w:r>
        <w:t xml:space="preserve">torage </w:t>
      </w:r>
      <w:r w:rsidR="00D02FDE">
        <w:t>P</w:t>
      </w:r>
      <w:r>
        <w:t>rovider</w:t>
      </w:r>
      <w:r w:rsidR="00D02FDE">
        <w:t>s</w:t>
      </w:r>
      <w:r>
        <w:t xml:space="preserve"> (IGSPs), such as </w:t>
      </w:r>
      <w:proofErr w:type="gramStart"/>
      <w:r>
        <w:t>the Joint</w:t>
      </w:r>
      <w:proofErr w:type="gramEnd"/>
      <w:r>
        <w:t xml:space="preserve"> Applicants,</w:t>
      </w:r>
      <w:r w:rsidR="00D02FDE">
        <w:t xml:space="preserve"> are</w:t>
      </w:r>
      <w:r w:rsidR="002D5CF2">
        <w:t xml:space="preserve"> subject to a cost-of-service rate-of-return regulatory framework</w:t>
      </w:r>
      <w:r w:rsidR="00FD6282">
        <w:t xml:space="preserve"> and</w:t>
      </w:r>
      <w:r w:rsidR="002D5CF2">
        <w:t xml:space="preserve"> </w:t>
      </w:r>
      <w:r w:rsidR="00D02FDE">
        <w:t>whether</w:t>
      </w:r>
      <w:r w:rsidR="002D5CF2">
        <w:t xml:space="preserve"> ratepayers bear </w:t>
      </w:r>
      <w:r w:rsidR="00D02FDE">
        <w:t>a</w:t>
      </w:r>
      <w:r w:rsidR="002D5CF2">
        <w:t xml:space="preserve"> risk for the IGSP’s investment and operations</w:t>
      </w:r>
      <w:r w:rsidR="00FD6282">
        <w:t>.</w:t>
      </w:r>
    </w:p>
    <w:p w:rsidR="00321EB9" w:rsidP="00E03685" w:rsidRDefault="001753EE" w14:paraId="08CB14A2" w14:textId="2A7255FE">
      <w:pPr>
        <w:pStyle w:val="Standard"/>
      </w:pPr>
      <w:r>
        <w:t xml:space="preserve">The </w:t>
      </w:r>
      <w:r w:rsidR="00DD1C6F">
        <w:t xml:space="preserve">Joint Applicants </w:t>
      </w:r>
      <w:r w:rsidR="00A5089A">
        <w:t xml:space="preserve">are IGSPs that </w:t>
      </w:r>
      <w:r w:rsidR="00DD1C6F">
        <w:t>operat</w:t>
      </w:r>
      <w:r w:rsidR="00143CE5">
        <w:t>e using market-based rates, not a cost-of-service, rate-of-return regulatory framework</w:t>
      </w:r>
      <w:r w:rsidR="00FD6282">
        <w:t xml:space="preserve"> so</w:t>
      </w:r>
      <w:r w:rsidR="00DD1C6F">
        <w:t xml:space="preserve"> </w:t>
      </w:r>
      <w:r w:rsidR="00143CE5">
        <w:t xml:space="preserve">their shareholders bear the risk of the proposed transaction. </w:t>
      </w:r>
      <w:r w:rsidR="00092574">
        <w:t xml:space="preserve"> </w:t>
      </w:r>
      <w:r w:rsidR="00A5089A">
        <w:t>Moreover, Wild Goose and Lodi are 100 percent owned by senior affiliate companies</w:t>
      </w:r>
      <w:r w:rsidR="00F03DEE">
        <w:t>,</w:t>
      </w:r>
      <w:r w:rsidR="00A5089A">
        <w:t xml:space="preserve"> and there are no shareholders of either Wild Goose or Lodi that are not also shareholders of at least one of the primary borrowers in the </w:t>
      </w:r>
      <w:r w:rsidR="00FD1CC7">
        <w:t>2024</w:t>
      </w:r>
      <w:r w:rsidR="00A5089A">
        <w:t xml:space="preserve"> Refinancing</w:t>
      </w:r>
      <w:r w:rsidR="00B117DE">
        <w:t xml:space="preserve"> Request</w:t>
      </w:r>
      <w:r w:rsidR="00A5089A">
        <w:t>.</w:t>
      </w:r>
      <w:r w:rsidR="000653CD">
        <w:t xml:space="preserve"> </w:t>
      </w:r>
      <w:r w:rsidR="005264A5">
        <w:t xml:space="preserve"> </w:t>
      </w:r>
      <w:r w:rsidR="005A1510">
        <w:t xml:space="preserve">Based on these factors, we conclude that the </w:t>
      </w:r>
      <w:r w:rsidR="00FD1CC7">
        <w:t>2024</w:t>
      </w:r>
      <w:r w:rsidR="005A1510">
        <w:t xml:space="preserve"> </w:t>
      </w:r>
      <w:r w:rsidR="001928AB">
        <w:t xml:space="preserve">Refinancing </w:t>
      </w:r>
      <w:r w:rsidR="00B117DE">
        <w:t xml:space="preserve">Request </w:t>
      </w:r>
      <w:r w:rsidR="005A1510">
        <w:t>poses a relatively low financial risk to the public.</w:t>
      </w:r>
    </w:p>
    <w:p w:rsidR="0095388C" w:rsidP="00CE5555" w:rsidRDefault="003914FE" w14:paraId="3AB3E68C" w14:textId="0C8A5655">
      <w:pPr>
        <w:pStyle w:val="Standard"/>
      </w:pPr>
      <w:r w:rsidRPr="002D018A">
        <w:t xml:space="preserve">Additionally, we find that the </w:t>
      </w:r>
      <w:r w:rsidRPr="002D018A" w:rsidR="0095388C">
        <w:t xml:space="preserve">2024 Refinancing </w:t>
      </w:r>
      <w:r w:rsidR="00B117DE">
        <w:t>Request</w:t>
      </w:r>
      <w:r w:rsidRPr="002D018A" w:rsidR="00B117DE">
        <w:t xml:space="preserve"> </w:t>
      </w:r>
      <w:r w:rsidRPr="002D018A" w:rsidR="0095388C">
        <w:t xml:space="preserve">will have financial and operational benefits. </w:t>
      </w:r>
      <w:r w:rsidRPr="002D018A">
        <w:t xml:space="preserve"> </w:t>
      </w:r>
      <w:r w:rsidRPr="002D018A" w:rsidR="005B0614">
        <w:t>T</w:t>
      </w:r>
      <w:r w:rsidRPr="002D018A">
        <w:t xml:space="preserve">he Joint Applicants and their customers will benefit from the </w:t>
      </w:r>
      <w:r w:rsidRPr="002D018A" w:rsidR="0095388C">
        <w:t>stabiliz</w:t>
      </w:r>
      <w:r w:rsidRPr="002D018A">
        <w:t>ation of</w:t>
      </w:r>
      <w:r w:rsidRPr="002D018A" w:rsidR="0095388C">
        <w:t xml:space="preserve"> </w:t>
      </w:r>
      <w:proofErr w:type="spellStart"/>
      <w:r w:rsidRPr="002D018A" w:rsidR="0095388C">
        <w:t>Rockpoint’s</w:t>
      </w:r>
      <w:proofErr w:type="spellEnd"/>
      <w:r w:rsidRPr="002D018A" w:rsidR="0095388C">
        <w:t xml:space="preserve"> capitalization over the mid-term</w:t>
      </w:r>
      <w:r w:rsidRPr="002D018A">
        <w:t xml:space="preserve">.  Additionally, the 2024 Refinancing </w:t>
      </w:r>
      <w:r w:rsidR="00B117DE">
        <w:t>Request</w:t>
      </w:r>
      <w:r w:rsidRPr="002D018A" w:rsidR="00B117DE">
        <w:t xml:space="preserve"> </w:t>
      </w:r>
      <w:r w:rsidRPr="002D018A">
        <w:t xml:space="preserve">leverages the stability of </w:t>
      </w:r>
      <w:proofErr w:type="spellStart"/>
      <w:r w:rsidRPr="002D018A">
        <w:t>Rockpoint’s</w:t>
      </w:r>
      <w:proofErr w:type="spellEnd"/>
      <w:r w:rsidRPr="002D018A">
        <w:t xml:space="preserve"> financial position and improved creditworthiness to lower the cost of day-to-day business activities and facilitate the availability of additional capital to </w:t>
      </w:r>
      <w:proofErr w:type="spellStart"/>
      <w:r w:rsidRPr="002D018A">
        <w:t>Rockpoint</w:t>
      </w:r>
      <w:proofErr w:type="spellEnd"/>
      <w:r w:rsidRPr="002D018A">
        <w:t xml:space="preserve"> and its affiliates, including Wild Goose and Lodi.  It will also </w:t>
      </w:r>
      <w:r w:rsidRPr="002D018A" w:rsidR="0080188A">
        <w:t>ensure that</w:t>
      </w:r>
      <w:r w:rsidRPr="002D018A">
        <w:t xml:space="preserve"> Wild Goose and Lodi </w:t>
      </w:r>
      <w:r w:rsidRPr="002D018A" w:rsidR="0080188A">
        <w:t xml:space="preserve">can </w:t>
      </w:r>
      <w:r w:rsidRPr="002D018A">
        <w:t xml:space="preserve">access the ABL Credit Agreement </w:t>
      </w:r>
      <w:r w:rsidRPr="002D018A" w:rsidR="0080188A">
        <w:t>for</w:t>
      </w:r>
      <w:r w:rsidRPr="002D018A">
        <w:t xml:space="preserve"> working capital and operational funds as needed, at a lower cost and on better terms </w:t>
      </w:r>
      <w:r w:rsidRPr="002D018A" w:rsidR="004546FC">
        <w:t xml:space="preserve">than </w:t>
      </w:r>
      <w:r w:rsidRPr="002D018A">
        <w:t>if the Joint Applicants went to the credit markets on their own.</w:t>
      </w:r>
      <w:r w:rsidRPr="003914FE">
        <w:t xml:space="preserve"> </w:t>
      </w:r>
    </w:p>
    <w:p w:rsidR="00A204C9" w:rsidP="006929D0" w:rsidRDefault="00611314" w14:paraId="3C424B41" w14:textId="501E6BB6">
      <w:pPr>
        <w:pStyle w:val="Heading2"/>
        <w:tabs>
          <w:tab w:val="clear" w:pos="1080"/>
          <w:tab w:val="num" w:pos="1440"/>
        </w:tabs>
        <w:ind w:left="1440"/>
      </w:pPr>
      <w:r>
        <w:lastRenderedPageBreak/>
        <w:t>Public Interest in</w:t>
      </w:r>
      <w:r w:rsidR="00B2296A">
        <w:t xml:space="preserve"> Safe </w:t>
      </w:r>
      <w:r w:rsidR="00CE5555">
        <w:br/>
      </w:r>
      <w:r w:rsidR="00B2296A">
        <w:t>and Reliable Service</w:t>
      </w:r>
    </w:p>
    <w:p w:rsidR="00EA36C6" w:rsidP="00CE5555" w:rsidRDefault="009E113D" w14:paraId="5B238C69" w14:textId="5E1F2A36">
      <w:pPr>
        <w:pStyle w:val="Standard"/>
      </w:pPr>
      <w:r>
        <w:t xml:space="preserve">While recognizing the financial benefits of the </w:t>
      </w:r>
      <w:r w:rsidR="00FD1CC7">
        <w:t>2024</w:t>
      </w:r>
      <w:r>
        <w:t xml:space="preserve"> </w:t>
      </w:r>
      <w:r w:rsidR="00072245">
        <w:t>Refinancing</w:t>
      </w:r>
      <w:r w:rsidR="00B117DE">
        <w:t xml:space="preserve"> Request</w:t>
      </w:r>
      <w:r>
        <w:t xml:space="preserve">, the Commission also </w:t>
      </w:r>
      <w:r w:rsidR="001647C7">
        <w:t xml:space="preserve">notes </w:t>
      </w:r>
      <w:r>
        <w:t>that the proposed transaction involves</w:t>
      </w:r>
      <w:r w:rsidR="00B2296A">
        <w:t xml:space="preserve"> the encumbrance of utility assets to serve as security for a loan to a senior affiliate. </w:t>
      </w:r>
      <w:r w:rsidR="005264A5">
        <w:t xml:space="preserve"> </w:t>
      </w:r>
      <w:r w:rsidR="00B2296A">
        <w:t xml:space="preserve">As such, </w:t>
      </w:r>
      <w:r w:rsidR="005162CA">
        <w:t>t</w:t>
      </w:r>
      <w:r w:rsidR="00A204C9">
        <w:t xml:space="preserve">he Commission </w:t>
      </w:r>
      <w:r w:rsidR="00B2296A">
        <w:t>must determine</w:t>
      </w:r>
      <w:r w:rsidR="00A204C9">
        <w:t xml:space="preserve"> </w:t>
      </w:r>
      <w:r w:rsidR="005264A5">
        <w:t>whether</w:t>
      </w:r>
      <w:r w:rsidR="00A204C9">
        <w:t xml:space="preserve"> </w:t>
      </w:r>
      <w:r w:rsidR="00B2296A">
        <w:t>granting an</w:t>
      </w:r>
      <w:r w:rsidR="00A204C9">
        <w:t xml:space="preserve"> exemption</w:t>
      </w:r>
      <w:r w:rsidR="00B2296A">
        <w:t xml:space="preserve"> from Pub. Util. Code Section</w:t>
      </w:r>
      <w:r w:rsidR="00FD7A62">
        <w:t>s</w:t>
      </w:r>
      <w:r w:rsidR="00B2296A">
        <w:t xml:space="preserve"> 830 and 851</w:t>
      </w:r>
      <w:r w:rsidR="00A204C9">
        <w:t xml:space="preserve"> </w:t>
      </w:r>
      <w:r w:rsidR="00B2296A">
        <w:t>would</w:t>
      </w:r>
      <w:r w:rsidR="00A204C9">
        <w:t xml:space="preserve"> impair the Joint Applicants’ ability to provide safe and reliable services under all reasonabl</w:t>
      </w:r>
      <w:r w:rsidR="00BE6DC5">
        <w:t>y</w:t>
      </w:r>
      <w:r w:rsidR="00A204C9">
        <w:t xml:space="preserve"> foreseeable circumstances. </w:t>
      </w:r>
      <w:r w:rsidR="005264A5">
        <w:t xml:space="preserve"> </w:t>
      </w:r>
      <w:r w:rsidR="00335FCB">
        <w:t xml:space="preserve">To make this determination, the Commission has considered whether the loans would cover the operating, safety, and regulatory needs of the </w:t>
      </w:r>
      <w:proofErr w:type="spellStart"/>
      <w:r w:rsidR="005264A5">
        <w:t>Rockpoint</w:t>
      </w:r>
      <w:proofErr w:type="spellEnd"/>
      <w:r w:rsidR="00335FCB">
        <w:t xml:space="preserve"> storage companies, including Wild Goose and Lodi.</w:t>
      </w:r>
      <w:r w:rsidR="00335FCB">
        <w:rPr>
          <w:rStyle w:val="FootnoteReference"/>
        </w:rPr>
        <w:footnoteReference w:id="15"/>
      </w:r>
    </w:p>
    <w:p w:rsidR="00060E62" w:rsidP="00CE5555" w:rsidRDefault="00E60FFE" w14:paraId="7AA75D6E" w14:textId="4F2FFC30">
      <w:pPr>
        <w:pStyle w:val="Standard"/>
      </w:pPr>
      <w:r>
        <w:t>The Joint Applicants provided confidential estimates of their operational expenses for 2024</w:t>
      </w:r>
      <w:r w:rsidR="00AC5D93">
        <w:t xml:space="preserve"> and</w:t>
      </w:r>
      <w:r>
        <w:t xml:space="preserve"> their costs for compliance with safety and emissions regulations</w:t>
      </w:r>
      <w:r w:rsidR="00191D37">
        <w:t>.  T</w:t>
      </w:r>
      <w:r w:rsidR="00060E62">
        <w:t xml:space="preserve">he Joint Applicants </w:t>
      </w:r>
      <w:r w:rsidR="00191D37">
        <w:t xml:space="preserve">also </w:t>
      </w:r>
      <w:r w:rsidR="00060E62">
        <w:t>state that these expenses and their revenues can fluctuate significantly throughout the year based on natural gas markets, weather events, seasonable demands, and individual customer requirements.</w:t>
      </w:r>
      <w:r w:rsidR="00191D37">
        <w:rPr>
          <w:rStyle w:val="FootnoteReference"/>
        </w:rPr>
        <w:footnoteReference w:id="16"/>
      </w:r>
      <w:r w:rsidR="00060E62">
        <w:t xml:space="preserve"> </w:t>
      </w:r>
      <w:r w:rsidR="005264A5">
        <w:t xml:space="preserve"> </w:t>
      </w:r>
      <w:r w:rsidR="00060E62">
        <w:t xml:space="preserve">According to the Joint Applicants, the funds available through the </w:t>
      </w:r>
      <w:r w:rsidR="00FD1CC7">
        <w:t>2024</w:t>
      </w:r>
      <w:r w:rsidR="00060E62">
        <w:t xml:space="preserve"> </w:t>
      </w:r>
      <w:r w:rsidR="00072245">
        <w:t xml:space="preserve">Refinancing </w:t>
      </w:r>
      <w:r w:rsidR="00B117DE">
        <w:t xml:space="preserve">Request </w:t>
      </w:r>
      <w:r w:rsidR="00060E62">
        <w:t xml:space="preserve">are necessary to address </w:t>
      </w:r>
      <w:r w:rsidR="00CB17EA">
        <w:t xml:space="preserve">a </w:t>
      </w:r>
      <w:r w:rsidR="00060E62">
        <w:t>potential cash flow shortfall.</w:t>
      </w:r>
      <w:r w:rsidR="00191D37">
        <w:rPr>
          <w:rStyle w:val="FootnoteReference"/>
        </w:rPr>
        <w:footnoteReference w:id="17"/>
      </w:r>
    </w:p>
    <w:p w:rsidR="004546FC" w:rsidP="004546FC" w:rsidRDefault="00AC5D93" w14:paraId="01743772" w14:textId="4C81459B">
      <w:pPr>
        <w:pStyle w:val="Standard"/>
      </w:pPr>
      <w:r>
        <w:t xml:space="preserve">Upon </w:t>
      </w:r>
      <w:proofErr w:type="gramStart"/>
      <w:r>
        <w:t>review of</w:t>
      </w:r>
      <w:proofErr w:type="gramEnd"/>
      <w:r>
        <w:t xml:space="preserve"> the confidential estimates</w:t>
      </w:r>
      <w:r w:rsidR="00161C71">
        <w:t xml:space="preserve"> provided by the Joint Applicants</w:t>
      </w:r>
      <w:r>
        <w:t>,</w:t>
      </w:r>
      <w:r w:rsidR="00E60FFE">
        <w:t xml:space="preserve"> </w:t>
      </w:r>
      <w:r w:rsidR="00335FCB">
        <w:t xml:space="preserve">we find that the ABL </w:t>
      </w:r>
      <w:r w:rsidR="00C74C80">
        <w:t xml:space="preserve">Credit Agreement </w:t>
      </w:r>
      <w:r w:rsidR="00335FCB">
        <w:t xml:space="preserve">and </w:t>
      </w:r>
      <w:r w:rsidR="00C74C80">
        <w:t>TLB Credit Agreement</w:t>
      </w:r>
      <w:r w:rsidR="00191D37">
        <w:t>,</w:t>
      </w:r>
      <w:r>
        <w:t xml:space="preserve"> </w:t>
      </w:r>
      <w:r w:rsidRPr="002D018A">
        <w:t>totaling $</w:t>
      </w:r>
      <w:r w:rsidRPr="002D018A" w:rsidR="004546FC">
        <w:t>1.6</w:t>
      </w:r>
      <w:r w:rsidRPr="002D018A">
        <w:t xml:space="preserve"> </w:t>
      </w:r>
      <w:r w:rsidRPr="002D018A" w:rsidR="004546FC">
        <w:t>b</w:t>
      </w:r>
      <w:r w:rsidRPr="002D018A">
        <w:t>illion</w:t>
      </w:r>
      <w:r w:rsidRPr="002D018A" w:rsidR="00191D37">
        <w:t>,</w:t>
      </w:r>
      <w:r w:rsidR="00335FCB">
        <w:t xml:space="preserve"> account for the projected operational</w:t>
      </w:r>
      <w:r w:rsidR="00E60FFE">
        <w:t>, safety, and regulatory</w:t>
      </w:r>
      <w:r w:rsidR="00335FCB">
        <w:t xml:space="preserve"> needs of the </w:t>
      </w:r>
      <w:proofErr w:type="spellStart"/>
      <w:r w:rsidR="00AD41F5">
        <w:t>Rockpoint</w:t>
      </w:r>
      <w:proofErr w:type="spellEnd"/>
      <w:r w:rsidR="00AD41F5">
        <w:t xml:space="preserve"> family of</w:t>
      </w:r>
      <w:r w:rsidR="00335FCB">
        <w:t xml:space="preserve"> companies. </w:t>
      </w:r>
      <w:r w:rsidR="005264A5">
        <w:t xml:space="preserve"> </w:t>
      </w:r>
      <w:r w:rsidR="00335FCB">
        <w:t xml:space="preserve">The Intercompany Credit </w:t>
      </w:r>
      <w:r w:rsidR="00335FCB">
        <w:lastRenderedPageBreak/>
        <w:t xml:space="preserve">Agreement of $100 million serves as additional liquidity </w:t>
      </w:r>
      <w:r w:rsidR="004546FC">
        <w:t>if</w:t>
      </w:r>
      <w:r w:rsidR="00335FCB">
        <w:t xml:space="preserve"> the financing available from the first two loans prove</w:t>
      </w:r>
      <w:r w:rsidR="00FD6282">
        <w:t>s</w:t>
      </w:r>
      <w:r w:rsidR="00335FCB">
        <w:t xml:space="preserve"> insufficient to cover all working capital, operational, and safety needs of the </w:t>
      </w:r>
      <w:proofErr w:type="spellStart"/>
      <w:r w:rsidR="00AD41F5">
        <w:t>Rockpoint</w:t>
      </w:r>
      <w:proofErr w:type="spellEnd"/>
      <w:r w:rsidR="00335FCB">
        <w:t xml:space="preserve"> companies. </w:t>
      </w:r>
      <w:r w:rsidR="005264A5">
        <w:t xml:space="preserve"> </w:t>
      </w:r>
      <w:r w:rsidRPr="002D018A" w:rsidR="00161C71">
        <w:t xml:space="preserve">In total, the </w:t>
      </w:r>
      <w:r w:rsidRPr="002D018A" w:rsidR="00FD1CC7">
        <w:t>2024</w:t>
      </w:r>
      <w:r w:rsidRPr="002D018A" w:rsidR="00161C71">
        <w:t xml:space="preserve"> </w:t>
      </w:r>
      <w:r w:rsidRPr="002D018A" w:rsidR="00072245">
        <w:t xml:space="preserve">Refinancing </w:t>
      </w:r>
      <w:r w:rsidR="00B117DE">
        <w:t>Request</w:t>
      </w:r>
      <w:r w:rsidRPr="002D018A" w:rsidR="00B117DE">
        <w:t xml:space="preserve"> </w:t>
      </w:r>
      <w:r w:rsidRPr="002D018A" w:rsidR="00161C71">
        <w:t>makes $</w:t>
      </w:r>
      <w:r w:rsidRPr="002D018A" w:rsidR="004546FC">
        <w:t>1.7 b</w:t>
      </w:r>
      <w:r w:rsidRPr="002D018A" w:rsidR="00161C71">
        <w:t>illion</w:t>
      </w:r>
      <w:r w:rsidR="00161C71">
        <w:t xml:space="preserve"> in financial resources available.</w:t>
      </w:r>
      <w:r w:rsidR="004546FC">
        <w:t xml:space="preserve">  </w:t>
      </w:r>
      <w:r w:rsidR="008F6145">
        <w:t xml:space="preserve">The Joint Applicants state that </w:t>
      </w:r>
      <w:proofErr w:type="spellStart"/>
      <w:r w:rsidR="008F6145">
        <w:t>Rockpoint</w:t>
      </w:r>
      <w:proofErr w:type="spellEnd"/>
      <w:r w:rsidR="008F6145">
        <w:t xml:space="preserve"> will make this funding available, as needed, to the extent</w:t>
      </w:r>
      <w:r w:rsidR="001753EE">
        <w:t xml:space="preserve"> the</w:t>
      </w:r>
      <w:r w:rsidR="00A82F42">
        <w:t xml:space="preserve"> Joint Applicants’ earnings are insufficient</w:t>
      </w:r>
      <w:r w:rsidR="008F6145">
        <w:t xml:space="preserve"> to cover their expenses</w:t>
      </w:r>
      <w:r w:rsidR="00A82F42">
        <w:t>.</w:t>
      </w:r>
      <w:r w:rsidR="008F6145">
        <w:rPr>
          <w:rStyle w:val="FootnoteReference"/>
        </w:rPr>
        <w:footnoteReference w:id="18"/>
      </w:r>
      <w:r w:rsidR="00A82F42">
        <w:t xml:space="preserve">  </w:t>
      </w:r>
    </w:p>
    <w:p w:rsidR="00A23644" w:rsidP="004546FC" w:rsidRDefault="00B4541A" w14:paraId="415D51B6" w14:textId="3F243090">
      <w:pPr>
        <w:pStyle w:val="Standard"/>
      </w:pPr>
      <w:proofErr w:type="spellStart"/>
      <w:r w:rsidRPr="002D018A">
        <w:t>Rockpoint’s</w:t>
      </w:r>
      <w:proofErr w:type="spellEnd"/>
      <w:r w:rsidRPr="002D018A">
        <w:t xml:space="preserve"> </w:t>
      </w:r>
      <w:r w:rsidR="002D018A">
        <w:t>previous actions</w:t>
      </w:r>
      <w:r w:rsidRPr="002D018A" w:rsidR="00A23644">
        <w:t>,</w:t>
      </w:r>
      <w:r w:rsidRPr="002D018A">
        <w:t xml:space="preserve"> </w:t>
      </w:r>
      <w:r w:rsidR="002D018A">
        <w:t>along</w:t>
      </w:r>
      <w:r w:rsidRPr="002D018A">
        <w:t xml:space="preserve"> with the </w:t>
      </w:r>
      <w:r w:rsidRPr="002D018A" w:rsidR="000229DB">
        <w:t xml:space="preserve">current </w:t>
      </w:r>
      <w:r w:rsidRPr="002D018A">
        <w:t xml:space="preserve">financial resources </w:t>
      </w:r>
      <w:r w:rsidR="002D018A">
        <w:t>at its disposal</w:t>
      </w:r>
      <w:r w:rsidRPr="002D018A" w:rsidR="00A23644">
        <w:t>,</w:t>
      </w:r>
      <w:r w:rsidRPr="002D018A">
        <w:t xml:space="preserve"> support that the </w:t>
      </w:r>
      <w:r w:rsidRPr="002D018A" w:rsidR="00FD1CC7">
        <w:t>2024</w:t>
      </w:r>
      <w:r w:rsidRPr="002D018A">
        <w:t xml:space="preserve"> </w:t>
      </w:r>
      <w:r w:rsidRPr="002D018A" w:rsidR="001906BB">
        <w:t>Refinancing</w:t>
      </w:r>
      <w:r w:rsidR="00B117DE">
        <w:t xml:space="preserve"> Request</w:t>
      </w:r>
      <w:r w:rsidRPr="002D018A" w:rsidR="001906BB">
        <w:t xml:space="preserve"> </w:t>
      </w:r>
      <w:r w:rsidRPr="002D018A">
        <w:t xml:space="preserve">is necessary to ensure the Joint Applicants provide safe and reliable service. </w:t>
      </w:r>
      <w:r w:rsidRPr="002D018A" w:rsidR="005264A5">
        <w:t xml:space="preserve"> </w:t>
      </w:r>
      <w:r w:rsidRPr="002D018A" w:rsidR="00A23644">
        <w:t xml:space="preserve">Thus, </w:t>
      </w:r>
      <w:proofErr w:type="gramStart"/>
      <w:r w:rsidRPr="002D018A" w:rsidR="00A23644">
        <w:t>the public</w:t>
      </w:r>
      <w:proofErr w:type="gramEnd"/>
      <w:r w:rsidRPr="002D018A" w:rsidR="00A23644">
        <w:t xml:space="preserve"> interest </w:t>
      </w:r>
      <w:r w:rsidRPr="002D018A" w:rsidR="00AC7590">
        <w:t>does not necessitate</w:t>
      </w:r>
      <w:r w:rsidRPr="002D018A" w:rsidR="00A23644">
        <w:t xml:space="preserve"> apply</w:t>
      </w:r>
      <w:r w:rsidRPr="002D018A" w:rsidR="00AC7590">
        <w:t>ing</w:t>
      </w:r>
      <w:r w:rsidRPr="002D018A" w:rsidR="00A23644">
        <w:t xml:space="preserve"> the pre-approval requirements of Pub. Util. Code Section</w:t>
      </w:r>
      <w:r w:rsidR="00125021">
        <w:t>s</w:t>
      </w:r>
      <w:r w:rsidRPr="002D018A" w:rsidR="00A23644">
        <w:t xml:space="preserve"> 830 and 851 to</w:t>
      </w:r>
      <w:r w:rsidRPr="002D018A" w:rsidR="001753EE">
        <w:t xml:space="preserve"> the</w:t>
      </w:r>
      <w:r w:rsidRPr="002D018A" w:rsidR="00A23644">
        <w:t xml:space="preserve"> Joint Applicants’ request.</w:t>
      </w:r>
      <w:r w:rsidR="00A23644">
        <w:t xml:space="preserve"> </w:t>
      </w:r>
    </w:p>
    <w:p w:rsidR="0061696E" w:rsidP="00F8469C" w:rsidRDefault="00D97A31" w14:paraId="0F758FF4" w14:textId="14BBC29D">
      <w:pPr>
        <w:pStyle w:val="Heading2"/>
        <w:tabs>
          <w:tab w:val="clear" w:pos="1080"/>
          <w:tab w:val="left" w:pos="1440"/>
        </w:tabs>
        <w:ind w:left="1440"/>
      </w:pPr>
      <w:r>
        <w:t>Conclusion</w:t>
      </w:r>
    </w:p>
    <w:p w:rsidR="00D97A31" w:rsidP="00CE5555" w:rsidRDefault="00D97A31" w14:paraId="720C62F3" w14:textId="79D0516A">
      <w:pPr>
        <w:pStyle w:val="Standard"/>
      </w:pPr>
      <w:bookmarkStart w:name="_Hlk162541268" w:id="9"/>
      <w:r>
        <w:t>Based on the foregoing, w</w:t>
      </w:r>
      <w:r w:rsidRPr="00D97A31">
        <w:t xml:space="preserve">e grant the Joint Applicants’ request for exemptions </w:t>
      </w:r>
      <w:r w:rsidR="00125021">
        <w:t xml:space="preserve">from </w:t>
      </w:r>
      <w:r w:rsidRPr="00D97A31" w:rsidR="00125021">
        <w:t xml:space="preserve">Pub. Util. Code </w:t>
      </w:r>
      <w:r w:rsidR="00125021">
        <w:t xml:space="preserve">Sections 830 and 851 </w:t>
      </w:r>
      <w:r w:rsidRPr="00D97A31">
        <w:t>under Pub. Util. Code Section</w:t>
      </w:r>
      <w:r w:rsidR="00125021">
        <w:t>s</w:t>
      </w:r>
      <w:r w:rsidRPr="00D97A31">
        <w:t xml:space="preserve"> 829(c) and 853(b)</w:t>
      </w:r>
      <w:r>
        <w:t xml:space="preserve">, and the Joint Applicants are </w:t>
      </w:r>
      <w:r w:rsidRPr="00D97A31">
        <w:t>authorize</w:t>
      </w:r>
      <w:r>
        <w:t>d to</w:t>
      </w:r>
      <w:r w:rsidRPr="00D97A31">
        <w:t xml:space="preserve"> encumb</w:t>
      </w:r>
      <w:r>
        <w:t>e</w:t>
      </w:r>
      <w:r w:rsidRPr="00D97A31">
        <w:t xml:space="preserve">r their utility assets and issue corporate guarantee to secure the debt refinancing of their senior affiliates as part of </w:t>
      </w:r>
      <w:r w:rsidR="00E9525D">
        <w:t xml:space="preserve">the </w:t>
      </w:r>
      <w:r w:rsidR="00FD1CC7">
        <w:t>2024</w:t>
      </w:r>
      <w:r w:rsidRPr="00D97A31">
        <w:t xml:space="preserve"> Refinancing</w:t>
      </w:r>
      <w:r w:rsidR="00B117DE">
        <w:t xml:space="preserve"> Request</w:t>
      </w:r>
      <w:r w:rsidRPr="00D97A31">
        <w:t>.</w:t>
      </w:r>
      <w:r>
        <w:t xml:space="preserve"> </w:t>
      </w:r>
    </w:p>
    <w:p w:rsidR="0061696E" w:rsidP="00CE5555" w:rsidRDefault="00531594" w14:paraId="2C20438E" w14:textId="0B535A86">
      <w:pPr>
        <w:pStyle w:val="Standard"/>
      </w:pPr>
      <w:r>
        <w:t>Since</w:t>
      </w:r>
      <w:r w:rsidR="0061696E">
        <w:t xml:space="preserve"> we grant the Joint Applicants’ requests for exemptions</w:t>
      </w:r>
      <w:r w:rsidR="00125021">
        <w:t>,</w:t>
      </w:r>
      <w:r w:rsidR="0061696E">
        <w:t xml:space="preserve"> the Joint Applicants’ alternative request for authority to conduct the proposed encumbrance pursuant to Pub. Util. Code Section</w:t>
      </w:r>
      <w:r w:rsidR="00125021">
        <w:t>s</w:t>
      </w:r>
      <w:r w:rsidR="0061696E">
        <w:t xml:space="preserve"> 830 and 851 is moot.</w:t>
      </w:r>
    </w:p>
    <w:p w:rsidR="00603238" w:rsidP="00FA1B4F" w:rsidRDefault="00603238" w14:paraId="58F46103" w14:textId="77777777">
      <w:pPr>
        <w:pStyle w:val="Heading1"/>
      </w:pPr>
      <w:bookmarkStart w:name="_Toc133843852" w:id="10"/>
      <w:bookmarkStart w:name="_Toc8123721" w:id="11"/>
      <w:bookmarkEnd w:id="9"/>
      <w:r>
        <w:t>Summary of Public Comment</w:t>
      </w:r>
      <w:bookmarkEnd w:id="10"/>
    </w:p>
    <w:p w:rsidRPr="00DD6739" w:rsidR="00603238" w:rsidP="00CE5555" w:rsidRDefault="00603238" w14:paraId="323A843C" w14:textId="17C4827A">
      <w:pPr>
        <w:pStyle w:val="Standard"/>
        <w:rPr>
          <w:rFonts w:ascii="Calibri" w:hAnsi="Calibri"/>
          <w:sz w:val="22"/>
        </w:rPr>
      </w:pPr>
      <w:r w:rsidRPr="00DD6739">
        <w:t xml:space="preserve">Rule 1.18 </w:t>
      </w:r>
      <w:r w:rsidR="006E4772">
        <w:t xml:space="preserve">of the Commission’s Rules of Practice and Procedure (Rules), </w:t>
      </w:r>
      <w:r w:rsidRPr="00DD6739">
        <w:t xml:space="preserve">allows any member of the public to submit written comment in any Commission proceeding using the “Public Comment” tab of the online Docket Card for that </w:t>
      </w:r>
      <w:r w:rsidRPr="00DD6739">
        <w:lastRenderedPageBreak/>
        <w:t>proceeding on the Commission’s website.</w:t>
      </w:r>
      <w:r w:rsidR="005264A5">
        <w:t xml:space="preserve">  </w:t>
      </w:r>
      <w:r w:rsidRPr="00DD6739">
        <w:t>Rule 1.18(b) requires that relevant written comment submitted in a proceeding be summarized in the final decision issued in that proceeding.</w:t>
      </w:r>
      <w:r w:rsidR="00DD6739">
        <w:t xml:space="preserve"> </w:t>
      </w:r>
      <w:r w:rsidR="005264A5">
        <w:t xml:space="preserve"> </w:t>
      </w:r>
      <w:r w:rsidR="00AC7590">
        <w:t>There are no public comments on the Docket Card concerning the Joint Applicants’ requests</w:t>
      </w:r>
      <w:r w:rsidR="00DD6739">
        <w:t>.</w:t>
      </w:r>
    </w:p>
    <w:p w:rsidR="004A1EAD" w:rsidP="004A1EAD" w:rsidRDefault="004A1EAD" w14:paraId="0E376BB7" w14:textId="77777777">
      <w:pPr>
        <w:pStyle w:val="Heading1"/>
      </w:pPr>
      <w:bookmarkStart w:name="_Toc8123723" w:id="12"/>
      <w:bookmarkStart w:name="_Toc133843854" w:id="13"/>
      <w:bookmarkEnd w:id="11"/>
      <w:r>
        <w:t>Procedural Matters</w:t>
      </w:r>
    </w:p>
    <w:p w:rsidR="00B1657D" w:rsidP="00CE5555" w:rsidRDefault="00F52A89" w14:paraId="4BB29247" w14:textId="5AEB3BAD">
      <w:pPr>
        <w:pStyle w:val="Standard"/>
      </w:pPr>
      <w:r>
        <w:t xml:space="preserve"> </w:t>
      </w:r>
      <w:r w:rsidR="00B1657D">
        <w:t>On October 11, 2024, t</w:t>
      </w:r>
      <w:r w:rsidRPr="00B1657D" w:rsidR="00B1657D">
        <w:t>he Joint Applicants</w:t>
      </w:r>
      <w:r w:rsidR="00B1657D">
        <w:t xml:space="preserve"> filed a</w:t>
      </w:r>
      <w:r w:rsidRPr="00B1657D" w:rsidR="00B1657D">
        <w:t xml:space="preserve"> motion for leave to file under seal and maintain the confidentiality of certain information</w:t>
      </w:r>
      <w:r w:rsidR="00B1657D">
        <w:t xml:space="preserve">.  The Joint Parties requested that the following document or portions thereof be filed under seal: (1) </w:t>
      </w:r>
      <w:r w:rsidRPr="00B1657D" w:rsidR="00B1657D">
        <w:t>the highlighted material in the application</w:t>
      </w:r>
      <w:r w:rsidR="00406F67">
        <w:t xml:space="preserve"> </w:t>
      </w:r>
      <w:r w:rsidRPr="00B1657D" w:rsidR="00B1657D">
        <w:t>and Exhibits JA-1, JA-2, JA-5, JA-7, and JA-9</w:t>
      </w:r>
      <w:r w:rsidR="00B1657D">
        <w:t xml:space="preserve"> and (2) </w:t>
      </w:r>
      <w:r w:rsidRPr="00B1657D" w:rsidR="00B1657D">
        <w:t xml:space="preserve">the entirety of Exhibits JA-11, JA-17, and JA-18. </w:t>
      </w:r>
      <w:r w:rsidR="00B1657D">
        <w:t xml:space="preserve"> Good cause being shown, we grant the motion.  </w:t>
      </w:r>
      <w:r w:rsidRPr="00B1657D" w:rsidR="00B1657D">
        <w:t xml:space="preserve">The material retained under seal shall not be accessible or disclosed to </w:t>
      </w:r>
      <w:proofErr w:type="gramStart"/>
      <w:r w:rsidRPr="00B1657D" w:rsidR="00B1657D">
        <w:t>persons</w:t>
      </w:r>
      <w:proofErr w:type="gramEnd"/>
      <w:r w:rsidRPr="00B1657D" w:rsidR="00B1657D">
        <w:t xml:space="preserve"> other than Commission staff except on further order or ruling of the Commission, the</w:t>
      </w:r>
      <w:r w:rsidR="00E309A1">
        <w:t xml:space="preserve"> Administrative Law Judge (</w:t>
      </w:r>
      <w:r w:rsidR="00B1657D">
        <w:t>ALJ</w:t>
      </w:r>
      <w:r w:rsidR="00E309A1">
        <w:t>)</w:t>
      </w:r>
      <w:r w:rsidRPr="00B1657D" w:rsidR="00B1657D">
        <w:t xml:space="preserve"> to whom this proceeding is assigned, or the </w:t>
      </w:r>
      <w:r w:rsidR="00B1657D">
        <w:t>AL</w:t>
      </w:r>
      <w:r w:rsidR="00C74C80">
        <w:t>J</w:t>
      </w:r>
      <w:r w:rsidRPr="00B1657D" w:rsidR="00B1657D">
        <w:t xml:space="preserve"> then designated as the law and motion judge.</w:t>
      </w:r>
      <w:r w:rsidR="00B1657D">
        <w:t xml:space="preserve"> </w:t>
      </w:r>
    </w:p>
    <w:p w:rsidRPr="008B175A" w:rsidR="004A1EAD" w:rsidP="00CE5555" w:rsidRDefault="004A1EAD" w14:paraId="7F2C0A31" w14:textId="1CA28FBA">
      <w:pPr>
        <w:pStyle w:val="Standard"/>
      </w:pPr>
      <w:r w:rsidRPr="008B175A">
        <w:t xml:space="preserve">This decision affirms all </w:t>
      </w:r>
      <w:proofErr w:type="gramStart"/>
      <w:r w:rsidR="00B1657D">
        <w:t>other</w:t>
      </w:r>
      <w:proofErr w:type="gramEnd"/>
      <w:r w:rsidR="00B1657D">
        <w:t xml:space="preserve"> </w:t>
      </w:r>
      <w:r w:rsidRPr="008B175A">
        <w:t>rulings made by the A</w:t>
      </w:r>
      <w:r w:rsidR="00CE5555">
        <w:t>LJ</w:t>
      </w:r>
      <w:r w:rsidRPr="008B175A">
        <w:t xml:space="preserve"> and assigned Commissioner in this proceeding.</w:t>
      </w:r>
      <w:r w:rsidR="005264A5">
        <w:t xml:space="preserve"> </w:t>
      </w:r>
      <w:r w:rsidRPr="008B175A">
        <w:t xml:space="preserve"> All motions not ruled on are deemed denied.</w:t>
      </w:r>
      <w:r w:rsidR="001F3594">
        <w:t xml:space="preserve">  </w:t>
      </w:r>
    </w:p>
    <w:bookmarkEnd w:id="12"/>
    <w:bookmarkEnd w:id="13"/>
    <w:p w:rsidR="005939A5" w:rsidP="005939A5" w:rsidRDefault="00D336BD" w14:paraId="3C9DBBF6" w14:textId="7964A3DE">
      <w:pPr>
        <w:pStyle w:val="Heading1"/>
      </w:pPr>
      <w:r>
        <w:t>Waiver of Comment Period</w:t>
      </w:r>
    </w:p>
    <w:p w:rsidR="005939A5" w:rsidP="005C58FA" w:rsidRDefault="005C58FA" w14:paraId="6A18D4BF" w14:textId="4475AFFA">
      <w:pPr>
        <w:pStyle w:val="Standard"/>
      </w:pPr>
      <w:r>
        <w:t>Pu</w:t>
      </w:r>
      <w:r w:rsidR="00D336BD">
        <w:t xml:space="preserve">rsuant to Rule 14.6(c)(2), if the Proposed Decision grants the relief requested in an </w:t>
      </w:r>
      <w:r w:rsidR="00A23644">
        <w:t>uncontested</w:t>
      </w:r>
      <w:r w:rsidR="00D336BD">
        <w:t xml:space="preserve"> matter, the public review and comment may be reduced or waived. </w:t>
      </w:r>
      <w:r w:rsidR="005264A5">
        <w:t xml:space="preserve"> </w:t>
      </w:r>
      <w:r w:rsidR="00C74C80">
        <w:t>Since</w:t>
      </w:r>
      <w:r w:rsidR="00D336BD">
        <w:t xml:space="preserve"> this application is uncontested and this decision grants</w:t>
      </w:r>
      <w:r w:rsidR="001753EE">
        <w:t xml:space="preserve"> the</w:t>
      </w:r>
      <w:r w:rsidR="00D336BD">
        <w:t xml:space="preserve"> Joint Applicants’ requested relief, the comment period for the Proposed Decision is </w:t>
      </w:r>
      <w:r w:rsidR="00A23644">
        <w:t>waived</w:t>
      </w:r>
      <w:r w:rsidR="00D336BD">
        <w:t>.</w:t>
      </w:r>
    </w:p>
    <w:p w:rsidR="005939A5" w:rsidP="005939A5" w:rsidRDefault="005939A5" w14:paraId="55A699C6" w14:textId="76A4AB77">
      <w:pPr>
        <w:pStyle w:val="Heading1"/>
      </w:pPr>
      <w:bookmarkStart w:name="_Toc8123724" w:id="14"/>
      <w:bookmarkStart w:name="_Toc133843855" w:id="15"/>
      <w:r>
        <w:t>Assignment of Proceeding</w:t>
      </w:r>
      <w:bookmarkEnd w:id="14"/>
      <w:bookmarkEnd w:id="15"/>
    </w:p>
    <w:p w:rsidR="005939A5" w:rsidP="006E6574" w:rsidRDefault="00D336BD" w14:paraId="73661A77" w14:textId="11CC6BFE">
      <w:pPr>
        <w:pStyle w:val="Standard"/>
      </w:pPr>
      <w:r>
        <w:t>Darcie L. Houck</w:t>
      </w:r>
      <w:r w:rsidR="005939A5">
        <w:t xml:space="preserve"> is the assigned Commissioner and </w:t>
      </w:r>
      <w:r w:rsidR="00FD1CC7">
        <w:t>Marcelo Lins Poirier</w:t>
      </w:r>
      <w:r w:rsidR="005939A5">
        <w:t xml:space="preserve"> is the assigned A</w:t>
      </w:r>
      <w:r w:rsidR="00CE5555">
        <w:t xml:space="preserve">LJ </w:t>
      </w:r>
      <w:r w:rsidR="005939A5">
        <w:t>in this proceeding.</w:t>
      </w:r>
    </w:p>
    <w:p w:rsidR="005939A5" w:rsidP="005939A5" w:rsidRDefault="005939A5" w14:paraId="2F1249C2" w14:textId="77777777">
      <w:pPr>
        <w:pStyle w:val="Dummy"/>
      </w:pPr>
      <w:bookmarkStart w:name="_Toc8123725" w:id="16"/>
      <w:bookmarkStart w:name="_Toc133843856" w:id="17"/>
      <w:r>
        <w:lastRenderedPageBreak/>
        <w:t>Findings of Fact</w:t>
      </w:r>
      <w:bookmarkEnd w:id="16"/>
      <w:bookmarkEnd w:id="17"/>
    </w:p>
    <w:p w:rsidR="009540BD" w:rsidP="00E309A1" w:rsidRDefault="009540BD" w14:paraId="60D8BB94" w14:textId="0CEDB40E">
      <w:pPr>
        <w:pStyle w:val="FoF"/>
      </w:pPr>
      <w:r>
        <w:t xml:space="preserve">The Joint Applicants seek exemptions from applicable statutory requirements to </w:t>
      </w:r>
      <w:r w:rsidR="00D97A31">
        <w:t xml:space="preserve">authorize </w:t>
      </w:r>
      <w:r>
        <w:t>them to issue corporate guarantees and provide assets as security for debt financing of their senior affiliates through agreements and undertakings.</w:t>
      </w:r>
    </w:p>
    <w:p w:rsidRPr="00E309A1" w:rsidR="009540BD" w:rsidP="00E309A1" w:rsidRDefault="009540BD" w14:paraId="5D5685B9" w14:textId="5FDB30EC">
      <w:pPr>
        <w:pStyle w:val="FoF"/>
      </w:pPr>
      <w:r w:rsidRPr="00E309A1">
        <w:t>Under the terms of the transaction approved in D.2</w:t>
      </w:r>
      <w:r w:rsidRPr="00E309A1" w:rsidR="000229DB">
        <w:t>4</w:t>
      </w:r>
      <w:r w:rsidRPr="00E309A1">
        <w:t>-</w:t>
      </w:r>
      <w:r w:rsidRPr="00E309A1" w:rsidR="000229DB">
        <w:t>05</w:t>
      </w:r>
      <w:r w:rsidRPr="00E309A1">
        <w:t>-0</w:t>
      </w:r>
      <w:r w:rsidRPr="00E309A1" w:rsidR="000229DB">
        <w:t>49</w:t>
      </w:r>
      <w:r w:rsidRPr="00E309A1">
        <w:t xml:space="preserve">, the Joint Applicants’ ABL Credit Agreement would expire on </w:t>
      </w:r>
      <w:r w:rsidRPr="00E309A1" w:rsidR="000229DB">
        <w:t>August</w:t>
      </w:r>
      <w:r w:rsidRPr="00E309A1">
        <w:t xml:space="preserve"> 17, 202</w:t>
      </w:r>
      <w:r w:rsidRPr="00E309A1" w:rsidR="000229DB">
        <w:t>6</w:t>
      </w:r>
      <w:r w:rsidRPr="00E309A1">
        <w:t>.</w:t>
      </w:r>
    </w:p>
    <w:p w:rsidRPr="00E309A1" w:rsidR="00CD35E4" w:rsidP="00E309A1" w:rsidRDefault="00160F98" w14:paraId="4E16B868" w14:textId="1B7DE2AA">
      <w:pPr>
        <w:pStyle w:val="FoF"/>
      </w:pPr>
      <w:r w:rsidRPr="00E309A1">
        <w:t xml:space="preserve">The </w:t>
      </w:r>
      <w:r w:rsidRPr="00E309A1" w:rsidR="00FD1CC7">
        <w:t>2024</w:t>
      </w:r>
      <w:r w:rsidRPr="00E309A1">
        <w:t xml:space="preserve"> Refinancing </w:t>
      </w:r>
      <w:r w:rsidR="00B117DE">
        <w:t>Request</w:t>
      </w:r>
      <w:r w:rsidRPr="00E309A1" w:rsidR="00B117DE">
        <w:t xml:space="preserve"> </w:t>
      </w:r>
      <w:r w:rsidRPr="00E309A1">
        <w:t xml:space="preserve">will extend the maturity date of the ABL Credit Agreement to </w:t>
      </w:r>
      <w:r w:rsidRPr="00E309A1" w:rsidR="000229DB">
        <w:t>June 20</w:t>
      </w:r>
      <w:r w:rsidRPr="00E309A1">
        <w:t>, 2</w:t>
      </w:r>
      <w:r w:rsidRPr="00E309A1" w:rsidR="000229DB">
        <w:t>031</w:t>
      </w:r>
      <w:r w:rsidRPr="00E309A1" w:rsidR="00793F9B">
        <w:t xml:space="preserve">, and authorize a </w:t>
      </w:r>
      <w:r w:rsidRPr="00E309A1" w:rsidR="00C74C80">
        <w:t>TLB Credit</w:t>
      </w:r>
      <w:r w:rsidRPr="00E309A1" w:rsidR="00793F9B">
        <w:t xml:space="preserve"> Agreement and a modification to the previously approved Intercompany Credit Agreement.</w:t>
      </w:r>
    </w:p>
    <w:p w:rsidRPr="00E309A1" w:rsidR="00160F98" w:rsidP="00E309A1" w:rsidRDefault="00A23644" w14:paraId="16B10E51" w14:textId="45F3BEBD">
      <w:pPr>
        <w:pStyle w:val="FoF"/>
      </w:pPr>
      <w:r w:rsidRPr="00E309A1">
        <w:t xml:space="preserve">The </w:t>
      </w:r>
      <w:r w:rsidRPr="00E309A1" w:rsidR="00FD1CC7">
        <w:t>2024</w:t>
      </w:r>
      <w:r w:rsidRPr="00E309A1" w:rsidR="00160F98">
        <w:t xml:space="preserve"> </w:t>
      </w:r>
      <w:r w:rsidRPr="00E309A1" w:rsidR="00D97A31">
        <w:t>R</w:t>
      </w:r>
      <w:r w:rsidRPr="00E309A1" w:rsidR="00160F98">
        <w:t xml:space="preserve">efinancing </w:t>
      </w:r>
      <w:r w:rsidR="00B117DE">
        <w:t>Request</w:t>
      </w:r>
      <w:r w:rsidRPr="00E309A1" w:rsidR="00B117DE">
        <w:t xml:space="preserve"> </w:t>
      </w:r>
      <w:r w:rsidRPr="00E309A1" w:rsidR="000229DB">
        <w:t xml:space="preserve">allows </w:t>
      </w:r>
      <w:r w:rsidRPr="00E309A1">
        <w:t xml:space="preserve">the </w:t>
      </w:r>
      <w:r w:rsidRPr="00E309A1" w:rsidR="00160F98">
        <w:t xml:space="preserve">Joint Applicants to borrow larger sums at more favorable interest rates under better terms. </w:t>
      </w:r>
      <w:r w:rsidRPr="00E309A1" w:rsidR="00ED679B">
        <w:t xml:space="preserve"> </w:t>
      </w:r>
      <w:r w:rsidRPr="00E309A1" w:rsidR="00160F98">
        <w:t xml:space="preserve">This provides </w:t>
      </w:r>
      <w:proofErr w:type="gramStart"/>
      <w:r w:rsidRPr="00E309A1" w:rsidR="00160F98">
        <w:t>the Joint</w:t>
      </w:r>
      <w:proofErr w:type="gramEnd"/>
      <w:r w:rsidRPr="00E309A1" w:rsidR="00160F98">
        <w:t xml:space="preserve"> Applicants with access to lower-cost financing for their operations and working capital requirements, which allows </w:t>
      </w:r>
      <w:proofErr w:type="gramStart"/>
      <w:r w:rsidRPr="00E309A1" w:rsidR="00160F98">
        <w:t>the Joint</w:t>
      </w:r>
      <w:proofErr w:type="gramEnd"/>
      <w:r w:rsidRPr="00E309A1" w:rsidR="00160F98">
        <w:t xml:space="preserve"> Applicants to conduct their business more efficiently and provide service to their customers at </w:t>
      </w:r>
      <w:r w:rsidRPr="00E309A1" w:rsidR="007518EE">
        <w:t>potentially lower</w:t>
      </w:r>
      <w:r w:rsidRPr="00E309A1" w:rsidR="00160F98">
        <w:t xml:space="preserve"> rates.</w:t>
      </w:r>
    </w:p>
    <w:p w:rsidRPr="00E309A1" w:rsidR="00160F98" w:rsidP="00E309A1" w:rsidRDefault="00160F98" w14:paraId="0B76CDE3" w14:textId="34942915">
      <w:pPr>
        <w:pStyle w:val="FoF"/>
      </w:pPr>
      <w:r w:rsidRPr="00E309A1">
        <w:t xml:space="preserve">The </w:t>
      </w:r>
      <w:r w:rsidRPr="00E309A1" w:rsidR="00FD1CC7">
        <w:t>2024</w:t>
      </w:r>
      <w:r w:rsidRPr="00E309A1">
        <w:t xml:space="preserve"> </w:t>
      </w:r>
      <w:r w:rsidRPr="00E309A1" w:rsidR="00920D50">
        <w:t xml:space="preserve">Refinancing </w:t>
      </w:r>
      <w:r w:rsidR="00B117DE">
        <w:t>Request</w:t>
      </w:r>
      <w:r w:rsidRPr="00E309A1" w:rsidR="00B117DE">
        <w:t xml:space="preserve"> </w:t>
      </w:r>
      <w:r w:rsidRPr="00E309A1">
        <w:t>does not change the Joint Applicants’ ownership or capital structure.</w:t>
      </w:r>
    </w:p>
    <w:p w:rsidRPr="00E309A1" w:rsidR="00F62B7A" w:rsidP="00E309A1" w:rsidRDefault="00FF2719" w14:paraId="6BA45B22" w14:textId="6A67C80C">
      <w:pPr>
        <w:pStyle w:val="FoF"/>
      </w:pPr>
      <w:r w:rsidRPr="00E309A1">
        <w:t>The Joint Appli</w:t>
      </w:r>
      <w:r w:rsidRPr="00E309A1" w:rsidR="00A23644">
        <w:t>c</w:t>
      </w:r>
      <w:r w:rsidRPr="00E309A1">
        <w:t xml:space="preserve">ants are natural gas storage </w:t>
      </w:r>
      <w:proofErr w:type="gramStart"/>
      <w:r w:rsidRPr="00E309A1">
        <w:t>providers</w:t>
      </w:r>
      <w:proofErr w:type="gramEnd"/>
      <w:r w:rsidRPr="00E309A1">
        <w:t xml:space="preserve"> and their shareholders bear all the financial risks of the </w:t>
      </w:r>
      <w:r w:rsidRPr="00E309A1" w:rsidR="00FD1CC7">
        <w:t>2024</w:t>
      </w:r>
      <w:r w:rsidRPr="00E309A1">
        <w:t xml:space="preserve"> </w:t>
      </w:r>
      <w:r w:rsidRPr="00E309A1" w:rsidR="00920D50">
        <w:t>Refinancing</w:t>
      </w:r>
      <w:r w:rsidR="00B117DE">
        <w:t xml:space="preserve"> Request</w:t>
      </w:r>
      <w:r w:rsidRPr="00E309A1">
        <w:t>.</w:t>
      </w:r>
    </w:p>
    <w:p w:rsidRPr="00E309A1" w:rsidR="00755EDF" w:rsidP="00E309A1" w:rsidRDefault="00755EDF" w14:paraId="4562F570" w14:textId="3E875459">
      <w:pPr>
        <w:pStyle w:val="FoF"/>
      </w:pPr>
      <w:r w:rsidRPr="00E309A1">
        <w:t xml:space="preserve">The Joint Applicants have shown that they do not operate </w:t>
      </w:r>
      <w:r w:rsidRPr="00E309A1" w:rsidR="006B7970">
        <w:t xml:space="preserve">under </w:t>
      </w:r>
      <w:r w:rsidRPr="00E309A1">
        <w:t>a</w:t>
      </w:r>
      <w:r w:rsidRPr="00E309A1" w:rsidR="00680264">
        <w:t xml:space="preserve"> cost-of-service</w:t>
      </w:r>
      <w:r w:rsidR="002D4D00">
        <w:t xml:space="preserve"> and</w:t>
      </w:r>
      <w:r w:rsidRPr="00E309A1" w:rsidR="00680264">
        <w:t xml:space="preserve"> </w:t>
      </w:r>
      <w:r w:rsidRPr="00E309A1">
        <w:t>rate-of-return</w:t>
      </w:r>
      <w:r w:rsidR="002D4D00">
        <w:t xml:space="preserve"> </w:t>
      </w:r>
      <w:r w:rsidRPr="00E309A1">
        <w:t>regulatory framework</w:t>
      </w:r>
      <w:r w:rsidR="002D4D00">
        <w:t>.</w:t>
      </w:r>
      <w:r w:rsidRPr="00E309A1">
        <w:t xml:space="preserve"> </w:t>
      </w:r>
    </w:p>
    <w:p w:rsidRPr="00E309A1" w:rsidR="00F62B7A" w:rsidP="00E309A1" w:rsidRDefault="00FF2719" w14:paraId="1B492861" w14:textId="686A57D3">
      <w:pPr>
        <w:pStyle w:val="FoF"/>
      </w:pPr>
      <w:r w:rsidRPr="00E309A1">
        <w:t>The Joint Applicants are both wholly owned by other companies in the Brookfield group of companies.</w:t>
      </w:r>
    </w:p>
    <w:p w:rsidRPr="00E309A1" w:rsidR="00A23644" w:rsidP="00E309A1" w:rsidRDefault="00ED679B" w14:paraId="5D11E4D5" w14:textId="7BDD3EDD">
      <w:pPr>
        <w:pStyle w:val="FoF"/>
      </w:pPr>
      <w:proofErr w:type="gramStart"/>
      <w:r w:rsidRPr="00E309A1">
        <w:t>In order to</w:t>
      </w:r>
      <w:proofErr w:type="gramEnd"/>
      <w:r w:rsidRPr="00E309A1">
        <w:t xml:space="preserve"> grant the requested exemptions, t</w:t>
      </w:r>
      <w:r w:rsidRPr="00E309A1" w:rsidR="00A23644">
        <w:t xml:space="preserve">he Commission has a duty to review the Joint Applicants’ request for exemptions and ensure that granting </w:t>
      </w:r>
      <w:r w:rsidRPr="00E309A1" w:rsidR="00132DBA">
        <w:t>the</w:t>
      </w:r>
      <w:r w:rsidRPr="00E309A1" w:rsidR="00A23644">
        <w:t xml:space="preserve"> </w:t>
      </w:r>
      <w:r w:rsidRPr="00E309A1" w:rsidR="00A23644">
        <w:lastRenderedPageBreak/>
        <w:t xml:space="preserve">request will not impair the Joint Applicants’ ability to provide safe and reliable services and that the </w:t>
      </w:r>
      <w:r w:rsidRPr="00E309A1" w:rsidR="00FD1CC7">
        <w:t>2024</w:t>
      </w:r>
      <w:r w:rsidRPr="00E309A1" w:rsidR="00A23644">
        <w:t xml:space="preserve"> Refinancing </w:t>
      </w:r>
      <w:r w:rsidR="00B117DE">
        <w:t>Request</w:t>
      </w:r>
      <w:r w:rsidRPr="00E309A1" w:rsidR="00B117DE">
        <w:t xml:space="preserve"> </w:t>
      </w:r>
      <w:r w:rsidRPr="00E309A1" w:rsidR="00132DBA">
        <w:t xml:space="preserve">will not </w:t>
      </w:r>
      <w:r w:rsidRPr="00E309A1" w:rsidR="00A23644">
        <w:t>adverse</w:t>
      </w:r>
      <w:r w:rsidRPr="00E309A1" w:rsidR="00132DBA">
        <w:t>ly impact</w:t>
      </w:r>
      <w:r w:rsidRPr="00E309A1" w:rsidR="00A23644">
        <w:t xml:space="preserve"> safety</w:t>
      </w:r>
      <w:r w:rsidRPr="00E309A1" w:rsidR="00132DBA">
        <w:t>.</w:t>
      </w:r>
    </w:p>
    <w:p w:rsidRPr="00E309A1" w:rsidR="00160F98" w:rsidP="00E309A1" w:rsidRDefault="00160F98" w14:paraId="20E8CA85" w14:textId="2A046170">
      <w:pPr>
        <w:pStyle w:val="FoF"/>
      </w:pPr>
      <w:r w:rsidRPr="00E309A1">
        <w:t xml:space="preserve">The </w:t>
      </w:r>
      <w:r w:rsidRPr="00E309A1" w:rsidR="00FD1CC7">
        <w:t>2024</w:t>
      </w:r>
      <w:r w:rsidRPr="00E309A1">
        <w:t xml:space="preserve"> </w:t>
      </w:r>
      <w:r w:rsidRPr="00E309A1" w:rsidR="00920D50">
        <w:t xml:space="preserve">Refinancing </w:t>
      </w:r>
      <w:r w:rsidR="00B117DE">
        <w:t>Request</w:t>
      </w:r>
      <w:r w:rsidRPr="00E309A1" w:rsidR="00B117DE">
        <w:t xml:space="preserve"> </w:t>
      </w:r>
      <w:r w:rsidRPr="00E309A1">
        <w:t xml:space="preserve">is sufficient to allow </w:t>
      </w:r>
      <w:r w:rsidRPr="00E309A1" w:rsidR="001753EE">
        <w:t xml:space="preserve">the </w:t>
      </w:r>
      <w:r w:rsidRPr="00E309A1">
        <w:t>Joint Applicants to continue to provide safe and reliable service and to comply with present and anticipated environmental quality and safety regulations for underground storage providers.</w:t>
      </w:r>
    </w:p>
    <w:p w:rsidRPr="00E309A1" w:rsidR="00276283" w:rsidP="00E309A1" w:rsidRDefault="00276283" w14:paraId="21F40CD3" w14:textId="6DD3CB34">
      <w:pPr>
        <w:pStyle w:val="FoF"/>
      </w:pPr>
      <w:r w:rsidRPr="00E309A1">
        <w:t xml:space="preserve">The </w:t>
      </w:r>
      <w:r w:rsidRPr="00E309A1" w:rsidR="00FD1CC7">
        <w:t>2024</w:t>
      </w:r>
      <w:r w:rsidRPr="00E309A1">
        <w:t xml:space="preserve"> Refinancing </w:t>
      </w:r>
      <w:r w:rsidR="00B117DE">
        <w:t>Request</w:t>
      </w:r>
      <w:r w:rsidRPr="00E309A1" w:rsidR="00B117DE">
        <w:t xml:space="preserve"> </w:t>
      </w:r>
      <w:r w:rsidRPr="00E309A1">
        <w:t>has no adverse safety and reliability impacts relating to the Joint Applicants and their customers.</w:t>
      </w:r>
    </w:p>
    <w:p w:rsidRPr="00E309A1" w:rsidR="00160F98" w:rsidP="00E309A1" w:rsidRDefault="001753EE" w14:paraId="4C4EEEE6" w14:textId="560AC74C">
      <w:pPr>
        <w:pStyle w:val="FoF"/>
      </w:pPr>
      <w:r w:rsidRPr="00E309A1">
        <w:t xml:space="preserve">Pub. Util. Code </w:t>
      </w:r>
      <w:r w:rsidRPr="00E309A1" w:rsidR="00160F98">
        <w:t>Section</w:t>
      </w:r>
      <w:r w:rsidRPr="00E309A1" w:rsidR="00125021">
        <w:t>s</w:t>
      </w:r>
      <w:r w:rsidRPr="00E309A1" w:rsidR="00160F98">
        <w:t xml:space="preserve"> 829(c) and 853(b) allow the Commission to grant exemptions from the requirements of </w:t>
      </w:r>
      <w:r w:rsidRPr="00E309A1" w:rsidR="00125021">
        <w:t xml:space="preserve">Pub. Util. Code </w:t>
      </w:r>
      <w:r w:rsidRPr="00E309A1" w:rsidR="00160F98">
        <w:t xml:space="preserve">Sections 830 and 851 if application of those provisions to the proposed transaction is not </w:t>
      </w:r>
      <w:proofErr w:type="gramStart"/>
      <w:r w:rsidRPr="00E309A1" w:rsidR="00160F98">
        <w:t>in</w:t>
      </w:r>
      <w:proofErr w:type="gramEnd"/>
      <w:r w:rsidRPr="00E309A1" w:rsidR="00160F98">
        <w:t xml:space="preserve"> </w:t>
      </w:r>
      <w:proofErr w:type="gramStart"/>
      <w:r w:rsidRPr="00E309A1" w:rsidR="00160F98">
        <w:t>the public</w:t>
      </w:r>
      <w:proofErr w:type="gramEnd"/>
      <w:r w:rsidRPr="00E309A1" w:rsidR="00160F98">
        <w:t xml:space="preserve"> interest.</w:t>
      </w:r>
    </w:p>
    <w:p w:rsidRPr="00E309A1" w:rsidR="008E6AE6" w:rsidP="00E309A1" w:rsidRDefault="00FF2719" w14:paraId="609EE2FC" w14:textId="5ED39275">
      <w:pPr>
        <w:pStyle w:val="FoF"/>
      </w:pPr>
      <w:r w:rsidRPr="00E309A1">
        <w:t xml:space="preserve">There are no factual issues in dispute in the </w:t>
      </w:r>
      <w:r w:rsidRPr="00E309A1" w:rsidR="00A4185A">
        <w:t>a</w:t>
      </w:r>
      <w:r w:rsidRPr="00E309A1">
        <w:t>pplication.</w:t>
      </w:r>
    </w:p>
    <w:p w:rsidRPr="00E309A1" w:rsidR="00CE0819" w:rsidP="00E309A1" w:rsidRDefault="00FF2719" w14:paraId="2DCC6EDA" w14:textId="69AACBA6">
      <w:pPr>
        <w:pStyle w:val="FoF"/>
      </w:pPr>
      <w:r w:rsidRPr="00E309A1">
        <w:t>No party opposes the granting of the Joint Applicants’ requested relief.</w:t>
      </w:r>
    </w:p>
    <w:p w:rsidR="005939A5" w:rsidP="005939A5" w:rsidRDefault="005939A5" w14:paraId="4A76BDE8" w14:textId="77777777">
      <w:pPr>
        <w:pStyle w:val="Dummy"/>
      </w:pPr>
      <w:bookmarkStart w:name="_Toc8123726" w:id="18"/>
      <w:bookmarkStart w:name="_Toc133843857" w:id="19"/>
      <w:r>
        <w:t>Conclusions of Law</w:t>
      </w:r>
      <w:bookmarkEnd w:id="18"/>
      <w:bookmarkEnd w:id="19"/>
    </w:p>
    <w:p w:rsidRPr="00E309A1" w:rsidR="00406F67" w:rsidP="00E309A1" w:rsidRDefault="00CB7F13" w14:paraId="6ABDB8B1" w14:textId="101017B0">
      <w:pPr>
        <w:pStyle w:val="CoL"/>
      </w:pPr>
      <w:r w:rsidRPr="00E309A1">
        <w:t>The Joint Applicants</w:t>
      </w:r>
      <w:r w:rsidRPr="00E309A1" w:rsidR="00B1657D">
        <w:t xml:space="preserve">’ </w:t>
      </w:r>
      <w:r w:rsidRPr="00E309A1" w:rsidR="00406F67">
        <w:t xml:space="preserve">October 11, </w:t>
      </w:r>
      <w:proofErr w:type="gramStart"/>
      <w:r w:rsidRPr="00E309A1" w:rsidR="00406F67">
        <w:t>2024</w:t>
      </w:r>
      <w:proofErr w:type="gramEnd"/>
      <w:r w:rsidRPr="00E309A1" w:rsidR="00406F67">
        <w:t xml:space="preserve"> motion for leave to file under seal and maintain the confidentiality of certain information should be granted.</w:t>
      </w:r>
    </w:p>
    <w:p w:rsidRPr="00E309A1" w:rsidR="00E9525D" w:rsidP="00E309A1" w:rsidRDefault="00E9525D" w14:paraId="1B2FAAEF" w14:textId="44024643">
      <w:pPr>
        <w:pStyle w:val="CoL"/>
      </w:pPr>
      <w:r w:rsidRPr="00E309A1">
        <w:t>The Joint Applicants’ request for exemptions</w:t>
      </w:r>
      <w:r w:rsidRPr="00E309A1" w:rsidR="00125021">
        <w:t>,</w:t>
      </w:r>
      <w:r w:rsidRPr="00E309A1">
        <w:t xml:space="preserve"> </w:t>
      </w:r>
      <w:r w:rsidRPr="00E309A1" w:rsidR="00125021">
        <w:t xml:space="preserve">pursuant to Pub. Util. Code Sections 829(c) and 853(b), from Pub. Util. Code Sections 830 and 851 </w:t>
      </w:r>
      <w:r w:rsidRPr="00E309A1">
        <w:t>should be granted.</w:t>
      </w:r>
    </w:p>
    <w:p w:rsidRPr="00E309A1" w:rsidR="00E9525D" w:rsidP="00E309A1" w:rsidRDefault="00E9525D" w14:paraId="0EBD458E" w14:textId="1179F40B">
      <w:pPr>
        <w:pStyle w:val="CoL"/>
      </w:pPr>
      <w:r w:rsidRPr="00E309A1">
        <w:t xml:space="preserve">The Joint Applicants should be authorized to encumber their utility assets and issue corporate guarantee to secure the debt refinancing of their senior affiliates as part of the </w:t>
      </w:r>
      <w:r w:rsidRPr="00E309A1" w:rsidR="00FD1CC7">
        <w:t>2024</w:t>
      </w:r>
      <w:r w:rsidRPr="00E309A1">
        <w:t xml:space="preserve"> Refinancing</w:t>
      </w:r>
      <w:r w:rsidR="00B117DE">
        <w:t xml:space="preserve"> Request</w:t>
      </w:r>
      <w:r w:rsidRPr="00E309A1">
        <w:t xml:space="preserve">. </w:t>
      </w:r>
    </w:p>
    <w:p w:rsidRPr="00E309A1" w:rsidR="00E9525D" w:rsidP="00E309A1" w:rsidRDefault="00E9525D" w14:paraId="0E2221F2" w14:textId="27966AA8">
      <w:pPr>
        <w:pStyle w:val="CoL"/>
      </w:pPr>
      <w:r w:rsidRPr="00E309A1">
        <w:t>The Joint Applicants’ alternative request for authority to conduct the proposed encumbrance pursuant to Pub. Util. Code Section</w:t>
      </w:r>
      <w:r w:rsidRPr="00E309A1" w:rsidR="00125021">
        <w:t>s</w:t>
      </w:r>
      <w:r w:rsidRPr="00E309A1">
        <w:t xml:space="preserve"> 830 and 851 </w:t>
      </w:r>
      <w:proofErr w:type="gramStart"/>
      <w:r w:rsidRPr="00E309A1">
        <w:t>is</w:t>
      </w:r>
      <w:proofErr w:type="gramEnd"/>
      <w:r w:rsidRPr="00E309A1">
        <w:t xml:space="preserve"> moot.</w:t>
      </w:r>
    </w:p>
    <w:p w:rsidRPr="00E309A1" w:rsidR="00E9525D" w:rsidP="00E309A1" w:rsidRDefault="00E9525D" w14:paraId="6315B63F" w14:textId="54A3D266">
      <w:pPr>
        <w:pStyle w:val="CoL"/>
      </w:pPr>
      <w:r w:rsidRPr="00E309A1">
        <w:t>This proceeding should be closed.</w:t>
      </w:r>
    </w:p>
    <w:p w:rsidR="00BB0243" w:rsidP="000A6E05" w:rsidRDefault="005939A5" w14:paraId="55920CA0" w14:textId="77777777">
      <w:pPr>
        <w:pStyle w:val="Mainex"/>
      </w:pPr>
      <w:bookmarkStart w:name="_Toc133843858" w:id="20"/>
      <w:r>
        <w:lastRenderedPageBreak/>
        <w:t>O</w:t>
      </w:r>
      <w:r w:rsidR="00722850">
        <w:t>RDER</w:t>
      </w:r>
      <w:bookmarkEnd w:id="20"/>
    </w:p>
    <w:p w:rsidR="00BB0243" w:rsidP="000A6E05" w:rsidRDefault="00BB0243" w14:paraId="5EFB2CAA" w14:textId="77777777">
      <w:pPr>
        <w:keepNext/>
      </w:pPr>
      <w:r w:rsidRPr="00BB0243">
        <w:rPr>
          <w:b/>
        </w:rPr>
        <w:t>IT IS ORDERED</w:t>
      </w:r>
      <w:r>
        <w:t xml:space="preserve"> that:</w:t>
      </w:r>
    </w:p>
    <w:p w:rsidRPr="00E309A1" w:rsidR="00BA3198" w:rsidP="00E309A1" w:rsidRDefault="00BA3198" w14:paraId="6312FDC4" w14:textId="2DAD5CFE">
      <w:pPr>
        <w:pStyle w:val="OP"/>
      </w:pPr>
      <w:r w:rsidRPr="00E309A1">
        <w:t xml:space="preserve">The </w:t>
      </w:r>
      <w:r w:rsidRPr="00E309A1" w:rsidR="006C79A5">
        <w:t xml:space="preserve">motion of Wild Goose Storage, LLC and Lodi Gas Storage, L.L.C. </w:t>
      </w:r>
      <w:r w:rsidRPr="00E309A1">
        <w:t xml:space="preserve">for leave to file under seal and maintain </w:t>
      </w:r>
      <w:proofErr w:type="gramStart"/>
      <w:r w:rsidRPr="00E309A1">
        <w:t>the confidentiality</w:t>
      </w:r>
      <w:proofErr w:type="gramEnd"/>
      <w:r w:rsidRPr="00E309A1">
        <w:t xml:space="preserve"> of certain information</w:t>
      </w:r>
      <w:r w:rsidRPr="00E309A1" w:rsidR="006C79A5">
        <w:t xml:space="preserve"> is granted</w:t>
      </w:r>
      <w:r w:rsidRPr="00E309A1">
        <w:t>.</w:t>
      </w:r>
    </w:p>
    <w:p w:rsidRPr="00E309A1" w:rsidR="00E9525D" w:rsidP="00E309A1" w:rsidRDefault="001C279C" w14:paraId="239847BD" w14:textId="2F09AAB6">
      <w:pPr>
        <w:pStyle w:val="OP"/>
      </w:pPr>
      <w:r w:rsidRPr="00E309A1">
        <w:t>The request of Wild Goose Storage, LLC and Lodi Gas Storage, L.L.C. for exemption</w:t>
      </w:r>
      <w:r w:rsidRPr="00E309A1" w:rsidR="00125021">
        <w:t xml:space="preserve"> from California Public Utilities Code Sections 830 and Section 851 pursuant to</w:t>
      </w:r>
      <w:r w:rsidRPr="00E309A1">
        <w:t xml:space="preserve"> Section</w:t>
      </w:r>
      <w:r w:rsidRPr="00E309A1" w:rsidR="00125021">
        <w:t>s</w:t>
      </w:r>
      <w:r w:rsidRPr="00E309A1">
        <w:t xml:space="preserve"> 853(b) and 829(c) </w:t>
      </w:r>
      <w:r w:rsidRPr="00E309A1" w:rsidR="00E9525D">
        <w:t>is granted.</w:t>
      </w:r>
    </w:p>
    <w:p w:rsidRPr="00E309A1" w:rsidR="00E9525D" w:rsidP="00E309A1" w:rsidRDefault="00E9525D" w14:paraId="5CFD2A2D" w14:textId="140D4A43">
      <w:pPr>
        <w:pStyle w:val="OP"/>
      </w:pPr>
      <w:r w:rsidRPr="00E309A1">
        <w:t xml:space="preserve">Wild Goose Storage, LLC and Lodi Gas Storage, L.L.C. </w:t>
      </w:r>
      <w:r w:rsidRPr="00E309A1" w:rsidR="00191D37">
        <w:t>are</w:t>
      </w:r>
      <w:r w:rsidRPr="00E309A1">
        <w:t xml:space="preserve"> authorized </w:t>
      </w:r>
      <w:r w:rsidRPr="00E309A1" w:rsidR="001C279C">
        <w:t>to</w:t>
      </w:r>
      <w:r w:rsidRPr="00E309A1">
        <w:t xml:space="preserve"> encumber their utility assets and issue guarantees associated with the following refinancing transactions: </w:t>
      </w:r>
    </w:p>
    <w:p w:rsidRPr="00680264" w:rsidR="00E9525D" w:rsidP="00E309A1" w:rsidRDefault="00E9525D" w14:paraId="7747FB60" w14:textId="3F914F05">
      <w:pPr>
        <w:pStyle w:val="Standard"/>
        <w:numPr>
          <w:ilvl w:val="0"/>
          <w:numId w:val="19"/>
        </w:numPr>
        <w:spacing w:after="120" w:line="240" w:lineRule="auto"/>
        <w:ind w:left="1440" w:right="1440" w:hanging="360"/>
      </w:pPr>
      <w:r w:rsidRPr="00680264">
        <w:t xml:space="preserve">An extension to </w:t>
      </w:r>
      <w:r w:rsidRPr="00680264" w:rsidR="000229DB">
        <w:t>June 20,</w:t>
      </w:r>
      <w:r w:rsidRPr="00680264">
        <w:t xml:space="preserve"> 20</w:t>
      </w:r>
      <w:r w:rsidRPr="00680264" w:rsidR="000229DB">
        <w:t>31</w:t>
      </w:r>
      <w:r w:rsidRPr="00680264">
        <w:t xml:space="preserve">, and </w:t>
      </w:r>
      <w:r w:rsidRPr="00680264" w:rsidR="00C74C80">
        <w:t xml:space="preserve">an </w:t>
      </w:r>
      <w:r w:rsidRPr="00680264">
        <w:t>increase in the borrowing limit to $</w:t>
      </w:r>
      <w:r w:rsidRPr="00680264" w:rsidR="000229DB">
        <w:t>3</w:t>
      </w:r>
      <w:r w:rsidRPr="00680264">
        <w:t xml:space="preserve">50 million for the previously approved </w:t>
      </w:r>
      <w:r w:rsidRPr="00680264" w:rsidR="005B0614">
        <w:t>A</w:t>
      </w:r>
      <w:r w:rsidRPr="00680264">
        <w:t>sset-</w:t>
      </w:r>
      <w:r w:rsidRPr="00680264" w:rsidR="005B0614">
        <w:t>B</w:t>
      </w:r>
      <w:r w:rsidRPr="00680264">
        <w:t xml:space="preserve">ased </w:t>
      </w:r>
      <w:r w:rsidRPr="00680264" w:rsidR="005B0614">
        <w:t>L</w:t>
      </w:r>
      <w:r w:rsidRPr="00680264">
        <w:t xml:space="preserve">oan Credit </w:t>
      </w:r>
      <w:proofErr w:type="gramStart"/>
      <w:r w:rsidRPr="00680264">
        <w:t>Agreement;</w:t>
      </w:r>
      <w:proofErr w:type="gramEnd"/>
    </w:p>
    <w:p w:rsidRPr="00680264" w:rsidR="00E9525D" w:rsidP="00E309A1" w:rsidRDefault="00E9525D" w14:paraId="1F839BD2" w14:textId="30B2FBA0">
      <w:pPr>
        <w:pStyle w:val="Standard"/>
        <w:numPr>
          <w:ilvl w:val="0"/>
          <w:numId w:val="19"/>
        </w:numPr>
        <w:spacing w:after="120" w:line="240" w:lineRule="auto"/>
        <w:ind w:left="1440" w:right="1440" w:hanging="360"/>
      </w:pPr>
      <w:r w:rsidRPr="00680264">
        <w:t xml:space="preserve">A Term Loan Agreement with a maturity date of </w:t>
      </w:r>
      <w:r w:rsidRPr="00680264" w:rsidR="00C40D07">
        <w:br/>
      </w:r>
      <w:r w:rsidRPr="00680264" w:rsidR="000229DB">
        <w:t>September 18, 2031</w:t>
      </w:r>
      <w:r w:rsidRPr="00680264">
        <w:t>, and a principal amount of $</w:t>
      </w:r>
      <w:r w:rsidRPr="00680264" w:rsidR="000229DB">
        <w:t>1.25</w:t>
      </w:r>
      <w:r w:rsidRPr="00680264">
        <w:t xml:space="preserve"> </w:t>
      </w:r>
      <w:proofErr w:type="gramStart"/>
      <w:r w:rsidRPr="00680264" w:rsidR="000229DB">
        <w:t>b</w:t>
      </w:r>
      <w:r w:rsidRPr="00680264">
        <w:t>illion;</w:t>
      </w:r>
      <w:proofErr w:type="gramEnd"/>
    </w:p>
    <w:p w:rsidRPr="00680264" w:rsidR="00E9525D" w:rsidP="00E309A1" w:rsidRDefault="00E9525D" w14:paraId="16FD8A34" w14:textId="14728721">
      <w:pPr>
        <w:pStyle w:val="Standard"/>
        <w:numPr>
          <w:ilvl w:val="0"/>
          <w:numId w:val="19"/>
        </w:numPr>
        <w:spacing w:after="120" w:line="240" w:lineRule="auto"/>
        <w:ind w:left="1440" w:right="1440" w:hanging="360"/>
      </w:pPr>
      <w:r w:rsidRPr="00680264">
        <w:t xml:space="preserve">A modification to the previously approved Intercompany Credit Agreement to reflect negotiated refinancing terms and an extension to 180 days after </w:t>
      </w:r>
      <w:r w:rsidRPr="00680264" w:rsidR="000229DB">
        <w:t>September 18, 2031</w:t>
      </w:r>
      <w:r w:rsidRPr="00680264">
        <w:t xml:space="preserve">; and </w:t>
      </w:r>
    </w:p>
    <w:p w:rsidRPr="00680264" w:rsidR="00E9525D" w:rsidP="00E309A1" w:rsidRDefault="00E9525D" w14:paraId="34729CB1" w14:textId="03D7E28A">
      <w:pPr>
        <w:pStyle w:val="Standard"/>
        <w:numPr>
          <w:ilvl w:val="0"/>
          <w:numId w:val="19"/>
        </w:numPr>
        <w:spacing w:after="120" w:line="240" w:lineRule="auto"/>
        <w:ind w:left="1440" w:right="1440" w:hanging="360"/>
      </w:pPr>
      <w:r w:rsidRPr="00680264">
        <w:t xml:space="preserve">Associated corporate guarantees, pledges, and security agreements.  </w:t>
      </w:r>
    </w:p>
    <w:p w:rsidRPr="00E309A1" w:rsidR="005B0614" w:rsidP="00E309A1" w:rsidRDefault="005B0614" w14:paraId="5A7753AA" w14:textId="7A5C4C14">
      <w:pPr>
        <w:pStyle w:val="OP"/>
      </w:pPr>
      <w:r w:rsidRPr="00E309A1">
        <w:t>Lodi Gas Storage, L.L.C. is authorized to become an additional borrower under the Term Loan Agreement through September 18, 2031.</w:t>
      </w:r>
    </w:p>
    <w:p w:rsidRPr="00E309A1" w:rsidR="00F6397D" w:rsidP="00E309A1" w:rsidRDefault="00E23CBB" w14:paraId="03A55D9F" w14:textId="483CAAF5">
      <w:pPr>
        <w:pStyle w:val="OP"/>
      </w:pPr>
      <w:r w:rsidRPr="00E309A1">
        <w:t xml:space="preserve">Application </w:t>
      </w:r>
      <w:r w:rsidRPr="00E309A1" w:rsidR="001C279C">
        <w:t>2</w:t>
      </w:r>
      <w:r w:rsidRPr="00E309A1" w:rsidR="00FD1CC7">
        <w:t>4</w:t>
      </w:r>
      <w:r w:rsidRPr="00E309A1" w:rsidR="001C279C">
        <w:t>-</w:t>
      </w:r>
      <w:r w:rsidRPr="00E309A1" w:rsidR="00FD1CC7">
        <w:t>10</w:t>
      </w:r>
      <w:r w:rsidRPr="00E309A1" w:rsidR="001C279C">
        <w:t>-0</w:t>
      </w:r>
      <w:r w:rsidRPr="00E309A1" w:rsidR="00FD1CC7">
        <w:t>04</w:t>
      </w:r>
      <w:r w:rsidRPr="00E309A1">
        <w:t xml:space="preserve"> is closed.</w:t>
      </w:r>
    </w:p>
    <w:p w:rsidRPr="00E309A1" w:rsidR="00FD1CC7" w:rsidP="00E309A1" w:rsidRDefault="00FD1CC7" w14:paraId="36AEBD75" w14:textId="77777777">
      <w:pPr>
        <w:pStyle w:val="OP"/>
      </w:pPr>
      <w:r w:rsidRPr="00E309A1">
        <w:t>This order is effective today.</w:t>
      </w:r>
    </w:p>
    <w:p w:rsidR="007C3223" w:rsidP="00FD1CC7" w:rsidRDefault="007C3223" w14:paraId="299E27ED" w14:textId="77777777">
      <w:pPr>
        <w:pStyle w:val="OP"/>
        <w:numPr>
          <w:ilvl w:val="0"/>
          <w:numId w:val="0"/>
        </w:numPr>
        <w:ind w:left="540"/>
      </w:pPr>
    </w:p>
    <w:p w:rsidR="007C3223" w:rsidP="00FD1CC7" w:rsidRDefault="007C3223" w14:paraId="2EB3FCF6" w14:textId="77777777">
      <w:pPr>
        <w:pStyle w:val="OP"/>
        <w:numPr>
          <w:ilvl w:val="0"/>
          <w:numId w:val="0"/>
        </w:numPr>
        <w:ind w:left="540"/>
      </w:pPr>
    </w:p>
    <w:p w:rsidRPr="00714CF2" w:rsidR="00FD1CC7" w:rsidP="00FD1CC7" w:rsidRDefault="00FD1CC7" w14:paraId="68A714A2" w14:textId="336E6F63">
      <w:pPr>
        <w:pStyle w:val="OP"/>
        <w:numPr>
          <w:ilvl w:val="0"/>
          <w:numId w:val="0"/>
        </w:numPr>
        <w:ind w:left="540"/>
      </w:pPr>
      <w:r>
        <w:lastRenderedPageBreak/>
        <w:t xml:space="preserve">Dated </w:t>
      </w:r>
      <w:r w:rsidR="007C3223">
        <w:t>April 24</w:t>
      </w:r>
      <w:r w:rsidR="00224D8E">
        <w:t>, 2025</w:t>
      </w:r>
      <w:r>
        <w:t xml:space="preserve">, at </w:t>
      </w:r>
      <w:r w:rsidR="005E2A3B">
        <w:t>Sacramento</w:t>
      </w:r>
      <w:r>
        <w:t>, California</w:t>
      </w:r>
    </w:p>
    <w:p w:rsidR="007C3223" w:rsidP="007C3223" w:rsidRDefault="007C3223" w14:paraId="34F0F811" w14:textId="77777777">
      <w:pPr>
        <w:autoSpaceDE w:val="0"/>
        <w:autoSpaceDN w:val="0"/>
        <w:adjustRightInd w:val="0"/>
        <w:ind w:left="4320"/>
        <w:jc w:val="both"/>
        <w:rPr>
          <w:rFonts w:cs="Times New Roman"/>
          <w:szCs w:val="20"/>
        </w:rPr>
      </w:pPr>
    </w:p>
    <w:p w:rsidRPr="00143BC5" w:rsidR="007C3223" w:rsidP="007C3223" w:rsidRDefault="007C3223" w14:paraId="1B6974BA" w14:textId="77777777">
      <w:pPr>
        <w:autoSpaceDE w:val="0"/>
        <w:autoSpaceDN w:val="0"/>
        <w:adjustRightInd w:val="0"/>
        <w:spacing w:line="240" w:lineRule="auto"/>
        <w:ind w:left="4320"/>
        <w:jc w:val="both"/>
        <w:rPr>
          <w:rFonts w:cs="Times New Roman"/>
          <w:szCs w:val="20"/>
        </w:rPr>
      </w:pPr>
      <w:r w:rsidRPr="00143BC5">
        <w:rPr>
          <w:rFonts w:cs="Times New Roman"/>
          <w:szCs w:val="20"/>
        </w:rPr>
        <w:t>ALICE REYNOLDS</w:t>
      </w:r>
    </w:p>
    <w:p w:rsidRPr="00143BC5" w:rsidR="007C3223" w:rsidP="007C3223" w:rsidRDefault="007C3223" w14:paraId="37AFC12A" w14:textId="77777777">
      <w:pPr>
        <w:autoSpaceDE w:val="0"/>
        <w:autoSpaceDN w:val="0"/>
        <w:adjustRightInd w:val="0"/>
        <w:spacing w:line="240" w:lineRule="auto"/>
        <w:jc w:val="both"/>
        <w:rPr>
          <w:rFonts w:cs="Times New Roman"/>
          <w:szCs w:val="20"/>
        </w:rPr>
      </w:pPr>
      <w:r w:rsidRPr="00143BC5">
        <w:rPr>
          <w:rFonts w:cs="Times New Roman"/>
          <w:szCs w:val="20"/>
        </w:rPr>
        <w:tab/>
      </w:r>
      <w:r w:rsidRPr="00143BC5">
        <w:rPr>
          <w:rFonts w:cs="Times New Roman"/>
          <w:szCs w:val="20"/>
        </w:rPr>
        <w:tab/>
      </w:r>
      <w:r w:rsidRPr="00143BC5">
        <w:rPr>
          <w:rFonts w:cs="Times New Roman"/>
          <w:szCs w:val="20"/>
        </w:rPr>
        <w:tab/>
      </w:r>
      <w:r w:rsidRPr="00143BC5">
        <w:rPr>
          <w:rFonts w:cs="Times New Roman"/>
          <w:szCs w:val="20"/>
        </w:rPr>
        <w:tab/>
      </w:r>
      <w:r w:rsidRPr="00143BC5">
        <w:rPr>
          <w:rFonts w:cs="Times New Roman"/>
          <w:szCs w:val="20"/>
        </w:rPr>
        <w:tab/>
        <w:t xml:space="preserve">                       President</w:t>
      </w:r>
    </w:p>
    <w:p w:rsidRPr="00143BC5" w:rsidR="007C3223" w:rsidP="007C3223" w:rsidRDefault="007C3223" w14:paraId="6C922792" w14:textId="77777777">
      <w:pPr>
        <w:autoSpaceDE w:val="0"/>
        <w:autoSpaceDN w:val="0"/>
        <w:adjustRightInd w:val="0"/>
        <w:spacing w:line="240" w:lineRule="auto"/>
        <w:ind w:left="3600"/>
        <w:jc w:val="both"/>
        <w:rPr>
          <w:rFonts w:cs="Times New Roman"/>
          <w:szCs w:val="20"/>
        </w:rPr>
      </w:pPr>
      <w:r w:rsidRPr="00143BC5">
        <w:rPr>
          <w:rFonts w:cs="Times New Roman"/>
          <w:szCs w:val="20"/>
        </w:rPr>
        <w:t>DARCIE L. HOUCK</w:t>
      </w:r>
    </w:p>
    <w:p w:rsidRPr="00143BC5" w:rsidR="007C3223" w:rsidP="007C3223" w:rsidRDefault="007C3223" w14:paraId="3E04F889" w14:textId="77777777">
      <w:pPr>
        <w:autoSpaceDE w:val="0"/>
        <w:autoSpaceDN w:val="0"/>
        <w:adjustRightInd w:val="0"/>
        <w:spacing w:line="240" w:lineRule="auto"/>
        <w:ind w:left="3600"/>
        <w:jc w:val="both"/>
        <w:rPr>
          <w:rFonts w:cs="Times New Roman"/>
          <w:szCs w:val="20"/>
        </w:rPr>
      </w:pPr>
      <w:r w:rsidRPr="00143BC5">
        <w:rPr>
          <w:rFonts w:cs="Times New Roman"/>
          <w:szCs w:val="20"/>
        </w:rPr>
        <w:t>JOHN REYNOLDS</w:t>
      </w:r>
    </w:p>
    <w:p w:rsidR="007C3223" w:rsidP="007C3223" w:rsidRDefault="007C3223" w14:paraId="5FBF7A35" w14:textId="77777777">
      <w:pPr>
        <w:autoSpaceDE w:val="0"/>
        <w:autoSpaceDN w:val="0"/>
        <w:adjustRightInd w:val="0"/>
        <w:spacing w:line="240" w:lineRule="auto"/>
        <w:ind w:left="3600"/>
        <w:jc w:val="both"/>
        <w:rPr>
          <w:rFonts w:eastAsia="Times New Roman" w:cs="Calibri"/>
          <w:color w:val="000000"/>
          <w:szCs w:val="26"/>
        </w:rPr>
      </w:pPr>
      <w:r w:rsidRPr="00143BC5">
        <w:rPr>
          <w:rFonts w:eastAsia="Times New Roman" w:cs="Calibri"/>
          <w:color w:val="000000"/>
          <w:szCs w:val="26"/>
        </w:rPr>
        <w:t>KAREN DOUGLAS</w:t>
      </w:r>
    </w:p>
    <w:p w:rsidRPr="00143BC5" w:rsidR="007C3223" w:rsidP="007C3223" w:rsidRDefault="007C3223" w14:paraId="4FC0264F" w14:textId="77777777">
      <w:pPr>
        <w:autoSpaceDE w:val="0"/>
        <w:autoSpaceDN w:val="0"/>
        <w:adjustRightInd w:val="0"/>
        <w:spacing w:line="240" w:lineRule="auto"/>
        <w:ind w:left="3600"/>
        <w:jc w:val="both"/>
        <w:rPr>
          <w:rFonts w:cs="Times New Roman"/>
          <w:szCs w:val="20"/>
        </w:rPr>
      </w:pPr>
      <w:r>
        <w:rPr>
          <w:rFonts w:eastAsia="Times New Roman" w:cs="Calibri"/>
          <w:color w:val="000000"/>
          <w:szCs w:val="26"/>
        </w:rPr>
        <w:t>MATTHEW BAKER</w:t>
      </w:r>
    </w:p>
    <w:p w:rsidRPr="00714CF2" w:rsidR="00926C22" w:rsidP="007C3223" w:rsidRDefault="007C3223" w14:paraId="00AE566D" w14:textId="49FC3498">
      <w:pPr>
        <w:autoSpaceDE w:val="0"/>
        <w:autoSpaceDN w:val="0"/>
        <w:adjustRightInd w:val="0"/>
        <w:spacing w:line="240" w:lineRule="auto"/>
        <w:ind w:left="4320"/>
        <w:jc w:val="both"/>
      </w:pPr>
      <w:r w:rsidRPr="00143BC5">
        <w:rPr>
          <w:rFonts w:cs="Times New Roman"/>
          <w:szCs w:val="20"/>
        </w:rPr>
        <w:t xml:space="preserve">            Commissioners</w:t>
      </w:r>
    </w:p>
    <w:sectPr w:rsidRPr="00714CF2" w:rsidR="00926C22" w:rsidSect="00E21724">
      <w:headerReference w:type="default" r:id="rId11"/>
      <w:footerReference w:type="default" r:id="rId12"/>
      <w:footerReference w:type="first" r:id="rId13"/>
      <w:pgSz w:w="12240" w:h="15840"/>
      <w:pgMar w:top="172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24B7" w14:textId="77777777" w:rsidR="0062626B" w:rsidRDefault="0062626B" w:rsidP="0098138E">
      <w:pPr>
        <w:spacing w:line="240" w:lineRule="auto"/>
      </w:pPr>
      <w:r>
        <w:separator/>
      </w:r>
    </w:p>
  </w:endnote>
  <w:endnote w:type="continuationSeparator" w:id="0">
    <w:p w14:paraId="620AA53D" w14:textId="77777777" w:rsidR="0062626B" w:rsidRDefault="0062626B"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E2C7"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5FD3" w14:textId="3DD782D7" w:rsidR="00EF1E1E" w:rsidRDefault="00406358" w:rsidP="00EF1E1E">
    <w:pPr>
      <w:pStyle w:val="Footer"/>
      <w:ind w:firstLine="0"/>
    </w:pPr>
    <w:r w:rsidRPr="00406358">
      <w:rPr>
        <w:sz w:val="16"/>
        <w:szCs w:val="16"/>
      </w:rPr>
      <w:t>564852988</w:t>
    </w:r>
    <w:r w:rsidR="006929D0">
      <w:tab/>
    </w:r>
    <w:r w:rsidR="00EF1E1E">
      <w:t>-</w:t>
    </w:r>
    <w:sdt>
      <w:sdtPr>
        <w:id w:val="-1598635253"/>
        <w:docPartObj>
          <w:docPartGallery w:val="Page Numbers (Bottom of Page)"/>
          <w:docPartUnique/>
        </w:docPartObj>
      </w:sdtPr>
      <w:sdtEndPr>
        <w:rPr>
          <w:noProof/>
        </w:rPr>
      </w:sdtEndPr>
      <w:sdtContent>
        <w:r w:rsidR="00EF1E1E">
          <w:t xml:space="preserve"> </w:t>
        </w:r>
        <w:r w:rsidR="00EF1E1E">
          <w:fldChar w:fldCharType="begin"/>
        </w:r>
        <w:r w:rsidR="00EF1E1E">
          <w:instrText xml:space="preserve"> PAGE   \* MERGEFORMAT </w:instrText>
        </w:r>
        <w:r w:rsidR="00EF1E1E">
          <w:fldChar w:fldCharType="separate"/>
        </w:r>
        <w:r w:rsidR="00EF1E1E">
          <w:t>2</w:t>
        </w:r>
        <w:r w:rsidR="00EF1E1E">
          <w:rPr>
            <w:noProof/>
          </w:rPr>
          <w:fldChar w:fldCharType="end"/>
        </w:r>
        <w:r w:rsidR="00EF1E1E">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6FB1" w14:textId="77777777" w:rsidR="0062626B" w:rsidRDefault="0062626B" w:rsidP="00DF58E7">
      <w:pPr>
        <w:spacing w:line="240" w:lineRule="auto"/>
        <w:ind w:firstLine="0"/>
      </w:pPr>
      <w:r>
        <w:separator/>
      </w:r>
    </w:p>
  </w:footnote>
  <w:footnote w:type="continuationSeparator" w:id="0">
    <w:p w14:paraId="420FC8BA" w14:textId="77777777" w:rsidR="0062626B" w:rsidRDefault="0062626B" w:rsidP="00DF58E7">
      <w:pPr>
        <w:spacing w:line="240" w:lineRule="auto"/>
        <w:ind w:firstLine="0"/>
      </w:pPr>
      <w:r>
        <w:continuationSeparator/>
      </w:r>
    </w:p>
  </w:footnote>
  <w:footnote w:type="continuationNotice" w:id="1">
    <w:p w14:paraId="41194E70" w14:textId="77777777" w:rsidR="0062626B" w:rsidRPr="00DF58E7" w:rsidRDefault="0062626B" w:rsidP="00DF58E7">
      <w:pPr>
        <w:spacing w:line="240" w:lineRule="auto"/>
        <w:ind w:firstLine="0"/>
        <w:jc w:val="right"/>
        <w:rPr>
          <w:i/>
          <w:sz w:val="22"/>
        </w:rPr>
      </w:pPr>
      <w:r w:rsidRPr="00DF58E7">
        <w:rPr>
          <w:i/>
          <w:sz w:val="22"/>
        </w:rPr>
        <w:t>Footnote continued next page.</w:t>
      </w:r>
    </w:p>
  </w:footnote>
  <w:footnote w:id="2">
    <w:p w14:paraId="711C7414" w14:textId="21F73EC9" w:rsidR="007F3CBE" w:rsidRPr="00074C1D" w:rsidRDefault="007F3CBE">
      <w:pPr>
        <w:pStyle w:val="FootnoteText"/>
      </w:pPr>
      <w:r w:rsidRPr="00074C1D">
        <w:rPr>
          <w:rStyle w:val="FootnoteReference"/>
        </w:rPr>
        <w:footnoteRef/>
      </w:r>
      <w:r w:rsidRPr="00074C1D">
        <w:t xml:space="preserve"> Wild Goose</w:t>
      </w:r>
      <w:r w:rsidR="00E57767" w:rsidRPr="00074C1D">
        <w:t xml:space="preserve"> and Lodi are both</w:t>
      </w:r>
      <w:r w:rsidRPr="00074C1D">
        <w:t xml:space="preserve"> Delaware Limited Liability Compan</w:t>
      </w:r>
      <w:r w:rsidR="00E57767" w:rsidRPr="00074C1D">
        <w:t>ies</w:t>
      </w:r>
      <w:r w:rsidRPr="00074C1D">
        <w:t xml:space="preserve"> and certified public utilit</w:t>
      </w:r>
      <w:r w:rsidR="00E57767" w:rsidRPr="00074C1D">
        <w:t>ies</w:t>
      </w:r>
      <w:r w:rsidRPr="00074C1D">
        <w:t xml:space="preserve"> primarily engaged in the business of natural gas storage in northern California.  </w:t>
      </w:r>
    </w:p>
  </w:footnote>
  <w:footnote w:id="3">
    <w:p w14:paraId="235E03B4" w14:textId="20E6D6B8" w:rsidR="00F37D16" w:rsidRPr="00074C1D" w:rsidRDefault="00F37D16">
      <w:pPr>
        <w:pStyle w:val="FootnoteText"/>
      </w:pPr>
      <w:r w:rsidRPr="00074C1D">
        <w:rPr>
          <w:rStyle w:val="FootnoteReference"/>
        </w:rPr>
        <w:footnoteRef/>
      </w:r>
      <w:r w:rsidRPr="00074C1D">
        <w:t xml:space="preserve"> </w:t>
      </w:r>
      <w:r w:rsidR="001753EE" w:rsidRPr="00074C1D">
        <w:t xml:space="preserve">The </w:t>
      </w:r>
      <w:r w:rsidRPr="00074C1D">
        <w:t xml:space="preserve">Joint Applicants’ affiliates that are impacted by this application are </w:t>
      </w:r>
      <w:proofErr w:type="spellStart"/>
      <w:r w:rsidRPr="00074C1D">
        <w:t>Rockpoint</w:t>
      </w:r>
      <w:proofErr w:type="spellEnd"/>
      <w:r w:rsidRPr="00074C1D">
        <w:t xml:space="preserve"> Gas Storage Partners LP; </w:t>
      </w:r>
      <w:proofErr w:type="spellStart"/>
      <w:r w:rsidRPr="00074C1D">
        <w:t>Rockpoint</w:t>
      </w:r>
      <w:proofErr w:type="spellEnd"/>
      <w:r w:rsidRPr="00074C1D">
        <w:t xml:space="preserve"> Gas Storage Canada Ltd.; and Swan Equity Sub-Aggregator LP and Swan GP LLC.  </w:t>
      </w:r>
      <w:r w:rsidR="00381D61" w:rsidRPr="00074C1D">
        <w:t>Several</w:t>
      </w:r>
      <w:r w:rsidR="00456760" w:rsidRPr="00074C1D">
        <w:t xml:space="preserve"> Canadian and American banks and Swan Equity Aggregator are providing financing.</w:t>
      </w:r>
    </w:p>
  </w:footnote>
  <w:footnote w:id="4">
    <w:p w14:paraId="1CF39281" w14:textId="0FDF6464" w:rsidR="00EA4FB9" w:rsidRPr="00074C1D" w:rsidRDefault="00EA4FB9">
      <w:pPr>
        <w:pStyle w:val="FootnoteText"/>
      </w:pPr>
      <w:r w:rsidRPr="00074C1D">
        <w:rPr>
          <w:rStyle w:val="FootnoteReference"/>
        </w:rPr>
        <w:footnoteRef/>
      </w:r>
      <w:r w:rsidRPr="00074C1D">
        <w:t xml:space="preserve"> Application at </w:t>
      </w:r>
      <w:r w:rsidR="002F375A" w:rsidRPr="00074C1D">
        <w:t xml:space="preserve">3, </w:t>
      </w:r>
      <w:r w:rsidRPr="00074C1D">
        <w:t>26.</w:t>
      </w:r>
    </w:p>
  </w:footnote>
  <w:footnote w:id="5">
    <w:p w14:paraId="6336518F" w14:textId="77D12343" w:rsidR="009E09DE" w:rsidRDefault="009E09DE">
      <w:pPr>
        <w:pStyle w:val="FootnoteText"/>
      </w:pPr>
      <w:r>
        <w:rPr>
          <w:rStyle w:val="FootnoteReference"/>
        </w:rPr>
        <w:footnoteRef/>
      </w:r>
      <w:r>
        <w:t xml:space="preserve"> </w:t>
      </w:r>
      <w:r w:rsidRPr="00074C1D">
        <w:rPr>
          <w:i/>
          <w:iCs/>
        </w:rPr>
        <w:t>Id.</w:t>
      </w:r>
      <w:r w:rsidRPr="00074C1D">
        <w:t xml:space="preserve"> at 1</w:t>
      </w:r>
      <w:r>
        <w:t>7</w:t>
      </w:r>
      <w:r w:rsidRPr="00074C1D">
        <w:t>.</w:t>
      </w:r>
    </w:p>
  </w:footnote>
  <w:footnote w:id="6">
    <w:p w14:paraId="03B86612" w14:textId="63F22279" w:rsidR="00EA4FB9" w:rsidRPr="00074C1D" w:rsidRDefault="00EA4FB9">
      <w:pPr>
        <w:pStyle w:val="FootnoteText"/>
      </w:pPr>
      <w:r w:rsidRPr="00074C1D">
        <w:rPr>
          <w:rStyle w:val="FootnoteReference"/>
        </w:rPr>
        <w:footnoteRef/>
      </w:r>
      <w:r w:rsidRPr="00074C1D">
        <w:t xml:space="preserve"> </w:t>
      </w:r>
      <w:r w:rsidR="00CD7CB0" w:rsidRPr="00074C1D">
        <w:rPr>
          <w:i/>
          <w:iCs/>
        </w:rPr>
        <w:t>Id.</w:t>
      </w:r>
      <w:r w:rsidR="00CD7CB0" w:rsidRPr="00074C1D">
        <w:t xml:space="preserve"> </w:t>
      </w:r>
      <w:r w:rsidRPr="00074C1D">
        <w:t>at 1</w:t>
      </w:r>
      <w:r w:rsidR="006B1412">
        <w:t>5</w:t>
      </w:r>
      <w:r w:rsidRPr="00074C1D">
        <w:t>.</w:t>
      </w:r>
    </w:p>
  </w:footnote>
  <w:footnote w:id="7">
    <w:p w14:paraId="775B0317" w14:textId="6AA717FE" w:rsidR="006B1412" w:rsidRDefault="006B1412">
      <w:pPr>
        <w:pStyle w:val="FootnoteText"/>
      </w:pPr>
      <w:r>
        <w:rPr>
          <w:rStyle w:val="FootnoteReference"/>
        </w:rPr>
        <w:footnoteRef/>
      </w:r>
      <w:r>
        <w:t xml:space="preserve"> </w:t>
      </w:r>
      <w:r w:rsidRPr="00074C1D">
        <w:rPr>
          <w:i/>
          <w:iCs/>
        </w:rPr>
        <w:t>Id</w:t>
      </w:r>
      <w:r>
        <w:t xml:space="preserve"> at 14.</w:t>
      </w:r>
    </w:p>
  </w:footnote>
  <w:footnote w:id="8">
    <w:p w14:paraId="42FD66BA" w14:textId="7DFBD27A" w:rsidR="00EA4FB9" w:rsidRPr="00074C1D" w:rsidRDefault="00EA4FB9">
      <w:pPr>
        <w:pStyle w:val="FootnoteText"/>
      </w:pPr>
      <w:r w:rsidRPr="00074C1D">
        <w:rPr>
          <w:rStyle w:val="FootnoteReference"/>
        </w:rPr>
        <w:footnoteRef/>
      </w:r>
      <w:r w:rsidRPr="00074C1D">
        <w:t xml:space="preserve"> </w:t>
      </w:r>
      <w:r w:rsidR="00CD7CB0" w:rsidRPr="00074C1D">
        <w:rPr>
          <w:i/>
          <w:iCs/>
        </w:rPr>
        <w:t>Id.</w:t>
      </w:r>
      <w:r w:rsidR="00CD7CB0" w:rsidRPr="00074C1D">
        <w:t xml:space="preserve"> </w:t>
      </w:r>
      <w:r w:rsidRPr="00074C1D">
        <w:t>at 4.</w:t>
      </w:r>
    </w:p>
  </w:footnote>
  <w:footnote w:id="9">
    <w:p w14:paraId="28F36FB8" w14:textId="40C6814A" w:rsidR="00EA4FB9" w:rsidRPr="00074C1D" w:rsidRDefault="00EA4FB9">
      <w:pPr>
        <w:pStyle w:val="FootnoteText"/>
      </w:pPr>
      <w:r w:rsidRPr="00074C1D">
        <w:rPr>
          <w:rStyle w:val="FootnoteReference"/>
        </w:rPr>
        <w:footnoteRef/>
      </w:r>
      <w:r w:rsidRPr="00074C1D">
        <w:t xml:space="preserve"> </w:t>
      </w:r>
      <w:r w:rsidR="00CD7CB0" w:rsidRPr="00074C1D">
        <w:rPr>
          <w:i/>
          <w:iCs/>
        </w:rPr>
        <w:t>Id.</w:t>
      </w:r>
      <w:r w:rsidR="00CD7CB0" w:rsidRPr="00074C1D">
        <w:t xml:space="preserve"> </w:t>
      </w:r>
      <w:r w:rsidRPr="00074C1D">
        <w:t>at 5.</w:t>
      </w:r>
    </w:p>
  </w:footnote>
  <w:footnote w:id="10">
    <w:p w14:paraId="6BBE8687" w14:textId="33DD9047" w:rsidR="002D7F7B" w:rsidRPr="00074C1D" w:rsidRDefault="002D7F7B">
      <w:pPr>
        <w:pStyle w:val="FootnoteText"/>
      </w:pPr>
      <w:r w:rsidRPr="00074C1D">
        <w:rPr>
          <w:rStyle w:val="FootnoteReference"/>
        </w:rPr>
        <w:footnoteRef/>
      </w:r>
      <w:r w:rsidRPr="00074C1D">
        <w:t xml:space="preserve"> Application at 5.</w:t>
      </w:r>
    </w:p>
  </w:footnote>
  <w:footnote w:id="11">
    <w:p w14:paraId="2A763D8D" w14:textId="2BE29A66" w:rsidR="002D7F7B" w:rsidRPr="00074C1D" w:rsidRDefault="002D7F7B">
      <w:pPr>
        <w:pStyle w:val="FootnoteText"/>
      </w:pPr>
      <w:r w:rsidRPr="00074C1D">
        <w:rPr>
          <w:rStyle w:val="FootnoteReference"/>
        </w:rPr>
        <w:footnoteRef/>
      </w:r>
      <w:r w:rsidRPr="00074C1D">
        <w:t xml:space="preserve"> </w:t>
      </w:r>
      <w:r w:rsidR="002F121D" w:rsidRPr="00074C1D">
        <w:rPr>
          <w:i/>
          <w:iCs/>
        </w:rPr>
        <w:t xml:space="preserve">See generally </w:t>
      </w:r>
      <w:r w:rsidRPr="00074C1D">
        <w:t>D.0</w:t>
      </w:r>
      <w:r w:rsidR="00742439" w:rsidRPr="00074C1D">
        <w:t>0-12-026</w:t>
      </w:r>
      <w:r w:rsidR="002F121D" w:rsidRPr="00074C1D">
        <w:t xml:space="preserve"> (granting exemption from Pub. Util. Code §</w:t>
      </w:r>
      <w:r w:rsidR="00742439" w:rsidRPr="00074C1D">
        <w:t>§ 818 and</w:t>
      </w:r>
      <w:r w:rsidR="002F121D" w:rsidRPr="00074C1D">
        <w:t xml:space="preserve"> 851 requirements)</w:t>
      </w:r>
      <w:r w:rsidRPr="00074C1D">
        <w:t>.</w:t>
      </w:r>
    </w:p>
  </w:footnote>
  <w:footnote w:id="12">
    <w:p w14:paraId="58B39104" w14:textId="63027339" w:rsidR="00DE221D" w:rsidRPr="00074C1D" w:rsidRDefault="00DE221D">
      <w:pPr>
        <w:pStyle w:val="FootnoteText"/>
      </w:pPr>
      <w:r w:rsidRPr="00074C1D">
        <w:rPr>
          <w:rStyle w:val="FootnoteReference"/>
        </w:rPr>
        <w:footnoteRef/>
      </w:r>
      <w:r w:rsidRPr="00074C1D">
        <w:t xml:space="preserve"> </w:t>
      </w:r>
      <w:r w:rsidR="00A4185A" w:rsidRPr="00074C1D">
        <w:t xml:space="preserve">The Commission granted the transfer of control of Lodi from Buckeye Gas Storage, LLC to BIF II </w:t>
      </w:r>
      <w:proofErr w:type="spellStart"/>
      <w:r w:rsidR="00A4185A" w:rsidRPr="00074C1D">
        <w:t>CalGas</w:t>
      </w:r>
      <w:proofErr w:type="spellEnd"/>
      <w:r w:rsidR="00A4185A" w:rsidRPr="00074C1D">
        <w:t xml:space="preserve">, an affiliate of Brookfield Infrastructure Fund (D.14-12-013 at </w:t>
      </w:r>
      <w:r w:rsidR="00742439" w:rsidRPr="00074C1D">
        <w:t>12, Finding of Fact no. 4</w:t>
      </w:r>
      <w:r w:rsidR="00A4185A" w:rsidRPr="00074C1D">
        <w:t xml:space="preserve">).  The transfer of control of Wild Goose to Brookfield Infrastructure Fund was part of a larger merger of Brookfield with Niska, which resulted in Brookfield owning Wild Goose and additional storage facilities: AECO Hub in Alberta, Canada and Salt Plains in Oklahoma </w:t>
      </w:r>
      <w:r w:rsidR="00CE5555">
        <w:br/>
      </w:r>
      <w:r w:rsidR="00A4185A" w:rsidRPr="00074C1D">
        <w:t>(D.16-06-014 at 4).</w:t>
      </w:r>
    </w:p>
  </w:footnote>
  <w:footnote w:id="13">
    <w:p w14:paraId="439B62C2" w14:textId="078E6E30" w:rsidR="008E2D2E" w:rsidRPr="00074C1D" w:rsidRDefault="008E2D2E">
      <w:pPr>
        <w:pStyle w:val="FootnoteText"/>
      </w:pPr>
      <w:r w:rsidRPr="00074C1D">
        <w:rPr>
          <w:rStyle w:val="FootnoteReference"/>
        </w:rPr>
        <w:footnoteRef/>
      </w:r>
      <w:r w:rsidRPr="00074C1D">
        <w:t xml:space="preserve"> Application at 7.</w:t>
      </w:r>
    </w:p>
  </w:footnote>
  <w:footnote w:id="14">
    <w:p w14:paraId="7FC972F9" w14:textId="2644A891" w:rsidR="003D65AA" w:rsidRPr="00074C1D" w:rsidRDefault="003D65AA">
      <w:pPr>
        <w:pStyle w:val="FootnoteText"/>
      </w:pPr>
      <w:r w:rsidRPr="00074C1D">
        <w:rPr>
          <w:rStyle w:val="FootnoteReference"/>
        </w:rPr>
        <w:footnoteRef/>
      </w:r>
      <w:r w:rsidRPr="00074C1D">
        <w:t xml:space="preserve"> </w:t>
      </w:r>
      <w:r w:rsidRPr="00074C1D">
        <w:rPr>
          <w:i/>
          <w:iCs/>
        </w:rPr>
        <w:t xml:space="preserve">See </w:t>
      </w:r>
      <w:r w:rsidR="007329AE">
        <w:t>A</w:t>
      </w:r>
      <w:r w:rsidRPr="00074C1D">
        <w:t>ssigned Commissioner’s Scoping Memo</w:t>
      </w:r>
      <w:r w:rsidR="00B642C0" w:rsidRPr="00074C1D">
        <w:t xml:space="preserve"> and Ruling</w:t>
      </w:r>
      <w:r w:rsidRPr="00074C1D">
        <w:t xml:space="preserve"> at </w:t>
      </w:r>
      <w:r w:rsidR="009E113D" w:rsidRPr="00074C1D">
        <w:t>3</w:t>
      </w:r>
      <w:r w:rsidRPr="00074C1D">
        <w:t>.</w:t>
      </w:r>
    </w:p>
  </w:footnote>
  <w:footnote w:id="15">
    <w:p w14:paraId="33405822" w14:textId="71E4E8AD" w:rsidR="00335FCB" w:rsidRPr="00074C1D" w:rsidRDefault="00335FCB">
      <w:pPr>
        <w:pStyle w:val="FootnoteText"/>
      </w:pPr>
      <w:r w:rsidRPr="00074C1D">
        <w:rPr>
          <w:rStyle w:val="FootnoteReference"/>
        </w:rPr>
        <w:footnoteRef/>
      </w:r>
      <w:r w:rsidRPr="00074C1D">
        <w:t xml:space="preserve"> D.17-10-014 at 10-1</w:t>
      </w:r>
      <w:r w:rsidR="009539F3" w:rsidRPr="00074C1D">
        <w:t>2</w:t>
      </w:r>
      <w:r w:rsidRPr="00074C1D">
        <w:t>.</w:t>
      </w:r>
    </w:p>
  </w:footnote>
  <w:footnote w:id="16">
    <w:p w14:paraId="432AD710" w14:textId="61965C38" w:rsidR="00191D37" w:rsidRDefault="00191D37">
      <w:pPr>
        <w:pStyle w:val="FootnoteText"/>
      </w:pPr>
      <w:r>
        <w:rPr>
          <w:rStyle w:val="FootnoteReference"/>
        </w:rPr>
        <w:footnoteRef/>
      </w:r>
      <w:r>
        <w:t xml:space="preserve"> Application at 2</w:t>
      </w:r>
      <w:r w:rsidR="004546FC">
        <w:t>6</w:t>
      </w:r>
      <w:r>
        <w:t>.</w:t>
      </w:r>
    </w:p>
  </w:footnote>
  <w:footnote w:id="17">
    <w:p w14:paraId="0A2557F8" w14:textId="15CC1D7F" w:rsidR="00191D37" w:rsidRPr="00191D37" w:rsidRDefault="00191D37">
      <w:pPr>
        <w:pStyle w:val="FootnoteText"/>
      </w:pPr>
      <w:r>
        <w:rPr>
          <w:rStyle w:val="FootnoteReference"/>
        </w:rPr>
        <w:footnoteRef/>
      </w:r>
      <w:r>
        <w:t xml:space="preserve"> </w:t>
      </w:r>
      <w:r>
        <w:rPr>
          <w:i/>
          <w:iCs/>
        </w:rPr>
        <w:t>Id</w:t>
      </w:r>
      <w:r>
        <w:t>. at 24-25.</w:t>
      </w:r>
    </w:p>
  </w:footnote>
  <w:footnote w:id="18">
    <w:p w14:paraId="172125EA" w14:textId="2A56ADE0" w:rsidR="008F6145" w:rsidRPr="00074C1D" w:rsidRDefault="008F6145">
      <w:pPr>
        <w:pStyle w:val="FootnoteText"/>
      </w:pPr>
      <w:r w:rsidRPr="00074C1D">
        <w:rPr>
          <w:rStyle w:val="FootnoteReference"/>
        </w:rPr>
        <w:footnoteRef/>
      </w:r>
      <w:r w:rsidRPr="00074C1D">
        <w:t xml:space="preserve"> </w:t>
      </w:r>
      <w:r w:rsidR="00191D37">
        <w:rPr>
          <w:i/>
          <w:iCs/>
        </w:rPr>
        <w:t>Id</w:t>
      </w:r>
      <w:r w:rsidR="00191D37">
        <w:t>.</w:t>
      </w:r>
      <w:r w:rsidRPr="00074C1D">
        <w:t xml:space="preserve"> at 2</w:t>
      </w:r>
      <w:r w:rsidR="008C714B">
        <w:t>8</w:t>
      </w:r>
      <w:r w:rsidRPr="00074C1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D591D" w14:textId="05E2FC76" w:rsidR="00E309A1" w:rsidRDefault="00221FDC" w:rsidP="006929D0">
    <w:pPr>
      <w:pStyle w:val="Header"/>
      <w:ind w:firstLine="0"/>
      <w:rPr>
        <w:b/>
        <w:bCs/>
      </w:rPr>
    </w:pPr>
    <w:r>
      <w:t>A.2</w:t>
    </w:r>
    <w:r w:rsidR="00FD1CC7">
      <w:t>4</w:t>
    </w:r>
    <w:r>
      <w:t>-</w:t>
    </w:r>
    <w:r w:rsidR="00FD1CC7">
      <w:t>10</w:t>
    </w:r>
    <w:r>
      <w:t>-</w:t>
    </w:r>
    <w:proofErr w:type="gramStart"/>
    <w:r>
      <w:t>0</w:t>
    </w:r>
    <w:r w:rsidR="00FD1CC7">
      <w:t>04</w:t>
    </w:r>
    <w:r>
      <w:t xml:space="preserve">  ALJ</w:t>
    </w:r>
    <w:proofErr w:type="gramEnd"/>
    <w:r>
      <w:t>/</w:t>
    </w:r>
    <w:r w:rsidR="00FD1CC7">
      <w:t>MPO</w:t>
    </w:r>
    <w:r>
      <w:t>/</w:t>
    </w:r>
    <w:r w:rsidR="006929D0">
      <w:t>cg7</w:t>
    </w:r>
    <w:r w:rsidR="00FE2351">
      <w:tab/>
    </w:r>
    <w:r w:rsidR="00692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05C4"/>
    <w:multiLevelType w:val="hybridMultilevel"/>
    <w:tmpl w:val="0404774A"/>
    <w:lvl w:ilvl="0" w:tplc="13145AE4">
      <w:start w:val="1"/>
      <w:numFmt w:val="lowerLetter"/>
      <w:lvlText w:val="(%1)"/>
      <w:lvlJc w:val="left"/>
      <w:pPr>
        <w:ind w:left="1092" w:hanging="372"/>
      </w:pPr>
      <w:rPr>
        <w:rFonts w:ascii="Book Antiqua" w:eastAsia="Book Antiqua" w:hAnsi="Book Antiqua" w:cs="Book Antiqua" w:hint="default"/>
        <w:b w:val="0"/>
        <w:bCs w:val="0"/>
        <w:i w:val="0"/>
        <w:iCs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31E88"/>
    <w:multiLevelType w:val="multilevel"/>
    <w:tmpl w:val="EC3C5D04"/>
    <w:lvl w:ilvl="0">
      <w:start w:val="1"/>
      <w:numFmt w:val="decimal"/>
      <w:lvlText w:val="%1"/>
      <w:lvlJc w:val="left"/>
      <w:pPr>
        <w:ind w:left="360" w:hanging="360"/>
      </w:pPr>
      <w:rPr>
        <w:rFonts w:hint="default"/>
      </w:rPr>
    </w:lvl>
    <w:lvl w:ilvl="1">
      <w:start w:val="1"/>
      <w:numFmt w:val="decimal"/>
      <w:lvlText w:val="%1.%2"/>
      <w:lvlJc w:val="left"/>
      <w:pPr>
        <w:ind w:left="2376" w:hanging="72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6048" w:hanging="108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720" w:hanging="1440"/>
      </w:pPr>
      <w:rPr>
        <w:rFonts w:hint="default"/>
      </w:rPr>
    </w:lvl>
    <w:lvl w:ilvl="6">
      <w:start w:val="1"/>
      <w:numFmt w:val="decimal"/>
      <w:lvlText w:val="%1.%2.%3.%4.%5.%6.%7"/>
      <w:lvlJc w:val="left"/>
      <w:pPr>
        <w:ind w:left="11736" w:hanging="1800"/>
      </w:pPr>
      <w:rPr>
        <w:rFonts w:hint="default"/>
      </w:rPr>
    </w:lvl>
    <w:lvl w:ilvl="7">
      <w:start w:val="1"/>
      <w:numFmt w:val="decimal"/>
      <w:lvlText w:val="%1.%2.%3.%4.%5.%6.%7.%8"/>
      <w:lvlJc w:val="left"/>
      <w:pPr>
        <w:ind w:left="13392" w:hanging="1800"/>
      </w:pPr>
      <w:rPr>
        <w:rFonts w:hint="default"/>
      </w:rPr>
    </w:lvl>
    <w:lvl w:ilvl="8">
      <w:start w:val="1"/>
      <w:numFmt w:val="decimal"/>
      <w:lvlText w:val="%1.%2.%3.%4.%5.%6.%7.%8.%9"/>
      <w:lvlJc w:val="left"/>
      <w:pPr>
        <w:ind w:left="15408" w:hanging="2160"/>
      </w:pPr>
      <w:rPr>
        <w:rFonts w:hint="default"/>
      </w:rPr>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70038F"/>
    <w:multiLevelType w:val="multilevel"/>
    <w:tmpl w:val="0286341C"/>
    <w:numStyleLink w:val="Headings"/>
  </w:abstractNum>
  <w:abstractNum w:abstractNumId="7" w15:restartNumberingAfterBreak="0">
    <w:nsid w:val="1E2242C9"/>
    <w:multiLevelType w:val="multilevel"/>
    <w:tmpl w:val="0286341C"/>
    <w:numStyleLink w:val="Headings"/>
  </w:abstractNum>
  <w:abstractNum w:abstractNumId="8" w15:restartNumberingAfterBreak="0">
    <w:nsid w:val="21FB58FE"/>
    <w:multiLevelType w:val="multilevel"/>
    <w:tmpl w:val="0286341C"/>
    <w:numStyleLink w:val="Headings"/>
  </w:abstractNum>
  <w:abstractNum w:abstractNumId="9" w15:restartNumberingAfterBreak="0">
    <w:nsid w:val="243663A0"/>
    <w:multiLevelType w:val="multilevel"/>
    <w:tmpl w:val="0286341C"/>
    <w:numStyleLink w:val="Headings"/>
  </w:abstractNum>
  <w:abstractNum w:abstractNumId="10" w15:restartNumberingAfterBreak="0">
    <w:nsid w:val="2B8124D7"/>
    <w:multiLevelType w:val="multilevel"/>
    <w:tmpl w:val="0286341C"/>
    <w:numStyleLink w:val="Headings"/>
  </w:abstractNum>
  <w:abstractNum w:abstractNumId="11" w15:restartNumberingAfterBreak="0">
    <w:nsid w:val="331F6D42"/>
    <w:multiLevelType w:val="multilevel"/>
    <w:tmpl w:val="0286341C"/>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2" w15:restartNumberingAfterBreak="0">
    <w:nsid w:val="59D042D7"/>
    <w:multiLevelType w:val="multilevel"/>
    <w:tmpl w:val="18F4A5AC"/>
    <w:numStyleLink w:val="FoFCoLOP"/>
  </w:abstractNum>
  <w:abstractNum w:abstractNumId="13" w15:restartNumberingAfterBreak="0">
    <w:nsid w:val="5A9E2171"/>
    <w:multiLevelType w:val="multilevel"/>
    <w:tmpl w:val="3C526EDE"/>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53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4" w15:restartNumberingAfterBreak="0">
    <w:nsid w:val="61A25780"/>
    <w:multiLevelType w:val="multilevel"/>
    <w:tmpl w:val="0286341C"/>
    <w:numStyleLink w:val="Headings"/>
  </w:abstractNum>
  <w:abstractNum w:abstractNumId="15" w15:restartNumberingAfterBreak="0">
    <w:nsid w:val="627900F2"/>
    <w:multiLevelType w:val="hybridMultilevel"/>
    <w:tmpl w:val="B61E27B4"/>
    <w:lvl w:ilvl="0" w:tplc="855E0932">
      <w:start w:val="1"/>
      <w:numFmt w:val="lowerLetter"/>
      <w:lvlText w:val="%1."/>
      <w:lvlJc w:val="left"/>
      <w:pPr>
        <w:ind w:left="1092" w:hanging="372"/>
      </w:pPr>
      <w:rPr>
        <w:rFonts w:ascii="Book Antiqua" w:eastAsiaTheme="minorHAnsi" w:hAnsi="Book Antiqua" w:cstheme="minorBidi"/>
        <w:b w:val="0"/>
        <w:bCs w:val="0"/>
        <w:i w:val="0"/>
        <w:iCs w:val="0"/>
        <w:w w:val="100"/>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0AFE"/>
    <w:multiLevelType w:val="multilevel"/>
    <w:tmpl w:val="18F4A5AC"/>
    <w:numStyleLink w:val="FoFCoLOP"/>
  </w:abstractNum>
  <w:num w:numId="1" w16cid:durableId="1354526949">
    <w:abstractNumId w:val="13"/>
  </w:num>
  <w:num w:numId="2" w16cid:durableId="140774137">
    <w:abstractNumId w:val="3"/>
  </w:num>
  <w:num w:numId="3" w16cid:durableId="1898543446">
    <w:abstractNumId w:val="12"/>
  </w:num>
  <w:num w:numId="4" w16cid:durableId="701521005">
    <w:abstractNumId w:val="4"/>
  </w:num>
  <w:num w:numId="5" w16cid:durableId="2017029027">
    <w:abstractNumId w:val="17"/>
  </w:num>
  <w:num w:numId="6" w16cid:durableId="973756952">
    <w:abstractNumId w:val="11"/>
  </w:num>
  <w:num w:numId="7" w16cid:durableId="827667741">
    <w:abstractNumId w:val="7"/>
  </w:num>
  <w:num w:numId="8" w16cid:durableId="1760327020">
    <w:abstractNumId w:val="16"/>
  </w:num>
  <w:num w:numId="9" w16cid:durableId="816924040">
    <w:abstractNumId w:val="0"/>
  </w:num>
  <w:num w:numId="10" w16cid:durableId="1817916489">
    <w:abstractNumId w:val="6"/>
  </w:num>
  <w:num w:numId="11" w16cid:durableId="291985460">
    <w:abstractNumId w:val="8"/>
  </w:num>
  <w:num w:numId="12" w16cid:durableId="467941983">
    <w:abstractNumId w:val="5"/>
  </w:num>
  <w:num w:numId="13" w16cid:durableId="712996464">
    <w:abstractNumId w:val="9"/>
  </w:num>
  <w:num w:numId="14" w16cid:durableId="1303778653">
    <w:abstractNumId w:val="10"/>
  </w:num>
  <w:num w:numId="15" w16cid:durableId="1714382259">
    <w:abstractNumId w:val="14"/>
  </w:num>
  <w:num w:numId="16" w16cid:durableId="548107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14"/>
  </w:num>
  <w:num w:numId="18" w16cid:durableId="1216500870">
    <w:abstractNumId w:val="1"/>
  </w:num>
  <w:num w:numId="19" w16cid:durableId="1764648857">
    <w:abstractNumId w:val="15"/>
  </w:num>
  <w:num w:numId="20" w16cid:durableId="699742599">
    <w:abstractNumId w:val="13"/>
  </w:num>
  <w:num w:numId="21" w16cid:durableId="158453540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F6A"/>
    <w:rsid w:val="000010DC"/>
    <w:rsid w:val="000229DB"/>
    <w:rsid w:val="000328B4"/>
    <w:rsid w:val="00036A31"/>
    <w:rsid w:val="00041767"/>
    <w:rsid w:val="00042A03"/>
    <w:rsid w:val="00046423"/>
    <w:rsid w:val="00057BAB"/>
    <w:rsid w:val="00060E62"/>
    <w:rsid w:val="000653CD"/>
    <w:rsid w:val="00065BDF"/>
    <w:rsid w:val="00066F2D"/>
    <w:rsid w:val="0007115A"/>
    <w:rsid w:val="00072245"/>
    <w:rsid w:val="00074C1D"/>
    <w:rsid w:val="00077178"/>
    <w:rsid w:val="00092574"/>
    <w:rsid w:val="000973C8"/>
    <w:rsid w:val="000A2AA9"/>
    <w:rsid w:val="000A56F2"/>
    <w:rsid w:val="000A6E05"/>
    <w:rsid w:val="000B12FA"/>
    <w:rsid w:val="000C08BF"/>
    <w:rsid w:val="000C3B9A"/>
    <w:rsid w:val="000D25A8"/>
    <w:rsid w:val="000E270A"/>
    <w:rsid w:val="000E4C53"/>
    <w:rsid w:val="000F48C6"/>
    <w:rsid w:val="00111D40"/>
    <w:rsid w:val="00121089"/>
    <w:rsid w:val="00121486"/>
    <w:rsid w:val="00125021"/>
    <w:rsid w:val="00125EF5"/>
    <w:rsid w:val="00132DBA"/>
    <w:rsid w:val="001410DA"/>
    <w:rsid w:val="00143CE5"/>
    <w:rsid w:val="00145E95"/>
    <w:rsid w:val="00160F98"/>
    <w:rsid w:val="00161C71"/>
    <w:rsid w:val="001647C7"/>
    <w:rsid w:val="001753EE"/>
    <w:rsid w:val="00184A8F"/>
    <w:rsid w:val="001906BB"/>
    <w:rsid w:val="00191D37"/>
    <w:rsid w:val="001928AB"/>
    <w:rsid w:val="00194B32"/>
    <w:rsid w:val="001C11B1"/>
    <w:rsid w:val="001C279C"/>
    <w:rsid w:val="001C363F"/>
    <w:rsid w:val="001D5B0B"/>
    <w:rsid w:val="001E095F"/>
    <w:rsid w:val="001E2A62"/>
    <w:rsid w:val="001F2819"/>
    <w:rsid w:val="001F3594"/>
    <w:rsid w:val="001F42A3"/>
    <w:rsid w:val="001F5071"/>
    <w:rsid w:val="0020290E"/>
    <w:rsid w:val="002043EC"/>
    <w:rsid w:val="00205C7A"/>
    <w:rsid w:val="00216CDA"/>
    <w:rsid w:val="00221FDC"/>
    <w:rsid w:val="00224D8E"/>
    <w:rsid w:val="00243DC0"/>
    <w:rsid w:val="00247477"/>
    <w:rsid w:val="002525E6"/>
    <w:rsid w:val="002627E4"/>
    <w:rsid w:val="00263E52"/>
    <w:rsid w:val="00264AB9"/>
    <w:rsid w:val="00267488"/>
    <w:rsid w:val="00267DB6"/>
    <w:rsid w:val="00270440"/>
    <w:rsid w:val="0027263A"/>
    <w:rsid w:val="00276283"/>
    <w:rsid w:val="00281A6F"/>
    <w:rsid w:val="00284D8D"/>
    <w:rsid w:val="00284F65"/>
    <w:rsid w:val="00287BC5"/>
    <w:rsid w:val="00291CDE"/>
    <w:rsid w:val="00293DEE"/>
    <w:rsid w:val="002A0B5D"/>
    <w:rsid w:val="002B0B10"/>
    <w:rsid w:val="002C7FE9"/>
    <w:rsid w:val="002D018A"/>
    <w:rsid w:val="002D0DC5"/>
    <w:rsid w:val="002D2021"/>
    <w:rsid w:val="002D4D00"/>
    <w:rsid w:val="002D4EFD"/>
    <w:rsid w:val="002D5CF2"/>
    <w:rsid w:val="002D7F7B"/>
    <w:rsid w:val="002E56D6"/>
    <w:rsid w:val="002E6764"/>
    <w:rsid w:val="002F121D"/>
    <w:rsid w:val="002F375A"/>
    <w:rsid w:val="00315A97"/>
    <w:rsid w:val="00316071"/>
    <w:rsid w:val="00321EB9"/>
    <w:rsid w:val="003226AD"/>
    <w:rsid w:val="00335FCB"/>
    <w:rsid w:val="00343E5C"/>
    <w:rsid w:val="00344FB8"/>
    <w:rsid w:val="0036017B"/>
    <w:rsid w:val="00362755"/>
    <w:rsid w:val="00365DF7"/>
    <w:rsid w:val="00373B93"/>
    <w:rsid w:val="00374D6B"/>
    <w:rsid w:val="00380CD1"/>
    <w:rsid w:val="00381D61"/>
    <w:rsid w:val="00387776"/>
    <w:rsid w:val="003911B6"/>
    <w:rsid w:val="003914FE"/>
    <w:rsid w:val="00394EE8"/>
    <w:rsid w:val="00396F29"/>
    <w:rsid w:val="00397A94"/>
    <w:rsid w:val="003A02CA"/>
    <w:rsid w:val="003A38F0"/>
    <w:rsid w:val="003A4600"/>
    <w:rsid w:val="003C77F7"/>
    <w:rsid w:val="003D1F17"/>
    <w:rsid w:val="003D2A3D"/>
    <w:rsid w:val="003D65AA"/>
    <w:rsid w:val="003E2005"/>
    <w:rsid w:val="003F069A"/>
    <w:rsid w:val="003F4329"/>
    <w:rsid w:val="00401093"/>
    <w:rsid w:val="00406358"/>
    <w:rsid w:val="00406F67"/>
    <w:rsid w:val="00412534"/>
    <w:rsid w:val="00412C83"/>
    <w:rsid w:val="0041506D"/>
    <w:rsid w:val="00425AEB"/>
    <w:rsid w:val="00426014"/>
    <w:rsid w:val="004300B9"/>
    <w:rsid w:val="004311F4"/>
    <w:rsid w:val="0044521A"/>
    <w:rsid w:val="0044617E"/>
    <w:rsid w:val="00446D1F"/>
    <w:rsid w:val="00446F09"/>
    <w:rsid w:val="004546FC"/>
    <w:rsid w:val="0045514F"/>
    <w:rsid w:val="00456760"/>
    <w:rsid w:val="0046078B"/>
    <w:rsid w:val="00460B7D"/>
    <w:rsid w:val="00464934"/>
    <w:rsid w:val="004723AF"/>
    <w:rsid w:val="00480CB0"/>
    <w:rsid w:val="004822D3"/>
    <w:rsid w:val="00483603"/>
    <w:rsid w:val="0048754F"/>
    <w:rsid w:val="0049699D"/>
    <w:rsid w:val="004A1EAD"/>
    <w:rsid w:val="004A47BE"/>
    <w:rsid w:val="004B1A0F"/>
    <w:rsid w:val="004B34EA"/>
    <w:rsid w:val="004B50E7"/>
    <w:rsid w:val="004B5494"/>
    <w:rsid w:val="004C2461"/>
    <w:rsid w:val="004C4CAD"/>
    <w:rsid w:val="004C7A2B"/>
    <w:rsid w:val="004C7D3A"/>
    <w:rsid w:val="004D1E20"/>
    <w:rsid w:val="004E2CD2"/>
    <w:rsid w:val="004E4EF0"/>
    <w:rsid w:val="005018A8"/>
    <w:rsid w:val="00505A39"/>
    <w:rsid w:val="005162CA"/>
    <w:rsid w:val="005176B1"/>
    <w:rsid w:val="005240BF"/>
    <w:rsid w:val="005264A5"/>
    <w:rsid w:val="00531594"/>
    <w:rsid w:val="0053499B"/>
    <w:rsid w:val="00544E8C"/>
    <w:rsid w:val="00550C33"/>
    <w:rsid w:val="00571D70"/>
    <w:rsid w:val="00584499"/>
    <w:rsid w:val="00585390"/>
    <w:rsid w:val="0059012B"/>
    <w:rsid w:val="00592916"/>
    <w:rsid w:val="005939A5"/>
    <w:rsid w:val="005A148C"/>
    <w:rsid w:val="005A1510"/>
    <w:rsid w:val="005A230A"/>
    <w:rsid w:val="005B0614"/>
    <w:rsid w:val="005B79DF"/>
    <w:rsid w:val="005C27FF"/>
    <w:rsid w:val="005C58FA"/>
    <w:rsid w:val="005D3FAB"/>
    <w:rsid w:val="005D509C"/>
    <w:rsid w:val="005D7108"/>
    <w:rsid w:val="005E2A3B"/>
    <w:rsid w:val="005E64D3"/>
    <w:rsid w:val="005F2B16"/>
    <w:rsid w:val="005F3D22"/>
    <w:rsid w:val="00603238"/>
    <w:rsid w:val="006064CA"/>
    <w:rsid w:val="00610581"/>
    <w:rsid w:val="00611314"/>
    <w:rsid w:val="0061334C"/>
    <w:rsid w:val="00614026"/>
    <w:rsid w:val="0061696E"/>
    <w:rsid w:val="0062626B"/>
    <w:rsid w:val="00632207"/>
    <w:rsid w:val="0063491C"/>
    <w:rsid w:val="00634BF9"/>
    <w:rsid w:val="00641A5C"/>
    <w:rsid w:val="00647C2A"/>
    <w:rsid w:val="0065153C"/>
    <w:rsid w:val="0065300D"/>
    <w:rsid w:val="00661AFE"/>
    <w:rsid w:val="006650F7"/>
    <w:rsid w:val="006671D9"/>
    <w:rsid w:val="00671FE9"/>
    <w:rsid w:val="00680264"/>
    <w:rsid w:val="00680F19"/>
    <w:rsid w:val="00683B2C"/>
    <w:rsid w:val="006929D0"/>
    <w:rsid w:val="00695CF2"/>
    <w:rsid w:val="006B1412"/>
    <w:rsid w:val="006B680E"/>
    <w:rsid w:val="006B7970"/>
    <w:rsid w:val="006C1F10"/>
    <w:rsid w:val="006C79A5"/>
    <w:rsid w:val="006D0DBD"/>
    <w:rsid w:val="006D174A"/>
    <w:rsid w:val="006D1CF3"/>
    <w:rsid w:val="006D397A"/>
    <w:rsid w:val="006E4772"/>
    <w:rsid w:val="006E4EB7"/>
    <w:rsid w:val="006E5E28"/>
    <w:rsid w:val="006E6574"/>
    <w:rsid w:val="006E6DFC"/>
    <w:rsid w:val="006F0FA1"/>
    <w:rsid w:val="0070203F"/>
    <w:rsid w:val="00703BDE"/>
    <w:rsid w:val="0071386A"/>
    <w:rsid w:val="00714CF2"/>
    <w:rsid w:val="007156B9"/>
    <w:rsid w:val="00720817"/>
    <w:rsid w:val="00722850"/>
    <w:rsid w:val="00726DA7"/>
    <w:rsid w:val="007329AE"/>
    <w:rsid w:val="0073353F"/>
    <w:rsid w:val="00735A91"/>
    <w:rsid w:val="00741468"/>
    <w:rsid w:val="00742439"/>
    <w:rsid w:val="00742E45"/>
    <w:rsid w:val="00743279"/>
    <w:rsid w:val="007447AF"/>
    <w:rsid w:val="00750816"/>
    <w:rsid w:val="007518EE"/>
    <w:rsid w:val="00755EDF"/>
    <w:rsid w:val="00755F94"/>
    <w:rsid w:val="00761928"/>
    <w:rsid w:val="007657C1"/>
    <w:rsid w:val="0077755F"/>
    <w:rsid w:val="00793F9B"/>
    <w:rsid w:val="007974F2"/>
    <w:rsid w:val="007A3D75"/>
    <w:rsid w:val="007A406D"/>
    <w:rsid w:val="007A5A00"/>
    <w:rsid w:val="007A62B0"/>
    <w:rsid w:val="007C25AC"/>
    <w:rsid w:val="007C3223"/>
    <w:rsid w:val="007C3521"/>
    <w:rsid w:val="007C5A0C"/>
    <w:rsid w:val="007D685A"/>
    <w:rsid w:val="007E0FEE"/>
    <w:rsid w:val="007E69DF"/>
    <w:rsid w:val="007E76EE"/>
    <w:rsid w:val="007F2017"/>
    <w:rsid w:val="007F3C37"/>
    <w:rsid w:val="007F3CBE"/>
    <w:rsid w:val="0080188A"/>
    <w:rsid w:val="0080390E"/>
    <w:rsid w:val="008159CF"/>
    <w:rsid w:val="00816E05"/>
    <w:rsid w:val="008204C3"/>
    <w:rsid w:val="00833851"/>
    <w:rsid w:val="008339BB"/>
    <w:rsid w:val="00843027"/>
    <w:rsid w:val="00854A2A"/>
    <w:rsid w:val="0085548D"/>
    <w:rsid w:val="0086419A"/>
    <w:rsid w:val="008674F8"/>
    <w:rsid w:val="0087023B"/>
    <w:rsid w:val="00874AE1"/>
    <w:rsid w:val="00884CA2"/>
    <w:rsid w:val="00884F7D"/>
    <w:rsid w:val="008878D6"/>
    <w:rsid w:val="0089757A"/>
    <w:rsid w:val="008A08BF"/>
    <w:rsid w:val="008A179F"/>
    <w:rsid w:val="008A1AA9"/>
    <w:rsid w:val="008B0864"/>
    <w:rsid w:val="008B175A"/>
    <w:rsid w:val="008B1896"/>
    <w:rsid w:val="008C3CB7"/>
    <w:rsid w:val="008C5537"/>
    <w:rsid w:val="008C60E2"/>
    <w:rsid w:val="008C714B"/>
    <w:rsid w:val="008C7413"/>
    <w:rsid w:val="008D16B7"/>
    <w:rsid w:val="008D1767"/>
    <w:rsid w:val="008D2DFC"/>
    <w:rsid w:val="008D4F07"/>
    <w:rsid w:val="008E2D2E"/>
    <w:rsid w:val="008E4A6A"/>
    <w:rsid w:val="008E6AE6"/>
    <w:rsid w:val="008F0116"/>
    <w:rsid w:val="008F1078"/>
    <w:rsid w:val="008F143D"/>
    <w:rsid w:val="008F6145"/>
    <w:rsid w:val="00905F94"/>
    <w:rsid w:val="0091283F"/>
    <w:rsid w:val="00920D50"/>
    <w:rsid w:val="00926C22"/>
    <w:rsid w:val="009319E8"/>
    <w:rsid w:val="00932865"/>
    <w:rsid w:val="00940C8D"/>
    <w:rsid w:val="00952A85"/>
    <w:rsid w:val="0095388C"/>
    <w:rsid w:val="009539F3"/>
    <w:rsid w:val="009540BD"/>
    <w:rsid w:val="00957B4B"/>
    <w:rsid w:val="00963416"/>
    <w:rsid w:val="00967D1F"/>
    <w:rsid w:val="00970222"/>
    <w:rsid w:val="009704EB"/>
    <w:rsid w:val="00977D72"/>
    <w:rsid w:val="0098138E"/>
    <w:rsid w:val="009842EB"/>
    <w:rsid w:val="009846BB"/>
    <w:rsid w:val="0098655A"/>
    <w:rsid w:val="00987E3E"/>
    <w:rsid w:val="00996822"/>
    <w:rsid w:val="009A6E36"/>
    <w:rsid w:val="009B1D10"/>
    <w:rsid w:val="009B1DA8"/>
    <w:rsid w:val="009C12FD"/>
    <w:rsid w:val="009C5C16"/>
    <w:rsid w:val="009D7B93"/>
    <w:rsid w:val="009E09DE"/>
    <w:rsid w:val="009E113D"/>
    <w:rsid w:val="009E27A4"/>
    <w:rsid w:val="009E6052"/>
    <w:rsid w:val="009E7C7F"/>
    <w:rsid w:val="00A03623"/>
    <w:rsid w:val="00A14F39"/>
    <w:rsid w:val="00A17CE0"/>
    <w:rsid w:val="00A204C9"/>
    <w:rsid w:val="00A23644"/>
    <w:rsid w:val="00A23D48"/>
    <w:rsid w:val="00A411F6"/>
    <w:rsid w:val="00A4185A"/>
    <w:rsid w:val="00A420B7"/>
    <w:rsid w:val="00A42306"/>
    <w:rsid w:val="00A4446B"/>
    <w:rsid w:val="00A44E8D"/>
    <w:rsid w:val="00A45FFE"/>
    <w:rsid w:val="00A46EA8"/>
    <w:rsid w:val="00A5089A"/>
    <w:rsid w:val="00A55ACD"/>
    <w:rsid w:val="00A57646"/>
    <w:rsid w:val="00A644E5"/>
    <w:rsid w:val="00A82F42"/>
    <w:rsid w:val="00A85D27"/>
    <w:rsid w:val="00AA2A69"/>
    <w:rsid w:val="00AB7875"/>
    <w:rsid w:val="00AB7AE1"/>
    <w:rsid w:val="00AC5D93"/>
    <w:rsid w:val="00AC68EE"/>
    <w:rsid w:val="00AC7590"/>
    <w:rsid w:val="00AD41F5"/>
    <w:rsid w:val="00AE4E1B"/>
    <w:rsid w:val="00AF0EB2"/>
    <w:rsid w:val="00B01F7E"/>
    <w:rsid w:val="00B117DE"/>
    <w:rsid w:val="00B1657D"/>
    <w:rsid w:val="00B16C2A"/>
    <w:rsid w:val="00B2296A"/>
    <w:rsid w:val="00B26906"/>
    <w:rsid w:val="00B3087D"/>
    <w:rsid w:val="00B34794"/>
    <w:rsid w:val="00B45025"/>
    <w:rsid w:val="00B4541A"/>
    <w:rsid w:val="00B45855"/>
    <w:rsid w:val="00B475C9"/>
    <w:rsid w:val="00B50235"/>
    <w:rsid w:val="00B54C57"/>
    <w:rsid w:val="00B60421"/>
    <w:rsid w:val="00B6258B"/>
    <w:rsid w:val="00B642C0"/>
    <w:rsid w:val="00B76BC3"/>
    <w:rsid w:val="00B80ABF"/>
    <w:rsid w:val="00B81EB6"/>
    <w:rsid w:val="00B828E6"/>
    <w:rsid w:val="00BA3198"/>
    <w:rsid w:val="00BB0243"/>
    <w:rsid w:val="00BB5CA6"/>
    <w:rsid w:val="00BE0C54"/>
    <w:rsid w:val="00BE6DC5"/>
    <w:rsid w:val="00BF0816"/>
    <w:rsid w:val="00C06CAD"/>
    <w:rsid w:val="00C10B5F"/>
    <w:rsid w:val="00C205AB"/>
    <w:rsid w:val="00C357A0"/>
    <w:rsid w:val="00C40D07"/>
    <w:rsid w:val="00C43B54"/>
    <w:rsid w:val="00C5642A"/>
    <w:rsid w:val="00C72DC3"/>
    <w:rsid w:val="00C74C80"/>
    <w:rsid w:val="00C77B2A"/>
    <w:rsid w:val="00C8576E"/>
    <w:rsid w:val="00C87178"/>
    <w:rsid w:val="00C878D5"/>
    <w:rsid w:val="00C9033B"/>
    <w:rsid w:val="00C9089B"/>
    <w:rsid w:val="00C913A1"/>
    <w:rsid w:val="00C970C1"/>
    <w:rsid w:val="00CB17EA"/>
    <w:rsid w:val="00CB3CDD"/>
    <w:rsid w:val="00CB7F13"/>
    <w:rsid w:val="00CC0013"/>
    <w:rsid w:val="00CC6A99"/>
    <w:rsid w:val="00CD13A5"/>
    <w:rsid w:val="00CD35E4"/>
    <w:rsid w:val="00CD7CB0"/>
    <w:rsid w:val="00CE05AB"/>
    <w:rsid w:val="00CE0819"/>
    <w:rsid w:val="00CE5555"/>
    <w:rsid w:val="00D00AA3"/>
    <w:rsid w:val="00D02FDE"/>
    <w:rsid w:val="00D04BCF"/>
    <w:rsid w:val="00D04D86"/>
    <w:rsid w:val="00D0504E"/>
    <w:rsid w:val="00D07F73"/>
    <w:rsid w:val="00D13C68"/>
    <w:rsid w:val="00D14844"/>
    <w:rsid w:val="00D2041C"/>
    <w:rsid w:val="00D25ADE"/>
    <w:rsid w:val="00D27944"/>
    <w:rsid w:val="00D336BD"/>
    <w:rsid w:val="00D43297"/>
    <w:rsid w:val="00D44DB6"/>
    <w:rsid w:val="00D50119"/>
    <w:rsid w:val="00D70C11"/>
    <w:rsid w:val="00D82A43"/>
    <w:rsid w:val="00D94CB4"/>
    <w:rsid w:val="00D97A31"/>
    <w:rsid w:val="00DA7A73"/>
    <w:rsid w:val="00DA7B5D"/>
    <w:rsid w:val="00DB0C34"/>
    <w:rsid w:val="00DB5343"/>
    <w:rsid w:val="00DD1C6F"/>
    <w:rsid w:val="00DD46CE"/>
    <w:rsid w:val="00DD6739"/>
    <w:rsid w:val="00DE0505"/>
    <w:rsid w:val="00DE221D"/>
    <w:rsid w:val="00DF58E7"/>
    <w:rsid w:val="00DF7B0C"/>
    <w:rsid w:val="00DF7F6F"/>
    <w:rsid w:val="00E03685"/>
    <w:rsid w:val="00E11876"/>
    <w:rsid w:val="00E209DE"/>
    <w:rsid w:val="00E20E55"/>
    <w:rsid w:val="00E21724"/>
    <w:rsid w:val="00E2206D"/>
    <w:rsid w:val="00E23CBB"/>
    <w:rsid w:val="00E309A1"/>
    <w:rsid w:val="00E35049"/>
    <w:rsid w:val="00E37B59"/>
    <w:rsid w:val="00E47FF5"/>
    <w:rsid w:val="00E53438"/>
    <w:rsid w:val="00E57767"/>
    <w:rsid w:val="00E60219"/>
    <w:rsid w:val="00E60FFE"/>
    <w:rsid w:val="00E62DE4"/>
    <w:rsid w:val="00E64B7A"/>
    <w:rsid w:val="00E725FC"/>
    <w:rsid w:val="00E74670"/>
    <w:rsid w:val="00E84401"/>
    <w:rsid w:val="00E845D4"/>
    <w:rsid w:val="00E8623A"/>
    <w:rsid w:val="00E93BD8"/>
    <w:rsid w:val="00E9525D"/>
    <w:rsid w:val="00EA36C6"/>
    <w:rsid w:val="00EA4FB9"/>
    <w:rsid w:val="00EC30F9"/>
    <w:rsid w:val="00EC6678"/>
    <w:rsid w:val="00EC6826"/>
    <w:rsid w:val="00ED0A6B"/>
    <w:rsid w:val="00ED5725"/>
    <w:rsid w:val="00ED679B"/>
    <w:rsid w:val="00ED7031"/>
    <w:rsid w:val="00EE3060"/>
    <w:rsid w:val="00EE4315"/>
    <w:rsid w:val="00EF1E1E"/>
    <w:rsid w:val="00EF6925"/>
    <w:rsid w:val="00F03DEE"/>
    <w:rsid w:val="00F07550"/>
    <w:rsid w:val="00F07C1D"/>
    <w:rsid w:val="00F12118"/>
    <w:rsid w:val="00F15588"/>
    <w:rsid w:val="00F26ED3"/>
    <w:rsid w:val="00F30675"/>
    <w:rsid w:val="00F31A69"/>
    <w:rsid w:val="00F34B3E"/>
    <w:rsid w:val="00F37D16"/>
    <w:rsid w:val="00F41627"/>
    <w:rsid w:val="00F52A89"/>
    <w:rsid w:val="00F53508"/>
    <w:rsid w:val="00F62B7A"/>
    <w:rsid w:val="00F6397D"/>
    <w:rsid w:val="00F70510"/>
    <w:rsid w:val="00F70B54"/>
    <w:rsid w:val="00F7293E"/>
    <w:rsid w:val="00F72F3D"/>
    <w:rsid w:val="00F76650"/>
    <w:rsid w:val="00F83866"/>
    <w:rsid w:val="00F8469C"/>
    <w:rsid w:val="00F9187B"/>
    <w:rsid w:val="00F91B65"/>
    <w:rsid w:val="00F92385"/>
    <w:rsid w:val="00F97DA2"/>
    <w:rsid w:val="00FA1B4F"/>
    <w:rsid w:val="00FA20BA"/>
    <w:rsid w:val="00FA5372"/>
    <w:rsid w:val="00FC47F9"/>
    <w:rsid w:val="00FC7EA7"/>
    <w:rsid w:val="00FD0F2A"/>
    <w:rsid w:val="00FD1CC7"/>
    <w:rsid w:val="00FD6282"/>
    <w:rsid w:val="00FD7A62"/>
    <w:rsid w:val="00FE1745"/>
    <w:rsid w:val="00FE2351"/>
    <w:rsid w:val="00FE337D"/>
    <w:rsid w:val="00FE5580"/>
    <w:rsid w:val="00FF110C"/>
    <w:rsid w:val="00FF2719"/>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3CF9"/>
  <w15:chartTrackingRefBased/>
  <w15:docId w15:val="{AA9A95D8-2D41-42C8-8AF1-4D23A559CD7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styleId="CommentReference">
    <w:name w:val="annotation reference"/>
    <w:basedOn w:val="DefaultParagraphFont"/>
    <w:uiPriority w:val="99"/>
    <w:semiHidden/>
    <w:unhideWhenUsed/>
    <w:rsid w:val="005E64D3"/>
    <w:rPr>
      <w:sz w:val="16"/>
      <w:szCs w:val="16"/>
    </w:rPr>
  </w:style>
  <w:style w:type="paragraph" w:styleId="CommentText">
    <w:name w:val="annotation text"/>
    <w:basedOn w:val="Normal"/>
    <w:link w:val="CommentTextChar"/>
    <w:uiPriority w:val="99"/>
    <w:unhideWhenUsed/>
    <w:rsid w:val="005E64D3"/>
    <w:pPr>
      <w:spacing w:line="240" w:lineRule="auto"/>
    </w:pPr>
    <w:rPr>
      <w:sz w:val="20"/>
      <w:szCs w:val="20"/>
    </w:rPr>
  </w:style>
  <w:style w:type="character" w:customStyle="1" w:styleId="CommentTextChar">
    <w:name w:val="Comment Text Char"/>
    <w:basedOn w:val="DefaultParagraphFont"/>
    <w:link w:val="CommentText"/>
    <w:uiPriority w:val="99"/>
    <w:rsid w:val="005E64D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5E64D3"/>
    <w:rPr>
      <w:b/>
      <w:bCs/>
    </w:rPr>
  </w:style>
  <w:style w:type="character" w:customStyle="1" w:styleId="CommentSubjectChar">
    <w:name w:val="Comment Subject Char"/>
    <w:basedOn w:val="CommentTextChar"/>
    <w:link w:val="CommentSubject"/>
    <w:uiPriority w:val="99"/>
    <w:semiHidden/>
    <w:rsid w:val="005E64D3"/>
    <w:rPr>
      <w:rFonts w:ascii="Book Antiqua" w:hAnsi="Book Antiqua"/>
      <w:b/>
      <w:bCs/>
      <w:sz w:val="20"/>
      <w:szCs w:val="20"/>
    </w:rPr>
  </w:style>
  <w:style w:type="paragraph" w:styleId="Revision">
    <w:name w:val="Revision"/>
    <w:hidden/>
    <w:uiPriority w:val="99"/>
    <w:semiHidden/>
    <w:rsid w:val="002525E6"/>
    <w:pPr>
      <w:spacing w:after="0" w:line="240" w:lineRule="auto"/>
    </w:pPr>
    <w:rPr>
      <w:rFonts w:ascii="Book Antiqua" w:hAnsi="Book Antiqua"/>
      <w:sz w:val="26"/>
    </w:rPr>
  </w:style>
  <w:style w:type="paragraph" w:customStyle="1" w:styleId="paragraph">
    <w:name w:val="paragraph"/>
    <w:basedOn w:val="Normal"/>
    <w:rsid w:val="00926C22"/>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926C22"/>
  </w:style>
  <w:style w:type="character" w:customStyle="1" w:styleId="eop">
    <w:name w:val="eop"/>
    <w:basedOn w:val="DefaultParagraphFont"/>
    <w:rsid w:val="0092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632448911">
      <w:bodyDiv w:val="1"/>
      <w:marLeft w:val="0"/>
      <w:marRight w:val="0"/>
      <w:marTop w:val="0"/>
      <w:marBottom w:val="0"/>
      <w:divBdr>
        <w:top w:val="none" w:sz="0" w:space="0" w:color="auto"/>
        <w:left w:val="none" w:sz="0" w:space="0" w:color="auto"/>
        <w:bottom w:val="none" w:sz="0" w:space="0" w:color="auto"/>
        <w:right w:val="none" w:sz="0" w:space="0" w:color="auto"/>
      </w:divBdr>
      <w:divsChild>
        <w:div w:id="1420759779">
          <w:marLeft w:val="0"/>
          <w:marRight w:val="0"/>
          <w:marTop w:val="0"/>
          <w:marBottom w:val="0"/>
          <w:divBdr>
            <w:top w:val="none" w:sz="0" w:space="0" w:color="auto"/>
            <w:left w:val="none" w:sz="0" w:space="0" w:color="auto"/>
            <w:bottom w:val="none" w:sz="0" w:space="0" w:color="auto"/>
            <w:right w:val="none" w:sz="0" w:space="0" w:color="auto"/>
          </w:divBdr>
        </w:div>
        <w:div w:id="685638009">
          <w:marLeft w:val="0"/>
          <w:marRight w:val="0"/>
          <w:marTop w:val="0"/>
          <w:marBottom w:val="0"/>
          <w:divBdr>
            <w:top w:val="none" w:sz="0" w:space="0" w:color="auto"/>
            <w:left w:val="none" w:sz="0" w:space="0" w:color="auto"/>
            <w:bottom w:val="none" w:sz="0" w:space="0" w:color="auto"/>
            <w:right w:val="none" w:sz="0" w:space="0" w:color="auto"/>
          </w:divBdr>
        </w:div>
        <w:div w:id="335618763">
          <w:marLeft w:val="0"/>
          <w:marRight w:val="0"/>
          <w:marTop w:val="0"/>
          <w:marBottom w:val="0"/>
          <w:divBdr>
            <w:top w:val="none" w:sz="0" w:space="0" w:color="auto"/>
            <w:left w:val="none" w:sz="0" w:space="0" w:color="auto"/>
            <w:bottom w:val="none" w:sz="0" w:space="0" w:color="auto"/>
            <w:right w:val="none" w:sz="0" w:space="0" w:color="auto"/>
          </w:divBdr>
        </w:div>
        <w:div w:id="1476490880">
          <w:marLeft w:val="0"/>
          <w:marRight w:val="0"/>
          <w:marTop w:val="0"/>
          <w:marBottom w:val="0"/>
          <w:divBdr>
            <w:top w:val="none" w:sz="0" w:space="0" w:color="auto"/>
            <w:left w:val="none" w:sz="0" w:space="0" w:color="auto"/>
            <w:bottom w:val="none" w:sz="0" w:space="0" w:color="auto"/>
            <w:right w:val="none" w:sz="0" w:space="0" w:color="auto"/>
          </w:divBdr>
        </w:div>
        <w:div w:id="1157453108">
          <w:marLeft w:val="0"/>
          <w:marRight w:val="0"/>
          <w:marTop w:val="0"/>
          <w:marBottom w:val="0"/>
          <w:divBdr>
            <w:top w:val="none" w:sz="0" w:space="0" w:color="auto"/>
            <w:left w:val="none" w:sz="0" w:space="0" w:color="auto"/>
            <w:bottom w:val="none" w:sz="0" w:space="0" w:color="auto"/>
            <w:right w:val="none" w:sz="0" w:space="0" w:color="auto"/>
          </w:divBdr>
        </w:div>
        <w:div w:id="1586914777">
          <w:marLeft w:val="0"/>
          <w:marRight w:val="0"/>
          <w:marTop w:val="0"/>
          <w:marBottom w:val="0"/>
          <w:divBdr>
            <w:top w:val="none" w:sz="0" w:space="0" w:color="auto"/>
            <w:left w:val="none" w:sz="0" w:space="0" w:color="auto"/>
            <w:bottom w:val="none" w:sz="0" w:space="0" w:color="auto"/>
            <w:right w:val="none" w:sz="0" w:space="0" w:color="auto"/>
          </w:divBdr>
        </w:div>
        <w:div w:id="1604612523">
          <w:marLeft w:val="0"/>
          <w:marRight w:val="0"/>
          <w:marTop w:val="0"/>
          <w:marBottom w:val="0"/>
          <w:divBdr>
            <w:top w:val="none" w:sz="0" w:space="0" w:color="auto"/>
            <w:left w:val="none" w:sz="0" w:space="0" w:color="auto"/>
            <w:bottom w:val="none" w:sz="0" w:space="0" w:color="auto"/>
            <w:right w:val="none" w:sz="0" w:space="0" w:color="auto"/>
          </w:divBdr>
        </w:div>
        <w:div w:id="1723287117">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69021709">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3" ma:contentTypeDescription="Create a new document." ma:contentTypeScope="" ma:versionID="362c4cbec342ebe9ed4aa4eb2b95e267">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b977e93953bc1eac0f125ced8ecd7cc1"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documentManagement>
</p:properties>
</file>

<file path=customXml/itemProps1.xml><?xml version="1.0" encoding="utf-8"?>
<ds:datastoreItem xmlns:ds="http://schemas.openxmlformats.org/officeDocument/2006/customXml" ds:itemID="{934E2DD0-8861-478F-A91C-85ADAB02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3212</ap:Words>
  <ap:Characters>18310</ap:Characters>
  <ap:Application>Microsoft Office Word</ap:Application>
  <ap:DocSecurity>0</ap:DocSecurity>
  <ap:Lines>152</ap:Lines>
  <ap:Paragraphs>42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21480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2025-04-25T12:11:59Z</dcterms:created>
  <dcterms:modified xsi:type="dcterms:W3CDTF">2025-04-25T12:11:59Z</dcterms:modified>
</cp:coreProperties>
</file>