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2705" w:rsidR="00A76F4A" w:rsidP="00C65FE1" w:rsidRDefault="00A76F4A" w14:paraId="1038F1A9" w14:textId="77777777">
      <w:pPr>
        <w:spacing w:after="0" w:line="240" w:lineRule="auto"/>
        <w:ind w:right="-90"/>
        <w:jc w:val="center"/>
        <w:rPr>
          <w:rFonts w:ascii="Helvetica" w:hAnsi="Helvetica" w:eastAsia="Times New Roman" w:cs="Times New Roman"/>
          <w:b/>
          <w:bCs/>
          <w:spacing w:val="20"/>
          <w:kern w:val="0"/>
          <w:sz w:val="26"/>
          <w:szCs w:val="20"/>
          <w14:ligatures w14:val="none"/>
        </w:rPr>
      </w:pPr>
      <w:r w:rsidRPr="00802705">
        <w:rPr>
          <w:rFonts w:ascii="Helvetica" w:hAnsi="Helvetica" w:eastAsia="Times New Roman" w:cs="Times New Roman"/>
          <w:b/>
          <w:bCs/>
          <w:spacing w:val="20"/>
          <w:kern w:val="0"/>
          <w:sz w:val="26"/>
          <w:szCs w:val="20"/>
          <w14:ligatures w14:val="none"/>
        </w:rPr>
        <w:t>PUBLIC UTILITIES COMMISSION OF THE STATE OF CALIFORNIA</w:t>
      </w:r>
    </w:p>
    <w:p w:rsidRPr="001942D0" w:rsidR="00A76F4A" w:rsidP="00A76F4A" w:rsidRDefault="00A76F4A" w14:paraId="3530C4E8" w14:textId="77777777">
      <w:pPr>
        <w:suppressAutoHyphens/>
        <w:spacing w:after="0" w:line="240" w:lineRule="auto"/>
        <w:rPr>
          <w:rFonts w:ascii="Palatino" w:hAnsi="Palatino" w:eastAsia="Times New Roman" w:cs="Times New Roman"/>
          <w:kern w:val="0"/>
          <w:sz w:val="26"/>
          <w:szCs w:val="20"/>
          <w14:ligatures w14:val="none"/>
        </w:rPr>
      </w:pPr>
    </w:p>
    <w:p w:rsidR="008C75C8" w:rsidP="00A76F4A" w:rsidRDefault="00A76F4A" w14:paraId="063CE6CB" w14:textId="435AFB68">
      <w:pPr>
        <w:tabs>
          <w:tab w:val="right" w:pos="8820"/>
        </w:tabs>
        <w:spacing w:after="0" w:line="240" w:lineRule="auto"/>
        <w:rPr>
          <w:rFonts w:ascii="Palatino Linotype" w:hAnsi="Palatino Linotype" w:eastAsia="Times New Roman" w:cs="Times New Roman"/>
          <w:b/>
          <w:kern w:val="0"/>
          <w14:ligatures w14:val="none"/>
        </w:rPr>
      </w:pPr>
      <w:r w:rsidRPr="001942D0">
        <w:rPr>
          <w:rFonts w:ascii="Palatino Linotype" w:hAnsi="Palatino Linotype" w:eastAsia="Times New Roman" w:cs="Times New Roman"/>
          <w:b/>
          <w:kern w:val="0"/>
          <w14:ligatures w14:val="none"/>
        </w:rPr>
        <w:tab/>
      </w:r>
      <w:r w:rsidRPr="00F81A81">
        <w:rPr>
          <w:rFonts w:ascii="Palatino Linotype" w:hAnsi="Palatino Linotype" w:eastAsia="Times New Roman" w:cs="Times New Roman"/>
          <w:b/>
          <w:kern w:val="0"/>
          <w14:ligatures w14:val="none"/>
        </w:rPr>
        <w:t>Agenda ID #</w:t>
      </w:r>
      <w:r w:rsidRPr="00360B1C" w:rsidR="00360B1C">
        <w:rPr>
          <w:rFonts w:ascii="Palatino Linotype" w:hAnsi="Palatino Linotype" w:eastAsia="Times New Roman" w:cs="Times New Roman"/>
          <w:b/>
          <w:bCs/>
          <w:kern w:val="0"/>
          <w14:ligatures w14:val="none"/>
        </w:rPr>
        <w:t>23479</w:t>
      </w:r>
      <w:r w:rsidRPr="00F81A81">
        <w:rPr>
          <w:rFonts w:ascii="Palatino Linotype" w:hAnsi="Palatino Linotype" w:eastAsia="Times New Roman" w:cs="Times New Roman"/>
          <w:b/>
          <w:kern w:val="0"/>
          <w14:ligatures w14:val="none"/>
        </w:rPr>
        <w:t xml:space="preserve"> </w:t>
      </w:r>
    </w:p>
    <w:p w:rsidRPr="0051493D" w:rsidR="00A76F4A" w:rsidP="00A76F4A" w:rsidRDefault="007601C4" w14:paraId="097CE738" w14:textId="0EFC75B9">
      <w:pPr>
        <w:tabs>
          <w:tab w:val="right" w:pos="8820"/>
        </w:tabs>
        <w:spacing w:after="0" w:line="240" w:lineRule="auto"/>
        <w:rPr>
          <w:rFonts w:ascii="Palatino Linotype" w:hAnsi="Palatino Linotype" w:eastAsia="Palatino Linotype" w:cs="Times New Roman"/>
          <w:b/>
          <w:kern w:val="0"/>
          <w:highlight w:val="yellow"/>
          <w14:ligatures w14:val="none"/>
        </w:rPr>
      </w:pPr>
      <w:r w:rsidRPr="003E7DF6">
        <w:rPr>
          <w:rFonts w:ascii="Palatino Linotype" w:hAnsi="Palatino Linotype" w:eastAsia="Palatino Linotype" w:cs="Times New Roman"/>
          <w:b/>
          <w:kern w:val="0"/>
          <w14:ligatures w14:val="none"/>
        </w:rPr>
        <w:t xml:space="preserve">ENERGY </w:t>
      </w:r>
      <w:r w:rsidRPr="003E7DF6" w:rsidR="00A76F4A">
        <w:rPr>
          <w:rFonts w:ascii="Palatino Linotype" w:hAnsi="Palatino Linotype" w:eastAsia="Palatino Linotype" w:cs="Times New Roman"/>
          <w:b/>
          <w:kern w:val="0"/>
          <w14:ligatures w14:val="none"/>
        </w:rPr>
        <w:t>DIVISION</w:t>
      </w:r>
      <w:r w:rsidRPr="003E7DF6" w:rsidR="00A76F4A">
        <w:rPr>
          <w:rFonts w:ascii="Palatino Linotype" w:hAnsi="Palatino Linotype" w:eastAsia="Times New Roman" w:cs="Times New Roman"/>
          <w:b/>
          <w:kern w:val="0"/>
          <w14:ligatures w14:val="none"/>
        </w:rPr>
        <w:tab/>
      </w:r>
      <w:r w:rsidRPr="003E7DF6" w:rsidR="00A76F4A">
        <w:rPr>
          <w:rFonts w:ascii="Palatino Linotype" w:hAnsi="Palatino Linotype" w:eastAsia="Palatino Linotype" w:cs="Times New Roman"/>
          <w:b/>
          <w:kern w:val="0"/>
          <w14:ligatures w14:val="none"/>
        </w:rPr>
        <w:t xml:space="preserve">       </w:t>
      </w:r>
      <w:r w:rsidRPr="003E7DF6" w:rsidR="00A76F4A">
        <w:rPr>
          <w:rFonts w:ascii="Palatino Linotype" w:hAnsi="Palatino Linotype" w:eastAsia="Palatino Linotype" w:cs="Times New Roman"/>
          <w:b/>
        </w:rPr>
        <w:t>RESOLUTION E</w:t>
      </w:r>
      <w:r w:rsidRPr="003E7DF6">
        <w:rPr>
          <w:rFonts w:ascii="Palatino Linotype" w:hAnsi="Palatino Linotype" w:eastAsia="Palatino Linotype" w:cs="Times New Roman"/>
          <w:b/>
        </w:rPr>
        <w:t>-</w:t>
      </w:r>
      <w:r w:rsidRPr="007601C4">
        <w:rPr>
          <w:rFonts w:ascii="Palatino Linotype" w:hAnsi="Palatino Linotype" w:eastAsia="Palatino Linotype" w:cs="Times New Roman"/>
          <w:b/>
        </w:rPr>
        <w:t>5394</w:t>
      </w:r>
    </w:p>
    <w:p w:rsidRPr="001942D0" w:rsidR="00A76F4A" w:rsidP="00A76F4A" w:rsidRDefault="003E7DF6" w14:paraId="17BEFA95" w14:textId="0CA98464">
      <w:pPr>
        <w:tabs>
          <w:tab w:val="right" w:pos="8820"/>
        </w:tabs>
        <w:spacing w:after="0" w:line="240" w:lineRule="auto"/>
        <w:ind w:left="5040"/>
        <w:rPr>
          <w:rFonts w:ascii="Palatino Linotype" w:hAnsi="Palatino Linotype" w:eastAsia="Times New Roman" w:cs="Times New Roman"/>
          <w:b/>
          <w:kern w:val="0"/>
          <w14:ligatures w14:val="none"/>
        </w:rPr>
      </w:pPr>
      <w:r>
        <w:rPr>
          <w:rFonts w:ascii="Palatino Linotype" w:hAnsi="Palatino Linotype" w:eastAsia="Times New Roman" w:cs="Times New Roman"/>
          <w:b/>
          <w:kern w:val="0"/>
          <w14:ligatures w14:val="none"/>
        </w:rPr>
        <w:tab/>
      </w:r>
      <w:r w:rsidR="00C029B1">
        <w:rPr>
          <w:rFonts w:ascii="Palatino Linotype" w:hAnsi="Palatino Linotype" w:eastAsia="Times New Roman" w:cs="Times New Roman"/>
          <w:b/>
          <w:kern w:val="0"/>
          <w14:ligatures w14:val="none"/>
        </w:rPr>
        <w:t>June 12, 2025</w:t>
      </w:r>
    </w:p>
    <w:p w:rsidRPr="001942D0" w:rsidR="00A76F4A" w:rsidP="00A76F4A" w:rsidRDefault="00A76F4A" w14:paraId="149FD231"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r w:rsidRPr="001942D0">
        <w:rPr>
          <w:rFonts w:ascii="Palatino Linotype" w:hAnsi="Palatino Linotype" w:eastAsia="Times New Roman" w:cs="Times New Roman"/>
          <w:b/>
          <w:kern w:val="0"/>
          <w14:ligatures w14:val="none"/>
        </w:rPr>
        <w:tab/>
      </w:r>
    </w:p>
    <w:p w:rsidRPr="001942D0" w:rsidR="00A76F4A" w:rsidP="00A76F4A" w:rsidRDefault="00A76F4A" w14:paraId="4767E366" w14:textId="77777777">
      <w:pPr>
        <w:keepNext/>
        <w:spacing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Pr="001942D0" w:rsidR="00A76F4A" w:rsidP="00A76F4A" w:rsidRDefault="00A76F4A" w14:paraId="778B8F8D" w14:textId="77777777">
      <w:pPr>
        <w:spacing w:after="0" w:line="240" w:lineRule="auto"/>
        <w:rPr>
          <w:rFonts w:ascii="Palatino" w:hAnsi="Palatino" w:eastAsia="Palatino Linotype" w:cs="Times New Roman"/>
          <w:kern w:val="0"/>
          <w:sz w:val="26"/>
          <w:szCs w:val="20"/>
          <w14:ligatures w14:val="none"/>
        </w:rPr>
      </w:pPr>
    </w:p>
    <w:p w:rsidRPr="001942D0" w:rsidR="00A76F4A" w:rsidP="00A76F4A" w:rsidRDefault="00A76F4A" w14:paraId="400F09B6" w14:textId="5D4BE9CB">
      <w:pPr>
        <w:spacing w:after="0" w:line="240" w:lineRule="auto"/>
        <w:ind w:left="720" w:right="720"/>
        <w:rPr>
          <w:rFonts w:ascii="Palatino Linotype" w:hAnsi="Palatino Linotype" w:eastAsia="Times New Roman" w:cs="Times New Roman"/>
          <w:kern w:val="0"/>
          <w14:ligatures w14:val="none"/>
        </w:rPr>
      </w:pPr>
      <w:r w:rsidRPr="001942D0">
        <w:rPr>
          <w:rFonts w:ascii="Palatino Linotype" w:hAnsi="Palatino Linotype" w:eastAsia="Times New Roman" w:cs="Times New Roman"/>
          <w:kern w:val="0"/>
          <w14:ligatures w14:val="none"/>
        </w:rPr>
        <w:t xml:space="preserve">Resolution </w:t>
      </w:r>
      <w:r w:rsidRPr="00294834">
        <w:rPr>
          <w:rFonts w:ascii="Palatino Linotype" w:hAnsi="Palatino Linotype" w:eastAsia="Times New Roman" w:cs="Times New Roman"/>
          <w:kern w:val="0"/>
          <w14:ligatures w14:val="none"/>
        </w:rPr>
        <w:t>E</w:t>
      </w:r>
      <w:r w:rsidRPr="00294834" w:rsidR="00294834">
        <w:rPr>
          <w:rFonts w:ascii="Palatino Linotype" w:hAnsi="Palatino Linotype" w:eastAsia="Times New Roman" w:cs="Times New Roman"/>
          <w:kern w:val="0"/>
          <w14:ligatures w14:val="none"/>
        </w:rPr>
        <w:t>-5394</w:t>
      </w:r>
      <w:r w:rsidR="00294834">
        <w:rPr>
          <w:rFonts w:ascii="Palatino Linotype" w:hAnsi="Palatino Linotype" w:eastAsia="Times New Roman" w:cs="Times New Roman"/>
          <w:kern w:val="0"/>
          <w14:ligatures w14:val="none"/>
        </w:rPr>
        <w:t>.</w:t>
      </w:r>
      <w:r>
        <w:rPr>
          <w:rFonts w:ascii="Palatino Linotype" w:hAnsi="Palatino Linotype" w:eastAsia="Times New Roman" w:cs="Times New Roman"/>
          <w:kern w:val="0"/>
          <w14:ligatures w14:val="none"/>
        </w:rPr>
        <w:t xml:space="preserve"> </w:t>
      </w:r>
      <w:r w:rsidRPr="00D75889" w:rsidR="009134BD">
        <w:rPr>
          <w:rFonts w:ascii="Palatino Linotype" w:hAnsi="Palatino Linotype" w:eastAsia="Times New Roman" w:cs="Times New Roman"/>
          <w:kern w:val="0"/>
          <w14:ligatures w14:val="none"/>
        </w:rPr>
        <w:t>Pacific Gas and Electric, Southern California Edison, Southern California Gas, and San Diego Gas &amp; Electric</w:t>
      </w:r>
      <w:r w:rsidRPr="00702DDB" w:rsidR="009134BD">
        <w:rPr>
          <w:rFonts w:ascii="Palatino Linotype" w:hAnsi="Palatino Linotype" w:eastAsia="Times New Roman" w:cs="Times New Roman"/>
          <w:kern w:val="0"/>
          <w14:ligatures w14:val="none"/>
        </w:rPr>
        <w:t xml:space="preserve"> </w:t>
      </w:r>
      <w:r w:rsidRPr="00702DDB" w:rsidR="00702DDB">
        <w:rPr>
          <w:rFonts w:ascii="Palatino Linotype" w:hAnsi="Palatino Linotype" w:eastAsia="Times New Roman" w:cs="Times New Roman"/>
          <w:kern w:val="0"/>
          <w14:ligatures w14:val="none"/>
        </w:rPr>
        <w:t>Concurrent Application System Phase I Development Contract</w:t>
      </w:r>
      <w:r w:rsidR="003852AB">
        <w:rPr>
          <w:rFonts w:ascii="Palatino Linotype" w:hAnsi="Palatino Linotype" w:eastAsia="Times New Roman" w:cs="Times New Roman"/>
          <w:kern w:val="0"/>
          <w14:ligatures w14:val="none"/>
        </w:rPr>
        <w:t xml:space="preserve"> </w:t>
      </w:r>
      <w:r w:rsidRPr="00702DDB" w:rsidR="00702DDB">
        <w:rPr>
          <w:rFonts w:ascii="Palatino Linotype" w:hAnsi="Palatino Linotype" w:eastAsia="Times New Roman" w:cs="Times New Roman"/>
          <w:kern w:val="0"/>
          <w14:ligatures w14:val="none"/>
        </w:rPr>
        <w:t>for Income-Qualified Programs</w:t>
      </w:r>
    </w:p>
    <w:p w:rsidRPr="001942D0" w:rsidR="00A76F4A" w:rsidP="003D0C8E" w:rsidRDefault="00A76F4A" w14:paraId="0054523B" w14:textId="77777777">
      <w:pPr>
        <w:spacing w:after="0" w:line="240" w:lineRule="auto"/>
        <w:ind w:right="720"/>
        <w:rPr>
          <w:rFonts w:ascii="Palatino Linotype" w:hAnsi="Palatino Linotype" w:eastAsia="Palatino Linotype" w:cs="Times New Roman"/>
          <w:kern w:val="0"/>
          <w14:ligatures w14:val="none"/>
        </w:rPr>
      </w:pPr>
    </w:p>
    <w:p w:rsidRPr="001942D0" w:rsidR="00A76F4A" w:rsidP="00A76F4A" w:rsidRDefault="00A76F4A" w14:paraId="3DE3512A"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PROPOSED OUTCOME: </w:t>
      </w:r>
    </w:p>
    <w:p w:rsidRPr="001757DF" w:rsidR="00BA789D" w:rsidP="00BA789D" w:rsidRDefault="00BA789D" w14:paraId="3AA9D017" w14:textId="77777777">
      <w:pPr>
        <w:pStyle w:val="Res-Caption"/>
        <w:numPr>
          <w:ilvl w:val="0"/>
          <w:numId w:val="4"/>
        </w:numPr>
        <w:rPr>
          <w:rFonts w:ascii="Palatino Linotype" w:hAnsi="Palatino Linotype"/>
          <w:sz w:val="24"/>
          <w:szCs w:val="24"/>
        </w:rPr>
      </w:pPr>
      <w:r>
        <w:rPr>
          <w:rFonts w:ascii="Palatino Linotype" w:hAnsi="Palatino Linotype"/>
          <w:sz w:val="24"/>
          <w:szCs w:val="24"/>
        </w:rPr>
        <w:t xml:space="preserve">Approves </w:t>
      </w:r>
      <w:r w:rsidRPr="004D5974">
        <w:rPr>
          <w:rFonts w:ascii="Palatino Linotype" w:hAnsi="Palatino Linotype"/>
          <w:sz w:val="24"/>
          <w:szCs w:val="24"/>
        </w:rPr>
        <w:t>the</w:t>
      </w:r>
      <w:r>
        <w:rPr>
          <w:rFonts w:ascii="Palatino Linotype" w:hAnsi="Palatino Linotype"/>
          <w:sz w:val="24"/>
          <w:szCs w:val="24"/>
        </w:rPr>
        <w:t xml:space="preserve"> joint request of </w:t>
      </w:r>
      <w:r w:rsidRPr="004D5974">
        <w:rPr>
          <w:rFonts w:ascii="Palatino Linotype" w:hAnsi="Palatino Linotype"/>
          <w:sz w:val="24"/>
          <w:szCs w:val="24"/>
        </w:rPr>
        <w:t>Pacific Gas and Electric Company (PG&amp;E), Southern California Edison Company (SCE), Southern California Gas Company (SoCalGas), and San Diego Gas &amp; Electric Company (SDG&amp;E)</w:t>
      </w:r>
      <w:r>
        <w:rPr>
          <w:rFonts w:ascii="Palatino Linotype" w:hAnsi="Palatino Linotype"/>
          <w:sz w:val="24"/>
          <w:szCs w:val="24"/>
        </w:rPr>
        <w:t xml:space="preserve"> for the </w:t>
      </w:r>
      <w:r w:rsidRPr="001757DF">
        <w:rPr>
          <w:rFonts w:ascii="Palatino Linotype" w:hAnsi="Palatino Linotype"/>
          <w:sz w:val="24"/>
          <w:szCs w:val="24"/>
        </w:rPr>
        <w:t>bid selection and executed contract for the Phase I development of a Concurrent Application System (CAS) for income-qualified electric or gas utility customer assistance programs</w:t>
      </w:r>
      <w:r>
        <w:rPr>
          <w:rFonts w:ascii="Palatino Linotype" w:hAnsi="Palatino Linotype"/>
          <w:sz w:val="24"/>
          <w:szCs w:val="24"/>
        </w:rPr>
        <w:t>.</w:t>
      </w:r>
    </w:p>
    <w:p w:rsidR="00BA789D" w:rsidP="00BA789D" w:rsidRDefault="00BA789D" w14:paraId="1FA0CDBC" w14:textId="6521F83C">
      <w:pPr>
        <w:pStyle w:val="Res-Caption"/>
        <w:numPr>
          <w:ilvl w:val="0"/>
          <w:numId w:val="4"/>
        </w:numPr>
        <w:rPr>
          <w:rFonts w:ascii="Palatino Linotype" w:hAnsi="Palatino Linotype"/>
          <w:sz w:val="24"/>
          <w:szCs w:val="24"/>
        </w:rPr>
      </w:pPr>
      <w:r>
        <w:rPr>
          <w:rFonts w:ascii="Palatino Linotype" w:hAnsi="Palatino Linotype"/>
          <w:sz w:val="24"/>
          <w:szCs w:val="24"/>
        </w:rPr>
        <w:t xml:space="preserve">Approves </w:t>
      </w:r>
      <w:r w:rsidRPr="004D5974">
        <w:rPr>
          <w:rFonts w:ascii="Palatino Linotype" w:hAnsi="Palatino Linotype"/>
          <w:sz w:val="24"/>
          <w:szCs w:val="24"/>
        </w:rPr>
        <w:t xml:space="preserve">the </w:t>
      </w:r>
      <w:r>
        <w:rPr>
          <w:rFonts w:ascii="Palatino Linotype" w:hAnsi="Palatino Linotype"/>
          <w:sz w:val="24"/>
          <w:szCs w:val="24"/>
        </w:rPr>
        <w:t xml:space="preserve">joint request of </w:t>
      </w:r>
      <w:r w:rsidRPr="004D5974">
        <w:rPr>
          <w:rFonts w:ascii="Palatino Linotype" w:hAnsi="Palatino Linotype"/>
          <w:sz w:val="24"/>
          <w:szCs w:val="24"/>
        </w:rPr>
        <w:t>PG&amp;E, SCE, SoCalGas, and SDG&amp;E</w:t>
      </w:r>
      <w:r>
        <w:rPr>
          <w:rFonts w:ascii="Palatino Linotype" w:hAnsi="Palatino Linotype"/>
          <w:sz w:val="24"/>
          <w:szCs w:val="24"/>
        </w:rPr>
        <w:t xml:space="preserve"> for the </w:t>
      </w:r>
      <w:r w:rsidRPr="004D5974">
        <w:rPr>
          <w:rFonts w:ascii="Palatino Linotype" w:hAnsi="Palatino Linotype"/>
          <w:sz w:val="24"/>
          <w:szCs w:val="24"/>
        </w:rPr>
        <w:t>budget for CAS Phase</w:t>
      </w:r>
      <w:r>
        <w:rPr>
          <w:rFonts w:ascii="Palatino Linotype" w:hAnsi="Palatino Linotype"/>
          <w:sz w:val="24"/>
          <w:szCs w:val="24"/>
        </w:rPr>
        <w:t xml:space="preserve"> </w:t>
      </w:r>
      <w:r w:rsidRPr="004D5974">
        <w:rPr>
          <w:rFonts w:ascii="Palatino Linotype" w:hAnsi="Palatino Linotype"/>
          <w:sz w:val="24"/>
          <w:szCs w:val="24"/>
        </w:rPr>
        <w:t xml:space="preserve">I </w:t>
      </w:r>
      <w:r w:rsidR="00D35DEE">
        <w:rPr>
          <w:rFonts w:ascii="Palatino Linotype" w:hAnsi="Palatino Linotype"/>
          <w:sz w:val="24"/>
          <w:szCs w:val="24"/>
        </w:rPr>
        <w:t>contract</w:t>
      </w:r>
      <w:r w:rsidRPr="004D5974">
        <w:rPr>
          <w:rFonts w:ascii="Palatino Linotype" w:hAnsi="Palatino Linotype"/>
          <w:sz w:val="24"/>
          <w:szCs w:val="24"/>
        </w:rPr>
        <w:t xml:space="preserve"> costs</w:t>
      </w:r>
      <w:r>
        <w:rPr>
          <w:rFonts w:ascii="Palatino Linotype" w:hAnsi="Palatino Linotype"/>
          <w:sz w:val="24"/>
          <w:szCs w:val="24"/>
        </w:rPr>
        <w:t>.</w:t>
      </w:r>
    </w:p>
    <w:p w:rsidRPr="00566325" w:rsidR="006C35EF" w:rsidP="006C35EF" w:rsidRDefault="006C35EF" w14:paraId="5B47829D" w14:textId="693471CB">
      <w:pPr>
        <w:pStyle w:val="Res-Caption"/>
        <w:numPr>
          <w:ilvl w:val="0"/>
          <w:numId w:val="4"/>
        </w:numPr>
        <w:rPr>
          <w:rFonts w:ascii="Palatino Linotype" w:hAnsi="Palatino Linotype"/>
          <w:sz w:val="24"/>
          <w:szCs w:val="24"/>
        </w:rPr>
      </w:pPr>
      <w:r w:rsidRPr="6819A9BC">
        <w:rPr>
          <w:rFonts w:ascii="Palatino Linotype" w:hAnsi="Palatino Linotype"/>
          <w:sz w:val="24"/>
          <w:szCs w:val="24"/>
        </w:rPr>
        <w:t>Approves</w:t>
      </w:r>
      <w:r w:rsidRPr="6819A9BC" w:rsidR="00BA789D">
        <w:rPr>
          <w:rFonts w:ascii="Palatino Linotype" w:hAnsi="Palatino Linotype"/>
          <w:sz w:val="24"/>
          <w:szCs w:val="24"/>
        </w:rPr>
        <w:t xml:space="preserve"> the individual requests of PG&amp;E, SCE, and SDG&amp;E for the budget for CAS Phase I administrative costs related to development and implementation</w:t>
      </w:r>
      <w:r w:rsidRPr="6819A9BC" w:rsidR="00E11B3A">
        <w:rPr>
          <w:rFonts w:ascii="Palatino Linotype" w:hAnsi="Palatino Linotype"/>
          <w:sz w:val="24"/>
          <w:szCs w:val="24"/>
        </w:rPr>
        <w:t xml:space="preserve"> </w:t>
      </w:r>
      <w:r w:rsidRPr="6819A9BC" w:rsidR="17954261">
        <w:rPr>
          <w:rFonts w:ascii="Palatino Linotype" w:hAnsi="Palatino Linotype"/>
          <w:sz w:val="24"/>
          <w:szCs w:val="24"/>
        </w:rPr>
        <w:t xml:space="preserve">through </w:t>
      </w:r>
      <w:r w:rsidRPr="6819A9BC" w:rsidR="00E11B3A">
        <w:rPr>
          <w:rFonts w:ascii="Palatino Linotype" w:hAnsi="Palatino Linotype"/>
          <w:sz w:val="24"/>
          <w:szCs w:val="24"/>
        </w:rPr>
        <w:t>the three-year contract</w:t>
      </w:r>
      <w:r w:rsidRPr="6819A9BC" w:rsidR="00BA789D">
        <w:rPr>
          <w:rFonts w:ascii="Palatino Linotype" w:hAnsi="Palatino Linotype"/>
          <w:sz w:val="24"/>
          <w:szCs w:val="24"/>
        </w:rPr>
        <w:t>.</w:t>
      </w:r>
    </w:p>
    <w:p w:rsidRPr="00566325" w:rsidR="006C35EF" w:rsidP="006C35EF" w:rsidRDefault="006C35EF" w14:paraId="572D1EE9" w14:textId="2017B82D">
      <w:pPr>
        <w:pStyle w:val="Res-Caption"/>
        <w:numPr>
          <w:ilvl w:val="0"/>
          <w:numId w:val="4"/>
        </w:numPr>
        <w:rPr>
          <w:rFonts w:ascii="Palatino Linotype" w:hAnsi="Palatino Linotype"/>
          <w:sz w:val="24"/>
          <w:szCs w:val="24"/>
        </w:rPr>
      </w:pPr>
      <w:r w:rsidRPr="6819A9BC">
        <w:rPr>
          <w:rFonts w:ascii="Palatino Linotype" w:hAnsi="Palatino Linotype"/>
          <w:sz w:val="24"/>
          <w:szCs w:val="24"/>
        </w:rPr>
        <w:t xml:space="preserve">Modifies the individual request of SoCalGas </w:t>
      </w:r>
      <w:r w:rsidRPr="6819A9BC" w:rsidR="79612D04">
        <w:rPr>
          <w:rFonts w:ascii="Palatino Linotype" w:hAnsi="Palatino Linotype"/>
          <w:sz w:val="24"/>
          <w:szCs w:val="24"/>
        </w:rPr>
        <w:t>and approves a</w:t>
      </w:r>
      <w:r w:rsidRPr="6819A9BC">
        <w:rPr>
          <w:rFonts w:ascii="Palatino Linotype" w:hAnsi="Palatino Linotype"/>
          <w:sz w:val="24"/>
          <w:szCs w:val="24"/>
        </w:rPr>
        <w:t xml:space="preserve"> </w:t>
      </w:r>
      <w:r w:rsidRPr="6819A9BC" w:rsidR="2D51D980">
        <w:rPr>
          <w:rFonts w:ascii="Palatino Linotype" w:hAnsi="Palatino Linotype"/>
          <w:sz w:val="24"/>
          <w:szCs w:val="24"/>
        </w:rPr>
        <w:t>modified</w:t>
      </w:r>
      <w:r w:rsidRPr="6819A9BC">
        <w:rPr>
          <w:rFonts w:ascii="Palatino Linotype" w:hAnsi="Palatino Linotype"/>
          <w:sz w:val="24"/>
          <w:szCs w:val="24"/>
        </w:rPr>
        <w:t xml:space="preserve"> budget for CAS Phase I administrative costs related to development and implementation</w:t>
      </w:r>
      <w:r w:rsidRPr="6819A9BC" w:rsidR="00874C40">
        <w:rPr>
          <w:rFonts w:ascii="Palatino Linotype" w:hAnsi="Palatino Linotype"/>
          <w:sz w:val="24"/>
          <w:szCs w:val="24"/>
        </w:rPr>
        <w:t xml:space="preserve"> </w:t>
      </w:r>
      <w:r w:rsidRPr="6819A9BC" w:rsidR="3042D864">
        <w:rPr>
          <w:rFonts w:ascii="Palatino Linotype" w:hAnsi="Palatino Linotype"/>
          <w:sz w:val="24"/>
          <w:szCs w:val="24"/>
        </w:rPr>
        <w:t xml:space="preserve">through </w:t>
      </w:r>
      <w:r w:rsidRPr="6819A9BC" w:rsidR="00874C40">
        <w:rPr>
          <w:rFonts w:ascii="Palatino Linotype" w:hAnsi="Palatino Linotype"/>
          <w:sz w:val="24"/>
          <w:szCs w:val="24"/>
        </w:rPr>
        <w:t>the three-year contract</w:t>
      </w:r>
      <w:r w:rsidRPr="6819A9BC">
        <w:rPr>
          <w:rFonts w:ascii="Palatino Linotype" w:hAnsi="Palatino Linotype"/>
          <w:sz w:val="24"/>
          <w:szCs w:val="24"/>
        </w:rPr>
        <w:t>.</w:t>
      </w:r>
    </w:p>
    <w:p w:rsidRPr="00566325" w:rsidR="00874C40" w:rsidP="006C35EF" w:rsidRDefault="00874C40" w14:paraId="69B612A4" w14:textId="1E0FDD98">
      <w:pPr>
        <w:pStyle w:val="Res-Caption"/>
        <w:numPr>
          <w:ilvl w:val="0"/>
          <w:numId w:val="4"/>
        </w:numPr>
        <w:rPr>
          <w:rFonts w:ascii="Palatino Linotype" w:hAnsi="Palatino Linotype"/>
          <w:sz w:val="24"/>
          <w:szCs w:val="24"/>
        </w:rPr>
      </w:pPr>
      <w:r>
        <w:rPr>
          <w:rFonts w:ascii="Palatino Linotype" w:hAnsi="Palatino Linotype"/>
          <w:sz w:val="24"/>
          <w:szCs w:val="24"/>
        </w:rPr>
        <w:t>Denies the individual request</w:t>
      </w:r>
      <w:r w:rsidR="00B5362C">
        <w:rPr>
          <w:rFonts w:ascii="Palatino Linotype" w:hAnsi="Palatino Linotype"/>
          <w:sz w:val="24"/>
          <w:szCs w:val="24"/>
        </w:rPr>
        <w:t xml:space="preserve"> of </w:t>
      </w:r>
      <w:r w:rsidRPr="004D5974" w:rsidR="00B5362C">
        <w:rPr>
          <w:rFonts w:ascii="Palatino Linotype" w:hAnsi="Palatino Linotype"/>
          <w:sz w:val="24"/>
          <w:szCs w:val="24"/>
        </w:rPr>
        <w:t>PG&amp;E, SCE, SoCalGas, and SDG&amp;E</w:t>
      </w:r>
      <w:r w:rsidR="00B5362C">
        <w:rPr>
          <w:rFonts w:ascii="Palatino Linotype" w:hAnsi="Palatino Linotype"/>
          <w:sz w:val="24"/>
          <w:szCs w:val="24"/>
        </w:rPr>
        <w:t xml:space="preserve"> for </w:t>
      </w:r>
      <w:r w:rsidRPr="00566325" w:rsidR="00B5362C">
        <w:rPr>
          <w:rFonts w:ascii="Palatino Linotype" w:hAnsi="Palatino Linotype"/>
          <w:sz w:val="24"/>
          <w:szCs w:val="24"/>
        </w:rPr>
        <w:t>administrative costs related to development and implementation</w:t>
      </w:r>
      <w:r w:rsidR="00EB64BB">
        <w:rPr>
          <w:rFonts w:ascii="Palatino Linotype" w:hAnsi="Palatino Linotype"/>
          <w:sz w:val="24"/>
          <w:szCs w:val="24"/>
        </w:rPr>
        <w:t xml:space="preserve"> after the </w:t>
      </w:r>
      <w:r w:rsidR="00D92306">
        <w:rPr>
          <w:rFonts w:ascii="Palatino Linotype" w:hAnsi="Palatino Linotype"/>
          <w:sz w:val="24"/>
          <w:szCs w:val="24"/>
        </w:rPr>
        <w:t>three-year contract</w:t>
      </w:r>
      <w:r w:rsidR="00461C14">
        <w:rPr>
          <w:rFonts w:ascii="Palatino Linotype" w:hAnsi="Palatino Linotype"/>
          <w:sz w:val="24"/>
          <w:szCs w:val="24"/>
        </w:rPr>
        <w:t xml:space="preserve"> term</w:t>
      </w:r>
      <w:r w:rsidR="00D92306">
        <w:rPr>
          <w:rFonts w:ascii="Palatino Linotype" w:hAnsi="Palatino Linotype"/>
          <w:sz w:val="24"/>
          <w:szCs w:val="24"/>
        </w:rPr>
        <w:t>.</w:t>
      </w:r>
    </w:p>
    <w:p w:rsidRPr="001942D0" w:rsidR="006C35EF" w:rsidP="00A76F4A" w:rsidRDefault="006C35EF" w14:paraId="26A9B262" w14:textId="77777777">
      <w:pPr>
        <w:spacing w:after="0" w:line="240" w:lineRule="auto"/>
        <w:rPr>
          <w:rFonts w:ascii="Palatino" w:hAnsi="Palatino" w:eastAsia="Palatino Linotype" w:cs="Times New Roman"/>
          <w:kern w:val="0"/>
          <w:sz w:val="26"/>
          <w:szCs w:val="20"/>
          <w14:ligatures w14:val="none"/>
        </w:rPr>
      </w:pPr>
    </w:p>
    <w:p w:rsidRPr="001942D0" w:rsidR="00A76F4A" w:rsidP="00A76F4A" w:rsidRDefault="00A76F4A" w14:paraId="4FCDC265"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SAFETY CONSIDERATIONS:</w:t>
      </w:r>
    </w:p>
    <w:p w:rsidRPr="00E05EF2" w:rsidR="00A76F4A" w:rsidP="00A76F4A" w:rsidRDefault="00A76F4A" w14:paraId="23A78212" w14:textId="4701C03C">
      <w:pPr>
        <w:numPr>
          <w:ilvl w:val="0"/>
          <w:numId w:val="3"/>
        </w:numPr>
        <w:spacing w:after="0" w:line="240" w:lineRule="auto"/>
        <w:ind w:right="720"/>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There are no safety considerations associated with this resolution.</w:t>
      </w:r>
    </w:p>
    <w:p w:rsidR="00A76F4A" w:rsidP="00A76F4A" w:rsidRDefault="00A76F4A" w14:paraId="64A6B8D1" w14:textId="77777777">
      <w:pPr>
        <w:spacing w:after="0" w:line="240" w:lineRule="auto"/>
        <w:ind w:left="720" w:right="720"/>
        <w:rPr>
          <w:rFonts w:ascii="Palatino Linotype" w:hAnsi="Palatino Linotype" w:eastAsia="Palatino Linotype" w:cs="Times New Roman"/>
          <w:kern w:val="0"/>
          <w14:ligatures w14:val="none"/>
        </w:rPr>
      </w:pPr>
    </w:p>
    <w:p w:rsidRPr="001942D0" w:rsidR="00A76F4A" w:rsidP="00793383" w:rsidRDefault="00A76F4A" w14:paraId="6B0D0B8E" w14:textId="77777777">
      <w:pPr>
        <w:keepNext/>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lastRenderedPageBreak/>
        <w:t xml:space="preserve">ESTIMATED COST:  </w:t>
      </w:r>
    </w:p>
    <w:p w:rsidRPr="00EF21CD" w:rsidR="00FE6B6C" w:rsidP="00793383" w:rsidRDefault="00FE6B6C" w14:paraId="50EC576E" w14:textId="26B8B84D">
      <w:pPr>
        <w:pStyle w:val="Res-Caption"/>
        <w:keepNext/>
        <w:numPr>
          <w:ilvl w:val="0"/>
          <w:numId w:val="3"/>
        </w:numPr>
        <w:rPr>
          <w:rFonts w:ascii="Palatino Linotype" w:hAnsi="Palatino Linotype"/>
          <w:sz w:val="24"/>
          <w:szCs w:val="24"/>
        </w:rPr>
      </w:pPr>
      <w:r w:rsidRPr="00EF21CD">
        <w:rPr>
          <w:rFonts w:ascii="Palatino Linotype" w:hAnsi="Palatino Linotype"/>
          <w:sz w:val="24"/>
          <w:szCs w:val="24"/>
        </w:rPr>
        <w:t xml:space="preserve">Authorizes $4,051,000 in ratepayer costs </w:t>
      </w:r>
      <w:r>
        <w:rPr>
          <w:rFonts w:ascii="Palatino Linotype" w:hAnsi="Palatino Linotype"/>
          <w:sz w:val="24"/>
          <w:szCs w:val="24"/>
        </w:rPr>
        <w:t xml:space="preserve">shared between </w:t>
      </w:r>
      <w:r w:rsidRPr="004D5974">
        <w:rPr>
          <w:rFonts w:ascii="Palatino Linotype" w:hAnsi="Palatino Linotype"/>
          <w:sz w:val="24"/>
          <w:szCs w:val="24"/>
        </w:rPr>
        <w:t>PG&amp;E, SCE, SoCalGas, and SDG&amp;E</w:t>
      </w:r>
      <w:r>
        <w:rPr>
          <w:rFonts w:ascii="Palatino Linotype" w:hAnsi="Palatino Linotype"/>
          <w:sz w:val="24"/>
          <w:szCs w:val="24"/>
        </w:rPr>
        <w:t xml:space="preserve"> </w:t>
      </w:r>
      <w:r w:rsidR="00644603">
        <w:rPr>
          <w:rFonts w:ascii="Palatino Linotype" w:hAnsi="Palatino Linotype"/>
          <w:sz w:val="24"/>
          <w:szCs w:val="24"/>
        </w:rPr>
        <w:t>starting</w:t>
      </w:r>
      <w:r w:rsidRPr="00EF21CD">
        <w:rPr>
          <w:rFonts w:ascii="Palatino Linotype" w:hAnsi="Palatino Linotype"/>
          <w:sz w:val="24"/>
          <w:szCs w:val="24"/>
        </w:rPr>
        <w:t xml:space="preserve"> Program Year 2025 for</w:t>
      </w:r>
      <w:r>
        <w:rPr>
          <w:rFonts w:ascii="Palatino Linotype" w:hAnsi="Palatino Linotype"/>
          <w:sz w:val="24"/>
          <w:szCs w:val="24"/>
        </w:rPr>
        <w:t xml:space="preserve"> the</w:t>
      </w:r>
      <w:r w:rsidRPr="00EF21CD">
        <w:rPr>
          <w:rFonts w:ascii="Palatino Linotype" w:hAnsi="Palatino Linotype"/>
          <w:sz w:val="24"/>
          <w:szCs w:val="24"/>
        </w:rPr>
        <w:t xml:space="preserve"> </w:t>
      </w:r>
      <w:r w:rsidR="00644603">
        <w:rPr>
          <w:rFonts w:ascii="Palatino Linotype" w:hAnsi="Palatino Linotype"/>
          <w:sz w:val="24"/>
          <w:szCs w:val="24"/>
        </w:rPr>
        <w:t>three-year</w:t>
      </w:r>
      <w:r w:rsidRPr="00EF21CD" w:rsidR="00644603">
        <w:rPr>
          <w:rFonts w:ascii="Palatino Linotype" w:hAnsi="Palatino Linotype"/>
          <w:sz w:val="24"/>
          <w:szCs w:val="24"/>
        </w:rPr>
        <w:t xml:space="preserve"> </w:t>
      </w:r>
      <w:r w:rsidRPr="00EF21CD">
        <w:rPr>
          <w:rFonts w:ascii="Palatino Linotype" w:hAnsi="Palatino Linotype"/>
          <w:sz w:val="24"/>
          <w:szCs w:val="24"/>
        </w:rPr>
        <w:t xml:space="preserve">CAS </w:t>
      </w:r>
      <w:r>
        <w:rPr>
          <w:rFonts w:ascii="Palatino Linotype" w:hAnsi="Palatino Linotype"/>
          <w:sz w:val="24"/>
          <w:szCs w:val="24"/>
        </w:rPr>
        <w:t xml:space="preserve">Phase I </w:t>
      </w:r>
      <w:r w:rsidRPr="00EF21CD">
        <w:rPr>
          <w:rFonts w:ascii="Palatino Linotype" w:hAnsi="Palatino Linotype"/>
          <w:sz w:val="24"/>
          <w:szCs w:val="24"/>
        </w:rPr>
        <w:t xml:space="preserve">development </w:t>
      </w:r>
      <w:r>
        <w:rPr>
          <w:rFonts w:ascii="Palatino Linotype" w:hAnsi="Palatino Linotype"/>
          <w:sz w:val="24"/>
          <w:szCs w:val="24"/>
        </w:rPr>
        <w:t>contract</w:t>
      </w:r>
      <w:r w:rsidRPr="00EF21CD">
        <w:rPr>
          <w:rFonts w:ascii="Palatino Linotype" w:hAnsi="Palatino Linotype"/>
          <w:sz w:val="24"/>
          <w:szCs w:val="24"/>
        </w:rPr>
        <w:t xml:space="preserve">. </w:t>
      </w:r>
    </w:p>
    <w:p w:rsidRPr="00FE6B6C" w:rsidR="00A76F4A" w:rsidP="00FE6B6C" w:rsidRDefault="00FE6B6C" w14:paraId="0ADF6FD2" w14:textId="084DFFDF">
      <w:pPr>
        <w:pStyle w:val="Res-Caption"/>
        <w:numPr>
          <w:ilvl w:val="0"/>
          <w:numId w:val="3"/>
        </w:numPr>
        <w:rPr>
          <w:rFonts w:ascii="Palatino Linotype" w:hAnsi="Palatino Linotype"/>
          <w:sz w:val="24"/>
          <w:szCs w:val="24"/>
        </w:rPr>
      </w:pPr>
      <w:r w:rsidRPr="6819A9BC">
        <w:rPr>
          <w:rFonts w:ascii="Palatino Linotype" w:hAnsi="Palatino Linotype"/>
          <w:sz w:val="24"/>
          <w:szCs w:val="24"/>
        </w:rPr>
        <w:t>Authorizes $</w:t>
      </w:r>
      <w:r w:rsidRPr="6819A9BC" w:rsidR="00E64022">
        <w:rPr>
          <w:rFonts w:ascii="Palatino Linotype" w:hAnsi="Palatino Linotype"/>
          <w:sz w:val="24"/>
          <w:szCs w:val="24"/>
        </w:rPr>
        <w:t>1,</w:t>
      </w:r>
      <w:r w:rsidRPr="6819A9BC" w:rsidR="00BD5BB0">
        <w:rPr>
          <w:rFonts w:ascii="Palatino Linotype" w:hAnsi="Palatino Linotype"/>
          <w:sz w:val="24"/>
          <w:szCs w:val="24"/>
        </w:rPr>
        <w:t>489,483</w:t>
      </w:r>
      <w:r w:rsidRPr="6819A9BC">
        <w:rPr>
          <w:rFonts w:ascii="Palatino Linotype" w:hAnsi="Palatino Linotype"/>
          <w:sz w:val="24"/>
          <w:szCs w:val="24"/>
        </w:rPr>
        <w:t xml:space="preserve"> for PG&amp;E, $</w:t>
      </w:r>
      <w:r w:rsidRPr="6819A9BC" w:rsidR="00BD5BB0">
        <w:rPr>
          <w:rFonts w:ascii="Palatino Linotype" w:hAnsi="Palatino Linotype"/>
          <w:sz w:val="24"/>
          <w:szCs w:val="24"/>
        </w:rPr>
        <w:t>1,280,266</w:t>
      </w:r>
      <w:r w:rsidRPr="6819A9BC">
        <w:rPr>
          <w:rFonts w:ascii="Palatino Linotype" w:hAnsi="Palatino Linotype"/>
          <w:sz w:val="24"/>
          <w:szCs w:val="24"/>
        </w:rPr>
        <w:t xml:space="preserve"> for SCE, $</w:t>
      </w:r>
      <w:r w:rsidRPr="6819A9BC" w:rsidR="00BD5BB0">
        <w:rPr>
          <w:rFonts w:ascii="Palatino Linotype" w:hAnsi="Palatino Linotype"/>
          <w:sz w:val="24"/>
          <w:szCs w:val="24"/>
        </w:rPr>
        <w:t>3,621,692</w:t>
      </w:r>
      <w:r w:rsidRPr="6819A9BC">
        <w:rPr>
          <w:rFonts w:ascii="Palatino Linotype" w:hAnsi="Palatino Linotype"/>
          <w:sz w:val="24"/>
          <w:szCs w:val="24"/>
        </w:rPr>
        <w:t xml:space="preserve"> for </w:t>
      </w:r>
      <w:r w:rsidRPr="6819A9BC" w:rsidR="3D682684">
        <w:rPr>
          <w:rFonts w:ascii="Palatino Linotype" w:hAnsi="Palatino Linotype"/>
          <w:sz w:val="24"/>
          <w:szCs w:val="24"/>
        </w:rPr>
        <w:t>SDG&amp;E</w:t>
      </w:r>
      <w:r w:rsidRPr="6819A9BC">
        <w:rPr>
          <w:rFonts w:ascii="Palatino Linotype" w:hAnsi="Palatino Linotype"/>
          <w:sz w:val="24"/>
          <w:szCs w:val="24"/>
        </w:rPr>
        <w:t>, and $</w:t>
      </w:r>
      <w:r w:rsidRPr="6819A9BC" w:rsidR="00BD5BB0">
        <w:rPr>
          <w:rFonts w:ascii="Palatino Linotype" w:hAnsi="Palatino Linotype"/>
          <w:sz w:val="24"/>
          <w:szCs w:val="24"/>
        </w:rPr>
        <w:t>2,951,750</w:t>
      </w:r>
      <w:r w:rsidRPr="6819A9BC">
        <w:rPr>
          <w:rFonts w:ascii="Palatino Linotype" w:hAnsi="Palatino Linotype"/>
          <w:sz w:val="24"/>
          <w:szCs w:val="24"/>
        </w:rPr>
        <w:t xml:space="preserve"> for </w:t>
      </w:r>
      <w:r w:rsidRPr="6819A9BC" w:rsidR="4FDFF6AB">
        <w:rPr>
          <w:rFonts w:ascii="Palatino Linotype" w:hAnsi="Palatino Linotype"/>
          <w:sz w:val="24"/>
          <w:szCs w:val="24"/>
        </w:rPr>
        <w:t xml:space="preserve">SoCalGas </w:t>
      </w:r>
      <w:r w:rsidRPr="6819A9BC">
        <w:rPr>
          <w:rFonts w:ascii="Palatino Linotype" w:hAnsi="Palatino Linotype"/>
          <w:sz w:val="24"/>
          <w:szCs w:val="24"/>
        </w:rPr>
        <w:t>in ratepayer costs</w:t>
      </w:r>
      <w:r w:rsidRPr="6819A9BC" w:rsidR="008E33D5">
        <w:rPr>
          <w:rFonts w:ascii="Palatino Linotype" w:hAnsi="Palatino Linotype"/>
          <w:sz w:val="24"/>
          <w:szCs w:val="24"/>
        </w:rPr>
        <w:t xml:space="preserve"> for utility-specific administrative costs for CAS Phase I implementation</w:t>
      </w:r>
      <w:r w:rsidRPr="6819A9BC" w:rsidR="00B94636">
        <w:rPr>
          <w:rFonts w:ascii="Palatino Linotype" w:hAnsi="Palatino Linotype"/>
          <w:sz w:val="24"/>
          <w:szCs w:val="24"/>
        </w:rPr>
        <w:t>, including</w:t>
      </w:r>
      <w:r w:rsidRPr="6819A9BC">
        <w:rPr>
          <w:rFonts w:ascii="Palatino Linotype" w:hAnsi="Palatino Linotype"/>
          <w:sz w:val="24"/>
          <w:szCs w:val="24"/>
        </w:rPr>
        <w:t xml:space="preserve"> </w:t>
      </w:r>
      <w:r w:rsidRPr="6819A9BC" w:rsidR="00B94636">
        <w:rPr>
          <w:rFonts w:ascii="Palatino Linotype" w:hAnsi="Palatino Linotype"/>
          <w:sz w:val="24"/>
          <w:szCs w:val="24"/>
        </w:rPr>
        <w:t xml:space="preserve">recorded costs </w:t>
      </w:r>
      <w:r w:rsidRPr="6819A9BC" w:rsidR="004A26FA">
        <w:rPr>
          <w:rFonts w:ascii="Palatino Linotype" w:hAnsi="Palatino Linotype"/>
          <w:sz w:val="24"/>
          <w:szCs w:val="24"/>
        </w:rPr>
        <w:t>during</w:t>
      </w:r>
      <w:r w:rsidRPr="6819A9BC" w:rsidR="00B94636">
        <w:rPr>
          <w:rFonts w:ascii="Palatino Linotype" w:hAnsi="Palatino Linotype"/>
          <w:sz w:val="24"/>
          <w:szCs w:val="24"/>
        </w:rPr>
        <w:t xml:space="preserve"> Program Years 2023 and 2024 and projected costs th</w:t>
      </w:r>
      <w:r w:rsidRPr="6819A9BC" w:rsidR="00FC33D2">
        <w:rPr>
          <w:rFonts w:ascii="Palatino Linotype" w:hAnsi="Palatino Linotype"/>
          <w:sz w:val="24"/>
          <w:szCs w:val="24"/>
        </w:rPr>
        <w:t>rough the three-year contract term (</w:t>
      </w:r>
      <w:r w:rsidRPr="6819A9BC" w:rsidR="00AF2D66">
        <w:rPr>
          <w:rFonts w:ascii="Palatino Linotype" w:hAnsi="Palatino Linotype"/>
          <w:sz w:val="24"/>
          <w:szCs w:val="24"/>
        </w:rPr>
        <w:t xml:space="preserve">noted in </w:t>
      </w:r>
      <w:r w:rsidRPr="6819A9BC" w:rsidR="000F2F57">
        <w:rPr>
          <w:rFonts w:ascii="Palatino Linotype" w:hAnsi="Palatino Linotype"/>
          <w:sz w:val="24"/>
          <w:szCs w:val="24"/>
        </w:rPr>
        <w:t>Advice Letters</w:t>
      </w:r>
      <w:r w:rsidRPr="6819A9BC" w:rsidR="00AF2D66">
        <w:rPr>
          <w:rFonts w:ascii="Palatino Linotype" w:hAnsi="Palatino Linotype"/>
          <w:sz w:val="24"/>
          <w:szCs w:val="24"/>
        </w:rPr>
        <w:t xml:space="preserve"> as</w:t>
      </w:r>
      <w:r w:rsidRPr="6819A9BC" w:rsidR="008E33D5">
        <w:rPr>
          <w:rFonts w:ascii="Palatino Linotype" w:hAnsi="Palatino Linotype"/>
          <w:sz w:val="24"/>
          <w:szCs w:val="24"/>
        </w:rPr>
        <w:t xml:space="preserve"> Program Year</w:t>
      </w:r>
      <w:r w:rsidRPr="6819A9BC" w:rsidR="000F2F57">
        <w:rPr>
          <w:rFonts w:ascii="Palatino Linotype" w:hAnsi="Palatino Linotype"/>
          <w:sz w:val="24"/>
          <w:szCs w:val="24"/>
        </w:rPr>
        <w:t>s</w:t>
      </w:r>
      <w:r w:rsidRPr="6819A9BC" w:rsidR="008E33D5">
        <w:rPr>
          <w:rFonts w:ascii="Palatino Linotype" w:hAnsi="Palatino Linotype"/>
          <w:sz w:val="24"/>
          <w:szCs w:val="24"/>
        </w:rPr>
        <w:t xml:space="preserve"> </w:t>
      </w:r>
      <w:r w:rsidRPr="6819A9BC" w:rsidR="00D96E10">
        <w:rPr>
          <w:rFonts w:ascii="Palatino Linotype" w:hAnsi="Palatino Linotype"/>
          <w:sz w:val="24"/>
          <w:szCs w:val="24"/>
        </w:rPr>
        <w:t xml:space="preserve">2025 - </w:t>
      </w:r>
      <w:r w:rsidRPr="6819A9BC" w:rsidR="008E33D5">
        <w:rPr>
          <w:rFonts w:ascii="Palatino Linotype" w:hAnsi="Palatino Linotype"/>
          <w:sz w:val="24"/>
          <w:szCs w:val="24"/>
        </w:rPr>
        <w:t>2027</w:t>
      </w:r>
      <w:r w:rsidRPr="6819A9BC" w:rsidR="00FC33D2">
        <w:rPr>
          <w:rFonts w:ascii="Palatino Linotype" w:hAnsi="Palatino Linotype"/>
          <w:sz w:val="24"/>
          <w:szCs w:val="24"/>
        </w:rPr>
        <w:t>)</w:t>
      </w:r>
      <w:r w:rsidRPr="6819A9BC" w:rsidR="008E33D5">
        <w:rPr>
          <w:rFonts w:ascii="Palatino Linotype" w:hAnsi="Palatino Linotype"/>
          <w:sz w:val="24"/>
          <w:szCs w:val="24"/>
        </w:rPr>
        <w:t>.</w:t>
      </w:r>
    </w:p>
    <w:p w:rsidRPr="001942D0" w:rsidR="00A76F4A" w:rsidP="00A76F4A" w:rsidRDefault="00A76F4A" w14:paraId="38D179E5" w14:textId="77777777">
      <w:pPr>
        <w:spacing w:after="0" w:line="240" w:lineRule="auto"/>
        <w:ind w:left="720" w:right="720"/>
        <w:rPr>
          <w:rFonts w:ascii="Palatino Linotype" w:hAnsi="Palatino Linotype" w:eastAsia="Palatino Linotype" w:cs="Times New Roman"/>
          <w:kern w:val="0"/>
          <w14:ligatures w14:val="none"/>
        </w:rPr>
      </w:pPr>
    </w:p>
    <w:p w:rsidRPr="00D865A9" w:rsidR="004F0C11" w:rsidP="004F0C11" w:rsidRDefault="004F0C11" w14:paraId="1006F48F" w14:textId="77777777">
      <w:pPr>
        <w:pStyle w:val="Res-Caption"/>
        <w:rPr>
          <w:rFonts w:ascii="Palatino Linotype" w:hAnsi="Palatino Linotype" w:eastAsia="Palatino Linotype"/>
          <w:sz w:val="24"/>
          <w:szCs w:val="24"/>
        </w:rPr>
      </w:pPr>
      <w:r w:rsidRPr="00AD09B3">
        <w:rPr>
          <w:rFonts w:ascii="Palatino Linotype" w:hAnsi="Palatino Linotype" w:eastAsia="Palatino Linotype"/>
          <w:sz w:val="24"/>
          <w:szCs w:val="24"/>
        </w:rPr>
        <w:t xml:space="preserve">By Joint Advice Letters </w:t>
      </w:r>
      <w:bookmarkStart w:name="_Hlk185859988" w:id="1"/>
      <w:r w:rsidRPr="00077D8A">
        <w:rPr>
          <w:rFonts w:ascii="Palatino Linotype" w:hAnsi="Palatino Linotype" w:eastAsia="Palatino Linotype"/>
          <w:sz w:val="24"/>
          <w:szCs w:val="24"/>
        </w:rPr>
        <w:t xml:space="preserve">4994-G/7422-E </w:t>
      </w:r>
      <w:r w:rsidRPr="00AD09B3">
        <w:rPr>
          <w:rFonts w:ascii="Palatino Linotype" w:hAnsi="Palatino Linotype" w:eastAsia="Palatino Linotype"/>
          <w:sz w:val="24"/>
          <w:szCs w:val="24"/>
        </w:rPr>
        <w:t xml:space="preserve">(PG&amp;E), </w:t>
      </w:r>
      <w:r w:rsidRPr="00D6761D">
        <w:rPr>
          <w:rFonts w:ascii="Palatino Linotype" w:hAnsi="Palatino Linotype" w:eastAsia="Palatino Linotype"/>
          <w:sz w:val="24"/>
          <w:szCs w:val="24"/>
        </w:rPr>
        <w:t xml:space="preserve">5403-E </w:t>
      </w:r>
      <w:r w:rsidRPr="00AD09B3">
        <w:rPr>
          <w:rFonts w:ascii="Palatino Linotype" w:hAnsi="Palatino Linotype" w:eastAsia="Palatino Linotype"/>
          <w:sz w:val="24"/>
          <w:szCs w:val="24"/>
        </w:rPr>
        <w:t xml:space="preserve">(SCE), </w:t>
      </w:r>
      <w:r w:rsidRPr="006F7760">
        <w:rPr>
          <w:rFonts w:ascii="Palatino Linotype" w:hAnsi="Palatino Linotype" w:eastAsia="Palatino Linotype"/>
          <w:sz w:val="24"/>
          <w:szCs w:val="24"/>
        </w:rPr>
        <w:t>6398-G</w:t>
      </w:r>
      <w:r>
        <w:rPr>
          <w:rFonts w:ascii="Palatino Linotype" w:hAnsi="Palatino Linotype" w:eastAsia="Palatino Linotype"/>
          <w:sz w:val="24"/>
          <w:szCs w:val="24"/>
        </w:rPr>
        <w:t xml:space="preserve"> (SoCalGas), </w:t>
      </w:r>
      <w:r w:rsidRPr="00D6761D">
        <w:rPr>
          <w:rFonts w:ascii="Palatino Linotype" w:hAnsi="Palatino Linotype" w:eastAsia="Palatino Linotype"/>
          <w:sz w:val="24"/>
          <w:szCs w:val="24"/>
        </w:rPr>
        <w:t>4543-E/3365-G</w:t>
      </w:r>
      <w:r w:rsidRPr="00AD09B3">
        <w:rPr>
          <w:rFonts w:ascii="Palatino Linotype" w:hAnsi="Palatino Linotype" w:eastAsia="Palatino Linotype"/>
          <w:sz w:val="24"/>
          <w:szCs w:val="24"/>
        </w:rPr>
        <w:t xml:space="preserve"> (SDG&amp;E)</w:t>
      </w:r>
      <w:bookmarkEnd w:id="1"/>
      <w:r>
        <w:rPr>
          <w:rFonts w:ascii="Palatino Linotype" w:hAnsi="Palatino Linotype" w:eastAsia="Palatino Linotype"/>
          <w:sz w:val="24"/>
          <w:szCs w:val="24"/>
        </w:rPr>
        <w:t xml:space="preserve">, </w:t>
      </w:r>
      <w:r w:rsidRPr="00AD09B3">
        <w:rPr>
          <w:rFonts w:ascii="Palatino Linotype" w:hAnsi="Palatino Linotype" w:eastAsia="Palatino Linotype"/>
          <w:sz w:val="24"/>
          <w:szCs w:val="24"/>
        </w:rPr>
        <w:t xml:space="preserve">filed on </w:t>
      </w:r>
      <w:r>
        <w:rPr>
          <w:rFonts w:ascii="Palatino Linotype" w:hAnsi="Palatino Linotype" w:eastAsia="Palatino Linotype"/>
          <w:sz w:val="24"/>
          <w:szCs w:val="24"/>
        </w:rPr>
        <w:t>November 4, 2024.</w:t>
      </w:r>
    </w:p>
    <w:p w:rsidRPr="001942D0" w:rsidR="00A76F4A" w:rsidP="00A76F4A" w:rsidRDefault="00A76F4A" w14:paraId="0542E5E0" w14:textId="77777777">
      <w:pPr>
        <w:spacing w:after="0" w:line="240" w:lineRule="auto"/>
        <w:jc w:val="center"/>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__________________________________________________________</w:t>
      </w:r>
    </w:p>
    <w:p w:rsidRPr="001942D0" w:rsidR="00A76F4A" w:rsidP="00A76F4A" w:rsidRDefault="00A76F4A" w14:paraId="7279783F" w14:textId="77777777">
      <w:pPr>
        <w:spacing w:after="0" w:line="240" w:lineRule="auto"/>
        <w:rPr>
          <w:rFonts w:ascii="Palatino Linotype" w:hAnsi="Palatino Linotype" w:eastAsia="Palatino Linotype" w:cs="Times New Roman"/>
          <w:b/>
          <w:kern w:val="0"/>
          <w14:ligatures w14:val="none"/>
        </w:rPr>
      </w:pPr>
    </w:p>
    <w:p w:rsidRPr="001942D0" w:rsidR="00A76F4A" w:rsidP="00A76F4A" w:rsidRDefault="00A76F4A" w14:paraId="3906F9BB"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Summary</w:t>
      </w:r>
      <w:bookmarkEnd w:id="0"/>
    </w:p>
    <w:p w:rsidRPr="00FA2C5F" w:rsidR="00FA2C5F" w:rsidP="00FA2C5F" w:rsidRDefault="00FA2C5F" w14:paraId="4DD86F28" w14:textId="062F5FEA">
      <w:pPr>
        <w:spacing w:after="0" w:line="240" w:lineRule="auto"/>
        <w:rPr>
          <w:rFonts w:ascii="Palatino Linotype" w:hAnsi="Palatino Linotype" w:eastAsia="Times New Roman" w:cs="Times New Roman"/>
          <w:kern w:val="0"/>
          <w14:ligatures w14:val="none"/>
        </w:rPr>
      </w:pPr>
      <w:r w:rsidRPr="00FA2C5F">
        <w:rPr>
          <w:rFonts w:ascii="Palatino Linotype" w:hAnsi="Palatino Linotype" w:eastAsia="Times New Roman" w:cs="Times New Roman"/>
          <w:kern w:val="0"/>
          <w14:ligatures w14:val="none"/>
        </w:rPr>
        <w:t xml:space="preserve">This Resolution approves the Advice Letters (AL) of Pacific Gas and Electric Company (PG&amp;E) AL 4994-G/7422-E, Southern California Edison Company (SCE) AL 5403-E, Southern California Gas Company (SoCalGas) AL 6398-G, and San Diego Gas &amp; Electric Company (SDG&amp;E) AL 4543-E/3365-G (AL 4994-G/7422-E et al.) which request Commission approval for the bid selection and executed contract for development of the Concurrent Application System (CAS) to enable income-qualified customers </w:t>
      </w:r>
      <w:r w:rsidR="006827E5">
        <w:rPr>
          <w:rFonts w:ascii="Palatino Linotype" w:hAnsi="Palatino Linotype" w:eastAsia="Times New Roman" w:cs="Times New Roman"/>
          <w:kern w:val="0"/>
          <w14:ligatures w14:val="none"/>
        </w:rPr>
        <w:t xml:space="preserve">to </w:t>
      </w:r>
      <w:r w:rsidRPr="00FA2C5F">
        <w:rPr>
          <w:rFonts w:ascii="Palatino Linotype" w:hAnsi="Palatino Linotype" w:eastAsia="Times New Roman" w:cs="Times New Roman"/>
          <w:kern w:val="0"/>
          <w14:ligatures w14:val="none"/>
        </w:rPr>
        <w:t>apply to multiple electric or gas assistance programs, and the budget for CAS Phase</w:t>
      </w:r>
      <w:r w:rsidR="00C65FE1">
        <w:rPr>
          <w:rFonts w:ascii="Palatino Linotype" w:hAnsi="Palatino Linotype" w:eastAsia="Times New Roman" w:cs="Times New Roman"/>
          <w:kern w:val="0"/>
          <w14:ligatures w14:val="none"/>
        </w:rPr>
        <w:t xml:space="preserve"> I</w:t>
      </w:r>
    </w:p>
    <w:p w:rsidRPr="00FA2C5F" w:rsidR="00FA2C5F" w:rsidP="00FA2C5F" w:rsidRDefault="00FA2C5F" w14:paraId="032D2754" w14:textId="627F4C94">
      <w:pPr>
        <w:spacing w:after="0" w:line="240" w:lineRule="auto"/>
        <w:rPr>
          <w:rFonts w:ascii="Palatino Linotype" w:hAnsi="Palatino Linotype" w:eastAsia="Times New Roman" w:cs="Times New Roman"/>
          <w:kern w:val="0"/>
          <w14:ligatures w14:val="none"/>
        </w:rPr>
      </w:pPr>
      <w:r w:rsidRPr="00FA2C5F">
        <w:rPr>
          <w:rFonts w:ascii="Palatino Linotype" w:hAnsi="Palatino Linotype" w:eastAsia="Times New Roman" w:cs="Times New Roman"/>
          <w:kern w:val="0"/>
          <w14:ligatures w14:val="none"/>
        </w:rPr>
        <w:t xml:space="preserve">costs related to </w:t>
      </w:r>
      <w:r w:rsidRPr="00FA2C5F" w:rsidR="0830EAC0">
        <w:rPr>
          <w:rFonts w:ascii="Palatino Linotype" w:hAnsi="Palatino Linotype" w:eastAsia="Times New Roman" w:cs="Times New Roman"/>
          <w:kern w:val="0"/>
          <w14:ligatures w14:val="none"/>
        </w:rPr>
        <w:t xml:space="preserve">CAS </w:t>
      </w:r>
      <w:r w:rsidRPr="00FA2C5F">
        <w:rPr>
          <w:rFonts w:ascii="Palatino Linotype" w:hAnsi="Palatino Linotype" w:eastAsia="Times New Roman" w:cs="Times New Roman"/>
          <w:kern w:val="0"/>
          <w14:ligatures w14:val="none"/>
        </w:rPr>
        <w:t xml:space="preserve">development. This AL was filed in compliance with Decision </w:t>
      </w:r>
      <w:r w:rsidR="008437FC">
        <w:rPr>
          <w:rFonts w:ascii="Palatino Linotype" w:hAnsi="Palatino Linotype" w:eastAsia="Times New Roman" w:cs="Times New Roman"/>
          <w:kern w:val="0"/>
          <w14:ligatures w14:val="none"/>
        </w:rPr>
        <w:br/>
      </w:r>
      <w:r w:rsidRPr="00FA2C5F">
        <w:rPr>
          <w:rFonts w:ascii="Palatino Linotype" w:hAnsi="Palatino Linotype" w:eastAsia="Times New Roman" w:cs="Times New Roman"/>
          <w:kern w:val="0"/>
          <w14:ligatures w14:val="none"/>
        </w:rPr>
        <w:t xml:space="preserve">(D.) 23-05-006 regarding the Implementation Process for Creation of a Low-Income Customer Concurrent Application System as Required by Senate Bill </w:t>
      </w:r>
      <w:r w:rsidR="0092349D">
        <w:rPr>
          <w:rFonts w:ascii="Palatino Linotype" w:hAnsi="Palatino Linotype" w:eastAsia="Times New Roman" w:cs="Times New Roman"/>
          <w:kern w:val="0"/>
          <w14:ligatures w14:val="none"/>
        </w:rPr>
        <w:t xml:space="preserve">(SB) </w:t>
      </w:r>
      <w:r w:rsidRPr="00FA2C5F">
        <w:rPr>
          <w:rFonts w:ascii="Palatino Linotype" w:hAnsi="Palatino Linotype" w:eastAsia="Times New Roman" w:cs="Times New Roman"/>
          <w:kern w:val="0"/>
          <w14:ligatures w14:val="none"/>
        </w:rPr>
        <w:t>1208</w:t>
      </w:r>
      <w:r w:rsidR="0092349D">
        <w:rPr>
          <w:rFonts w:ascii="Palatino Linotype" w:hAnsi="Palatino Linotype" w:eastAsia="Times New Roman" w:cs="Times New Roman"/>
          <w:kern w:val="0"/>
          <w14:ligatures w14:val="none"/>
        </w:rPr>
        <w:t xml:space="preserve"> (2022)</w:t>
      </w:r>
      <w:r w:rsidRPr="00FA2C5F">
        <w:rPr>
          <w:rFonts w:ascii="Palatino Linotype" w:hAnsi="Palatino Linotype" w:eastAsia="Times New Roman" w:cs="Times New Roman"/>
          <w:kern w:val="0"/>
          <w14:ligatures w14:val="none"/>
        </w:rPr>
        <w:t>.</w:t>
      </w:r>
    </w:p>
    <w:p w:rsidRPr="00FA2C5F" w:rsidR="00FA2C5F" w:rsidP="00FA2C5F" w:rsidRDefault="00FA2C5F" w14:paraId="764A742A" w14:textId="77777777">
      <w:pPr>
        <w:spacing w:after="0" w:line="240" w:lineRule="auto"/>
        <w:rPr>
          <w:rFonts w:ascii="Palatino Linotype" w:hAnsi="Palatino Linotype" w:eastAsia="Times New Roman" w:cs="Times New Roman"/>
          <w:kern w:val="0"/>
          <w14:ligatures w14:val="none"/>
        </w:rPr>
      </w:pPr>
    </w:p>
    <w:p w:rsidRPr="00FA2C5F" w:rsidR="00FA2C5F" w:rsidP="00FA2C5F" w:rsidRDefault="00FA2C5F" w14:paraId="2157675F" w14:textId="0975C53C">
      <w:pPr>
        <w:spacing w:after="0" w:line="240" w:lineRule="auto"/>
        <w:rPr>
          <w:rFonts w:ascii="Palatino Linotype" w:hAnsi="Palatino Linotype" w:eastAsia="Times New Roman" w:cs="Times New Roman"/>
          <w:kern w:val="0"/>
          <w14:ligatures w14:val="none"/>
        </w:rPr>
      </w:pPr>
      <w:r w:rsidRPr="00FA2C5F">
        <w:rPr>
          <w:rFonts w:ascii="Palatino Linotype" w:hAnsi="Palatino Linotype" w:eastAsia="Times New Roman" w:cs="Times New Roman"/>
          <w:kern w:val="0"/>
          <w14:ligatures w14:val="none"/>
        </w:rPr>
        <w:t>D.23-05-006 directed PG&amp;E to issue a Request for Proposal (RFP) for a CAS developer using recommendations for system design requirements from the Commission’s Energy Division and CAS Working Group. PG&amp;E, SCE, SoCalGas, and SDG&amp;E (collectively, the IOUs</w:t>
      </w:r>
      <w:r w:rsidRPr="00FA2C5F" w:rsidR="7EE431BF">
        <w:rPr>
          <w:rFonts w:ascii="Palatino Linotype" w:hAnsi="Palatino Linotype" w:eastAsia="Times New Roman" w:cs="Times New Roman"/>
          <w:kern w:val="0"/>
          <w14:ligatures w14:val="none"/>
        </w:rPr>
        <w:t xml:space="preserve"> or joint utilities</w:t>
      </w:r>
      <w:r w:rsidRPr="00FA2C5F">
        <w:rPr>
          <w:rFonts w:ascii="Palatino Linotype" w:hAnsi="Palatino Linotype" w:eastAsia="Times New Roman" w:cs="Times New Roman"/>
          <w:kern w:val="0"/>
          <w14:ligatures w14:val="none"/>
        </w:rPr>
        <w:t xml:space="preserve">) were required to file a Tier 3 </w:t>
      </w:r>
      <w:r w:rsidR="004E2F32">
        <w:rPr>
          <w:rFonts w:ascii="Palatino Linotype" w:hAnsi="Palatino Linotype" w:eastAsia="Times New Roman" w:cs="Times New Roman"/>
          <w:kern w:val="0"/>
          <w14:ligatures w14:val="none"/>
        </w:rPr>
        <w:t>AL</w:t>
      </w:r>
      <w:r w:rsidRPr="00FA2C5F">
        <w:rPr>
          <w:rFonts w:ascii="Palatino Linotype" w:hAnsi="Palatino Linotype" w:eastAsia="Times New Roman" w:cs="Times New Roman"/>
          <w:kern w:val="0"/>
          <w14:ligatures w14:val="none"/>
        </w:rPr>
        <w:t xml:space="preserve"> seeking approval for the RFP bid selection and contract execution, in addition to utility-specific development </w:t>
      </w:r>
      <w:r w:rsidRPr="00FA2C5F" w:rsidR="364EE229">
        <w:rPr>
          <w:rFonts w:ascii="Palatino Linotype" w:hAnsi="Palatino Linotype" w:eastAsia="Times New Roman" w:cs="Times New Roman"/>
          <w:kern w:val="0"/>
          <w14:ligatures w14:val="none"/>
        </w:rPr>
        <w:t>and implementation</w:t>
      </w:r>
      <w:r w:rsidRPr="00FA2C5F">
        <w:rPr>
          <w:rFonts w:ascii="Palatino Linotype" w:hAnsi="Palatino Linotype" w:eastAsia="Times New Roman" w:cs="Times New Roman"/>
          <w:kern w:val="0"/>
          <w14:ligatures w14:val="none"/>
        </w:rPr>
        <w:t xml:space="preserve"> costs.</w:t>
      </w:r>
      <w:r w:rsidRPr="005A7C3C" w:rsidR="005A7C3C">
        <w:rPr>
          <w:rFonts w:ascii="Palatino Linotype" w:hAnsi="Palatino Linotype" w:eastAsia="Times New Roman" w:cs="Times New Roman"/>
          <w:kern w:val="0"/>
          <w14:ligatures w14:val="none"/>
        </w:rPr>
        <w:t xml:space="preserve"> </w:t>
      </w:r>
      <w:r w:rsidR="00B45D36">
        <w:rPr>
          <w:rFonts w:ascii="Palatino Linotype" w:hAnsi="Palatino Linotype" w:eastAsia="Times New Roman" w:cs="Times New Roman"/>
          <w:kern w:val="0"/>
          <w14:ligatures w14:val="none"/>
        </w:rPr>
        <w:t>Energy Division delivered the CAS Phase I system design requirements developed by the CAS Working Group on November 17, 2023 to PG&amp;E, and PG&amp;E issued the RFP on</w:t>
      </w:r>
      <w:r w:rsidRPr="007A5937" w:rsidR="00B45D36">
        <w:rPr>
          <w:rFonts w:ascii="Palatino Linotype" w:hAnsi="Palatino Linotype" w:eastAsia="Times New Roman" w:cs="Times New Roman"/>
          <w:kern w:val="0"/>
          <w14:ligatures w14:val="none"/>
        </w:rPr>
        <w:t xml:space="preserve"> December 29, 2023</w:t>
      </w:r>
      <w:r w:rsidR="00B45D36">
        <w:rPr>
          <w:rFonts w:ascii="Palatino Linotype" w:hAnsi="Palatino Linotype" w:eastAsia="Times New Roman" w:cs="Times New Roman"/>
          <w:kern w:val="0"/>
          <w14:ligatures w14:val="none"/>
        </w:rPr>
        <w:t>.</w:t>
      </w:r>
    </w:p>
    <w:p w:rsidRPr="00FA2C5F" w:rsidR="00FA2C5F" w:rsidP="00FA2C5F" w:rsidRDefault="00FA2C5F" w14:paraId="31257883" w14:textId="77777777">
      <w:pPr>
        <w:spacing w:after="0" w:line="240" w:lineRule="auto"/>
        <w:rPr>
          <w:rFonts w:ascii="Palatino Linotype" w:hAnsi="Palatino Linotype" w:eastAsia="Times New Roman" w:cs="Times New Roman"/>
          <w:kern w:val="0"/>
          <w14:ligatures w14:val="none"/>
        </w:rPr>
      </w:pPr>
    </w:p>
    <w:p w:rsidRPr="00FA2C5F" w:rsidR="00FA2C5F" w:rsidP="00FA2C5F" w:rsidRDefault="00FA2C5F" w14:paraId="058CFAA2" w14:textId="6EDAAFB7">
      <w:pPr>
        <w:spacing w:after="0" w:line="240" w:lineRule="auto"/>
        <w:rPr>
          <w:rFonts w:ascii="Palatino Linotype" w:hAnsi="Palatino Linotype" w:eastAsia="Times New Roman" w:cs="Times New Roman"/>
          <w:kern w:val="0"/>
          <w14:ligatures w14:val="none"/>
        </w:rPr>
      </w:pPr>
      <w:r w:rsidRPr="00FA2C5F">
        <w:rPr>
          <w:rFonts w:ascii="Palatino Linotype" w:hAnsi="Palatino Linotype" w:eastAsia="Times New Roman" w:cs="Times New Roman"/>
          <w:kern w:val="0"/>
          <w14:ligatures w14:val="none"/>
        </w:rPr>
        <w:lastRenderedPageBreak/>
        <w:t>On November 4, 2024, the IOUs filed AL</w:t>
      </w:r>
      <w:r w:rsidRPr="00FA2C5F" w:rsidR="437E542C">
        <w:rPr>
          <w:rFonts w:ascii="Palatino Linotype" w:hAnsi="Palatino Linotype" w:eastAsia="Times New Roman" w:cs="Times New Roman"/>
          <w:kern w:val="0"/>
          <w14:ligatures w14:val="none"/>
        </w:rPr>
        <w:t>s</w:t>
      </w:r>
      <w:r w:rsidRPr="00FA2C5F">
        <w:rPr>
          <w:rFonts w:ascii="Palatino Linotype" w:hAnsi="Palatino Linotype" w:eastAsia="Times New Roman" w:cs="Times New Roman"/>
          <w:kern w:val="0"/>
          <w14:ligatures w14:val="none"/>
        </w:rPr>
        <w:t xml:space="preserve"> 4994-G/7422-E et al. requesting approval for the bid selection and executed contract for CAS Phase I. The three-year contract has a proposed budget of $4,051,000 and uses a software-as-a-service agreement to support portal design, development, testing, and launch, and operations and maintenance costs after launch. Additional implementation costs requested in the AL</w:t>
      </w:r>
      <w:r w:rsidRPr="00FA2C5F" w:rsidR="6E684621">
        <w:rPr>
          <w:rFonts w:ascii="Palatino Linotype" w:hAnsi="Palatino Linotype" w:eastAsia="Times New Roman" w:cs="Times New Roman"/>
          <w:kern w:val="0"/>
          <w14:ligatures w14:val="none"/>
        </w:rPr>
        <w:t>s</w:t>
      </w:r>
      <w:r w:rsidRPr="00FA2C5F">
        <w:rPr>
          <w:rFonts w:ascii="Palatino Linotype" w:hAnsi="Palatino Linotype" w:eastAsia="Times New Roman" w:cs="Times New Roman"/>
          <w:kern w:val="0"/>
          <w14:ligatures w14:val="none"/>
        </w:rPr>
        <w:t xml:space="preserve"> are administrative costs for each utility respectively. </w:t>
      </w:r>
    </w:p>
    <w:p w:rsidRPr="00FA2C5F" w:rsidR="00FA2C5F" w:rsidP="00FA2C5F" w:rsidRDefault="00FA2C5F" w14:paraId="0C77BF71" w14:textId="77777777">
      <w:pPr>
        <w:spacing w:after="0" w:line="240" w:lineRule="auto"/>
        <w:rPr>
          <w:rFonts w:ascii="Palatino Linotype" w:hAnsi="Palatino Linotype" w:eastAsia="Times New Roman" w:cs="Times New Roman"/>
          <w:kern w:val="0"/>
          <w14:ligatures w14:val="none"/>
        </w:rPr>
      </w:pPr>
    </w:p>
    <w:p w:rsidR="00A76F4A" w:rsidP="00FA2C5F" w:rsidRDefault="00FA2C5F" w14:paraId="3ADC9F17" w14:textId="789A5CCA">
      <w:pPr>
        <w:spacing w:after="0" w:line="240" w:lineRule="auto"/>
        <w:rPr>
          <w:rFonts w:ascii="Palatino Linotype" w:hAnsi="Palatino Linotype" w:eastAsia="Times New Roman" w:cs="Times New Roman"/>
          <w:kern w:val="0"/>
          <w14:ligatures w14:val="none"/>
        </w:rPr>
      </w:pPr>
      <w:r w:rsidRPr="00FA2C5F">
        <w:rPr>
          <w:rFonts w:ascii="Palatino Linotype" w:hAnsi="Palatino Linotype" w:eastAsia="Times New Roman" w:cs="Times New Roman"/>
          <w:kern w:val="0"/>
          <w14:ligatures w14:val="none"/>
        </w:rPr>
        <w:t xml:space="preserve">This </w:t>
      </w:r>
      <w:r w:rsidR="00AE7E3A">
        <w:rPr>
          <w:rFonts w:ascii="Palatino Linotype" w:hAnsi="Palatino Linotype" w:eastAsia="Times New Roman" w:cs="Times New Roman"/>
          <w:kern w:val="0"/>
          <w14:ligatures w14:val="none"/>
        </w:rPr>
        <w:t>R</w:t>
      </w:r>
      <w:r w:rsidRPr="00FA2C5F">
        <w:rPr>
          <w:rFonts w:ascii="Palatino Linotype" w:hAnsi="Palatino Linotype" w:eastAsia="Times New Roman" w:cs="Times New Roman"/>
          <w:kern w:val="0"/>
          <w14:ligatures w14:val="none"/>
        </w:rPr>
        <w:t>esolution approves AL 4994-G/7422-E et al. per the guidelines and requirements in D.23-05-006. The joint utilities</w:t>
      </w:r>
      <w:r w:rsidRPr="00FA2C5F" w:rsidR="73702E16">
        <w:rPr>
          <w:rFonts w:ascii="Palatino Linotype" w:hAnsi="Palatino Linotype" w:eastAsia="Times New Roman" w:cs="Times New Roman"/>
          <w:kern w:val="0"/>
          <w14:ligatures w14:val="none"/>
        </w:rPr>
        <w:t>’</w:t>
      </w:r>
      <w:r w:rsidRPr="00FA2C5F">
        <w:rPr>
          <w:rFonts w:ascii="Palatino Linotype" w:hAnsi="Palatino Linotype" w:eastAsia="Times New Roman" w:cs="Times New Roman"/>
          <w:kern w:val="0"/>
          <w14:ligatures w14:val="none"/>
        </w:rPr>
        <w:t xml:space="preserve"> timing of this request, the use of a Tier 3 AL, the explanation of the RFP process and bid selection, and the amount requested all compl</w:t>
      </w:r>
      <w:r w:rsidRPr="00FA2C5F" w:rsidR="060839F2">
        <w:rPr>
          <w:rFonts w:ascii="Palatino Linotype" w:hAnsi="Palatino Linotype" w:eastAsia="Times New Roman" w:cs="Times New Roman"/>
          <w:kern w:val="0"/>
          <w14:ligatures w14:val="none"/>
        </w:rPr>
        <w:t>y</w:t>
      </w:r>
      <w:r w:rsidRPr="00FA2C5F">
        <w:rPr>
          <w:rFonts w:ascii="Palatino Linotype" w:hAnsi="Palatino Linotype" w:eastAsia="Times New Roman" w:cs="Times New Roman"/>
          <w:kern w:val="0"/>
          <w14:ligatures w14:val="none"/>
        </w:rPr>
        <w:t xml:space="preserve"> with Commission direction in D.23-05-006. </w:t>
      </w:r>
      <w:r w:rsidRPr="00FA2C5F" w:rsidR="1F368A4B">
        <w:rPr>
          <w:rFonts w:ascii="Palatino Linotype" w:hAnsi="Palatino Linotype" w:eastAsia="Times New Roman" w:cs="Times New Roman"/>
          <w:kern w:val="0"/>
          <w14:ligatures w14:val="none"/>
        </w:rPr>
        <w:t>The</w:t>
      </w:r>
      <w:r w:rsidRPr="00FA2C5F">
        <w:rPr>
          <w:rFonts w:ascii="Palatino Linotype" w:hAnsi="Palatino Linotype" w:eastAsia="Times New Roman" w:cs="Times New Roman"/>
          <w:kern w:val="0"/>
          <w14:ligatures w14:val="none"/>
        </w:rPr>
        <w:t xml:space="preserve"> IOUs have demonstrated that this request for the CAS Phase I development and implementation budget is reasonable and justified due to the executed contract using the Energy Division and CAS Working Group’s recommendations for system features and requirements as part of the competitive solicitation process, and </w:t>
      </w:r>
      <w:r w:rsidR="00AA4454">
        <w:rPr>
          <w:rFonts w:ascii="Palatino Linotype" w:hAnsi="Palatino Linotype" w:eastAsia="Times New Roman" w:cs="Times New Roman"/>
          <w:kern w:val="0"/>
          <w14:ligatures w14:val="none"/>
        </w:rPr>
        <w:t>the executed contract’s</w:t>
      </w:r>
      <w:r w:rsidRPr="00FA2C5F">
        <w:rPr>
          <w:rFonts w:ascii="Palatino Linotype" w:hAnsi="Palatino Linotype" w:eastAsia="Times New Roman" w:cs="Times New Roman"/>
          <w:kern w:val="0"/>
          <w14:ligatures w14:val="none"/>
        </w:rPr>
        <w:t xml:space="preserve"> adherence to decision and statutory requirements to implement an application process that enables income-qualified customers to concurrently apply to the CARE, FERA, and ESA programs, at a minimum. As such, the IOUs</w:t>
      </w:r>
      <w:r w:rsidRPr="00FA2C5F" w:rsidR="7E42709D">
        <w:rPr>
          <w:rFonts w:ascii="Palatino Linotype" w:hAnsi="Palatino Linotype" w:eastAsia="Times New Roman" w:cs="Times New Roman"/>
          <w:kern w:val="0"/>
          <w14:ligatures w14:val="none"/>
        </w:rPr>
        <w:t>’</w:t>
      </w:r>
      <w:r w:rsidRPr="00FA2C5F">
        <w:rPr>
          <w:rFonts w:ascii="Palatino Linotype" w:hAnsi="Palatino Linotype" w:eastAsia="Times New Roman" w:cs="Times New Roman"/>
          <w:kern w:val="0"/>
          <w14:ligatures w14:val="none"/>
        </w:rPr>
        <w:t xml:space="preserve"> budget request is approved for the amount of $4,051,000 over three years</w:t>
      </w:r>
      <w:r w:rsidRPr="00FA2C5F" w:rsidR="0C8BEBBD">
        <w:rPr>
          <w:rFonts w:ascii="Palatino Linotype" w:hAnsi="Palatino Linotype" w:eastAsia="Times New Roman" w:cs="Times New Roman"/>
          <w:kern w:val="0"/>
          <w14:ligatures w14:val="none"/>
        </w:rPr>
        <w:t>, with individual IOU budgets set forth herein</w:t>
      </w:r>
      <w:r w:rsidRPr="00FA2C5F">
        <w:rPr>
          <w:rFonts w:ascii="Palatino Linotype" w:hAnsi="Palatino Linotype" w:eastAsia="Times New Roman" w:cs="Times New Roman"/>
          <w:kern w:val="0"/>
          <w14:ligatures w14:val="none"/>
        </w:rPr>
        <w:t xml:space="preserve">. The contract term will start upon the Commission’s approval of this </w:t>
      </w:r>
      <w:r w:rsidRPr="00FA2C5F" w:rsidR="1FCBDE38">
        <w:rPr>
          <w:rFonts w:ascii="Palatino Linotype" w:hAnsi="Palatino Linotype" w:eastAsia="Times New Roman" w:cs="Times New Roman"/>
          <w:kern w:val="0"/>
          <w14:ligatures w14:val="none"/>
        </w:rPr>
        <w:t>R</w:t>
      </w:r>
      <w:r w:rsidRPr="00FA2C5F">
        <w:rPr>
          <w:rFonts w:ascii="Palatino Linotype" w:hAnsi="Palatino Linotype" w:eastAsia="Times New Roman" w:cs="Times New Roman"/>
          <w:kern w:val="0"/>
          <w14:ligatures w14:val="none"/>
        </w:rPr>
        <w:t xml:space="preserve">esolution. Costs are recorded in IOUs’ two-way balancing accounts for CAS development and implementation related to </w:t>
      </w:r>
      <w:r w:rsidR="00411DB6">
        <w:rPr>
          <w:rFonts w:ascii="Palatino Linotype" w:hAnsi="Palatino Linotype" w:eastAsia="Times New Roman" w:cs="Times New Roman"/>
          <w:kern w:val="0"/>
          <w14:ligatures w14:val="none"/>
        </w:rPr>
        <w:br/>
      </w:r>
      <w:r w:rsidRPr="00FA2C5F">
        <w:rPr>
          <w:rFonts w:ascii="Palatino Linotype" w:hAnsi="Palatino Linotype" w:eastAsia="Times New Roman" w:cs="Times New Roman"/>
          <w:kern w:val="0"/>
          <w14:ligatures w14:val="none"/>
        </w:rPr>
        <w:t xml:space="preserve">SB 1208. Electric costs may be recovered through Public Purpose Program rates from retail customer classes and gas costs may be recovered through </w:t>
      </w:r>
      <w:r w:rsidRPr="00FA2C5F" w:rsidR="3A9A6DF3">
        <w:rPr>
          <w:rFonts w:ascii="Palatino Linotype" w:hAnsi="Palatino Linotype" w:eastAsia="Times New Roman" w:cs="Times New Roman"/>
          <w:kern w:val="0"/>
          <w14:ligatures w14:val="none"/>
        </w:rPr>
        <w:t xml:space="preserve">gas </w:t>
      </w:r>
      <w:r w:rsidRPr="00FA2C5F">
        <w:rPr>
          <w:rFonts w:ascii="Palatino Linotype" w:hAnsi="Palatino Linotype" w:eastAsia="Times New Roman" w:cs="Times New Roman"/>
          <w:kern w:val="0"/>
          <w14:ligatures w14:val="none"/>
        </w:rPr>
        <w:t>transportation rates from all customers.</w:t>
      </w:r>
      <w:r w:rsidRPr="00FA2C5F">
        <w:rPr>
          <w:rFonts w:ascii="Palatino Linotype" w:hAnsi="Palatino Linotype" w:eastAsia="Times New Roman" w:cs="Times New Roman"/>
          <w:kern w:val="0"/>
          <w:vertAlign w:val="superscript"/>
          <w14:ligatures w14:val="none"/>
        </w:rPr>
        <w:footnoteReference w:id="2"/>
      </w:r>
    </w:p>
    <w:p w:rsidR="00293A50" w:rsidP="00FA2C5F" w:rsidRDefault="00293A50" w14:paraId="3E1293A0" w14:textId="77777777">
      <w:pPr>
        <w:spacing w:after="0" w:line="240" w:lineRule="auto"/>
        <w:rPr>
          <w:rFonts w:ascii="Palatino Linotype" w:hAnsi="Palatino Linotype" w:eastAsia="Times New Roman" w:cs="Times New Roman"/>
          <w:kern w:val="0"/>
          <w14:ligatures w14:val="none"/>
        </w:rPr>
      </w:pPr>
    </w:p>
    <w:p w:rsidR="00FA2C5F" w:rsidP="00315F26" w:rsidRDefault="00315F26" w14:paraId="66BF4025" w14:textId="74F100F6">
      <w:pPr>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This </w:t>
      </w:r>
      <w:r w:rsidR="595E9B17">
        <w:rPr>
          <w:rFonts w:ascii="Palatino Linotype" w:hAnsi="Palatino Linotype" w:eastAsia="Times New Roman" w:cs="Times New Roman"/>
          <w:kern w:val="0"/>
          <w14:ligatures w14:val="none"/>
        </w:rPr>
        <w:t>R</w:t>
      </w:r>
      <w:r>
        <w:rPr>
          <w:rFonts w:ascii="Palatino Linotype" w:hAnsi="Palatino Linotype" w:eastAsia="Times New Roman" w:cs="Times New Roman"/>
          <w:kern w:val="0"/>
          <w14:ligatures w14:val="none"/>
        </w:rPr>
        <w:t xml:space="preserve">esolution </w:t>
      </w:r>
      <w:r w:rsidR="00157CC1">
        <w:rPr>
          <w:rFonts w:ascii="Palatino Linotype" w:hAnsi="Palatino Linotype" w:eastAsia="Times New Roman" w:cs="Times New Roman"/>
          <w:kern w:val="0"/>
          <w14:ligatures w14:val="none"/>
        </w:rPr>
        <w:t>approves</w:t>
      </w:r>
      <w:r w:rsidR="00F67768">
        <w:rPr>
          <w:rFonts w:ascii="Palatino Linotype" w:hAnsi="Palatino Linotype" w:eastAsia="Times New Roman" w:cs="Times New Roman"/>
          <w:kern w:val="0"/>
          <w14:ligatures w14:val="none"/>
        </w:rPr>
        <w:t xml:space="preserve"> individual IOU budgets of</w:t>
      </w:r>
      <w:r w:rsidRPr="00315F26">
        <w:rPr>
          <w:rFonts w:ascii="Palatino Linotype" w:hAnsi="Palatino Linotype" w:eastAsia="Times New Roman" w:cs="Times New Roman"/>
          <w:kern w:val="0"/>
          <w14:ligatures w14:val="none"/>
        </w:rPr>
        <w:t xml:space="preserve"> $1,489,483 for PG&amp;E, $1,280,266 for SCE, and $2,951,750 for SDG&amp;E</w:t>
      </w:r>
      <w:r w:rsidR="00157CC1">
        <w:rPr>
          <w:rFonts w:ascii="Palatino Linotype" w:hAnsi="Palatino Linotype" w:eastAsia="Times New Roman" w:cs="Times New Roman"/>
          <w:kern w:val="0"/>
          <w14:ligatures w14:val="none"/>
        </w:rPr>
        <w:t>, and modifie</w:t>
      </w:r>
      <w:r w:rsidR="00F67768">
        <w:rPr>
          <w:rFonts w:ascii="Palatino Linotype" w:hAnsi="Palatino Linotype" w:eastAsia="Times New Roman" w:cs="Times New Roman"/>
          <w:kern w:val="0"/>
          <w14:ligatures w14:val="none"/>
        </w:rPr>
        <w:t xml:space="preserve">s the budget </w:t>
      </w:r>
      <w:r w:rsidRPr="00315F26" w:rsidR="00F67768">
        <w:rPr>
          <w:rFonts w:ascii="Palatino Linotype" w:hAnsi="Palatino Linotype" w:eastAsia="Times New Roman" w:cs="Times New Roman"/>
          <w:kern w:val="0"/>
          <w14:ligatures w14:val="none"/>
        </w:rPr>
        <w:t>for SoCalGas</w:t>
      </w:r>
      <w:r w:rsidR="00F67768">
        <w:rPr>
          <w:rFonts w:ascii="Palatino Linotype" w:hAnsi="Palatino Linotype" w:eastAsia="Times New Roman" w:cs="Times New Roman"/>
          <w:kern w:val="0"/>
          <w14:ligatures w14:val="none"/>
        </w:rPr>
        <w:t xml:space="preserve"> to </w:t>
      </w:r>
      <w:r w:rsidRPr="00315F26" w:rsidR="00F67768">
        <w:rPr>
          <w:rFonts w:ascii="Palatino Linotype" w:hAnsi="Palatino Linotype" w:eastAsia="Times New Roman" w:cs="Times New Roman"/>
          <w:kern w:val="0"/>
          <w14:ligatures w14:val="none"/>
        </w:rPr>
        <w:t xml:space="preserve">$3,621,692, </w:t>
      </w:r>
      <w:r w:rsidRPr="00315F26">
        <w:rPr>
          <w:rFonts w:ascii="Palatino Linotype" w:hAnsi="Palatino Linotype" w:eastAsia="Times New Roman" w:cs="Times New Roman"/>
          <w:kern w:val="0"/>
          <w14:ligatures w14:val="none"/>
        </w:rPr>
        <w:t>for utility-specific administrative costs for CAS Phase I implementation</w:t>
      </w:r>
      <w:r w:rsidRPr="00315F26" w:rsidR="3AAE047D">
        <w:rPr>
          <w:rFonts w:ascii="Palatino Linotype" w:hAnsi="Palatino Linotype" w:eastAsia="Times New Roman" w:cs="Times New Roman"/>
          <w:kern w:val="0"/>
          <w14:ligatures w14:val="none"/>
        </w:rPr>
        <w:t>.  These figures</w:t>
      </w:r>
      <w:r w:rsidRPr="00315F26">
        <w:rPr>
          <w:rFonts w:ascii="Palatino Linotype" w:hAnsi="Palatino Linotype" w:eastAsia="Times New Roman" w:cs="Times New Roman"/>
          <w:kern w:val="0"/>
          <w14:ligatures w14:val="none"/>
        </w:rPr>
        <w:t xml:space="preserve"> includ</w:t>
      </w:r>
      <w:r w:rsidRPr="00315F26" w:rsidR="47CAF76F">
        <w:rPr>
          <w:rFonts w:ascii="Palatino Linotype" w:hAnsi="Palatino Linotype" w:eastAsia="Times New Roman" w:cs="Times New Roman"/>
          <w:kern w:val="0"/>
          <w14:ligatures w14:val="none"/>
        </w:rPr>
        <w:t>e</w:t>
      </w:r>
      <w:r w:rsidRPr="00315F26">
        <w:rPr>
          <w:rFonts w:ascii="Palatino Linotype" w:hAnsi="Palatino Linotype" w:eastAsia="Times New Roman" w:cs="Times New Roman"/>
          <w:kern w:val="0"/>
          <w14:ligatures w14:val="none"/>
        </w:rPr>
        <w:t xml:space="preserve"> recorded costs during Program Years 2023 and 2024 and projected costs through the three-year contract term (noted in </w:t>
      </w:r>
      <w:r w:rsidRPr="00315F26" w:rsidR="0B6DCF08">
        <w:rPr>
          <w:rFonts w:ascii="Palatino Linotype" w:hAnsi="Palatino Linotype" w:eastAsia="Times New Roman" w:cs="Times New Roman"/>
          <w:kern w:val="0"/>
          <w14:ligatures w14:val="none"/>
        </w:rPr>
        <w:t xml:space="preserve">the </w:t>
      </w:r>
      <w:r w:rsidRPr="00315F26">
        <w:rPr>
          <w:rFonts w:ascii="Palatino Linotype" w:hAnsi="Palatino Linotype" w:eastAsia="Times New Roman" w:cs="Times New Roman"/>
          <w:kern w:val="0"/>
          <w14:ligatures w14:val="none"/>
        </w:rPr>
        <w:t>A</w:t>
      </w:r>
      <w:r w:rsidRPr="00315F26" w:rsidR="17C324C2">
        <w:rPr>
          <w:rFonts w:ascii="Palatino Linotype" w:hAnsi="Palatino Linotype" w:eastAsia="Times New Roman" w:cs="Times New Roman"/>
          <w:kern w:val="0"/>
          <w14:ligatures w14:val="none"/>
        </w:rPr>
        <w:t>Ls</w:t>
      </w:r>
      <w:r w:rsidRPr="00315F26">
        <w:rPr>
          <w:rFonts w:ascii="Palatino Linotype" w:hAnsi="Palatino Linotype" w:eastAsia="Times New Roman" w:cs="Times New Roman"/>
          <w:kern w:val="0"/>
          <w14:ligatures w14:val="none"/>
        </w:rPr>
        <w:t xml:space="preserve"> as Program Years </w:t>
      </w:r>
      <w:r w:rsidR="00A261F6">
        <w:rPr>
          <w:rFonts w:ascii="Palatino Linotype" w:hAnsi="Palatino Linotype" w:eastAsia="Times New Roman" w:cs="Times New Roman"/>
          <w:kern w:val="0"/>
          <w14:ligatures w14:val="none"/>
        </w:rPr>
        <w:br/>
      </w:r>
      <w:r w:rsidRPr="00315F26">
        <w:rPr>
          <w:rFonts w:ascii="Palatino Linotype" w:hAnsi="Palatino Linotype" w:eastAsia="Times New Roman" w:cs="Times New Roman"/>
          <w:kern w:val="0"/>
          <w14:ligatures w14:val="none"/>
        </w:rPr>
        <w:t>2025 - 2027).</w:t>
      </w:r>
    </w:p>
    <w:p w:rsidR="00353906" w:rsidP="00315F26" w:rsidRDefault="00353906" w14:paraId="7D9E67B9" w14:textId="77777777">
      <w:pPr>
        <w:spacing w:after="0" w:line="240" w:lineRule="auto"/>
        <w:rPr>
          <w:rFonts w:ascii="Palatino Linotype" w:hAnsi="Palatino Linotype" w:eastAsia="Times New Roman" w:cs="Times New Roman"/>
          <w:kern w:val="0"/>
          <w14:ligatures w14:val="none"/>
        </w:rPr>
      </w:pPr>
    </w:p>
    <w:p w:rsidR="00353906" w:rsidP="00315F26" w:rsidRDefault="00353906" w14:paraId="2A3039FB" w14:textId="4B99CC04">
      <w:pPr>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This </w:t>
      </w:r>
      <w:r w:rsidR="00AE7E3A">
        <w:rPr>
          <w:rFonts w:ascii="Palatino Linotype" w:hAnsi="Palatino Linotype" w:eastAsia="Times New Roman" w:cs="Times New Roman"/>
          <w:kern w:val="0"/>
          <w14:ligatures w14:val="none"/>
        </w:rPr>
        <w:t>R</w:t>
      </w:r>
      <w:r>
        <w:rPr>
          <w:rFonts w:ascii="Palatino Linotype" w:hAnsi="Palatino Linotype" w:eastAsia="Times New Roman" w:cs="Times New Roman"/>
          <w:kern w:val="0"/>
          <w14:ligatures w14:val="none"/>
        </w:rPr>
        <w:t>esolution</w:t>
      </w:r>
      <w:r w:rsidR="002D5BD3">
        <w:rPr>
          <w:rFonts w:ascii="Palatino Linotype" w:hAnsi="Palatino Linotype" w:eastAsia="Times New Roman" w:cs="Times New Roman"/>
          <w:kern w:val="0"/>
          <w14:ligatures w14:val="none"/>
        </w:rPr>
        <w:t xml:space="preserve"> denies individual IOU budgets </w:t>
      </w:r>
      <w:r w:rsidR="00030603">
        <w:rPr>
          <w:rFonts w:ascii="Palatino Linotype" w:hAnsi="Palatino Linotype" w:eastAsia="Times New Roman" w:cs="Times New Roman"/>
          <w:kern w:val="0"/>
          <w14:ligatures w14:val="none"/>
        </w:rPr>
        <w:t xml:space="preserve">for PG&amp;E, SCE, SDG&amp;E, and SoCalGas </w:t>
      </w:r>
      <w:r w:rsidR="00DA3533">
        <w:rPr>
          <w:rFonts w:ascii="Palatino Linotype" w:hAnsi="Palatino Linotype" w:eastAsia="Times New Roman" w:cs="Times New Roman"/>
          <w:kern w:val="0"/>
          <w14:ligatures w14:val="none"/>
        </w:rPr>
        <w:t xml:space="preserve">for projected costs </w:t>
      </w:r>
      <w:r w:rsidR="008A485F">
        <w:rPr>
          <w:rFonts w:ascii="Palatino Linotype" w:hAnsi="Palatino Linotype" w:eastAsia="Times New Roman" w:cs="Times New Roman"/>
          <w:kern w:val="0"/>
          <w14:ligatures w14:val="none"/>
        </w:rPr>
        <w:t>following the</w:t>
      </w:r>
      <w:r w:rsidR="00EA35B3">
        <w:rPr>
          <w:rFonts w:ascii="Palatino Linotype" w:hAnsi="Palatino Linotype" w:eastAsia="Times New Roman" w:cs="Times New Roman"/>
          <w:kern w:val="0"/>
          <w14:ligatures w14:val="none"/>
        </w:rPr>
        <w:t xml:space="preserve"> approved contract term of three years and</w:t>
      </w:r>
      <w:r w:rsidR="008A485F">
        <w:rPr>
          <w:rFonts w:ascii="Palatino Linotype" w:hAnsi="Palatino Linotype" w:eastAsia="Times New Roman" w:cs="Times New Roman"/>
          <w:kern w:val="0"/>
          <w14:ligatures w14:val="none"/>
        </w:rPr>
        <w:t xml:space="preserve"> during a potential contract extension</w:t>
      </w:r>
      <w:r w:rsidR="001C06DA">
        <w:rPr>
          <w:rFonts w:ascii="Palatino Linotype" w:hAnsi="Palatino Linotype" w:eastAsia="Times New Roman" w:cs="Times New Roman"/>
          <w:kern w:val="0"/>
          <w14:ligatures w14:val="none"/>
        </w:rPr>
        <w:t xml:space="preserve"> </w:t>
      </w:r>
      <w:r w:rsidRPr="00315F26" w:rsidR="001C06DA">
        <w:rPr>
          <w:rFonts w:ascii="Palatino Linotype" w:hAnsi="Palatino Linotype" w:eastAsia="Times New Roman" w:cs="Times New Roman"/>
          <w:kern w:val="0"/>
          <w14:ligatures w14:val="none"/>
        </w:rPr>
        <w:t>(noted in the ALs as Program Years 202</w:t>
      </w:r>
      <w:r w:rsidR="001C06DA">
        <w:rPr>
          <w:rFonts w:ascii="Palatino Linotype" w:hAnsi="Palatino Linotype" w:eastAsia="Times New Roman" w:cs="Times New Roman"/>
          <w:kern w:val="0"/>
          <w14:ligatures w14:val="none"/>
        </w:rPr>
        <w:t>8</w:t>
      </w:r>
      <w:r w:rsidRPr="00315F26" w:rsidR="001C06DA">
        <w:rPr>
          <w:rFonts w:ascii="Palatino Linotype" w:hAnsi="Palatino Linotype" w:eastAsia="Times New Roman" w:cs="Times New Roman"/>
          <w:kern w:val="0"/>
          <w14:ligatures w14:val="none"/>
        </w:rPr>
        <w:t xml:space="preserve"> - 202</w:t>
      </w:r>
      <w:r w:rsidR="001C06DA">
        <w:rPr>
          <w:rFonts w:ascii="Palatino Linotype" w:hAnsi="Palatino Linotype" w:eastAsia="Times New Roman" w:cs="Times New Roman"/>
          <w:kern w:val="0"/>
          <w14:ligatures w14:val="none"/>
        </w:rPr>
        <w:t>9</w:t>
      </w:r>
      <w:r w:rsidRPr="00315F26" w:rsidR="001C06DA">
        <w:rPr>
          <w:rFonts w:ascii="Palatino Linotype" w:hAnsi="Palatino Linotype" w:eastAsia="Times New Roman" w:cs="Times New Roman"/>
          <w:kern w:val="0"/>
          <w14:ligatures w14:val="none"/>
        </w:rPr>
        <w:t>)</w:t>
      </w:r>
      <w:r w:rsidR="008A485F">
        <w:rPr>
          <w:rFonts w:ascii="Palatino Linotype" w:hAnsi="Palatino Linotype" w:eastAsia="Times New Roman" w:cs="Times New Roman"/>
          <w:kern w:val="0"/>
          <w14:ligatures w14:val="none"/>
        </w:rPr>
        <w:t xml:space="preserve">. IOUs should instead include </w:t>
      </w:r>
      <w:r w:rsidR="00541F94">
        <w:rPr>
          <w:rFonts w:ascii="Palatino Linotype" w:hAnsi="Palatino Linotype" w:eastAsia="Palatino Linotype" w:cs="Times New Roman"/>
          <w:kern w:val="0"/>
          <w14:ligatures w14:val="none"/>
        </w:rPr>
        <w:t>any additional</w:t>
      </w:r>
      <w:r w:rsidR="00EA35B3">
        <w:rPr>
          <w:rFonts w:ascii="Palatino Linotype" w:hAnsi="Palatino Linotype" w:eastAsia="Palatino Linotype" w:cs="Times New Roman"/>
          <w:kern w:val="0"/>
          <w14:ligatures w14:val="none"/>
        </w:rPr>
        <w:t xml:space="preserve"> costs for CAS Phase I following the three-year </w:t>
      </w:r>
      <w:r w:rsidR="00EA35B3">
        <w:rPr>
          <w:rFonts w:ascii="Palatino Linotype" w:hAnsi="Palatino Linotype" w:eastAsia="Palatino Linotype" w:cs="Times New Roman"/>
          <w:kern w:val="0"/>
          <w14:ligatures w14:val="none"/>
        </w:rPr>
        <w:lastRenderedPageBreak/>
        <w:t xml:space="preserve">contract term as part of their </w:t>
      </w:r>
      <w:r w:rsidRPr="0098791D" w:rsidR="00EA35B3">
        <w:rPr>
          <w:rFonts w:ascii="Palatino Linotype" w:hAnsi="Palatino Linotype" w:eastAsia="Palatino Linotype" w:cs="Times New Roman"/>
          <w:kern w:val="0"/>
          <w14:ligatures w14:val="none"/>
        </w:rPr>
        <w:t>forecasted budget and revenue requirement in their next CARE, FERA, and ESA program and budget applications</w:t>
      </w:r>
      <w:r w:rsidR="00BE2D03">
        <w:rPr>
          <w:rFonts w:ascii="Palatino Linotype" w:hAnsi="Palatino Linotype" w:eastAsia="Palatino Linotype" w:cs="Times New Roman"/>
          <w:kern w:val="0"/>
          <w14:ligatures w14:val="none"/>
        </w:rPr>
        <w:t xml:space="preserve">, </w:t>
      </w:r>
      <w:r w:rsidR="00EA35B3">
        <w:rPr>
          <w:rFonts w:ascii="Palatino Linotype" w:hAnsi="Palatino Linotype" w:eastAsia="Palatino Linotype" w:cs="Times New Roman"/>
          <w:kern w:val="0"/>
          <w14:ligatures w14:val="none"/>
        </w:rPr>
        <w:t>as directed in D.23-05-006.</w:t>
      </w:r>
      <w:r w:rsidR="00EA35B3">
        <w:rPr>
          <w:rStyle w:val="FootnoteReference"/>
          <w:rFonts w:ascii="Palatino Linotype" w:hAnsi="Palatino Linotype" w:eastAsia="Palatino Linotype" w:cs="Times New Roman"/>
          <w:kern w:val="0"/>
          <w14:ligatures w14:val="none"/>
        </w:rPr>
        <w:footnoteReference w:id="3"/>
      </w:r>
    </w:p>
    <w:p w:rsidRPr="00952A87" w:rsidR="00353906" w:rsidP="00315F26" w:rsidRDefault="00353906" w14:paraId="6C593F73" w14:textId="77777777">
      <w:pPr>
        <w:spacing w:after="0" w:line="240" w:lineRule="auto"/>
        <w:rPr>
          <w:rFonts w:ascii="Palatino Linotype" w:hAnsi="Palatino Linotype" w:eastAsia="Times New Roman" w:cs="Times New Roman"/>
          <w:kern w:val="0"/>
          <w14:ligatures w14:val="none"/>
        </w:rPr>
      </w:pPr>
    </w:p>
    <w:p w:rsidRPr="001942D0" w:rsidR="00A76F4A" w:rsidP="00A76F4A" w:rsidRDefault="00A76F4A" w14:paraId="3CCFFB44"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Background</w:t>
      </w:r>
    </w:p>
    <w:p w:rsidRPr="008774CB" w:rsidR="008774CB" w:rsidP="008774CB" w:rsidRDefault="008774CB" w14:paraId="0D8AB8BC" w14:textId="6EEBA630">
      <w:p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On September 29, 2022, SB 1208 (2022) was chaptered by the Secretary of State, which added Section</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731 to the Public</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Utilities (Pub.</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Util.) Code and directs that:</w:t>
      </w:r>
    </w:p>
    <w:p w:rsidR="5EC483A8" w:rsidP="5EC483A8" w:rsidRDefault="5EC483A8" w14:paraId="6CFCD81D" w14:textId="6059F971">
      <w:pPr>
        <w:spacing w:after="0" w:line="240" w:lineRule="auto"/>
        <w:rPr>
          <w:rFonts w:ascii="Palatino Linotype" w:hAnsi="Palatino Linotype" w:eastAsia="Times New Roman" w:cs="Times New Roman"/>
        </w:rPr>
      </w:pPr>
    </w:p>
    <w:p w:rsidRPr="008774CB" w:rsidR="008774CB" w:rsidP="00882959" w:rsidRDefault="008774CB" w14:paraId="1DDDBBBF" w14:textId="77777777">
      <w:pPr>
        <w:spacing w:after="0" w:line="240" w:lineRule="auto"/>
        <w:ind w:left="720"/>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On or before June</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30,</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2024, the [c]ommission, in coordination and consultation with the Department of Community Services and Development and other relevant state agencies that provide low income electric or gas utility customer assistance programs, shall develop a process that, to the extent possible, enables customers to concurrently apply, or begin to apply, to multiple low income customer assistance programs using data collected during the original application process, including, but not limited to, all of the following programs:</w:t>
      </w:r>
    </w:p>
    <w:p w:rsidRPr="008774CB" w:rsidR="008774CB" w:rsidP="008774CB" w:rsidRDefault="008774CB" w14:paraId="5E7851BF" w14:textId="77777777">
      <w:pPr>
        <w:numPr>
          <w:ilvl w:val="0"/>
          <w:numId w:val="8"/>
        </w:num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The California Alternate Rates for Energy program described in Section</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739.1;</w:t>
      </w:r>
    </w:p>
    <w:p w:rsidRPr="008774CB" w:rsidR="008774CB" w:rsidP="008774CB" w:rsidRDefault="008774CB" w14:paraId="48E4F18A" w14:textId="77777777">
      <w:pPr>
        <w:numPr>
          <w:ilvl w:val="0"/>
          <w:numId w:val="8"/>
        </w:num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The Family Electric Rate Assistance program described in Section</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 xml:space="preserve">739.12; and </w:t>
      </w:r>
    </w:p>
    <w:p w:rsidRPr="008774CB" w:rsidR="008774CB" w:rsidP="008774CB" w:rsidRDefault="008774CB" w14:paraId="12131D38" w14:textId="77777777">
      <w:pPr>
        <w:numPr>
          <w:ilvl w:val="0"/>
          <w:numId w:val="8"/>
        </w:num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The Energy Savings Assistance Program described in Section</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 xml:space="preserve">2790. </w:t>
      </w:r>
    </w:p>
    <w:p w:rsidRPr="008774CB" w:rsidR="008774CB" w:rsidP="008774CB" w:rsidRDefault="008774CB" w14:paraId="025497E8" w14:textId="77777777">
      <w:pPr>
        <w:spacing w:after="0" w:line="240" w:lineRule="auto"/>
        <w:rPr>
          <w:rFonts w:ascii="Palatino Linotype" w:hAnsi="Palatino Linotype" w:eastAsia="Times New Roman" w:cs="Times New Roman"/>
          <w:kern w:val="0"/>
          <w14:ligatures w14:val="none"/>
        </w:rPr>
      </w:pPr>
    </w:p>
    <w:p w:rsidRPr="008774CB" w:rsidR="008774CB" w:rsidP="008774CB" w:rsidRDefault="008774CB" w14:paraId="0254595B" w14:textId="3C4E754B">
      <w:p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Pub.</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Util. Code Section</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 xml:space="preserve">731 also states that the new process shall be known as the </w:t>
      </w:r>
      <w:r w:rsidRPr="008774CB" w:rsidR="3846ED57">
        <w:rPr>
          <w:rFonts w:ascii="Palatino Linotype" w:hAnsi="Palatino Linotype" w:eastAsia="Times New Roman" w:cs="Times New Roman"/>
          <w:kern w:val="0"/>
          <w14:ligatures w14:val="none"/>
        </w:rPr>
        <w:t>C</w:t>
      </w:r>
      <w:r w:rsidRPr="008774CB">
        <w:rPr>
          <w:rFonts w:ascii="Palatino Linotype" w:hAnsi="Palatino Linotype" w:eastAsia="Times New Roman" w:cs="Times New Roman"/>
          <w:kern w:val="0"/>
          <w14:ligatures w14:val="none"/>
        </w:rPr>
        <w:t xml:space="preserve">oncurrent </w:t>
      </w:r>
      <w:r w:rsidRPr="008774CB" w:rsidR="2D1E4A36">
        <w:rPr>
          <w:rFonts w:ascii="Palatino Linotype" w:hAnsi="Palatino Linotype" w:eastAsia="Times New Roman" w:cs="Times New Roman"/>
          <w:kern w:val="0"/>
          <w14:ligatures w14:val="none"/>
        </w:rPr>
        <w:t>A</w:t>
      </w:r>
      <w:r w:rsidRPr="008774CB">
        <w:rPr>
          <w:rFonts w:ascii="Palatino Linotype" w:hAnsi="Palatino Linotype" w:eastAsia="Times New Roman" w:cs="Times New Roman"/>
          <w:kern w:val="0"/>
          <w14:ligatures w14:val="none"/>
        </w:rPr>
        <w:t>pplication process (</w:t>
      </w:r>
      <w:r w:rsidR="007B701F">
        <w:rPr>
          <w:rFonts w:ascii="Palatino Linotype" w:hAnsi="Palatino Linotype" w:eastAsia="Times New Roman" w:cs="Times New Roman"/>
          <w:kern w:val="0"/>
          <w14:ligatures w14:val="none"/>
        </w:rPr>
        <w:t>elsewhere</w:t>
      </w:r>
      <w:r w:rsidR="0014509F">
        <w:rPr>
          <w:rFonts w:ascii="Palatino Linotype" w:hAnsi="Palatino Linotype" w:eastAsia="Times New Roman" w:cs="Times New Roman"/>
          <w:kern w:val="0"/>
          <w14:ligatures w14:val="none"/>
        </w:rPr>
        <w:t xml:space="preserve"> referred to as the </w:t>
      </w:r>
      <w:r w:rsidR="3E639A7D">
        <w:rPr>
          <w:rFonts w:ascii="Palatino Linotype" w:hAnsi="Palatino Linotype" w:eastAsia="Times New Roman" w:cs="Times New Roman"/>
          <w:kern w:val="0"/>
          <w14:ligatures w14:val="none"/>
        </w:rPr>
        <w:t>C</w:t>
      </w:r>
      <w:r w:rsidR="0014509F">
        <w:rPr>
          <w:rFonts w:ascii="Palatino Linotype" w:hAnsi="Palatino Linotype" w:eastAsia="Times New Roman" w:cs="Times New Roman"/>
          <w:kern w:val="0"/>
          <w14:ligatures w14:val="none"/>
        </w:rPr>
        <w:t xml:space="preserve">oncurrent </w:t>
      </w:r>
      <w:r w:rsidR="4F187EB7">
        <w:rPr>
          <w:rFonts w:ascii="Palatino Linotype" w:hAnsi="Palatino Linotype" w:eastAsia="Times New Roman" w:cs="Times New Roman"/>
          <w:kern w:val="0"/>
          <w14:ligatures w14:val="none"/>
        </w:rPr>
        <w:t>A</w:t>
      </w:r>
      <w:r w:rsidR="0014509F">
        <w:rPr>
          <w:rFonts w:ascii="Palatino Linotype" w:hAnsi="Palatino Linotype" w:eastAsia="Times New Roman" w:cs="Times New Roman"/>
          <w:kern w:val="0"/>
          <w14:ligatures w14:val="none"/>
        </w:rPr>
        <w:t xml:space="preserve">pplication </w:t>
      </w:r>
      <w:r w:rsidR="0D2B5EA1">
        <w:rPr>
          <w:rFonts w:ascii="Palatino Linotype" w:hAnsi="Palatino Linotype" w:eastAsia="Times New Roman" w:cs="Times New Roman"/>
          <w:kern w:val="0"/>
          <w14:ligatures w14:val="none"/>
        </w:rPr>
        <w:t>S</w:t>
      </w:r>
      <w:r w:rsidR="0014509F">
        <w:rPr>
          <w:rFonts w:ascii="Palatino Linotype" w:hAnsi="Palatino Linotype" w:eastAsia="Times New Roman" w:cs="Times New Roman"/>
          <w:kern w:val="0"/>
          <w14:ligatures w14:val="none"/>
        </w:rPr>
        <w:t xml:space="preserve">ystem, or </w:t>
      </w:r>
      <w:r w:rsidRPr="008774CB">
        <w:rPr>
          <w:rFonts w:ascii="Palatino Linotype" w:hAnsi="Palatino Linotype" w:eastAsia="Times New Roman" w:cs="Times New Roman"/>
          <w:kern w:val="0"/>
          <w14:ligatures w14:val="none"/>
        </w:rPr>
        <w:t>CAS</w:t>
      </w:r>
      <w:r w:rsidRPr="008774CB" w:rsidR="52EEE360">
        <w:rPr>
          <w:rFonts w:ascii="Palatino Linotype" w:hAnsi="Palatino Linotype" w:eastAsia="Times New Roman" w:cs="Times New Roman"/>
          <w:kern w:val="0"/>
          <w14:ligatures w14:val="none"/>
        </w:rPr>
        <w:t>, the term used in this Resolution</w:t>
      </w:r>
      <w:r w:rsidRPr="008774CB">
        <w:rPr>
          <w:rFonts w:ascii="Palatino Linotype" w:hAnsi="Palatino Linotype" w:eastAsia="Times New Roman" w:cs="Times New Roman"/>
          <w:kern w:val="0"/>
          <w14:ligatures w14:val="none"/>
        </w:rPr>
        <w:t xml:space="preserve">) and that it complements, rather than replaces, other application processes. </w:t>
      </w:r>
      <w:r w:rsidRPr="008774CB" w:rsidR="3C3F908E">
        <w:rPr>
          <w:rFonts w:ascii="Palatino Linotype" w:hAnsi="Palatino Linotype" w:eastAsia="Times New Roman" w:cs="Times New Roman"/>
          <w:kern w:val="0"/>
          <w14:ligatures w14:val="none"/>
        </w:rPr>
        <w:t>The IOUs</w:t>
      </w:r>
      <w:r w:rsidRPr="008774CB">
        <w:rPr>
          <w:rFonts w:ascii="Palatino Linotype" w:hAnsi="Palatino Linotype" w:eastAsia="Times New Roman" w:cs="Times New Roman"/>
          <w:kern w:val="0"/>
          <w14:ligatures w14:val="none"/>
        </w:rPr>
        <w:t xml:space="preserve"> must also receive consent from </w:t>
      </w:r>
      <w:r w:rsidRPr="008774CB" w:rsidR="6C5D0520">
        <w:rPr>
          <w:rFonts w:ascii="Palatino Linotype" w:hAnsi="Palatino Linotype" w:eastAsia="Times New Roman" w:cs="Times New Roman"/>
          <w:kern w:val="0"/>
          <w14:ligatures w14:val="none"/>
        </w:rPr>
        <w:t xml:space="preserve">their </w:t>
      </w:r>
      <w:r w:rsidRPr="008774CB" w:rsidR="4681E24E">
        <w:rPr>
          <w:rFonts w:ascii="Palatino Linotype" w:hAnsi="Palatino Linotype" w:eastAsia="Times New Roman" w:cs="Times New Roman"/>
          <w:kern w:val="0"/>
          <w14:ligatures w14:val="none"/>
        </w:rPr>
        <w:t>customers</w:t>
      </w:r>
      <w:r w:rsidRPr="008774CB">
        <w:rPr>
          <w:rFonts w:ascii="Palatino Linotype" w:hAnsi="Palatino Linotype" w:eastAsia="Times New Roman" w:cs="Times New Roman"/>
          <w:kern w:val="0"/>
          <w14:ligatures w14:val="none"/>
        </w:rPr>
        <w:t xml:space="preserve"> to use already obtained application information to begin the enrollment process for other low-income electric or gas utility customer assistance programs. </w:t>
      </w:r>
    </w:p>
    <w:p w:rsidRPr="008774CB" w:rsidR="008774CB" w:rsidP="008774CB" w:rsidRDefault="008774CB" w14:paraId="78F4A2C4" w14:textId="77777777">
      <w:pPr>
        <w:spacing w:after="0" w:line="240" w:lineRule="auto"/>
        <w:rPr>
          <w:rFonts w:ascii="Palatino Linotype" w:hAnsi="Palatino Linotype" w:eastAsia="Times New Roman" w:cs="Times New Roman"/>
          <w:kern w:val="0"/>
          <w14:ligatures w14:val="none"/>
        </w:rPr>
      </w:pPr>
    </w:p>
    <w:p w:rsidRPr="008774CB" w:rsidR="008774CB" w:rsidP="008774CB" w:rsidRDefault="008774CB" w14:paraId="5C153E92" w14:textId="77777777">
      <w:p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On January 26, 2023, an Assigned Commissioner’s Ruling Amending Scope and Inviting Comments to Determine Next Steps in Light of Enactment of Senate Bill 1208 (AC Ruling) was issued in the consolidated proceeding for Applications (A.) 19-11-003, 19-11-004, 19-11-005, 19-11-006, and 19-11-007, pertaining to the IOUs’ California Alternate Rates for Energy (CARE), Energy Savings Assistance (ESA), and Family Electric Rate Assistance (FERA) programs for program years 2021-2026.</w:t>
      </w:r>
      <w:r w:rsidRPr="008774CB">
        <w:rPr>
          <w:rFonts w:ascii="Times New Roman" w:hAnsi="Times New Roman" w:eastAsia="Times New Roman" w:cs="Times New Roman"/>
          <w:kern w:val="0"/>
          <w14:ligatures w14:val="none"/>
        </w:rPr>
        <w:t> </w:t>
      </w:r>
      <w:r w:rsidRPr="008774CB">
        <w:rPr>
          <w:rFonts w:ascii="Palatino Linotype" w:hAnsi="Palatino Linotype" w:eastAsia="Times New Roman" w:cs="Times New Roman"/>
          <w:kern w:val="0"/>
          <w14:ligatures w14:val="none"/>
        </w:rPr>
        <w:t xml:space="preserve">The AC Ruling </w:t>
      </w:r>
      <w:r w:rsidRPr="008774CB">
        <w:rPr>
          <w:rFonts w:ascii="Palatino Linotype" w:hAnsi="Palatino Linotype" w:eastAsia="Times New Roman" w:cs="Times New Roman"/>
          <w:kern w:val="0"/>
          <w14:ligatures w14:val="none"/>
        </w:rPr>
        <w:lastRenderedPageBreak/>
        <w:t>designated PG&amp;E as the lead IOU and fiscal sponsor in development and implementation of the CAS.</w:t>
      </w:r>
      <w:r w:rsidRPr="008774CB">
        <w:rPr>
          <w:rFonts w:ascii="Palatino Linotype" w:hAnsi="Palatino Linotype" w:eastAsia="Times New Roman" w:cs="Times New Roman"/>
          <w:kern w:val="0"/>
          <w:vertAlign w:val="superscript"/>
          <w14:ligatures w14:val="none"/>
        </w:rPr>
        <w:footnoteReference w:id="4"/>
      </w:r>
      <w:r w:rsidRPr="008774CB">
        <w:rPr>
          <w:rFonts w:ascii="Palatino Linotype" w:hAnsi="Palatino Linotype" w:eastAsia="Times New Roman" w:cs="Times New Roman"/>
          <w:kern w:val="0"/>
          <w14:ligatures w14:val="none"/>
        </w:rPr>
        <w:t xml:space="preserve"> PG&amp;E was directed to:</w:t>
      </w:r>
      <w:r w:rsidRPr="008774CB">
        <w:rPr>
          <w:rFonts w:ascii="Palatino Linotype" w:hAnsi="Palatino Linotype" w:eastAsia="Times New Roman" w:cs="Times New Roman"/>
          <w:kern w:val="0"/>
          <w:vertAlign w:val="superscript"/>
          <w14:ligatures w14:val="none"/>
        </w:rPr>
        <w:footnoteReference w:id="5"/>
      </w:r>
    </w:p>
    <w:p w:rsidRPr="008774CB" w:rsidR="008774CB" w:rsidP="008774CB" w:rsidRDefault="008774CB" w14:paraId="360E45AD" w14:textId="77777777">
      <w:pPr>
        <w:numPr>
          <w:ilvl w:val="0"/>
          <w:numId w:val="9"/>
        </w:num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Issue a Request for Information (RFI) to identify timing and costs for development of the CAS;</w:t>
      </w:r>
    </w:p>
    <w:p w:rsidRPr="008774CB" w:rsidR="008774CB" w:rsidP="008774CB" w:rsidRDefault="008774CB" w14:paraId="5C93C122" w14:textId="77777777">
      <w:pPr>
        <w:numPr>
          <w:ilvl w:val="0"/>
          <w:numId w:val="9"/>
        </w:num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 xml:space="preserve">Develop and issue a Request for Proposals (RFP) for development of the CAS, including integration of IOU systems, testing, launch, and maintenance; </w:t>
      </w:r>
    </w:p>
    <w:p w:rsidRPr="008774CB" w:rsidR="008774CB" w:rsidP="008774CB" w:rsidRDefault="008774CB" w14:paraId="2B65138A" w14:textId="77777777">
      <w:pPr>
        <w:numPr>
          <w:ilvl w:val="0"/>
          <w:numId w:val="9"/>
        </w:num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Execute and manage the contract with the CAS platform developer.</w:t>
      </w:r>
    </w:p>
    <w:p w:rsidRPr="008774CB" w:rsidR="008774CB" w:rsidP="008774CB" w:rsidRDefault="008774CB" w14:paraId="5FAB54F8" w14:textId="77777777">
      <w:pPr>
        <w:spacing w:after="0" w:line="240" w:lineRule="auto"/>
        <w:rPr>
          <w:rFonts w:ascii="Palatino Linotype" w:hAnsi="Palatino Linotype" w:eastAsia="Times New Roman" w:cs="Times New Roman"/>
          <w:kern w:val="0"/>
          <w14:ligatures w14:val="none"/>
        </w:rPr>
      </w:pPr>
    </w:p>
    <w:p w:rsidRPr="008774CB" w:rsidR="008774CB" w:rsidP="008774CB" w:rsidRDefault="008774CB" w14:paraId="4AE7A501" w14:textId="77777777">
      <w:p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 xml:space="preserve">On May 19, 2023, the Commission approved D.23-05-006, directing PG&amp;E to issue an RFP for a CAS developer within 42 days after receiving design recommendations from the Commission’s Energy Division, but no later than December 29, 2023, and the CAS Working Group and, within 190 days after release of the CAS development RFP, file a Tier 3 Advice Letter seeking approval for the RFP bid selection and contract execution. The decision implements a phased approach to the development of the CAS, where PG&amp;E is the lead IOU for Phase I and describes features that must be included in Phase I of the CAS to meet the requirements of SB 1208. </w:t>
      </w:r>
    </w:p>
    <w:p w:rsidRPr="008774CB" w:rsidR="008774CB" w:rsidP="008774CB" w:rsidRDefault="008774CB" w14:paraId="33B1FB52" w14:textId="77777777">
      <w:pPr>
        <w:spacing w:after="0" w:line="240" w:lineRule="auto"/>
        <w:rPr>
          <w:rFonts w:ascii="Palatino Linotype" w:hAnsi="Palatino Linotype" w:eastAsia="Times New Roman" w:cs="Times New Roman"/>
          <w:kern w:val="0"/>
          <w14:ligatures w14:val="none"/>
        </w:rPr>
      </w:pPr>
    </w:p>
    <w:p w:rsidRPr="008774CB" w:rsidR="008774CB" w:rsidP="008774CB" w:rsidRDefault="002E6452" w14:paraId="4E03381A" w14:textId="7955A276">
      <w:pPr>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D.23-05-006</w:t>
      </w:r>
      <w:r w:rsidRPr="008774CB" w:rsidR="008774CB">
        <w:rPr>
          <w:rFonts w:ascii="Palatino Linotype" w:hAnsi="Palatino Linotype" w:eastAsia="Times New Roman" w:cs="Times New Roman"/>
          <w:kern w:val="0"/>
          <w14:ligatures w14:val="none"/>
        </w:rPr>
        <w:t xml:space="preserve"> established the CAS Working Group and tasked it with providing design recommendations and advice to PG&amp;E and Energy Division to guide the RFP development, contract negotiation, and system development for Phase I. The RFP and executed contract should adhere to the CAS Working Group’s and Energy Division’s recommendations. To support the CAS Working Group in developing recommendations, the decision directs PG&amp;E to provide to them all necessary contract information and anonymized results from the RFI, and work collaboratively with the CAS Working Group to develop the scope of the RFP and design of the selected bid. In addition, PG&amp;E was directed to provide ongoing updates to the Energy Division and CAS Working Group and consult with them on the full RFP, full contract with system developer, testing design and execution, and launch strategy.</w:t>
      </w:r>
    </w:p>
    <w:p w:rsidRPr="008774CB" w:rsidR="008774CB" w:rsidP="008774CB" w:rsidRDefault="008774CB" w14:paraId="6C8C29F0" w14:textId="77777777">
      <w:pPr>
        <w:spacing w:after="0" w:line="240" w:lineRule="auto"/>
        <w:rPr>
          <w:rFonts w:ascii="Palatino Linotype" w:hAnsi="Palatino Linotype" w:eastAsia="Times New Roman" w:cs="Times New Roman"/>
          <w:kern w:val="0"/>
          <w14:ligatures w14:val="none"/>
        </w:rPr>
      </w:pPr>
    </w:p>
    <w:p w:rsidRPr="008774CB" w:rsidR="008774CB" w:rsidP="008774CB" w:rsidRDefault="00FF58B0" w14:paraId="5831DCFD" w14:textId="57FD7456">
      <w:pPr>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D.23-05-006</w:t>
      </w:r>
      <w:r w:rsidRPr="008774CB" w:rsidR="008774CB">
        <w:rPr>
          <w:rFonts w:ascii="Palatino Linotype" w:hAnsi="Palatino Linotype" w:eastAsia="Times New Roman" w:cs="Times New Roman"/>
          <w:kern w:val="0"/>
          <w14:ligatures w14:val="none"/>
        </w:rPr>
        <w:t xml:space="preserve"> also directed the IOUs to establish two-way balancing accounts to track CAS Phase I development related costs, including those incurred related to </w:t>
      </w:r>
      <w:r w:rsidRPr="008774CB" w:rsidR="163BF1F1">
        <w:rPr>
          <w:rFonts w:ascii="Palatino Linotype" w:hAnsi="Palatino Linotype" w:eastAsia="Times New Roman" w:cs="Times New Roman"/>
          <w:kern w:val="0"/>
          <w14:ligatures w14:val="none"/>
        </w:rPr>
        <w:t xml:space="preserve">the </w:t>
      </w:r>
      <w:r w:rsidRPr="008774CB" w:rsidR="008774CB">
        <w:rPr>
          <w:rFonts w:ascii="Palatino Linotype" w:hAnsi="Palatino Linotype" w:eastAsia="Times New Roman" w:cs="Times New Roman"/>
          <w:kern w:val="0"/>
          <w14:ligatures w14:val="none"/>
        </w:rPr>
        <w:t>RFI</w:t>
      </w:r>
      <w:r w:rsidRPr="008774CB" w:rsidR="0B5CC1FB">
        <w:rPr>
          <w:rFonts w:ascii="Palatino Linotype" w:hAnsi="Palatino Linotype" w:eastAsia="Times New Roman" w:cs="Times New Roman"/>
          <w:kern w:val="0"/>
          <w14:ligatures w14:val="none"/>
        </w:rPr>
        <w:t xml:space="preserve"> and</w:t>
      </w:r>
      <w:r w:rsidRPr="008774CB" w:rsidR="008774CB">
        <w:rPr>
          <w:rFonts w:ascii="Palatino Linotype" w:hAnsi="Palatino Linotype" w:eastAsia="Times New Roman" w:cs="Times New Roman"/>
          <w:kern w:val="0"/>
          <w14:ligatures w14:val="none"/>
        </w:rPr>
        <w:t xml:space="preserve"> RFP, testing and development, system integration, maintenance, and the CAS Working Group. </w:t>
      </w:r>
      <w:r w:rsidRPr="008774CB" w:rsidR="4E0BC4E7">
        <w:rPr>
          <w:rFonts w:ascii="Palatino Linotype" w:hAnsi="Palatino Linotype" w:eastAsia="Times New Roman" w:cs="Times New Roman"/>
          <w:kern w:val="0"/>
          <w14:ligatures w14:val="none"/>
        </w:rPr>
        <w:t xml:space="preserve">The </w:t>
      </w:r>
      <w:r w:rsidRPr="008774CB" w:rsidR="008774CB">
        <w:rPr>
          <w:rFonts w:ascii="Palatino Linotype" w:hAnsi="Palatino Linotype" w:eastAsia="Times New Roman" w:cs="Times New Roman"/>
          <w:kern w:val="0"/>
          <w14:ligatures w14:val="none"/>
        </w:rPr>
        <w:t xml:space="preserve">IOUs filed Tier 2 ALs in June 2023 to establish two-way balancing accounts for this purpose and the Commission approved the ALs with an effective date of </w:t>
      </w:r>
      <w:r w:rsidR="00073D88">
        <w:rPr>
          <w:rFonts w:ascii="Palatino Linotype" w:hAnsi="Palatino Linotype" w:eastAsia="Times New Roman" w:cs="Times New Roman"/>
          <w:kern w:val="0"/>
          <w14:ligatures w14:val="none"/>
        </w:rPr>
        <w:br/>
      </w:r>
      <w:r w:rsidRPr="008774CB" w:rsidR="008774CB">
        <w:rPr>
          <w:rFonts w:ascii="Palatino Linotype" w:hAnsi="Palatino Linotype" w:eastAsia="Times New Roman" w:cs="Times New Roman"/>
          <w:kern w:val="0"/>
          <w14:ligatures w14:val="none"/>
        </w:rPr>
        <w:lastRenderedPageBreak/>
        <w:t>June 16, 2023.</w:t>
      </w:r>
      <w:r w:rsidRPr="008774CB" w:rsidR="008774CB">
        <w:rPr>
          <w:rFonts w:ascii="Palatino Linotype" w:hAnsi="Palatino Linotype" w:eastAsia="Times New Roman" w:cs="Times New Roman"/>
          <w:kern w:val="0"/>
          <w:vertAlign w:val="superscript"/>
          <w14:ligatures w14:val="none"/>
        </w:rPr>
        <w:footnoteReference w:id="6"/>
      </w:r>
      <w:r w:rsidRPr="008774CB" w:rsidR="008774CB">
        <w:rPr>
          <w:rFonts w:ascii="Palatino Linotype" w:hAnsi="Palatino Linotype" w:eastAsia="Times New Roman" w:cs="Times New Roman"/>
          <w:kern w:val="0"/>
          <w14:ligatures w14:val="none"/>
        </w:rPr>
        <w:t xml:space="preserve"> </w:t>
      </w:r>
      <w:r w:rsidR="00025F62">
        <w:rPr>
          <w:rFonts w:ascii="Palatino Linotype" w:hAnsi="Palatino Linotype" w:eastAsia="Times New Roman" w:cs="Times New Roman"/>
          <w:kern w:val="0"/>
          <w14:ligatures w14:val="none"/>
        </w:rPr>
        <w:t>D.23-05-006</w:t>
      </w:r>
      <w:r w:rsidR="0079285B">
        <w:rPr>
          <w:rFonts w:ascii="Palatino Linotype" w:hAnsi="Palatino Linotype" w:eastAsia="Times New Roman" w:cs="Times New Roman"/>
          <w:kern w:val="0"/>
          <w14:ligatures w14:val="none"/>
        </w:rPr>
        <w:t xml:space="preserve"> </w:t>
      </w:r>
      <w:r w:rsidR="00A932BE">
        <w:rPr>
          <w:rFonts w:ascii="Palatino Linotype" w:hAnsi="Palatino Linotype" w:eastAsia="Times New Roman" w:cs="Times New Roman"/>
          <w:kern w:val="0"/>
          <w14:ligatures w14:val="none"/>
        </w:rPr>
        <w:t>stated that</w:t>
      </w:r>
      <w:r w:rsidRPr="008774CB" w:rsidR="008774CB">
        <w:rPr>
          <w:rFonts w:ascii="Palatino Linotype" w:hAnsi="Palatino Linotype" w:eastAsia="Times New Roman" w:cs="Times New Roman"/>
          <w:kern w:val="0"/>
          <w14:ligatures w14:val="none"/>
        </w:rPr>
        <w:t xml:space="preserve"> IOUs may seek recovery of costs through </w:t>
      </w:r>
      <w:r>
        <w:rPr>
          <w:rFonts w:ascii="Palatino Linotype" w:hAnsi="Palatino Linotype" w:eastAsia="Times New Roman" w:cs="Times New Roman"/>
          <w:kern w:val="0"/>
          <w14:ligatures w14:val="none"/>
        </w:rPr>
        <w:t>each</w:t>
      </w:r>
      <w:r w:rsidRPr="008774CB">
        <w:rPr>
          <w:rFonts w:ascii="Palatino Linotype" w:hAnsi="Palatino Linotype" w:eastAsia="Times New Roman" w:cs="Times New Roman"/>
          <w:kern w:val="0"/>
          <w14:ligatures w14:val="none"/>
        </w:rPr>
        <w:t xml:space="preserve"> </w:t>
      </w:r>
      <w:r w:rsidRPr="008774CB" w:rsidR="008774CB">
        <w:rPr>
          <w:rFonts w:ascii="Palatino Linotype" w:hAnsi="Palatino Linotype" w:eastAsia="Times New Roman" w:cs="Times New Roman"/>
          <w:kern w:val="0"/>
          <w14:ligatures w14:val="none"/>
        </w:rPr>
        <w:t>IOU</w:t>
      </w:r>
      <w:r>
        <w:rPr>
          <w:rFonts w:ascii="Palatino Linotype" w:hAnsi="Palatino Linotype" w:eastAsia="Times New Roman" w:cs="Times New Roman"/>
          <w:kern w:val="0"/>
          <w14:ligatures w14:val="none"/>
        </w:rPr>
        <w:t>’</w:t>
      </w:r>
      <w:r w:rsidRPr="008774CB" w:rsidR="008774CB">
        <w:rPr>
          <w:rFonts w:ascii="Palatino Linotype" w:hAnsi="Palatino Linotype" w:eastAsia="Times New Roman" w:cs="Times New Roman"/>
          <w:kern w:val="0"/>
          <w14:ligatures w14:val="none"/>
        </w:rPr>
        <w:t>s annual rate change implementation advice letter,</w:t>
      </w:r>
      <w:r w:rsidR="000B11C6">
        <w:rPr>
          <w:rStyle w:val="FootnoteReference"/>
          <w:rFonts w:ascii="Palatino Linotype" w:hAnsi="Palatino Linotype" w:eastAsia="Times New Roman" w:cs="Times New Roman"/>
          <w:kern w:val="0"/>
          <w14:ligatures w14:val="none"/>
        </w:rPr>
        <w:footnoteReference w:id="7"/>
      </w:r>
      <w:r w:rsidRPr="008774CB" w:rsidR="008774CB">
        <w:rPr>
          <w:rFonts w:ascii="Palatino Linotype" w:hAnsi="Palatino Linotype" w:eastAsia="Times New Roman" w:cs="Times New Roman"/>
          <w:kern w:val="0"/>
          <w14:ligatures w14:val="none"/>
        </w:rPr>
        <w:t xml:space="preserve"> with common costs recovered using the approved co-funding split.</w:t>
      </w:r>
      <w:r w:rsidRPr="008774CB" w:rsidR="008774CB">
        <w:rPr>
          <w:rFonts w:ascii="Palatino Linotype" w:hAnsi="Palatino Linotype" w:eastAsia="Times New Roman" w:cs="Times New Roman"/>
          <w:kern w:val="0"/>
          <w:vertAlign w:val="superscript"/>
          <w14:ligatures w14:val="none"/>
        </w:rPr>
        <w:footnoteReference w:id="8"/>
      </w:r>
    </w:p>
    <w:p w:rsidRPr="008774CB" w:rsidR="008774CB" w:rsidP="008774CB" w:rsidRDefault="008774CB" w14:paraId="0BF7B90B" w14:textId="77777777">
      <w:pPr>
        <w:spacing w:after="0" w:line="240" w:lineRule="auto"/>
        <w:rPr>
          <w:rFonts w:ascii="Palatino Linotype" w:hAnsi="Palatino Linotype" w:eastAsia="Times New Roman" w:cs="Times New Roman"/>
          <w:kern w:val="0"/>
          <w14:ligatures w14:val="none"/>
        </w:rPr>
      </w:pPr>
    </w:p>
    <w:p w:rsidRPr="008774CB" w:rsidR="008774CB" w:rsidP="008774CB" w:rsidRDefault="008774CB" w14:paraId="39829A63" w14:textId="5AC14171">
      <w:pPr>
        <w:spacing w:after="0" w:line="240" w:lineRule="auto"/>
        <w:rPr>
          <w:rFonts w:ascii="Palatino Linotype" w:hAnsi="Palatino Linotype" w:eastAsia="Times New Roman" w:cs="Times New Roman"/>
          <w:kern w:val="0"/>
          <w14:ligatures w14:val="none"/>
        </w:rPr>
      </w:pPr>
      <w:r w:rsidRPr="008774CB">
        <w:rPr>
          <w:rFonts w:ascii="Palatino Linotype" w:hAnsi="Palatino Linotype" w:eastAsia="Times New Roman" w:cs="Times New Roman"/>
          <w:kern w:val="0"/>
          <w14:ligatures w14:val="none"/>
        </w:rPr>
        <w:t>On July 17, 2024, the IOUs requested an extension of 90 days to submit the Tier 3 AL seeking approval of the executed contract and budget, to ensure that the CAS RFP fully complies with the decision requirements and meets the technical recommendations provided by the CAS Working Group to deliver a solution that will be scalable beyond Phase I.</w:t>
      </w:r>
      <w:r w:rsidRPr="008774CB">
        <w:rPr>
          <w:rFonts w:ascii="Palatino Linotype" w:hAnsi="Palatino Linotype" w:eastAsia="Times New Roman" w:cs="Times New Roman"/>
          <w:kern w:val="0"/>
          <w:vertAlign w:val="superscript"/>
          <w14:ligatures w14:val="none"/>
        </w:rPr>
        <w:footnoteReference w:id="9"/>
      </w:r>
      <w:r w:rsidRPr="008774CB">
        <w:rPr>
          <w:rFonts w:ascii="Palatino Linotype" w:hAnsi="Palatino Linotype" w:eastAsia="Times New Roman" w:cs="Times New Roman"/>
          <w:kern w:val="0"/>
          <w14:ligatures w14:val="none"/>
        </w:rPr>
        <w:t xml:space="preserve"> </w:t>
      </w:r>
      <w:r w:rsidR="00025F62">
        <w:rPr>
          <w:rFonts w:ascii="Palatino Linotype" w:hAnsi="Palatino Linotype" w:eastAsia="Times New Roman" w:cs="Times New Roman"/>
          <w:kern w:val="0"/>
          <w14:ligatures w14:val="none"/>
        </w:rPr>
        <w:t>D.23-05-006</w:t>
      </w:r>
      <w:r w:rsidRPr="008774CB">
        <w:rPr>
          <w:rFonts w:ascii="Palatino Linotype" w:hAnsi="Palatino Linotype" w:eastAsia="Times New Roman" w:cs="Times New Roman"/>
          <w:kern w:val="0"/>
          <w14:ligatures w14:val="none"/>
        </w:rPr>
        <w:t xml:space="preserve"> directed the IOUs to submit the AL within 220 days after the RFP was released, which occurred on December 29, 2023, making August 5, 2024 the deadline for the AL. The Commission granted the extension to allow IOUs to file the AL by November 3, 2024.</w:t>
      </w:r>
      <w:r w:rsidRPr="008774CB">
        <w:rPr>
          <w:rFonts w:ascii="Palatino Linotype" w:hAnsi="Palatino Linotype" w:eastAsia="Times New Roman" w:cs="Times New Roman"/>
          <w:kern w:val="0"/>
          <w:vertAlign w:val="superscript"/>
          <w14:ligatures w14:val="none"/>
        </w:rPr>
        <w:footnoteReference w:id="10"/>
      </w:r>
    </w:p>
    <w:p w:rsidRPr="001942D0" w:rsidR="00A76F4A" w:rsidP="00A76F4A" w:rsidRDefault="00A76F4A" w14:paraId="6B8C5E37" w14:textId="77777777">
      <w:pPr>
        <w:spacing w:after="0" w:line="240" w:lineRule="auto"/>
        <w:rPr>
          <w:rFonts w:ascii="Palatino Linotype" w:hAnsi="Palatino Linotype" w:eastAsia="Palatino Linotype" w:cs="Times New Roman"/>
          <w:b/>
          <w:kern w:val="0"/>
          <w:u w:val="single"/>
          <w14:ligatures w14:val="none"/>
        </w:rPr>
      </w:pPr>
    </w:p>
    <w:p w:rsidRPr="001942D0" w:rsidR="00A76F4A" w:rsidP="00A76F4A" w:rsidRDefault="00A76F4A" w14:paraId="030741A5"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Notice</w:t>
      </w:r>
    </w:p>
    <w:p w:rsidRPr="005E0142" w:rsidR="005E0142" w:rsidP="005E0142" w:rsidRDefault="005E0142" w14:paraId="0A9FA189" w14:textId="77777777">
      <w:pPr>
        <w:spacing w:after="0" w:line="240" w:lineRule="auto"/>
        <w:rPr>
          <w:rFonts w:ascii="Palatino Linotype" w:hAnsi="Palatino Linotype" w:eastAsia="Palatino Linotype" w:cs="Times New Roman"/>
          <w:kern w:val="0"/>
          <w14:ligatures w14:val="none"/>
        </w:rPr>
      </w:pPr>
      <w:r w:rsidRPr="005E0142">
        <w:rPr>
          <w:rFonts w:ascii="Palatino Linotype" w:hAnsi="Palatino Linotype" w:eastAsia="Palatino Linotype" w:cs="Times New Roman"/>
          <w:kern w:val="0"/>
          <w14:ligatures w14:val="none"/>
        </w:rPr>
        <w:t xml:space="preserve">Notice of AL 4994-G/7422-E et al. was made by publication in the Commission’s Daily Calendar. PG&amp;E, SCE, SoCalGas, and SDG&amp;E state that a copy of the Advice Letter was mailed and distributed in accordance with Section 4 of General Order 96-B. </w:t>
      </w:r>
    </w:p>
    <w:p w:rsidRPr="001942D0" w:rsidR="00A76F4A" w:rsidP="00A76F4A" w:rsidRDefault="00A76F4A" w14:paraId="5A4FADB1" w14:textId="77777777">
      <w:pPr>
        <w:spacing w:after="0" w:line="240" w:lineRule="auto"/>
        <w:rPr>
          <w:rFonts w:ascii="Palatino Linotype" w:hAnsi="Palatino Linotype" w:eastAsia="Palatino Linotype" w:cs="Times New Roman"/>
          <w:kern w:val="0"/>
          <w14:ligatures w14:val="none"/>
        </w:rPr>
      </w:pPr>
    </w:p>
    <w:p w:rsidR="00A76F4A" w:rsidP="00A76F4A" w:rsidRDefault="00A76F4A" w14:paraId="3DC7474D"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Protests</w:t>
      </w:r>
    </w:p>
    <w:p w:rsidRPr="0006067A" w:rsidR="0006067A" w:rsidP="0006067A" w:rsidRDefault="0006067A" w14:paraId="3F993916" w14:textId="77777777">
      <w:pPr>
        <w:spacing w:after="0" w:line="240" w:lineRule="auto"/>
        <w:rPr>
          <w:rFonts w:ascii="Palatino Linotype" w:hAnsi="Palatino Linotype" w:eastAsia="Palatino Linotype" w:cs="Times New Roman"/>
          <w:kern w:val="0"/>
          <w14:ligatures w14:val="none"/>
        </w:rPr>
      </w:pPr>
      <w:r w:rsidRPr="0006067A">
        <w:rPr>
          <w:rFonts w:ascii="Palatino Linotype" w:hAnsi="Palatino Linotype" w:eastAsia="Palatino Linotype" w:cs="Times New Roman"/>
          <w:kern w:val="0"/>
          <w14:ligatures w14:val="none"/>
        </w:rPr>
        <w:t xml:space="preserve">Advice Letters 4994-G/7422-E et al. were not protested.  </w:t>
      </w:r>
    </w:p>
    <w:p w:rsidRPr="001942D0" w:rsidR="00A76F4A" w:rsidP="00A76F4A" w:rsidRDefault="00A76F4A" w14:paraId="7EEC86B5"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52F8DB71"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Discussion</w:t>
      </w:r>
    </w:p>
    <w:p w:rsidRPr="004D339D" w:rsidR="004D339D" w:rsidP="5EC483A8" w:rsidRDefault="004D339D" w14:paraId="6B33CCEF" w14:textId="1D82DB2A">
      <w:pPr>
        <w:spacing w:after="0" w:line="240" w:lineRule="auto"/>
        <w:rPr>
          <w:rFonts w:ascii="Palatino Linotype" w:hAnsi="Palatino Linotype" w:eastAsia="Palatino Linotype" w:cs="Times New Roman"/>
        </w:rPr>
      </w:pPr>
      <w:r w:rsidRPr="004D339D">
        <w:rPr>
          <w:rFonts w:ascii="Palatino Linotype" w:hAnsi="Palatino Linotype" w:eastAsia="Palatino Linotype" w:cs="Times New Roman"/>
          <w:kern w:val="0"/>
          <w14:ligatures w14:val="none"/>
        </w:rPr>
        <w:t xml:space="preserve">The Commission </w:t>
      </w:r>
      <w:r w:rsidRPr="004D339D" w:rsidR="16086A22">
        <w:rPr>
          <w:rFonts w:ascii="Palatino Linotype" w:hAnsi="Palatino Linotype" w:eastAsia="Palatino Linotype" w:cs="Times New Roman"/>
          <w:kern w:val="0"/>
          <w14:ligatures w14:val="none"/>
        </w:rPr>
        <w:t xml:space="preserve">has </w:t>
      </w:r>
      <w:r w:rsidRPr="004D339D">
        <w:rPr>
          <w:rFonts w:ascii="Palatino Linotype" w:hAnsi="Palatino Linotype" w:eastAsia="Palatino Linotype" w:cs="Times New Roman"/>
          <w:kern w:val="0"/>
          <w14:ligatures w14:val="none"/>
        </w:rPr>
        <w:t xml:space="preserve">reviewed AL 4994-G/7422-E et al. and finds the CAS RFP process and contract selection is reasonable. </w:t>
      </w:r>
      <w:r w:rsidR="0008655B">
        <w:rPr>
          <w:rFonts w:ascii="Palatino Linotype" w:hAnsi="Palatino Linotype" w:eastAsia="Palatino Linotype" w:cs="Times New Roman"/>
          <w:kern w:val="0"/>
          <w14:ligatures w14:val="none"/>
        </w:rPr>
        <w:t xml:space="preserve">The </w:t>
      </w:r>
      <w:r w:rsidRPr="004D339D">
        <w:rPr>
          <w:rFonts w:ascii="Palatino Linotype" w:hAnsi="Palatino Linotype" w:eastAsia="Palatino Linotype" w:cs="Times New Roman"/>
          <w:kern w:val="0"/>
          <w14:ligatures w14:val="none"/>
        </w:rPr>
        <w:t xml:space="preserve">IOUs explain that the RFP was built on the </w:t>
      </w:r>
      <w:r w:rsidRPr="004D339D">
        <w:rPr>
          <w:rFonts w:ascii="Palatino Linotype" w:hAnsi="Palatino Linotype" w:eastAsia="Palatino Linotype" w:cs="Times New Roman"/>
          <w:kern w:val="0"/>
          <w14:ligatures w14:val="none"/>
        </w:rPr>
        <w:lastRenderedPageBreak/>
        <w:t>information received from the RFI, the preliminary design requirements, and list of electric and gas assistance programs as recommended by the CAS Working Group and approved by Energy Division. All IOUs</w:t>
      </w:r>
      <w:r w:rsidR="00261C4B">
        <w:rPr>
          <w:rFonts w:ascii="Palatino Linotype" w:hAnsi="Palatino Linotype" w:eastAsia="Palatino Linotype" w:cs="Times New Roman"/>
          <w:kern w:val="0"/>
          <w14:ligatures w14:val="none"/>
        </w:rPr>
        <w:t>,</w:t>
      </w:r>
      <w:r w:rsidRPr="004D339D">
        <w:rPr>
          <w:rFonts w:ascii="Palatino Linotype" w:hAnsi="Palatino Linotype" w:eastAsia="Palatino Linotype" w:cs="Times New Roman"/>
          <w:kern w:val="0"/>
          <w14:ligatures w14:val="none"/>
        </w:rPr>
        <w:t xml:space="preserve"> </w:t>
      </w:r>
      <w:r w:rsidR="003C1AEB">
        <w:rPr>
          <w:rFonts w:ascii="Palatino Linotype" w:hAnsi="Palatino Linotype" w:eastAsia="Palatino Linotype" w:cs="Times New Roman"/>
          <w:kern w:val="0"/>
          <w14:ligatures w14:val="none"/>
        </w:rPr>
        <w:t>in addition to</w:t>
      </w:r>
      <w:r w:rsidRPr="004D339D" w:rsidR="00644E94">
        <w:rPr>
          <w:rFonts w:ascii="Palatino Linotype" w:hAnsi="Palatino Linotype" w:eastAsia="Palatino Linotype" w:cs="Times New Roman"/>
          <w:kern w:val="0"/>
          <w14:ligatures w14:val="none"/>
        </w:rPr>
        <w:t xml:space="preserve"> </w:t>
      </w:r>
      <w:r w:rsidRPr="004D339D">
        <w:rPr>
          <w:rFonts w:ascii="Palatino Linotype" w:hAnsi="Palatino Linotype" w:eastAsia="Palatino Linotype" w:cs="Times New Roman"/>
          <w:kern w:val="0"/>
          <w14:ligatures w14:val="none"/>
        </w:rPr>
        <w:t xml:space="preserve">CPUC </w:t>
      </w:r>
      <w:r w:rsidR="003C1AEB">
        <w:rPr>
          <w:rFonts w:ascii="Palatino Linotype" w:hAnsi="Palatino Linotype" w:eastAsia="Palatino Linotype" w:cs="Times New Roman"/>
          <w:kern w:val="0"/>
          <w14:ligatures w14:val="none"/>
        </w:rPr>
        <w:t>s</w:t>
      </w:r>
      <w:r w:rsidR="00644E94">
        <w:rPr>
          <w:rFonts w:ascii="Palatino Linotype" w:hAnsi="Palatino Linotype" w:eastAsia="Palatino Linotype" w:cs="Times New Roman"/>
          <w:kern w:val="0"/>
          <w14:ligatures w14:val="none"/>
        </w:rPr>
        <w:t>taff</w:t>
      </w:r>
      <w:r w:rsidR="00261C4B">
        <w:rPr>
          <w:rFonts w:ascii="Palatino Linotype" w:hAnsi="Palatino Linotype" w:eastAsia="Palatino Linotype" w:cs="Times New Roman"/>
          <w:kern w:val="0"/>
          <w14:ligatures w14:val="none"/>
        </w:rPr>
        <w:t>,</w:t>
      </w:r>
      <w:r w:rsidRPr="004D339D">
        <w:rPr>
          <w:rFonts w:ascii="Palatino Linotype" w:hAnsi="Palatino Linotype" w:eastAsia="Palatino Linotype" w:cs="Times New Roman"/>
          <w:kern w:val="0"/>
          <w14:ligatures w14:val="none"/>
        </w:rPr>
        <w:t xml:space="preserve"> participated in the bid selection process and worked with the RFP evaluation team to score proposals, identify a shortlist of bidders to interview, and select the top bid. After the evaluation team selected </w:t>
      </w:r>
      <w:r w:rsidRPr="00353906">
        <w:rPr>
          <w:rFonts w:ascii="Palatino Linotype" w:hAnsi="Palatino Linotype" w:eastAsia="Times New Roman" w:cs="Times New Roman"/>
          <w:kern w:val="0"/>
          <w14:ligatures w14:val="none"/>
        </w:rPr>
        <w:t>DNV</w:t>
      </w:r>
      <w:r>
        <w:rPr>
          <w:rFonts w:ascii="Palatino Linotype" w:hAnsi="Palatino Linotype" w:eastAsia="Times New Roman" w:cs="Times New Roman"/>
          <w:kern w:val="0"/>
          <w14:ligatures w14:val="none"/>
        </w:rPr>
        <w:t xml:space="preserve"> </w:t>
      </w:r>
      <w:r w:rsidRPr="004D339D">
        <w:rPr>
          <w:rFonts w:ascii="Palatino Linotype" w:hAnsi="Palatino Linotype" w:eastAsia="Palatino Linotype" w:cs="Times New Roman"/>
          <w:kern w:val="0"/>
          <w14:ligatures w14:val="none"/>
        </w:rPr>
        <w:t>Energy Services USA Inc. (DNV</w:t>
      </w:r>
      <w:r w:rsidRPr="004D339D" w:rsidR="00EA35B3">
        <w:rPr>
          <w:rFonts w:ascii="Palatino Linotype" w:hAnsi="Palatino Linotype" w:eastAsia="Palatino Linotype" w:cs="Times New Roman"/>
          <w:kern w:val="0"/>
          <w14:ligatures w14:val="none"/>
        </w:rPr>
        <w:t>)</w:t>
      </w:r>
      <w:r w:rsidRPr="004D339D">
        <w:rPr>
          <w:rFonts w:ascii="Palatino Linotype" w:hAnsi="Palatino Linotype" w:eastAsia="Palatino Linotype" w:cs="Times New Roman"/>
          <w:kern w:val="0"/>
          <w14:ligatures w14:val="none"/>
        </w:rPr>
        <w:t>, the CPUC conducted a conflict of interest screening in compliance with D.23-05-006.</w:t>
      </w:r>
      <w:r w:rsidRPr="004D339D">
        <w:rPr>
          <w:rFonts w:ascii="Palatino Linotype" w:hAnsi="Palatino Linotype" w:eastAsia="Palatino Linotype" w:cs="Times New Roman"/>
          <w:kern w:val="0"/>
          <w:vertAlign w:val="superscript"/>
          <w14:ligatures w14:val="none"/>
        </w:rPr>
        <w:footnoteReference w:id="11"/>
      </w:r>
      <w:r w:rsidRPr="004D339D">
        <w:rPr>
          <w:rFonts w:ascii="Palatino Linotype" w:hAnsi="Palatino Linotype" w:eastAsia="Palatino Linotype" w:cs="Times New Roman"/>
          <w:kern w:val="0"/>
          <w14:ligatures w14:val="none"/>
        </w:rPr>
        <w:t xml:space="preserve"> </w:t>
      </w:r>
    </w:p>
    <w:p w:rsidRPr="004D339D" w:rsidR="004D339D" w:rsidP="5EC483A8" w:rsidRDefault="004D339D" w14:paraId="3B4A8136" w14:textId="07B6B541">
      <w:pPr>
        <w:spacing w:after="0" w:line="240" w:lineRule="auto"/>
        <w:rPr>
          <w:rFonts w:ascii="Palatino Linotype" w:hAnsi="Palatino Linotype" w:eastAsia="Palatino Linotype" w:cs="Times New Roman"/>
        </w:rPr>
      </w:pPr>
    </w:p>
    <w:p w:rsidRPr="004D339D" w:rsidR="004D339D" w:rsidP="004D339D" w:rsidRDefault="00614555" w14:paraId="03C00E6C" w14:textId="6B591F9C">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The </w:t>
      </w:r>
      <w:r w:rsidRPr="004D339D" w:rsidR="004D339D">
        <w:rPr>
          <w:rFonts w:ascii="Palatino Linotype" w:hAnsi="Palatino Linotype" w:eastAsia="Palatino Linotype" w:cs="Times New Roman"/>
          <w:kern w:val="0"/>
          <w14:ligatures w14:val="none"/>
        </w:rPr>
        <w:t xml:space="preserve">IOUs also explain that during contract negotiations, PG&amp;E regularly met with CPUC staff to provide updates and ensure the final contract and Scope of Work met the requirements of the decision and SB 1208, were consistent with the design requirements as recommended by the CAS Working Group, and provide sufficient flexibility and scalability of the platform </w:t>
      </w:r>
      <w:r w:rsidR="00F14AEA">
        <w:rPr>
          <w:rFonts w:ascii="Palatino Linotype" w:hAnsi="Palatino Linotype" w:eastAsia="Palatino Linotype" w:cs="Times New Roman"/>
          <w:kern w:val="0"/>
          <w14:ligatures w14:val="none"/>
        </w:rPr>
        <w:t xml:space="preserve">in preparation for </w:t>
      </w:r>
      <w:r w:rsidR="00633317">
        <w:rPr>
          <w:rFonts w:ascii="Palatino Linotype" w:hAnsi="Palatino Linotype" w:eastAsia="Palatino Linotype" w:cs="Times New Roman"/>
          <w:kern w:val="0"/>
          <w14:ligatures w14:val="none"/>
        </w:rPr>
        <w:t xml:space="preserve">CAS </w:t>
      </w:r>
      <w:r w:rsidR="00F14AEA">
        <w:rPr>
          <w:rFonts w:ascii="Palatino Linotype" w:hAnsi="Palatino Linotype" w:eastAsia="Palatino Linotype" w:cs="Times New Roman"/>
          <w:kern w:val="0"/>
          <w14:ligatures w14:val="none"/>
        </w:rPr>
        <w:t>Phase II</w:t>
      </w:r>
      <w:r w:rsidR="008B7841">
        <w:rPr>
          <w:rFonts w:ascii="Palatino Linotype" w:hAnsi="Palatino Linotype" w:eastAsia="Palatino Linotype" w:cs="Times New Roman"/>
          <w:kern w:val="0"/>
          <w14:ligatures w14:val="none"/>
        </w:rPr>
        <w:t xml:space="preserve">, </w:t>
      </w:r>
      <w:r w:rsidRPr="008B7841" w:rsidR="008B7841">
        <w:rPr>
          <w:rFonts w:ascii="Palatino Linotype" w:hAnsi="Palatino Linotype" w:eastAsia="Palatino Linotype" w:cs="Times New Roman"/>
          <w:kern w:val="0"/>
          <w14:ligatures w14:val="none"/>
        </w:rPr>
        <w:t xml:space="preserve">which </w:t>
      </w:r>
      <w:r w:rsidR="004818AA">
        <w:rPr>
          <w:rFonts w:ascii="Palatino Linotype" w:hAnsi="Palatino Linotype" w:eastAsia="Palatino Linotype" w:cs="Times New Roman"/>
          <w:kern w:val="0"/>
          <w14:ligatures w14:val="none"/>
        </w:rPr>
        <w:t>may</w:t>
      </w:r>
      <w:r w:rsidRPr="008B7841" w:rsidR="008B7841">
        <w:rPr>
          <w:rFonts w:ascii="Palatino Linotype" w:hAnsi="Palatino Linotype" w:eastAsia="Palatino Linotype" w:cs="Times New Roman"/>
          <w:kern w:val="0"/>
          <w14:ligatures w14:val="none"/>
        </w:rPr>
        <w:t xml:space="preserve"> look to expand the programs offerings in CAS</w:t>
      </w:r>
      <w:r w:rsidRPr="004D339D" w:rsidR="004D339D">
        <w:rPr>
          <w:rFonts w:ascii="Palatino Linotype" w:hAnsi="Palatino Linotype" w:eastAsia="Palatino Linotype" w:cs="Times New Roman"/>
          <w:kern w:val="0"/>
          <w14:ligatures w14:val="none"/>
        </w:rPr>
        <w:t>.</w:t>
      </w:r>
      <w:r w:rsidR="00D736BA">
        <w:rPr>
          <w:rStyle w:val="FootnoteReference"/>
          <w:rFonts w:ascii="Palatino Linotype" w:hAnsi="Palatino Linotype" w:eastAsia="Palatino Linotype" w:cs="Times New Roman"/>
          <w:kern w:val="0"/>
          <w14:ligatures w14:val="none"/>
        </w:rPr>
        <w:footnoteReference w:id="12"/>
      </w:r>
    </w:p>
    <w:p w:rsidRPr="004D339D" w:rsidR="004D339D" w:rsidP="004D339D" w:rsidRDefault="004D339D" w14:paraId="79F5FF60" w14:textId="77777777">
      <w:pPr>
        <w:spacing w:after="0" w:line="240" w:lineRule="auto"/>
        <w:rPr>
          <w:rFonts w:ascii="Palatino Linotype" w:hAnsi="Palatino Linotype" w:eastAsia="Palatino Linotype" w:cs="Times New Roman"/>
          <w:kern w:val="0"/>
          <w14:ligatures w14:val="none"/>
        </w:rPr>
      </w:pPr>
    </w:p>
    <w:p w:rsidRPr="004D339D" w:rsidR="004D339D" w:rsidP="004D339D" w:rsidRDefault="004D339D" w14:paraId="6D530447" w14:textId="2E920648">
      <w:p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t>We find</w:t>
      </w:r>
      <w:r w:rsidR="00614555">
        <w:rPr>
          <w:rFonts w:ascii="Palatino Linotype" w:hAnsi="Palatino Linotype" w:eastAsia="Palatino Linotype" w:cs="Times New Roman"/>
          <w:kern w:val="0"/>
          <w14:ligatures w14:val="none"/>
        </w:rPr>
        <w:t xml:space="preserve"> the</w:t>
      </w:r>
      <w:r w:rsidRPr="004D339D">
        <w:rPr>
          <w:rFonts w:ascii="Palatino Linotype" w:hAnsi="Palatino Linotype" w:eastAsia="Palatino Linotype" w:cs="Times New Roman"/>
          <w:kern w:val="0"/>
          <w14:ligatures w14:val="none"/>
        </w:rPr>
        <w:t xml:space="preserve"> IOUs’ explanation of engagement with the </w:t>
      </w:r>
      <w:r w:rsidR="0002251F">
        <w:rPr>
          <w:rFonts w:ascii="Palatino Linotype" w:hAnsi="Palatino Linotype" w:eastAsia="Palatino Linotype" w:cs="Times New Roman"/>
          <w:kern w:val="0"/>
          <w14:ligatures w14:val="none"/>
        </w:rPr>
        <w:t>CPUC staff</w:t>
      </w:r>
      <w:r w:rsidRPr="004D339D">
        <w:rPr>
          <w:rFonts w:ascii="Palatino Linotype" w:hAnsi="Palatino Linotype" w:eastAsia="Palatino Linotype" w:cs="Times New Roman"/>
          <w:kern w:val="0"/>
          <w14:ligatures w14:val="none"/>
        </w:rPr>
        <w:t xml:space="preserve"> and CAS Working Group through the RFP process is also reasonable. </w:t>
      </w:r>
      <w:r w:rsidR="00294379">
        <w:rPr>
          <w:rFonts w:ascii="Palatino Linotype" w:hAnsi="Palatino Linotype" w:eastAsia="Palatino Linotype" w:cs="Times New Roman"/>
          <w:kern w:val="0"/>
          <w14:ligatures w14:val="none"/>
        </w:rPr>
        <w:t>The</w:t>
      </w:r>
      <w:r w:rsidRPr="004D339D">
        <w:rPr>
          <w:rFonts w:ascii="Palatino Linotype" w:hAnsi="Palatino Linotype" w:eastAsia="Palatino Linotype" w:cs="Times New Roman"/>
          <w:kern w:val="0"/>
          <w14:ligatures w14:val="none"/>
        </w:rPr>
        <w:t xml:space="preserve"> IOUs explain that PG&amp;E worked closely with the CAS Working Group to develop the scope of the RFP and design of the selected bid, including providing necessary information and updates about the RFP process, contract negotiation, and results from the RFI, and incorporated feedback from the CAS Working Group </w:t>
      </w:r>
      <w:r w:rsidRPr="004D339D" w:rsidR="3E0AE680">
        <w:rPr>
          <w:rFonts w:ascii="Palatino Linotype" w:hAnsi="Palatino Linotype" w:eastAsia="Palatino Linotype" w:cs="Times New Roman"/>
          <w:kern w:val="0"/>
          <w14:ligatures w14:val="none"/>
        </w:rPr>
        <w:t xml:space="preserve">and </w:t>
      </w:r>
      <w:r w:rsidR="00FA095D">
        <w:rPr>
          <w:rFonts w:ascii="Palatino Linotype" w:hAnsi="Palatino Linotype" w:eastAsia="Palatino Linotype" w:cs="Times New Roman"/>
          <w:kern w:val="0"/>
          <w14:ligatures w14:val="none"/>
        </w:rPr>
        <w:t xml:space="preserve">CPUC </w:t>
      </w:r>
      <w:r w:rsidR="0002251F">
        <w:rPr>
          <w:rFonts w:ascii="Palatino Linotype" w:hAnsi="Palatino Linotype" w:eastAsia="Palatino Linotype" w:cs="Times New Roman"/>
          <w:kern w:val="0"/>
          <w14:ligatures w14:val="none"/>
        </w:rPr>
        <w:t>staff</w:t>
      </w:r>
      <w:r w:rsidR="00FA095D">
        <w:rPr>
          <w:rFonts w:ascii="Palatino Linotype" w:hAnsi="Palatino Linotype" w:eastAsia="Palatino Linotype" w:cs="Times New Roman"/>
          <w:kern w:val="0"/>
          <w14:ligatures w14:val="none"/>
        </w:rPr>
        <w:t xml:space="preserve"> and </w:t>
      </w:r>
      <w:r w:rsidRPr="005C12E5" w:rsidR="005C12E5">
        <w:rPr>
          <w:rFonts w:ascii="Palatino Linotype" w:hAnsi="Palatino Linotype" w:eastAsia="Palatino Linotype" w:cs="Times New Roman"/>
          <w:kern w:val="0"/>
          <w14:ligatures w14:val="none"/>
        </w:rPr>
        <w:t>Information Technology</w:t>
      </w:r>
      <w:r w:rsidR="005C12E5">
        <w:rPr>
          <w:rFonts w:ascii="Palatino Linotype" w:hAnsi="Palatino Linotype" w:eastAsia="Palatino Linotype" w:cs="Times New Roman"/>
          <w:kern w:val="0"/>
          <w14:ligatures w14:val="none"/>
        </w:rPr>
        <w:t xml:space="preserve"> </w:t>
      </w:r>
      <w:r w:rsidRPr="005C12E5" w:rsidR="005C12E5">
        <w:rPr>
          <w:rFonts w:ascii="Palatino Linotype" w:hAnsi="Palatino Linotype" w:eastAsia="Palatino Linotype" w:cs="Times New Roman"/>
          <w:kern w:val="0"/>
          <w14:ligatures w14:val="none"/>
        </w:rPr>
        <w:t>Services Division</w:t>
      </w:r>
      <w:r w:rsidRPr="004D339D" w:rsidR="3E0AE680">
        <w:rPr>
          <w:rFonts w:ascii="Palatino Linotype" w:hAnsi="Palatino Linotype" w:eastAsia="Palatino Linotype" w:cs="Times New Roman"/>
          <w:kern w:val="0"/>
          <w14:ligatures w14:val="none"/>
        </w:rPr>
        <w:t xml:space="preserve"> </w:t>
      </w:r>
      <w:r w:rsidR="005C12E5">
        <w:rPr>
          <w:rFonts w:ascii="Palatino Linotype" w:hAnsi="Palatino Linotype" w:eastAsia="Palatino Linotype" w:cs="Times New Roman"/>
          <w:kern w:val="0"/>
          <w14:ligatures w14:val="none"/>
        </w:rPr>
        <w:t xml:space="preserve">staff </w:t>
      </w:r>
      <w:r w:rsidRPr="004D339D">
        <w:rPr>
          <w:rFonts w:ascii="Palatino Linotype" w:hAnsi="Palatino Linotype" w:eastAsia="Palatino Linotype" w:cs="Times New Roman"/>
          <w:kern w:val="0"/>
          <w14:ligatures w14:val="none"/>
        </w:rPr>
        <w:t xml:space="preserve">on the selected proposal before contract negotiations. </w:t>
      </w:r>
    </w:p>
    <w:p w:rsidRPr="004D339D" w:rsidR="004D339D" w:rsidP="004D339D" w:rsidRDefault="004D339D" w14:paraId="24D8021E" w14:textId="77777777">
      <w:pPr>
        <w:spacing w:after="0" w:line="240" w:lineRule="auto"/>
        <w:rPr>
          <w:rFonts w:ascii="Palatino Linotype" w:hAnsi="Palatino Linotype" w:eastAsia="Palatino Linotype" w:cs="Times New Roman"/>
          <w:kern w:val="0"/>
          <w14:ligatures w14:val="none"/>
        </w:rPr>
      </w:pPr>
    </w:p>
    <w:p w:rsidRPr="004D339D" w:rsidR="004D339D" w:rsidP="004D339D" w:rsidRDefault="004D339D" w14:paraId="0DD60926" w14:textId="49B4CED6">
      <w:p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t xml:space="preserve">We find that the contract between the consultant, DNV, and PG&amp;E as contained in Appendix A is reasonable. </w:t>
      </w:r>
      <w:r w:rsidR="00294379">
        <w:rPr>
          <w:rFonts w:ascii="Palatino Linotype" w:hAnsi="Palatino Linotype" w:eastAsia="Palatino Linotype" w:cs="Times New Roman"/>
          <w:kern w:val="0"/>
          <w14:ligatures w14:val="none"/>
        </w:rPr>
        <w:t xml:space="preserve">The </w:t>
      </w:r>
      <w:r w:rsidRPr="004D339D">
        <w:rPr>
          <w:rFonts w:ascii="Palatino Linotype" w:hAnsi="Palatino Linotype" w:eastAsia="Palatino Linotype" w:cs="Times New Roman"/>
          <w:kern w:val="0"/>
          <w14:ligatures w14:val="none"/>
        </w:rPr>
        <w:t>IOUs explain that the contract includes all the features required by the decision for Phase I,</w:t>
      </w:r>
      <w:r w:rsidRPr="004D339D">
        <w:rPr>
          <w:rFonts w:ascii="Palatino Linotype" w:hAnsi="Palatino Linotype" w:eastAsia="Palatino Linotype" w:cs="Times New Roman"/>
          <w:kern w:val="0"/>
          <w:vertAlign w:val="superscript"/>
          <w14:ligatures w14:val="none"/>
        </w:rPr>
        <w:footnoteReference w:id="13"/>
      </w:r>
      <w:r w:rsidRPr="004D339D">
        <w:rPr>
          <w:rFonts w:ascii="Palatino Linotype" w:hAnsi="Palatino Linotype" w:eastAsia="Palatino Linotype" w:cs="Times New Roman"/>
          <w:kern w:val="0"/>
          <w14:ligatures w14:val="none"/>
        </w:rPr>
        <w:t xml:space="preserve"> in order to meet the requirements of SB 1208 and leveraging the Universal Application System Report’s</w:t>
      </w:r>
      <w:r w:rsidRPr="004D339D" w:rsidR="00995C0F">
        <w:rPr>
          <w:rFonts w:ascii="Palatino Linotype" w:hAnsi="Palatino Linotype" w:eastAsia="Palatino Linotype" w:cs="Times New Roman"/>
          <w:kern w:val="0"/>
          <w:vertAlign w:val="superscript"/>
          <w14:ligatures w14:val="none"/>
        </w:rPr>
        <w:footnoteReference w:id="14"/>
      </w:r>
      <w:r w:rsidRPr="004D339D">
        <w:rPr>
          <w:rFonts w:ascii="Palatino Linotype" w:hAnsi="Palatino Linotype" w:eastAsia="Palatino Linotype" w:cs="Times New Roman"/>
          <w:kern w:val="0"/>
          <w14:ligatures w14:val="none"/>
        </w:rPr>
        <w:t xml:space="preserve"> findings:</w:t>
      </w:r>
    </w:p>
    <w:p w:rsidRPr="004D339D" w:rsidR="004D339D" w:rsidP="004D339D" w:rsidRDefault="004D339D" w14:paraId="6729BEE2" w14:textId="77777777">
      <w:pPr>
        <w:numPr>
          <w:ilvl w:val="0"/>
          <w:numId w:val="10"/>
        </w:num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lastRenderedPageBreak/>
        <w:t xml:space="preserve">The CAS will recommend programs the customers may be eligible for after gathering eligibility information from the user; </w:t>
      </w:r>
    </w:p>
    <w:p w:rsidRPr="004D339D" w:rsidR="004D339D" w:rsidP="004D339D" w:rsidRDefault="004D339D" w14:paraId="478CDA43" w14:textId="77777777">
      <w:pPr>
        <w:numPr>
          <w:ilvl w:val="0"/>
          <w:numId w:val="10"/>
        </w:num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t>CAS users will be able to concurrently apply</w:t>
      </w:r>
      <w:r w:rsidRPr="5EC483A8">
        <w:rPr>
          <w:rFonts w:ascii="Palatino Linotype" w:hAnsi="Palatino Linotype" w:eastAsia="Palatino Linotype" w:cs="Times New Roman"/>
        </w:rPr>
        <w:t>,</w:t>
      </w:r>
      <w:r w:rsidRPr="004D339D">
        <w:rPr>
          <w:rFonts w:ascii="Palatino Linotype" w:hAnsi="Palatino Linotype" w:eastAsia="Palatino Linotype" w:cs="Times New Roman"/>
          <w:kern w:val="0"/>
          <w14:ligatures w14:val="none"/>
        </w:rPr>
        <w:t xml:space="preserve"> or begin to apply for</w:t>
      </w:r>
      <w:r w:rsidRPr="5EC483A8">
        <w:rPr>
          <w:rFonts w:ascii="Palatino Linotype" w:hAnsi="Palatino Linotype" w:eastAsia="Palatino Linotype" w:cs="Times New Roman"/>
        </w:rPr>
        <w:t>,</w:t>
      </w:r>
      <w:r w:rsidRPr="004D339D">
        <w:rPr>
          <w:rFonts w:ascii="Palatino Linotype" w:hAnsi="Palatino Linotype" w:eastAsia="Palatino Linotype" w:cs="Times New Roman"/>
          <w:kern w:val="0"/>
          <w14:ligatures w14:val="none"/>
        </w:rPr>
        <w:t xml:space="preserve"> the CARE, ESA, and FERA programs through a single platform; </w:t>
      </w:r>
    </w:p>
    <w:p w:rsidRPr="004D339D" w:rsidR="004D339D" w:rsidP="004D339D" w:rsidRDefault="004D339D" w14:paraId="019E2757" w14:textId="77777777">
      <w:pPr>
        <w:numPr>
          <w:ilvl w:val="0"/>
          <w:numId w:val="10"/>
        </w:num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t xml:space="preserve">The CAS will transmit customer information to program administrators to facilitate the enrollment of customers in other eligible programs; </w:t>
      </w:r>
    </w:p>
    <w:p w:rsidRPr="004D339D" w:rsidR="004D339D" w:rsidP="004D339D" w:rsidRDefault="004D339D" w14:paraId="2B57F6C5" w14:textId="77777777">
      <w:pPr>
        <w:numPr>
          <w:ilvl w:val="0"/>
          <w:numId w:val="10"/>
        </w:num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t xml:space="preserve">The CAS will be accessible to all types of users, including supporting Web Content Accessibility Guidelines, or equivalent, and available in multiple languages; and </w:t>
      </w:r>
    </w:p>
    <w:p w:rsidRPr="004D339D" w:rsidR="004D339D" w:rsidP="004D339D" w:rsidRDefault="004D339D" w14:paraId="68A2A5F4" w14:textId="77777777">
      <w:pPr>
        <w:numPr>
          <w:ilvl w:val="0"/>
          <w:numId w:val="10"/>
        </w:num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t>The CAS will allow customers to provide consent to share personal information, and the platform shall follow data privacy and security rules.</w:t>
      </w:r>
    </w:p>
    <w:p w:rsidRPr="004D339D" w:rsidR="004D339D" w:rsidP="004D339D" w:rsidRDefault="004D339D" w14:paraId="42C5646F" w14:textId="77777777">
      <w:pPr>
        <w:spacing w:after="0" w:line="240" w:lineRule="auto"/>
        <w:rPr>
          <w:rFonts w:ascii="Palatino Linotype" w:hAnsi="Palatino Linotype" w:eastAsia="Palatino Linotype" w:cs="Times New Roman"/>
          <w:kern w:val="0"/>
          <w14:ligatures w14:val="none"/>
        </w:rPr>
      </w:pPr>
    </w:p>
    <w:p w:rsidRPr="004D339D" w:rsidR="004D339D" w:rsidP="004D339D" w:rsidRDefault="00B32298" w14:paraId="29AACFF1" w14:textId="435EC530">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The </w:t>
      </w:r>
      <w:r w:rsidRPr="004D339D" w:rsidR="004D339D">
        <w:rPr>
          <w:rFonts w:ascii="Palatino Linotype" w:hAnsi="Palatino Linotype" w:eastAsia="Palatino Linotype" w:cs="Times New Roman"/>
          <w:kern w:val="0"/>
          <w14:ligatures w14:val="none"/>
        </w:rPr>
        <w:t>IOUs state that the contract scope adheres to recommendations from the CAS Working Group and the Energy Division regarding the design, customer programs, and features of CAS, including ability for the CAS to recommend relevant programs to customers, enable customers to concurrently apply to programs or provide information on how to apply, gather customer consent, provide resources for households in crisis, and support multiple user types, such as Community Based Organizations</w:t>
      </w:r>
      <w:r w:rsidR="00DF62B0">
        <w:rPr>
          <w:rFonts w:ascii="Palatino Linotype" w:hAnsi="Palatino Linotype" w:eastAsia="Palatino Linotype" w:cs="Times New Roman"/>
          <w:kern w:val="0"/>
          <w14:ligatures w14:val="none"/>
        </w:rPr>
        <w:t xml:space="preserve"> that can assist</w:t>
      </w:r>
      <w:r w:rsidR="00C7622B">
        <w:rPr>
          <w:rFonts w:ascii="Palatino Linotype" w:hAnsi="Palatino Linotype" w:eastAsia="Palatino Linotype" w:cs="Times New Roman"/>
          <w:kern w:val="0"/>
          <w14:ligatures w14:val="none"/>
        </w:rPr>
        <w:t xml:space="preserve"> customers in applying to program</w:t>
      </w:r>
      <w:r w:rsidR="00E96143">
        <w:rPr>
          <w:rFonts w:ascii="Palatino Linotype" w:hAnsi="Palatino Linotype" w:eastAsia="Palatino Linotype" w:cs="Times New Roman"/>
          <w:kern w:val="0"/>
          <w14:ligatures w14:val="none"/>
        </w:rPr>
        <w:t>s</w:t>
      </w:r>
      <w:r w:rsidR="00C7622B">
        <w:rPr>
          <w:rFonts w:ascii="Palatino Linotype" w:hAnsi="Palatino Linotype" w:eastAsia="Palatino Linotype" w:cs="Times New Roman"/>
          <w:kern w:val="0"/>
          <w14:ligatures w14:val="none"/>
        </w:rPr>
        <w:t xml:space="preserve"> through CAS and </w:t>
      </w:r>
      <w:r w:rsidR="00A951A6">
        <w:rPr>
          <w:rFonts w:ascii="Palatino Linotype" w:hAnsi="Palatino Linotype" w:eastAsia="Palatino Linotype" w:cs="Times New Roman"/>
          <w:kern w:val="0"/>
          <w14:ligatures w14:val="none"/>
        </w:rPr>
        <w:t xml:space="preserve">track </w:t>
      </w:r>
      <w:r w:rsidR="001C5DD2">
        <w:rPr>
          <w:rFonts w:ascii="Palatino Linotype" w:hAnsi="Palatino Linotype" w:eastAsia="Palatino Linotype" w:cs="Times New Roman"/>
          <w:kern w:val="0"/>
          <w14:ligatures w14:val="none"/>
        </w:rPr>
        <w:t>applications</w:t>
      </w:r>
      <w:r w:rsidR="00A951A6">
        <w:rPr>
          <w:rFonts w:ascii="Palatino Linotype" w:hAnsi="Palatino Linotype" w:eastAsia="Palatino Linotype" w:cs="Times New Roman"/>
          <w:kern w:val="0"/>
          <w14:ligatures w14:val="none"/>
        </w:rPr>
        <w:t xml:space="preserve"> to </w:t>
      </w:r>
      <w:r w:rsidR="001C5DD2">
        <w:rPr>
          <w:rFonts w:ascii="Palatino Linotype" w:hAnsi="Palatino Linotype" w:eastAsia="Palatino Linotype" w:cs="Times New Roman"/>
          <w:kern w:val="0"/>
          <w14:ligatures w14:val="none"/>
        </w:rPr>
        <w:t>receive</w:t>
      </w:r>
      <w:r w:rsidR="00C7622B">
        <w:rPr>
          <w:rFonts w:ascii="Palatino Linotype" w:hAnsi="Palatino Linotype" w:eastAsia="Palatino Linotype" w:cs="Times New Roman"/>
          <w:kern w:val="0"/>
          <w14:ligatures w14:val="none"/>
        </w:rPr>
        <w:t xml:space="preserve"> capitation payments</w:t>
      </w:r>
      <w:r w:rsidR="00777618">
        <w:rPr>
          <w:rFonts w:ascii="Palatino Linotype" w:hAnsi="Palatino Linotype" w:eastAsia="Palatino Linotype" w:cs="Times New Roman"/>
          <w:kern w:val="0"/>
          <w14:ligatures w14:val="none"/>
        </w:rPr>
        <w:t xml:space="preserve"> from applicable programs</w:t>
      </w:r>
      <w:r w:rsidRPr="004D339D" w:rsidR="004D339D">
        <w:rPr>
          <w:rFonts w:ascii="Palatino Linotype" w:hAnsi="Palatino Linotype" w:eastAsia="Palatino Linotype" w:cs="Times New Roman"/>
          <w:kern w:val="0"/>
          <w14:ligatures w14:val="none"/>
        </w:rPr>
        <w:t>. The proposed CAS system will also utilize a configurable integration framework to enable flexibility and scalability to other energy and non-energy utility programs and systems in the future.</w:t>
      </w:r>
      <w:r w:rsidRPr="004D339D" w:rsidR="004D339D">
        <w:rPr>
          <w:rFonts w:ascii="Palatino Linotype" w:hAnsi="Palatino Linotype" w:eastAsia="Palatino Linotype" w:cs="Times New Roman"/>
          <w:kern w:val="0"/>
          <w:vertAlign w:val="superscript"/>
          <w14:ligatures w14:val="none"/>
        </w:rPr>
        <w:footnoteReference w:id="15"/>
      </w:r>
    </w:p>
    <w:p w:rsidRPr="004D339D" w:rsidR="004D339D" w:rsidP="004D339D" w:rsidRDefault="004D339D" w14:paraId="18F80D52" w14:textId="77777777">
      <w:pPr>
        <w:spacing w:after="0" w:line="240" w:lineRule="auto"/>
        <w:rPr>
          <w:rFonts w:ascii="Palatino Linotype" w:hAnsi="Palatino Linotype" w:eastAsia="Palatino Linotype" w:cs="Times New Roman"/>
          <w:kern w:val="0"/>
          <w14:ligatures w14:val="none"/>
        </w:rPr>
      </w:pPr>
    </w:p>
    <w:p w:rsidRPr="004D339D" w:rsidR="004D339D" w:rsidP="004D339D" w:rsidRDefault="004D339D" w14:paraId="7F23C22D" w14:textId="071EE620">
      <w:p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t xml:space="preserve">The decision states that </w:t>
      </w:r>
      <w:r w:rsidR="001B1D2B">
        <w:rPr>
          <w:rFonts w:ascii="Palatino Linotype" w:hAnsi="Palatino Linotype" w:eastAsia="Palatino Linotype" w:cs="Times New Roman"/>
          <w:kern w:val="0"/>
          <w14:ligatures w14:val="none"/>
        </w:rPr>
        <w:t>the</w:t>
      </w:r>
      <w:r w:rsidRPr="004D339D">
        <w:rPr>
          <w:rFonts w:ascii="Palatino Linotype" w:hAnsi="Palatino Linotype" w:eastAsia="Palatino Linotype" w:cs="Times New Roman"/>
          <w:kern w:val="0"/>
          <w14:ligatures w14:val="none"/>
        </w:rPr>
        <w:t xml:space="preserve"> IOUs should be prepared to integrate their existing ESA, CARE, and FERA enrollment systems to allow for integration with the CAS and establish agreements with the CAS developer, including data sharing agreements, within 90 days after contract execution. </w:t>
      </w:r>
      <w:r w:rsidR="00C543E1">
        <w:rPr>
          <w:rFonts w:ascii="Palatino Linotype" w:hAnsi="Palatino Linotype" w:eastAsia="Palatino Linotype" w:cs="Times New Roman"/>
          <w:kern w:val="0"/>
          <w14:ligatures w14:val="none"/>
        </w:rPr>
        <w:t xml:space="preserve">The </w:t>
      </w:r>
      <w:r w:rsidRPr="004D339D">
        <w:rPr>
          <w:rFonts w:ascii="Palatino Linotype" w:hAnsi="Palatino Linotype" w:eastAsia="Palatino Linotype" w:cs="Times New Roman"/>
          <w:kern w:val="0"/>
          <w14:ligatures w14:val="none"/>
        </w:rPr>
        <w:t xml:space="preserve">IOUs explain that the CAS will support integration with utility systems through Application Programming Interface (API) and secure file transfer protocol (eFTP). Integration of each </w:t>
      </w:r>
      <w:r w:rsidR="0007413A">
        <w:rPr>
          <w:rFonts w:ascii="Palatino Linotype" w:hAnsi="Palatino Linotype" w:eastAsia="Palatino Linotype" w:cs="Times New Roman"/>
          <w:kern w:val="0"/>
          <w14:ligatures w14:val="none"/>
        </w:rPr>
        <w:t>income-qualified energy</w:t>
      </w:r>
      <w:r w:rsidRPr="004D339D">
        <w:rPr>
          <w:rFonts w:ascii="Palatino Linotype" w:hAnsi="Palatino Linotype" w:eastAsia="Palatino Linotype" w:cs="Times New Roman"/>
          <w:kern w:val="0"/>
          <w14:ligatures w14:val="none"/>
        </w:rPr>
        <w:t xml:space="preserve"> program with the CAS is considered a utility-specific cost and is expected to be recorded in </w:t>
      </w:r>
      <w:r w:rsidR="00D84539">
        <w:rPr>
          <w:rFonts w:ascii="Palatino Linotype" w:hAnsi="Palatino Linotype" w:eastAsia="Palatino Linotype" w:cs="Times New Roman"/>
          <w:kern w:val="0"/>
          <w14:ligatures w14:val="none"/>
        </w:rPr>
        <w:t xml:space="preserve">the </w:t>
      </w:r>
      <w:r w:rsidRPr="004D339D">
        <w:rPr>
          <w:rFonts w:ascii="Palatino Linotype" w:hAnsi="Palatino Linotype" w:eastAsia="Palatino Linotype" w:cs="Times New Roman"/>
          <w:kern w:val="0"/>
          <w14:ligatures w14:val="none"/>
        </w:rPr>
        <w:t>IOUs’ respective balancing accounts.</w:t>
      </w:r>
      <w:r w:rsidRPr="004D339D">
        <w:rPr>
          <w:rFonts w:ascii="Palatino Linotype" w:hAnsi="Palatino Linotype" w:eastAsia="Palatino Linotype" w:cs="Times New Roman"/>
          <w:kern w:val="0"/>
          <w:vertAlign w:val="superscript"/>
          <w14:ligatures w14:val="none"/>
        </w:rPr>
        <w:footnoteReference w:id="16"/>
      </w:r>
    </w:p>
    <w:p w:rsidRPr="004D339D" w:rsidR="004D339D" w:rsidP="004D339D" w:rsidRDefault="004D339D" w14:paraId="19DD2BD1" w14:textId="77777777">
      <w:pPr>
        <w:spacing w:after="0" w:line="240" w:lineRule="auto"/>
        <w:rPr>
          <w:rFonts w:ascii="Palatino Linotype" w:hAnsi="Palatino Linotype" w:eastAsia="Palatino Linotype" w:cs="Times New Roman"/>
          <w:kern w:val="0"/>
          <w14:ligatures w14:val="none"/>
        </w:rPr>
      </w:pPr>
    </w:p>
    <w:p w:rsidRPr="004D339D" w:rsidR="004D339D" w:rsidP="004D339D" w:rsidRDefault="004D339D" w14:paraId="54E6A0F4" w14:textId="2B00369C">
      <w:p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t xml:space="preserve">We find the proposed budget for the CAS Phase 1 contract of $4,051,000 for technology services over three years is reasonable. </w:t>
      </w:r>
      <w:r w:rsidR="006F682E">
        <w:rPr>
          <w:rFonts w:ascii="Palatino Linotype" w:hAnsi="Palatino Linotype" w:eastAsia="Palatino Linotype" w:cs="Times New Roman"/>
          <w:kern w:val="0"/>
          <w14:ligatures w14:val="none"/>
        </w:rPr>
        <w:t xml:space="preserve">This estimate is </w:t>
      </w:r>
      <w:r w:rsidR="00DE0517">
        <w:rPr>
          <w:rFonts w:ascii="Palatino Linotype" w:hAnsi="Palatino Linotype" w:eastAsia="Palatino Linotype" w:cs="Times New Roman"/>
          <w:kern w:val="0"/>
          <w14:ligatures w14:val="none"/>
        </w:rPr>
        <w:t xml:space="preserve">also consistent and within range </w:t>
      </w:r>
      <w:r w:rsidR="00D84539">
        <w:rPr>
          <w:rFonts w:ascii="Palatino Linotype" w:hAnsi="Palatino Linotype" w:eastAsia="Palatino Linotype" w:cs="Times New Roman"/>
          <w:kern w:val="0"/>
          <w14:ligatures w14:val="none"/>
        </w:rPr>
        <w:lastRenderedPageBreak/>
        <w:t xml:space="preserve">of </w:t>
      </w:r>
      <w:r w:rsidR="00DE0517">
        <w:rPr>
          <w:rFonts w:ascii="Palatino Linotype" w:hAnsi="Palatino Linotype" w:eastAsia="Palatino Linotype" w:cs="Times New Roman"/>
          <w:kern w:val="0"/>
          <w14:ligatures w14:val="none"/>
        </w:rPr>
        <w:t xml:space="preserve">the information </w:t>
      </w:r>
      <w:r w:rsidR="00EC2272">
        <w:rPr>
          <w:rFonts w:ascii="Palatino Linotype" w:hAnsi="Palatino Linotype" w:eastAsia="Palatino Linotype" w:cs="Times New Roman"/>
          <w:kern w:val="0"/>
          <w14:ligatures w14:val="none"/>
        </w:rPr>
        <w:t>received through the RFI</w:t>
      </w:r>
      <w:r w:rsidR="004770C7">
        <w:rPr>
          <w:rFonts w:ascii="Palatino Linotype" w:hAnsi="Palatino Linotype" w:eastAsia="Palatino Linotype" w:cs="Times New Roman"/>
          <w:kern w:val="0"/>
          <w14:ligatures w14:val="none"/>
        </w:rPr>
        <w:t xml:space="preserve"> that PG&amp;E released in </w:t>
      </w:r>
      <w:r w:rsidR="008E6AA9">
        <w:rPr>
          <w:rFonts w:ascii="Palatino Linotype" w:hAnsi="Palatino Linotype" w:eastAsia="Palatino Linotype" w:cs="Times New Roman"/>
          <w:kern w:val="0"/>
          <w14:ligatures w14:val="none"/>
        </w:rPr>
        <w:t>March 2023</w:t>
      </w:r>
      <w:r w:rsidR="00EC2272">
        <w:rPr>
          <w:rFonts w:ascii="Palatino Linotype" w:hAnsi="Palatino Linotype" w:eastAsia="Palatino Linotype" w:cs="Times New Roman"/>
          <w:kern w:val="0"/>
          <w14:ligatures w14:val="none"/>
        </w:rPr>
        <w:t>.</w:t>
      </w:r>
      <w:r w:rsidR="008E6AA9">
        <w:rPr>
          <w:rStyle w:val="FootnoteReference"/>
          <w:rFonts w:ascii="Palatino Linotype" w:hAnsi="Palatino Linotype" w:eastAsia="Palatino Linotype" w:cs="Times New Roman"/>
          <w:kern w:val="0"/>
          <w14:ligatures w14:val="none"/>
        </w:rPr>
        <w:footnoteReference w:id="17"/>
      </w:r>
      <w:r w:rsidR="00EC2272">
        <w:rPr>
          <w:rFonts w:ascii="Palatino Linotype" w:hAnsi="Palatino Linotype" w:eastAsia="Palatino Linotype" w:cs="Times New Roman"/>
          <w:kern w:val="0"/>
          <w14:ligatures w14:val="none"/>
        </w:rPr>
        <w:t xml:space="preserve"> </w:t>
      </w:r>
      <w:r w:rsidRPr="004D339D">
        <w:rPr>
          <w:rFonts w:ascii="Palatino Linotype" w:hAnsi="Palatino Linotype" w:eastAsia="Palatino Linotype" w:cs="Times New Roman"/>
          <w:kern w:val="0"/>
          <w14:ligatures w14:val="none"/>
        </w:rPr>
        <w:t xml:space="preserve">PG&amp;E expects the CAS portal to launch during </w:t>
      </w:r>
      <w:r w:rsidR="006167AF">
        <w:rPr>
          <w:rFonts w:ascii="Palatino Linotype" w:hAnsi="Palatino Linotype" w:eastAsia="Palatino Linotype" w:cs="Times New Roman"/>
          <w:kern w:val="0"/>
          <w14:ligatures w14:val="none"/>
        </w:rPr>
        <w:t>Year 2</w:t>
      </w:r>
      <w:r w:rsidRPr="004D339D">
        <w:rPr>
          <w:rFonts w:ascii="Palatino Linotype" w:hAnsi="Palatino Linotype" w:eastAsia="Palatino Linotype" w:cs="Times New Roman"/>
          <w:kern w:val="0"/>
          <w14:ligatures w14:val="none"/>
        </w:rPr>
        <w:t xml:space="preserve"> of the contract</w:t>
      </w:r>
      <w:r w:rsidR="00FD7050">
        <w:rPr>
          <w:rFonts w:ascii="Palatino Linotype" w:hAnsi="Palatino Linotype" w:eastAsia="Palatino Linotype" w:cs="Times New Roman"/>
          <w:kern w:val="0"/>
          <w14:ligatures w14:val="none"/>
        </w:rPr>
        <w:t xml:space="preserve"> (projected </w:t>
      </w:r>
      <w:r w:rsidR="009900DF">
        <w:rPr>
          <w:rFonts w:ascii="Palatino Linotype" w:hAnsi="Palatino Linotype" w:eastAsia="Palatino Linotype" w:cs="Times New Roman"/>
          <w:kern w:val="0"/>
          <w14:ligatures w14:val="none"/>
        </w:rPr>
        <w:t>late 2026)</w:t>
      </w:r>
      <w:r w:rsidRPr="004D339D">
        <w:rPr>
          <w:rFonts w:ascii="Palatino Linotype" w:hAnsi="Palatino Linotype" w:eastAsia="Palatino Linotype" w:cs="Times New Roman"/>
          <w:kern w:val="0"/>
          <w14:ligatures w14:val="none"/>
        </w:rPr>
        <w:t>, leaving more than a year for operations, maintenance, and tracking results of the portal through the three-year contract term.</w:t>
      </w:r>
      <w:r w:rsidR="006167AF">
        <w:rPr>
          <w:rStyle w:val="FootnoteReference"/>
          <w:rFonts w:ascii="Palatino Linotype" w:hAnsi="Palatino Linotype" w:eastAsia="Palatino Linotype" w:cs="Times New Roman"/>
          <w:kern w:val="0"/>
          <w14:ligatures w14:val="none"/>
        </w:rPr>
        <w:footnoteReference w:id="18"/>
      </w:r>
      <w:r w:rsidRPr="004D339D">
        <w:rPr>
          <w:rFonts w:ascii="Palatino Linotype" w:hAnsi="Palatino Linotype" w:eastAsia="Palatino Linotype" w:cs="Times New Roman"/>
          <w:kern w:val="0"/>
          <w14:ligatures w14:val="none"/>
        </w:rPr>
        <w:t xml:space="preserve"> PG&amp;E notes that there are two optional one-year agreements for maintenance and operations of the </w:t>
      </w:r>
      <w:r w:rsidR="00336C20">
        <w:rPr>
          <w:rFonts w:ascii="Palatino Linotype" w:hAnsi="Palatino Linotype" w:eastAsia="Palatino Linotype" w:cs="Times New Roman"/>
          <w:kern w:val="0"/>
          <w14:ligatures w14:val="none"/>
        </w:rPr>
        <w:t>CAS platform</w:t>
      </w:r>
      <w:r w:rsidR="00FD5EC2">
        <w:rPr>
          <w:rFonts w:ascii="Palatino Linotype" w:hAnsi="Palatino Linotype" w:eastAsia="Palatino Linotype" w:cs="Times New Roman"/>
          <w:kern w:val="0"/>
          <w14:ligatures w14:val="none"/>
        </w:rPr>
        <w:t xml:space="preserve">, </w:t>
      </w:r>
      <w:r w:rsidR="00981335">
        <w:rPr>
          <w:rFonts w:ascii="Palatino Linotype" w:hAnsi="Palatino Linotype" w:eastAsia="Palatino Linotype" w:cs="Times New Roman"/>
          <w:kern w:val="0"/>
          <w14:ligatures w14:val="none"/>
        </w:rPr>
        <w:t>which could extend</w:t>
      </w:r>
      <w:r w:rsidR="00FD5EC2">
        <w:rPr>
          <w:rFonts w:ascii="Palatino Linotype" w:hAnsi="Palatino Linotype" w:eastAsia="Palatino Linotype" w:cs="Times New Roman"/>
          <w:kern w:val="0"/>
          <w14:ligatures w14:val="none"/>
        </w:rPr>
        <w:t xml:space="preserve"> the contract to </w:t>
      </w:r>
      <w:r w:rsidR="00336C20">
        <w:rPr>
          <w:rFonts w:ascii="Palatino Linotype" w:hAnsi="Palatino Linotype" w:eastAsia="Palatino Linotype" w:cs="Times New Roman"/>
          <w:kern w:val="0"/>
          <w14:ligatures w14:val="none"/>
        </w:rPr>
        <w:t>Year</w:t>
      </w:r>
      <w:r w:rsidR="00981335">
        <w:rPr>
          <w:rFonts w:ascii="Palatino Linotype" w:hAnsi="Palatino Linotype" w:eastAsia="Palatino Linotype" w:cs="Times New Roman"/>
          <w:kern w:val="0"/>
          <w14:ligatures w14:val="none"/>
        </w:rPr>
        <w:t>s</w:t>
      </w:r>
      <w:r w:rsidR="00336C20">
        <w:rPr>
          <w:rFonts w:ascii="Palatino Linotype" w:hAnsi="Palatino Linotype" w:eastAsia="Palatino Linotype" w:cs="Times New Roman"/>
          <w:kern w:val="0"/>
          <w14:ligatures w14:val="none"/>
        </w:rPr>
        <w:t xml:space="preserve"> 4 and 5</w:t>
      </w:r>
      <w:r w:rsidR="00DA4ED7">
        <w:rPr>
          <w:rFonts w:ascii="Palatino Linotype" w:hAnsi="Palatino Linotype" w:eastAsia="Palatino Linotype" w:cs="Times New Roman"/>
          <w:kern w:val="0"/>
          <w14:ligatures w14:val="none"/>
        </w:rPr>
        <w:t>,</w:t>
      </w:r>
      <w:r w:rsidR="00336C20">
        <w:rPr>
          <w:rFonts w:ascii="Palatino Linotype" w:hAnsi="Palatino Linotype" w:eastAsia="Palatino Linotype" w:cs="Times New Roman"/>
          <w:kern w:val="0"/>
          <w14:ligatures w14:val="none"/>
        </w:rPr>
        <w:t xml:space="preserve"> if </w:t>
      </w:r>
      <w:r w:rsidR="00974A98">
        <w:rPr>
          <w:rFonts w:ascii="Palatino Linotype" w:hAnsi="Palatino Linotype" w:eastAsia="Palatino Linotype" w:cs="Times New Roman"/>
          <w:kern w:val="0"/>
          <w14:ligatures w14:val="none"/>
        </w:rPr>
        <w:t>PG&amp;E</w:t>
      </w:r>
      <w:r w:rsidR="00CF4B04">
        <w:rPr>
          <w:rFonts w:ascii="Palatino Linotype" w:hAnsi="Palatino Linotype" w:eastAsia="Palatino Linotype" w:cs="Times New Roman"/>
          <w:kern w:val="0"/>
          <w14:ligatures w14:val="none"/>
        </w:rPr>
        <w:t xml:space="preserve"> propose</w:t>
      </w:r>
      <w:r w:rsidR="00DA4ED7">
        <w:rPr>
          <w:rFonts w:ascii="Palatino Linotype" w:hAnsi="Palatino Linotype" w:eastAsia="Palatino Linotype" w:cs="Times New Roman"/>
          <w:kern w:val="0"/>
          <w14:ligatures w14:val="none"/>
        </w:rPr>
        <w:t>s</w:t>
      </w:r>
      <w:r w:rsidR="00CF4B04">
        <w:rPr>
          <w:rFonts w:ascii="Palatino Linotype" w:hAnsi="Palatino Linotype" w:eastAsia="Palatino Linotype" w:cs="Times New Roman"/>
          <w:kern w:val="0"/>
          <w14:ligatures w14:val="none"/>
        </w:rPr>
        <w:t xml:space="preserve"> to extend the contract</w:t>
      </w:r>
      <w:r w:rsidRPr="004D339D">
        <w:rPr>
          <w:rFonts w:ascii="Palatino Linotype" w:hAnsi="Palatino Linotype" w:eastAsia="Palatino Linotype" w:cs="Times New Roman"/>
          <w:kern w:val="0"/>
          <w14:ligatures w14:val="none"/>
        </w:rPr>
        <w:t>.</w:t>
      </w:r>
    </w:p>
    <w:p w:rsidRPr="004D339D" w:rsidR="004D339D" w:rsidP="004D339D" w:rsidRDefault="004D339D" w14:paraId="2EB99B0A" w14:textId="77777777">
      <w:pPr>
        <w:spacing w:after="0" w:line="240" w:lineRule="auto"/>
        <w:rPr>
          <w:rFonts w:ascii="Palatino Linotype" w:hAnsi="Palatino Linotype" w:eastAsia="Palatino Linotype" w:cs="Times New Roman"/>
          <w:kern w:val="0"/>
          <w14:ligatures w14:val="none"/>
        </w:rPr>
      </w:pPr>
    </w:p>
    <w:p w:rsidR="001366F4" w:rsidP="00BB00F3" w:rsidRDefault="00127E48" w14:paraId="62FF5F47" w14:textId="3779F2F4">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Each </w:t>
      </w:r>
      <w:r w:rsidR="00B46A39">
        <w:rPr>
          <w:rFonts w:ascii="Palatino Linotype" w:hAnsi="Palatino Linotype" w:eastAsia="Palatino Linotype" w:cs="Times New Roman"/>
          <w:kern w:val="0"/>
          <w14:ligatures w14:val="none"/>
        </w:rPr>
        <w:t>utility</w:t>
      </w:r>
      <w:r>
        <w:rPr>
          <w:rFonts w:ascii="Palatino Linotype" w:hAnsi="Palatino Linotype" w:eastAsia="Palatino Linotype" w:cs="Times New Roman"/>
          <w:kern w:val="0"/>
          <w14:ligatures w14:val="none"/>
        </w:rPr>
        <w:t xml:space="preserve"> </w:t>
      </w:r>
      <w:r w:rsidR="00AB3FB5">
        <w:rPr>
          <w:rFonts w:ascii="Palatino Linotype" w:hAnsi="Palatino Linotype" w:eastAsia="Palatino Linotype" w:cs="Times New Roman"/>
          <w:kern w:val="0"/>
          <w14:ligatures w14:val="none"/>
        </w:rPr>
        <w:t>provided proposed budgets for</w:t>
      </w:r>
      <w:r w:rsidR="00B273F9">
        <w:rPr>
          <w:rFonts w:ascii="Palatino Linotype" w:hAnsi="Palatino Linotype" w:eastAsia="Palatino Linotype" w:cs="Times New Roman"/>
          <w:kern w:val="0"/>
          <w14:ligatures w14:val="none"/>
        </w:rPr>
        <w:t xml:space="preserve"> </w:t>
      </w:r>
      <w:r w:rsidR="001B3DEB">
        <w:rPr>
          <w:rFonts w:ascii="Palatino Linotype" w:hAnsi="Palatino Linotype" w:eastAsia="Palatino Linotype" w:cs="Times New Roman"/>
          <w:kern w:val="0"/>
          <w14:ligatures w14:val="none"/>
        </w:rPr>
        <w:t>IOU-specific c</w:t>
      </w:r>
      <w:r w:rsidR="00B273F9">
        <w:rPr>
          <w:rFonts w:ascii="Palatino Linotype" w:hAnsi="Palatino Linotype" w:eastAsia="Palatino Linotype" w:cs="Times New Roman"/>
          <w:kern w:val="0"/>
          <w14:ligatures w14:val="none"/>
        </w:rPr>
        <w:t xml:space="preserve">osts </w:t>
      </w:r>
      <w:r w:rsidR="00B46A39">
        <w:rPr>
          <w:rFonts w:ascii="Palatino Linotype" w:hAnsi="Palatino Linotype" w:eastAsia="Palatino Linotype" w:cs="Times New Roman"/>
          <w:kern w:val="0"/>
          <w14:ligatures w14:val="none"/>
        </w:rPr>
        <w:t>during Phase I</w:t>
      </w:r>
      <w:r w:rsidR="00492E24">
        <w:rPr>
          <w:rFonts w:ascii="Palatino Linotype" w:hAnsi="Palatino Linotype" w:eastAsia="Palatino Linotype" w:cs="Times New Roman"/>
          <w:kern w:val="0"/>
          <w14:ligatures w14:val="none"/>
        </w:rPr>
        <w:t xml:space="preserve"> (Table 1)</w:t>
      </w:r>
      <w:r w:rsidR="00C67A0A">
        <w:rPr>
          <w:rFonts w:ascii="Palatino Linotype" w:hAnsi="Palatino Linotype" w:eastAsia="Palatino Linotype" w:cs="Times New Roman"/>
          <w:kern w:val="0"/>
          <w14:ligatures w14:val="none"/>
        </w:rPr>
        <w:t xml:space="preserve">. These </w:t>
      </w:r>
      <w:r w:rsidRPr="004D339D" w:rsidR="004D339D">
        <w:rPr>
          <w:rFonts w:ascii="Palatino Linotype" w:hAnsi="Palatino Linotype" w:eastAsia="Palatino Linotype" w:cs="Times New Roman"/>
          <w:kern w:val="0"/>
          <w14:ligatures w14:val="none"/>
        </w:rPr>
        <w:t>costs are recorded separate</w:t>
      </w:r>
      <w:r w:rsidR="001359C4">
        <w:rPr>
          <w:rFonts w:ascii="Palatino Linotype" w:hAnsi="Palatino Linotype" w:eastAsia="Palatino Linotype" w:cs="Times New Roman"/>
          <w:kern w:val="0"/>
          <w14:ligatures w14:val="none"/>
        </w:rPr>
        <w:t>ly</w:t>
      </w:r>
      <w:r w:rsidRPr="004D339D" w:rsidR="004D339D">
        <w:rPr>
          <w:rFonts w:ascii="Palatino Linotype" w:hAnsi="Palatino Linotype" w:eastAsia="Palatino Linotype" w:cs="Times New Roman"/>
          <w:kern w:val="0"/>
          <w14:ligatures w14:val="none"/>
        </w:rPr>
        <w:t xml:space="preserve"> from the IOUs’ shared costs for the development contract, </w:t>
      </w:r>
      <w:r w:rsidR="00C67A0A">
        <w:rPr>
          <w:rFonts w:ascii="Palatino Linotype" w:hAnsi="Palatino Linotype" w:eastAsia="Palatino Linotype" w:cs="Times New Roman"/>
          <w:kern w:val="0"/>
          <w14:ligatures w14:val="none"/>
        </w:rPr>
        <w:t xml:space="preserve">and </w:t>
      </w:r>
      <w:r w:rsidRPr="004D339D" w:rsidR="004D339D">
        <w:rPr>
          <w:rFonts w:ascii="Palatino Linotype" w:hAnsi="Palatino Linotype" w:eastAsia="Palatino Linotype" w:cs="Times New Roman"/>
          <w:kern w:val="0"/>
          <w14:ligatures w14:val="none"/>
        </w:rPr>
        <w:t>encompass administration costs such as supporting and engaging with the CAS Working Group, compliance, utility systems integration with CAS, R</w:t>
      </w:r>
      <w:r w:rsidRPr="004D339D" w:rsidR="04F5FF7E">
        <w:rPr>
          <w:rFonts w:ascii="Palatino Linotype" w:hAnsi="Palatino Linotype" w:eastAsia="Palatino Linotype" w:cs="Times New Roman"/>
          <w:kern w:val="0"/>
          <w14:ligatures w14:val="none"/>
        </w:rPr>
        <w:t>F</w:t>
      </w:r>
      <w:r w:rsidRPr="004D339D" w:rsidR="004D339D">
        <w:rPr>
          <w:rFonts w:ascii="Palatino Linotype" w:hAnsi="Palatino Linotype" w:eastAsia="Palatino Linotype" w:cs="Times New Roman"/>
          <w:kern w:val="0"/>
          <w14:ligatures w14:val="none"/>
        </w:rPr>
        <w:t>P review and scoring, and contract administration.</w:t>
      </w:r>
      <w:r w:rsidRPr="004D339D" w:rsidR="004D339D">
        <w:rPr>
          <w:rFonts w:ascii="Palatino Linotype" w:hAnsi="Palatino Linotype" w:eastAsia="Palatino Linotype" w:cs="Times New Roman"/>
          <w:kern w:val="0"/>
          <w:vertAlign w:val="superscript"/>
          <w14:ligatures w14:val="none"/>
        </w:rPr>
        <w:footnoteReference w:id="19"/>
      </w:r>
      <w:r w:rsidRPr="004D339D" w:rsidR="004D339D">
        <w:rPr>
          <w:rFonts w:ascii="Palatino Linotype" w:hAnsi="Palatino Linotype" w:eastAsia="Palatino Linotype" w:cs="Times New Roman"/>
          <w:kern w:val="0"/>
          <w14:ligatures w14:val="none"/>
        </w:rPr>
        <w:t xml:space="preserve"> </w:t>
      </w:r>
      <w:r w:rsidR="008F5D59">
        <w:rPr>
          <w:rFonts w:ascii="Palatino Linotype" w:hAnsi="Palatino Linotype" w:eastAsia="Palatino Linotype" w:cs="Times New Roman"/>
          <w:kern w:val="0"/>
          <w14:ligatures w14:val="none"/>
        </w:rPr>
        <w:t xml:space="preserve">All </w:t>
      </w:r>
      <w:r w:rsidRPr="004D339D" w:rsidR="003158B8">
        <w:rPr>
          <w:rFonts w:ascii="Palatino Linotype" w:hAnsi="Palatino Linotype" w:eastAsia="Palatino Linotype" w:cs="Times New Roman"/>
          <w:kern w:val="0"/>
          <w14:ligatures w14:val="none"/>
        </w:rPr>
        <w:t xml:space="preserve">IOUs state that projected costs </w:t>
      </w:r>
      <w:r w:rsidR="00175A8E">
        <w:rPr>
          <w:rFonts w:ascii="Palatino Linotype" w:hAnsi="Palatino Linotype" w:eastAsia="Palatino Linotype" w:cs="Times New Roman"/>
          <w:kern w:val="0"/>
          <w14:ligatures w14:val="none"/>
        </w:rPr>
        <w:t xml:space="preserve">during contract </w:t>
      </w:r>
      <w:r w:rsidR="00DF165A">
        <w:rPr>
          <w:rFonts w:ascii="Palatino Linotype" w:hAnsi="Palatino Linotype" w:eastAsia="Palatino Linotype" w:cs="Times New Roman"/>
          <w:kern w:val="0"/>
          <w14:ligatures w14:val="none"/>
        </w:rPr>
        <w:t>Year 1</w:t>
      </w:r>
      <w:r w:rsidRPr="004D339D" w:rsidR="003158B8">
        <w:rPr>
          <w:rFonts w:ascii="Palatino Linotype" w:hAnsi="Palatino Linotype" w:eastAsia="Palatino Linotype" w:cs="Times New Roman"/>
          <w:kern w:val="0"/>
          <w14:ligatures w14:val="none"/>
        </w:rPr>
        <w:t xml:space="preserve"> to </w:t>
      </w:r>
      <w:r w:rsidR="00DF165A">
        <w:rPr>
          <w:rFonts w:ascii="Palatino Linotype" w:hAnsi="Palatino Linotype" w:eastAsia="Palatino Linotype" w:cs="Times New Roman"/>
          <w:kern w:val="0"/>
          <w14:ligatures w14:val="none"/>
        </w:rPr>
        <w:t>Year 2</w:t>
      </w:r>
      <w:r w:rsidRPr="004D339D" w:rsidR="003158B8">
        <w:rPr>
          <w:rFonts w:ascii="Palatino Linotype" w:hAnsi="Palatino Linotype" w:eastAsia="Palatino Linotype" w:cs="Times New Roman"/>
          <w:kern w:val="0"/>
          <w14:ligatures w14:val="none"/>
        </w:rPr>
        <w:t xml:space="preserve"> are </w:t>
      </w:r>
      <w:r w:rsidR="006A3B6B">
        <w:rPr>
          <w:rFonts w:ascii="Palatino Linotype" w:hAnsi="Palatino Linotype" w:eastAsia="Palatino Linotype" w:cs="Times New Roman"/>
          <w:kern w:val="0"/>
          <w14:ligatures w14:val="none"/>
        </w:rPr>
        <w:t>greater</w:t>
      </w:r>
      <w:r w:rsidRPr="004D339D" w:rsidR="003158B8">
        <w:rPr>
          <w:rFonts w:ascii="Palatino Linotype" w:hAnsi="Palatino Linotype" w:eastAsia="Palatino Linotype" w:cs="Times New Roman"/>
          <w:kern w:val="0"/>
          <w14:ligatures w14:val="none"/>
        </w:rPr>
        <w:t xml:space="preserve"> </w:t>
      </w:r>
      <w:r w:rsidR="009A5BF4">
        <w:rPr>
          <w:rFonts w:ascii="Palatino Linotype" w:hAnsi="Palatino Linotype" w:eastAsia="Palatino Linotype" w:cs="Times New Roman"/>
          <w:kern w:val="0"/>
          <w14:ligatures w14:val="none"/>
        </w:rPr>
        <w:t xml:space="preserve">than </w:t>
      </w:r>
      <w:r w:rsidR="005862A6">
        <w:rPr>
          <w:rFonts w:ascii="Palatino Linotype" w:hAnsi="Palatino Linotype" w:eastAsia="Palatino Linotype" w:cs="Times New Roman"/>
          <w:kern w:val="0"/>
          <w14:ligatures w14:val="none"/>
        </w:rPr>
        <w:t xml:space="preserve">Year 3 costs </w:t>
      </w:r>
      <w:r w:rsidRPr="004D339D" w:rsidR="003158B8">
        <w:rPr>
          <w:rFonts w:ascii="Palatino Linotype" w:hAnsi="Palatino Linotype" w:eastAsia="Palatino Linotype" w:cs="Times New Roman"/>
          <w:kern w:val="0"/>
          <w14:ligatures w14:val="none"/>
        </w:rPr>
        <w:t>due to higher staff engagement during the discovery, development, and testing phases before launch</w:t>
      </w:r>
      <w:r w:rsidR="003158B8">
        <w:rPr>
          <w:rFonts w:ascii="Palatino Linotype" w:hAnsi="Palatino Linotype" w:eastAsia="Palatino Linotype" w:cs="Times New Roman"/>
          <w:kern w:val="0"/>
          <w14:ligatures w14:val="none"/>
        </w:rPr>
        <w:t xml:space="preserve"> and more complex systems integration work</w:t>
      </w:r>
      <w:r w:rsidR="00DF165A">
        <w:rPr>
          <w:rFonts w:ascii="Palatino Linotype" w:hAnsi="Palatino Linotype" w:eastAsia="Palatino Linotype" w:cs="Times New Roman"/>
          <w:kern w:val="0"/>
          <w14:ligatures w14:val="none"/>
        </w:rPr>
        <w:t xml:space="preserve">; Year 3 reflects </w:t>
      </w:r>
      <w:r w:rsidRPr="00BB00F3" w:rsidR="00BB00F3">
        <w:rPr>
          <w:rFonts w:ascii="Palatino Linotype" w:hAnsi="Palatino Linotype" w:eastAsia="Palatino Linotype" w:cs="Times New Roman"/>
          <w:kern w:val="0"/>
          <w14:ligatures w14:val="none"/>
        </w:rPr>
        <w:t>ongoing contract management and</w:t>
      </w:r>
      <w:r w:rsidR="00DF165A">
        <w:rPr>
          <w:rFonts w:ascii="Palatino Linotype" w:hAnsi="Palatino Linotype" w:eastAsia="Palatino Linotype" w:cs="Times New Roman"/>
          <w:kern w:val="0"/>
          <w14:ligatures w14:val="none"/>
        </w:rPr>
        <w:t xml:space="preserve"> </w:t>
      </w:r>
      <w:r w:rsidRPr="00BB00F3" w:rsidR="00BB00F3">
        <w:rPr>
          <w:rFonts w:ascii="Palatino Linotype" w:hAnsi="Palatino Linotype" w:eastAsia="Palatino Linotype" w:cs="Times New Roman"/>
          <w:kern w:val="0"/>
          <w14:ligatures w14:val="none"/>
        </w:rPr>
        <w:t>system refinement</w:t>
      </w:r>
      <w:r w:rsidR="00575B5C">
        <w:rPr>
          <w:rFonts w:ascii="Palatino Linotype" w:hAnsi="Palatino Linotype" w:eastAsia="Palatino Linotype" w:cs="Times New Roman"/>
          <w:kern w:val="0"/>
          <w14:ligatures w14:val="none"/>
        </w:rPr>
        <w:t xml:space="preserve"> and </w:t>
      </w:r>
      <w:r w:rsidRPr="00BB00F3" w:rsidR="00BB00F3">
        <w:rPr>
          <w:rFonts w:ascii="Palatino Linotype" w:hAnsi="Palatino Linotype" w:eastAsia="Palatino Linotype" w:cs="Times New Roman"/>
          <w:kern w:val="0"/>
          <w14:ligatures w14:val="none"/>
        </w:rPr>
        <w:t>maintenance</w:t>
      </w:r>
      <w:r w:rsidRPr="00BB00F3" w:rsidR="50DA2BEB">
        <w:rPr>
          <w:rFonts w:ascii="Palatino Linotype" w:hAnsi="Palatino Linotype" w:eastAsia="Palatino Linotype" w:cs="Times New Roman"/>
          <w:kern w:val="0"/>
          <w14:ligatures w14:val="none"/>
        </w:rPr>
        <w:t xml:space="preserve"> costs</w:t>
      </w:r>
      <w:r w:rsidR="00575B5C">
        <w:rPr>
          <w:rFonts w:ascii="Palatino Linotype" w:hAnsi="Palatino Linotype" w:eastAsia="Palatino Linotype" w:cs="Times New Roman"/>
          <w:kern w:val="0"/>
          <w14:ligatures w14:val="none"/>
        </w:rPr>
        <w:t>.</w:t>
      </w:r>
    </w:p>
    <w:p w:rsidR="00A653F9" w:rsidP="00BB00F3" w:rsidRDefault="00A653F9" w14:paraId="31B678D4" w14:textId="77777777">
      <w:pPr>
        <w:spacing w:after="0" w:line="240" w:lineRule="auto"/>
        <w:rPr>
          <w:rFonts w:ascii="Palatino Linotype" w:hAnsi="Palatino Linotype" w:eastAsia="Palatino Linotype" w:cs="Times New Roman"/>
          <w:kern w:val="0"/>
          <w14:ligatures w14:val="none"/>
        </w:rPr>
      </w:pPr>
    </w:p>
    <w:p w:rsidRPr="00A653F9" w:rsidR="00A653F9" w:rsidP="00A653F9" w:rsidRDefault="00A653F9" w14:paraId="1F104E19" w14:textId="60AD3A5A">
      <w:pPr>
        <w:spacing w:after="0" w:line="240" w:lineRule="auto"/>
        <w:rPr>
          <w:rFonts w:ascii="Palatino Linotype" w:hAnsi="Palatino Linotype" w:eastAsia="Palatino Linotype" w:cs="Times New Roman"/>
          <w:b/>
          <w:bCs/>
          <w:kern w:val="0"/>
          <w14:ligatures w14:val="none"/>
        </w:rPr>
      </w:pPr>
      <w:r w:rsidRPr="00A653F9">
        <w:rPr>
          <w:rFonts w:ascii="Palatino Linotype" w:hAnsi="Palatino Linotype" w:eastAsia="Palatino Linotype" w:cs="Times New Roman"/>
          <w:b/>
          <w:bCs/>
          <w:kern w:val="0"/>
          <w14:ligatures w14:val="none"/>
        </w:rPr>
        <w:t xml:space="preserve">Table 1: </w:t>
      </w:r>
      <w:r>
        <w:rPr>
          <w:rFonts w:ascii="Palatino Linotype" w:hAnsi="Palatino Linotype" w:eastAsia="Palatino Linotype" w:cs="Times New Roman"/>
          <w:b/>
          <w:bCs/>
          <w:kern w:val="0"/>
          <w14:ligatures w14:val="none"/>
        </w:rPr>
        <w:t>Requested</w:t>
      </w:r>
      <w:r w:rsidRPr="00A653F9">
        <w:rPr>
          <w:rFonts w:ascii="Palatino Linotype" w:hAnsi="Palatino Linotype" w:eastAsia="Palatino Linotype" w:cs="Times New Roman"/>
          <w:b/>
          <w:bCs/>
          <w:kern w:val="0"/>
          <w14:ligatures w14:val="none"/>
        </w:rPr>
        <w:t xml:space="preserve"> Budget for Utility-Specific Costs Related to CAS Phase I Development</w:t>
      </w:r>
    </w:p>
    <w:tbl>
      <w:tblPr>
        <w:tblStyle w:val="ListTable3-Accent3"/>
        <w:tblW w:w="10471" w:type="dxa"/>
        <w:tblLook w:val="04A0" w:firstRow="1" w:lastRow="0" w:firstColumn="1" w:lastColumn="0" w:noHBand="0" w:noVBand="1"/>
      </w:tblPr>
      <w:tblGrid>
        <w:gridCol w:w="1298"/>
        <w:gridCol w:w="1152"/>
        <w:gridCol w:w="1181"/>
        <w:gridCol w:w="1368"/>
        <w:gridCol w:w="1368"/>
        <w:gridCol w:w="1368"/>
        <w:gridCol w:w="1368"/>
        <w:gridCol w:w="1368"/>
      </w:tblGrid>
      <w:tr w:rsidRPr="00A653F9" w:rsidR="006D2962" w:rsidTr="006D2962" w14:paraId="2D1F11C7"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298" w:type="dxa"/>
            <w:noWrap/>
            <w:hideMark/>
          </w:tcPr>
          <w:p w:rsidRPr="00A653F9" w:rsidR="006D2962" w:rsidP="00A653F9" w:rsidRDefault="006D2962" w14:paraId="4F90C8EF" w14:textId="77777777">
            <w:pPr>
              <w:rPr>
                <w:rFonts w:ascii="Palatino Linotype" w:hAnsi="Palatino Linotype" w:eastAsia="Palatino Linotype" w:cs="Times New Roman"/>
                <w:color w:val="auto"/>
                <w:kern w:val="0"/>
                <w14:ligatures w14:val="none"/>
              </w:rPr>
            </w:pPr>
          </w:p>
        </w:tc>
        <w:tc>
          <w:tcPr>
            <w:tcW w:w="1152" w:type="dxa"/>
            <w:noWrap/>
            <w:hideMark/>
          </w:tcPr>
          <w:p w:rsidRPr="001A1C3E" w:rsidR="006D2962" w:rsidP="00A653F9" w:rsidRDefault="006D2962" w14:paraId="007946FB" w14:textId="77777777">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1A1C3E">
              <w:rPr>
                <w:rFonts w:ascii="Palatino Linotype" w:hAnsi="Palatino Linotype" w:eastAsia="Palatino Linotype" w:cs="Times New Roman"/>
                <w:kern w:val="0"/>
                <w14:ligatures w14:val="none"/>
              </w:rPr>
              <w:t xml:space="preserve">2023 </w:t>
            </w:r>
            <w:r w:rsidRPr="00492573">
              <w:rPr>
                <w:rFonts w:ascii="Palatino Linotype" w:hAnsi="Palatino Linotype" w:eastAsia="Palatino Linotype" w:cs="Times New Roman"/>
                <w:kern w:val="0"/>
                <w:vertAlign w:val="superscript"/>
                <w14:ligatures w14:val="none"/>
              </w:rPr>
              <w:t>[1]</w:t>
            </w:r>
          </w:p>
        </w:tc>
        <w:tc>
          <w:tcPr>
            <w:tcW w:w="1181" w:type="dxa"/>
            <w:noWrap/>
            <w:hideMark/>
          </w:tcPr>
          <w:p w:rsidRPr="001A1C3E" w:rsidR="006D2962" w:rsidP="00A653F9" w:rsidRDefault="006D2962" w14:paraId="47A4A99B" w14:textId="77777777">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1A1C3E">
              <w:rPr>
                <w:rFonts w:ascii="Palatino Linotype" w:hAnsi="Palatino Linotype" w:eastAsia="Palatino Linotype" w:cs="Times New Roman"/>
                <w:kern w:val="0"/>
                <w14:ligatures w14:val="none"/>
              </w:rPr>
              <w:t xml:space="preserve">2024 </w:t>
            </w:r>
            <w:r w:rsidRPr="00492573">
              <w:rPr>
                <w:rFonts w:ascii="Palatino Linotype" w:hAnsi="Palatino Linotype" w:eastAsia="Palatino Linotype" w:cs="Times New Roman"/>
                <w:kern w:val="0"/>
                <w:vertAlign w:val="superscript"/>
                <w14:ligatures w14:val="none"/>
              </w:rPr>
              <w:t>[1]</w:t>
            </w:r>
          </w:p>
        </w:tc>
        <w:tc>
          <w:tcPr>
            <w:tcW w:w="1368" w:type="dxa"/>
            <w:noWrap/>
            <w:hideMark/>
          </w:tcPr>
          <w:p w:rsidRPr="001A1C3E" w:rsidR="006D2962" w:rsidP="00A653F9" w:rsidRDefault="006D2962" w14:paraId="130B6F69" w14:textId="77777777">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1A1C3E">
              <w:rPr>
                <w:rFonts w:ascii="Palatino Linotype" w:hAnsi="Palatino Linotype" w:eastAsia="Palatino Linotype" w:cs="Times New Roman"/>
                <w:kern w:val="0"/>
                <w14:ligatures w14:val="none"/>
              </w:rPr>
              <w:t xml:space="preserve">Year 1 (2025) </w:t>
            </w:r>
            <w:r w:rsidRPr="00492573">
              <w:rPr>
                <w:rFonts w:ascii="Palatino Linotype" w:hAnsi="Palatino Linotype" w:eastAsia="Palatino Linotype" w:cs="Times New Roman"/>
                <w:kern w:val="0"/>
                <w:vertAlign w:val="superscript"/>
                <w14:ligatures w14:val="none"/>
              </w:rPr>
              <w:t>[2]</w:t>
            </w:r>
          </w:p>
        </w:tc>
        <w:tc>
          <w:tcPr>
            <w:tcW w:w="1368" w:type="dxa"/>
            <w:noWrap/>
            <w:hideMark/>
          </w:tcPr>
          <w:p w:rsidRPr="001A1C3E" w:rsidR="006D2962" w:rsidP="00A653F9" w:rsidRDefault="006D2962" w14:paraId="38BDD4C1" w14:textId="77777777">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1A1C3E">
              <w:rPr>
                <w:rFonts w:ascii="Palatino Linotype" w:hAnsi="Palatino Linotype" w:eastAsia="Palatino Linotype" w:cs="Times New Roman"/>
                <w:kern w:val="0"/>
                <w14:ligatures w14:val="none"/>
              </w:rPr>
              <w:t xml:space="preserve">Year 2 (2026) </w:t>
            </w:r>
            <w:r w:rsidRPr="00492573">
              <w:rPr>
                <w:rFonts w:ascii="Palatino Linotype" w:hAnsi="Palatino Linotype" w:eastAsia="Palatino Linotype" w:cs="Times New Roman"/>
                <w:kern w:val="0"/>
                <w:vertAlign w:val="superscript"/>
                <w14:ligatures w14:val="none"/>
              </w:rPr>
              <w:t>[2]</w:t>
            </w:r>
          </w:p>
        </w:tc>
        <w:tc>
          <w:tcPr>
            <w:tcW w:w="1368" w:type="dxa"/>
            <w:noWrap/>
            <w:hideMark/>
          </w:tcPr>
          <w:p w:rsidRPr="001A1C3E" w:rsidR="006D2962" w:rsidP="00A653F9" w:rsidRDefault="006D2962" w14:paraId="6597C022" w14:textId="77777777">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1A1C3E">
              <w:rPr>
                <w:rFonts w:ascii="Palatino Linotype" w:hAnsi="Palatino Linotype" w:eastAsia="Palatino Linotype" w:cs="Times New Roman"/>
                <w:kern w:val="0"/>
                <w14:ligatures w14:val="none"/>
              </w:rPr>
              <w:t xml:space="preserve">Year 3 (2027) </w:t>
            </w:r>
            <w:r w:rsidRPr="00492573">
              <w:rPr>
                <w:rFonts w:ascii="Palatino Linotype" w:hAnsi="Palatino Linotype" w:eastAsia="Palatino Linotype" w:cs="Times New Roman"/>
                <w:kern w:val="0"/>
                <w:vertAlign w:val="superscript"/>
                <w14:ligatures w14:val="none"/>
              </w:rPr>
              <w:t>[2]</w:t>
            </w:r>
          </w:p>
        </w:tc>
        <w:tc>
          <w:tcPr>
            <w:tcW w:w="1368" w:type="dxa"/>
          </w:tcPr>
          <w:p w:rsidRPr="00492573" w:rsidR="006D2962" w:rsidP="00A653F9" w:rsidRDefault="006D2962" w14:paraId="6F349B4C" w14:textId="231B6F63">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92573">
              <w:rPr>
                <w:rFonts w:ascii="Palatino Linotype" w:hAnsi="Palatino Linotype" w:eastAsia="Palatino Linotype" w:cs="Times New Roman"/>
                <w:kern w:val="0"/>
                <w14:ligatures w14:val="none"/>
              </w:rPr>
              <w:t>Year 4 (2028)</w:t>
            </w:r>
            <w:r w:rsidRPr="001A1C3E" w:rsidR="00FA1307">
              <w:rPr>
                <w:rFonts w:ascii="Palatino Linotype" w:hAnsi="Palatino Linotype" w:eastAsia="Palatino Linotype" w:cs="Times New Roman"/>
                <w:kern w:val="0"/>
                <w14:ligatures w14:val="none"/>
              </w:rPr>
              <w:t xml:space="preserve"> </w:t>
            </w:r>
            <w:r w:rsidRPr="001A1C3E" w:rsidR="00FA1307">
              <w:rPr>
                <w:rFonts w:ascii="Palatino Linotype" w:hAnsi="Palatino Linotype" w:eastAsia="Palatino Linotype" w:cs="Times New Roman"/>
                <w:kern w:val="0"/>
                <w:vertAlign w:val="superscript"/>
                <w14:ligatures w14:val="none"/>
              </w:rPr>
              <w:t>[3]</w:t>
            </w:r>
          </w:p>
        </w:tc>
        <w:tc>
          <w:tcPr>
            <w:tcW w:w="1368" w:type="dxa"/>
          </w:tcPr>
          <w:p w:rsidRPr="00492573" w:rsidR="006D2962" w:rsidP="00A653F9" w:rsidRDefault="006D2962" w14:paraId="7E7FE34C" w14:textId="17DC7408">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92573">
              <w:rPr>
                <w:rFonts w:ascii="Palatino Linotype" w:hAnsi="Palatino Linotype" w:eastAsia="Palatino Linotype" w:cs="Times New Roman"/>
                <w:kern w:val="0"/>
                <w14:ligatures w14:val="none"/>
              </w:rPr>
              <w:t>Year 5 (2029)</w:t>
            </w:r>
            <w:r w:rsidRPr="001A1C3E" w:rsidR="00FA1307">
              <w:rPr>
                <w:rFonts w:ascii="Palatino Linotype" w:hAnsi="Palatino Linotype" w:eastAsia="Palatino Linotype" w:cs="Times New Roman"/>
                <w:kern w:val="0"/>
                <w14:ligatures w14:val="none"/>
              </w:rPr>
              <w:t xml:space="preserve"> </w:t>
            </w:r>
            <w:r w:rsidRPr="001A1C3E" w:rsidR="00FA1307">
              <w:rPr>
                <w:rFonts w:ascii="Palatino Linotype" w:hAnsi="Palatino Linotype" w:eastAsia="Palatino Linotype" w:cs="Times New Roman"/>
                <w:kern w:val="0"/>
                <w:vertAlign w:val="superscript"/>
                <w14:ligatures w14:val="none"/>
              </w:rPr>
              <w:t>[3]</w:t>
            </w:r>
          </w:p>
        </w:tc>
      </w:tr>
      <w:tr w:rsidRPr="00A653F9" w:rsidR="006D2962" w:rsidTr="006D2962" w14:paraId="6231301C"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98" w:type="dxa"/>
            <w:noWrap/>
            <w:hideMark/>
          </w:tcPr>
          <w:p w:rsidRPr="00A653F9" w:rsidR="006D2962" w:rsidP="00A653F9" w:rsidRDefault="006D2962" w14:paraId="1BF9C2CE" w14:textId="77777777">
            <w:pPr>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PG&amp;E</w:t>
            </w:r>
          </w:p>
        </w:tc>
        <w:tc>
          <w:tcPr>
            <w:tcW w:w="1152" w:type="dxa"/>
            <w:noWrap/>
            <w:hideMark/>
          </w:tcPr>
          <w:p w:rsidRPr="00A653F9" w:rsidR="006D2962" w:rsidP="00A653F9" w:rsidRDefault="006D2962" w14:paraId="57B32590"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$44,183</w:t>
            </w:r>
          </w:p>
        </w:tc>
        <w:tc>
          <w:tcPr>
            <w:tcW w:w="1181" w:type="dxa"/>
            <w:noWrap/>
            <w:hideMark/>
          </w:tcPr>
          <w:p w:rsidRPr="00A653F9" w:rsidR="006D2962" w:rsidP="00A653F9" w:rsidRDefault="006D2962" w14:paraId="0EB4DF28" w14:textId="081C6503">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w:t>
            </w:r>
            <w:r>
              <w:rPr>
                <w:rFonts w:ascii="Palatino Linotype" w:hAnsi="Palatino Linotype" w:eastAsia="Palatino Linotype" w:cs="Times New Roman"/>
                <w:kern w:val="0"/>
                <w14:ligatures w14:val="none"/>
              </w:rPr>
              <w:t>$</w:t>
            </w:r>
            <w:r w:rsidRPr="00A653F9">
              <w:rPr>
                <w:rFonts w:ascii="Palatino Linotype" w:hAnsi="Palatino Linotype" w:eastAsia="Palatino Linotype" w:cs="Times New Roman"/>
                <w:kern w:val="0"/>
                <w14:ligatures w14:val="none"/>
              </w:rPr>
              <w:t>130,300</w:t>
            </w:r>
          </w:p>
        </w:tc>
        <w:tc>
          <w:tcPr>
            <w:tcW w:w="1368" w:type="dxa"/>
            <w:noWrap/>
            <w:hideMark/>
          </w:tcPr>
          <w:p w:rsidRPr="00A653F9" w:rsidR="006D2962" w:rsidP="00A653F9" w:rsidRDefault="006D2962" w14:paraId="4BE1ACD7"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$510,000</w:t>
            </w:r>
          </w:p>
        </w:tc>
        <w:tc>
          <w:tcPr>
            <w:tcW w:w="1368" w:type="dxa"/>
            <w:noWrap/>
            <w:hideMark/>
          </w:tcPr>
          <w:p w:rsidRPr="00A653F9" w:rsidR="006D2962" w:rsidP="00A653F9" w:rsidRDefault="006D2962" w14:paraId="2BB08D7F"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$530,000</w:t>
            </w:r>
          </w:p>
        </w:tc>
        <w:tc>
          <w:tcPr>
            <w:tcW w:w="1368" w:type="dxa"/>
            <w:noWrap/>
            <w:hideMark/>
          </w:tcPr>
          <w:p w:rsidRPr="00A653F9" w:rsidR="006D2962" w:rsidP="00A653F9" w:rsidRDefault="006D2962" w14:paraId="2F310F5D"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$275,000</w:t>
            </w:r>
          </w:p>
        </w:tc>
        <w:tc>
          <w:tcPr>
            <w:tcW w:w="1368" w:type="dxa"/>
          </w:tcPr>
          <w:p w:rsidRPr="00A653F9" w:rsidR="006D2962" w:rsidP="00A653F9" w:rsidRDefault="003541F8" w14:paraId="346E2815" w14:textId="2AD02C5C">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$190,000</w:t>
            </w:r>
          </w:p>
        </w:tc>
        <w:tc>
          <w:tcPr>
            <w:tcW w:w="1368" w:type="dxa"/>
          </w:tcPr>
          <w:p w:rsidRPr="00A653F9" w:rsidR="006D2962" w:rsidP="00A653F9" w:rsidRDefault="003541F8" w14:paraId="025A2442" w14:textId="51412E81">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$197,000</w:t>
            </w:r>
          </w:p>
        </w:tc>
      </w:tr>
      <w:tr w:rsidRPr="00A653F9" w:rsidR="006D2962" w:rsidTr="006D2962" w14:paraId="52BBC57F" w14:textId="77777777">
        <w:trPr>
          <w:trHeight w:val="288"/>
        </w:trPr>
        <w:tc>
          <w:tcPr>
            <w:cnfStyle w:val="001000000000" w:firstRow="0" w:lastRow="0" w:firstColumn="1" w:lastColumn="0" w:oddVBand="0" w:evenVBand="0" w:oddHBand="0" w:evenHBand="0" w:firstRowFirstColumn="0" w:firstRowLastColumn="0" w:lastRowFirstColumn="0" w:lastRowLastColumn="0"/>
            <w:tcW w:w="1298" w:type="dxa"/>
            <w:noWrap/>
            <w:hideMark/>
          </w:tcPr>
          <w:p w:rsidRPr="00A653F9" w:rsidR="006D2962" w:rsidP="00A653F9" w:rsidRDefault="006D2962" w14:paraId="140F830F" w14:textId="77777777">
            <w:pPr>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SCE</w:t>
            </w:r>
          </w:p>
        </w:tc>
        <w:tc>
          <w:tcPr>
            <w:tcW w:w="1152" w:type="dxa"/>
            <w:noWrap/>
            <w:hideMark/>
          </w:tcPr>
          <w:p w:rsidRPr="00A653F9" w:rsidR="006D2962" w:rsidP="00A653F9" w:rsidRDefault="006D2962" w14:paraId="3223849B" w14:textId="7777777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$28,701</w:t>
            </w:r>
          </w:p>
        </w:tc>
        <w:tc>
          <w:tcPr>
            <w:tcW w:w="1181" w:type="dxa"/>
            <w:noWrap/>
            <w:hideMark/>
          </w:tcPr>
          <w:p w:rsidRPr="00A653F9" w:rsidR="006D2962" w:rsidP="00A653F9" w:rsidRDefault="006D2962" w14:paraId="17A303F4" w14:textId="7777777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$67,565</w:t>
            </w:r>
          </w:p>
        </w:tc>
        <w:tc>
          <w:tcPr>
            <w:tcW w:w="1368" w:type="dxa"/>
            <w:noWrap/>
            <w:hideMark/>
          </w:tcPr>
          <w:p w:rsidRPr="00A653F9" w:rsidR="006D2962" w:rsidP="00A653F9" w:rsidRDefault="006D2962" w14:paraId="63DB72B8" w14:textId="7777777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$459,000</w:t>
            </w:r>
          </w:p>
        </w:tc>
        <w:tc>
          <w:tcPr>
            <w:tcW w:w="1368" w:type="dxa"/>
            <w:noWrap/>
            <w:hideMark/>
          </w:tcPr>
          <w:p w:rsidRPr="00A653F9" w:rsidR="006D2962" w:rsidP="00A653F9" w:rsidRDefault="006D2962" w14:paraId="74CCD6D4" w14:textId="7777777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$477,000</w:t>
            </w:r>
          </w:p>
        </w:tc>
        <w:tc>
          <w:tcPr>
            <w:tcW w:w="1368" w:type="dxa"/>
            <w:noWrap/>
            <w:hideMark/>
          </w:tcPr>
          <w:p w:rsidRPr="00A653F9" w:rsidR="006D2962" w:rsidP="00A653F9" w:rsidRDefault="006D2962" w14:paraId="715A88FC" w14:textId="7777777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$248,000</w:t>
            </w:r>
          </w:p>
        </w:tc>
        <w:tc>
          <w:tcPr>
            <w:tcW w:w="1368" w:type="dxa"/>
          </w:tcPr>
          <w:p w:rsidRPr="00A653F9" w:rsidR="006D2962" w:rsidP="00A653F9" w:rsidRDefault="003541F8" w14:paraId="0CFD33A8" w14:textId="7589E03C">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w:t>
            </w:r>
            <w:r w:rsidR="00492E24">
              <w:rPr>
                <w:rFonts w:ascii="Palatino Linotype" w:hAnsi="Palatino Linotype" w:eastAsia="Palatino Linotype" w:cs="Times New Roman"/>
                <w:kern w:val="0"/>
                <w14:ligatures w14:val="none"/>
              </w:rPr>
              <w:t>171,000</w:t>
            </w:r>
          </w:p>
        </w:tc>
        <w:tc>
          <w:tcPr>
            <w:tcW w:w="1368" w:type="dxa"/>
          </w:tcPr>
          <w:p w:rsidRPr="00A653F9" w:rsidR="006D2962" w:rsidP="00A653F9" w:rsidRDefault="00492E24" w14:paraId="230637B1" w14:textId="31D183A6">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$178,000</w:t>
            </w:r>
          </w:p>
        </w:tc>
      </w:tr>
      <w:tr w:rsidRPr="00A653F9" w:rsidR="006D2962" w:rsidTr="006D2962" w14:paraId="1CAC4048"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98" w:type="dxa"/>
            <w:noWrap/>
            <w:hideMark/>
          </w:tcPr>
          <w:p w:rsidRPr="00A653F9" w:rsidR="006D2962" w:rsidP="00A653F9" w:rsidRDefault="006D2962" w14:paraId="08948B2E" w14:textId="77777777">
            <w:pPr>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SDG&amp;E</w:t>
            </w:r>
          </w:p>
        </w:tc>
        <w:tc>
          <w:tcPr>
            <w:tcW w:w="1152" w:type="dxa"/>
            <w:noWrap/>
            <w:hideMark/>
          </w:tcPr>
          <w:p w:rsidRPr="00A653F9" w:rsidR="006D2962" w:rsidP="00A653F9" w:rsidRDefault="006D2962" w14:paraId="45AC28B8"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$0</w:t>
            </w:r>
          </w:p>
        </w:tc>
        <w:tc>
          <w:tcPr>
            <w:tcW w:w="1181" w:type="dxa"/>
            <w:noWrap/>
            <w:hideMark/>
          </w:tcPr>
          <w:p w:rsidRPr="00A653F9" w:rsidR="006D2962" w:rsidP="00A653F9" w:rsidRDefault="006D2962" w14:paraId="78A2FFD8"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$84,692</w:t>
            </w:r>
          </w:p>
        </w:tc>
        <w:tc>
          <w:tcPr>
            <w:tcW w:w="1368" w:type="dxa"/>
            <w:noWrap/>
            <w:hideMark/>
          </w:tcPr>
          <w:p w:rsidRPr="00A653F9" w:rsidR="006D2962" w:rsidP="00A653F9" w:rsidRDefault="006D2962" w14:paraId="203DFBFB"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$2,142,000 </w:t>
            </w:r>
          </w:p>
        </w:tc>
        <w:tc>
          <w:tcPr>
            <w:tcW w:w="1368" w:type="dxa"/>
            <w:noWrap/>
            <w:hideMark/>
          </w:tcPr>
          <w:p w:rsidRPr="00A653F9" w:rsidR="006D2962" w:rsidP="00A653F9" w:rsidRDefault="006D2962" w14:paraId="04F87F10"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$914,000</w:t>
            </w:r>
          </w:p>
        </w:tc>
        <w:tc>
          <w:tcPr>
            <w:tcW w:w="1368" w:type="dxa"/>
            <w:noWrap/>
            <w:hideMark/>
          </w:tcPr>
          <w:p w:rsidRPr="00A653F9" w:rsidR="006D2962" w:rsidP="00A653F9" w:rsidRDefault="006D2962" w14:paraId="4C2F491A"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$481,000</w:t>
            </w:r>
          </w:p>
        </w:tc>
        <w:tc>
          <w:tcPr>
            <w:tcW w:w="1368" w:type="dxa"/>
          </w:tcPr>
          <w:p w:rsidRPr="00A653F9" w:rsidR="006D2962" w:rsidP="00A653F9" w:rsidRDefault="00492E24" w14:paraId="41391E19" w14:textId="75D43B82">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$311,000</w:t>
            </w:r>
          </w:p>
        </w:tc>
        <w:tc>
          <w:tcPr>
            <w:tcW w:w="1368" w:type="dxa"/>
          </w:tcPr>
          <w:p w:rsidRPr="00A653F9" w:rsidR="006D2962" w:rsidP="00A653F9" w:rsidRDefault="00492E24" w14:paraId="4E930959" w14:textId="65DD242B">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$249,000</w:t>
            </w:r>
          </w:p>
        </w:tc>
      </w:tr>
      <w:tr w:rsidRPr="00A653F9" w:rsidR="006D2962" w:rsidTr="006D2962" w14:paraId="41C02121" w14:textId="77777777">
        <w:trPr>
          <w:trHeight w:val="288"/>
        </w:trPr>
        <w:tc>
          <w:tcPr>
            <w:cnfStyle w:val="001000000000" w:firstRow="0" w:lastRow="0" w:firstColumn="1" w:lastColumn="0" w:oddVBand="0" w:evenVBand="0" w:oddHBand="0" w:evenHBand="0" w:firstRowFirstColumn="0" w:firstRowLastColumn="0" w:lastRowFirstColumn="0" w:lastRowLastColumn="0"/>
            <w:tcW w:w="1298" w:type="dxa"/>
            <w:noWrap/>
            <w:hideMark/>
          </w:tcPr>
          <w:p w:rsidRPr="00A653F9" w:rsidR="006D2962" w:rsidP="00A653F9" w:rsidRDefault="006D2962" w14:paraId="172ACBB9" w14:textId="77777777">
            <w:pPr>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SoCalGas</w:t>
            </w:r>
          </w:p>
        </w:tc>
        <w:tc>
          <w:tcPr>
            <w:tcW w:w="1152" w:type="dxa"/>
            <w:noWrap/>
            <w:hideMark/>
          </w:tcPr>
          <w:p w:rsidRPr="00A653F9" w:rsidR="006D2962" w:rsidP="00A653F9" w:rsidRDefault="006D2962" w14:paraId="5FD62935" w14:textId="7777777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$0      </w:t>
            </w:r>
          </w:p>
        </w:tc>
        <w:tc>
          <w:tcPr>
            <w:tcW w:w="1181" w:type="dxa"/>
            <w:noWrap/>
            <w:hideMark/>
          </w:tcPr>
          <w:p w:rsidRPr="00A653F9" w:rsidR="006D2962" w:rsidP="00A653F9" w:rsidRDefault="006D2962" w14:paraId="35F7CE84" w14:textId="7777777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$30,000</w:t>
            </w:r>
          </w:p>
        </w:tc>
        <w:tc>
          <w:tcPr>
            <w:tcW w:w="1368" w:type="dxa"/>
            <w:noWrap/>
            <w:hideMark/>
          </w:tcPr>
          <w:p w:rsidRPr="00A653F9" w:rsidR="006D2962" w:rsidP="00A653F9" w:rsidRDefault="006D2962" w14:paraId="7EBA65E1" w14:textId="7777777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$1,771,000</w:t>
            </w:r>
          </w:p>
        </w:tc>
        <w:tc>
          <w:tcPr>
            <w:tcW w:w="1368" w:type="dxa"/>
            <w:noWrap/>
            <w:hideMark/>
          </w:tcPr>
          <w:p w:rsidRPr="00A653F9" w:rsidR="006D2962" w:rsidP="00A653F9" w:rsidRDefault="006D2962" w14:paraId="4FE37754" w14:textId="1A779F7E">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w:t>
            </w:r>
            <w:r w:rsidR="00DB19AA">
              <w:rPr>
                <w:rFonts w:ascii="Palatino Linotype" w:hAnsi="Palatino Linotype" w:eastAsia="Palatino Linotype" w:cs="Times New Roman"/>
                <w:kern w:val="0"/>
                <w14:ligatures w14:val="none"/>
              </w:rPr>
              <w:t>947,000</w:t>
            </w:r>
          </w:p>
        </w:tc>
        <w:tc>
          <w:tcPr>
            <w:tcW w:w="1368" w:type="dxa"/>
            <w:noWrap/>
            <w:hideMark/>
          </w:tcPr>
          <w:p w:rsidRPr="00A653F9" w:rsidR="006D2962" w:rsidP="00A653F9" w:rsidRDefault="006D2962" w14:paraId="64659E77" w14:textId="24E8F730">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 $</w:t>
            </w:r>
            <w:r w:rsidR="006815C9">
              <w:rPr>
                <w:rFonts w:ascii="Palatino Linotype" w:hAnsi="Palatino Linotype" w:eastAsia="Palatino Linotype" w:cs="Times New Roman"/>
                <w:kern w:val="0"/>
                <w14:ligatures w14:val="none"/>
              </w:rPr>
              <w:t>650,000</w:t>
            </w:r>
          </w:p>
        </w:tc>
        <w:tc>
          <w:tcPr>
            <w:tcW w:w="1368" w:type="dxa"/>
          </w:tcPr>
          <w:p w:rsidRPr="00A653F9" w:rsidR="006D2962" w:rsidP="00A653F9" w:rsidRDefault="00492E24" w14:paraId="7AADA738" w14:textId="5AB48FF4">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$500,000</w:t>
            </w:r>
          </w:p>
        </w:tc>
        <w:tc>
          <w:tcPr>
            <w:tcW w:w="1368" w:type="dxa"/>
          </w:tcPr>
          <w:p w:rsidRPr="00A653F9" w:rsidR="006D2962" w:rsidP="00A653F9" w:rsidRDefault="00492E24" w14:paraId="4C9A90BE" w14:textId="027E6ED2">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$500,000</w:t>
            </w:r>
          </w:p>
        </w:tc>
      </w:tr>
    </w:tbl>
    <w:p w:rsidRPr="00A653F9" w:rsidR="00A653F9" w:rsidP="0097491C" w:rsidRDefault="00A653F9" w14:paraId="02C3C981" w14:textId="77777777">
      <w:pPr>
        <w:spacing w:after="0" w:line="240" w:lineRule="auto"/>
        <w:ind w:left="72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[1] 2023 includes recorded costs and 2024 includes both recorded and projected costs at the time of AL submission.</w:t>
      </w:r>
    </w:p>
    <w:p w:rsidR="00A653F9" w:rsidP="0097491C" w:rsidRDefault="00A653F9" w14:paraId="0EAE32A5" w14:textId="2EF67511">
      <w:pPr>
        <w:spacing w:after="0" w:line="240" w:lineRule="auto"/>
        <w:ind w:left="720"/>
        <w:rPr>
          <w:rFonts w:ascii="Palatino Linotype" w:hAnsi="Palatino Linotype" w:eastAsia="Palatino Linotype" w:cs="Times New Roman"/>
          <w:kern w:val="0"/>
          <w14:ligatures w14:val="none"/>
        </w:rPr>
      </w:pPr>
      <w:r w:rsidRPr="00A653F9">
        <w:rPr>
          <w:rFonts w:ascii="Palatino Linotype" w:hAnsi="Palatino Linotype" w:eastAsia="Palatino Linotype" w:cs="Times New Roman"/>
          <w:kern w:val="0"/>
          <w14:ligatures w14:val="none"/>
        </w:rPr>
        <w:t xml:space="preserve">[2] Year 1 – 3 refer to the contract years, which is expected to start mid-2025 after the Commission approves this </w:t>
      </w:r>
      <w:r w:rsidR="00AE7E3A">
        <w:rPr>
          <w:rFonts w:ascii="Palatino Linotype" w:hAnsi="Palatino Linotype" w:eastAsia="Palatino Linotype" w:cs="Times New Roman"/>
          <w:kern w:val="0"/>
          <w14:ligatures w14:val="none"/>
        </w:rPr>
        <w:t>R</w:t>
      </w:r>
      <w:r w:rsidRPr="00A653F9">
        <w:rPr>
          <w:rFonts w:ascii="Palatino Linotype" w:hAnsi="Palatino Linotype" w:eastAsia="Palatino Linotype" w:cs="Times New Roman"/>
          <w:kern w:val="0"/>
          <w14:ligatures w14:val="none"/>
        </w:rPr>
        <w:t>esolution.</w:t>
      </w:r>
    </w:p>
    <w:p w:rsidR="00FA1307" w:rsidP="0097491C" w:rsidRDefault="00FA1307" w14:paraId="7E19E9A4" w14:textId="1C9E2622">
      <w:pPr>
        <w:spacing w:after="0" w:line="240" w:lineRule="auto"/>
        <w:ind w:left="72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[3] Year 4 – 5 </w:t>
      </w:r>
      <w:r w:rsidR="009160DF">
        <w:rPr>
          <w:rFonts w:ascii="Palatino Linotype" w:hAnsi="Palatino Linotype" w:eastAsia="Palatino Linotype" w:cs="Times New Roman"/>
          <w:kern w:val="0"/>
          <w14:ligatures w14:val="none"/>
        </w:rPr>
        <w:t xml:space="preserve">are projected costs </w:t>
      </w:r>
      <w:r w:rsidR="00492E24">
        <w:rPr>
          <w:rFonts w:ascii="Palatino Linotype" w:hAnsi="Palatino Linotype" w:eastAsia="Palatino Linotype" w:cs="Times New Roman"/>
          <w:kern w:val="0"/>
          <w14:ligatures w14:val="none"/>
        </w:rPr>
        <w:t>for</w:t>
      </w:r>
      <w:r w:rsidR="005C3231">
        <w:rPr>
          <w:rFonts w:ascii="Palatino Linotype" w:hAnsi="Palatino Linotype" w:eastAsia="Palatino Linotype" w:cs="Times New Roman"/>
          <w:kern w:val="0"/>
          <w14:ligatures w14:val="none"/>
        </w:rPr>
        <w:t xml:space="preserve"> an optional year </w:t>
      </w:r>
      <w:r w:rsidR="003541F8">
        <w:rPr>
          <w:rFonts w:ascii="Palatino Linotype" w:hAnsi="Palatino Linotype" w:eastAsia="Palatino Linotype" w:cs="Times New Roman"/>
          <w:kern w:val="0"/>
          <w14:ligatures w14:val="none"/>
        </w:rPr>
        <w:t>contract extension</w:t>
      </w:r>
      <w:r w:rsidR="00492E24">
        <w:rPr>
          <w:rFonts w:ascii="Palatino Linotype" w:hAnsi="Palatino Linotype" w:eastAsia="Palatino Linotype" w:cs="Times New Roman"/>
          <w:kern w:val="0"/>
          <w14:ligatures w14:val="none"/>
        </w:rPr>
        <w:t xml:space="preserve"> up to two years</w:t>
      </w:r>
      <w:r w:rsidR="003541F8">
        <w:rPr>
          <w:rFonts w:ascii="Palatino Linotype" w:hAnsi="Palatino Linotype" w:eastAsia="Palatino Linotype" w:cs="Times New Roman"/>
          <w:kern w:val="0"/>
          <w14:ligatures w14:val="none"/>
        </w:rPr>
        <w:t>.</w:t>
      </w:r>
    </w:p>
    <w:p w:rsidR="00B12DC5" w:rsidP="00A76F4A" w:rsidRDefault="00B12DC5" w14:paraId="212989C7" w14:textId="77777777">
      <w:pPr>
        <w:spacing w:after="0" w:line="240" w:lineRule="auto"/>
        <w:rPr>
          <w:rFonts w:ascii="Palatino Linotype" w:hAnsi="Palatino Linotype" w:eastAsia="Palatino Linotype" w:cs="Times New Roman"/>
          <w:kern w:val="0"/>
          <w14:ligatures w14:val="none"/>
        </w:rPr>
      </w:pPr>
    </w:p>
    <w:p w:rsidR="008C3C77" w:rsidP="00931CA0" w:rsidRDefault="00B410A2" w14:paraId="2C14EB50" w14:textId="0CB067AD">
      <w:pPr>
        <w:spacing w:after="0" w:line="240" w:lineRule="auto"/>
        <w:rPr>
          <w:rFonts w:ascii="Palatino Linotype" w:hAnsi="Palatino Linotype" w:eastAsia="Palatino Linotype" w:cs="Times New Roman"/>
          <w:kern w:val="0"/>
          <w14:ligatures w14:val="none"/>
        </w:rPr>
      </w:pPr>
      <w:r w:rsidRPr="004D339D">
        <w:rPr>
          <w:rFonts w:ascii="Palatino Linotype" w:hAnsi="Palatino Linotype" w:eastAsia="Palatino Linotype" w:cs="Times New Roman"/>
          <w:kern w:val="0"/>
          <w14:ligatures w14:val="none"/>
        </w:rPr>
        <w:lastRenderedPageBreak/>
        <w:t xml:space="preserve">We find the utility-specific </w:t>
      </w:r>
      <w:r w:rsidRPr="00AB3EFA">
        <w:rPr>
          <w:rFonts w:ascii="Palatino Linotype" w:hAnsi="Palatino Linotype" w:eastAsia="Palatino Linotype" w:cs="Times New Roman"/>
          <w:kern w:val="0"/>
          <w14:ligatures w14:val="none"/>
        </w:rPr>
        <w:t xml:space="preserve">costs for </w:t>
      </w:r>
      <w:r w:rsidRPr="00AB3EFA">
        <w:rPr>
          <w:rFonts w:ascii="Palatino Linotype" w:hAnsi="Palatino Linotype"/>
        </w:rPr>
        <w:t xml:space="preserve">PG&amp;E, SCE, and SDG&amp;E </w:t>
      </w:r>
      <w:r w:rsidRPr="00AB3EFA">
        <w:rPr>
          <w:rFonts w:ascii="Palatino Linotype" w:hAnsi="Palatino Linotype" w:eastAsia="Palatino Linotype" w:cs="Times New Roman"/>
          <w:kern w:val="0"/>
          <w14:ligatures w14:val="none"/>
        </w:rPr>
        <w:t xml:space="preserve">recorded from 2023 and projected through </w:t>
      </w:r>
      <w:r w:rsidR="00195A07">
        <w:rPr>
          <w:rFonts w:ascii="Palatino Linotype" w:hAnsi="Palatino Linotype" w:eastAsia="Palatino Linotype" w:cs="Times New Roman"/>
          <w:kern w:val="0"/>
          <w14:ligatures w14:val="none"/>
        </w:rPr>
        <w:t xml:space="preserve">the </w:t>
      </w:r>
      <w:r w:rsidR="005A6580">
        <w:rPr>
          <w:rFonts w:ascii="Palatino Linotype" w:hAnsi="Palatino Linotype" w:eastAsia="Palatino Linotype" w:cs="Times New Roman"/>
          <w:kern w:val="0"/>
          <w14:ligatures w14:val="none"/>
        </w:rPr>
        <w:t>three-year contract term</w:t>
      </w:r>
      <w:r w:rsidRPr="00AB3EFA" w:rsidR="00195A07">
        <w:rPr>
          <w:rFonts w:ascii="Palatino Linotype" w:hAnsi="Palatino Linotype" w:eastAsia="Palatino Linotype" w:cs="Times New Roman"/>
          <w:kern w:val="0"/>
          <w14:ligatures w14:val="none"/>
        </w:rPr>
        <w:t xml:space="preserve"> </w:t>
      </w:r>
      <w:r w:rsidRPr="00AB3EFA">
        <w:rPr>
          <w:rFonts w:ascii="Palatino Linotype" w:hAnsi="Palatino Linotype" w:eastAsia="Palatino Linotype" w:cs="Times New Roman"/>
          <w:kern w:val="0"/>
          <w14:ligatures w14:val="none"/>
        </w:rPr>
        <w:t>related to Phase I development are reasonable.</w:t>
      </w:r>
      <w:r w:rsidRPr="00AB3EFA" w:rsidR="00521620">
        <w:rPr>
          <w:rFonts w:ascii="Palatino Linotype" w:hAnsi="Palatino Linotype" w:eastAsia="Palatino Linotype" w:cs="Times New Roman"/>
          <w:kern w:val="0"/>
          <w14:ligatures w14:val="none"/>
        </w:rPr>
        <w:t xml:space="preserve"> </w:t>
      </w:r>
      <w:r w:rsidR="007A407F">
        <w:rPr>
          <w:rFonts w:ascii="Palatino Linotype" w:hAnsi="Palatino Linotype" w:eastAsia="Palatino Linotype" w:cs="Times New Roman"/>
          <w:kern w:val="0"/>
          <w14:ligatures w14:val="none"/>
        </w:rPr>
        <w:t>SDG&amp;E confirmed that p</w:t>
      </w:r>
      <w:r w:rsidR="00FF51CD">
        <w:rPr>
          <w:rFonts w:ascii="Palatino Linotype" w:hAnsi="Palatino Linotype" w:eastAsia="Palatino Linotype" w:cs="Times New Roman"/>
          <w:kern w:val="0"/>
          <w14:ligatures w14:val="none"/>
        </w:rPr>
        <w:t xml:space="preserve">rojected costs </w:t>
      </w:r>
      <w:r w:rsidR="008C3C77">
        <w:rPr>
          <w:rFonts w:ascii="Palatino Linotype" w:hAnsi="Palatino Linotype" w:eastAsia="Palatino Linotype" w:cs="Times New Roman"/>
          <w:kern w:val="0"/>
          <w14:ligatures w14:val="none"/>
        </w:rPr>
        <w:t xml:space="preserve">for </w:t>
      </w:r>
      <w:r w:rsidR="005A6580">
        <w:rPr>
          <w:rFonts w:ascii="Palatino Linotype" w:hAnsi="Palatino Linotype" w:eastAsia="Palatino Linotype" w:cs="Times New Roman"/>
          <w:kern w:val="0"/>
          <w14:ligatures w14:val="none"/>
        </w:rPr>
        <w:t xml:space="preserve">contract </w:t>
      </w:r>
      <w:r w:rsidR="008C3C77">
        <w:rPr>
          <w:rFonts w:ascii="Palatino Linotype" w:hAnsi="Palatino Linotype" w:eastAsia="Palatino Linotype" w:cs="Times New Roman"/>
          <w:kern w:val="0"/>
          <w14:ligatures w14:val="none"/>
        </w:rPr>
        <w:t xml:space="preserve">Years </w:t>
      </w:r>
      <w:r w:rsidR="005A6580">
        <w:rPr>
          <w:rFonts w:ascii="Palatino Linotype" w:hAnsi="Palatino Linotype" w:eastAsia="Palatino Linotype" w:cs="Times New Roman"/>
          <w:kern w:val="0"/>
          <w14:ligatures w14:val="none"/>
        </w:rPr>
        <w:t>1</w:t>
      </w:r>
      <w:r w:rsidR="008C3C77">
        <w:rPr>
          <w:rFonts w:ascii="Palatino Linotype" w:hAnsi="Palatino Linotype" w:eastAsia="Palatino Linotype" w:cs="Times New Roman"/>
          <w:kern w:val="0"/>
          <w14:ligatures w14:val="none"/>
        </w:rPr>
        <w:t xml:space="preserve">and </w:t>
      </w:r>
      <w:r w:rsidR="005A6580">
        <w:rPr>
          <w:rFonts w:ascii="Palatino Linotype" w:hAnsi="Palatino Linotype" w:eastAsia="Palatino Linotype" w:cs="Times New Roman"/>
          <w:kern w:val="0"/>
          <w14:ligatures w14:val="none"/>
        </w:rPr>
        <w:t xml:space="preserve">2 </w:t>
      </w:r>
      <w:r w:rsidR="008C3C77">
        <w:rPr>
          <w:rFonts w:ascii="Palatino Linotype" w:hAnsi="Palatino Linotype" w:eastAsia="Palatino Linotype" w:cs="Times New Roman"/>
          <w:kern w:val="0"/>
          <w14:ligatures w14:val="none"/>
        </w:rPr>
        <w:t xml:space="preserve">are </w:t>
      </w:r>
      <w:r w:rsidR="007A407F">
        <w:rPr>
          <w:rFonts w:ascii="Palatino Linotype" w:hAnsi="Palatino Linotype" w:eastAsia="Palatino Linotype" w:cs="Times New Roman"/>
          <w:kern w:val="0"/>
          <w14:ligatures w14:val="none"/>
        </w:rPr>
        <w:t>comparatively high</w:t>
      </w:r>
      <w:r w:rsidR="009972D8">
        <w:rPr>
          <w:rFonts w:ascii="Palatino Linotype" w:hAnsi="Palatino Linotype" w:eastAsia="Palatino Linotype" w:cs="Times New Roman"/>
          <w:kern w:val="0"/>
          <w14:ligatures w14:val="none"/>
        </w:rPr>
        <w:t xml:space="preserve"> to other years due to complex integration work to support API calls required for CAS implementation</w:t>
      </w:r>
      <w:r w:rsidR="00125C07">
        <w:rPr>
          <w:rFonts w:ascii="Palatino Linotype" w:hAnsi="Palatino Linotype" w:eastAsia="Palatino Linotype" w:cs="Times New Roman"/>
          <w:kern w:val="0"/>
          <w14:ligatures w14:val="none"/>
        </w:rPr>
        <w:t xml:space="preserve">, including </w:t>
      </w:r>
      <w:r w:rsidRPr="00125C07" w:rsidR="00125C07">
        <w:rPr>
          <w:rFonts w:ascii="Palatino Linotype" w:hAnsi="Palatino Linotype" w:eastAsia="Palatino Linotype" w:cs="Times New Roman"/>
          <w:kern w:val="0"/>
          <w14:ligatures w14:val="none"/>
        </w:rPr>
        <w:t xml:space="preserve">billing system enhancements </w:t>
      </w:r>
      <w:r w:rsidR="00125C07">
        <w:rPr>
          <w:rFonts w:ascii="Palatino Linotype" w:hAnsi="Palatino Linotype" w:eastAsia="Palatino Linotype" w:cs="Times New Roman"/>
          <w:kern w:val="0"/>
          <w14:ligatures w14:val="none"/>
        </w:rPr>
        <w:t>and ten new interfaces</w:t>
      </w:r>
      <w:r w:rsidRPr="00125C07" w:rsidR="00125C07">
        <w:rPr>
          <w:rFonts w:ascii="Palatino Linotype" w:hAnsi="Palatino Linotype" w:eastAsia="Palatino Linotype" w:cs="Times New Roman"/>
          <w:kern w:val="0"/>
          <w14:ligatures w14:val="none"/>
        </w:rPr>
        <w:t>.</w:t>
      </w:r>
      <w:r w:rsidR="008E687E">
        <w:rPr>
          <w:rStyle w:val="FootnoteReference"/>
          <w:rFonts w:ascii="Palatino Linotype" w:hAnsi="Palatino Linotype" w:eastAsia="Palatino Linotype" w:cs="Times New Roman"/>
          <w:kern w:val="0"/>
          <w14:ligatures w14:val="none"/>
        </w:rPr>
        <w:footnoteReference w:id="20"/>
      </w:r>
      <w:r w:rsidR="009972D8">
        <w:rPr>
          <w:rFonts w:ascii="Palatino Linotype" w:hAnsi="Palatino Linotype" w:eastAsia="Palatino Linotype" w:cs="Times New Roman"/>
          <w:kern w:val="0"/>
          <w14:ligatures w14:val="none"/>
        </w:rPr>
        <w:t xml:space="preserve"> </w:t>
      </w:r>
    </w:p>
    <w:p w:rsidR="008C3C77" w:rsidP="00931CA0" w:rsidRDefault="008C3C77" w14:paraId="03BCC96D" w14:textId="77777777">
      <w:pPr>
        <w:spacing w:after="0" w:line="240" w:lineRule="auto"/>
        <w:rPr>
          <w:rFonts w:ascii="Palatino Linotype" w:hAnsi="Palatino Linotype" w:eastAsia="Palatino Linotype" w:cs="Times New Roman"/>
          <w:kern w:val="0"/>
          <w14:ligatures w14:val="none"/>
        </w:rPr>
      </w:pPr>
    </w:p>
    <w:p w:rsidRPr="0024275F" w:rsidR="00931CA0" w:rsidP="00931CA0" w:rsidRDefault="00B12DC5" w14:paraId="5F0960FD" w14:textId="02BAEC84">
      <w:pPr>
        <w:spacing w:after="0" w:line="240" w:lineRule="auto"/>
        <w:rPr>
          <w:rFonts w:ascii="Palatino Linotype" w:hAnsi="Palatino Linotype" w:eastAsia="Palatino Linotype" w:cs="Times New Roman"/>
          <w:kern w:val="0"/>
          <w:highlight w:val="yellow"/>
          <w14:ligatures w14:val="none"/>
        </w:rPr>
      </w:pPr>
      <w:r w:rsidRPr="00AB3EFA">
        <w:rPr>
          <w:rFonts w:ascii="Palatino Linotype" w:hAnsi="Palatino Linotype" w:eastAsia="Palatino Linotype" w:cs="Times New Roman"/>
          <w:kern w:val="0"/>
          <w14:ligatures w14:val="none"/>
        </w:rPr>
        <w:t xml:space="preserve">We find the utility-specific costs for </w:t>
      </w:r>
      <w:r w:rsidRPr="00AB3EFA">
        <w:rPr>
          <w:rFonts w:ascii="Palatino Linotype" w:hAnsi="Palatino Linotype"/>
        </w:rPr>
        <w:t xml:space="preserve">SoCalGas </w:t>
      </w:r>
      <w:r w:rsidRPr="00AB3EFA">
        <w:rPr>
          <w:rFonts w:ascii="Palatino Linotype" w:hAnsi="Palatino Linotype" w:eastAsia="Palatino Linotype" w:cs="Times New Roman"/>
          <w:kern w:val="0"/>
          <w14:ligatures w14:val="none"/>
        </w:rPr>
        <w:t xml:space="preserve">recorded from 2023 </w:t>
      </w:r>
      <w:r w:rsidRPr="00AB3EFA" w:rsidR="00B2724A">
        <w:rPr>
          <w:rFonts w:ascii="Palatino Linotype" w:hAnsi="Palatino Linotype" w:eastAsia="Palatino Linotype" w:cs="Times New Roman"/>
          <w:kern w:val="0"/>
          <w14:ligatures w14:val="none"/>
        </w:rPr>
        <w:t xml:space="preserve">and </w:t>
      </w:r>
      <w:r w:rsidRPr="00AB3EFA">
        <w:rPr>
          <w:rFonts w:ascii="Palatino Linotype" w:hAnsi="Palatino Linotype" w:eastAsia="Palatino Linotype" w:cs="Times New Roman"/>
          <w:kern w:val="0"/>
          <w14:ligatures w14:val="none"/>
        </w:rPr>
        <w:t>projected</w:t>
      </w:r>
      <w:r w:rsidRPr="00AB3EFA" w:rsidR="003539AE">
        <w:rPr>
          <w:rFonts w:ascii="Palatino Linotype" w:hAnsi="Palatino Linotype" w:eastAsia="Palatino Linotype" w:cs="Times New Roman"/>
          <w:kern w:val="0"/>
          <w14:ligatures w14:val="none"/>
        </w:rPr>
        <w:t xml:space="preserve"> costs </w:t>
      </w:r>
      <w:r w:rsidRPr="00AB3EFA" w:rsidR="02395072">
        <w:rPr>
          <w:rFonts w:ascii="Palatino Linotype" w:hAnsi="Palatino Linotype" w:eastAsia="Palatino Linotype" w:cs="Times New Roman"/>
          <w:kern w:val="0"/>
          <w14:ligatures w14:val="none"/>
        </w:rPr>
        <w:t>(</w:t>
      </w:r>
      <w:r w:rsidR="00B778BD">
        <w:rPr>
          <w:rFonts w:ascii="Palatino Linotype" w:hAnsi="Palatino Linotype" w:eastAsia="Palatino Linotype" w:cs="Times New Roman"/>
          <w:kern w:val="0"/>
          <w14:ligatures w14:val="none"/>
        </w:rPr>
        <w:t xml:space="preserve">$0 in 2023, $30,000 in 2024, and </w:t>
      </w:r>
      <w:r w:rsidRPr="00AB3EFA" w:rsidR="02395072">
        <w:rPr>
          <w:rFonts w:ascii="Palatino Linotype" w:hAnsi="Palatino Linotype" w:eastAsia="Palatino Linotype" w:cs="Times New Roman"/>
          <w:kern w:val="0"/>
          <w14:ligatures w14:val="none"/>
        </w:rPr>
        <w:t>$</w:t>
      </w:r>
      <w:r w:rsidR="00760947">
        <w:rPr>
          <w:rFonts w:ascii="Palatino Linotype" w:hAnsi="Palatino Linotype" w:eastAsia="Palatino Linotype" w:cs="Times New Roman"/>
          <w:kern w:val="0"/>
          <w14:ligatures w14:val="none"/>
        </w:rPr>
        <w:t>947,000</w:t>
      </w:r>
      <w:r w:rsidR="00B778BD">
        <w:rPr>
          <w:rFonts w:ascii="Palatino Linotype" w:hAnsi="Palatino Linotype" w:eastAsia="Palatino Linotype" w:cs="Times New Roman"/>
          <w:kern w:val="0"/>
          <w14:ligatures w14:val="none"/>
        </w:rPr>
        <w:t xml:space="preserve"> in Year 1(2025)</w:t>
      </w:r>
      <w:r w:rsidRPr="00AB3EFA" w:rsidR="02395072">
        <w:rPr>
          <w:rFonts w:ascii="Palatino Linotype" w:hAnsi="Palatino Linotype" w:eastAsia="Palatino Linotype" w:cs="Times New Roman"/>
          <w:kern w:val="0"/>
          <w14:ligatures w14:val="none"/>
        </w:rPr>
        <w:t>)</w:t>
      </w:r>
      <w:r w:rsidRPr="00AB3EFA" w:rsidR="003539AE">
        <w:rPr>
          <w:rFonts w:ascii="Palatino Linotype" w:hAnsi="Palatino Linotype" w:eastAsia="Palatino Linotype" w:cs="Times New Roman"/>
          <w:kern w:val="0"/>
          <w14:ligatures w14:val="none"/>
        </w:rPr>
        <w:t xml:space="preserve"> </w:t>
      </w:r>
      <w:r w:rsidR="008B799A">
        <w:rPr>
          <w:rFonts w:ascii="Palatino Linotype" w:hAnsi="Palatino Linotype" w:eastAsia="Palatino Linotype" w:cs="Times New Roman"/>
          <w:kern w:val="0"/>
          <w14:ligatures w14:val="none"/>
        </w:rPr>
        <w:t xml:space="preserve">through </w:t>
      </w:r>
      <w:r w:rsidR="00482914">
        <w:rPr>
          <w:rFonts w:ascii="Palatino Linotype" w:hAnsi="Palatino Linotype" w:eastAsia="Palatino Linotype" w:cs="Times New Roman"/>
          <w:kern w:val="0"/>
          <w14:ligatures w14:val="none"/>
        </w:rPr>
        <w:t xml:space="preserve">Year 1 </w:t>
      </w:r>
      <w:r w:rsidR="008B799A">
        <w:rPr>
          <w:rFonts w:ascii="Palatino Linotype" w:hAnsi="Palatino Linotype" w:eastAsia="Palatino Linotype" w:cs="Times New Roman"/>
          <w:kern w:val="0"/>
          <w14:ligatures w14:val="none"/>
        </w:rPr>
        <w:t>of the contract</w:t>
      </w:r>
      <w:r w:rsidRPr="00AB3EFA">
        <w:rPr>
          <w:rFonts w:ascii="Palatino Linotype" w:hAnsi="Palatino Linotype" w:eastAsia="Palatino Linotype" w:cs="Times New Roman"/>
          <w:kern w:val="0"/>
          <w14:ligatures w14:val="none"/>
        </w:rPr>
        <w:t xml:space="preserve"> related to Phase I development are reasonable</w:t>
      </w:r>
      <w:r w:rsidRPr="00AB3EFA" w:rsidR="00B2724A">
        <w:rPr>
          <w:rFonts w:ascii="Palatino Linotype" w:hAnsi="Palatino Linotype" w:eastAsia="Palatino Linotype" w:cs="Times New Roman"/>
          <w:kern w:val="0"/>
          <w14:ligatures w14:val="none"/>
        </w:rPr>
        <w:t xml:space="preserve">. </w:t>
      </w:r>
      <w:r w:rsidRPr="00AB3EFA" w:rsidR="00931CA0">
        <w:rPr>
          <w:rFonts w:ascii="Palatino Linotype" w:hAnsi="Palatino Linotype" w:eastAsia="Palatino Linotype" w:cs="Times New Roman"/>
          <w:kern w:val="0"/>
          <w14:ligatures w14:val="none"/>
        </w:rPr>
        <w:t>SoCalGas</w:t>
      </w:r>
      <w:r w:rsidRPr="00931CA0" w:rsidR="00931CA0">
        <w:rPr>
          <w:rFonts w:ascii="Palatino Linotype" w:hAnsi="Palatino Linotype" w:eastAsia="Palatino Linotype" w:cs="Times New Roman"/>
          <w:kern w:val="0"/>
          <w14:ligatures w14:val="none"/>
        </w:rPr>
        <w:t xml:space="preserve"> </w:t>
      </w:r>
      <w:r w:rsidR="00242FC0">
        <w:rPr>
          <w:rFonts w:ascii="Palatino Linotype" w:hAnsi="Palatino Linotype" w:eastAsia="Palatino Linotype" w:cs="Times New Roman"/>
          <w:kern w:val="0"/>
          <w14:ligatures w14:val="none"/>
        </w:rPr>
        <w:t xml:space="preserve">confirmed </w:t>
      </w:r>
      <w:r w:rsidR="002A5378">
        <w:rPr>
          <w:rFonts w:ascii="Palatino Linotype" w:hAnsi="Palatino Linotype" w:eastAsia="Palatino Linotype" w:cs="Times New Roman"/>
          <w:kern w:val="0"/>
          <w14:ligatures w14:val="none"/>
        </w:rPr>
        <w:t>there are</w:t>
      </w:r>
      <w:r w:rsidRPr="00931CA0" w:rsidR="00931CA0">
        <w:rPr>
          <w:rFonts w:ascii="Palatino Linotype" w:hAnsi="Palatino Linotype" w:eastAsia="Palatino Linotype" w:cs="Times New Roman"/>
          <w:kern w:val="0"/>
          <w14:ligatures w14:val="none"/>
        </w:rPr>
        <w:t xml:space="preserve"> two system replacements currently in development</w:t>
      </w:r>
      <w:r w:rsidR="00624259">
        <w:rPr>
          <w:rFonts w:ascii="Palatino Linotype" w:hAnsi="Palatino Linotype" w:eastAsia="Palatino Linotype" w:cs="Times New Roman"/>
          <w:kern w:val="0"/>
          <w14:ligatures w14:val="none"/>
        </w:rPr>
        <w:t xml:space="preserve">, </w:t>
      </w:r>
      <w:r w:rsidRPr="00931CA0" w:rsidR="005D484E">
        <w:rPr>
          <w:rFonts w:ascii="Palatino Linotype" w:hAnsi="Palatino Linotype" w:eastAsia="Palatino Linotype" w:cs="Times New Roman"/>
          <w:kern w:val="0"/>
          <w14:ligatures w14:val="none"/>
        </w:rPr>
        <w:t xml:space="preserve">funded separately </w:t>
      </w:r>
      <w:r w:rsidR="005D484E">
        <w:rPr>
          <w:rFonts w:ascii="Palatino Linotype" w:hAnsi="Palatino Linotype" w:eastAsia="Palatino Linotype" w:cs="Times New Roman"/>
          <w:kern w:val="0"/>
          <w14:ligatures w14:val="none"/>
        </w:rPr>
        <w:t>from CAS</w:t>
      </w:r>
      <w:r w:rsidR="00624259">
        <w:rPr>
          <w:rFonts w:ascii="Palatino Linotype" w:hAnsi="Palatino Linotype" w:eastAsia="Palatino Linotype" w:cs="Times New Roman"/>
          <w:kern w:val="0"/>
          <w14:ligatures w14:val="none"/>
        </w:rPr>
        <w:t>,</w:t>
      </w:r>
      <w:r w:rsidR="005D484E">
        <w:rPr>
          <w:rFonts w:ascii="Palatino Linotype" w:hAnsi="Palatino Linotype" w:eastAsia="Palatino Linotype" w:cs="Times New Roman"/>
          <w:kern w:val="0"/>
          <w14:ligatures w14:val="none"/>
        </w:rPr>
        <w:t xml:space="preserve"> </w:t>
      </w:r>
      <w:r w:rsidR="00752DA5">
        <w:rPr>
          <w:rFonts w:ascii="Palatino Linotype" w:hAnsi="Palatino Linotype" w:eastAsia="Palatino Linotype" w:cs="Times New Roman"/>
          <w:kern w:val="0"/>
          <w14:ligatures w14:val="none"/>
        </w:rPr>
        <w:t xml:space="preserve">for its </w:t>
      </w:r>
      <w:r w:rsidRPr="00931CA0" w:rsidR="00752DA5">
        <w:rPr>
          <w:rFonts w:ascii="Palatino Linotype" w:hAnsi="Palatino Linotype" w:eastAsia="Palatino Linotype" w:cs="Times New Roman"/>
          <w:kern w:val="0"/>
          <w14:ligatures w14:val="none"/>
        </w:rPr>
        <w:t>Customer Information System (CIS) to support customer service business and billing processes</w:t>
      </w:r>
      <w:r w:rsidR="00624259">
        <w:rPr>
          <w:rFonts w:ascii="Palatino Linotype" w:hAnsi="Palatino Linotype" w:eastAsia="Palatino Linotype" w:cs="Times New Roman"/>
          <w:kern w:val="0"/>
          <w14:ligatures w14:val="none"/>
        </w:rPr>
        <w:t xml:space="preserve"> and </w:t>
      </w:r>
      <w:r w:rsidRPr="00931CA0" w:rsidR="00624259">
        <w:rPr>
          <w:rFonts w:ascii="Palatino Linotype" w:hAnsi="Palatino Linotype" w:eastAsia="Palatino Linotype" w:cs="Times New Roman"/>
          <w:kern w:val="0"/>
          <w14:ligatures w14:val="none"/>
        </w:rPr>
        <w:t>subsystems which support the front end of the CARE and ESA Programs</w:t>
      </w:r>
      <w:r w:rsidR="00624259">
        <w:rPr>
          <w:rFonts w:ascii="Palatino Linotype" w:hAnsi="Palatino Linotype" w:eastAsia="Palatino Linotype" w:cs="Times New Roman"/>
          <w:kern w:val="0"/>
          <w14:ligatures w14:val="none"/>
        </w:rPr>
        <w:t>.</w:t>
      </w:r>
      <w:r w:rsidR="00752DA5">
        <w:rPr>
          <w:rFonts w:ascii="Palatino Linotype" w:hAnsi="Palatino Linotype" w:eastAsia="Palatino Linotype" w:cs="Times New Roman"/>
          <w:kern w:val="0"/>
          <w14:ligatures w14:val="none"/>
        </w:rPr>
        <w:t xml:space="preserve"> </w:t>
      </w:r>
      <w:r w:rsidR="00624259">
        <w:rPr>
          <w:rFonts w:ascii="Palatino Linotype" w:hAnsi="Palatino Linotype" w:eastAsia="Palatino Linotype" w:cs="Times New Roman"/>
          <w:kern w:val="0"/>
          <w14:ligatures w14:val="none"/>
        </w:rPr>
        <w:t>These systems</w:t>
      </w:r>
      <w:r w:rsidR="00DC72E3">
        <w:rPr>
          <w:rFonts w:ascii="Palatino Linotype" w:hAnsi="Palatino Linotype" w:eastAsia="Palatino Linotype" w:cs="Times New Roman"/>
          <w:kern w:val="0"/>
          <w14:ligatures w14:val="none"/>
        </w:rPr>
        <w:t xml:space="preserve"> w</w:t>
      </w:r>
      <w:r w:rsidR="005D484E">
        <w:rPr>
          <w:rFonts w:ascii="Palatino Linotype" w:hAnsi="Palatino Linotype" w:eastAsia="Palatino Linotype" w:cs="Times New Roman"/>
          <w:kern w:val="0"/>
          <w14:ligatures w14:val="none"/>
        </w:rPr>
        <w:t>ill integrate with the CAS platform when in service</w:t>
      </w:r>
      <w:r w:rsidR="00DA25D7">
        <w:rPr>
          <w:rFonts w:ascii="Palatino Linotype" w:hAnsi="Palatino Linotype" w:eastAsia="Palatino Linotype" w:cs="Times New Roman"/>
          <w:kern w:val="0"/>
          <w14:ligatures w14:val="none"/>
        </w:rPr>
        <w:t xml:space="preserve">, but </w:t>
      </w:r>
      <w:r w:rsidR="005D484E">
        <w:rPr>
          <w:rFonts w:ascii="Palatino Linotype" w:hAnsi="Palatino Linotype" w:eastAsia="Palatino Linotype" w:cs="Times New Roman"/>
          <w:kern w:val="0"/>
          <w14:ligatures w14:val="none"/>
        </w:rPr>
        <w:t>SoCalGas confirmed there are challenges</w:t>
      </w:r>
      <w:r w:rsidRPr="00752DA5" w:rsidR="00752DA5">
        <w:rPr>
          <w:rFonts w:ascii="Palatino Linotype" w:hAnsi="Palatino Linotype" w:eastAsia="Palatino Linotype" w:cs="Times New Roman"/>
          <w:kern w:val="0"/>
          <w14:ligatures w14:val="none"/>
        </w:rPr>
        <w:t xml:space="preserve"> </w:t>
      </w:r>
      <w:r w:rsidRPr="00931CA0" w:rsidR="00752DA5">
        <w:rPr>
          <w:rFonts w:ascii="Palatino Linotype" w:hAnsi="Palatino Linotype" w:eastAsia="Palatino Linotype" w:cs="Times New Roman"/>
          <w:kern w:val="0"/>
          <w14:ligatures w14:val="none"/>
        </w:rPr>
        <w:t>in projecting specific cost details for CAS integration</w:t>
      </w:r>
      <w:r w:rsidR="00752DA5">
        <w:rPr>
          <w:rFonts w:ascii="Palatino Linotype" w:hAnsi="Palatino Linotype" w:eastAsia="Palatino Linotype" w:cs="Times New Roman"/>
          <w:kern w:val="0"/>
          <w14:ligatures w14:val="none"/>
        </w:rPr>
        <w:t xml:space="preserve"> s</w:t>
      </w:r>
      <w:r w:rsidRPr="00931CA0" w:rsidR="00931CA0">
        <w:rPr>
          <w:rFonts w:ascii="Palatino Linotype" w:hAnsi="Palatino Linotype" w:eastAsia="Palatino Linotype" w:cs="Times New Roman"/>
          <w:kern w:val="0"/>
          <w14:ligatures w14:val="none"/>
        </w:rPr>
        <w:t>ince these systems are not yet in service</w:t>
      </w:r>
      <w:r w:rsidR="00900EBF">
        <w:rPr>
          <w:rFonts w:ascii="Palatino Linotype" w:hAnsi="Palatino Linotype" w:eastAsia="Palatino Linotype" w:cs="Times New Roman"/>
          <w:kern w:val="0"/>
          <w14:ligatures w14:val="none"/>
        </w:rPr>
        <w:t xml:space="preserve"> and</w:t>
      </w:r>
      <w:r w:rsidR="00E141DB">
        <w:rPr>
          <w:rFonts w:ascii="Palatino Linotype" w:hAnsi="Palatino Linotype" w:eastAsia="Palatino Linotype" w:cs="Times New Roman"/>
          <w:kern w:val="0"/>
          <w14:ligatures w14:val="none"/>
        </w:rPr>
        <w:t xml:space="preserve"> better costs estimates are difficult to accurately estimate until the vendor moves forward with </w:t>
      </w:r>
      <w:r w:rsidRPr="00931CA0" w:rsidR="00931CA0">
        <w:rPr>
          <w:rFonts w:ascii="Palatino Linotype" w:hAnsi="Palatino Linotype" w:eastAsia="Palatino Linotype" w:cs="Times New Roman"/>
          <w:kern w:val="0"/>
          <w14:ligatures w14:val="none"/>
        </w:rPr>
        <w:t xml:space="preserve">development </w:t>
      </w:r>
      <w:r w:rsidR="00E141DB">
        <w:rPr>
          <w:rFonts w:ascii="Palatino Linotype" w:hAnsi="Palatino Linotype" w:eastAsia="Palatino Linotype" w:cs="Times New Roman"/>
          <w:kern w:val="0"/>
          <w14:ligatures w14:val="none"/>
        </w:rPr>
        <w:t xml:space="preserve">and </w:t>
      </w:r>
      <w:r w:rsidRPr="00931CA0" w:rsidR="00931CA0">
        <w:rPr>
          <w:rFonts w:ascii="Palatino Linotype" w:hAnsi="Palatino Linotype" w:eastAsia="Palatino Linotype" w:cs="Times New Roman"/>
          <w:kern w:val="0"/>
          <w14:ligatures w14:val="none"/>
        </w:rPr>
        <w:t>as</w:t>
      </w:r>
      <w:r w:rsidR="00931CA0">
        <w:rPr>
          <w:rFonts w:ascii="Palatino Linotype" w:hAnsi="Palatino Linotype" w:eastAsia="Palatino Linotype" w:cs="Times New Roman"/>
          <w:kern w:val="0"/>
          <w14:ligatures w14:val="none"/>
        </w:rPr>
        <w:t xml:space="preserve"> </w:t>
      </w:r>
      <w:r w:rsidRPr="00931CA0" w:rsidR="00931CA0">
        <w:rPr>
          <w:rFonts w:ascii="Palatino Linotype" w:hAnsi="Palatino Linotype" w:eastAsia="Palatino Linotype" w:cs="Times New Roman"/>
          <w:kern w:val="0"/>
          <w14:ligatures w14:val="none"/>
        </w:rPr>
        <w:t>requirements are further defined.</w:t>
      </w:r>
      <w:r w:rsidR="00E141DB">
        <w:rPr>
          <w:rStyle w:val="FootnoteReference"/>
          <w:rFonts w:ascii="Palatino Linotype" w:hAnsi="Palatino Linotype" w:eastAsia="Palatino Linotype" w:cs="Times New Roman"/>
          <w:kern w:val="0"/>
          <w14:ligatures w14:val="none"/>
        </w:rPr>
        <w:footnoteReference w:id="21"/>
      </w:r>
    </w:p>
    <w:p w:rsidR="008A2E84" w:rsidP="00A76F4A" w:rsidRDefault="008A2E84" w14:paraId="281DDBA1" w14:textId="77777777">
      <w:pPr>
        <w:spacing w:after="0" w:line="240" w:lineRule="auto"/>
        <w:rPr>
          <w:rFonts w:ascii="Palatino Linotype" w:hAnsi="Palatino Linotype" w:eastAsia="Palatino Linotype" w:cs="Times New Roman"/>
          <w:kern w:val="0"/>
          <w14:ligatures w14:val="none"/>
        </w:rPr>
      </w:pPr>
    </w:p>
    <w:p w:rsidR="00B24731" w:rsidP="00A76F4A" w:rsidRDefault="0024275F" w14:paraId="384CBEAA" w14:textId="0E486782">
      <w:pPr>
        <w:spacing w:after="0" w:line="240" w:lineRule="auto"/>
        <w:rPr>
          <w:rFonts w:ascii="Palatino Linotype" w:hAnsi="Palatino Linotype" w:eastAsia="Palatino Linotype" w:cs="Times New Roman"/>
          <w:kern w:val="0"/>
          <w14:ligatures w14:val="none"/>
        </w:rPr>
      </w:pPr>
      <w:r w:rsidRPr="00AB3EFA">
        <w:rPr>
          <w:rFonts w:ascii="Palatino Linotype" w:hAnsi="Palatino Linotype" w:eastAsia="Palatino Linotype" w:cs="Times New Roman"/>
          <w:kern w:val="0"/>
          <w14:ligatures w14:val="none"/>
        </w:rPr>
        <w:t>We find SoCalGas</w:t>
      </w:r>
      <w:r w:rsidR="00E927B3">
        <w:rPr>
          <w:rFonts w:ascii="Palatino Linotype" w:hAnsi="Palatino Linotype" w:eastAsia="Palatino Linotype" w:cs="Times New Roman"/>
          <w:kern w:val="0"/>
          <w14:ligatures w14:val="none"/>
        </w:rPr>
        <w:t>’</w:t>
      </w:r>
      <w:r w:rsidRPr="00AB3EFA">
        <w:rPr>
          <w:rFonts w:ascii="Palatino Linotype" w:hAnsi="Palatino Linotype" w:eastAsia="Palatino Linotype" w:cs="Times New Roman"/>
          <w:kern w:val="0"/>
          <w14:ligatures w14:val="none"/>
        </w:rPr>
        <w:t xml:space="preserve"> projected costs </w:t>
      </w:r>
      <w:r w:rsidRPr="71895AB6" w:rsidR="400966E4">
        <w:rPr>
          <w:rFonts w:ascii="Palatino Linotype" w:hAnsi="Palatino Linotype" w:eastAsia="Palatino Linotype" w:cs="Times New Roman"/>
        </w:rPr>
        <w:t>($</w:t>
      </w:r>
      <w:r w:rsidRPr="71895AB6" w:rsidR="00F8452F">
        <w:rPr>
          <w:rFonts w:ascii="Palatino Linotype" w:hAnsi="Palatino Linotype" w:eastAsia="Palatino Linotype" w:cs="Times New Roman"/>
        </w:rPr>
        <w:t xml:space="preserve">947,000 in Year 2 and </w:t>
      </w:r>
      <w:r w:rsidRPr="71895AB6" w:rsidR="00331B2F">
        <w:rPr>
          <w:rFonts w:ascii="Palatino Linotype" w:hAnsi="Palatino Linotype" w:eastAsia="Palatino Linotype" w:cs="Times New Roman"/>
        </w:rPr>
        <w:t>$</w:t>
      </w:r>
      <w:r w:rsidR="001F2DCC">
        <w:rPr>
          <w:rFonts w:ascii="Palatino Linotype" w:hAnsi="Palatino Linotype" w:eastAsia="Palatino Linotype" w:cs="Times New Roman"/>
        </w:rPr>
        <w:t>650</w:t>
      </w:r>
      <w:r w:rsidRPr="71895AB6" w:rsidR="00331B2F">
        <w:rPr>
          <w:rFonts w:ascii="Palatino Linotype" w:hAnsi="Palatino Linotype" w:eastAsia="Palatino Linotype" w:cs="Times New Roman"/>
        </w:rPr>
        <w:t>,000 in Year 3</w:t>
      </w:r>
      <w:r w:rsidRPr="71895AB6" w:rsidR="400966E4">
        <w:rPr>
          <w:rFonts w:ascii="Palatino Linotype" w:hAnsi="Palatino Linotype" w:eastAsia="Palatino Linotype" w:cs="Times New Roman"/>
        </w:rPr>
        <w:t xml:space="preserve">) </w:t>
      </w:r>
      <w:r w:rsidR="00AB3EFA">
        <w:rPr>
          <w:rFonts w:ascii="Palatino Linotype" w:hAnsi="Palatino Linotype" w:eastAsia="Palatino Linotype" w:cs="Times New Roman"/>
          <w:kern w:val="0"/>
          <w14:ligatures w14:val="none"/>
        </w:rPr>
        <w:t xml:space="preserve">after </w:t>
      </w:r>
      <w:r w:rsidR="00886844">
        <w:rPr>
          <w:rFonts w:ascii="Palatino Linotype" w:hAnsi="Palatino Linotype" w:eastAsia="Palatino Linotype" w:cs="Times New Roman"/>
          <w:kern w:val="0"/>
          <w14:ligatures w14:val="none"/>
        </w:rPr>
        <w:t xml:space="preserve">the </w:t>
      </w:r>
      <w:r w:rsidR="00AB3EFA">
        <w:rPr>
          <w:rFonts w:ascii="Palatino Linotype" w:hAnsi="Palatino Linotype" w:eastAsia="Palatino Linotype" w:cs="Times New Roman"/>
          <w:kern w:val="0"/>
          <w14:ligatures w14:val="none"/>
        </w:rPr>
        <w:t>launch of the platform</w:t>
      </w:r>
      <w:r w:rsidR="00C34565">
        <w:rPr>
          <w:rFonts w:ascii="Palatino Linotype" w:hAnsi="Palatino Linotype" w:eastAsia="Palatino Linotype" w:cs="Times New Roman"/>
          <w:kern w:val="0"/>
          <w14:ligatures w14:val="none"/>
        </w:rPr>
        <w:t xml:space="preserve"> in Year 2</w:t>
      </w:r>
      <w:r w:rsidR="00CE1AEF">
        <w:rPr>
          <w:rFonts w:ascii="Palatino Linotype" w:hAnsi="Palatino Linotype" w:eastAsia="Palatino Linotype" w:cs="Times New Roman"/>
          <w:kern w:val="0"/>
          <w14:ligatures w14:val="none"/>
        </w:rPr>
        <w:t xml:space="preserve">, </w:t>
      </w:r>
      <w:r w:rsidR="00C34565">
        <w:rPr>
          <w:rFonts w:ascii="Palatino Linotype" w:hAnsi="Palatino Linotype" w:eastAsia="Palatino Linotype" w:cs="Times New Roman"/>
          <w:kern w:val="0"/>
          <w14:ligatures w14:val="none"/>
        </w:rPr>
        <w:t>during operations and maintenance</w:t>
      </w:r>
      <w:r w:rsidR="00CE1AEF">
        <w:rPr>
          <w:rFonts w:ascii="Palatino Linotype" w:hAnsi="Palatino Linotype" w:eastAsia="Palatino Linotype" w:cs="Times New Roman"/>
          <w:kern w:val="0"/>
          <w14:ligatures w14:val="none"/>
        </w:rPr>
        <w:t>,</w:t>
      </w:r>
      <w:r w:rsidR="00C34565">
        <w:rPr>
          <w:rFonts w:ascii="Palatino Linotype" w:hAnsi="Palatino Linotype" w:eastAsia="Palatino Linotype" w:cs="Times New Roman"/>
          <w:kern w:val="0"/>
          <w14:ligatures w14:val="none"/>
        </w:rPr>
        <w:t xml:space="preserve"> </w:t>
      </w:r>
      <w:r w:rsidRPr="00AB3EFA" w:rsidR="00886844">
        <w:rPr>
          <w:rFonts w:ascii="Palatino Linotype" w:hAnsi="Palatino Linotype" w:eastAsia="Palatino Linotype" w:cs="Times New Roman"/>
          <w:kern w:val="0"/>
          <w14:ligatures w14:val="none"/>
        </w:rPr>
        <w:t>to be high</w:t>
      </w:r>
      <w:r w:rsidR="007738EE">
        <w:rPr>
          <w:rFonts w:ascii="Palatino Linotype" w:hAnsi="Palatino Linotype" w:eastAsia="Palatino Linotype" w:cs="Times New Roman"/>
          <w:kern w:val="0"/>
          <w14:ligatures w14:val="none"/>
        </w:rPr>
        <w:t>er than needed</w:t>
      </w:r>
      <w:r w:rsidRPr="00AB3EFA" w:rsidR="00886844">
        <w:rPr>
          <w:rFonts w:ascii="Palatino Linotype" w:hAnsi="Palatino Linotype" w:eastAsia="Palatino Linotype" w:cs="Times New Roman"/>
          <w:kern w:val="0"/>
          <w14:ligatures w14:val="none"/>
        </w:rPr>
        <w:t xml:space="preserve"> </w:t>
      </w:r>
      <w:r w:rsidR="00C34565">
        <w:rPr>
          <w:rFonts w:ascii="Palatino Linotype" w:hAnsi="Palatino Linotype" w:eastAsia="Palatino Linotype" w:cs="Times New Roman"/>
          <w:kern w:val="0"/>
          <w14:ligatures w14:val="none"/>
        </w:rPr>
        <w:t xml:space="preserve">in </w:t>
      </w:r>
      <w:r w:rsidR="006D2458">
        <w:rPr>
          <w:rFonts w:ascii="Palatino Linotype" w:hAnsi="Palatino Linotype" w:eastAsia="Palatino Linotype" w:cs="Times New Roman"/>
          <w:kern w:val="0"/>
          <w14:ligatures w14:val="none"/>
        </w:rPr>
        <w:t xml:space="preserve">contract </w:t>
      </w:r>
      <w:r w:rsidR="00C34565">
        <w:rPr>
          <w:rFonts w:ascii="Palatino Linotype" w:hAnsi="Palatino Linotype" w:eastAsia="Palatino Linotype" w:cs="Times New Roman"/>
          <w:kern w:val="0"/>
          <w14:ligatures w14:val="none"/>
        </w:rPr>
        <w:t xml:space="preserve">Years </w:t>
      </w:r>
      <w:r w:rsidR="006D2458">
        <w:rPr>
          <w:rFonts w:ascii="Palatino Linotype" w:hAnsi="Palatino Linotype" w:eastAsia="Palatino Linotype" w:cs="Times New Roman"/>
          <w:kern w:val="0"/>
          <w14:ligatures w14:val="none"/>
        </w:rPr>
        <w:t>2 and 3</w:t>
      </w:r>
      <w:r w:rsidR="00DD330B">
        <w:rPr>
          <w:rFonts w:ascii="Palatino Linotype" w:hAnsi="Palatino Linotype" w:eastAsia="Palatino Linotype" w:cs="Times New Roman"/>
          <w:kern w:val="0"/>
          <w14:ligatures w14:val="none"/>
        </w:rPr>
        <w:t xml:space="preserve"> </w:t>
      </w:r>
      <w:r w:rsidR="00274151">
        <w:rPr>
          <w:rFonts w:ascii="Palatino Linotype" w:hAnsi="Palatino Linotype" w:eastAsia="Palatino Linotype" w:cs="Times New Roman"/>
          <w:kern w:val="0"/>
          <w14:ligatures w14:val="none"/>
        </w:rPr>
        <w:t xml:space="preserve">and </w:t>
      </w:r>
      <w:r w:rsidR="002640DD">
        <w:rPr>
          <w:rFonts w:ascii="Palatino Linotype" w:hAnsi="Palatino Linotype" w:eastAsia="Palatino Linotype" w:cs="Times New Roman"/>
          <w:kern w:val="0"/>
          <w14:ligatures w14:val="none"/>
        </w:rPr>
        <w:t>approve a modified</w:t>
      </w:r>
      <w:r w:rsidR="0BB151B5">
        <w:rPr>
          <w:rFonts w:ascii="Palatino Linotype" w:hAnsi="Palatino Linotype" w:eastAsia="Palatino Linotype" w:cs="Times New Roman"/>
          <w:kern w:val="0"/>
          <w14:ligatures w14:val="none"/>
        </w:rPr>
        <w:t>, smaller</w:t>
      </w:r>
      <w:r w:rsidR="002640DD">
        <w:rPr>
          <w:rFonts w:ascii="Palatino Linotype" w:hAnsi="Palatino Linotype" w:eastAsia="Palatino Linotype" w:cs="Times New Roman"/>
          <w:kern w:val="0"/>
          <w14:ligatures w14:val="none"/>
        </w:rPr>
        <w:t xml:space="preserve"> budget </w:t>
      </w:r>
      <w:r w:rsidR="00F04727">
        <w:rPr>
          <w:rFonts w:ascii="Palatino Linotype" w:hAnsi="Palatino Linotype" w:eastAsia="Palatino Linotype" w:cs="Times New Roman"/>
          <w:kern w:val="0"/>
          <w14:ligatures w14:val="none"/>
        </w:rPr>
        <w:t xml:space="preserve">to cover </w:t>
      </w:r>
      <w:r w:rsidR="002E13EF">
        <w:rPr>
          <w:rFonts w:ascii="Palatino Linotype" w:hAnsi="Palatino Linotype" w:eastAsia="Palatino Linotype" w:cs="Times New Roman"/>
          <w:kern w:val="0"/>
          <w14:ligatures w14:val="none"/>
        </w:rPr>
        <w:t>cloud services costs</w:t>
      </w:r>
      <w:r w:rsidR="00C34565">
        <w:rPr>
          <w:rFonts w:ascii="Palatino Linotype" w:hAnsi="Palatino Linotype" w:eastAsia="Palatino Linotype" w:cs="Times New Roman"/>
          <w:kern w:val="0"/>
          <w14:ligatures w14:val="none"/>
        </w:rPr>
        <w:t xml:space="preserve">. </w:t>
      </w:r>
      <w:r w:rsidR="002E13EF">
        <w:rPr>
          <w:rFonts w:ascii="Palatino Linotype" w:hAnsi="Palatino Linotype" w:eastAsia="Palatino Linotype" w:cs="Times New Roman"/>
          <w:kern w:val="0"/>
          <w14:ligatures w14:val="none"/>
        </w:rPr>
        <w:t>SoCalGas confirmed</w:t>
      </w:r>
      <w:r w:rsidR="005E1E91">
        <w:rPr>
          <w:rFonts w:ascii="Palatino Linotype" w:hAnsi="Palatino Linotype" w:eastAsia="Palatino Linotype" w:cs="Times New Roman"/>
          <w:kern w:val="0"/>
          <w14:ligatures w14:val="none"/>
        </w:rPr>
        <w:t xml:space="preserve"> </w:t>
      </w:r>
      <w:r w:rsidR="00407A6C">
        <w:rPr>
          <w:rFonts w:ascii="Palatino Linotype" w:hAnsi="Palatino Linotype" w:eastAsia="Palatino Linotype" w:cs="Times New Roman"/>
          <w:kern w:val="0"/>
          <w14:ligatures w14:val="none"/>
        </w:rPr>
        <w:t xml:space="preserve">that </w:t>
      </w:r>
      <w:r w:rsidR="005E1E91">
        <w:rPr>
          <w:rFonts w:ascii="Palatino Linotype" w:hAnsi="Palatino Linotype" w:eastAsia="Palatino Linotype" w:cs="Times New Roman"/>
          <w:kern w:val="0"/>
          <w14:ligatures w14:val="none"/>
        </w:rPr>
        <w:t>ongoing costs after the CAS platform launches</w:t>
      </w:r>
      <w:r w:rsidR="004B504C">
        <w:rPr>
          <w:rFonts w:ascii="Palatino Linotype" w:hAnsi="Palatino Linotype" w:eastAsia="Palatino Linotype" w:cs="Times New Roman"/>
          <w:kern w:val="0"/>
          <w14:ligatures w14:val="none"/>
        </w:rPr>
        <w:t xml:space="preserve"> (estimated to take 18 months after the Commission approves this </w:t>
      </w:r>
      <w:r w:rsidR="00AE7E3A">
        <w:rPr>
          <w:rFonts w:ascii="Palatino Linotype" w:hAnsi="Palatino Linotype" w:eastAsia="Palatino Linotype" w:cs="Times New Roman"/>
          <w:kern w:val="0"/>
          <w14:ligatures w14:val="none"/>
        </w:rPr>
        <w:t>R</w:t>
      </w:r>
      <w:r w:rsidR="004B504C">
        <w:rPr>
          <w:rFonts w:ascii="Palatino Linotype" w:hAnsi="Palatino Linotype" w:eastAsia="Palatino Linotype" w:cs="Times New Roman"/>
          <w:kern w:val="0"/>
          <w14:ligatures w14:val="none"/>
        </w:rPr>
        <w:t>esolution)</w:t>
      </w:r>
      <w:r w:rsidR="002E13EF">
        <w:rPr>
          <w:rFonts w:ascii="Palatino Linotype" w:hAnsi="Palatino Linotype" w:eastAsia="Palatino Linotype" w:cs="Times New Roman"/>
          <w:kern w:val="0"/>
          <w14:ligatures w14:val="none"/>
        </w:rPr>
        <w:t xml:space="preserve"> </w:t>
      </w:r>
      <w:r w:rsidR="0026024C">
        <w:rPr>
          <w:rFonts w:ascii="Palatino Linotype" w:hAnsi="Palatino Linotype" w:eastAsia="Palatino Linotype" w:cs="Times New Roman"/>
          <w:kern w:val="0"/>
          <w14:ligatures w14:val="none"/>
        </w:rPr>
        <w:t>include</w:t>
      </w:r>
      <w:r w:rsidR="00407A6C">
        <w:rPr>
          <w:rFonts w:ascii="Palatino Linotype" w:hAnsi="Palatino Linotype" w:eastAsia="Palatino Linotype" w:cs="Times New Roman"/>
          <w:kern w:val="0"/>
          <w14:ligatures w14:val="none"/>
        </w:rPr>
        <w:t xml:space="preserve"> costs to support operations and maintenance, including</w:t>
      </w:r>
      <w:r w:rsidR="0035135F">
        <w:rPr>
          <w:rFonts w:ascii="Palatino Linotype" w:hAnsi="Palatino Linotype" w:eastAsia="Palatino Linotype" w:cs="Times New Roman"/>
          <w:kern w:val="0"/>
          <w14:ligatures w14:val="none"/>
        </w:rPr>
        <w:t xml:space="preserve"> administration costs and</w:t>
      </w:r>
      <w:r w:rsidR="00407A6C">
        <w:rPr>
          <w:rFonts w:ascii="Palatino Linotype" w:hAnsi="Palatino Linotype" w:eastAsia="Palatino Linotype" w:cs="Times New Roman"/>
          <w:kern w:val="0"/>
          <w14:ligatures w14:val="none"/>
        </w:rPr>
        <w:t xml:space="preserve"> </w:t>
      </w:r>
      <w:r w:rsidRPr="005E1E91" w:rsidR="005E1E91">
        <w:rPr>
          <w:rFonts w:ascii="Palatino Linotype" w:hAnsi="Palatino Linotype" w:eastAsia="Palatino Linotype" w:cs="Times New Roman"/>
          <w:kern w:val="0"/>
          <w14:ligatures w14:val="none"/>
        </w:rPr>
        <w:t>fixed cost</w:t>
      </w:r>
      <w:r w:rsidR="0035135F">
        <w:rPr>
          <w:rFonts w:ascii="Palatino Linotype" w:hAnsi="Palatino Linotype" w:eastAsia="Palatino Linotype" w:cs="Times New Roman"/>
          <w:kern w:val="0"/>
          <w14:ligatures w14:val="none"/>
        </w:rPr>
        <w:t>s</w:t>
      </w:r>
      <w:r w:rsidRPr="005E1E91" w:rsidR="005E1E91">
        <w:rPr>
          <w:rFonts w:ascii="Palatino Linotype" w:hAnsi="Palatino Linotype" w:eastAsia="Palatino Linotype" w:cs="Times New Roman"/>
          <w:kern w:val="0"/>
          <w14:ligatures w14:val="none"/>
        </w:rPr>
        <w:t xml:space="preserve"> for cloud services</w:t>
      </w:r>
      <w:r w:rsidR="00A82160">
        <w:rPr>
          <w:rFonts w:ascii="Palatino Linotype" w:hAnsi="Palatino Linotype" w:eastAsia="Palatino Linotype" w:cs="Times New Roman"/>
          <w:kern w:val="0"/>
          <w14:ligatures w14:val="none"/>
        </w:rPr>
        <w:t xml:space="preserve"> as </w:t>
      </w:r>
      <w:r w:rsidR="00B65035">
        <w:rPr>
          <w:rFonts w:ascii="Palatino Linotype" w:hAnsi="Palatino Linotype" w:eastAsia="Palatino Linotype" w:cs="Times New Roman"/>
          <w:kern w:val="0"/>
          <w14:ligatures w14:val="none"/>
        </w:rPr>
        <w:t>it relates to their upcoming system replacements</w:t>
      </w:r>
      <w:r w:rsidR="0026024C">
        <w:rPr>
          <w:rFonts w:ascii="Palatino Linotype" w:hAnsi="Palatino Linotype" w:eastAsia="Palatino Linotype" w:cs="Times New Roman"/>
          <w:kern w:val="0"/>
          <w14:ligatures w14:val="none"/>
        </w:rPr>
        <w:t>.</w:t>
      </w:r>
      <w:r w:rsidR="0026024C">
        <w:rPr>
          <w:rStyle w:val="FootnoteReference"/>
          <w:rFonts w:ascii="Palatino Linotype" w:hAnsi="Palatino Linotype" w:eastAsia="Palatino Linotype" w:cs="Times New Roman"/>
          <w:kern w:val="0"/>
          <w14:ligatures w14:val="none"/>
        </w:rPr>
        <w:footnoteReference w:id="22"/>
      </w:r>
      <w:r w:rsidR="00A82160">
        <w:rPr>
          <w:rFonts w:ascii="Palatino Linotype" w:hAnsi="Palatino Linotype" w:eastAsia="Palatino Linotype" w:cs="Times New Roman"/>
          <w:kern w:val="0"/>
          <w14:ligatures w14:val="none"/>
        </w:rPr>
        <w:t xml:space="preserve"> </w:t>
      </w:r>
      <w:r w:rsidR="00DA2D9D">
        <w:rPr>
          <w:rFonts w:ascii="Palatino Linotype" w:hAnsi="Palatino Linotype" w:eastAsia="Palatino Linotype" w:cs="Times New Roman"/>
          <w:kern w:val="0"/>
          <w14:ligatures w14:val="none"/>
        </w:rPr>
        <w:t>O</w:t>
      </w:r>
      <w:r w:rsidR="00DC72E3">
        <w:rPr>
          <w:rFonts w:ascii="Palatino Linotype" w:hAnsi="Palatino Linotype" w:eastAsia="Palatino Linotype" w:cs="Times New Roman"/>
          <w:kern w:val="0"/>
          <w14:ligatures w14:val="none"/>
        </w:rPr>
        <w:t xml:space="preserve">nly costs that are incremental to </w:t>
      </w:r>
      <w:r w:rsidRPr="008A2E84" w:rsidR="008A2E84">
        <w:rPr>
          <w:rFonts w:ascii="Palatino Linotype" w:hAnsi="Palatino Linotype" w:eastAsia="Palatino Linotype" w:cs="Times New Roman"/>
          <w:kern w:val="0"/>
          <w14:ligatures w14:val="none"/>
        </w:rPr>
        <w:t xml:space="preserve">charges above </w:t>
      </w:r>
      <w:r w:rsidR="00A82160">
        <w:rPr>
          <w:rFonts w:ascii="Palatino Linotype" w:hAnsi="Palatino Linotype" w:eastAsia="Palatino Linotype" w:cs="Times New Roman"/>
          <w:kern w:val="0"/>
          <w14:ligatures w14:val="none"/>
        </w:rPr>
        <w:t>the</w:t>
      </w:r>
      <w:r w:rsidRPr="008A2E84" w:rsidR="008A2E84">
        <w:rPr>
          <w:rFonts w:ascii="Palatino Linotype" w:hAnsi="Palatino Linotype" w:eastAsia="Palatino Linotype" w:cs="Times New Roman"/>
          <w:kern w:val="0"/>
          <w14:ligatures w14:val="none"/>
        </w:rPr>
        <w:t xml:space="preserve"> normalized costs of operations for those systems</w:t>
      </w:r>
      <w:r w:rsidR="00B94EE8">
        <w:rPr>
          <w:rFonts w:ascii="Palatino Linotype" w:hAnsi="Palatino Linotype" w:eastAsia="Palatino Linotype" w:cs="Times New Roman"/>
          <w:kern w:val="0"/>
          <w14:ligatures w14:val="none"/>
        </w:rPr>
        <w:t>,</w:t>
      </w:r>
      <w:r w:rsidRPr="008A2E84" w:rsidR="008A2E84">
        <w:rPr>
          <w:rFonts w:ascii="Palatino Linotype" w:hAnsi="Palatino Linotype" w:eastAsia="Palatino Linotype" w:cs="Times New Roman"/>
          <w:kern w:val="0"/>
          <w14:ligatures w14:val="none"/>
        </w:rPr>
        <w:t xml:space="preserve"> before adding on the CAS interfaces</w:t>
      </w:r>
      <w:r w:rsidR="00FE1F96">
        <w:rPr>
          <w:rFonts w:ascii="Palatino Linotype" w:hAnsi="Palatino Linotype" w:eastAsia="Palatino Linotype" w:cs="Times New Roman"/>
          <w:kern w:val="0"/>
          <w14:ligatures w14:val="none"/>
        </w:rPr>
        <w:t xml:space="preserve"> and </w:t>
      </w:r>
      <w:r w:rsidRPr="008A2E84" w:rsidR="008A2E84">
        <w:rPr>
          <w:rFonts w:ascii="Palatino Linotype" w:hAnsi="Palatino Linotype" w:eastAsia="Palatino Linotype" w:cs="Times New Roman"/>
          <w:kern w:val="0"/>
          <w14:ligatures w14:val="none"/>
        </w:rPr>
        <w:t>modules</w:t>
      </w:r>
      <w:r w:rsidR="00B94EE8">
        <w:rPr>
          <w:rFonts w:ascii="Palatino Linotype" w:hAnsi="Palatino Linotype" w:eastAsia="Palatino Linotype" w:cs="Times New Roman"/>
          <w:kern w:val="0"/>
          <w14:ligatures w14:val="none"/>
        </w:rPr>
        <w:t>,</w:t>
      </w:r>
      <w:r w:rsidR="008A2E84">
        <w:rPr>
          <w:rFonts w:ascii="Palatino Linotype" w:hAnsi="Palatino Linotype" w:eastAsia="Palatino Linotype" w:cs="Times New Roman"/>
          <w:kern w:val="0"/>
          <w14:ligatures w14:val="none"/>
        </w:rPr>
        <w:t xml:space="preserve"> </w:t>
      </w:r>
      <w:r w:rsidR="00DC72E3">
        <w:rPr>
          <w:rFonts w:ascii="Palatino Linotype" w:hAnsi="Palatino Linotype" w:eastAsia="Palatino Linotype" w:cs="Times New Roman"/>
          <w:kern w:val="0"/>
          <w14:ligatures w14:val="none"/>
        </w:rPr>
        <w:t xml:space="preserve">should be recorded in the CAS </w:t>
      </w:r>
      <w:r w:rsidR="00933DF4">
        <w:rPr>
          <w:rFonts w:ascii="Palatino Linotype" w:hAnsi="Palatino Linotype" w:eastAsia="Palatino Linotype" w:cs="Times New Roman"/>
          <w:kern w:val="0"/>
          <w14:ligatures w14:val="none"/>
        </w:rPr>
        <w:t>B</w:t>
      </w:r>
      <w:r w:rsidR="00DC72E3">
        <w:rPr>
          <w:rFonts w:ascii="Palatino Linotype" w:hAnsi="Palatino Linotype" w:eastAsia="Palatino Linotype" w:cs="Times New Roman"/>
          <w:kern w:val="0"/>
          <w14:ligatures w14:val="none"/>
        </w:rPr>
        <w:t xml:space="preserve">alancing </w:t>
      </w:r>
      <w:r w:rsidR="00933DF4">
        <w:rPr>
          <w:rFonts w:ascii="Palatino Linotype" w:hAnsi="Palatino Linotype" w:eastAsia="Palatino Linotype" w:cs="Times New Roman"/>
          <w:kern w:val="0"/>
          <w14:ligatures w14:val="none"/>
        </w:rPr>
        <w:t>A</w:t>
      </w:r>
      <w:r w:rsidR="00DC72E3">
        <w:rPr>
          <w:rFonts w:ascii="Palatino Linotype" w:hAnsi="Palatino Linotype" w:eastAsia="Palatino Linotype" w:cs="Times New Roman"/>
          <w:kern w:val="0"/>
          <w14:ligatures w14:val="none"/>
        </w:rPr>
        <w:t>ccount.</w:t>
      </w:r>
      <w:r w:rsidR="00FE1F96">
        <w:rPr>
          <w:rFonts w:ascii="Palatino Linotype" w:hAnsi="Palatino Linotype" w:eastAsia="Palatino Linotype" w:cs="Times New Roman"/>
          <w:kern w:val="0"/>
          <w14:ligatures w14:val="none"/>
        </w:rPr>
        <w:t xml:space="preserve"> </w:t>
      </w:r>
      <w:r w:rsidR="00DF7EFB">
        <w:rPr>
          <w:rFonts w:ascii="Palatino Linotype" w:hAnsi="Palatino Linotype" w:eastAsia="Palatino Linotype" w:cs="Times New Roman"/>
          <w:kern w:val="0"/>
          <w14:ligatures w14:val="none"/>
        </w:rPr>
        <w:t xml:space="preserve">SoCalGas’ requested budget for Years 2 and 3 are reduced by 85% of estimated </w:t>
      </w:r>
      <w:r w:rsidR="001D6142">
        <w:rPr>
          <w:rFonts w:ascii="Palatino Linotype" w:hAnsi="Palatino Linotype" w:eastAsia="Palatino Linotype" w:cs="Times New Roman"/>
          <w:kern w:val="0"/>
          <w14:ligatures w14:val="none"/>
        </w:rPr>
        <w:t xml:space="preserve">fixed </w:t>
      </w:r>
      <w:r w:rsidR="00DF7EFB">
        <w:rPr>
          <w:rFonts w:ascii="Palatino Linotype" w:hAnsi="Palatino Linotype" w:eastAsia="Palatino Linotype" w:cs="Times New Roman"/>
          <w:kern w:val="0"/>
          <w14:ligatures w14:val="none"/>
        </w:rPr>
        <w:t>costs for cloud services</w:t>
      </w:r>
      <w:r w:rsidR="00855400">
        <w:rPr>
          <w:rFonts w:ascii="Palatino Linotype" w:hAnsi="Palatino Linotype" w:eastAsia="Palatino Linotype" w:cs="Times New Roman"/>
          <w:kern w:val="0"/>
          <w14:ligatures w14:val="none"/>
        </w:rPr>
        <w:t xml:space="preserve"> (</w:t>
      </w:r>
      <w:r w:rsidR="00055C17">
        <w:rPr>
          <w:rFonts w:ascii="Palatino Linotype" w:hAnsi="Palatino Linotype" w:eastAsia="Palatino Linotype" w:cs="Times New Roman"/>
          <w:kern w:val="0"/>
          <w14:ligatures w14:val="none"/>
        </w:rPr>
        <w:t>which</w:t>
      </w:r>
      <w:r w:rsidR="00DF7EFB">
        <w:rPr>
          <w:rFonts w:ascii="Palatino Linotype" w:hAnsi="Palatino Linotype" w:eastAsia="Palatino Linotype" w:cs="Times New Roman"/>
          <w:kern w:val="0"/>
          <w14:ligatures w14:val="none"/>
        </w:rPr>
        <w:t xml:space="preserve"> assumed </w:t>
      </w:r>
      <w:r w:rsidR="00055C17">
        <w:rPr>
          <w:rFonts w:ascii="Palatino Linotype" w:hAnsi="Palatino Linotype" w:eastAsia="Palatino Linotype" w:cs="Times New Roman"/>
          <w:kern w:val="0"/>
          <w14:ligatures w14:val="none"/>
        </w:rPr>
        <w:t xml:space="preserve">a </w:t>
      </w:r>
      <w:r w:rsidR="005119E1">
        <w:rPr>
          <w:rFonts w:ascii="Palatino Linotype" w:hAnsi="Palatino Linotype" w:eastAsia="Palatino Linotype" w:cs="Times New Roman"/>
          <w:kern w:val="0"/>
          <w14:ligatures w14:val="none"/>
        </w:rPr>
        <w:t>new</w:t>
      </w:r>
      <w:r w:rsidR="00771189">
        <w:rPr>
          <w:rFonts w:ascii="Palatino Linotype" w:hAnsi="Palatino Linotype" w:eastAsia="Palatino Linotype" w:cs="Times New Roman"/>
          <w:kern w:val="0"/>
          <w14:ligatures w14:val="none"/>
        </w:rPr>
        <w:t xml:space="preserve"> contract for cloud services</w:t>
      </w:r>
      <w:r w:rsidR="00855400">
        <w:rPr>
          <w:rFonts w:ascii="Palatino Linotype" w:hAnsi="Palatino Linotype" w:eastAsia="Palatino Linotype" w:cs="Times New Roman"/>
          <w:kern w:val="0"/>
          <w14:ligatures w14:val="none"/>
        </w:rPr>
        <w:t>)</w:t>
      </w:r>
      <w:r w:rsidR="00DF7EFB">
        <w:rPr>
          <w:rFonts w:ascii="Palatino Linotype" w:hAnsi="Palatino Linotype" w:eastAsia="Palatino Linotype" w:cs="Times New Roman"/>
          <w:kern w:val="0"/>
          <w14:ligatures w14:val="none"/>
        </w:rPr>
        <w:t xml:space="preserve">, </w:t>
      </w:r>
      <w:r w:rsidR="698C05E6">
        <w:rPr>
          <w:rFonts w:ascii="Palatino Linotype" w:hAnsi="Palatino Linotype" w:eastAsia="Palatino Linotype" w:cs="Times New Roman"/>
          <w:kern w:val="0"/>
          <w14:ligatures w14:val="none"/>
        </w:rPr>
        <w:t>f</w:t>
      </w:r>
      <w:r w:rsidR="00DF7EFB">
        <w:rPr>
          <w:rFonts w:ascii="Palatino Linotype" w:hAnsi="Palatino Linotype" w:eastAsia="Palatino Linotype" w:cs="Times New Roman"/>
          <w:kern w:val="0"/>
          <w14:ligatures w14:val="none"/>
        </w:rPr>
        <w:t xml:space="preserve">or a $446,250 difference </w:t>
      </w:r>
      <w:r w:rsidRPr="71895AB6" w:rsidR="00D9317B">
        <w:rPr>
          <w:rFonts w:ascii="Palatino Linotype" w:hAnsi="Palatino Linotype" w:eastAsia="Palatino Linotype" w:cs="Times New Roman"/>
        </w:rPr>
        <w:t xml:space="preserve">between </w:t>
      </w:r>
      <w:r w:rsidR="00DF7EFB">
        <w:rPr>
          <w:rFonts w:ascii="Palatino Linotype" w:hAnsi="Palatino Linotype" w:eastAsia="Palatino Linotype" w:cs="Times New Roman"/>
          <w:kern w:val="0"/>
          <w14:ligatures w14:val="none"/>
        </w:rPr>
        <w:t>requested and authorized budgets over two years</w:t>
      </w:r>
      <w:r w:rsidRPr="71895AB6" w:rsidR="00DF7EFB">
        <w:rPr>
          <w:rFonts w:ascii="Palatino Linotype" w:hAnsi="Palatino Linotype" w:eastAsia="Palatino Linotype" w:cs="Times New Roman"/>
        </w:rPr>
        <w:t>.</w:t>
      </w:r>
      <w:r w:rsidRPr="71895AB6" w:rsidR="0051768E">
        <w:rPr>
          <w:rFonts w:ascii="Palatino Linotype" w:hAnsi="Palatino Linotype" w:eastAsia="Palatino Linotype" w:cs="Times New Roman"/>
        </w:rPr>
        <w:t xml:space="preserve"> </w:t>
      </w:r>
      <w:r w:rsidRPr="71895AB6" w:rsidR="00C66043">
        <w:rPr>
          <w:rFonts w:ascii="Palatino Linotype" w:hAnsi="Palatino Linotype" w:eastAsia="Palatino Linotype" w:cs="Times New Roman"/>
        </w:rPr>
        <w:t>It is more cost efficient for SoCalGas to include i</w:t>
      </w:r>
      <w:r w:rsidRPr="71895AB6" w:rsidR="00205C57">
        <w:rPr>
          <w:rFonts w:ascii="Palatino Linotype" w:hAnsi="Palatino Linotype" w:eastAsia="Palatino Linotype" w:cs="Times New Roman"/>
        </w:rPr>
        <w:t xml:space="preserve">ncremental costs and work related to cloud services within the existing scope of SoCalGas’ systems replacements </w:t>
      </w:r>
      <w:r w:rsidRPr="71895AB6" w:rsidR="00733AB2">
        <w:rPr>
          <w:rFonts w:ascii="Palatino Linotype" w:hAnsi="Palatino Linotype" w:eastAsia="Palatino Linotype" w:cs="Times New Roman"/>
        </w:rPr>
        <w:t xml:space="preserve">that are </w:t>
      </w:r>
      <w:r w:rsidRPr="71895AB6" w:rsidR="00205C57">
        <w:rPr>
          <w:rFonts w:ascii="Palatino Linotype" w:hAnsi="Palatino Linotype" w:eastAsia="Palatino Linotype" w:cs="Times New Roman"/>
        </w:rPr>
        <w:t>currently in development</w:t>
      </w:r>
      <w:r w:rsidRPr="71895AB6" w:rsidR="00733AB2">
        <w:rPr>
          <w:rFonts w:ascii="Palatino Linotype" w:hAnsi="Palatino Linotype" w:eastAsia="Palatino Linotype" w:cs="Times New Roman"/>
        </w:rPr>
        <w:t>, rather than</w:t>
      </w:r>
      <w:r w:rsidRPr="71895AB6" w:rsidR="00607988">
        <w:rPr>
          <w:rFonts w:ascii="Palatino Linotype" w:hAnsi="Palatino Linotype" w:eastAsia="Palatino Linotype" w:cs="Times New Roman"/>
        </w:rPr>
        <w:t xml:space="preserve"> </w:t>
      </w:r>
      <w:r w:rsidRPr="71895AB6" w:rsidR="006330D8">
        <w:rPr>
          <w:rFonts w:ascii="Palatino Linotype" w:hAnsi="Palatino Linotype" w:eastAsia="Palatino Linotype" w:cs="Times New Roman"/>
        </w:rPr>
        <w:t>creat</w:t>
      </w:r>
      <w:r w:rsidRPr="71895AB6" w:rsidR="00207646">
        <w:rPr>
          <w:rFonts w:ascii="Palatino Linotype" w:hAnsi="Palatino Linotype" w:eastAsia="Palatino Linotype" w:cs="Times New Roman"/>
        </w:rPr>
        <w:t>ing</w:t>
      </w:r>
      <w:r w:rsidRPr="71895AB6" w:rsidR="006330D8">
        <w:rPr>
          <w:rFonts w:ascii="Palatino Linotype" w:hAnsi="Palatino Linotype" w:eastAsia="Palatino Linotype" w:cs="Times New Roman"/>
        </w:rPr>
        <w:t xml:space="preserve"> a new </w:t>
      </w:r>
      <w:r w:rsidRPr="71895AB6" w:rsidR="00145201">
        <w:rPr>
          <w:rFonts w:ascii="Palatino Linotype" w:hAnsi="Palatino Linotype" w:eastAsia="Palatino Linotype" w:cs="Times New Roman"/>
        </w:rPr>
        <w:t xml:space="preserve">contract to cover </w:t>
      </w:r>
      <w:r w:rsidRPr="71895AB6" w:rsidR="00C66043">
        <w:rPr>
          <w:rFonts w:ascii="Palatino Linotype" w:hAnsi="Palatino Linotype" w:eastAsia="Palatino Linotype" w:cs="Times New Roman"/>
        </w:rPr>
        <w:t xml:space="preserve">cloud </w:t>
      </w:r>
      <w:r w:rsidRPr="71895AB6" w:rsidR="00C66043">
        <w:rPr>
          <w:rFonts w:ascii="Palatino Linotype" w:hAnsi="Palatino Linotype" w:eastAsia="Palatino Linotype" w:cs="Times New Roman"/>
        </w:rPr>
        <w:lastRenderedPageBreak/>
        <w:t xml:space="preserve">services </w:t>
      </w:r>
      <w:r w:rsidRPr="71895AB6" w:rsidR="00CA0743">
        <w:rPr>
          <w:rFonts w:ascii="Palatino Linotype" w:hAnsi="Palatino Linotype" w:eastAsia="Palatino Linotype" w:cs="Times New Roman"/>
        </w:rPr>
        <w:t>for CAS purposes separately</w:t>
      </w:r>
      <w:r w:rsidR="00DF7EFB">
        <w:rPr>
          <w:rFonts w:ascii="Palatino Linotype" w:hAnsi="Palatino Linotype" w:eastAsia="Palatino Linotype" w:cs="Times New Roman"/>
          <w:kern w:val="0"/>
          <w14:ligatures w14:val="none"/>
        </w:rPr>
        <w:t>.</w:t>
      </w:r>
      <w:r w:rsidR="0051768E">
        <w:rPr>
          <w:rFonts w:ascii="Palatino Linotype" w:hAnsi="Palatino Linotype" w:eastAsia="Palatino Linotype" w:cs="Times New Roman"/>
          <w:kern w:val="0"/>
          <w14:ligatures w14:val="none"/>
        </w:rPr>
        <w:t xml:space="preserve"> </w:t>
      </w:r>
      <w:r w:rsidR="00A205EE">
        <w:rPr>
          <w:rFonts w:ascii="Palatino Linotype" w:hAnsi="Palatino Linotype" w:eastAsia="Palatino Linotype" w:cs="Times New Roman"/>
          <w:kern w:val="0"/>
          <w14:ligatures w14:val="none"/>
        </w:rPr>
        <w:t xml:space="preserve">It is reasonable for </w:t>
      </w:r>
      <w:r w:rsidR="00EF2368">
        <w:rPr>
          <w:rFonts w:ascii="Palatino Linotype" w:hAnsi="Palatino Linotype" w:eastAsia="Palatino Linotype" w:cs="Times New Roman"/>
          <w:kern w:val="0"/>
          <w14:ligatures w14:val="none"/>
        </w:rPr>
        <w:t>ongoing costs for operations and maintenance</w:t>
      </w:r>
      <w:r w:rsidR="00AA73FB">
        <w:rPr>
          <w:rFonts w:ascii="Palatino Linotype" w:hAnsi="Palatino Linotype" w:eastAsia="Palatino Linotype" w:cs="Times New Roman"/>
          <w:kern w:val="0"/>
          <w14:ligatures w14:val="none"/>
        </w:rPr>
        <w:t xml:space="preserve"> </w:t>
      </w:r>
      <w:r w:rsidR="00616D12">
        <w:rPr>
          <w:rFonts w:ascii="Palatino Linotype" w:hAnsi="Palatino Linotype" w:eastAsia="Palatino Linotype" w:cs="Times New Roman"/>
          <w:kern w:val="0"/>
          <w14:ligatures w14:val="none"/>
        </w:rPr>
        <w:t>to be adopted a</w:t>
      </w:r>
      <w:r w:rsidR="009A2A87">
        <w:rPr>
          <w:rFonts w:ascii="Palatino Linotype" w:hAnsi="Palatino Linotype" w:eastAsia="Palatino Linotype" w:cs="Times New Roman"/>
          <w:kern w:val="0"/>
          <w14:ligatures w14:val="none"/>
        </w:rPr>
        <w:t>t</w:t>
      </w:r>
      <w:r w:rsidR="00616D12">
        <w:rPr>
          <w:rFonts w:ascii="Palatino Linotype" w:hAnsi="Palatino Linotype" w:eastAsia="Palatino Linotype" w:cs="Times New Roman"/>
          <w:kern w:val="0"/>
          <w14:ligatures w14:val="none"/>
        </w:rPr>
        <w:t xml:space="preserve"> the following levels (Table </w:t>
      </w:r>
      <w:r w:rsidR="000117B8">
        <w:rPr>
          <w:rFonts w:ascii="Palatino Linotype" w:hAnsi="Palatino Linotype" w:eastAsia="Palatino Linotype" w:cs="Times New Roman"/>
          <w:kern w:val="0"/>
          <w14:ligatures w14:val="none"/>
        </w:rPr>
        <w:t>2</w:t>
      </w:r>
      <w:r w:rsidR="00616D12">
        <w:rPr>
          <w:rFonts w:ascii="Palatino Linotype" w:hAnsi="Palatino Linotype" w:eastAsia="Palatino Linotype" w:cs="Times New Roman"/>
          <w:kern w:val="0"/>
          <w14:ligatures w14:val="none"/>
        </w:rPr>
        <w:t>)</w:t>
      </w:r>
      <w:r w:rsidR="0067508E">
        <w:rPr>
          <w:rFonts w:ascii="Palatino Linotype" w:hAnsi="Palatino Linotype" w:eastAsia="Palatino Linotype" w:cs="Times New Roman"/>
          <w:kern w:val="0"/>
          <w14:ligatures w14:val="none"/>
        </w:rPr>
        <w:t xml:space="preserve">. </w:t>
      </w:r>
    </w:p>
    <w:p w:rsidR="00DC72E3" w:rsidP="00A76F4A" w:rsidRDefault="00DC72E3" w14:paraId="64A80585" w14:textId="77777777">
      <w:pPr>
        <w:spacing w:after="0" w:line="240" w:lineRule="auto"/>
        <w:rPr>
          <w:rFonts w:ascii="Palatino Linotype" w:hAnsi="Palatino Linotype" w:eastAsia="Palatino Linotype" w:cs="Times New Roman"/>
          <w:kern w:val="0"/>
          <w14:ligatures w14:val="none"/>
        </w:rPr>
      </w:pPr>
    </w:p>
    <w:p w:rsidRPr="001479A4" w:rsidR="003158B8" w:rsidP="001479A4" w:rsidRDefault="00F241D4" w14:paraId="6940B086" w14:textId="7AFE3C39">
      <w:pPr>
        <w:spacing w:after="0" w:line="240" w:lineRule="auto"/>
        <w:jc w:val="center"/>
        <w:rPr>
          <w:rFonts w:ascii="Palatino Linotype" w:hAnsi="Palatino Linotype" w:eastAsia="Palatino Linotype" w:cs="Times New Roman"/>
          <w:b/>
          <w:bCs/>
          <w:kern w:val="0"/>
          <w14:ligatures w14:val="none"/>
        </w:rPr>
      </w:pPr>
      <w:bookmarkStart w:name="_Hlk193209097" w:id="2"/>
      <w:r w:rsidRPr="001479A4">
        <w:rPr>
          <w:rFonts w:ascii="Palatino Linotype" w:hAnsi="Palatino Linotype" w:eastAsia="Palatino Linotype" w:cs="Times New Roman"/>
          <w:b/>
          <w:bCs/>
          <w:kern w:val="0"/>
          <w14:ligatures w14:val="none"/>
        </w:rPr>
        <w:t xml:space="preserve">Table </w:t>
      </w:r>
      <w:r w:rsidR="000117B8">
        <w:rPr>
          <w:rFonts w:ascii="Palatino Linotype" w:hAnsi="Palatino Linotype" w:eastAsia="Palatino Linotype" w:cs="Times New Roman"/>
          <w:b/>
          <w:bCs/>
          <w:kern w:val="0"/>
          <w14:ligatures w14:val="none"/>
        </w:rPr>
        <w:t>2</w:t>
      </w:r>
      <w:r w:rsidRPr="001479A4">
        <w:rPr>
          <w:rFonts w:ascii="Palatino Linotype" w:hAnsi="Palatino Linotype" w:eastAsia="Palatino Linotype" w:cs="Times New Roman"/>
          <w:b/>
          <w:bCs/>
          <w:kern w:val="0"/>
          <w14:ligatures w14:val="none"/>
        </w:rPr>
        <w:t xml:space="preserve">: Approved Budget for </w:t>
      </w:r>
      <w:r w:rsidRPr="001479A4" w:rsidR="00DD69C2">
        <w:rPr>
          <w:rFonts w:ascii="Palatino Linotype" w:hAnsi="Palatino Linotype" w:eastAsia="Palatino Linotype" w:cs="Times New Roman"/>
          <w:b/>
          <w:bCs/>
          <w:kern w:val="0"/>
          <w14:ligatures w14:val="none"/>
        </w:rPr>
        <w:t>Utility-Specific Costs Related to CAS Phase I Development</w:t>
      </w:r>
    </w:p>
    <w:tbl>
      <w:tblPr>
        <w:tblStyle w:val="ListTable3-Accent3"/>
        <w:tblW w:w="9576" w:type="dxa"/>
        <w:tblLook w:val="04A0" w:firstRow="1" w:lastRow="0" w:firstColumn="1" w:lastColumn="0" w:noHBand="0" w:noVBand="1"/>
      </w:tblPr>
      <w:tblGrid>
        <w:gridCol w:w="1440"/>
        <w:gridCol w:w="1296"/>
        <w:gridCol w:w="1296"/>
        <w:gridCol w:w="1368"/>
        <w:gridCol w:w="1368"/>
        <w:gridCol w:w="1368"/>
        <w:gridCol w:w="1440"/>
      </w:tblGrid>
      <w:tr w:rsidRPr="00440EB6" w:rsidR="00583A3F" w:rsidTr="006A1579" w14:paraId="4692B7B7"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440" w:type="dxa"/>
            <w:noWrap/>
            <w:hideMark/>
          </w:tcPr>
          <w:p w:rsidRPr="00440EB6" w:rsidR="00440EB6" w:rsidP="00440EB6" w:rsidRDefault="00440EB6" w14:paraId="72CBADD6" w14:textId="77777777">
            <w:pPr>
              <w:rPr>
                <w:rFonts w:ascii="Palatino Linotype" w:hAnsi="Palatino Linotype" w:eastAsia="Palatino Linotype" w:cs="Times New Roman"/>
                <w:kern w:val="0"/>
                <w14:ligatures w14:val="none"/>
              </w:rPr>
            </w:pPr>
          </w:p>
        </w:tc>
        <w:tc>
          <w:tcPr>
            <w:tcW w:w="1296" w:type="dxa"/>
            <w:noWrap/>
            <w:hideMark/>
          </w:tcPr>
          <w:p w:rsidRPr="008F6E35" w:rsidR="00440EB6" w:rsidP="00440EB6" w:rsidRDefault="00440EB6" w14:paraId="0AD8D8F7" w14:textId="76B47FD4">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8F6E35">
              <w:rPr>
                <w:rFonts w:ascii="Palatino Linotype" w:hAnsi="Palatino Linotype" w:eastAsia="Palatino Linotype" w:cs="Times New Roman"/>
                <w:kern w:val="0"/>
                <w14:ligatures w14:val="none"/>
              </w:rPr>
              <w:t>2023</w:t>
            </w:r>
            <w:r w:rsidR="00EF0A3F">
              <w:rPr>
                <w:rFonts w:ascii="Palatino Linotype" w:hAnsi="Palatino Linotype" w:eastAsia="Palatino Linotype" w:cs="Times New Roman"/>
                <w:kern w:val="0"/>
                <w14:ligatures w14:val="none"/>
              </w:rPr>
              <w:t xml:space="preserve"> </w:t>
            </w:r>
            <w:r w:rsidRPr="00EF0A3F" w:rsidR="00EF0A3F">
              <w:rPr>
                <w:rFonts w:ascii="Palatino Linotype" w:hAnsi="Palatino Linotype" w:eastAsia="Palatino Linotype" w:cs="Times New Roman"/>
                <w:kern w:val="0"/>
                <w:sz w:val="20"/>
                <w:szCs w:val="20"/>
                <w14:ligatures w14:val="none"/>
              </w:rPr>
              <w:t>[1]</w:t>
            </w:r>
          </w:p>
        </w:tc>
        <w:tc>
          <w:tcPr>
            <w:tcW w:w="1296" w:type="dxa"/>
            <w:noWrap/>
            <w:hideMark/>
          </w:tcPr>
          <w:p w:rsidRPr="008F6E35" w:rsidR="00440EB6" w:rsidP="00440EB6" w:rsidRDefault="00440EB6" w14:paraId="3C0836B3" w14:textId="21DFA2CA">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8F6E35">
              <w:rPr>
                <w:rFonts w:ascii="Palatino Linotype" w:hAnsi="Palatino Linotype" w:eastAsia="Palatino Linotype" w:cs="Times New Roman"/>
                <w:kern w:val="0"/>
                <w14:ligatures w14:val="none"/>
              </w:rPr>
              <w:t>2024</w:t>
            </w:r>
            <w:r w:rsidR="00EF0A3F">
              <w:rPr>
                <w:rFonts w:ascii="Palatino Linotype" w:hAnsi="Palatino Linotype" w:eastAsia="Palatino Linotype" w:cs="Times New Roman"/>
                <w:kern w:val="0"/>
                <w14:ligatures w14:val="none"/>
              </w:rPr>
              <w:t xml:space="preserve"> </w:t>
            </w:r>
            <w:r w:rsidRPr="00EF0A3F" w:rsidR="00EF0A3F">
              <w:rPr>
                <w:rFonts w:ascii="Palatino Linotype" w:hAnsi="Palatino Linotype" w:eastAsia="Palatino Linotype" w:cs="Times New Roman"/>
                <w:kern w:val="0"/>
                <w:sz w:val="20"/>
                <w:szCs w:val="20"/>
                <w14:ligatures w14:val="none"/>
              </w:rPr>
              <w:t>[1]</w:t>
            </w:r>
          </w:p>
        </w:tc>
        <w:tc>
          <w:tcPr>
            <w:tcW w:w="1368" w:type="dxa"/>
            <w:noWrap/>
            <w:hideMark/>
          </w:tcPr>
          <w:p w:rsidRPr="008F6E35" w:rsidR="00440EB6" w:rsidP="00440EB6" w:rsidRDefault="00702F92" w14:paraId="222748FF" w14:textId="75054A33">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Year 1 (</w:t>
            </w:r>
            <w:r w:rsidRPr="008F6E35" w:rsidR="00440EB6">
              <w:rPr>
                <w:rFonts w:ascii="Palatino Linotype" w:hAnsi="Palatino Linotype" w:eastAsia="Palatino Linotype" w:cs="Times New Roman"/>
                <w:kern w:val="0"/>
                <w14:ligatures w14:val="none"/>
              </w:rPr>
              <w:t>2025</w:t>
            </w:r>
            <w:r>
              <w:rPr>
                <w:rFonts w:ascii="Palatino Linotype" w:hAnsi="Palatino Linotype" w:eastAsia="Palatino Linotype" w:cs="Times New Roman"/>
                <w:kern w:val="0"/>
                <w14:ligatures w14:val="none"/>
              </w:rPr>
              <w:t>)</w:t>
            </w:r>
            <w:r w:rsidR="00AB69F4">
              <w:rPr>
                <w:rFonts w:ascii="Palatino Linotype" w:hAnsi="Palatino Linotype" w:eastAsia="Palatino Linotype" w:cs="Times New Roman"/>
                <w:kern w:val="0"/>
                <w14:ligatures w14:val="none"/>
              </w:rPr>
              <w:t xml:space="preserve"> </w:t>
            </w:r>
            <w:r w:rsidRPr="00EF0A3F" w:rsidR="00AB69F4">
              <w:rPr>
                <w:rFonts w:ascii="Palatino Linotype" w:hAnsi="Palatino Linotype" w:eastAsia="Palatino Linotype" w:cs="Times New Roman"/>
                <w:kern w:val="0"/>
                <w:sz w:val="20"/>
                <w:szCs w:val="20"/>
                <w14:ligatures w14:val="none"/>
              </w:rPr>
              <w:t>[</w:t>
            </w:r>
            <w:r w:rsidR="00AB69F4">
              <w:rPr>
                <w:rFonts w:ascii="Palatino Linotype" w:hAnsi="Palatino Linotype" w:eastAsia="Palatino Linotype" w:cs="Times New Roman"/>
                <w:kern w:val="0"/>
                <w:sz w:val="20"/>
                <w:szCs w:val="20"/>
                <w14:ligatures w14:val="none"/>
              </w:rPr>
              <w:t>2</w:t>
            </w:r>
            <w:r w:rsidRPr="00EF0A3F" w:rsidR="00AB69F4">
              <w:rPr>
                <w:rFonts w:ascii="Palatino Linotype" w:hAnsi="Palatino Linotype" w:eastAsia="Palatino Linotype" w:cs="Times New Roman"/>
                <w:kern w:val="0"/>
                <w:sz w:val="20"/>
                <w:szCs w:val="20"/>
                <w14:ligatures w14:val="none"/>
              </w:rPr>
              <w:t>]</w:t>
            </w:r>
          </w:p>
        </w:tc>
        <w:tc>
          <w:tcPr>
            <w:tcW w:w="1368" w:type="dxa"/>
            <w:noWrap/>
            <w:hideMark/>
          </w:tcPr>
          <w:p w:rsidRPr="008F6E35" w:rsidR="00440EB6" w:rsidP="00440EB6" w:rsidRDefault="00702F92" w14:paraId="58281B8D" w14:textId="79251ACB">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Year 2 (</w:t>
            </w:r>
            <w:r w:rsidRPr="008F6E35" w:rsidR="00440EB6">
              <w:rPr>
                <w:rFonts w:ascii="Palatino Linotype" w:hAnsi="Palatino Linotype" w:eastAsia="Palatino Linotype" w:cs="Times New Roman"/>
                <w:kern w:val="0"/>
                <w14:ligatures w14:val="none"/>
              </w:rPr>
              <w:t>2026</w:t>
            </w:r>
            <w:r>
              <w:rPr>
                <w:rFonts w:ascii="Palatino Linotype" w:hAnsi="Palatino Linotype" w:eastAsia="Palatino Linotype" w:cs="Times New Roman"/>
                <w:kern w:val="0"/>
                <w14:ligatures w14:val="none"/>
              </w:rPr>
              <w:t>)</w:t>
            </w:r>
            <w:r w:rsidR="00AB69F4">
              <w:rPr>
                <w:rFonts w:ascii="Palatino Linotype" w:hAnsi="Palatino Linotype" w:eastAsia="Palatino Linotype" w:cs="Times New Roman"/>
                <w:kern w:val="0"/>
                <w14:ligatures w14:val="none"/>
              </w:rPr>
              <w:t xml:space="preserve"> </w:t>
            </w:r>
            <w:r w:rsidRPr="00EF0A3F" w:rsidR="00AB69F4">
              <w:rPr>
                <w:rFonts w:ascii="Palatino Linotype" w:hAnsi="Palatino Linotype" w:eastAsia="Palatino Linotype" w:cs="Times New Roman"/>
                <w:kern w:val="0"/>
                <w:sz w:val="20"/>
                <w:szCs w:val="20"/>
                <w14:ligatures w14:val="none"/>
              </w:rPr>
              <w:t>[</w:t>
            </w:r>
            <w:r w:rsidR="00AB69F4">
              <w:rPr>
                <w:rFonts w:ascii="Palatino Linotype" w:hAnsi="Palatino Linotype" w:eastAsia="Palatino Linotype" w:cs="Times New Roman"/>
                <w:kern w:val="0"/>
                <w:sz w:val="20"/>
                <w:szCs w:val="20"/>
                <w14:ligatures w14:val="none"/>
              </w:rPr>
              <w:t>2</w:t>
            </w:r>
            <w:r w:rsidRPr="00EF0A3F" w:rsidR="00AB69F4">
              <w:rPr>
                <w:rFonts w:ascii="Palatino Linotype" w:hAnsi="Palatino Linotype" w:eastAsia="Palatino Linotype" w:cs="Times New Roman"/>
                <w:kern w:val="0"/>
                <w:sz w:val="20"/>
                <w:szCs w:val="20"/>
                <w14:ligatures w14:val="none"/>
              </w:rPr>
              <w:t>]</w:t>
            </w:r>
          </w:p>
        </w:tc>
        <w:tc>
          <w:tcPr>
            <w:tcW w:w="1368" w:type="dxa"/>
            <w:noWrap/>
            <w:hideMark/>
          </w:tcPr>
          <w:p w:rsidRPr="008F6E35" w:rsidR="00440EB6" w:rsidP="00440EB6" w:rsidRDefault="00702F92" w14:paraId="15B5E3EA" w14:textId="20590741">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Year 3 (</w:t>
            </w:r>
            <w:r w:rsidRPr="008F6E35" w:rsidR="00440EB6">
              <w:rPr>
                <w:rFonts w:ascii="Palatino Linotype" w:hAnsi="Palatino Linotype" w:eastAsia="Palatino Linotype" w:cs="Times New Roman"/>
                <w:kern w:val="0"/>
                <w14:ligatures w14:val="none"/>
              </w:rPr>
              <w:t>2027</w:t>
            </w:r>
            <w:r>
              <w:rPr>
                <w:rFonts w:ascii="Palatino Linotype" w:hAnsi="Palatino Linotype" w:eastAsia="Palatino Linotype" w:cs="Times New Roman"/>
                <w:kern w:val="0"/>
                <w14:ligatures w14:val="none"/>
              </w:rPr>
              <w:t>)</w:t>
            </w:r>
            <w:r w:rsidR="00AB69F4">
              <w:rPr>
                <w:rFonts w:ascii="Palatino Linotype" w:hAnsi="Palatino Linotype" w:eastAsia="Palatino Linotype" w:cs="Times New Roman"/>
                <w:kern w:val="0"/>
                <w14:ligatures w14:val="none"/>
              </w:rPr>
              <w:t xml:space="preserve"> </w:t>
            </w:r>
            <w:r w:rsidRPr="00EF0A3F" w:rsidR="00AB69F4">
              <w:rPr>
                <w:rFonts w:ascii="Palatino Linotype" w:hAnsi="Palatino Linotype" w:eastAsia="Palatino Linotype" w:cs="Times New Roman"/>
                <w:kern w:val="0"/>
                <w:sz w:val="20"/>
                <w:szCs w:val="20"/>
                <w14:ligatures w14:val="none"/>
              </w:rPr>
              <w:t>[</w:t>
            </w:r>
            <w:r w:rsidR="00AB69F4">
              <w:rPr>
                <w:rFonts w:ascii="Palatino Linotype" w:hAnsi="Palatino Linotype" w:eastAsia="Palatino Linotype" w:cs="Times New Roman"/>
                <w:kern w:val="0"/>
                <w:sz w:val="20"/>
                <w:szCs w:val="20"/>
                <w14:ligatures w14:val="none"/>
              </w:rPr>
              <w:t>2</w:t>
            </w:r>
            <w:r w:rsidRPr="00EF0A3F" w:rsidR="00AB69F4">
              <w:rPr>
                <w:rFonts w:ascii="Palatino Linotype" w:hAnsi="Palatino Linotype" w:eastAsia="Palatino Linotype" w:cs="Times New Roman"/>
                <w:kern w:val="0"/>
                <w:sz w:val="20"/>
                <w:szCs w:val="20"/>
                <w14:ligatures w14:val="none"/>
              </w:rPr>
              <w:t>]</w:t>
            </w:r>
          </w:p>
        </w:tc>
        <w:tc>
          <w:tcPr>
            <w:tcW w:w="1440" w:type="dxa"/>
            <w:noWrap/>
            <w:hideMark/>
          </w:tcPr>
          <w:p w:rsidRPr="008F6E35" w:rsidR="00440EB6" w:rsidP="00440EB6" w:rsidRDefault="00583A3F" w14:paraId="7DF54CDD" w14:textId="145D5C8C">
            <w:pPr>
              <w:cnfStyle w:val="100000000000" w:firstRow="1"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8F6E35">
              <w:rPr>
                <w:rFonts w:ascii="Palatino Linotype" w:hAnsi="Palatino Linotype" w:eastAsia="Palatino Linotype" w:cs="Times New Roman"/>
                <w:kern w:val="0"/>
                <w14:ligatures w14:val="none"/>
              </w:rPr>
              <w:t>Total</w:t>
            </w:r>
          </w:p>
        </w:tc>
      </w:tr>
      <w:tr w:rsidRPr="00440EB6" w:rsidR="00583A3F" w:rsidTr="006A1579" w14:paraId="26D2A85E"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noWrap/>
            <w:hideMark/>
          </w:tcPr>
          <w:p w:rsidRPr="00440EB6" w:rsidR="00440EB6" w:rsidP="00440EB6" w:rsidRDefault="00440EB6" w14:paraId="059EC405" w14:textId="77777777">
            <w:pPr>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PG&amp;E</w:t>
            </w:r>
          </w:p>
        </w:tc>
        <w:tc>
          <w:tcPr>
            <w:tcW w:w="1296" w:type="dxa"/>
            <w:noWrap/>
            <w:hideMark/>
          </w:tcPr>
          <w:p w:rsidRPr="00440EB6" w:rsidR="00440EB6" w:rsidP="00440EB6" w:rsidRDefault="00440EB6" w14:paraId="36D2B3CE" w14:textId="75BE858C">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$44,183</w:t>
            </w:r>
          </w:p>
        </w:tc>
        <w:tc>
          <w:tcPr>
            <w:tcW w:w="1296" w:type="dxa"/>
            <w:noWrap/>
            <w:hideMark/>
          </w:tcPr>
          <w:p w:rsidRPr="00440EB6" w:rsidR="00440EB6" w:rsidP="00440EB6" w:rsidRDefault="00440EB6" w14:paraId="4C48C452" w14:textId="49B7E77B">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$130,300</w:t>
            </w:r>
          </w:p>
        </w:tc>
        <w:tc>
          <w:tcPr>
            <w:tcW w:w="1368" w:type="dxa"/>
            <w:noWrap/>
            <w:hideMark/>
          </w:tcPr>
          <w:p w:rsidRPr="00440EB6" w:rsidR="00440EB6" w:rsidP="00440EB6" w:rsidRDefault="00440EB6" w14:paraId="1EA05981" w14:textId="46D73924">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$510,000</w:t>
            </w:r>
          </w:p>
        </w:tc>
        <w:tc>
          <w:tcPr>
            <w:tcW w:w="1368" w:type="dxa"/>
            <w:noWrap/>
            <w:hideMark/>
          </w:tcPr>
          <w:p w:rsidRPr="00440EB6" w:rsidR="00440EB6" w:rsidP="00440EB6" w:rsidRDefault="00440EB6" w14:paraId="089669EE" w14:textId="0AE9E8AC">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$530,000</w:t>
            </w:r>
          </w:p>
        </w:tc>
        <w:tc>
          <w:tcPr>
            <w:tcW w:w="1368" w:type="dxa"/>
            <w:noWrap/>
            <w:hideMark/>
          </w:tcPr>
          <w:p w:rsidRPr="00440EB6" w:rsidR="00440EB6" w:rsidP="00440EB6" w:rsidRDefault="00440EB6" w14:paraId="0D6A8E8E" w14:textId="7E4A7EA8">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$275,000</w:t>
            </w:r>
          </w:p>
        </w:tc>
        <w:tc>
          <w:tcPr>
            <w:tcW w:w="1440" w:type="dxa"/>
            <w:noWrap/>
            <w:hideMark/>
          </w:tcPr>
          <w:p w:rsidRPr="00440EB6" w:rsidR="00440EB6" w:rsidP="00440EB6" w:rsidRDefault="00440EB6" w14:paraId="4BEB8ED0" w14:textId="5F6526A9">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$1,489,483 </w:t>
            </w:r>
          </w:p>
        </w:tc>
      </w:tr>
      <w:tr w:rsidRPr="00440EB6" w:rsidR="00583A3F" w:rsidTr="006A1579" w14:paraId="1300390B" w14:textId="77777777">
        <w:trPr>
          <w:trHeight w:val="288"/>
        </w:trPr>
        <w:tc>
          <w:tcPr>
            <w:cnfStyle w:val="001000000000" w:firstRow="0" w:lastRow="0" w:firstColumn="1" w:lastColumn="0" w:oddVBand="0" w:evenVBand="0" w:oddHBand="0" w:evenHBand="0" w:firstRowFirstColumn="0" w:firstRowLastColumn="0" w:lastRowFirstColumn="0" w:lastRowLastColumn="0"/>
            <w:tcW w:w="1440" w:type="dxa"/>
            <w:noWrap/>
            <w:hideMark/>
          </w:tcPr>
          <w:p w:rsidRPr="00440EB6" w:rsidR="00440EB6" w:rsidP="00440EB6" w:rsidRDefault="00440EB6" w14:paraId="7A91D9B7" w14:textId="77777777">
            <w:pPr>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SCE</w:t>
            </w:r>
          </w:p>
        </w:tc>
        <w:tc>
          <w:tcPr>
            <w:tcW w:w="1296" w:type="dxa"/>
            <w:noWrap/>
            <w:hideMark/>
          </w:tcPr>
          <w:p w:rsidRPr="00440EB6" w:rsidR="00440EB6" w:rsidP="00440EB6" w:rsidRDefault="00440EB6" w14:paraId="485A2AD4" w14:textId="29163D61">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$28,701</w:t>
            </w:r>
          </w:p>
        </w:tc>
        <w:tc>
          <w:tcPr>
            <w:tcW w:w="1296" w:type="dxa"/>
            <w:noWrap/>
            <w:hideMark/>
          </w:tcPr>
          <w:p w:rsidRPr="00440EB6" w:rsidR="00440EB6" w:rsidP="00440EB6" w:rsidRDefault="00440EB6" w14:paraId="4629EFD7" w14:textId="26FA91F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$67,565</w:t>
            </w:r>
          </w:p>
        </w:tc>
        <w:tc>
          <w:tcPr>
            <w:tcW w:w="1368" w:type="dxa"/>
            <w:noWrap/>
            <w:hideMark/>
          </w:tcPr>
          <w:p w:rsidRPr="00440EB6" w:rsidR="00440EB6" w:rsidP="00440EB6" w:rsidRDefault="00440EB6" w14:paraId="51E2E95D" w14:textId="0249087C">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$459,000</w:t>
            </w:r>
          </w:p>
        </w:tc>
        <w:tc>
          <w:tcPr>
            <w:tcW w:w="1368" w:type="dxa"/>
            <w:noWrap/>
            <w:hideMark/>
          </w:tcPr>
          <w:p w:rsidRPr="00440EB6" w:rsidR="00440EB6" w:rsidP="00440EB6" w:rsidRDefault="00440EB6" w14:paraId="091F81F6" w14:textId="4A8FC8DA">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$477,000</w:t>
            </w:r>
          </w:p>
        </w:tc>
        <w:tc>
          <w:tcPr>
            <w:tcW w:w="1368" w:type="dxa"/>
            <w:noWrap/>
            <w:hideMark/>
          </w:tcPr>
          <w:p w:rsidRPr="00440EB6" w:rsidR="00440EB6" w:rsidP="00440EB6" w:rsidRDefault="00440EB6" w14:paraId="18C9606F" w14:textId="3E9BE91B">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$248,000</w:t>
            </w:r>
          </w:p>
        </w:tc>
        <w:tc>
          <w:tcPr>
            <w:tcW w:w="1440" w:type="dxa"/>
            <w:noWrap/>
            <w:hideMark/>
          </w:tcPr>
          <w:p w:rsidRPr="00440EB6" w:rsidR="00440EB6" w:rsidP="00440EB6" w:rsidRDefault="00440EB6" w14:paraId="0085404B" w14:textId="137F176A">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$1,280,266 </w:t>
            </w:r>
          </w:p>
        </w:tc>
      </w:tr>
      <w:tr w:rsidRPr="00440EB6" w:rsidR="00583A3F" w:rsidTr="006A1579" w14:paraId="42406467"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noWrap/>
            <w:hideMark/>
          </w:tcPr>
          <w:p w:rsidRPr="00440EB6" w:rsidR="00440EB6" w:rsidP="00440EB6" w:rsidRDefault="00440EB6" w14:paraId="0A990C87" w14:textId="115C47D0">
            <w:pPr>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SDG</w:t>
            </w:r>
            <w:r w:rsidR="00072D5C">
              <w:rPr>
                <w:rFonts w:ascii="Palatino Linotype" w:hAnsi="Palatino Linotype" w:eastAsia="Palatino Linotype" w:cs="Times New Roman"/>
                <w:kern w:val="0"/>
                <w14:ligatures w14:val="none"/>
              </w:rPr>
              <w:t>&amp;</w:t>
            </w:r>
            <w:r w:rsidRPr="00440EB6">
              <w:rPr>
                <w:rFonts w:ascii="Palatino Linotype" w:hAnsi="Palatino Linotype" w:eastAsia="Palatino Linotype" w:cs="Times New Roman"/>
                <w:kern w:val="0"/>
                <w14:ligatures w14:val="none"/>
              </w:rPr>
              <w:t>E</w:t>
            </w:r>
          </w:p>
        </w:tc>
        <w:tc>
          <w:tcPr>
            <w:tcW w:w="1296" w:type="dxa"/>
            <w:noWrap/>
            <w:hideMark/>
          </w:tcPr>
          <w:p w:rsidRPr="00440EB6" w:rsidR="00440EB6" w:rsidP="00440EB6" w:rsidRDefault="00440EB6" w14:paraId="2C82587F" w14:textId="74D29BBF">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w:t>
            </w:r>
            <w:r w:rsidR="00583A3F">
              <w:rPr>
                <w:rFonts w:ascii="Palatino Linotype" w:hAnsi="Palatino Linotype" w:eastAsia="Palatino Linotype" w:cs="Times New Roman"/>
                <w:kern w:val="0"/>
                <w14:ligatures w14:val="none"/>
              </w:rPr>
              <w:t>0</w:t>
            </w:r>
          </w:p>
        </w:tc>
        <w:tc>
          <w:tcPr>
            <w:tcW w:w="1296" w:type="dxa"/>
            <w:noWrap/>
            <w:hideMark/>
          </w:tcPr>
          <w:p w:rsidRPr="00440EB6" w:rsidR="00440EB6" w:rsidP="00440EB6" w:rsidRDefault="00440EB6" w14:paraId="1F89B9DF" w14:textId="1B765DD6">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$84,692</w:t>
            </w:r>
          </w:p>
        </w:tc>
        <w:tc>
          <w:tcPr>
            <w:tcW w:w="1368" w:type="dxa"/>
            <w:noWrap/>
            <w:hideMark/>
          </w:tcPr>
          <w:p w:rsidRPr="00440EB6" w:rsidR="00440EB6" w:rsidP="00440EB6" w:rsidRDefault="00440EB6" w14:paraId="01AC64EA" w14:textId="62332C7B">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$2,142,000 </w:t>
            </w:r>
          </w:p>
        </w:tc>
        <w:tc>
          <w:tcPr>
            <w:tcW w:w="1368" w:type="dxa"/>
            <w:noWrap/>
            <w:hideMark/>
          </w:tcPr>
          <w:p w:rsidRPr="00440EB6" w:rsidR="00440EB6" w:rsidP="00440EB6" w:rsidRDefault="00440EB6" w14:paraId="4DA80603" w14:textId="09194025">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$914,000</w:t>
            </w:r>
          </w:p>
        </w:tc>
        <w:tc>
          <w:tcPr>
            <w:tcW w:w="1368" w:type="dxa"/>
            <w:noWrap/>
            <w:hideMark/>
          </w:tcPr>
          <w:p w:rsidRPr="00440EB6" w:rsidR="00440EB6" w:rsidP="00440EB6" w:rsidRDefault="00440EB6" w14:paraId="41FB8E9A" w14:textId="7D8050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$481,000</w:t>
            </w:r>
          </w:p>
        </w:tc>
        <w:tc>
          <w:tcPr>
            <w:tcW w:w="1440" w:type="dxa"/>
            <w:noWrap/>
            <w:hideMark/>
          </w:tcPr>
          <w:p w:rsidRPr="00440EB6" w:rsidR="00440EB6" w:rsidP="00440EB6" w:rsidRDefault="00440EB6" w14:paraId="6A9A7326" w14:textId="019BA103">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$3,621,692 </w:t>
            </w:r>
          </w:p>
        </w:tc>
      </w:tr>
      <w:tr w:rsidRPr="00440EB6" w:rsidR="00583A3F" w:rsidTr="006A1579" w14:paraId="2297B448" w14:textId="77777777">
        <w:trPr>
          <w:trHeight w:val="288"/>
        </w:trPr>
        <w:tc>
          <w:tcPr>
            <w:cnfStyle w:val="001000000000" w:firstRow="0" w:lastRow="0" w:firstColumn="1" w:lastColumn="0" w:oddVBand="0" w:evenVBand="0" w:oddHBand="0" w:evenHBand="0" w:firstRowFirstColumn="0" w:firstRowLastColumn="0" w:lastRowFirstColumn="0" w:lastRowLastColumn="0"/>
            <w:tcW w:w="1440" w:type="dxa"/>
            <w:noWrap/>
            <w:hideMark/>
          </w:tcPr>
          <w:p w:rsidRPr="00440EB6" w:rsidR="00440EB6" w:rsidP="00440EB6" w:rsidRDefault="00440EB6" w14:paraId="3B5896F7" w14:textId="15DB190A">
            <w:pPr>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S</w:t>
            </w:r>
            <w:r w:rsidR="00072D5C">
              <w:rPr>
                <w:rFonts w:ascii="Palatino Linotype" w:hAnsi="Palatino Linotype" w:eastAsia="Palatino Linotype" w:cs="Times New Roman"/>
                <w:kern w:val="0"/>
                <w14:ligatures w14:val="none"/>
              </w:rPr>
              <w:t>o</w:t>
            </w:r>
            <w:r w:rsidRPr="00440EB6">
              <w:rPr>
                <w:rFonts w:ascii="Palatino Linotype" w:hAnsi="Palatino Linotype" w:eastAsia="Palatino Linotype" w:cs="Times New Roman"/>
                <w:kern w:val="0"/>
                <w14:ligatures w14:val="none"/>
              </w:rPr>
              <w:t>C</w:t>
            </w:r>
            <w:r w:rsidR="00072D5C">
              <w:rPr>
                <w:rFonts w:ascii="Palatino Linotype" w:hAnsi="Palatino Linotype" w:eastAsia="Palatino Linotype" w:cs="Times New Roman"/>
                <w:kern w:val="0"/>
                <w14:ligatures w14:val="none"/>
              </w:rPr>
              <w:t>al</w:t>
            </w:r>
            <w:r w:rsidRPr="00440EB6">
              <w:rPr>
                <w:rFonts w:ascii="Palatino Linotype" w:hAnsi="Palatino Linotype" w:eastAsia="Palatino Linotype" w:cs="Times New Roman"/>
                <w:kern w:val="0"/>
                <w14:ligatures w14:val="none"/>
              </w:rPr>
              <w:t>G</w:t>
            </w:r>
            <w:r w:rsidR="00072D5C">
              <w:rPr>
                <w:rFonts w:ascii="Palatino Linotype" w:hAnsi="Palatino Linotype" w:eastAsia="Palatino Linotype" w:cs="Times New Roman"/>
                <w:kern w:val="0"/>
                <w14:ligatures w14:val="none"/>
              </w:rPr>
              <w:t>as</w:t>
            </w:r>
          </w:p>
        </w:tc>
        <w:tc>
          <w:tcPr>
            <w:tcW w:w="1296" w:type="dxa"/>
            <w:noWrap/>
            <w:hideMark/>
          </w:tcPr>
          <w:p w:rsidRPr="00440EB6" w:rsidR="00440EB6" w:rsidP="00440EB6" w:rsidRDefault="00440EB6" w14:paraId="50A44983" w14:textId="6DE951A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w:t>
            </w:r>
            <w:r w:rsidR="00583A3F">
              <w:rPr>
                <w:rFonts w:ascii="Palatino Linotype" w:hAnsi="Palatino Linotype" w:eastAsia="Palatino Linotype" w:cs="Times New Roman"/>
                <w:kern w:val="0"/>
                <w14:ligatures w14:val="none"/>
              </w:rPr>
              <w:t>0</w:t>
            </w:r>
            <w:r w:rsidRPr="00440EB6">
              <w:rPr>
                <w:rFonts w:ascii="Palatino Linotype" w:hAnsi="Palatino Linotype" w:eastAsia="Palatino Linotype" w:cs="Times New Roman"/>
                <w:kern w:val="0"/>
                <w14:ligatures w14:val="none"/>
              </w:rPr>
              <w:t xml:space="preserve">      </w:t>
            </w:r>
          </w:p>
        </w:tc>
        <w:tc>
          <w:tcPr>
            <w:tcW w:w="1296" w:type="dxa"/>
            <w:noWrap/>
            <w:hideMark/>
          </w:tcPr>
          <w:p w:rsidRPr="00440EB6" w:rsidR="00440EB6" w:rsidP="00440EB6" w:rsidRDefault="00440EB6" w14:paraId="49A500E1" w14:textId="2F383C84">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$30,000</w:t>
            </w:r>
          </w:p>
        </w:tc>
        <w:tc>
          <w:tcPr>
            <w:tcW w:w="1368" w:type="dxa"/>
            <w:noWrap/>
            <w:hideMark/>
          </w:tcPr>
          <w:p w:rsidRPr="00440EB6" w:rsidR="00440EB6" w:rsidP="00440EB6" w:rsidRDefault="00440EB6" w14:paraId="5A1F8CDB" w14:textId="2FB30810">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$1,771,000</w:t>
            </w:r>
          </w:p>
        </w:tc>
        <w:tc>
          <w:tcPr>
            <w:tcW w:w="1368" w:type="dxa"/>
            <w:noWrap/>
            <w:hideMark/>
          </w:tcPr>
          <w:p w:rsidRPr="00440EB6" w:rsidR="00440EB6" w:rsidP="00440EB6" w:rsidRDefault="00440EB6" w14:paraId="076B9497" w14:textId="7BD35CA3">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$798,25</w:t>
            </w:r>
            <w:r w:rsidR="00DB19AA">
              <w:rPr>
                <w:rFonts w:ascii="Palatino Linotype" w:hAnsi="Palatino Linotype" w:eastAsia="Palatino Linotype" w:cs="Times New Roman"/>
                <w:kern w:val="0"/>
                <w14:ligatures w14:val="none"/>
              </w:rPr>
              <w:t>0</w:t>
            </w:r>
          </w:p>
        </w:tc>
        <w:tc>
          <w:tcPr>
            <w:tcW w:w="1368" w:type="dxa"/>
            <w:noWrap/>
            <w:hideMark/>
          </w:tcPr>
          <w:p w:rsidRPr="00440EB6" w:rsidR="00440EB6" w:rsidP="00440EB6" w:rsidRDefault="00440EB6" w14:paraId="45300EF7" w14:textId="104D3894">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$352,500</w:t>
            </w:r>
          </w:p>
        </w:tc>
        <w:tc>
          <w:tcPr>
            <w:tcW w:w="1440" w:type="dxa"/>
            <w:noWrap/>
            <w:hideMark/>
          </w:tcPr>
          <w:p w:rsidRPr="00440EB6" w:rsidR="00440EB6" w:rsidP="00440EB6" w:rsidRDefault="00440EB6" w14:paraId="5FBAF6B7" w14:textId="2A17894D">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kern w:val="0"/>
                <w14:ligatures w14:val="none"/>
              </w:rPr>
            </w:pPr>
            <w:r w:rsidRPr="00440EB6">
              <w:rPr>
                <w:rFonts w:ascii="Palatino Linotype" w:hAnsi="Palatino Linotype" w:eastAsia="Palatino Linotype" w:cs="Times New Roman"/>
                <w:kern w:val="0"/>
                <w14:ligatures w14:val="none"/>
              </w:rPr>
              <w:t xml:space="preserve"> $2,951,750 </w:t>
            </w:r>
          </w:p>
        </w:tc>
      </w:tr>
    </w:tbl>
    <w:p w:rsidR="009A23A5" w:rsidP="000A3769" w:rsidRDefault="00EF0A3F" w14:paraId="68DBFCCE" w14:textId="0C9684D0">
      <w:pPr>
        <w:spacing w:after="0" w:line="240" w:lineRule="auto"/>
        <w:ind w:left="720"/>
        <w:rPr>
          <w:rFonts w:ascii="Palatino Linotype" w:hAnsi="Palatino Linotype" w:eastAsia="Palatino Linotype" w:cs="Times New Roman"/>
          <w:kern w:val="0"/>
          <w14:ligatures w14:val="none"/>
        </w:rPr>
      </w:pPr>
      <w:r w:rsidRPr="00EF0A3F">
        <w:rPr>
          <w:rFonts w:ascii="Palatino Linotype" w:hAnsi="Palatino Linotype" w:eastAsia="Palatino Linotype" w:cs="Times New Roman"/>
          <w:kern w:val="0"/>
          <w14:ligatures w14:val="none"/>
        </w:rPr>
        <w:t>[1]</w:t>
      </w:r>
      <w:r>
        <w:rPr>
          <w:rFonts w:ascii="Palatino Linotype" w:hAnsi="Palatino Linotype" w:eastAsia="Palatino Linotype" w:cs="Times New Roman"/>
          <w:kern w:val="0"/>
          <w14:ligatures w14:val="none"/>
        </w:rPr>
        <w:t xml:space="preserve"> </w:t>
      </w:r>
      <w:r w:rsidR="00637E31">
        <w:rPr>
          <w:rFonts w:ascii="Palatino Linotype" w:hAnsi="Palatino Linotype" w:eastAsia="Palatino Linotype" w:cs="Times New Roman"/>
          <w:kern w:val="0"/>
          <w14:ligatures w14:val="none"/>
        </w:rPr>
        <w:t>2023</w:t>
      </w:r>
      <w:r w:rsidR="00DC53F2">
        <w:rPr>
          <w:rFonts w:ascii="Palatino Linotype" w:hAnsi="Palatino Linotype" w:eastAsia="Palatino Linotype" w:cs="Times New Roman"/>
          <w:kern w:val="0"/>
          <w14:ligatures w14:val="none"/>
        </w:rPr>
        <w:t xml:space="preserve"> includes</w:t>
      </w:r>
      <w:r w:rsidR="00637E31">
        <w:rPr>
          <w:rFonts w:ascii="Palatino Linotype" w:hAnsi="Palatino Linotype" w:eastAsia="Palatino Linotype" w:cs="Times New Roman"/>
          <w:kern w:val="0"/>
          <w14:ligatures w14:val="none"/>
        </w:rPr>
        <w:t xml:space="preserve"> recorded costs and 2024 include</w:t>
      </w:r>
      <w:r w:rsidR="00DC53F2">
        <w:rPr>
          <w:rFonts w:ascii="Palatino Linotype" w:hAnsi="Palatino Linotype" w:eastAsia="Palatino Linotype" w:cs="Times New Roman"/>
          <w:kern w:val="0"/>
          <w14:ligatures w14:val="none"/>
        </w:rPr>
        <w:t>s</w:t>
      </w:r>
      <w:r w:rsidR="00637E31">
        <w:rPr>
          <w:rFonts w:ascii="Palatino Linotype" w:hAnsi="Palatino Linotype" w:eastAsia="Palatino Linotype" w:cs="Times New Roman"/>
          <w:kern w:val="0"/>
          <w14:ligatures w14:val="none"/>
        </w:rPr>
        <w:t xml:space="preserve"> both recorded and projected costs</w:t>
      </w:r>
      <w:r w:rsidR="00A44EF2">
        <w:rPr>
          <w:rFonts w:ascii="Palatino Linotype" w:hAnsi="Palatino Linotype" w:eastAsia="Palatino Linotype" w:cs="Times New Roman"/>
          <w:kern w:val="0"/>
          <w14:ligatures w14:val="none"/>
        </w:rPr>
        <w:t xml:space="preserve"> at the time of AL submission.</w:t>
      </w:r>
    </w:p>
    <w:p w:rsidR="00AB69F4" w:rsidP="000A3769" w:rsidRDefault="00AB69F4" w14:paraId="32D3970E" w14:textId="56EFDEE0">
      <w:pPr>
        <w:spacing w:after="0" w:line="240" w:lineRule="auto"/>
        <w:ind w:left="720"/>
        <w:rPr>
          <w:rFonts w:ascii="Palatino Linotype" w:hAnsi="Palatino Linotype" w:eastAsia="Palatino Linotype" w:cs="Times New Roman"/>
          <w:kern w:val="0"/>
          <w14:ligatures w14:val="none"/>
        </w:rPr>
      </w:pPr>
      <w:r w:rsidRPr="00AB69F4">
        <w:rPr>
          <w:rFonts w:ascii="Palatino Linotype" w:hAnsi="Palatino Linotype" w:eastAsia="Palatino Linotype" w:cs="Times New Roman"/>
          <w:kern w:val="0"/>
          <w14:ligatures w14:val="none"/>
        </w:rPr>
        <w:t>[2]</w:t>
      </w:r>
      <w:r>
        <w:rPr>
          <w:rFonts w:ascii="Palatino Linotype" w:hAnsi="Palatino Linotype" w:eastAsia="Palatino Linotype" w:cs="Times New Roman"/>
          <w:kern w:val="0"/>
          <w14:ligatures w14:val="none"/>
        </w:rPr>
        <w:t xml:space="preserve"> Year</w:t>
      </w:r>
      <w:r w:rsidR="00F35ED4">
        <w:rPr>
          <w:rFonts w:ascii="Palatino Linotype" w:hAnsi="Palatino Linotype" w:eastAsia="Palatino Linotype" w:cs="Times New Roman"/>
          <w:kern w:val="0"/>
          <w14:ligatures w14:val="none"/>
        </w:rPr>
        <w:t xml:space="preserve"> 1 – 3 refer t</w:t>
      </w:r>
      <w:r w:rsidR="00466C9E">
        <w:rPr>
          <w:rFonts w:ascii="Palatino Linotype" w:hAnsi="Palatino Linotype" w:eastAsia="Palatino Linotype" w:cs="Times New Roman"/>
          <w:kern w:val="0"/>
          <w14:ligatures w14:val="none"/>
        </w:rPr>
        <w:t>o the contract years, which is expected to start</w:t>
      </w:r>
      <w:r w:rsidR="005321EC">
        <w:rPr>
          <w:rFonts w:ascii="Palatino Linotype" w:hAnsi="Palatino Linotype" w:eastAsia="Palatino Linotype" w:cs="Times New Roman"/>
          <w:kern w:val="0"/>
          <w14:ligatures w14:val="none"/>
        </w:rPr>
        <w:t xml:space="preserve"> mid-</w:t>
      </w:r>
      <w:r>
        <w:rPr>
          <w:rFonts w:ascii="Palatino Linotype" w:hAnsi="Palatino Linotype" w:eastAsia="Palatino Linotype" w:cs="Times New Roman"/>
          <w:kern w:val="0"/>
          <w14:ligatures w14:val="none"/>
        </w:rPr>
        <w:t>2025</w:t>
      </w:r>
      <w:r w:rsidR="005321EC">
        <w:rPr>
          <w:rFonts w:ascii="Palatino Linotype" w:hAnsi="Palatino Linotype" w:eastAsia="Palatino Linotype" w:cs="Times New Roman"/>
          <w:kern w:val="0"/>
          <w14:ligatures w14:val="none"/>
        </w:rPr>
        <w:t xml:space="preserve"> after the Commission approves this </w:t>
      </w:r>
      <w:r w:rsidR="00AE7E3A">
        <w:rPr>
          <w:rFonts w:ascii="Palatino Linotype" w:hAnsi="Palatino Linotype" w:eastAsia="Palatino Linotype" w:cs="Times New Roman"/>
          <w:kern w:val="0"/>
          <w14:ligatures w14:val="none"/>
        </w:rPr>
        <w:t>R</w:t>
      </w:r>
      <w:r w:rsidR="005321EC">
        <w:rPr>
          <w:rFonts w:ascii="Palatino Linotype" w:hAnsi="Palatino Linotype" w:eastAsia="Palatino Linotype" w:cs="Times New Roman"/>
          <w:kern w:val="0"/>
          <w14:ligatures w14:val="none"/>
        </w:rPr>
        <w:t>esolution</w:t>
      </w:r>
      <w:r w:rsidR="00466C9E">
        <w:rPr>
          <w:rFonts w:ascii="Palatino Linotype" w:hAnsi="Palatino Linotype" w:eastAsia="Palatino Linotype" w:cs="Times New Roman"/>
          <w:kern w:val="0"/>
          <w14:ligatures w14:val="none"/>
        </w:rPr>
        <w:t>.</w:t>
      </w:r>
      <w:bookmarkEnd w:id="2"/>
    </w:p>
    <w:p w:rsidR="003158B8" w:rsidP="001366F4" w:rsidRDefault="003158B8" w14:paraId="0FBDBF23" w14:textId="77777777">
      <w:pPr>
        <w:spacing w:after="0" w:line="240" w:lineRule="auto"/>
        <w:rPr>
          <w:rFonts w:ascii="Palatino Linotype" w:hAnsi="Palatino Linotype" w:eastAsia="Palatino Linotype" w:cs="Times New Roman"/>
          <w:kern w:val="0"/>
          <w14:ligatures w14:val="none"/>
        </w:rPr>
      </w:pPr>
    </w:p>
    <w:p w:rsidR="001366F4" w:rsidP="001366F4" w:rsidRDefault="003A1ACC" w14:paraId="068AB8A6" w14:textId="073D86C9">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We </w:t>
      </w:r>
      <w:r w:rsidR="002846CD">
        <w:rPr>
          <w:rFonts w:ascii="Palatino Linotype" w:hAnsi="Palatino Linotype" w:eastAsia="Palatino Linotype" w:cs="Times New Roman"/>
          <w:kern w:val="0"/>
          <w14:ligatures w14:val="none"/>
        </w:rPr>
        <w:t xml:space="preserve">note </w:t>
      </w:r>
      <w:r>
        <w:rPr>
          <w:rFonts w:ascii="Palatino Linotype" w:hAnsi="Palatino Linotype" w:eastAsia="Palatino Linotype" w:cs="Times New Roman"/>
          <w:kern w:val="0"/>
          <w14:ligatures w14:val="none"/>
        </w:rPr>
        <w:t xml:space="preserve">that the individual costs </w:t>
      </w:r>
      <w:r w:rsidR="00B95CA8">
        <w:rPr>
          <w:rFonts w:ascii="Palatino Linotype" w:hAnsi="Palatino Linotype" w:eastAsia="Palatino Linotype" w:cs="Times New Roman"/>
          <w:kern w:val="0"/>
          <w14:ligatures w14:val="none"/>
        </w:rPr>
        <w:t>projected by</w:t>
      </w:r>
      <w:r>
        <w:rPr>
          <w:rFonts w:ascii="Palatino Linotype" w:hAnsi="Palatino Linotype" w:eastAsia="Palatino Linotype" w:cs="Times New Roman"/>
          <w:kern w:val="0"/>
          <w14:ligatures w14:val="none"/>
        </w:rPr>
        <w:t xml:space="preserve"> SDG&amp;E and SoCalGas </w:t>
      </w:r>
      <w:r w:rsidR="002A2E4E">
        <w:rPr>
          <w:rFonts w:ascii="Palatino Linotype" w:hAnsi="Palatino Linotype" w:eastAsia="Palatino Linotype" w:cs="Times New Roman"/>
          <w:kern w:val="0"/>
          <w14:ligatures w14:val="none"/>
        </w:rPr>
        <w:t xml:space="preserve">during </w:t>
      </w:r>
      <w:r w:rsidR="00E84761">
        <w:rPr>
          <w:rFonts w:ascii="Palatino Linotype" w:hAnsi="Palatino Linotype" w:eastAsia="Palatino Linotype" w:cs="Times New Roman"/>
          <w:kern w:val="0"/>
          <w14:ligatures w14:val="none"/>
        </w:rPr>
        <w:t>t</w:t>
      </w:r>
      <w:r w:rsidR="00F52040">
        <w:rPr>
          <w:rFonts w:ascii="Palatino Linotype" w:hAnsi="Palatino Linotype" w:eastAsia="Palatino Linotype" w:cs="Times New Roman"/>
          <w:kern w:val="0"/>
          <w14:ligatures w14:val="none"/>
        </w:rPr>
        <w:t xml:space="preserve">he </w:t>
      </w:r>
      <w:r w:rsidR="00692320">
        <w:rPr>
          <w:rFonts w:ascii="Palatino Linotype" w:hAnsi="Palatino Linotype" w:eastAsia="Palatino Linotype" w:cs="Times New Roman"/>
          <w:kern w:val="0"/>
          <w14:ligatures w14:val="none"/>
        </w:rPr>
        <w:t xml:space="preserve">three-year </w:t>
      </w:r>
      <w:r w:rsidR="00F52040">
        <w:rPr>
          <w:rFonts w:ascii="Palatino Linotype" w:hAnsi="Palatino Linotype" w:eastAsia="Palatino Linotype" w:cs="Times New Roman"/>
          <w:kern w:val="0"/>
          <w14:ligatures w14:val="none"/>
        </w:rPr>
        <w:t>contr</w:t>
      </w:r>
      <w:r w:rsidR="00FF624E">
        <w:rPr>
          <w:rFonts w:ascii="Palatino Linotype" w:hAnsi="Palatino Linotype" w:eastAsia="Palatino Linotype" w:cs="Times New Roman"/>
          <w:kern w:val="0"/>
          <w14:ligatures w14:val="none"/>
        </w:rPr>
        <w:t xml:space="preserve">act term </w:t>
      </w:r>
      <w:r w:rsidR="00285331">
        <w:rPr>
          <w:rFonts w:ascii="Palatino Linotype" w:hAnsi="Palatino Linotype" w:eastAsia="Palatino Linotype" w:cs="Times New Roman"/>
          <w:kern w:val="0"/>
          <w14:ligatures w14:val="none"/>
        </w:rPr>
        <w:t xml:space="preserve">to be </w:t>
      </w:r>
      <w:r w:rsidR="002846CD">
        <w:rPr>
          <w:rFonts w:ascii="Palatino Linotype" w:hAnsi="Palatino Linotype" w:eastAsia="Palatino Linotype" w:cs="Times New Roman"/>
          <w:kern w:val="0"/>
          <w14:ligatures w14:val="none"/>
        </w:rPr>
        <w:t xml:space="preserve">much </w:t>
      </w:r>
      <w:r w:rsidR="00B52038">
        <w:rPr>
          <w:rFonts w:ascii="Palatino Linotype" w:hAnsi="Palatino Linotype" w:eastAsia="Palatino Linotype" w:cs="Times New Roman"/>
          <w:kern w:val="0"/>
          <w14:ligatures w14:val="none"/>
        </w:rPr>
        <w:t>high</w:t>
      </w:r>
      <w:r w:rsidR="002846CD">
        <w:rPr>
          <w:rFonts w:ascii="Palatino Linotype" w:hAnsi="Palatino Linotype" w:eastAsia="Palatino Linotype" w:cs="Times New Roman"/>
          <w:kern w:val="0"/>
          <w14:ligatures w14:val="none"/>
        </w:rPr>
        <w:t>er than the other IOUs</w:t>
      </w:r>
      <w:r w:rsidR="00B52038">
        <w:rPr>
          <w:rFonts w:ascii="Palatino Linotype" w:hAnsi="Palatino Linotype" w:eastAsia="Palatino Linotype" w:cs="Times New Roman"/>
          <w:kern w:val="0"/>
          <w14:ligatures w14:val="none"/>
        </w:rPr>
        <w:t xml:space="preserve"> but</w:t>
      </w:r>
      <w:r w:rsidR="003E7CB9">
        <w:rPr>
          <w:rFonts w:ascii="Palatino Linotype" w:hAnsi="Palatino Linotype" w:eastAsia="Palatino Linotype" w:cs="Times New Roman"/>
          <w:kern w:val="0"/>
          <w14:ligatures w14:val="none"/>
        </w:rPr>
        <w:t xml:space="preserve"> </w:t>
      </w:r>
      <w:r w:rsidR="00FB354B">
        <w:rPr>
          <w:rFonts w:ascii="Palatino Linotype" w:hAnsi="Palatino Linotype" w:eastAsia="Palatino Linotype" w:cs="Times New Roman"/>
          <w:kern w:val="0"/>
          <w14:ligatures w14:val="none"/>
        </w:rPr>
        <w:t xml:space="preserve">recognize </w:t>
      </w:r>
      <w:r w:rsidR="0036665D">
        <w:rPr>
          <w:rFonts w:ascii="Palatino Linotype" w:hAnsi="Palatino Linotype" w:eastAsia="Palatino Linotype" w:cs="Times New Roman"/>
          <w:kern w:val="0"/>
          <w14:ligatures w14:val="none"/>
        </w:rPr>
        <w:t>there are limitations in</w:t>
      </w:r>
      <w:r w:rsidR="00064865">
        <w:rPr>
          <w:rFonts w:ascii="Palatino Linotype" w:hAnsi="Palatino Linotype" w:eastAsia="Palatino Linotype" w:cs="Times New Roman"/>
          <w:kern w:val="0"/>
          <w14:ligatures w14:val="none"/>
        </w:rPr>
        <w:t xml:space="preserve"> </w:t>
      </w:r>
      <w:r w:rsidR="00315161">
        <w:rPr>
          <w:rFonts w:ascii="Palatino Linotype" w:hAnsi="Palatino Linotype" w:eastAsia="Palatino Linotype" w:cs="Times New Roman"/>
          <w:kern w:val="0"/>
          <w14:ligatures w14:val="none"/>
        </w:rPr>
        <w:t xml:space="preserve">estimating costs for integration </w:t>
      </w:r>
      <w:r w:rsidR="001E3B33">
        <w:rPr>
          <w:rFonts w:ascii="Palatino Linotype" w:hAnsi="Palatino Linotype" w:eastAsia="Palatino Linotype" w:cs="Times New Roman"/>
          <w:kern w:val="0"/>
          <w14:ligatures w14:val="none"/>
        </w:rPr>
        <w:t>with CAS when the IOU system</w:t>
      </w:r>
      <w:r w:rsidR="00604B7D">
        <w:rPr>
          <w:rFonts w:ascii="Palatino Linotype" w:hAnsi="Palatino Linotype" w:eastAsia="Palatino Linotype" w:cs="Times New Roman"/>
          <w:kern w:val="0"/>
          <w14:ligatures w14:val="none"/>
        </w:rPr>
        <w:t>s</w:t>
      </w:r>
      <w:r w:rsidR="001E3B33">
        <w:rPr>
          <w:rFonts w:ascii="Palatino Linotype" w:hAnsi="Palatino Linotype" w:eastAsia="Palatino Linotype" w:cs="Times New Roman"/>
          <w:kern w:val="0"/>
          <w14:ligatures w14:val="none"/>
        </w:rPr>
        <w:t xml:space="preserve"> </w:t>
      </w:r>
      <w:r w:rsidR="00604B7D">
        <w:rPr>
          <w:rFonts w:ascii="Palatino Linotype" w:hAnsi="Palatino Linotype" w:eastAsia="Palatino Linotype" w:cs="Times New Roman"/>
          <w:kern w:val="0"/>
          <w14:ligatures w14:val="none"/>
        </w:rPr>
        <w:t>are</w:t>
      </w:r>
      <w:r w:rsidR="000846F0">
        <w:rPr>
          <w:rFonts w:ascii="Palatino Linotype" w:hAnsi="Palatino Linotype" w:eastAsia="Palatino Linotype" w:cs="Times New Roman"/>
          <w:kern w:val="0"/>
          <w14:ligatures w14:val="none"/>
        </w:rPr>
        <w:t xml:space="preserve"> undergoing replacement </w:t>
      </w:r>
      <w:r w:rsidR="00C66EEE">
        <w:rPr>
          <w:rFonts w:ascii="Palatino Linotype" w:hAnsi="Palatino Linotype" w:eastAsia="Palatino Linotype" w:cs="Times New Roman"/>
          <w:kern w:val="0"/>
          <w14:ligatures w14:val="none"/>
        </w:rPr>
        <w:t>or</w:t>
      </w:r>
      <w:r w:rsidR="000846F0">
        <w:rPr>
          <w:rFonts w:ascii="Palatino Linotype" w:hAnsi="Palatino Linotype" w:eastAsia="Palatino Linotype" w:cs="Times New Roman"/>
          <w:kern w:val="0"/>
          <w14:ligatures w14:val="none"/>
        </w:rPr>
        <w:t xml:space="preserve"> </w:t>
      </w:r>
      <w:r w:rsidR="00604B7D">
        <w:rPr>
          <w:rFonts w:ascii="Palatino Linotype" w:hAnsi="Palatino Linotype" w:eastAsia="Palatino Linotype" w:cs="Times New Roman"/>
          <w:kern w:val="0"/>
          <w14:ligatures w14:val="none"/>
        </w:rPr>
        <w:t>require</w:t>
      </w:r>
      <w:r w:rsidR="000846F0">
        <w:rPr>
          <w:rFonts w:ascii="Palatino Linotype" w:hAnsi="Palatino Linotype" w:eastAsia="Palatino Linotype" w:cs="Times New Roman"/>
          <w:kern w:val="0"/>
          <w14:ligatures w14:val="none"/>
        </w:rPr>
        <w:t xml:space="preserve"> enhancements </w:t>
      </w:r>
      <w:r w:rsidR="0082689B">
        <w:rPr>
          <w:rFonts w:ascii="Palatino Linotype" w:hAnsi="Palatino Linotype" w:eastAsia="Palatino Linotype" w:cs="Times New Roman"/>
          <w:kern w:val="0"/>
          <w14:ligatures w14:val="none"/>
        </w:rPr>
        <w:t xml:space="preserve">before integrating </w:t>
      </w:r>
      <w:r w:rsidR="00A870B8">
        <w:rPr>
          <w:rFonts w:ascii="Palatino Linotype" w:hAnsi="Palatino Linotype" w:eastAsia="Palatino Linotype" w:cs="Times New Roman"/>
          <w:kern w:val="0"/>
          <w14:ligatures w14:val="none"/>
        </w:rPr>
        <w:t>with CAS,</w:t>
      </w:r>
      <w:r w:rsidR="0082689B">
        <w:rPr>
          <w:rFonts w:ascii="Palatino Linotype" w:hAnsi="Palatino Linotype" w:eastAsia="Palatino Linotype" w:cs="Times New Roman"/>
          <w:kern w:val="0"/>
          <w14:ligatures w14:val="none"/>
        </w:rPr>
        <w:t xml:space="preserve"> </w:t>
      </w:r>
      <w:r w:rsidR="00604B7D">
        <w:rPr>
          <w:rFonts w:ascii="Palatino Linotype" w:hAnsi="Palatino Linotype" w:eastAsia="Palatino Linotype" w:cs="Times New Roman"/>
          <w:kern w:val="0"/>
          <w14:ligatures w14:val="none"/>
        </w:rPr>
        <w:t xml:space="preserve">and </w:t>
      </w:r>
      <w:r w:rsidR="00A870B8">
        <w:rPr>
          <w:rFonts w:ascii="Palatino Linotype" w:hAnsi="Palatino Linotype" w:eastAsia="Palatino Linotype" w:cs="Times New Roman"/>
          <w:kern w:val="0"/>
          <w14:ligatures w14:val="none"/>
        </w:rPr>
        <w:t>whe</w:t>
      </w:r>
      <w:r w:rsidR="00726341">
        <w:rPr>
          <w:rFonts w:ascii="Palatino Linotype" w:hAnsi="Palatino Linotype" w:eastAsia="Palatino Linotype" w:cs="Times New Roman"/>
          <w:kern w:val="0"/>
          <w14:ligatures w14:val="none"/>
        </w:rPr>
        <w:t>n</w:t>
      </w:r>
      <w:r w:rsidR="00A870B8">
        <w:rPr>
          <w:rFonts w:ascii="Palatino Linotype" w:hAnsi="Palatino Linotype" w:eastAsia="Palatino Linotype" w:cs="Times New Roman"/>
          <w:kern w:val="0"/>
          <w14:ligatures w14:val="none"/>
        </w:rPr>
        <w:t xml:space="preserve"> detailed </w:t>
      </w:r>
      <w:r w:rsidR="00B52038">
        <w:rPr>
          <w:rFonts w:ascii="Palatino Linotype" w:hAnsi="Palatino Linotype" w:eastAsia="Palatino Linotype" w:cs="Times New Roman"/>
          <w:kern w:val="0"/>
          <w14:ligatures w14:val="none"/>
        </w:rPr>
        <w:t xml:space="preserve">CAS </w:t>
      </w:r>
      <w:r w:rsidR="00A870B8">
        <w:rPr>
          <w:rFonts w:ascii="Palatino Linotype" w:hAnsi="Palatino Linotype" w:eastAsia="Palatino Linotype" w:cs="Times New Roman"/>
          <w:kern w:val="0"/>
          <w14:ligatures w14:val="none"/>
        </w:rPr>
        <w:t>requirements</w:t>
      </w:r>
      <w:r w:rsidR="0082689B">
        <w:rPr>
          <w:rFonts w:ascii="Palatino Linotype" w:hAnsi="Palatino Linotype" w:eastAsia="Palatino Linotype" w:cs="Times New Roman"/>
          <w:kern w:val="0"/>
          <w14:ligatures w14:val="none"/>
        </w:rPr>
        <w:t xml:space="preserve"> for </w:t>
      </w:r>
      <w:r w:rsidR="00B52038">
        <w:rPr>
          <w:rFonts w:ascii="Palatino Linotype" w:hAnsi="Palatino Linotype" w:eastAsia="Palatino Linotype" w:cs="Times New Roman"/>
          <w:kern w:val="0"/>
          <w14:ligatures w14:val="none"/>
        </w:rPr>
        <w:t xml:space="preserve">integration </w:t>
      </w:r>
      <w:r w:rsidR="00A870B8">
        <w:rPr>
          <w:rFonts w:ascii="Palatino Linotype" w:hAnsi="Palatino Linotype" w:eastAsia="Palatino Linotype" w:cs="Times New Roman"/>
          <w:kern w:val="0"/>
          <w14:ligatures w14:val="none"/>
        </w:rPr>
        <w:t>are not yet developed.</w:t>
      </w:r>
      <w:r w:rsidR="00ED35C2">
        <w:rPr>
          <w:rFonts w:ascii="Palatino Linotype" w:hAnsi="Palatino Linotype" w:eastAsia="Palatino Linotype" w:cs="Times New Roman"/>
          <w:kern w:val="0"/>
          <w14:ligatures w14:val="none"/>
        </w:rPr>
        <w:t xml:space="preserve"> </w:t>
      </w:r>
    </w:p>
    <w:p w:rsidR="001366F4" w:rsidP="001366F4" w:rsidRDefault="001366F4" w14:paraId="3FCC47D0" w14:textId="77777777">
      <w:pPr>
        <w:spacing w:after="0" w:line="240" w:lineRule="auto"/>
        <w:rPr>
          <w:rFonts w:ascii="Palatino Linotype" w:hAnsi="Palatino Linotype" w:eastAsia="Palatino Linotype" w:cs="Times New Roman"/>
          <w:kern w:val="0"/>
          <w14:ligatures w14:val="none"/>
        </w:rPr>
      </w:pPr>
    </w:p>
    <w:p w:rsidR="00B24731" w:rsidP="00A76F4A" w:rsidRDefault="007E0703" w14:paraId="4664DA34" w14:textId="617BA1C4">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We d</w:t>
      </w:r>
      <w:r w:rsidRPr="007E0703">
        <w:rPr>
          <w:rFonts w:ascii="Palatino Linotype" w:hAnsi="Palatino Linotype" w:eastAsia="Palatino Linotype" w:cs="Times New Roman"/>
          <w:kern w:val="0"/>
          <w14:ligatures w14:val="none"/>
        </w:rPr>
        <w:t xml:space="preserve">eny the </w:t>
      </w:r>
      <w:r w:rsidR="0035215B">
        <w:rPr>
          <w:rFonts w:ascii="Palatino Linotype" w:hAnsi="Palatino Linotype" w:eastAsia="Palatino Linotype" w:cs="Times New Roman"/>
          <w:kern w:val="0"/>
          <w14:ligatures w14:val="none"/>
        </w:rPr>
        <w:t xml:space="preserve">individual </w:t>
      </w:r>
      <w:r w:rsidRPr="007E0703">
        <w:rPr>
          <w:rFonts w:ascii="Palatino Linotype" w:hAnsi="Palatino Linotype" w:eastAsia="Palatino Linotype" w:cs="Times New Roman"/>
          <w:kern w:val="0"/>
          <w14:ligatures w14:val="none"/>
        </w:rPr>
        <w:t>costs</w:t>
      </w:r>
      <w:r>
        <w:rPr>
          <w:rFonts w:ascii="Palatino Linotype" w:hAnsi="Palatino Linotype" w:eastAsia="Palatino Linotype" w:cs="Times New Roman"/>
          <w:kern w:val="0"/>
          <w14:ligatures w14:val="none"/>
        </w:rPr>
        <w:t xml:space="preserve"> requested by IOUs in Years 4 and 5</w:t>
      </w:r>
      <w:r w:rsidR="0035215B">
        <w:rPr>
          <w:rFonts w:ascii="Palatino Linotype" w:hAnsi="Palatino Linotype" w:eastAsia="Palatino Linotype" w:cs="Times New Roman"/>
          <w:kern w:val="0"/>
          <w14:ligatures w14:val="none"/>
        </w:rPr>
        <w:t>,</w:t>
      </w:r>
      <w:r w:rsidRPr="007E0703">
        <w:rPr>
          <w:rFonts w:ascii="Palatino Linotype" w:hAnsi="Palatino Linotype" w:eastAsia="Palatino Linotype" w:cs="Times New Roman"/>
          <w:kern w:val="0"/>
          <w14:ligatures w14:val="none"/>
        </w:rPr>
        <w:t xml:space="preserve"> associated with a </w:t>
      </w:r>
      <w:r w:rsidR="0035215B">
        <w:rPr>
          <w:rFonts w:ascii="Palatino Linotype" w:hAnsi="Palatino Linotype" w:eastAsia="Palatino Linotype" w:cs="Times New Roman"/>
          <w:kern w:val="0"/>
          <w14:ligatures w14:val="none"/>
        </w:rPr>
        <w:t xml:space="preserve">potential </w:t>
      </w:r>
      <w:r w:rsidRPr="007E0703">
        <w:rPr>
          <w:rFonts w:ascii="Palatino Linotype" w:hAnsi="Palatino Linotype" w:eastAsia="Palatino Linotype" w:cs="Times New Roman"/>
          <w:kern w:val="0"/>
          <w14:ligatures w14:val="none"/>
        </w:rPr>
        <w:t>contract extension</w:t>
      </w:r>
      <w:r w:rsidR="0035215B">
        <w:rPr>
          <w:rFonts w:ascii="Palatino Linotype" w:hAnsi="Palatino Linotype" w:eastAsia="Palatino Linotype" w:cs="Times New Roman"/>
          <w:kern w:val="0"/>
          <w14:ligatures w14:val="none"/>
        </w:rPr>
        <w:t xml:space="preserve"> f</w:t>
      </w:r>
      <w:r w:rsidR="00023A33">
        <w:rPr>
          <w:rFonts w:ascii="Palatino Linotype" w:hAnsi="Palatino Linotype" w:eastAsia="Palatino Linotype" w:cs="Times New Roman"/>
          <w:kern w:val="0"/>
          <w14:ligatures w14:val="none"/>
        </w:rPr>
        <w:t>or operations and maintenance</w:t>
      </w:r>
      <w:r w:rsidR="00DF04F2">
        <w:rPr>
          <w:rFonts w:ascii="Palatino Linotype" w:hAnsi="Palatino Linotype" w:eastAsia="Palatino Linotype" w:cs="Times New Roman"/>
          <w:kern w:val="0"/>
          <w14:ligatures w14:val="none"/>
        </w:rPr>
        <w:t>, due</w:t>
      </w:r>
      <w:r w:rsidR="006116B2">
        <w:rPr>
          <w:rFonts w:ascii="Palatino Linotype" w:hAnsi="Palatino Linotype" w:eastAsia="Palatino Linotype" w:cs="Times New Roman"/>
          <w:kern w:val="0"/>
          <w14:ligatures w14:val="none"/>
        </w:rPr>
        <w:t xml:space="preserve"> to the</w:t>
      </w:r>
      <w:r w:rsidR="00DF04F2">
        <w:rPr>
          <w:rFonts w:ascii="Palatino Linotype" w:hAnsi="Palatino Linotype" w:eastAsia="Palatino Linotype" w:cs="Times New Roman"/>
          <w:kern w:val="0"/>
          <w14:ligatures w14:val="none"/>
        </w:rPr>
        <w:t xml:space="preserve"> </w:t>
      </w:r>
      <w:r w:rsidR="006116B2">
        <w:rPr>
          <w:rFonts w:ascii="Palatino Linotype" w:hAnsi="Palatino Linotype" w:eastAsia="Palatino Linotype" w:cs="Times New Roman"/>
          <w:kern w:val="0"/>
          <w14:ligatures w14:val="none"/>
        </w:rPr>
        <w:t>uncertainty of whether PG&amp;E w</w:t>
      </w:r>
      <w:r w:rsidR="00EC5CA6">
        <w:rPr>
          <w:rFonts w:ascii="Palatino Linotype" w:hAnsi="Palatino Linotype" w:eastAsia="Palatino Linotype" w:cs="Times New Roman"/>
          <w:kern w:val="0"/>
          <w14:ligatures w14:val="none"/>
        </w:rPr>
        <w:t>ill exercise the optional two-year agreement</w:t>
      </w:r>
      <w:r w:rsidR="00B97B36">
        <w:rPr>
          <w:rFonts w:ascii="Palatino Linotype" w:hAnsi="Palatino Linotype" w:eastAsia="Palatino Linotype" w:cs="Times New Roman"/>
          <w:kern w:val="0"/>
          <w14:ligatures w14:val="none"/>
        </w:rPr>
        <w:t xml:space="preserve"> and contract extension at this time.</w:t>
      </w:r>
      <w:r w:rsidR="006116B2">
        <w:rPr>
          <w:rFonts w:ascii="Palatino Linotype" w:hAnsi="Palatino Linotype" w:eastAsia="Palatino Linotype" w:cs="Times New Roman"/>
          <w:kern w:val="0"/>
          <w14:ligatures w14:val="none"/>
        </w:rPr>
        <w:t xml:space="preserve"> </w:t>
      </w:r>
      <w:r w:rsidR="00B97B36">
        <w:rPr>
          <w:rFonts w:ascii="Palatino Linotype" w:hAnsi="Palatino Linotype" w:eastAsia="Palatino Linotype" w:cs="Times New Roman"/>
          <w:kern w:val="0"/>
          <w14:ligatures w14:val="none"/>
        </w:rPr>
        <w:t xml:space="preserve">IOUs should </w:t>
      </w:r>
      <w:r w:rsidRPr="007E0703">
        <w:rPr>
          <w:rFonts w:ascii="Palatino Linotype" w:hAnsi="Palatino Linotype" w:eastAsia="Palatino Linotype" w:cs="Times New Roman"/>
          <w:kern w:val="0"/>
          <w14:ligatures w14:val="none"/>
        </w:rPr>
        <w:t>include</w:t>
      </w:r>
      <w:r w:rsidR="00B97B36">
        <w:rPr>
          <w:rFonts w:ascii="Palatino Linotype" w:hAnsi="Palatino Linotype" w:eastAsia="Palatino Linotype" w:cs="Times New Roman"/>
          <w:kern w:val="0"/>
          <w14:ligatures w14:val="none"/>
        </w:rPr>
        <w:t xml:space="preserve"> </w:t>
      </w:r>
      <w:r w:rsidR="00A33588">
        <w:rPr>
          <w:rFonts w:ascii="Palatino Linotype" w:hAnsi="Palatino Linotype" w:eastAsia="Palatino Linotype" w:cs="Times New Roman"/>
          <w:kern w:val="0"/>
          <w14:ligatures w14:val="none"/>
        </w:rPr>
        <w:t>forecasted costs for CAS Phase I</w:t>
      </w:r>
      <w:r w:rsidR="00E53A37">
        <w:rPr>
          <w:rFonts w:ascii="Palatino Linotype" w:hAnsi="Palatino Linotype" w:eastAsia="Palatino Linotype" w:cs="Times New Roman"/>
          <w:kern w:val="0"/>
          <w14:ligatures w14:val="none"/>
        </w:rPr>
        <w:t xml:space="preserve"> </w:t>
      </w:r>
      <w:r w:rsidR="00A6481C">
        <w:rPr>
          <w:rFonts w:ascii="Palatino Linotype" w:hAnsi="Palatino Linotype" w:eastAsia="Palatino Linotype" w:cs="Times New Roman"/>
          <w:kern w:val="0"/>
          <w14:ligatures w14:val="none"/>
        </w:rPr>
        <w:t>Years 4 and 5</w:t>
      </w:r>
      <w:r w:rsidR="0050093C">
        <w:rPr>
          <w:rFonts w:ascii="Palatino Linotype" w:hAnsi="Palatino Linotype" w:eastAsia="Palatino Linotype" w:cs="Times New Roman"/>
          <w:kern w:val="0"/>
          <w14:ligatures w14:val="none"/>
        </w:rPr>
        <w:t>,</w:t>
      </w:r>
      <w:r w:rsidR="00851BE2">
        <w:rPr>
          <w:rFonts w:ascii="Palatino Linotype" w:hAnsi="Palatino Linotype" w:eastAsia="Palatino Linotype" w:cs="Times New Roman"/>
          <w:kern w:val="0"/>
          <w14:ligatures w14:val="none"/>
        </w:rPr>
        <w:t xml:space="preserve"> if any, </w:t>
      </w:r>
      <w:r w:rsidR="00694612">
        <w:rPr>
          <w:rFonts w:ascii="Palatino Linotype" w:hAnsi="Palatino Linotype" w:eastAsia="Palatino Linotype" w:cs="Times New Roman"/>
          <w:kern w:val="0"/>
          <w14:ligatures w14:val="none"/>
        </w:rPr>
        <w:t>following</w:t>
      </w:r>
      <w:r w:rsidR="005B18E0">
        <w:rPr>
          <w:rFonts w:ascii="Palatino Linotype" w:hAnsi="Palatino Linotype" w:eastAsia="Palatino Linotype" w:cs="Times New Roman"/>
          <w:kern w:val="0"/>
          <w14:ligatures w14:val="none"/>
        </w:rPr>
        <w:t xml:space="preserve"> the three-year contract </w:t>
      </w:r>
      <w:r w:rsidR="00694612">
        <w:rPr>
          <w:rFonts w:ascii="Palatino Linotype" w:hAnsi="Palatino Linotype" w:eastAsia="Palatino Linotype" w:cs="Times New Roman"/>
          <w:kern w:val="0"/>
          <w14:ligatures w14:val="none"/>
        </w:rPr>
        <w:t xml:space="preserve">term, </w:t>
      </w:r>
      <w:r w:rsidR="005B18E0">
        <w:rPr>
          <w:rFonts w:ascii="Palatino Linotype" w:hAnsi="Palatino Linotype" w:eastAsia="Palatino Linotype" w:cs="Times New Roman"/>
          <w:kern w:val="0"/>
          <w14:ligatures w14:val="none"/>
        </w:rPr>
        <w:t>as part of their</w:t>
      </w:r>
      <w:r w:rsidR="00E53A37">
        <w:rPr>
          <w:rFonts w:ascii="Palatino Linotype" w:hAnsi="Palatino Linotype" w:eastAsia="Palatino Linotype" w:cs="Times New Roman"/>
          <w:kern w:val="0"/>
          <w14:ligatures w14:val="none"/>
        </w:rPr>
        <w:t xml:space="preserve"> </w:t>
      </w:r>
      <w:r w:rsidRPr="0098791D" w:rsidR="00A86DCD">
        <w:rPr>
          <w:rFonts w:ascii="Palatino Linotype" w:hAnsi="Palatino Linotype" w:eastAsia="Palatino Linotype" w:cs="Times New Roman"/>
          <w:kern w:val="0"/>
          <w14:ligatures w14:val="none"/>
        </w:rPr>
        <w:t>forecasted budget and revenue requirement in their next CARE, FERA, and ESA program and budget applications “</w:t>
      </w:r>
      <w:r w:rsidR="00A86DCD">
        <w:rPr>
          <w:rFonts w:ascii="Palatino Linotype" w:hAnsi="Palatino Linotype" w:eastAsia="Palatino Linotype" w:cs="Times New Roman"/>
          <w:kern w:val="0"/>
          <w14:ligatures w14:val="none"/>
        </w:rPr>
        <w:t>f</w:t>
      </w:r>
      <w:r w:rsidRPr="0098791D" w:rsidR="00A86DCD">
        <w:rPr>
          <w:rFonts w:ascii="Palatino Linotype" w:hAnsi="Palatino Linotype" w:eastAsia="Palatino Linotype" w:cs="Times New Roman"/>
          <w:kern w:val="0"/>
          <w14:ligatures w14:val="none"/>
        </w:rPr>
        <w:t>or future CAS costs beyond Phase I launch (such as for ongoing maintenance),”</w:t>
      </w:r>
      <w:r w:rsidR="005B18E0">
        <w:rPr>
          <w:rFonts w:ascii="Palatino Linotype" w:hAnsi="Palatino Linotype" w:eastAsia="Palatino Linotype" w:cs="Times New Roman"/>
          <w:kern w:val="0"/>
          <w14:ligatures w14:val="none"/>
        </w:rPr>
        <w:t xml:space="preserve"> as directed in D.23-05-006.</w:t>
      </w:r>
      <w:r w:rsidR="00BE31B9">
        <w:rPr>
          <w:rStyle w:val="FootnoteReference"/>
          <w:rFonts w:ascii="Palatino Linotype" w:hAnsi="Palatino Linotype" w:eastAsia="Palatino Linotype" w:cs="Times New Roman"/>
          <w:kern w:val="0"/>
          <w14:ligatures w14:val="none"/>
        </w:rPr>
        <w:footnoteReference w:id="23"/>
      </w:r>
      <w:r w:rsidR="00851BE2">
        <w:rPr>
          <w:rFonts w:ascii="Palatino Linotype" w:hAnsi="Palatino Linotype" w:eastAsia="Palatino Linotype" w:cs="Times New Roman"/>
          <w:kern w:val="0"/>
          <w14:ligatures w14:val="none"/>
        </w:rPr>
        <w:t xml:space="preserve">  </w:t>
      </w:r>
      <w:r w:rsidR="00293DFF">
        <w:rPr>
          <w:rFonts w:ascii="Palatino Linotype" w:hAnsi="Palatino Linotype" w:eastAsia="Palatino Linotype" w:cs="Times New Roman"/>
          <w:kern w:val="0"/>
          <w14:ligatures w14:val="none"/>
        </w:rPr>
        <w:t xml:space="preserve">If further </w:t>
      </w:r>
      <w:r w:rsidR="00F42D4F">
        <w:rPr>
          <w:rFonts w:ascii="Palatino Linotype" w:hAnsi="Palatino Linotype" w:eastAsia="Palatino Linotype" w:cs="Times New Roman"/>
          <w:kern w:val="0"/>
          <w14:ligatures w14:val="none"/>
        </w:rPr>
        <w:t xml:space="preserve">revenue is </w:t>
      </w:r>
      <w:r w:rsidR="00293DFF">
        <w:rPr>
          <w:rFonts w:ascii="Palatino Linotype" w:hAnsi="Palatino Linotype" w:eastAsia="Palatino Linotype" w:cs="Times New Roman"/>
          <w:kern w:val="0"/>
          <w14:ligatures w14:val="none"/>
        </w:rPr>
        <w:t xml:space="preserve">requested for CAS Phase I, the </w:t>
      </w:r>
      <w:r w:rsidR="00F42D4F">
        <w:rPr>
          <w:rFonts w:ascii="Palatino Linotype" w:hAnsi="Palatino Linotype" w:eastAsia="Palatino Linotype" w:cs="Times New Roman"/>
          <w:kern w:val="0"/>
          <w14:ligatures w14:val="none"/>
        </w:rPr>
        <w:t xml:space="preserve">request must be supported with </w:t>
      </w:r>
      <w:r w:rsidR="00851BE2">
        <w:rPr>
          <w:rFonts w:ascii="Palatino Linotype" w:hAnsi="Palatino Linotype" w:eastAsia="Palatino Linotype" w:cs="Times New Roman"/>
          <w:kern w:val="0"/>
          <w14:ligatures w14:val="none"/>
        </w:rPr>
        <w:t xml:space="preserve">information showing the </w:t>
      </w:r>
      <w:r w:rsidR="00F42D4F">
        <w:rPr>
          <w:rFonts w:ascii="Palatino Linotype" w:hAnsi="Palatino Linotype" w:eastAsia="Palatino Linotype" w:cs="Times New Roman"/>
          <w:kern w:val="0"/>
          <w14:ligatures w14:val="none"/>
        </w:rPr>
        <w:t xml:space="preserve">IOUs’ </w:t>
      </w:r>
      <w:r w:rsidR="00851BE2">
        <w:rPr>
          <w:rFonts w:ascii="Palatino Linotype" w:hAnsi="Palatino Linotype" w:eastAsia="Palatino Linotype" w:cs="Times New Roman"/>
          <w:kern w:val="0"/>
          <w14:ligatures w14:val="none"/>
        </w:rPr>
        <w:t xml:space="preserve">actual </w:t>
      </w:r>
      <w:r w:rsidR="0098293B">
        <w:rPr>
          <w:rFonts w:ascii="Palatino Linotype" w:hAnsi="Palatino Linotype" w:eastAsia="Palatino Linotype" w:cs="Times New Roman"/>
          <w:kern w:val="0"/>
          <w14:ligatures w14:val="none"/>
        </w:rPr>
        <w:t>recorded versus projected costs for 2024-2027</w:t>
      </w:r>
      <w:r w:rsidR="00F42D4F">
        <w:rPr>
          <w:rFonts w:ascii="Palatino Linotype" w:hAnsi="Palatino Linotype" w:eastAsia="Palatino Linotype" w:cs="Times New Roman"/>
          <w:kern w:val="0"/>
          <w14:ligatures w14:val="none"/>
        </w:rPr>
        <w:t xml:space="preserve">.  </w:t>
      </w:r>
      <w:r w:rsidR="0098293B">
        <w:rPr>
          <w:rFonts w:ascii="Palatino Linotype" w:hAnsi="Palatino Linotype" w:eastAsia="Palatino Linotype" w:cs="Times New Roman"/>
          <w:kern w:val="0"/>
          <w14:ligatures w14:val="none"/>
        </w:rPr>
        <w:t xml:space="preserve"> </w:t>
      </w:r>
    </w:p>
    <w:p w:rsidRPr="001942D0" w:rsidR="00A76F4A" w:rsidP="00A76F4A" w:rsidRDefault="00A76F4A" w14:paraId="1193502B" w14:textId="77777777">
      <w:pPr>
        <w:spacing w:after="0" w:line="240" w:lineRule="auto"/>
        <w:rPr>
          <w:rFonts w:ascii="Palatino Linotype" w:hAnsi="Palatino Linotype" w:eastAsia="Palatino Linotype" w:cs="Times New Roman"/>
          <w:kern w:val="0"/>
          <w14:ligatures w14:val="none"/>
        </w:rPr>
      </w:pPr>
    </w:p>
    <w:p w:rsidRPr="00B14A21" w:rsidR="00A76F4A" w:rsidP="00B14A21" w:rsidRDefault="00A76F4A" w14:paraId="3D85FD64" w14:textId="7EA55EF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lastRenderedPageBreak/>
        <w:t>Comments</w:t>
      </w:r>
    </w:p>
    <w:p w:rsidRPr="001942D0" w:rsidR="00A76F4A" w:rsidP="00A76F4A" w:rsidRDefault="00A76F4A" w14:paraId="5856CC6E" w14:textId="77777777">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1942D0" w:rsidR="00A76F4A" w:rsidP="00A76F4A" w:rsidRDefault="00A76F4A" w14:paraId="14ED6F68" w14:textId="77777777">
      <w:pPr>
        <w:spacing w:after="0" w:line="240" w:lineRule="auto"/>
        <w:rPr>
          <w:rFonts w:ascii="Palatino Linotype" w:hAnsi="Palatino Linotype" w:eastAsia="Palatino Linotype" w:cs="Times New Roman"/>
          <w:kern w:val="0"/>
          <w14:ligatures w14:val="none"/>
        </w:rPr>
      </w:pPr>
    </w:p>
    <w:p w:rsidR="00A76F4A" w:rsidP="00B14A21" w:rsidRDefault="00A76F4A" w14:paraId="2ADB9E57" w14:textId="6A347BC4">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The 30-day review and 20-day comment period for the draft of this </w:t>
      </w:r>
      <w:r w:rsidR="00AE7E3A">
        <w:rPr>
          <w:rFonts w:ascii="Palatino Linotype" w:hAnsi="Palatino Linotype" w:eastAsia="Palatino Linotype" w:cs="Times New Roman"/>
          <w:kern w:val="0"/>
          <w14:ligatures w14:val="none"/>
        </w:rPr>
        <w:t>R</w:t>
      </w:r>
      <w:r w:rsidRPr="001942D0">
        <w:rPr>
          <w:rFonts w:ascii="Palatino Linotype" w:hAnsi="Palatino Linotype" w:eastAsia="Palatino Linotype" w:cs="Times New Roman"/>
          <w:kern w:val="0"/>
          <w14:ligatures w14:val="none"/>
        </w:rPr>
        <w:t xml:space="preserve">esolution was neither waived nor reduced.  Accordingly, this draft </w:t>
      </w:r>
      <w:r w:rsidR="00AE7E3A">
        <w:rPr>
          <w:rFonts w:ascii="Palatino Linotype" w:hAnsi="Palatino Linotype" w:eastAsia="Palatino Linotype" w:cs="Times New Roman"/>
          <w:kern w:val="0"/>
          <w14:ligatures w14:val="none"/>
        </w:rPr>
        <w:t>R</w:t>
      </w:r>
      <w:r w:rsidRPr="001942D0">
        <w:rPr>
          <w:rFonts w:ascii="Palatino Linotype" w:hAnsi="Palatino Linotype" w:eastAsia="Palatino Linotype" w:cs="Times New Roman"/>
          <w:kern w:val="0"/>
          <w14:ligatures w14:val="none"/>
        </w:rPr>
        <w:t>esolution was mailed to parties for comments, and will be placed on the Commission's agenda no earlier than 30 days from today.</w:t>
      </w:r>
    </w:p>
    <w:p w:rsidR="00B14A21" w:rsidP="00B14A21" w:rsidRDefault="00B14A21" w14:paraId="58C27C0F"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46563B5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Findings</w:t>
      </w:r>
      <w:r>
        <w:rPr>
          <w:rFonts w:ascii="Palatino Linotype" w:hAnsi="Palatino Linotype" w:eastAsia="Palatino Linotype" w:cs="Times New Roman"/>
          <w:b/>
          <w:caps/>
          <w:kern w:val="28"/>
          <w:u w:val="single"/>
          <w14:ligatures w14:val="none"/>
        </w:rPr>
        <w:t xml:space="preserve"> AND CONCLUSIONS</w:t>
      </w:r>
    </w:p>
    <w:p w:rsidRPr="00432BFF" w:rsidR="00432BFF" w:rsidP="00432BFF" w:rsidRDefault="00432BFF" w14:paraId="40D9968E" w14:textId="77777777">
      <w:pPr>
        <w:numPr>
          <w:ilvl w:val="0"/>
          <w:numId w:val="1"/>
        </w:numPr>
        <w:spacing w:after="0" w:line="240" w:lineRule="auto"/>
        <w:rPr>
          <w:rFonts w:ascii="Palatino Linotype" w:hAnsi="Palatino Linotype" w:eastAsia="Palatino Linotype" w:cs="Times New Roman"/>
          <w:kern w:val="0"/>
          <w14:ligatures w14:val="none"/>
        </w:rPr>
      </w:pPr>
      <w:r w:rsidRPr="00432BFF">
        <w:rPr>
          <w:rFonts w:ascii="Palatino Linotype" w:hAnsi="Palatino Linotype" w:eastAsia="Palatino Linotype" w:cs="Times New Roman"/>
          <w:kern w:val="0"/>
          <w14:ligatures w14:val="none"/>
        </w:rPr>
        <w:t>Decision (D.) 23-05-006 directed Pacific Gas and Electric Company to release a Request for Proposals (RFP) for Concurrent Application System (CAS) Phase I after receiving finalized RFP recommendations from the Commission’s Energy Division and the CAS Working Group, but no later than December 29, 2023.</w:t>
      </w:r>
    </w:p>
    <w:p w:rsidRPr="00432BFF" w:rsidR="00432BFF" w:rsidP="00432BFF" w:rsidRDefault="00432BFF" w14:paraId="76719E5F" w14:textId="77777777">
      <w:pPr>
        <w:numPr>
          <w:ilvl w:val="0"/>
          <w:numId w:val="1"/>
        </w:numPr>
        <w:spacing w:after="0" w:line="240" w:lineRule="auto"/>
        <w:rPr>
          <w:rFonts w:ascii="Palatino Linotype" w:hAnsi="Palatino Linotype" w:eastAsia="Palatino Linotype" w:cs="Times New Roman"/>
          <w:kern w:val="0"/>
          <w14:ligatures w14:val="none"/>
        </w:rPr>
      </w:pPr>
      <w:r w:rsidRPr="00432BFF">
        <w:rPr>
          <w:rFonts w:ascii="Palatino Linotype" w:hAnsi="Palatino Linotype" w:eastAsia="Palatino Linotype" w:cs="Times New Roman"/>
          <w:kern w:val="0"/>
          <w14:ligatures w14:val="none"/>
        </w:rPr>
        <w:t>D.23-05-006 stated that no contract may be awarded without the bidder clearing a Commission-conducted conflict of interest screen.</w:t>
      </w:r>
    </w:p>
    <w:p w:rsidRPr="00432BFF" w:rsidR="00432BFF" w:rsidP="00432BFF" w:rsidRDefault="00432BFF" w14:paraId="7FD5AC14" w14:textId="646FF2AB">
      <w:pPr>
        <w:numPr>
          <w:ilvl w:val="0"/>
          <w:numId w:val="1"/>
        </w:numPr>
        <w:spacing w:after="0" w:line="240" w:lineRule="auto"/>
        <w:rPr>
          <w:rFonts w:ascii="Palatino Linotype" w:hAnsi="Palatino Linotype" w:eastAsia="Palatino Linotype" w:cs="Times New Roman"/>
          <w:kern w:val="0"/>
          <w14:ligatures w14:val="none"/>
        </w:rPr>
      </w:pPr>
      <w:r w:rsidRPr="00432BFF">
        <w:rPr>
          <w:rFonts w:ascii="Palatino Linotype" w:hAnsi="Palatino Linotype" w:eastAsia="Palatino Linotype" w:cs="Times New Roman"/>
          <w:kern w:val="0"/>
          <w14:ligatures w14:val="none"/>
        </w:rPr>
        <w:t>D.23-05-006 directed Pacific Gas and Electric Company</w:t>
      </w:r>
      <w:r w:rsidR="002E618C">
        <w:rPr>
          <w:rFonts w:ascii="Palatino Linotype" w:hAnsi="Palatino Linotype" w:eastAsia="Palatino Linotype" w:cs="Times New Roman"/>
          <w:kern w:val="0"/>
          <w14:ligatures w14:val="none"/>
        </w:rPr>
        <w:t xml:space="preserve"> (PG&amp;E)</w:t>
      </w:r>
      <w:r w:rsidRPr="00432BFF">
        <w:rPr>
          <w:rFonts w:ascii="Palatino Linotype" w:hAnsi="Palatino Linotype" w:eastAsia="Palatino Linotype" w:cs="Times New Roman"/>
          <w:kern w:val="0"/>
          <w14:ligatures w14:val="none"/>
        </w:rPr>
        <w:t>, Southern California Edison Company</w:t>
      </w:r>
      <w:r w:rsidR="002E618C">
        <w:rPr>
          <w:rFonts w:ascii="Palatino Linotype" w:hAnsi="Palatino Linotype" w:eastAsia="Palatino Linotype" w:cs="Times New Roman"/>
          <w:kern w:val="0"/>
          <w14:ligatures w14:val="none"/>
        </w:rPr>
        <w:t xml:space="preserve"> (SCE)</w:t>
      </w:r>
      <w:r w:rsidRPr="00432BFF">
        <w:rPr>
          <w:rFonts w:ascii="Palatino Linotype" w:hAnsi="Palatino Linotype" w:eastAsia="Palatino Linotype" w:cs="Times New Roman"/>
          <w:kern w:val="0"/>
          <w14:ligatures w14:val="none"/>
        </w:rPr>
        <w:t>, Southern California Gas Company</w:t>
      </w:r>
      <w:r w:rsidR="002E618C">
        <w:rPr>
          <w:rFonts w:ascii="Palatino Linotype" w:hAnsi="Palatino Linotype" w:eastAsia="Palatino Linotype" w:cs="Times New Roman"/>
          <w:kern w:val="0"/>
          <w14:ligatures w14:val="none"/>
        </w:rPr>
        <w:t xml:space="preserve"> (SoCalGas)</w:t>
      </w:r>
      <w:r w:rsidRPr="00432BFF">
        <w:rPr>
          <w:rFonts w:ascii="Palatino Linotype" w:hAnsi="Palatino Linotype" w:eastAsia="Palatino Linotype" w:cs="Times New Roman"/>
          <w:kern w:val="0"/>
          <w14:ligatures w14:val="none"/>
        </w:rPr>
        <w:t>, and San Diego Gas &amp; Electric Company</w:t>
      </w:r>
      <w:r w:rsidR="002E618C">
        <w:rPr>
          <w:rFonts w:ascii="Palatino Linotype" w:hAnsi="Palatino Linotype" w:eastAsia="Palatino Linotype" w:cs="Times New Roman"/>
          <w:kern w:val="0"/>
          <w14:ligatures w14:val="none"/>
        </w:rPr>
        <w:t xml:space="preserve"> (SDG&amp;E)</w:t>
      </w:r>
      <w:r w:rsidRPr="00432BFF">
        <w:rPr>
          <w:rFonts w:ascii="Palatino Linotype" w:hAnsi="Palatino Linotype" w:eastAsia="Palatino Linotype" w:cs="Times New Roman"/>
          <w:kern w:val="0"/>
          <w14:ligatures w14:val="none"/>
        </w:rPr>
        <w:t xml:space="preserve"> (collectively, the “IOUs”) to file a Tier 3 Advice Letter seeking approval for the bid selection, executed contract, and budget for the development of CAS Phase I.</w:t>
      </w:r>
    </w:p>
    <w:p w:rsidRPr="00432BFF" w:rsidR="00432BFF" w:rsidP="00432BFF" w:rsidRDefault="00432BFF" w14:paraId="433767FD" w14:textId="77777777">
      <w:pPr>
        <w:numPr>
          <w:ilvl w:val="0"/>
          <w:numId w:val="1"/>
        </w:numPr>
        <w:spacing w:after="0" w:line="240" w:lineRule="auto"/>
        <w:rPr>
          <w:rFonts w:ascii="Palatino Linotype" w:hAnsi="Palatino Linotype" w:eastAsia="Palatino Linotype" w:cs="Times New Roman"/>
          <w:kern w:val="0"/>
          <w14:ligatures w14:val="none"/>
        </w:rPr>
      </w:pPr>
      <w:r w:rsidRPr="00432BFF">
        <w:rPr>
          <w:rFonts w:ascii="Palatino Linotype" w:hAnsi="Palatino Linotype" w:eastAsia="Palatino Linotype" w:cs="Times New Roman"/>
          <w:kern w:val="0"/>
          <w14:ligatures w14:val="none"/>
        </w:rPr>
        <w:t>D.23-05-006 authorized IOUs to record CAS Phase I development related costs in their CAS two-way balancing accounts.</w:t>
      </w:r>
    </w:p>
    <w:p w:rsidRPr="00432BFF" w:rsidR="00432BFF" w:rsidP="00432BFF" w:rsidRDefault="00432BFF" w14:paraId="3F9D1DF7" w14:textId="45041922">
      <w:pPr>
        <w:numPr>
          <w:ilvl w:val="0"/>
          <w:numId w:val="1"/>
        </w:numPr>
        <w:spacing w:after="0" w:line="240" w:lineRule="auto"/>
        <w:rPr>
          <w:rFonts w:ascii="Palatino Linotype" w:hAnsi="Palatino Linotype" w:eastAsia="Palatino Linotype" w:cs="Times New Roman"/>
          <w:kern w:val="0"/>
          <w14:ligatures w14:val="none"/>
        </w:rPr>
      </w:pPr>
      <w:r w:rsidRPr="00432BFF">
        <w:rPr>
          <w:rFonts w:ascii="Palatino Linotype" w:hAnsi="Palatino Linotype" w:eastAsia="Palatino Linotype" w:cs="Times New Roman"/>
          <w:kern w:val="0"/>
          <w14:ligatures w14:val="none"/>
        </w:rPr>
        <w:t xml:space="preserve">D.23-05-006 directed IOUs to seek recovery for CAS Phase I development costs through the IOUs’ annual rate change implementation advice letters after review and approval of this </w:t>
      </w:r>
      <w:r w:rsidR="00AE7E3A">
        <w:rPr>
          <w:rFonts w:ascii="Palatino Linotype" w:hAnsi="Palatino Linotype" w:eastAsia="Palatino Linotype" w:cs="Times New Roman"/>
          <w:kern w:val="0"/>
          <w14:ligatures w14:val="none"/>
        </w:rPr>
        <w:t>R</w:t>
      </w:r>
      <w:r w:rsidRPr="00432BFF">
        <w:rPr>
          <w:rFonts w:ascii="Palatino Linotype" w:hAnsi="Palatino Linotype" w:eastAsia="Palatino Linotype" w:cs="Times New Roman"/>
          <w:kern w:val="0"/>
          <w14:ligatures w14:val="none"/>
        </w:rPr>
        <w:t>esolution.</w:t>
      </w:r>
    </w:p>
    <w:p w:rsidRPr="00432BFF" w:rsidR="00432BFF" w:rsidP="00432BFF" w:rsidRDefault="00432BFF" w14:paraId="09936A65" w14:textId="5278C701">
      <w:pPr>
        <w:numPr>
          <w:ilvl w:val="0"/>
          <w:numId w:val="1"/>
        </w:numPr>
        <w:spacing w:after="0" w:line="240" w:lineRule="auto"/>
        <w:rPr>
          <w:rFonts w:ascii="Palatino Linotype" w:hAnsi="Palatino Linotype" w:eastAsia="Palatino Linotype" w:cs="Times New Roman"/>
          <w:kern w:val="0"/>
          <w14:ligatures w14:val="none"/>
        </w:rPr>
      </w:pPr>
      <w:r w:rsidRPr="00432BFF">
        <w:rPr>
          <w:rFonts w:ascii="Palatino Linotype" w:hAnsi="Palatino Linotype" w:eastAsia="Palatino Linotype" w:cs="Times New Roman"/>
          <w:kern w:val="0"/>
          <w14:ligatures w14:val="none"/>
        </w:rPr>
        <w:t>D.23-05-006 authorized IOUs to recover electric costs through Public Purpose Program rates from retail customer classes and gas costs to be recovered through transportation rates from all customers.</w:t>
      </w:r>
    </w:p>
    <w:p w:rsidRPr="00432BFF" w:rsidR="00432BFF" w:rsidP="00432BFF" w:rsidRDefault="00432BFF" w14:paraId="77655A1D" w14:textId="7E775F5B">
      <w:pPr>
        <w:numPr>
          <w:ilvl w:val="0"/>
          <w:numId w:val="1"/>
        </w:numPr>
        <w:spacing w:after="0" w:line="240" w:lineRule="auto"/>
        <w:rPr>
          <w:rFonts w:ascii="Palatino Linotype" w:hAnsi="Palatino Linotype" w:eastAsia="Palatino Linotype" w:cs="Times New Roman"/>
          <w:kern w:val="0"/>
          <w14:ligatures w14:val="none"/>
        </w:rPr>
      </w:pPr>
      <w:r w:rsidRPr="00432BFF">
        <w:rPr>
          <w:rFonts w:ascii="Palatino Linotype" w:hAnsi="Palatino Linotype" w:eastAsia="Palatino Linotype" w:cs="Times New Roman"/>
          <w:kern w:val="0"/>
          <w14:ligatures w14:val="none"/>
        </w:rPr>
        <w:t xml:space="preserve">The CAS Working Group delivered recommendations to the Commission’s Energy Division and </w:t>
      </w:r>
      <w:r w:rsidR="002E618C">
        <w:rPr>
          <w:rFonts w:ascii="Palatino Linotype" w:hAnsi="Palatino Linotype" w:eastAsia="Palatino Linotype" w:cs="Times New Roman"/>
          <w:kern w:val="0"/>
          <w14:ligatures w14:val="none"/>
        </w:rPr>
        <w:t>PG&amp;E</w:t>
      </w:r>
      <w:r w:rsidRPr="00432BFF">
        <w:rPr>
          <w:rFonts w:ascii="Palatino Linotype" w:hAnsi="Palatino Linotype" w:eastAsia="Palatino Linotype" w:cs="Times New Roman"/>
          <w:kern w:val="0"/>
          <w14:ligatures w14:val="none"/>
        </w:rPr>
        <w:t>, as the lead utility and fiscal sponsor, regarding the implementation, design and development of the CAS.</w:t>
      </w:r>
    </w:p>
    <w:p w:rsidRPr="00432BFF" w:rsidR="00432BFF" w:rsidP="00432BFF" w:rsidRDefault="002E618C" w14:paraId="063EF7EF" w14:textId="449218C6">
      <w:pPr>
        <w:numPr>
          <w:ilvl w:val="0"/>
          <w:numId w:val="1"/>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lastRenderedPageBreak/>
        <w:t>PG&amp;E</w:t>
      </w:r>
      <w:r w:rsidRPr="00432BFF" w:rsidR="00432BFF">
        <w:rPr>
          <w:rFonts w:ascii="Palatino Linotype" w:hAnsi="Palatino Linotype" w:eastAsia="Palatino Linotype" w:cs="Times New Roman"/>
          <w:kern w:val="0"/>
          <w14:ligatures w14:val="none"/>
        </w:rPr>
        <w:t xml:space="preserve"> released the RFP for CAS Phase I on December 29, 2023 using the final recommendations from the Commission’s Energy Division and the CAS Working Group.</w:t>
      </w:r>
    </w:p>
    <w:p w:rsidRPr="00432BFF" w:rsidR="00432BFF" w:rsidP="00432BFF" w:rsidRDefault="00432BFF" w14:paraId="38BA46CB" w14:textId="77777777">
      <w:pPr>
        <w:numPr>
          <w:ilvl w:val="0"/>
          <w:numId w:val="1"/>
        </w:numPr>
        <w:spacing w:after="0" w:line="240" w:lineRule="auto"/>
        <w:rPr>
          <w:rFonts w:ascii="Palatino Linotype" w:hAnsi="Palatino Linotype" w:eastAsia="Palatino Linotype" w:cs="Times New Roman"/>
          <w:kern w:val="0"/>
          <w14:ligatures w14:val="none"/>
        </w:rPr>
      </w:pPr>
      <w:r w:rsidRPr="00432BFF">
        <w:rPr>
          <w:rFonts w:ascii="Palatino Linotype" w:hAnsi="Palatino Linotype" w:eastAsia="Palatino Linotype" w:cs="Times New Roman"/>
          <w:kern w:val="0"/>
          <w14:ligatures w14:val="none"/>
        </w:rPr>
        <w:t>The selected bidder, DNV Energy Services USA Inc., cleared a Commission-conducted conflict of interest screen.</w:t>
      </w:r>
    </w:p>
    <w:p w:rsidR="00A76F4A" w:rsidP="00A76F4A" w:rsidRDefault="00432BFF" w14:paraId="79D6F305" w14:textId="751F622D">
      <w:pPr>
        <w:numPr>
          <w:ilvl w:val="0"/>
          <w:numId w:val="1"/>
        </w:numPr>
        <w:spacing w:after="0" w:line="240" w:lineRule="auto"/>
        <w:rPr>
          <w:rFonts w:ascii="Palatino Linotype" w:hAnsi="Palatino Linotype" w:eastAsia="Palatino Linotype" w:cs="Times New Roman"/>
          <w:kern w:val="0"/>
          <w14:ligatures w14:val="none"/>
        </w:rPr>
      </w:pPr>
      <w:r w:rsidRPr="00432BFF">
        <w:rPr>
          <w:rFonts w:ascii="Palatino Linotype" w:hAnsi="Palatino Linotype" w:eastAsia="Palatino Linotype" w:cs="Times New Roman"/>
          <w:kern w:val="0"/>
          <w14:ligatures w14:val="none"/>
        </w:rPr>
        <w:t xml:space="preserve">The IOUs filed Tier 3 Advice Letters (AL) of </w:t>
      </w:r>
      <w:r w:rsidR="002E618C">
        <w:rPr>
          <w:rFonts w:ascii="Palatino Linotype" w:hAnsi="Palatino Linotype" w:eastAsia="Palatino Linotype" w:cs="Times New Roman"/>
          <w:kern w:val="0"/>
          <w14:ligatures w14:val="none"/>
        </w:rPr>
        <w:t>PG&amp;E</w:t>
      </w:r>
      <w:r w:rsidRPr="00432BFF">
        <w:rPr>
          <w:rFonts w:ascii="Palatino Linotype" w:hAnsi="Palatino Linotype" w:eastAsia="Palatino Linotype" w:cs="Times New Roman"/>
          <w:kern w:val="0"/>
          <w14:ligatures w14:val="none"/>
        </w:rPr>
        <w:t xml:space="preserve"> AL 4994-G/7422-E, </w:t>
      </w:r>
      <w:r w:rsidR="002E618C">
        <w:rPr>
          <w:rFonts w:ascii="Palatino Linotype" w:hAnsi="Palatino Linotype" w:eastAsia="Palatino Linotype" w:cs="Times New Roman"/>
          <w:kern w:val="0"/>
          <w14:ligatures w14:val="none"/>
        </w:rPr>
        <w:t>SCE</w:t>
      </w:r>
      <w:r w:rsidRPr="00432BFF" w:rsidR="002E618C">
        <w:rPr>
          <w:rFonts w:ascii="Palatino Linotype" w:hAnsi="Palatino Linotype" w:eastAsia="Palatino Linotype" w:cs="Times New Roman"/>
          <w:kern w:val="0"/>
          <w14:ligatures w14:val="none"/>
        </w:rPr>
        <w:t xml:space="preserve"> </w:t>
      </w:r>
      <w:r w:rsidRPr="00432BFF">
        <w:rPr>
          <w:rFonts w:ascii="Palatino Linotype" w:hAnsi="Palatino Linotype" w:eastAsia="Palatino Linotype" w:cs="Times New Roman"/>
          <w:kern w:val="0"/>
          <w14:ligatures w14:val="none"/>
        </w:rPr>
        <w:t xml:space="preserve">AL 5403-E, </w:t>
      </w:r>
      <w:r w:rsidR="002E618C">
        <w:rPr>
          <w:rFonts w:ascii="Palatino Linotype" w:hAnsi="Palatino Linotype" w:eastAsia="Palatino Linotype" w:cs="Times New Roman"/>
          <w:kern w:val="0"/>
          <w14:ligatures w14:val="none"/>
        </w:rPr>
        <w:t>SoCalGas</w:t>
      </w:r>
      <w:r w:rsidRPr="00432BFF">
        <w:rPr>
          <w:rFonts w:ascii="Palatino Linotype" w:hAnsi="Palatino Linotype" w:eastAsia="Palatino Linotype" w:cs="Times New Roman"/>
          <w:kern w:val="0"/>
          <w14:ligatures w14:val="none"/>
        </w:rPr>
        <w:t xml:space="preserve"> AL 6398-G, and </w:t>
      </w:r>
      <w:r w:rsidR="002E618C">
        <w:rPr>
          <w:rFonts w:ascii="Palatino Linotype" w:hAnsi="Palatino Linotype" w:eastAsia="Palatino Linotype" w:cs="Times New Roman"/>
          <w:kern w:val="0"/>
          <w14:ligatures w14:val="none"/>
        </w:rPr>
        <w:t>SDG&amp;E</w:t>
      </w:r>
      <w:r w:rsidRPr="00432BFF">
        <w:rPr>
          <w:rFonts w:ascii="Palatino Linotype" w:hAnsi="Palatino Linotype" w:eastAsia="Palatino Linotype" w:cs="Times New Roman"/>
          <w:kern w:val="0"/>
          <w14:ligatures w14:val="none"/>
        </w:rPr>
        <w:t xml:space="preserve"> AL 4543-E/3365-G on November 4, 2024 requesting Commission approval for the bid selection, executed contract, and budget for CAS Phase I.</w:t>
      </w:r>
    </w:p>
    <w:p w:rsidR="005F469D" w:rsidP="00A76F4A" w:rsidRDefault="000915BB" w14:paraId="7A2FD4F4" w14:textId="3B1C0742">
      <w:pPr>
        <w:numPr>
          <w:ilvl w:val="0"/>
          <w:numId w:val="1"/>
        </w:numPr>
        <w:spacing w:after="0" w:line="240" w:lineRule="auto"/>
        <w:rPr>
          <w:rFonts w:ascii="Palatino Linotype" w:hAnsi="Palatino Linotype" w:eastAsia="Palatino Linotype" w:cs="Times New Roman"/>
          <w:kern w:val="0"/>
          <w14:ligatures w14:val="none"/>
        </w:rPr>
      </w:pPr>
      <w:r w:rsidRPr="000915BB">
        <w:rPr>
          <w:rFonts w:ascii="Palatino Linotype" w:hAnsi="Palatino Linotype" w:eastAsia="Palatino Linotype" w:cs="Times New Roman"/>
          <w:kern w:val="0"/>
          <w14:ligatures w14:val="none"/>
        </w:rPr>
        <w:t xml:space="preserve">It is reasonable </w:t>
      </w:r>
      <w:r>
        <w:rPr>
          <w:rFonts w:ascii="Palatino Linotype" w:hAnsi="Palatino Linotype" w:eastAsia="Palatino Linotype" w:cs="Times New Roman"/>
          <w:kern w:val="0"/>
          <w14:ligatures w14:val="none"/>
        </w:rPr>
        <w:t xml:space="preserve">to modify SoCalGas’ requested budget </w:t>
      </w:r>
      <w:r w:rsidR="00E84793">
        <w:rPr>
          <w:rFonts w:ascii="Palatino Linotype" w:hAnsi="Palatino Linotype" w:eastAsia="Palatino Linotype" w:cs="Times New Roman"/>
          <w:kern w:val="0"/>
          <w14:ligatures w14:val="none"/>
        </w:rPr>
        <w:t xml:space="preserve">for </w:t>
      </w:r>
      <w:r w:rsidR="0094485D">
        <w:rPr>
          <w:rFonts w:ascii="Palatino Linotype" w:hAnsi="Palatino Linotype" w:eastAsia="Palatino Linotype" w:cs="Times New Roman"/>
          <w:kern w:val="0"/>
          <w14:ligatures w14:val="none"/>
        </w:rPr>
        <w:t>Y</w:t>
      </w:r>
      <w:r w:rsidR="00A64ABA">
        <w:rPr>
          <w:rFonts w:ascii="Palatino Linotype" w:hAnsi="Palatino Linotype" w:eastAsia="Palatino Linotype" w:cs="Times New Roman"/>
          <w:kern w:val="0"/>
          <w14:ligatures w14:val="none"/>
        </w:rPr>
        <w:t>ears 2 and 3 of t</w:t>
      </w:r>
      <w:r w:rsidR="009F4897">
        <w:rPr>
          <w:rFonts w:ascii="Palatino Linotype" w:hAnsi="Palatino Linotype" w:eastAsia="Palatino Linotype" w:cs="Times New Roman"/>
          <w:kern w:val="0"/>
          <w14:ligatures w14:val="none"/>
        </w:rPr>
        <w:t xml:space="preserve">he developer </w:t>
      </w:r>
      <w:r w:rsidR="00A64ABA">
        <w:rPr>
          <w:rFonts w:ascii="Palatino Linotype" w:hAnsi="Palatino Linotype" w:eastAsia="Palatino Linotype" w:cs="Times New Roman"/>
          <w:kern w:val="0"/>
          <w14:ligatures w14:val="none"/>
        </w:rPr>
        <w:t xml:space="preserve">contract, </w:t>
      </w:r>
      <w:r w:rsidR="001F77C0">
        <w:rPr>
          <w:rFonts w:ascii="Palatino Linotype" w:hAnsi="Palatino Linotype" w:eastAsia="Palatino Linotype" w:cs="Times New Roman"/>
          <w:kern w:val="0"/>
          <w14:ligatures w14:val="none"/>
        </w:rPr>
        <w:t>after launch of the CAS platform</w:t>
      </w:r>
      <w:r w:rsidR="00A64ABA">
        <w:rPr>
          <w:rFonts w:ascii="Palatino Linotype" w:hAnsi="Palatino Linotype" w:eastAsia="Palatino Linotype" w:cs="Times New Roman"/>
          <w:kern w:val="0"/>
          <w14:ligatures w14:val="none"/>
        </w:rPr>
        <w:t>,</w:t>
      </w:r>
      <w:r w:rsidR="00E84793">
        <w:rPr>
          <w:rFonts w:ascii="Palatino Linotype" w:hAnsi="Palatino Linotype" w:eastAsia="Palatino Linotype" w:cs="Times New Roman"/>
          <w:kern w:val="0"/>
          <w14:ligatures w14:val="none"/>
        </w:rPr>
        <w:t xml:space="preserve"> for ongoing costs for cloud services</w:t>
      </w:r>
      <w:r w:rsidRPr="000915BB">
        <w:rPr>
          <w:rFonts w:ascii="Palatino Linotype" w:hAnsi="Palatino Linotype" w:eastAsia="Palatino Linotype" w:cs="Times New Roman"/>
          <w:kern w:val="0"/>
          <w14:ligatures w14:val="none"/>
        </w:rPr>
        <w:t xml:space="preserve"> if incremental costs and work related to cloud services are included within the existing scope of SoCalGas’ systems replacements currently in development.</w:t>
      </w:r>
    </w:p>
    <w:p w:rsidR="002E618C" w:rsidP="00A76F4A" w:rsidRDefault="005F469D" w14:paraId="069674F0" w14:textId="6DB7E91E">
      <w:pPr>
        <w:numPr>
          <w:ilvl w:val="0"/>
          <w:numId w:val="1"/>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It is reasonable for Energy Division staff to apply additional scrutiny when the IOUs seek cost recovery during the </w:t>
      </w:r>
      <w:r w:rsidRPr="00696076">
        <w:rPr>
          <w:rFonts w:ascii="Palatino Linotype" w:hAnsi="Palatino Linotype" w:eastAsia="Palatino Linotype" w:cs="Times New Roman"/>
          <w:kern w:val="0"/>
          <w14:ligatures w14:val="none"/>
        </w:rPr>
        <w:t>annual rate change implementation advice letters</w:t>
      </w:r>
      <w:r w:rsidRPr="00A179CD">
        <w:rPr>
          <w:rFonts w:ascii="Palatino Linotype" w:hAnsi="Palatino Linotype" w:eastAsia="Palatino Linotype" w:cs="Times New Roman"/>
          <w:kern w:val="0"/>
          <w14:ligatures w14:val="none"/>
        </w:rPr>
        <w:t xml:space="preserve"> </w:t>
      </w:r>
      <w:r>
        <w:rPr>
          <w:rFonts w:ascii="Palatino Linotype" w:hAnsi="Palatino Linotype" w:eastAsia="Palatino Linotype" w:cs="Times New Roman"/>
          <w:kern w:val="0"/>
          <w14:ligatures w14:val="none"/>
        </w:rPr>
        <w:t>for reasonableness review</w:t>
      </w:r>
      <w:r w:rsidRPr="00F33F8A">
        <w:rPr>
          <w:rFonts w:ascii="Palatino Linotype" w:hAnsi="Palatino Linotype" w:eastAsia="Palatino Linotype" w:cs="Times New Roman"/>
          <w:kern w:val="0"/>
          <w14:ligatures w14:val="none"/>
        </w:rPr>
        <w:t xml:space="preserve"> to ensure adequate Commission oversight</w:t>
      </w:r>
      <w:r>
        <w:rPr>
          <w:rFonts w:ascii="Palatino Linotype" w:hAnsi="Palatino Linotype" w:eastAsia="Palatino Linotype" w:cs="Times New Roman"/>
          <w:kern w:val="0"/>
          <w14:ligatures w14:val="none"/>
        </w:rPr>
        <w:t>.</w:t>
      </w:r>
    </w:p>
    <w:p w:rsidRPr="00432BFF" w:rsidR="00F33F8A" w:rsidP="00A76F4A" w:rsidRDefault="00F33F8A" w14:paraId="1F5F2C93" w14:textId="46D07610">
      <w:pPr>
        <w:numPr>
          <w:ilvl w:val="0"/>
          <w:numId w:val="1"/>
        </w:numPr>
        <w:spacing w:after="0" w:line="240" w:lineRule="auto"/>
        <w:rPr>
          <w:rFonts w:ascii="Palatino Linotype" w:hAnsi="Palatino Linotype" w:eastAsia="Palatino Linotype" w:cs="Times New Roman"/>
          <w:kern w:val="0"/>
          <w14:ligatures w14:val="none"/>
        </w:rPr>
      </w:pPr>
      <w:r w:rsidRPr="00F33F8A">
        <w:rPr>
          <w:rFonts w:ascii="Palatino Linotype" w:hAnsi="Palatino Linotype" w:eastAsia="Palatino Linotype" w:cs="Times New Roman"/>
          <w:kern w:val="0"/>
          <w14:ligatures w14:val="none"/>
        </w:rPr>
        <w:t>I</w:t>
      </w:r>
      <w:r w:rsidR="008554C1">
        <w:rPr>
          <w:rFonts w:ascii="Palatino Linotype" w:hAnsi="Palatino Linotype" w:eastAsia="Palatino Linotype" w:cs="Times New Roman"/>
          <w:kern w:val="0"/>
          <w14:ligatures w14:val="none"/>
        </w:rPr>
        <w:t>f the IOUs decide to pursue an extension of the CAS Phase I developer contract,</w:t>
      </w:r>
      <w:r w:rsidRPr="00F33F8A" w:rsidR="008554C1">
        <w:rPr>
          <w:rFonts w:ascii="Palatino Linotype" w:hAnsi="Palatino Linotype" w:eastAsia="Palatino Linotype" w:cs="Times New Roman"/>
          <w:kern w:val="0"/>
          <w14:ligatures w14:val="none"/>
        </w:rPr>
        <w:t xml:space="preserve"> </w:t>
      </w:r>
      <w:r w:rsidR="008554C1">
        <w:rPr>
          <w:rFonts w:ascii="Palatino Linotype" w:hAnsi="Palatino Linotype" w:eastAsia="Palatino Linotype" w:cs="Times New Roman"/>
          <w:kern w:val="0"/>
          <w14:ligatures w14:val="none"/>
        </w:rPr>
        <w:t>i</w:t>
      </w:r>
      <w:r w:rsidRPr="00F33F8A">
        <w:rPr>
          <w:rFonts w:ascii="Palatino Linotype" w:hAnsi="Palatino Linotype" w:eastAsia="Palatino Linotype" w:cs="Times New Roman"/>
          <w:kern w:val="0"/>
          <w14:ligatures w14:val="none"/>
        </w:rPr>
        <w:t xml:space="preserve">t is reasonable </w:t>
      </w:r>
      <w:r w:rsidR="00ED6AC9">
        <w:rPr>
          <w:rFonts w:ascii="Palatino Linotype" w:hAnsi="Palatino Linotype" w:eastAsia="Palatino Linotype" w:cs="Times New Roman"/>
          <w:kern w:val="0"/>
          <w14:ligatures w14:val="none"/>
        </w:rPr>
        <w:t>for</w:t>
      </w:r>
      <w:r w:rsidR="005B1E33">
        <w:rPr>
          <w:rFonts w:ascii="Palatino Linotype" w:hAnsi="Palatino Linotype" w:eastAsia="Palatino Linotype" w:cs="Times New Roman"/>
          <w:kern w:val="0"/>
          <w14:ligatures w14:val="none"/>
        </w:rPr>
        <w:t xml:space="preserve"> PG&amp;E, SCE, SoCalGas, and SDG&amp;E to</w:t>
      </w:r>
      <w:r w:rsidR="00ED6AC9">
        <w:rPr>
          <w:rFonts w:ascii="Palatino Linotype" w:hAnsi="Palatino Linotype" w:eastAsia="Palatino Linotype" w:cs="Times New Roman"/>
          <w:kern w:val="0"/>
          <w14:ligatures w14:val="none"/>
        </w:rPr>
        <w:t xml:space="preserve"> </w:t>
      </w:r>
      <w:r w:rsidRPr="007E0703" w:rsidR="005B1E33">
        <w:rPr>
          <w:rFonts w:ascii="Palatino Linotype" w:hAnsi="Palatino Linotype" w:eastAsia="Palatino Linotype" w:cs="Times New Roman"/>
          <w:kern w:val="0"/>
          <w14:ligatures w14:val="none"/>
        </w:rPr>
        <w:t>include</w:t>
      </w:r>
      <w:r w:rsidR="005B1E33">
        <w:rPr>
          <w:rFonts w:ascii="Palatino Linotype" w:hAnsi="Palatino Linotype" w:eastAsia="Palatino Linotype" w:cs="Times New Roman"/>
          <w:kern w:val="0"/>
          <w14:ligatures w14:val="none"/>
        </w:rPr>
        <w:t xml:space="preserve"> individual forecasted costs for Years 4 and 5 </w:t>
      </w:r>
      <w:r w:rsidRPr="0098791D" w:rsidR="005B1E33">
        <w:rPr>
          <w:rFonts w:ascii="Palatino Linotype" w:hAnsi="Palatino Linotype" w:eastAsia="Palatino Linotype" w:cs="Times New Roman"/>
          <w:kern w:val="0"/>
          <w14:ligatures w14:val="none"/>
        </w:rPr>
        <w:t>in their next CARE, FERA, and ESA program and budget applications</w:t>
      </w:r>
      <w:r w:rsidR="00D44C7F">
        <w:rPr>
          <w:rFonts w:ascii="Palatino Linotype" w:hAnsi="Palatino Linotype" w:eastAsia="Palatino Linotype" w:cs="Times New Roman"/>
          <w:kern w:val="0"/>
          <w14:ligatures w14:val="none"/>
        </w:rPr>
        <w:t>,</w:t>
      </w:r>
      <w:r w:rsidRPr="0098791D" w:rsidR="005B1E33">
        <w:rPr>
          <w:rFonts w:ascii="Palatino Linotype" w:hAnsi="Palatino Linotype" w:eastAsia="Palatino Linotype" w:cs="Times New Roman"/>
          <w:kern w:val="0"/>
          <w14:ligatures w14:val="none"/>
        </w:rPr>
        <w:t xml:space="preserve"> </w:t>
      </w:r>
      <w:r w:rsidRPr="699C30BB" w:rsidR="00887987">
        <w:rPr>
          <w:rFonts w:ascii="Palatino Linotype" w:hAnsi="Palatino Linotype"/>
        </w:rPr>
        <w:t xml:space="preserve">using supporting information showing actual recorded costs versus projected costs for 2024-2027, </w:t>
      </w:r>
      <w:r w:rsidR="004A2E3B">
        <w:rPr>
          <w:rFonts w:ascii="Palatino Linotype" w:hAnsi="Palatino Linotype" w:eastAsia="Palatino Linotype" w:cs="Times New Roman"/>
          <w:kern w:val="0"/>
          <w14:ligatures w14:val="none"/>
        </w:rPr>
        <w:t xml:space="preserve">as part of their </w:t>
      </w:r>
      <w:r w:rsidRPr="0098791D" w:rsidR="004A2E3B">
        <w:rPr>
          <w:rFonts w:ascii="Palatino Linotype" w:hAnsi="Palatino Linotype" w:eastAsia="Palatino Linotype" w:cs="Times New Roman"/>
          <w:kern w:val="0"/>
          <w14:ligatures w14:val="none"/>
        </w:rPr>
        <w:t xml:space="preserve">forecasted budget and revenue requirement </w:t>
      </w:r>
      <w:r w:rsidR="005B1E33">
        <w:rPr>
          <w:rFonts w:ascii="Palatino Linotype" w:hAnsi="Palatino Linotype" w:eastAsia="Palatino Linotype" w:cs="Times New Roman"/>
          <w:kern w:val="0"/>
          <w14:ligatures w14:val="none"/>
        </w:rPr>
        <w:t>f</w:t>
      </w:r>
      <w:r w:rsidRPr="0098791D" w:rsidR="005B1E33">
        <w:rPr>
          <w:rFonts w:ascii="Palatino Linotype" w:hAnsi="Palatino Linotype" w:eastAsia="Palatino Linotype" w:cs="Times New Roman"/>
          <w:kern w:val="0"/>
          <w14:ligatures w14:val="none"/>
        </w:rPr>
        <w:t>or future CAS costs beyond Phase I launch</w:t>
      </w:r>
      <w:r w:rsidR="004A2E3B">
        <w:rPr>
          <w:rFonts w:ascii="Palatino Linotype" w:hAnsi="Palatino Linotype" w:eastAsia="Palatino Linotype" w:cs="Times New Roman"/>
          <w:kern w:val="0"/>
          <w14:ligatures w14:val="none"/>
        </w:rPr>
        <w:t>.</w:t>
      </w:r>
    </w:p>
    <w:p w:rsidRPr="001942D0" w:rsidR="00A76F4A" w:rsidP="00A76F4A" w:rsidRDefault="00A76F4A" w14:paraId="4636079E"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21CF1B88" w14:textId="1322AC73">
      <w:pPr>
        <w:spacing w:after="0" w:line="240" w:lineRule="auto"/>
        <w:rPr>
          <w:rFonts w:ascii="Palatino Linotype" w:hAnsi="Palatino Linotype" w:eastAsia="Palatino Linotype" w:cs="Times New Roman"/>
          <w:b/>
          <w:kern w:val="0"/>
          <w14:ligatures w14:val="none"/>
        </w:rPr>
      </w:pPr>
    </w:p>
    <w:p w:rsidRPr="00C93240" w:rsidR="00302124" w:rsidP="00C93240" w:rsidRDefault="00A76F4A" w14:paraId="438CD194" w14:textId="6722B8E8">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Therefore it is ordered that:</w:t>
      </w:r>
    </w:p>
    <w:p w:rsidR="000F2F57" w:rsidP="00F60266" w:rsidRDefault="00302124" w14:paraId="35C2E964" w14:textId="7400468F">
      <w:pPr>
        <w:pStyle w:val="10spHanging05"/>
        <w:numPr>
          <w:ilvl w:val="0"/>
          <w:numId w:val="2"/>
        </w:numPr>
        <w:spacing w:after="0"/>
        <w:rPr>
          <w:rFonts w:ascii="Palatino Linotype" w:hAnsi="Palatino Linotype"/>
        </w:rPr>
      </w:pPr>
      <w:r w:rsidRPr="00302124">
        <w:rPr>
          <w:rFonts w:ascii="Palatino Linotype" w:hAnsi="Palatino Linotype"/>
        </w:rPr>
        <w:t xml:space="preserve">The request to approve the bid selection and executed contract for the Phase I development of a Concurrent Application System as requested in Advice Letters of Pacific Gas and Electric </w:t>
      </w:r>
      <w:r w:rsidR="0046509C">
        <w:rPr>
          <w:rFonts w:ascii="Palatino Linotype" w:hAnsi="Palatino Linotype"/>
        </w:rPr>
        <w:t>(PG&amp;E)</w:t>
      </w:r>
      <w:r w:rsidRPr="00302124">
        <w:rPr>
          <w:rFonts w:ascii="Palatino Linotype" w:hAnsi="Palatino Linotype"/>
        </w:rPr>
        <w:t xml:space="preserve"> AL 4994-G/7422-E, Southern California Edison </w:t>
      </w:r>
      <w:r w:rsidR="0046509C">
        <w:rPr>
          <w:rFonts w:ascii="Palatino Linotype" w:hAnsi="Palatino Linotype"/>
        </w:rPr>
        <w:t xml:space="preserve">(SCE) </w:t>
      </w:r>
      <w:r w:rsidRPr="00302124">
        <w:rPr>
          <w:rFonts w:ascii="Palatino Linotype" w:hAnsi="Palatino Linotype"/>
        </w:rPr>
        <w:t xml:space="preserve">AL 5403-E, Southern California Gas </w:t>
      </w:r>
      <w:r w:rsidR="00F61777">
        <w:rPr>
          <w:rFonts w:ascii="Palatino Linotype" w:hAnsi="Palatino Linotype"/>
        </w:rPr>
        <w:t>(SoCalGas)</w:t>
      </w:r>
      <w:r w:rsidRPr="00302124">
        <w:rPr>
          <w:rFonts w:ascii="Palatino Linotype" w:hAnsi="Palatino Linotype"/>
        </w:rPr>
        <w:t xml:space="preserve"> AL 6398-G, and San Diego Gas &amp; Electric </w:t>
      </w:r>
      <w:r w:rsidR="00F61777">
        <w:rPr>
          <w:rFonts w:ascii="Palatino Linotype" w:hAnsi="Palatino Linotype"/>
        </w:rPr>
        <w:t>(SDG&amp;E)</w:t>
      </w:r>
      <w:r w:rsidRPr="00302124">
        <w:rPr>
          <w:rFonts w:ascii="Palatino Linotype" w:hAnsi="Palatino Linotype"/>
        </w:rPr>
        <w:t xml:space="preserve"> AL 4543-E/3365-G (4994-G/7422-E et al.) is approved.</w:t>
      </w:r>
    </w:p>
    <w:p w:rsidR="000F2F57" w:rsidP="00F60266" w:rsidRDefault="00302124" w14:paraId="1D828254" w14:textId="77777777">
      <w:pPr>
        <w:pStyle w:val="10spHanging05"/>
        <w:numPr>
          <w:ilvl w:val="0"/>
          <w:numId w:val="2"/>
        </w:numPr>
        <w:spacing w:after="0"/>
        <w:rPr>
          <w:rFonts w:ascii="Palatino Linotype" w:hAnsi="Palatino Linotype"/>
        </w:rPr>
      </w:pPr>
      <w:r w:rsidRPr="000F2F57">
        <w:rPr>
          <w:rFonts w:ascii="Palatino Linotype" w:hAnsi="Palatino Linotype"/>
        </w:rPr>
        <w:t>The request to approve the development budget for CAS Phase I of $4,051,000 from 2025 to 2027, shared by the IOUs, as requested in AL 4994-G/7422-E et al. is approved</w:t>
      </w:r>
      <w:r w:rsidR="000F2F57">
        <w:rPr>
          <w:rFonts w:ascii="Palatino Linotype" w:hAnsi="Palatino Linotype"/>
        </w:rPr>
        <w:t>.</w:t>
      </w:r>
    </w:p>
    <w:p w:rsidRPr="000F2F57" w:rsidR="000F2F57" w:rsidP="00F60266" w:rsidRDefault="000F2F57" w14:paraId="00BAC7A0" w14:textId="1FCD5BF8">
      <w:pPr>
        <w:pStyle w:val="ListParagraph"/>
        <w:numPr>
          <w:ilvl w:val="0"/>
          <w:numId w:val="2"/>
        </w:numPr>
        <w:spacing w:after="0" w:line="240" w:lineRule="auto"/>
        <w:rPr>
          <w:rFonts w:ascii="Palatino Linotype" w:hAnsi="Palatino Linotype" w:eastAsia="SimSun" w:cs="Times New Roman"/>
          <w:kern w:val="0"/>
          <w14:ligatures w14:val="none"/>
        </w:rPr>
      </w:pPr>
      <w:r w:rsidRPr="000F2F57">
        <w:rPr>
          <w:rFonts w:ascii="Palatino Linotype" w:hAnsi="Palatino Linotype"/>
        </w:rPr>
        <w:t xml:space="preserve">The request for utility-specific administrative budgets for CAS Phase I implementation for </w:t>
      </w:r>
      <w:r w:rsidRPr="000F2F57">
        <w:rPr>
          <w:rFonts w:ascii="Palatino Linotype" w:hAnsi="Palatino Linotype" w:eastAsia="SimSun" w:cs="Times New Roman"/>
          <w:kern w:val="0"/>
          <w14:ligatures w14:val="none"/>
        </w:rPr>
        <w:t xml:space="preserve">$1,489,483 for PG&amp;E, $1,280,266 for SCE, and </w:t>
      </w:r>
      <w:r w:rsidR="00D10C38">
        <w:rPr>
          <w:rFonts w:ascii="Palatino Linotype" w:hAnsi="Palatino Linotype"/>
        </w:rPr>
        <w:t xml:space="preserve">$3,621,692 </w:t>
      </w:r>
      <w:r w:rsidRPr="000F2F57">
        <w:rPr>
          <w:rFonts w:ascii="Palatino Linotype" w:hAnsi="Palatino Linotype" w:eastAsia="SimSun" w:cs="Times New Roman"/>
          <w:kern w:val="0"/>
          <w14:ligatures w14:val="none"/>
        </w:rPr>
        <w:t>for SDG&amp;E</w:t>
      </w:r>
      <w:r w:rsidRPr="000F2F57">
        <w:rPr>
          <w:rFonts w:ascii="Palatino Linotype" w:hAnsi="Palatino Linotype"/>
        </w:rPr>
        <w:t>, as requested in AL 4994-G/7422-E et al. is approved</w:t>
      </w:r>
      <w:r>
        <w:rPr>
          <w:rFonts w:ascii="Palatino Linotype" w:hAnsi="Palatino Linotype"/>
        </w:rPr>
        <w:t>.</w:t>
      </w:r>
    </w:p>
    <w:p w:rsidR="00A76F4A" w:rsidP="00F60266" w:rsidRDefault="000F2F57" w14:paraId="2F730BE1" w14:textId="4DF1FA50">
      <w:pPr>
        <w:pStyle w:val="Res-Caption"/>
        <w:numPr>
          <w:ilvl w:val="0"/>
          <w:numId w:val="2"/>
        </w:numPr>
        <w:rPr>
          <w:rFonts w:ascii="Palatino Linotype" w:hAnsi="Palatino Linotype"/>
          <w:sz w:val="24"/>
          <w:szCs w:val="24"/>
        </w:rPr>
      </w:pPr>
      <w:r w:rsidRPr="000F2F57">
        <w:rPr>
          <w:rFonts w:ascii="Palatino Linotype" w:hAnsi="Palatino Linotype"/>
          <w:sz w:val="24"/>
          <w:szCs w:val="24"/>
        </w:rPr>
        <w:lastRenderedPageBreak/>
        <w:t xml:space="preserve">The request for utility-specific administrative budgets for CAS Phase I implementation </w:t>
      </w:r>
      <w:r>
        <w:rPr>
          <w:rFonts w:ascii="Palatino Linotype" w:hAnsi="Palatino Linotype"/>
          <w:sz w:val="24"/>
          <w:szCs w:val="24"/>
        </w:rPr>
        <w:t>for SoCalGas,</w:t>
      </w:r>
      <w:r w:rsidRPr="000F2F57">
        <w:rPr>
          <w:rFonts w:ascii="Palatino Linotype" w:hAnsi="Palatino Linotype"/>
          <w:sz w:val="24"/>
          <w:szCs w:val="24"/>
        </w:rPr>
        <w:t xml:space="preserve"> as requested in AL 4994-G/7422-E et al. is </w:t>
      </w:r>
      <w:r>
        <w:rPr>
          <w:rFonts w:ascii="Palatino Linotype" w:hAnsi="Palatino Linotype"/>
          <w:sz w:val="24"/>
          <w:szCs w:val="24"/>
        </w:rPr>
        <w:t>modified</w:t>
      </w:r>
      <w:r w:rsidR="0020440B">
        <w:rPr>
          <w:rFonts w:ascii="Palatino Linotype" w:hAnsi="Palatino Linotype"/>
          <w:sz w:val="24"/>
          <w:szCs w:val="24"/>
        </w:rPr>
        <w:t xml:space="preserve"> from $</w:t>
      </w:r>
      <w:r w:rsidR="00D10C38">
        <w:rPr>
          <w:rFonts w:ascii="Palatino Linotype" w:hAnsi="Palatino Linotype"/>
          <w:sz w:val="24"/>
          <w:szCs w:val="24"/>
        </w:rPr>
        <w:t>3,398,000</w:t>
      </w:r>
      <w:r w:rsidR="0020440B">
        <w:rPr>
          <w:rFonts w:ascii="Palatino Linotype" w:hAnsi="Palatino Linotype"/>
          <w:sz w:val="24"/>
          <w:szCs w:val="24"/>
        </w:rPr>
        <w:t xml:space="preserve"> to $</w:t>
      </w:r>
      <w:r w:rsidR="00D10C38">
        <w:rPr>
          <w:rFonts w:ascii="Palatino Linotype" w:hAnsi="Palatino Linotype"/>
          <w:sz w:val="24"/>
          <w:szCs w:val="24"/>
        </w:rPr>
        <w:t>2,951,750</w:t>
      </w:r>
      <w:r w:rsidR="009C5737">
        <w:rPr>
          <w:rFonts w:ascii="Palatino Linotype" w:hAnsi="Palatino Linotype"/>
          <w:sz w:val="24"/>
          <w:szCs w:val="24"/>
        </w:rPr>
        <w:t xml:space="preserve"> and approved</w:t>
      </w:r>
      <w:r w:rsidRPr="000F2F57">
        <w:rPr>
          <w:rFonts w:ascii="Palatino Linotype" w:hAnsi="Palatino Linotype"/>
          <w:sz w:val="24"/>
          <w:szCs w:val="24"/>
        </w:rPr>
        <w:t>.</w:t>
      </w:r>
    </w:p>
    <w:p w:rsidRPr="00D04F84" w:rsidR="00E05898" w:rsidP="00D04F84" w:rsidRDefault="00F61777" w14:paraId="61F0C7E1" w14:textId="798BC708">
      <w:pPr>
        <w:pStyle w:val="Res-Caption"/>
        <w:numPr>
          <w:ilvl w:val="0"/>
          <w:numId w:val="2"/>
        </w:numPr>
        <w:rPr>
          <w:rFonts w:ascii="Palatino Linotype" w:hAnsi="Palatino Linotype"/>
          <w:sz w:val="24"/>
          <w:szCs w:val="24"/>
        </w:rPr>
      </w:pPr>
      <w:r w:rsidRPr="699C30BB">
        <w:rPr>
          <w:rFonts w:ascii="Palatino Linotype" w:hAnsi="Palatino Linotype"/>
          <w:sz w:val="24"/>
          <w:szCs w:val="24"/>
        </w:rPr>
        <w:t>PG&amp;E, SCE, SoCalGas, and SDG&amp;E</w:t>
      </w:r>
      <w:r w:rsidRPr="699C30BB" w:rsidR="0046509C">
        <w:rPr>
          <w:rFonts w:ascii="Palatino Linotype" w:hAnsi="Palatino Linotype"/>
          <w:sz w:val="24"/>
          <w:szCs w:val="24"/>
        </w:rPr>
        <w:t xml:space="preserve"> </w:t>
      </w:r>
      <w:r w:rsidRPr="699C30BB" w:rsidR="006677B5">
        <w:rPr>
          <w:rFonts w:ascii="Palatino Linotype" w:hAnsi="Palatino Linotype"/>
          <w:sz w:val="24"/>
          <w:szCs w:val="24"/>
        </w:rPr>
        <w:t>shall</w:t>
      </w:r>
      <w:r w:rsidRPr="699C30BB" w:rsidR="002C4FC0">
        <w:rPr>
          <w:rFonts w:ascii="Palatino Linotype" w:hAnsi="Palatino Linotype"/>
          <w:sz w:val="24"/>
          <w:szCs w:val="24"/>
        </w:rPr>
        <w:t xml:space="preserve"> </w:t>
      </w:r>
      <w:r w:rsidRPr="699C30BB" w:rsidR="00D44C7F">
        <w:rPr>
          <w:rFonts w:ascii="Palatino Linotype" w:hAnsi="Palatino Linotype"/>
          <w:sz w:val="24"/>
          <w:szCs w:val="24"/>
        </w:rPr>
        <w:t xml:space="preserve">include </w:t>
      </w:r>
      <w:r w:rsidRPr="699C30BB" w:rsidR="00A0767F">
        <w:rPr>
          <w:rFonts w:ascii="Palatino Linotype" w:hAnsi="Palatino Linotype"/>
          <w:sz w:val="24"/>
          <w:szCs w:val="24"/>
        </w:rPr>
        <w:t>forecasted</w:t>
      </w:r>
      <w:r w:rsidRPr="699C30BB" w:rsidR="00D44C7F">
        <w:rPr>
          <w:rFonts w:ascii="Palatino Linotype" w:hAnsi="Palatino Linotype"/>
          <w:sz w:val="24"/>
          <w:szCs w:val="24"/>
        </w:rPr>
        <w:t xml:space="preserve"> costs for Years 4 and 5</w:t>
      </w:r>
      <w:r w:rsidRPr="699C30BB" w:rsidR="266CA306">
        <w:rPr>
          <w:rFonts w:ascii="Palatino Linotype" w:hAnsi="Palatino Linotype"/>
          <w:sz w:val="24"/>
          <w:szCs w:val="24"/>
        </w:rPr>
        <w:t>, using supporting information showing actual recorded costs versus projected costs for 2024-2027</w:t>
      </w:r>
      <w:r w:rsidRPr="699C30BB" w:rsidR="00D44C7F">
        <w:rPr>
          <w:rFonts w:ascii="Palatino Linotype" w:hAnsi="Palatino Linotype"/>
          <w:sz w:val="24"/>
          <w:szCs w:val="24"/>
        </w:rPr>
        <w:t xml:space="preserve">, if </w:t>
      </w:r>
      <w:r w:rsidRPr="699C30BB" w:rsidR="008554C1">
        <w:rPr>
          <w:rFonts w:ascii="Palatino Linotype" w:hAnsi="Palatino Linotype"/>
          <w:sz w:val="24"/>
          <w:szCs w:val="24"/>
        </w:rPr>
        <w:t xml:space="preserve">the </w:t>
      </w:r>
      <w:r w:rsidRPr="699C30BB" w:rsidR="00D44C7F">
        <w:rPr>
          <w:rFonts w:ascii="Palatino Linotype" w:hAnsi="Palatino Linotype"/>
          <w:sz w:val="24"/>
          <w:szCs w:val="24"/>
        </w:rPr>
        <w:t xml:space="preserve">IOUs decide to </w:t>
      </w:r>
      <w:r w:rsidRPr="699C30BB" w:rsidR="008554C1">
        <w:rPr>
          <w:rFonts w:ascii="Palatino Linotype" w:hAnsi="Palatino Linotype"/>
          <w:sz w:val="24"/>
          <w:szCs w:val="24"/>
        </w:rPr>
        <w:t xml:space="preserve">pursue an </w:t>
      </w:r>
      <w:r w:rsidRPr="699C30BB" w:rsidR="00D44C7F">
        <w:rPr>
          <w:rFonts w:ascii="Palatino Linotype" w:hAnsi="Palatino Linotype"/>
          <w:sz w:val="24"/>
          <w:szCs w:val="24"/>
        </w:rPr>
        <w:t>exten</w:t>
      </w:r>
      <w:r w:rsidRPr="699C30BB" w:rsidR="008554C1">
        <w:rPr>
          <w:rFonts w:ascii="Palatino Linotype" w:hAnsi="Palatino Linotype"/>
          <w:sz w:val="24"/>
          <w:szCs w:val="24"/>
        </w:rPr>
        <w:t>sion to</w:t>
      </w:r>
      <w:r w:rsidRPr="699C30BB" w:rsidR="00D44C7F">
        <w:rPr>
          <w:rFonts w:ascii="Palatino Linotype" w:hAnsi="Palatino Linotype"/>
          <w:sz w:val="24"/>
          <w:szCs w:val="24"/>
        </w:rPr>
        <w:t xml:space="preserve"> the CAS Phase I developer contract, in their next CARE, FERA, and ESA program and budget applications, as part of their forecasted budget and revenue requirement for future CAS costs beyond Phase I launch</w:t>
      </w:r>
      <w:r w:rsidRPr="699C30BB" w:rsidR="00A0767F">
        <w:rPr>
          <w:rFonts w:ascii="Palatino Linotype" w:hAnsi="Palatino Linotype"/>
          <w:sz w:val="24"/>
          <w:szCs w:val="24"/>
        </w:rPr>
        <w:t>.</w:t>
      </w:r>
    </w:p>
    <w:p w:rsidR="00B66700" w:rsidP="00A76F4A" w:rsidRDefault="00B66700" w14:paraId="36CC5AA4"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1942D0" w:rsidR="00A76F4A" w:rsidP="00A76F4A" w:rsidRDefault="00A76F4A" w14:paraId="6B9B735A" w14:textId="03538971">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This Resolution is effective today.</w:t>
      </w:r>
    </w:p>
    <w:p w:rsidR="00A76F4A" w:rsidP="00A76F4A" w:rsidRDefault="00A76F4A" w14:paraId="45A541E0"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6FDD03B7"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0CE47F6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34F8C9C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t xml:space="preserve">Commissioner Signature blocks to be added </w:t>
      </w:r>
    </w:p>
    <w:p w:rsidR="00A76F4A" w:rsidP="00A76F4A" w:rsidRDefault="00A76F4A" w14:paraId="47615040"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t xml:space="preserve">upon adoption of the resolution </w:t>
      </w:r>
    </w:p>
    <w:p w:rsidR="00A76F4A" w:rsidP="00A76F4A" w:rsidRDefault="00A76F4A" w14:paraId="7B507E3D"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5A07E5F1"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7C0D2B1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51493D" w:rsidR="00A76F4A" w:rsidP="00A76F4A" w:rsidRDefault="00A76F4A" w14:paraId="203AD159" w14:textId="7A98F700">
      <w:pPr>
        <w:pStyle w:val="10sp0"/>
        <w:spacing w:after="480"/>
        <w:rPr>
          <w:rFonts w:ascii="Palatino Linotype" w:hAnsi="Palatino Linotype"/>
        </w:rPr>
      </w:pPr>
      <w:r>
        <w:rPr>
          <w:rFonts w:ascii="Palatino Linotype" w:hAnsi="Palatino Linotype"/>
        </w:rPr>
        <w:t>T</w:t>
      </w:r>
      <w:r w:rsidRPr="0051493D">
        <w:rPr>
          <w:rFonts w:ascii="Palatino Linotype" w:hAnsi="Palatino Linotype"/>
        </w:rPr>
        <w:t xml:space="preserve">he foregoing resolution was duly introduced, passed and adopted at a conference of the Public Utilities Commission of the State of California held on </w:t>
      </w:r>
      <w:r w:rsidR="003E7DF6">
        <w:rPr>
          <w:rFonts w:ascii="Palatino Linotype" w:hAnsi="Palatino Linotype"/>
        </w:rPr>
        <w:t>June 12, 2025</w:t>
      </w:r>
      <w:r w:rsidRPr="003E7DF6">
        <w:rPr>
          <w:rFonts w:ascii="Palatino Linotype" w:hAnsi="Palatino Linotype"/>
        </w:rPr>
        <w:t>;</w:t>
      </w:r>
      <w:r w:rsidRPr="0051493D">
        <w:rPr>
          <w:rFonts w:ascii="Palatino Linotype" w:hAnsi="Palatino Linotype"/>
        </w:rPr>
        <w:t xml:space="preserve"> the following Commissioners voting favorably thereon:</w:t>
      </w:r>
    </w:p>
    <w:p w:rsidRPr="001942D0" w:rsidR="00A76F4A" w:rsidP="00A76F4A" w:rsidRDefault="00A76F4A" w14:paraId="0B7DFB9B"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1942D0" w:rsidR="00A76F4A" w:rsidP="00A76F4A" w:rsidRDefault="00A76F4A" w14:paraId="7B2A2C97"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1BFDA168" w14:textId="77777777">
      <w:pPr>
        <w:keepNext/>
        <w:spacing w:after="0" w:line="240" w:lineRule="auto"/>
        <w:rPr>
          <w:rFonts w:ascii="Palatino Linotype" w:hAnsi="Palatino Linotype" w:eastAsia="Palatino Linotype" w:cs="Times New Roman"/>
        </w:rPr>
      </w:pPr>
      <w:r w:rsidRPr="00921E87">
        <w:rPr>
          <w:rFonts w:ascii="Palatino Linotype" w:hAnsi="Palatino Linotype" w:eastAsia="Palatino Linotype" w:cs="Times New Roman"/>
        </w:rPr>
        <w:t xml:space="preserve">Dated </w:t>
      </w:r>
      <w:r>
        <w:rPr>
          <w:rFonts w:ascii="Palatino Linotype" w:hAnsi="Palatino Linotype" w:eastAsia="Palatino Linotype" w:cs="Times New Roman"/>
          <w:u w:val="single"/>
        </w:rPr>
        <w:t xml:space="preserve">                                                                   </w:t>
      </w:r>
      <w:r w:rsidRPr="00921E87">
        <w:rPr>
          <w:rFonts w:ascii="Palatino Linotype" w:hAnsi="Palatino Linotype" w:eastAsia="Palatino Linotype" w:cs="Times New Roman"/>
        </w:rPr>
        <w:t xml:space="preserve">, at </w:t>
      </w:r>
      <w:r>
        <w:rPr>
          <w:rFonts w:ascii="Palatino Linotype" w:hAnsi="Palatino Linotype" w:eastAsia="Palatino Linotype" w:cs="Times New Roman"/>
        </w:rPr>
        <w:t>&lt;Voting meeting location&gt;</w:t>
      </w:r>
      <w:r w:rsidRPr="00921E87">
        <w:rPr>
          <w:rFonts w:ascii="Palatino Linotype" w:hAnsi="Palatino Linotype" w:eastAsia="Palatino Linotype" w:cs="Times New Roman"/>
        </w:rPr>
        <w:t>, California</w:t>
      </w:r>
      <w:r>
        <w:rPr>
          <w:rFonts w:ascii="Palatino Linotype" w:hAnsi="Palatino Linotype" w:eastAsia="Palatino Linotype" w:cs="Times New Roman"/>
        </w:rPr>
        <w:tab/>
      </w:r>
    </w:p>
    <w:p w:rsidR="00A76F4A" w:rsidP="00A76F4A" w:rsidRDefault="00A76F4A" w14:paraId="6C25D2B1" w14:textId="77777777">
      <w:pPr>
        <w:keepNext/>
        <w:spacing w:after="0" w:line="240" w:lineRule="auto"/>
        <w:rPr>
          <w:rFonts w:ascii="Palatino Linotype" w:hAnsi="Palatino Linotype" w:eastAsia="Palatino Linotype" w:cs="Times New Roman"/>
        </w:rPr>
      </w:pPr>
    </w:p>
    <w:p w:rsidR="00A76F4A" w:rsidP="00A76F4A" w:rsidRDefault="00A76F4A" w14:paraId="0210CE2F" w14:textId="77777777">
      <w:pPr>
        <w:keepNext/>
        <w:spacing w:after="0" w:line="240" w:lineRule="auto"/>
        <w:rPr>
          <w:rFonts w:ascii="Palatino Linotype" w:hAnsi="Palatino Linotype" w:eastAsia="Palatino Linotype" w:cs="Times New Roman"/>
        </w:rPr>
      </w:pPr>
    </w:p>
    <w:p w:rsidR="00A76F4A" w:rsidP="00A76F4A" w:rsidRDefault="00A76F4A" w14:paraId="59C29A8B" w14:textId="77777777">
      <w:pPr>
        <w:keepNext/>
        <w:spacing w:after="0" w:line="240" w:lineRule="auto"/>
        <w:rPr>
          <w:rFonts w:ascii="Palatino Linotype" w:hAnsi="Palatino Linotype" w:eastAsia="Palatino Linotype" w:cs="Times New Roman"/>
        </w:rPr>
      </w:pPr>
    </w:p>
    <w:p w:rsidR="00BA039D" w:rsidP="00A76F4A" w:rsidRDefault="00BA039D" w14:paraId="1661C861" w14:textId="77777777">
      <w:pPr>
        <w:keepNext/>
        <w:spacing w:after="0" w:line="240" w:lineRule="auto"/>
        <w:rPr>
          <w:rFonts w:ascii="Palatino Linotype" w:hAnsi="Palatino Linotype" w:eastAsia="Palatino Linotype" w:cs="Times New Roman"/>
        </w:rPr>
        <w:sectPr w:rsidR="00BA039D" w:rsidSect="0098288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A76F4A" w:rsidP="00A76F4A" w:rsidRDefault="00A76F4A" w14:paraId="19AFAC8E" w14:textId="77777777">
      <w:pPr>
        <w:keepNext/>
        <w:spacing w:after="0" w:line="240" w:lineRule="auto"/>
        <w:rPr>
          <w:rFonts w:ascii="Palatino Linotype" w:hAnsi="Palatino Linotype" w:eastAsia="Palatino Linotype" w:cs="Times New Roman"/>
        </w:rPr>
      </w:pPr>
    </w:p>
    <w:p w:rsidR="00A91E65" w:rsidP="00B331A4" w:rsidRDefault="00A91E65" w14:paraId="5CA8ACE5" w14:textId="77777777">
      <w:pPr>
        <w:jc w:val="center"/>
        <w:rPr>
          <w:rFonts w:ascii="Century Gothic" w:hAnsi="Century Gothic" w:cs="Calibri"/>
          <w:caps/>
          <w:sz w:val="36"/>
          <w:szCs w:val="36"/>
        </w:rPr>
      </w:pPr>
    </w:p>
    <w:p w:rsidR="00A91E65" w:rsidP="00B331A4" w:rsidRDefault="00A91E65" w14:paraId="1892FD59" w14:textId="77777777">
      <w:pPr>
        <w:jc w:val="center"/>
        <w:rPr>
          <w:rFonts w:ascii="Century Gothic" w:hAnsi="Century Gothic" w:cs="Calibri"/>
          <w:caps/>
          <w:sz w:val="36"/>
          <w:szCs w:val="36"/>
        </w:rPr>
      </w:pPr>
    </w:p>
    <w:p w:rsidR="00A91E65" w:rsidP="00B331A4" w:rsidRDefault="00A91E65" w14:paraId="633FEB58" w14:textId="77777777">
      <w:pPr>
        <w:jc w:val="center"/>
        <w:rPr>
          <w:rFonts w:ascii="Century Gothic" w:hAnsi="Century Gothic" w:cs="Calibri"/>
          <w:caps/>
          <w:sz w:val="36"/>
          <w:szCs w:val="36"/>
        </w:rPr>
      </w:pPr>
    </w:p>
    <w:p w:rsidR="00A91E65" w:rsidP="00B331A4" w:rsidRDefault="00A91E65" w14:paraId="479C5138" w14:textId="77777777">
      <w:pPr>
        <w:jc w:val="center"/>
        <w:rPr>
          <w:rFonts w:ascii="Century Gothic" w:hAnsi="Century Gothic" w:cs="Calibri"/>
          <w:caps/>
          <w:sz w:val="36"/>
          <w:szCs w:val="36"/>
        </w:rPr>
      </w:pPr>
    </w:p>
    <w:p w:rsidR="00A91E65" w:rsidP="00B331A4" w:rsidRDefault="00A91E65" w14:paraId="29EC9739" w14:textId="77777777">
      <w:pPr>
        <w:jc w:val="center"/>
        <w:rPr>
          <w:rFonts w:ascii="Century Gothic" w:hAnsi="Century Gothic" w:cs="Calibri"/>
          <w:caps/>
          <w:sz w:val="36"/>
          <w:szCs w:val="36"/>
        </w:rPr>
      </w:pPr>
    </w:p>
    <w:p w:rsidRPr="00A91E65" w:rsidR="00941324" w:rsidP="00B331A4" w:rsidRDefault="00340A59" w14:paraId="5B4BDE60" w14:textId="52E4ADCE">
      <w:pPr>
        <w:jc w:val="center"/>
        <w:rPr>
          <w:rFonts w:ascii="Century Gothic" w:hAnsi="Century Gothic" w:cs="Calibri"/>
          <w:caps/>
          <w:sz w:val="40"/>
          <w:szCs w:val="40"/>
        </w:rPr>
        <w:sectPr w:rsidRPr="00A91E65" w:rsidR="00941324" w:rsidSect="002B472F">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r w:rsidRPr="00A91E65">
        <w:rPr>
          <w:rFonts w:ascii="Century Gothic" w:hAnsi="Century Gothic" w:cs="Calibri"/>
          <w:caps/>
          <w:sz w:val="40"/>
          <w:szCs w:val="40"/>
        </w:rPr>
        <w:t>APPENDIX</w:t>
      </w:r>
      <w:r w:rsidRPr="00A91E65" w:rsidR="00941324">
        <w:rPr>
          <w:rFonts w:ascii="Century Gothic" w:hAnsi="Century Gothic" w:cs="Calibri"/>
          <w:caps/>
          <w:sz w:val="40"/>
          <w:szCs w:val="40"/>
        </w:rPr>
        <w:t xml:space="preserve"> </w:t>
      </w:r>
      <w:r w:rsidRPr="00A91E65">
        <w:rPr>
          <w:rFonts w:ascii="Century Gothic" w:hAnsi="Century Gothic" w:cs="Calibri"/>
          <w:caps/>
          <w:sz w:val="40"/>
          <w:szCs w:val="40"/>
        </w:rPr>
        <w:t>A</w:t>
      </w:r>
    </w:p>
    <w:p w:rsidR="00A76F4A" w:rsidP="00C267E3" w:rsidRDefault="00340A59" w14:paraId="1FD216D4" w14:textId="47847D2C">
      <w:pPr>
        <w:keepNext/>
        <w:spacing w:after="0" w:line="240" w:lineRule="auto"/>
        <w:jc w:val="center"/>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lastRenderedPageBreak/>
        <w:t>Appendix A</w:t>
      </w:r>
    </w:p>
    <w:p w:rsidR="00ED7C18" w:rsidP="00941324" w:rsidRDefault="00ED7C18" w14:paraId="5E8427BF" w14:textId="77777777">
      <w:pPr>
        <w:keepNext/>
        <w:spacing w:after="0" w:line="240" w:lineRule="auto"/>
        <w:rPr>
          <w:rFonts w:ascii="Palatino Linotype" w:hAnsi="Palatino Linotype" w:eastAsia="Times New Roman" w:cs="Times New Roman"/>
          <w:kern w:val="0"/>
          <w14:ligatures w14:val="none"/>
        </w:rPr>
      </w:pPr>
    </w:p>
    <w:p w:rsidRPr="00233FC6" w:rsidR="00D45A03" w:rsidP="006F5C2A" w:rsidRDefault="008C7C39" w14:paraId="22D078EE" w14:textId="63532356">
      <w:pPr>
        <w:keepNext/>
        <w:spacing w:after="0" w:line="240" w:lineRule="auto"/>
        <w:rPr>
          <w:rFonts w:ascii="Palatino Linotype" w:hAnsi="Palatino Linotype" w:eastAsia="Times New Roman" w:cs="Times New Roman"/>
          <w:kern w:val="0"/>
          <w14:ligatures w14:val="none"/>
        </w:rPr>
      </w:pPr>
      <w:r w:rsidRPr="00233FC6">
        <w:rPr>
          <w:rFonts w:ascii="Palatino Linotype" w:hAnsi="Palatino Linotype" w:eastAsia="Times New Roman" w:cs="Times New Roman"/>
          <w:kern w:val="0"/>
          <w14:ligatures w14:val="none"/>
        </w:rPr>
        <w:t xml:space="preserve">Data request from CPUC Energy Division </w:t>
      </w:r>
      <w:r w:rsidRPr="00233FC6" w:rsidR="00F0185C">
        <w:rPr>
          <w:rFonts w:ascii="Palatino Linotype" w:hAnsi="Palatino Linotype" w:eastAsia="Times New Roman" w:cs="Times New Roman"/>
          <w:kern w:val="0"/>
          <w14:ligatures w14:val="none"/>
        </w:rPr>
        <w:t xml:space="preserve">to SoCalGas, sent </w:t>
      </w:r>
      <w:r w:rsidRPr="00233FC6">
        <w:rPr>
          <w:rFonts w:ascii="Palatino Linotype" w:hAnsi="Palatino Linotype" w:eastAsia="Times New Roman" w:cs="Times New Roman"/>
          <w:kern w:val="0"/>
          <w14:ligatures w14:val="none"/>
        </w:rPr>
        <w:t>February 11, 2025</w:t>
      </w:r>
    </w:p>
    <w:p w:rsidR="008C7C39" w:rsidP="00941324" w:rsidRDefault="008C7C39" w14:paraId="5115839F" w14:textId="77777777">
      <w:pPr>
        <w:keepNext/>
        <w:spacing w:after="0" w:line="240" w:lineRule="auto"/>
        <w:rPr>
          <w:rFonts w:ascii="Palatino Linotype" w:hAnsi="Palatino Linotype" w:eastAsia="Times New Roman" w:cs="Times New Roman"/>
          <w:kern w:val="0"/>
          <w14:ligatures w14:val="none"/>
        </w:rPr>
      </w:pPr>
    </w:p>
    <w:p w:rsidR="00F01861" w:rsidP="00F01861" w:rsidRDefault="00F01861" w14:paraId="4F569335" w14:textId="77777777">
      <w:pPr>
        <w:keepNext/>
        <w:spacing w:after="0" w:line="240" w:lineRule="auto"/>
        <w:ind w:left="720"/>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Question 1: </w:t>
      </w:r>
    </w:p>
    <w:p w:rsidRPr="006D6D55" w:rsidR="004363C6" w:rsidP="00233FC6" w:rsidRDefault="0063389F" w14:paraId="464F44C5" w14:textId="318F1434">
      <w:pPr>
        <w:keepNext/>
        <w:spacing w:after="0" w:line="240" w:lineRule="auto"/>
        <w:ind w:left="720"/>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w:t>
      </w:r>
      <w:r w:rsidRPr="006D6D55" w:rsidR="006D6D55">
        <w:rPr>
          <w:rFonts w:ascii="Palatino Linotype" w:hAnsi="Palatino Linotype" w:eastAsia="Times New Roman" w:cs="Times New Roman"/>
          <w:kern w:val="0"/>
          <w14:ligatures w14:val="none"/>
        </w:rPr>
        <w:t xml:space="preserve">Please provide a cost breakdown of General Administration and IT Systems Support for </w:t>
      </w:r>
      <w:r w:rsidRPr="004363C6" w:rsidR="004363C6">
        <w:rPr>
          <w:rFonts w:ascii="Palatino Linotype" w:hAnsi="Palatino Linotype" w:eastAsia="Times New Roman" w:cs="Times New Roman"/>
          <w:kern w:val="0"/>
          <w14:ligatures w14:val="none"/>
        </w:rPr>
        <w:t xml:space="preserve">Years 2027 – 2029 and further itemize costs within each of these two categories. See attached to use as a template. </w:t>
      </w:r>
    </w:p>
    <w:p w:rsidRPr="004363C6" w:rsidR="004363C6" w:rsidP="00233FC6" w:rsidRDefault="004363C6" w14:paraId="6A0E10C8" w14:textId="2A99316F">
      <w:pPr>
        <w:keepNext/>
        <w:spacing w:after="0" w:line="240" w:lineRule="auto"/>
        <w:ind w:left="720"/>
        <w:rPr>
          <w:rFonts w:ascii="Palatino Linotype" w:hAnsi="Palatino Linotype" w:eastAsia="Times New Roman" w:cs="Times New Roman"/>
          <w:kern w:val="0"/>
          <w14:ligatures w14:val="none"/>
        </w:rPr>
      </w:pPr>
      <w:r w:rsidRPr="004363C6">
        <w:rPr>
          <w:rFonts w:ascii="Palatino Linotype" w:hAnsi="Palatino Linotype" w:eastAsia="Times New Roman" w:cs="Times New Roman"/>
          <w:kern w:val="0"/>
          <w14:ligatures w14:val="none"/>
        </w:rPr>
        <w:t>Also in your response, please confirm if:</w:t>
      </w:r>
    </w:p>
    <w:p w:rsidRPr="004363C6" w:rsidR="004363C6" w:rsidP="00233FC6" w:rsidRDefault="004363C6" w14:paraId="38A6B2FB" w14:textId="77777777">
      <w:pPr>
        <w:keepNext/>
        <w:numPr>
          <w:ilvl w:val="1"/>
          <w:numId w:val="12"/>
        </w:numPr>
        <w:spacing w:after="0" w:line="240" w:lineRule="auto"/>
        <w:rPr>
          <w:rFonts w:ascii="Palatino Linotype" w:hAnsi="Palatino Linotype" w:eastAsia="Times New Roman" w:cs="Times New Roman"/>
          <w:kern w:val="0"/>
          <w14:ligatures w14:val="none"/>
        </w:rPr>
      </w:pPr>
      <w:r w:rsidRPr="004363C6">
        <w:rPr>
          <w:rFonts w:ascii="Palatino Linotype" w:hAnsi="Palatino Linotype" w:eastAsia="Times New Roman" w:cs="Times New Roman"/>
          <w:kern w:val="0"/>
          <w14:ligatures w14:val="none"/>
        </w:rPr>
        <w:t xml:space="preserve">There are any cloud subscription costs that would be recorded to the CAS balancing account vs if those are funded separately with the two system replacements underway. </w:t>
      </w:r>
    </w:p>
    <w:p w:rsidRPr="004363C6" w:rsidR="004363C6" w:rsidP="00233FC6" w:rsidRDefault="004363C6" w14:paraId="6E2D175B" w14:textId="28530410">
      <w:pPr>
        <w:keepNext/>
        <w:numPr>
          <w:ilvl w:val="1"/>
          <w:numId w:val="12"/>
        </w:numPr>
        <w:spacing w:after="0" w:line="240" w:lineRule="auto"/>
        <w:rPr>
          <w:rFonts w:ascii="Palatino Linotype" w:hAnsi="Palatino Linotype" w:eastAsia="Times New Roman" w:cs="Times New Roman"/>
          <w:kern w:val="0"/>
          <w14:ligatures w14:val="none"/>
        </w:rPr>
      </w:pPr>
      <w:r w:rsidRPr="004363C6">
        <w:rPr>
          <w:rFonts w:ascii="Palatino Linotype" w:hAnsi="Palatino Linotype" w:eastAsia="Times New Roman" w:cs="Times New Roman"/>
          <w:kern w:val="0"/>
          <w14:ligatures w14:val="none"/>
        </w:rPr>
        <w:t>Projected costs include estimates for design enhancements during a potential contract extension period, beyond the standard O&amp;M costs that would occur for a contract extension. If so, indicate this as an assumption in Column F.</w:t>
      </w:r>
      <w:r w:rsidR="0063389F">
        <w:rPr>
          <w:rFonts w:ascii="Palatino Linotype" w:hAnsi="Palatino Linotype" w:eastAsia="Times New Roman" w:cs="Times New Roman"/>
          <w:kern w:val="0"/>
          <w14:ligatures w14:val="none"/>
        </w:rPr>
        <w:t>”</w:t>
      </w:r>
    </w:p>
    <w:p w:rsidR="00CB2177" w:rsidP="00ED7C18" w:rsidRDefault="00CB2177" w14:paraId="62054EC3" w14:textId="4E4F85F1">
      <w:pPr>
        <w:keepNext/>
        <w:spacing w:after="0" w:line="240" w:lineRule="auto"/>
        <w:rPr>
          <w:rFonts w:ascii="Palatino Linotype" w:hAnsi="Palatino Linotype" w:eastAsia="Times New Roman" w:cs="Times New Roman"/>
          <w:kern w:val="0"/>
          <w14:ligatures w14:val="none"/>
        </w:rPr>
      </w:pPr>
    </w:p>
    <w:p w:rsidR="0037184C" w:rsidP="0037184C" w:rsidRDefault="0008466E" w14:paraId="1BDF9FD7" w14:textId="2AEB1716">
      <w:pPr>
        <w:keepNext/>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Excerpt from </w:t>
      </w:r>
      <w:r w:rsidRPr="00C267E3" w:rsidR="0037184C">
        <w:rPr>
          <w:rFonts w:ascii="Palatino Linotype" w:hAnsi="Palatino Linotype" w:eastAsia="Times New Roman" w:cs="Times New Roman"/>
          <w:kern w:val="0"/>
          <w14:ligatures w14:val="none"/>
        </w:rPr>
        <w:t>SoCalGas response to Energy Division Staff</w:t>
      </w:r>
      <w:r w:rsidR="00DD5BB8">
        <w:rPr>
          <w:rFonts w:ascii="Palatino Linotype" w:hAnsi="Palatino Linotype" w:eastAsia="Times New Roman" w:cs="Times New Roman"/>
          <w:kern w:val="0"/>
          <w14:ligatures w14:val="none"/>
        </w:rPr>
        <w:t>’s</w:t>
      </w:r>
      <w:r w:rsidRPr="00C267E3" w:rsidR="0037184C">
        <w:rPr>
          <w:rFonts w:ascii="Palatino Linotype" w:hAnsi="Palatino Linotype" w:eastAsia="Times New Roman" w:cs="Times New Roman"/>
          <w:kern w:val="0"/>
          <w14:ligatures w14:val="none"/>
        </w:rPr>
        <w:t xml:space="preserve"> data request</w:t>
      </w:r>
      <w:r w:rsidRPr="006F5C2A" w:rsidR="006F5C2A">
        <w:rPr>
          <w:rFonts w:ascii="Palatino Linotype" w:hAnsi="Palatino Linotype" w:eastAsia="Times New Roman" w:cs="Times New Roman"/>
          <w:kern w:val="0"/>
          <w14:ligatures w14:val="none"/>
        </w:rPr>
        <w:t xml:space="preserve"> </w:t>
      </w:r>
      <w:r w:rsidR="006F5C2A">
        <w:rPr>
          <w:rFonts w:ascii="Palatino Linotype" w:hAnsi="Palatino Linotype" w:eastAsia="Times New Roman" w:cs="Times New Roman"/>
          <w:kern w:val="0"/>
          <w14:ligatures w14:val="none"/>
        </w:rPr>
        <w:t>s</w:t>
      </w:r>
      <w:r w:rsidRPr="00C267E3" w:rsidR="006F5C2A">
        <w:rPr>
          <w:rFonts w:ascii="Palatino Linotype" w:hAnsi="Palatino Linotype" w:eastAsia="Times New Roman" w:cs="Times New Roman"/>
          <w:kern w:val="0"/>
          <w14:ligatures w14:val="none"/>
        </w:rPr>
        <w:t>ubmitted February 1</w:t>
      </w:r>
      <w:r w:rsidR="006F5C2A">
        <w:rPr>
          <w:rFonts w:ascii="Palatino Linotype" w:hAnsi="Palatino Linotype" w:eastAsia="Times New Roman" w:cs="Times New Roman"/>
          <w:kern w:val="0"/>
          <w14:ligatures w14:val="none"/>
        </w:rPr>
        <w:t>4</w:t>
      </w:r>
      <w:r w:rsidRPr="00C267E3" w:rsidR="006F5C2A">
        <w:rPr>
          <w:rFonts w:ascii="Palatino Linotype" w:hAnsi="Palatino Linotype" w:eastAsia="Times New Roman" w:cs="Times New Roman"/>
          <w:kern w:val="0"/>
          <w14:ligatures w14:val="none"/>
        </w:rPr>
        <w:t>, 2025</w:t>
      </w:r>
      <w:r w:rsidR="006F5C2A">
        <w:rPr>
          <w:rFonts w:ascii="Palatino Linotype" w:hAnsi="Palatino Linotype" w:eastAsia="Times New Roman" w:cs="Times New Roman"/>
          <w:kern w:val="0"/>
          <w14:ligatures w14:val="none"/>
        </w:rPr>
        <w:t xml:space="preserve"> in response to Question 1</w:t>
      </w:r>
    </w:p>
    <w:p w:rsidR="00533B39" w:rsidP="0026214E" w:rsidRDefault="00533B39" w14:paraId="32BAD9B1" w14:textId="77777777">
      <w:pPr>
        <w:keepNext/>
        <w:spacing w:after="0" w:line="240" w:lineRule="auto"/>
        <w:rPr>
          <w:rFonts w:ascii="Palatino Linotype" w:hAnsi="Palatino Linotype" w:eastAsia="Times New Roman" w:cs="Times New Roman"/>
          <w:kern w:val="0"/>
          <w14:ligatures w14:val="none"/>
        </w:rPr>
      </w:pPr>
    </w:p>
    <w:tbl>
      <w:tblPr>
        <w:tblW w:w="10343" w:type="dxa"/>
        <w:tblCellMar>
          <w:top w:w="15" w:type="dxa"/>
          <w:bottom w:w="15" w:type="dxa"/>
        </w:tblCellMar>
        <w:tblLook w:val="04A0" w:firstRow="1" w:lastRow="0" w:firstColumn="1" w:lastColumn="0" w:noHBand="0" w:noVBand="1"/>
      </w:tblPr>
      <w:tblGrid>
        <w:gridCol w:w="810"/>
        <w:gridCol w:w="1968"/>
        <w:gridCol w:w="2437"/>
        <w:gridCol w:w="1836"/>
        <w:gridCol w:w="3292"/>
      </w:tblGrid>
      <w:tr w:rsidRPr="00D95160" w:rsidR="0026214E" w:rsidTr="6819A9BC" w14:paraId="27F4AE44" w14:textId="77777777">
        <w:trPr>
          <w:trHeight w:val="297"/>
        </w:trPr>
        <w:tc>
          <w:tcPr>
            <w:tcW w:w="810" w:type="dxa"/>
            <w:tcBorders>
              <w:top w:val="single" w:color="auto" w:sz="4" w:space="0"/>
              <w:left w:val="single" w:color="auto" w:sz="4" w:space="0"/>
              <w:bottom w:val="single" w:color="auto" w:sz="4" w:space="0"/>
              <w:right w:val="single" w:color="auto" w:sz="4" w:space="0"/>
            </w:tcBorders>
          </w:tcPr>
          <w:p w:rsidRPr="00D95160" w:rsidR="007955A3" w:rsidP="0026214E" w:rsidRDefault="007955A3" w14:paraId="3C8CA8CD" w14:textId="1B1E99CC">
            <w:pPr>
              <w:keepNext/>
              <w:spacing w:after="0" w:line="240" w:lineRule="auto"/>
              <w:rPr>
                <w:rFonts w:ascii="Palatino Linotype" w:hAnsi="Palatino Linotype" w:eastAsia="Times New Roman" w:cs="Times New Roman"/>
                <w:b/>
                <w:bCs/>
                <w:kern w:val="0"/>
                <w14:ligatures w14:val="none"/>
              </w:rPr>
            </w:pPr>
            <w:r>
              <w:rPr>
                <w:rFonts w:ascii="Palatino Linotype" w:hAnsi="Palatino Linotype" w:eastAsia="Times New Roman" w:cs="Times New Roman"/>
                <w:b/>
                <w:bCs/>
                <w:kern w:val="0"/>
                <w14:ligatures w14:val="none"/>
              </w:rPr>
              <w:t>Year</w:t>
            </w:r>
          </w:p>
        </w:tc>
        <w:tc>
          <w:tcPr>
            <w:tcW w:w="1968" w:type="dxa"/>
            <w:tcBorders>
              <w:top w:val="single" w:color="auto" w:sz="4" w:space="0"/>
              <w:left w:val="single" w:color="auto" w:sz="4" w:space="0"/>
              <w:bottom w:val="single" w:color="auto" w:sz="4" w:space="0"/>
              <w:right w:val="single" w:color="auto" w:sz="4" w:space="0"/>
            </w:tcBorders>
            <w:noWrap/>
            <w:vAlign w:val="bottom"/>
            <w:hideMark/>
          </w:tcPr>
          <w:p w:rsidRPr="00D95160" w:rsidR="007955A3" w:rsidP="0026214E" w:rsidRDefault="007955A3" w14:paraId="285C0FD0" w14:textId="5D7715D0">
            <w:pPr>
              <w:keepNext/>
              <w:spacing w:after="0" w:line="240" w:lineRule="auto"/>
              <w:rPr>
                <w:rFonts w:ascii="Palatino Linotype" w:hAnsi="Palatino Linotype" w:eastAsia="Times New Roman" w:cs="Times New Roman"/>
                <w:b/>
                <w:bCs/>
                <w:kern w:val="0"/>
                <w14:ligatures w14:val="none"/>
              </w:rPr>
            </w:pPr>
            <w:r w:rsidRPr="00D95160">
              <w:rPr>
                <w:rFonts w:ascii="Palatino Linotype" w:hAnsi="Palatino Linotype" w:eastAsia="Times New Roman" w:cs="Times New Roman"/>
                <w:b/>
                <w:bCs/>
                <w:kern w:val="0"/>
                <w14:ligatures w14:val="none"/>
              </w:rPr>
              <w:t>Cost Categories</w:t>
            </w:r>
          </w:p>
        </w:tc>
        <w:tc>
          <w:tcPr>
            <w:tcW w:w="2437" w:type="dxa"/>
            <w:tcBorders>
              <w:top w:val="single" w:color="auto" w:sz="4" w:space="0"/>
              <w:left w:val="single" w:color="auto" w:sz="4" w:space="0"/>
              <w:bottom w:val="single" w:color="auto" w:sz="4" w:space="0"/>
              <w:right w:val="nil"/>
            </w:tcBorders>
            <w:noWrap/>
            <w:vAlign w:val="bottom"/>
            <w:hideMark/>
          </w:tcPr>
          <w:p w:rsidRPr="00D95160" w:rsidR="007955A3" w:rsidP="0026214E" w:rsidRDefault="007955A3" w14:paraId="5A55830C" w14:textId="77777777">
            <w:pPr>
              <w:keepNext/>
              <w:spacing w:after="0" w:line="240" w:lineRule="auto"/>
              <w:rPr>
                <w:rFonts w:ascii="Palatino Linotype" w:hAnsi="Palatino Linotype" w:eastAsia="Times New Roman" w:cs="Times New Roman"/>
                <w:b/>
                <w:bCs/>
                <w:kern w:val="0"/>
                <w14:ligatures w14:val="none"/>
              </w:rPr>
            </w:pPr>
            <w:r w:rsidRPr="00D95160">
              <w:rPr>
                <w:rFonts w:ascii="Palatino Linotype" w:hAnsi="Palatino Linotype" w:eastAsia="Times New Roman" w:cs="Times New Roman"/>
                <w:b/>
                <w:bCs/>
                <w:kern w:val="0"/>
                <w14:ligatures w14:val="none"/>
              </w:rPr>
              <w:t>Description</w:t>
            </w:r>
          </w:p>
        </w:tc>
        <w:tc>
          <w:tcPr>
            <w:tcW w:w="1836" w:type="dxa"/>
            <w:tcBorders>
              <w:top w:val="single" w:color="auto" w:sz="4" w:space="0"/>
              <w:left w:val="single" w:color="auto" w:sz="4" w:space="0"/>
              <w:bottom w:val="single" w:color="auto" w:sz="4" w:space="0"/>
              <w:right w:val="single" w:color="auto" w:sz="4" w:space="0"/>
            </w:tcBorders>
            <w:noWrap/>
            <w:vAlign w:val="bottom"/>
            <w:hideMark/>
          </w:tcPr>
          <w:p w:rsidRPr="00D95160" w:rsidR="007955A3" w:rsidP="0026214E" w:rsidRDefault="007955A3" w14:paraId="1D91473E" w14:textId="77777777">
            <w:pPr>
              <w:keepNext/>
              <w:spacing w:after="0" w:line="240" w:lineRule="auto"/>
              <w:rPr>
                <w:rFonts w:ascii="Palatino Linotype" w:hAnsi="Palatino Linotype" w:eastAsia="Times New Roman" w:cs="Times New Roman"/>
                <w:b/>
                <w:bCs/>
                <w:kern w:val="0"/>
                <w14:ligatures w14:val="none"/>
              </w:rPr>
            </w:pPr>
            <w:r w:rsidRPr="00D95160">
              <w:rPr>
                <w:rFonts w:ascii="Palatino Linotype" w:hAnsi="Palatino Linotype" w:eastAsia="Times New Roman" w:cs="Times New Roman"/>
                <w:b/>
                <w:bCs/>
                <w:kern w:val="0"/>
                <w14:ligatures w14:val="none"/>
              </w:rPr>
              <w:t>Projected Cost</w:t>
            </w:r>
          </w:p>
        </w:tc>
        <w:tc>
          <w:tcPr>
            <w:tcW w:w="3292" w:type="dxa"/>
            <w:tcBorders>
              <w:top w:val="single" w:color="auto" w:sz="4" w:space="0"/>
              <w:left w:val="single" w:color="auto" w:sz="4" w:space="0"/>
              <w:bottom w:val="single" w:color="auto" w:sz="4" w:space="0"/>
              <w:right w:val="single" w:color="auto" w:sz="4" w:space="0"/>
            </w:tcBorders>
            <w:noWrap/>
            <w:vAlign w:val="bottom"/>
            <w:hideMark/>
          </w:tcPr>
          <w:p w:rsidRPr="00D95160" w:rsidR="007955A3" w:rsidP="0026214E" w:rsidRDefault="007955A3" w14:paraId="6966CDDE" w14:textId="77777777">
            <w:pPr>
              <w:keepNext/>
              <w:spacing w:after="0" w:line="240" w:lineRule="auto"/>
              <w:rPr>
                <w:rFonts w:ascii="Palatino Linotype" w:hAnsi="Palatino Linotype" w:eastAsia="Times New Roman" w:cs="Times New Roman"/>
                <w:b/>
                <w:bCs/>
                <w:kern w:val="0"/>
                <w14:ligatures w14:val="none"/>
              </w:rPr>
            </w:pPr>
            <w:r w:rsidRPr="00D95160">
              <w:rPr>
                <w:rFonts w:ascii="Palatino Linotype" w:hAnsi="Palatino Linotype" w:eastAsia="Times New Roman" w:cs="Times New Roman"/>
                <w:b/>
                <w:bCs/>
                <w:kern w:val="0"/>
                <w14:ligatures w14:val="none"/>
              </w:rPr>
              <w:t>Assumption(s)</w:t>
            </w:r>
          </w:p>
        </w:tc>
      </w:tr>
      <w:tr w:rsidRPr="00D95160" w:rsidR="0026214E" w:rsidTr="6819A9BC" w14:paraId="303DE8E5" w14:textId="77777777">
        <w:trPr>
          <w:trHeight w:val="759"/>
        </w:trPr>
        <w:tc>
          <w:tcPr>
            <w:tcW w:w="810" w:type="dxa"/>
            <w:tcBorders>
              <w:top w:val="single" w:color="auto" w:sz="4" w:space="0"/>
              <w:left w:val="single" w:color="auto" w:sz="4" w:space="0"/>
              <w:bottom w:val="single" w:color="auto" w:sz="4" w:space="0"/>
              <w:right w:val="single" w:color="auto" w:sz="4" w:space="0"/>
            </w:tcBorders>
          </w:tcPr>
          <w:p w:rsidRPr="00D95160" w:rsidR="007955A3" w:rsidP="0026214E" w:rsidRDefault="004E2CCD" w14:paraId="22996578" w14:textId="5E7ECDB7">
            <w:pPr>
              <w:keepNext/>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2027</w:t>
            </w:r>
          </w:p>
        </w:tc>
        <w:tc>
          <w:tcPr>
            <w:tcW w:w="1968" w:type="dxa"/>
            <w:tcBorders>
              <w:top w:val="single" w:color="auto" w:sz="4" w:space="0"/>
              <w:left w:val="single" w:color="auto" w:sz="4" w:space="0"/>
              <w:bottom w:val="single" w:color="auto" w:sz="4" w:space="0"/>
              <w:right w:val="single" w:color="auto" w:sz="4" w:space="0"/>
            </w:tcBorders>
            <w:vAlign w:val="center"/>
            <w:hideMark/>
          </w:tcPr>
          <w:p w:rsidRPr="00D95160" w:rsidR="007955A3" w:rsidP="0026214E" w:rsidRDefault="007955A3" w14:paraId="08813D87" w14:textId="4B5BFA2D">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IT Systems Support</w:t>
            </w:r>
          </w:p>
        </w:tc>
        <w:tc>
          <w:tcPr>
            <w:tcW w:w="2437" w:type="dxa"/>
            <w:tcBorders>
              <w:top w:val="single" w:color="auto" w:sz="4" w:space="0"/>
              <w:left w:val="single" w:color="auto" w:sz="4" w:space="0"/>
              <w:bottom w:val="single" w:color="auto" w:sz="4" w:space="0"/>
              <w:right w:val="nil"/>
            </w:tcBorders>
            <w:vAlign w:val="center"/>
            <w:hideMark/>
          </w:tcPr>
          <w:p w:rsidRPr="00D95160" w:rsidR="007955A3" w:rsidP="0026214E" w:rsidRDefault="007955A3" w14:paraId="73016597" w14:textId="77777777">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projected fee to vendor for maintenance</w:t>
            </w:r>
          </w:p>
        </w:tc>
        <w:tc>
          <w:tcPr>
            <w:tcW w:w="1836" w:type="dxa"/>
            <w:tcBorders>
              <w:top w:val="single" w:color="auto" w:sz="4" w:space="0"/>
              <w:left w:val="single" w:color="auto" w:sz="4" w:space="0"/>
              <w:bottom w:val="single" w:color="auto" w:sz="4" w:space="0"/>
              <w:right w:val="single" w:color="auto" w:sz="4" w:space="0"/>
            </w:tcBorders>
            <w:noWrap/>
            <w:vAlign w:val="bottom"/>
            <w:hideMark/>
          </w:tcPr>
          <w:p w:rsidRPr="00D95160" w:rsidR="007955A3" w:rsidP="0026214E" w:rsidRDefault="007955A3" w14:paraId="17A34A45" w14:textId="77777777">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 xml:space="preserve">$350,000 </w:t>
            </w:r>
          </w:p>
        </w:tc>
        <w:tc>
          <w:tcPr>
            <w:tcW w:w="3292" w:type="dxa"/>
            <w:tcBorders>
              <w:top w:val="single" w:color="auto" w:sz="4" w:space="0"/>
              <w:left w:val="single" w:color="auto" w:sz="4" w:space="0"/>
              <w:bottom w:val="single" w:color="auto" w:sz="4" w:space="0"/>
              <w:right w:val="single" w:color="auto" w:sz="4" w:space="0"/>
            </w:tcBorders>
            <w:vAlign w:val="center"/>
            <w:hideMark/>
          </w:tcPr>
          <w:p w:rsidRPr="00D95160" w:rsidR="007955A3" w:rsidP="0026214E" w:rsidRDefault="007955A3" w14:paraId="6E64E8A5" w14:textId="77777777">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Projected cost to 3rd party vendor for full system specifications</w:t>
            </w:r>
          </w:p>
        </w:tc>
      </w:tr>
      <w:tr w:rsidRPr="00D95160" w:rsidR="0026214E" w:rsidTr="6819A9BC" w14:paraId="4059FE77" w14:textId="77777777">
        <w:trPr>
          <w:trHeight w:val="759"/>
        </w:trPr>
        <w:tc>
          <w:tcPr>
            <w:tcW w:w="810" w:type="dxa"/>
            <w:tcBorders>
              <w:top w:val="single" w:color="auto" w:sz="4" w:space="0"/>
              <w:left w:val="single" w:color="auto" w:sz="4" w:space="0"/>
              <w:bottom w:val="single" w:color="auto" w:sz="4" w:space="0"/>
              <w:right w:val="single" w:color="auto" w:sz="4" w:space="0"/>
            </w:tcBorders>
          </w:tcPr>
          <w:p w:rsidR="0026214E" w:rsidP="0026214E" w:rsidRDefault="0026214E" w14:paraId="5C408F3E" w14:textId="46003B8B">
            <w:pPr>
              <w:keepNext/>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2028</w:t>
            </w:r>
          </w:p>
        </w:tc>
        <w:tc>
          <w:tcPr>
            <w:tcW w:w="1968" w:type="dxa"/>
            <w:tcBorders>
              <w:top w:val="single" w:color="auto" w:sz="4" w:space="0"/>
              <w:left w:val="single" w:color="auto" w:sz="4" w:space="0"/>
              <w:bottom w:val="single" w:color="auto" w:sz="4" w:space="0"/>
              <w:right w:val="single" w:color="auto" w:sz="4" w:space="0"/>
            </w:tcBorders>
            <w:vAlign w:val="center"/>
          </w:tcPr>
          <w:p w:rsidRPr="00D95160" w:rsidR="0026214E" w:rsidP="0026214E" w:rsidRDefault="0026214E" w14:paraId="33C42C0B" w14:textId="76100CF9">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IT Systems Support</w:t>
            </w:r>
          </w:p>
        </w:tc>
        <w:tc>
          <w:tcPr>
            <w:tcW w:w="2437" w:type="dxa"/>
            <w:tcBorders>
              <w:top w:val="single" w:color="auto" w:sz="4" w:space="0"/>
              <w:left w:val="single" w:color="auto" w:sz="4" w:space="0"/>
              <w:bottom w:val="single" w:color="auto" w:sz="4" w:space="0"/>
              <w:right w:val="nil"/>
            </w:tcBorders>
            <w:vAlign w:val="center"/>
          </w:tcPr>
          <w:p w:rsidRPr="00D95160" w:rsidR="0026214E" w:rsidP="0026214E" w:rsidRDefault="0026214E" w14:paraId="07DA78C4" w14:textId="60CEA863">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projected fee to vendor for maintenance</w:t>
            </w:r>
          </w:p>
        </w:tc>
        <w:tc>
          <w:tcPr>
            <w:tcW w:w="1836" w:type="dxa"/>
            <w:tcBorders>
              <w:top w:val="single" w:color="auto" w:sz="4" w:space="0"/>
              <w:left w:val="single" w:color="auto" w:sz="4" w:space="0"/>
              <w:bottom w:val="single" w:color="auto" w:sz="4" w:space="0"/>
              <w:right w:val="single" w:color="auto" w:sz="4" w:space="0"/>
            </w:tcBorders>
            <w:noWrap/>
            <w:vAlign w:val="bottom"/>
          </w:tcPr>
          <w:p w:rsidRPr="00D95160" w:rsidR="0026214E" w:rsidP="0026214E" w:rsidRDefault="0026214E" w14:paraId="6357B7B7" w14:textId="731EC896">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 xml:space="preserve">$350,000 </w:t>
            </w:r>
          </w:p>
        </w:tc>
        <w:tc>
          <w:tcPr>
            <w:tcW w:w="3292" w:type="dxa"/>
            <w:tcBorders>
              <w:top w:val="single" w:color="auto" w:sz="4" w:space="0"/>
              <w:left w:val="single" w:color="auto" w:sz="4" w:space="0"/>
              <w:bottom w:val="single" w:color="auto" w:sz="4" w:space="0"/>
              <w:right w:val="single" w:color="auto" w:sz="4" w:space="0"/>
            </w:tcBorders>
            <w:vAlign w:val="center"/>
          </w:tcPr>
          <w:p w:rsidRPr="00D95160" w:rsidR="0026214E" w:rsidP="0026214E" w:rsidRDefault="0026214E" w14:paraId="372FD062" w14:textId="7F020E89">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Projected cost to 3rd party vendor for full system specifications</w:t>
            </w:r>
          </w:p>
        </w:tc>
      </w:tr>
      <w:tr w:rsidRPr="00D95160" w:rsidR="0026214E" w:rsidTr="6819A9BC" w14:paraId="70FBFB09" w14:textId="77777777">
        <w:trPr>
          <w:trHeight w:val="759"/>
        </w:trPr>
        <w:tc>
          <w:tcPr>
            <w:tcW w:w="810" w:type="dxa"/>
            <w:tcBorders>
              <w:top w:val="single" w:color="auto" w:sz="4" w:space="0"/>
              <w:left w:val="single" w:color="auto" w:sz="4" w:space="0"/>
              <w:bottom w:val="single" w:color="auto" w:sz="4" w:space="0"/>
              <w:right w:val="single" w:color="auto" w:sz="4" w:space="0"/>
            </w:tcBorders>
          </w:tcPr>
          <w:p w:rsidR="0026214E" w:rsidP="0026214E" w:rsidRDefault="0026214E" w14:paraId="7A8D9E73" w14:textId="11CD6D84">
            <w:pPr>
              <w:keepNext/>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2029</w:t>
            </w:r>
          </w:p>
        </w:tc>
        <w:tc>
          <w:tcPr>
            <w:tcW w:w="1968" w:type="dxa"/>
            <w:tcBorders>
              <w:top w:val="single" w:color="auto" w:sz="4" w:space="0"/>
              <w:left w:val="single" w:color="auto" w:sz="4" w:space="0"/>
              <w:bottom w:val="single" w:color="auto" w:sz="4" w:space="0"/>
              <w:right w:val="single" w:color="auto" w:sz="4" w:space="0"/>
            </w:tcBorders>
            <w:vAlign w:val="center"/>
          </w:tcPr>
          <w:p w:rsidRPr="00D95160" w:rsidR="0026214E" w:rsidP="0026214E" w:rsidRDefault="0026214E" w14:paraId="26049B2A" w14:textId="0802D69F">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IT Systems Support</w:t>
            </w:r>
          </w:p>
        </w:tc>
        <w:tc>
          <w:tcPr>
            <w:tcW w:w="2437" w:type="dxa"/>
            <w:tcBorders>
              <w:top w:val="single" w:color="auto" w:sz="4" w:space="0"/>
              <w:left w:val="single" w:color="auto" w:sz="4" w:space="0"/>
              <w:bottom w:val="single" w:color="auto" w:sz="4" w:space="0"/>
              <w:right w:val="nil"/>
            </w:tcBorders>
            <w:vAlign w:val="center"/>
          </w:tcPr>
          <w:p w:rsidRPr="00D95160" w:rsidR="0026214E" w:rsidP="0026214E" w:rsidRDefault="0026214E" w14:paraId="19C157A0" w14:textId="6FF04576">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projected fee to vendor for maintenance</w:t>
            </w:r>
          </w:p>
        </w:tc>
        <w:tc>
          <w:tcPr>
            <w:tcW w:w="1836" w:type="dxa"/>
            <w:tcBorders>
              <w:top w:val="single" w:color="auto" w:sz="4" w:space="0"/>
              <w:left w:val="single" w:color="auto" w:sz="4" w:space="0"/>
              <w:bottom w:val="single" w:color="auto" w:sz="4" w:space="0"/>
              <w:right w:val="single" w:color="auto" w:sz="4" w:space="0"/>
            </w:tcBorders>
            <w:noWrap/>
            <w:vAlign w:val="bottom"/>
          </w:tcPr>
          <w:p w:rsidRPr="00D95160" w:rsidR="0026214E" w:rsidP="0026214E" w:rsidRDefault="0026214E" w14:paraId="294B65E6" w14:textId="6FA5A671">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 xml:space="preserve">$350,000 </w:t>
            </w:r>
          </w:p>
        </w:tc>
        <w:tc>
          <w:tcPr>
            <w:tcW w:w="3292" w:type="dxa"/>
            <w:tcBorders>
              <w:top w:val="single" w:color="auto" w:sz="4" w:space="0"/>
              <w:left w:val="single" w:color="auto" w:sz="4" w:space="0"/>
              <w:bottom w:val="single" w:color="auto" w:sz="4" w:space="0"/>
              <w:right w:val="single" w:color="auto" w:sz="4" w:space="0"/>
            </w:tcBorders>
            <w:vAlign w:val="center"/>
          </w:tcPr>
          <w:p w:rsidRPr="00D95160" w:rsidR="0026214E" w:rsidP="0026214E" w:rsidRDefault="0026214E" w14:paraId="4C90FB0D" w14:textId="40EF3084">
            <w:pPr>
              <w:keepNext/>
              <w:spacing w:after="0" w:line="240" w:lineRule="auto"/>
              <w:rPr>
                <w:rFonts w:ascii="Palatino Linotype" w:hAnsi="Palatino Linotype" w:eastAsia="Times New Roman" w:cs="Times New Roman"/>
                <w:kern w:val="0"/>
                <w14:ligatures w14:val="none"/>
              </w:rPr>
            </w:pPr>
            <w:r w:rsidRPr="00D95160">
              <w:rPr>
                <w:rFonts w:ascii="Palatino Linotype" w:hAnsi="Palatino Linotype" w:eastAsia="Times New Roman" w:cs="Times New Roman"/>
                <w:kern w:val="0"/>
                <w14:ligatures w14:val="none"/>
              </w:rPr>
              <w:t>Projected cost to 3rd party vendor for full system specifications</w:t>
            </w:r>
          </w:p>
        </w:tc>
      </w:tr>
    </w:tbl>
    <w:p w:rsidR="004F1B84" w:rsidP="009C4BA1" w:rsidRDefault="004F1B84" w14:paraId="1F8CA668" w14:textId="77777777">
      <w:pPr>
        <w:keepNext/>
        <w:spacing w:after="0" w:line="240" w:lineRule="auto"/>
        <w:ind w:left="720"/>
        <w:rPr>
          <w:rFonts w:ascii="Palatino Linotype" w:hAnsi="Palatino Linotype" w:eastAsia="Times New Roman" w:cs="Times New Roman"/>
          <w:kern w:val="0"/>
          <w14:ligatures w14:val="none"/>
        </w:rPr>
      </w:pPr>
    </w:p>
    <w:p w:rsidR="00BC6C20" w:rsidP="0026214E" w:rsidRDefault="009C4BA1" w14:paraId="57E01C31" w14:textId="7D00B780">
      <w:pPr>
        <w:keepNext/>
        <w:spacing w:after="0" w:line="240" w:lineRule="auto"/>
        <w:ind w:left="720"/>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w:t>
      </w:r>
      <w:r w:rsidRPr="009C4BA1">
        <w:rPr>
          <w:rFonts w:ascii="Palatino Linotype" w:hAnsi="Palatino Linotype" w:eastAsia="Times New Roman" w:cs="Times New Roman"/>
          <w:kern w:val="0"/>
          <w14:ligatures w14:val="none"/>
        </w:rPr>
        <w:t>SoCalGas provided cost estimates within the cost category “Implementation” which include an anticipated fixed cost for cloud services, these costs will be recorded to the CASBA.</w:t>
      </w:r>
      <w:r>
        <w:rPr>
          <w:rFonts w:ascii="Palatino Linotype" w:hAnsi="Palatino Linotype" w:eastAsia="Times New Roman" w:cs="Times New Roman"/>
          <w:kern w:val="0"/>
          <w14:ligatures w14:val="none"/>
        </w:rPr>
        <w:t>”</w:t>
      </w:r>
    </w:p>
    <w:p w:rsidR="00A76F4A" w:rsidP="00ED7C18" w:rsidRDefault="000F531C" w14:paraId="5B9BF24C" w14:textId="64DA99C0">
      <w:pPr>
        <w:keepNext/>
        <w:spacing w:after="0" w:line="240" w:lineRule="auto"/>
        <w:rPr>
          <w:rFonts w:ascii="Palatino Linotype" w:hAnsi="Palatino Linotype" w:eastAsia="Times New Roman" w:cs="Times New Roman"/>
          <w:kern w:val="0"/>
          <w14:ligatures w14:val="none"/>
        </w:rPr>
      </w:pPr>
      <w:r w:rsidRPr="000F531C">
        <w:rPr>
          <w:rFonts w:ascii="Palatino Linotype" w:hAnsi="Palatino Linotype" w:eastAsia="Times New Roman" w:cs="Times New Roman"/>
          <w:noProof/>
          <w:kern w:val="0"/>
          <w14:ligatures w14:val="none"/>
        </w:rPr>
        <mc:AlternateContent>
          <mc:Choice Requires="wps">
            <w:drawing>
              <wp:anchor distT="45720" distB="45720" distL="114300" distR="114300" simplePos="0" relativeHeight="251659264" behindDoc="0" locked="0" layoutInCell="1" allowOverlap="1" wp14:editId="6CC0137F" wp14:anchorId="31494FDD">
                <wp:simplePos x="0" y="0"/>
                <wp:positionH relativeFrom="column">
                  <wp:posOffset>2148840</wp:posOffset>
                </wp:positionH>
                <wp:positionV relativeFrom="paragraph">
                  <wp:posOffset>508000</wp:posOffset>
                </wp:positionV>
                <wp:extent cx="236093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4320"/>
                        </a:xfrm>
                        <a:prstGeom prst="rect">
                          <a:avLst/>
                        </a:prstGeom>
                        <a:noFill/>
                        <a:ln w="9525">
                          <a:noFill/>
                          <a:miter lim="800000"/>
                          <a:headEnd/>
                          <a:tailEnd/>
                        </a:ln>
                      </wps:spPr>
                      <wps:txbx>
                        <w:txbxContent>
                          <w:p w:rsidRPr="00A21E60" w:rsidR="000F531C" w:rsidRDefault="00A21E60" w14:paraId="0E4E6095" w14:textId="3D39EFD5">
                            <w:pPr>
                              <w:rPr>
                                <w:rFonts w:ascii="Palatino Linotype" w:hAnsi="Palatino Linotype"/>
                                <w:b/>
                                <w:bCs/>
                              </w:rPr>
                            </w:pPr>
                            <w:r w:rsidRPr="00A21E60">
                              <w:rPr>
                                <w:rFonts w:ascii="Palatino Linotype" w:hAnsi="Palatino Linotype"/>
                                <w:b/>
                                <w:bCs/>
                              </w:rPr>
                              <w:t>END OF APPENDIX 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31494FDD">
                <v:stroke joinstyle="miter"/>
                <v:path gradientshapeok="t" o:connecttype="rect"/>
              </v:shapetype>
              <v:shape id="Text Box 2" style="position:absolute;margin-left:169.2pt;margin-top:40pt;width:185.9pt;height:21.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">
                <v:textbox>
                  <w:txbxContent>
                    <w:p w:rsidRPr="00A21E60" w:rsidR="000F531C" w:rsidRDefault="00A21E60" w14:paraId="0E4E6095" w14:textId="3D39EFD5">
                      <w:pPr>
                        <w:rPr>
                          <w:rFonts w:ascii="Palatino Linotype" w:hAnsi="Palatino Linotype"/>
                          <w:b/>
                          <w:bCs/>
                        </w:rPr>
                      </w:pPr>
                      <w:r w:rsidRPr="00A21E60">
                        <w:rPr>
                          <w:rFonts w:ascii="Palatino Linotype" w:hAnsi="Palatino Linotype"/>
                          <w:b/>
                          <w:bCs/>
                        </w:rPr>
                        <w:t>END OF APPENDIX A</w:t>
                      </w:r>
                    </w:p>
                  </w:txbxContent>
                </v:textbox>
                <w10:wrap type="square"/>
              </v:shape>
            </w:pict>
          </mc:Fallback>
        </mc:AlternateContent>
      </w:r>
    </w:p>
    <w:sectPr w:rsidR="00A76F4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CCC0B" w14:textId="77777777" w:rsidR="00BE0B4E" w:rsidRDefault="00BE0B4E" w:rsidP="00A76F4A">
      <w:pPr>
        <w:spacing w:after="0" w:line="240" w:lineRule="auto"/>
      </w:pPr>
      <w:r>
        <w:separator/>
      </w:r>
    </w:p>
  </w:endnote>
  <w:endnote w:type="continuationSeparator" w:id="0">
    <w:p w14:paraId="0206F63E" w14:textId="77777777" w:rsidR="00BE0B4E" w:rsidRDefault="00BE0B4E" w:rsidP="00A76F4A">
      <w:pPr>
        <w:spacing w:after="0" w:line="240" w:lineRule="auto"/>
      </w:pPr>
      <w:r>
        <w:continuationSeparator/>
      </w:r>
    </w:p>
  </w:endnote>
  <w:endnote w:type="continuationNotice" w:id="1">
    <w:p w14:paraId="795D8E7C" w14:textId="77777777" w:rsidR="00BE0B4E" w:rsidRDefault="00BE0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auto"/>
    <w:pitch w:val="variable"/>
    <w:sig w:usb0="20000A87" w:usb1="08000000" w:usb2="00000008" w:usb3="00000000" w:csb0="000001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AFF" w:usb1="5000785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202161382"/>
      <w:docPartObj>
        <w:docPartGallery w:val="Page Numbers (Bottom of Page)"/>
        <w:docPartUnique/>
      </w:docPartObj>
    </w:sdtPr>
    <w:sdtEndPr>
      <w:rPr>
        <w:noProof/>
      </w:rPr>
    </w:sdtEndPr>
    <w:sdtContent>
      <w:p w14:paraId="09A7F098" w14:textId="00929307" w:rsidR="008B6102" w:rsidRPr="008B6102" w:rsidRDefault="008B6102">
        <w:pPr>
          <w:pStyle w:val="Footer"/>
          <w:jc w:val="center"/>
          <w:rPr>
            <w:rFonts w:ascii="Palatino Linotype" w:hAnsi="Palatino Linotype"/>
          </w:rPr>
        </w:pPr>
        <w:r w:rsidRPr="008B6102">
          <w:rPr>
            <w:rFonts w:ascii="Palatino Linotype" w:hAnsi="Palatino Linotype"/>
          </w:rPr>
          <w:fldChar w:fldCharType="begin"/>
        </w:r>
        <w:r w:rsidRPr="008B6102">
          <w:rPr>
            <w:rFonts w:ascii="Palatino Linotype" w:hAnsi="Palatino Linotype"/>
          </w:rPr>
          <w:instrText xml:space="preserve"> PAGE   \* MERGEFORMAT </w:instrText>
        </w:r>
        <w:r w:rsidRPr="008B6102">
          <w:rPr>
            <w:rFonts w:ascii="Palatino Linotype" w:hAnsi="Palatino Linotype"/>
          </w:rPr>
          <w:fldChar w:fldCharType="separate"/>
        </w:r>
        <w:r w:rsidRPr="008B6102">
          <w:rPr>
            <w:rFonts w:ascii="Palatino Linotype" w:hAnsi="Palatino Linotype"/>
            <w:noProof/>
          </w:rPr>
          <w:t>2</w:t>
        </w:r>
        <w:r w:rsidRPr="008B6102">
          <w:rPr>
            <w:rFonts w:ascii="Palatino Linotype" w:hAnsi="Palatino Linotype"/>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835641019"/>
      <w:docPartObj>
        <w:docPartGallery w:val="Page Numbers (Bottom of Page)"/>
        <w:docPartUnique/>
      </w:docPartObj>
    </w:sdtPr>
    <w:sdtEndPr>
      <w:rPr>
        <w:noProof/>
      </w:rPr>
    </w:sdtEndPr>
    <w:sdtContent>
      <w:p w14:paraId="64DD5B43" w14:textId="68706797" w:rsidR="00982881" w:rsidRPr="00982881" w:rsidRDefault="00C54EBF" w:rsidP="00C54EBF">
        <w:pPr>
          <w:pStyle w:val="Footer"/>
          <w:rPr>
            <w:rFonts w:ascii="Palatino Linotype" w:hAnsi="Palatino Linotype"/>
          </w:rPr>
        </w:pPr>
        <w:r w:rsidRPr="00C54EBF">
          <w:rPr>
            <w:rFonts w:ascii="Tahoma" w:hAnsi="Tahoma" w:cs="Tahoma"/>
            <w:sz w:val="18"/>
            <w:szCs w:val="18"/>
          </w:rPr>
          <w:t>565814889</w:t>
        </w:r>
        <w:r>
          <w:rPr>
            <w:rFonts w:ascii="Palatino Linotype" w:hAnsi="Palatino Linotype"/>
          </w:rPr>
          <w:tab/>
        </w:r>
        <w:r w:rsidR="00982881" w:rsidRPr="00982881">
          <w:rPr>
            <w:rFonts w:ascii="Palatino Linotype" w:hAnsi="Palatino Linotype"/>
          </w:rPr>
          <w:fldChar w:fldCharType="begin"/>
        </w:r>
        <w:r w:rsidR="00982881" w:rsidRPr="00982881">
          <w:rPr>
            <w:rFonts w:ascii="Palatino Linotype" w:hAnsi="Palatino Linotype"/>
          </w:rPr>
          <w:instrText xml:space="preserve"> PAGE   \* MERGEFORMAT </w:instrText>
        </w:r>
        <w:r w:rsidR="00982881" w:rsidRPr="00982881">
          <w:rPr>
            <w:rFonts w:ascii="Palatino Linotype" w:hAnsi="Palatino Linotype"/>
          </w:rPr>
          <w:fldChar w:fldCharType="separate"/>
        </w:r>
        <w:r w:rsidR="00982881" w:rsidRPr="00982881">
          <w:rPr>
            <w:rFonts w:ascii="Palatino Linotype" w:hAnsi="Palatino Linotype"/>
            <w:noProof/>
          </w:rPr>
          <w:t>2</w:t>
        </w:r>
        <w:r w:rsidR="00982881" w:rsidRPr="00982881">
          <w:rPr>
            <w:rFonts w:ascii="Palatino Linotype" w:hAnsi="Palatino Linotype"/>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334384447"/>
      <w:docPartObj>
        <w:docPartGallery w:val="Page Numbers (Bottom of Page)"/>
        <w:docPartUnique/>
      </w:docPartObj>
    </w:sdtPr>
    <w:sdtEndPr>
      <w:rPr>
        <w:noProof/>
      </w:rPr>
    </w:sdtEndPr>
    <w:sdtContent>
      <w:p w14:paraId="007C0A8F" w14:textId="77777777" w:rsidR="002B472F" w:rsidRPr="008B6102" w:rsidRDefault="002B472F">
        <w:pPr>
          <w:pStyle w:val="Footer"/>
          <w:jc w:val="center"/>
          <w:rPr>
            <w:rFonts w:ascii="Palatino Linotype" w:hAnsi="Palatino Linotype"/>
          </w:rPr>
        </w:pPr>
        <w:r>
          <w:rPr>
            <w:rFonts w:ascii="Palatino Linotype" w:hAnsi="Palatino Linotype"/>
          </w:rPr>
          <w:t>A-</w:t>
        </w:r>
        <w:r w:rsidRPr="008B6102">
          <w:rPr>
            <w:rFonts w:ascii="Palatino Linotype" w:hAnsi="Palatino Linotype"/>
          </w:rPr>
          <w:fldChar w:fldCharType="begin"/>
        </w:r>
        <w:r w:rsidRPr="008B6102">
          <w:rPr>
            <w:rFonts w:ascii="Palatino Linotype" w:hAnsi="Palatino Linotype"/>
          </w:rPr>
          <w:instrText xml:space="preserve"> PAGE   \* MERGEFORMAT </w:instrText>
        </w:r>
        <w:r w:rsidRPr="008B6102">
          <w:rPr>
            <w:rFonts w:ascii="Palatino Linotype" w:hAnsi="Palatino Linotype"/>
          </w:rPr>
          <w:fldChar w:fldCharType="separate"/>
        </w:r>
        <w:r w:rsidRPr="008B6102">
          <w:rPr>
            <w:rFonts w:ascii="Palatino Linotype" w:hAnsi="Palatino Linotype"/>
            <w:noProof/>
          </w:rPr>
          <w:t>2</w:t>
        </w:r>
        <w:r w:rsidRPr="008B6102">
          <w:rPr>
            <w:rFonts w:ascii="Palatino Linotype" w:hAnsi="Palatino Linotype"/>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475807991"/>
      <w:docPartObj>
        <w:docPartGallery w:val="Page Numbers (Bottom of Page)"/>
        <w:docPartUnique/>
      </w:docPartObj>
    </w:sdtPr>
    <w:sdtEndPr>
      <w:rPr>
        <w:noProof/>
      </w:rPr>
    </w:sdtEndPr>
    <w:sdtContent>
      <w:p w14:paraId="3B005F99" w14:textId="08126DBA" w:rsidR="00B71770" w:rsidRPr="00B71770" w:rsidRDefault="00B71770">
        <w:pPr>
          <w:pStyle w:val="Footer"/>
          <w:jc w:val="center"/>
          <w:rPr>
            <w:rFonts w:ascii="Palatino Linotype" w:hAnsi="Palatino Linotype"/>
          </w:rPr>
        </w:pPr>
        <w:r w:rsidRPr="00B71770">
          <w:rPr>
            <w:rFonts w:ascii="Palatino Linotype" w:hAnsi="Palatino Linotype"/>
          </w:rPr>
          <w:t>A-</w:t>
        </w:r>
        <w:r w:rsidRPr="00B71770">
          <w:rPr>
            <w:rFonts w:ascii="Palatino Linotype" w:hAnsi="Palatino Linotype"/>
          </w:rPr>
          <w:fldChar w:fldCharType="begin"/>
        </w:r>
        <w:r w:rsidRPr="00B71770">
          <w:rPr>
            <w:rFonts w:ascii="Palatino Linotype" w:hAnsi="Palatino Linotype"/>
          </w:rPr>
          <w:instrText xml:space="preserve"> PAGE   \* MERGEFORMAT </w:instrText>
        </w:r>
        <w:r w:rsidRPr="00B71770">
          <w:rPr>
            <w:rFonts w:ascii="Palatino Linotype" w:hAnsi="Palatino Linotype"/>
          </w:rPr>
          <w:fldChar w:fldCharType="separate"/>
        </w:r>
        <w:r w:rsidRPr="00B71770">
          <w:rPr>
            <w:rFonts w:ascii="Palatino Linotype" w:hAnsi="Palatino Linotype"/>
            <w:noProof/>
          </w:rPr>
          <w:t>2</w:t>
        </w:r>
        <w:r w:rsidRPr="00B71770">
          <w:rPr>
            <w:rFonts w:ascii="Palatino Linotype" w:hAnsi="Palatino Linotype"/>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659755281"/>
      <w:docPartObj>
        <w:docPartGallery w:val="Page Numbers (Bottom of Page)"/>
        <w:docPartUnique/>
      </w:docPartObj>
    </w:sdtPr>
    <w:sdtEndPr>
      <w:rPr>
        <w:noProof/>
      </w:rPr>
    </w:sdtEndPr>
    <w:sdtContent>
      <w:p w14:paraId="3D3079D1" w14:textId="6742E8A9" w:rsidR="002B472F" w:rsidRPr="002B472F" w:rsidRDefault="002B472F">
        <w:pPr>
          <w:pStyle w:val="Footer"/>
          <w:jc w:val="center"/>
          <w:rPr>
            <w:rFonts w:ascii="Palatino Linotype" w:hAnsi="Palatino Linotype"/>
          </w:rPr>
        </w:pPr>
        <w:r>
          <w:rPr>
            <w:rFonts w:ascii="Palatino Linotype" w:hAnsi="Palatino Linotype"/>
          </w:rPr>
          <w:t>A-</w:t>
        </w:r>
        <w:r w:rsidRPr="002B472F">
          <w:rPr>
            <w:rFonts w:ascii="Palatino Linotype" w:hAnsi="Palatino Linotype"/>
          </w:rPr>
          <w:fldChar w:fldCharType="begin"/>
        </w:r>
        <w:r w:rsidRPr="002B472F">
          <w:rPr>
            <w:rFonts w:ascii="Palatino Linotype" w:hAnsi="Palatino Linotype"/>
          </w:rPr>
          <w:instrText xml:space="preserve"> PAGE   \* MERGEFORMAT </w:instrText>
        </w:r>
        <w:r w:rsidRPr="002B472F">
          <w:rPr>
            <w:rFonts w:ascii="Palatino Linotype" w:hAnsi="Palatino Linotype"/>
          </w:rPr>
          <w:fldChar w:fldCharType="separate"/>
        </w:r>
        <w:r w:rsidRPr="002B472F">
          <w:rPr>
            <w:rFonts w:ascii="Palatino Linotype" w:hAnsi="Palatino Linotype"/>
            <w:noProof/>
          </w:rPr>
          <w:t>2</w:t>
        </w:r>
        <w:r w:rsidRPr="002B472F">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84CC6" w14:textId="77777777" w:rsidR="00BE0B4E" w:rsidRDefault="00BE0B4E" w:rsidP="00A76F4A">
      <w:pPr>
        <w:spacing w:after="0" w:line="240" w:lineRule="auto"/>
      </w:pPr>
      <w:r>
        <w:separator/>
      </w:r>
    </w:p>
  </w:footnote>
  <w:footnote w:type="continuationSeparator" w:id="0">
    <w:p w14:paraId="3B941C5F" w14:textId="77777777" w:rsidR="00BE0B4E" w:rsidRDefault="00BE0B4E" w:rsidP="00A76F4A">
      <w:pPr>
        <w:spacing w:after="0" w:line="240" w:lineRule="auto"/>
      </w:pPr>
      <w:r>
        <w:continuationSeparator/>
      </w:r>
    </w:p>
  </w:footnote>
  <w:footnote w:type="continuationNotice" w:id="1">
    <w:p w14:paraId="7AC4240A" w14:textId="77777777" w:rsidR="00BE0B4E" w:rsidRDefault="00BE0B4E">
      <w:pPr>
        <w:spacing w:after="0" w:line="240" w:lineRule="auto"/>
      </w:pPr>
    </w:p>
  </w:footnote>
  <w:footnote w:id="2">
    <w:p w14:paraId="605B8C70" w14:textId="77777777" w:rsidR="00FA2C5F" w:rsidRPr="00C25AF2" w:rsidRDefault="00FA2C5F"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Cost recovery methods are detailed in D.23-05-006, Ordering Paragraph 4.</w:t>
      </w:r>
    </w:p>
  </w:footnote>
  <w:footnote w:id="3">
    <w:p w14:paraId="42551342" w14:textId="77777777" w:rsidR="00EA35B3" w:rsidRPr="00C25AF2" w:rsidRDefault="00EA35B3" w:rsidP="00EA35B3">
      <w:pPr>
        <w:pStyle w:val="FootnoteText"/>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D.23-05-006, pg. 19.</w:t>
      </w:r>
    </w:p>
  </w:footnote>
  <w:footnote w:id="4">
    <w:p w14:paraId="62699510" w14:textId="77777777" w:rsidR="008774CB" w:rsidRPr="00C25AF2" w:rsidRDefault="008774CB"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AC Ruling, at 4-5.</w:t>
      </w:r>
    </w:p>
  </w:footnote>
  <w:footnote w:id="5">
    <w:p w14:paraId="0788837F" w14:textId="77777777" w:rsidR="008774CB" w:rsidRPr="00C25AF2" w:rsidRDefault="008774CB"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Ibid.</w:t>
      </w:r>
    </w:p>
  </w:footnote>
  <w:footnote w:id="6">
    <w:p w14:paraId="1B295C35" w14:textId="77777777" w:rsidR="008774CB" w:rsidRPr="00C25AF2" w:rsidRDefault="008774CB"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PG&amp;E AL 4764-G/6964-E, SCE AL 5053-E, SoCalGas AL 6151-G, and SDG&amp;E AL 4236-E/3201-G</w:t>
      </w:r>
    </w:p>
  </w:footnote>
  <w:footnote w:id="7">
    <w:p w14:paraId="1EBC9400" w14:textId="0145EE1E" w:rsidR="000B11C6" w:rsidRPr="00C25AF2" w:rsidRDefault="000B11C6">
      <w:pPr>
        <w:pStyle w:val="FootnoteText"/>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w:t>
      </w:r>
      <w:r w:rsidR="00884DA2" w:rsidRPr="00C25AF2">
        <w:rPr>
          <w:rFonts w:ascii="Palatino Linotype" w:hAnsi="Palatino Linotype"/>
        </w:rPr>
        <w:t xml:space="preserve">D.23-05-006, pg. 18. The IOUs' January 1st rate change implementation advice letters have different names for the different IOUs - PG&amp;E’s is the "Annual Electric True Up."  SCE's is the "Consolidated Revenue Requirement and Rate Change," while SDG&amp;E has two that get filed late in the year, one called the "Annual Electric Regulatory Account Update" which then gets rolled into the "Consolidated Filing to Implement January 1, 202X, Electric Rates." </w:t>
      </w:r>
    </w:p>
  </w:footnote>
  <w:footnote w:id="8">
    <w:p w14:paraId="1CC31228" w14:textId="77777777" w:rsidR="008774CB" w:rsidRPr="00C25AF2" w:rsidRDefault="008774CB"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D.23-05-006, Ordering Paragraph 4</w:t>
      </w:r>
    </w:p>
  </w:footnote>
  <w:footnote w:id="9">
    <w:p w14:paraId="029C4527" w14:textId="77777777" w:rsidR="008774CB" w:rsidRPr="00C25AF2" w:rsidRDefault="008774CB"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D.23-05-006, Ordering Paragraph 2</w:t>
      </w:r>
    </w:p>
  </w:footnote>
  <w:footnote w:id="10">
    <w:p w14:paraId="40159A9F" w14:textId="77777777" w:rsidR="008774CB" w:rsidRPr="00C25AF2" w:rsidRDefault="008774CB"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Letter from CPUC Executive Director Rachel Peterson to PG&amp;E Regulatory Relations Director Sidney Bob Dietz II, July 26, 2024. Subject: Request for Extension of Time Under Commission Rule 16.6 to Comply with Ordering Paragraph 2 of Decision 23-05-006</w:t>
      </w:r>
    </w:p>
  </w:footnote>
  <w:footnote w:id="11">
    <w:p w14:paraId="743F44D0" w14:textId="77777777" w:rsidR="004D339D" w:rsidRPr="00C25AF2" w:rsidRDefault="004D339D"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D.23-05-006, Ordering Paragraph 1. </w:t>
      </w:r>
    </w:p>
  </w:footnote>
  <w:footnote w:id="12">
    <w:p w14:paraId="1B85DDC0" w14:textId="4CEC3327" w:rsidR="00D736BA" w:rsidRPr="00C25AF2" w:rsidRDefault="00D736BA">
      <w:pPr>
        <w:pStyle w:val="FootnoteText"/>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w:t>
      </w:r>
      <w:r w:rsidR="00AA4C60" w:rsidRPr="00C25AF2">
        <w:rPr>
          <w:rFonts w:ascii="Palatino Linotype" w:hAnsi="Palatino Linotype"/>
        </w:rPr>
        <w:t xml:space="preserve">D.23-05-006 outlined a phased approach to the development of the CAS, with Phase I focused on implementation of the requirements of SB 1208, </w:t>
      </w:r>
      <w:r w:rsidR="00E478C4" w:rsidRPr="00C25AF2">
        <w:rPr>
          <w:rFonts w:ascii="Palatino Linotype" w:hAnsi="Palatino Linotype"/>
        </w:rPr>
        <w:t>while</w:t>
      </w:r>
      <w:r w:rsidR="00AA4C60" w:rsidRPr="00C25AF2">
        <w:rPr>
          <w:rFonts w:ascii="Palatino Linotype" w:hAnsi="Palatino Linotype"/>
        </w:rPr>
        <w:t xml:space="preserve"> Phase II will address the expansion of the CAS beyond the initial CARE, FERA, and ESA programs to other potential offerings. </w:t>
      </w:r>
      <w:r w:rsidR="004E21A5" w:rsidRPr="00C25AF2">
        <w:rPr>
          <w:rFonts w:ascii="Palatino Linotype" w:hAnsi="Palatino Linotype"/>
        </w:rPr>
        <w:t xml:space="preserve">D.23-05-006, </w:t>
      </w:r>
      <w:r w:rsidR="00C359C2" w:rsidRPr="00C25AF2">
        <w:rPr>
          <w:rFonts w:ascii="Palatino Linotype" w:hAnsi="Palatino Linotype"/>
        </w:rPr>
        <w:t xml:space="preserve">pg. </w:t>
      </w:r>
      <w:r w:rsidR="00AA4C60" w:rsidRPr="00C25AF2">
        <w:rPr>
          <w:rFonts w:ascii="Palatino Linotype" w:hAnsi="Palatino Linotype"/>
        </w:rPr>
        <w:t xml:space="preserve">9, </w:t>
      </w:r>
      <w:r w:rsidR="00C359C2" w:rsidRPr="00C25AF2">
        <w:rPr>
          <w:rFonts w:ascii="Palatino Linotype" w:hAnsi="Palatino Linotype"/>
        </w:rPr>
        <w:t>11</w:t>
      </w:r>
      <w:r w:rsidR="00037A8B" w:rsidRPr="00C25AF2">
        <w:rPr>
          <w:rFonts w:ascii="Palatino Linotype" w:hAnsi="Palatino Linotype"/>
        </w:rPr>
        <w:t>, 12</w:t>
      </w:r>
      <w:r w:rsidR="00AA4C60" w:rsidRPr="00C25AF2">
        <w:rPr>
          <w:rFonts w:ascii="Palatino Linotype" w:hAnsi="Palatino Linotype"/>
        </w:rPr>
        <w:t>.</w:t>
      </w:r>
    </w:p>
  </w:footnote>
  <w:footnote w:id="13">
    <w:p w14:paraId="3A3FC6BD" w14:textId="77777777" w:rsidR="004D339D" w:rsidRPr="00C25AF2" w:rsidRDefault="004D339D"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D.23-05-006, page 12.</w:t>
      </w:r>
    </w:p>
  </w:footnote>
  <w:footnote w:id="14">
    <w:p w14:paraId="7E4B1DB9" w14:textId="27738CCE" w:rsidR="00995C0F" w:rsidRPr="00C25AF2" w:rsidRDefault="00995C0F"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The IOUs were directed </w:t>
      </w:r>
      <w:r w:rsidR="00F1379F" w:rsidRPr="00C25AF2">
        <w:rPr>
          <w:rFonts w:ascii="Palatino Linotype" w:hAnsi="Palatino Linotype"/>
        </w:rPr>
        <w:t xml:space="preserve">in </w:t>
      </w:r>
      <w:r w:rsidR="00D81585" w:rsidRPr="00C25AF2">
        <w:rPr>
          <w:rFonts w:ascii="Palatino Linotype" w:hAnsi="Palatino Linotype"/>
        </w:rPr>
        <w:t xml:space="preserve">the ESA, CARE, and FERA </w:t>
      </w:r>
      <w:r w:rsidR="00D070B1" w:rsidRPr="00C25AF2">
        <w:rPr>
          <w:rFonts w:ascii="Palatino Linotype" w:hAnsi="Palatino Linotype"/>
        </w:rPr>
        <w:t xml:space="preserve">program applications </w:t>
      </w:r>
      <w:r w:rsidR="00695F7F" w:rsidRPr="00C25AF2">
        <w:rPr>
          <w:rFonts w:ascii="Palatino Linotype" w:hAnsi="Palatino Linotype"/>
        </w:rPr>
        <w:t xml:space="preserve">decision </w:t>
      </w:r>
      <w:r w:rsidR="00E27598" w:rsidRPr="00C25AF2">
        <w:rPr>
          <w:rFonts w:ascii="Palatino Linotype" w:hAnsi="Palatino Linotype"/>
        </w:rPr>
        <w:t xml:space="preserve">for Program Years 2021-2026 </w:t>
      </w:r>
      <w:r w:rsidR="00D81585" w:rsidRPr="00C25AF2">
        <w:rPr>
          <w:rFonts w:ascii="Palatino Linotype" w:hAnsi="Palatino Linotype"/>
        </w:rPr>
        <w:t>(</w:t>
      </w:r>
      <w:r w:rsidR="00F1379F" w:rsidRPr="00C25AF2">
        <w:rPr>
          <w:rFonts w:ascii="Palatino Linotype" w:hAnsi="Palatino Linotype"/>
        </w:rPr>
        <w:t>D.21-06-015</w:t>
      </w:r>
      <w:r w:rsidR="00D81585" w:rsidRPr="00C25AF2">
        <w:rPr>
          <w:rFonts w:ascii="Palatino Linotype" w:hAnsi="Palatino Linotype"/>
        </w:rPr>
        <w:t>)</w:t>
      </w:r>
      <w:r w:rsidR="00F1379F" w:rsidRPr="00C25AF2">
        <w:rPr>
          <w:rFonts w:ascii="Palatino Linotype" w:hAnsi="Palatino Linotype"/>
        </w:rPr>
        <w:t xml:space="preserve"> </w:t>
      </w:r>
      <w:r w:rsidRPr="00C25AF2">
        <w:rPr>
          <w:rFonts w:ascii="Palatino Linotype" w:hAnsi="Palatino Linotype"/>
        </w:rPr>
        <w:t xml:space="preserve">to set up a </w:t>
      </w:r>
      <w:r w:rsidR="00631744" w:rsidRPr="00C25AF2">
        <w:rPr>
          <w:rFonts w:ascii="Palatino Linotype" w:hAnsi="Palatino Linotype"/>
        </w:rPr>
        <w:t>stakeholder w</w:t>
      </w:r>
      <w:r w:rsidRPr="00C25AF2">
        <w:rPr>
          <w:rFonts w:ascii="Palatino Linotype" w:hAnsi="Palatino Linotype"/>
        </w:rPr>
        <w:t xml:space="preserve">orking </w:t>
      </w:r>
      <w:r w:rsidR="00631744" w:rsidRPr="00C25AF2">
        <w:rPr>
          <w:rFonts w:ascii="Palatino Linotype" w:hAnsi="Palatino Linotype"/>
        </w:rPr>
        <w:t>g</w:t>
      </w:r>
      <w:r w:rsidRPr="00C25AF2">
        <w:rPr>
          <w:rFonts w:ascii="Palatino Linotype" w:hAnsi="Palatino Linotype"/>
        </w:rPr>
        <w:t xml:space="preserve">roup to develop recommendations for </w:t>
      </w:r>
      <w:r w:rsidR="00631744" w:rsidRPr="00C25AF2">
        <w:rPr>
          <w:rFonts w:ascii="Palatino Linotype" w:hAnsi="Palatino Linotype"/>
        </w:rPr>
        <w:t>a Universal Application System</w:t>
      </w:r>
      <w:r w:rsidR="00DE2FA7" w:rsidRPr="00C25AF2">
        <w:rPr>
          <w:rFonts w:ascii="Palatino Linotype" w:hAnsi="Palatino Linotype"/>
        </w:rPr>
        <w:t xml:space="preserve"> (UAS)</w:t>
      </w:r>
      <w:r w:rsidRPr="00C25AF2">
        <w:rPr>
          <w:rFonts w:ascii="Palatino Linotype" w:hAnsi="Palatino Linotype"/>
        </w:rPr>
        <w:t xml:space="preserve"> by which the CARE, ESA, and FERA programs could be integrated into a single statewide application process.</w:t>
      </w:r>
      <w:r w:rsidR="00631744" w:rsidRPr="00C25AF2">
        <w:rPr>
          <w:rFonts w:ascii="Palatino Linotype" w:hAnsi="Palatino Linotype"/>
        </w:rPr>
        <w:t xml:space="preserve"> The </w:t>
      </w:r>
      <w:r w:rsidR="00DE2FA7" w:rsidRPr="00C25AF2">
        <w:rPr>
          <w:rFonts w:ascii="Palatino Linotype" w:hAnsi="Palatino Linotype"/>
        </w:rPr>
        <w:t>UAS</w:t>
      </w:r>
      <w:r w:rsidR="00631744" w:rsidRPr="00C25AF2">
        <w:rPr>
          <w:rFonts w:ascii="Palatino Linotype" w:hAnsi="Palatino Linotype"/>
        </w:rPr>
        <w:t xml:space="preserve"> Working Group completed a report on </w:t>
      </w:r>
      <w:r w:rsidR="00FC7DD3" w:rsidRPr="00C25AF2">
        <w:rPr>
          <w:rFonts w:ascii="Palatino Linotype" w:hAnsi="Palatino Linotype"/>
        </w:rPr>
        <w:t xml:space="preserve">July </w:t>
      </w:r>
      <w:r w:rsidR="00362241" w:rsidRPr="00C25AF2">
        <w:rPr>
          <w:rFonts w:ascii="Palatino Linotype" w:hAnsi="Palatino Linotype"/>
        </w:rPr>
        <w:t>1, 2022</w:t>
      </w:r>
      <w:r w:rsidR="00631744" w:rsidRPr="00C25AF2">
        <w:rPr>
          <w:rFonts w:ascii="Palatino Linotype" w:hAnsi="Palatino Linotype"/>
        </w:rPr>
        <w:t xml:space="preserve"> with recommendations for design, user experience, and requirements for the </w:t>
      </w:r>
      <w:r w:rsidR="009638F3" w:rsidRPr="00C25AF2">
        <w:rPr>
          <w:rFonts w:ascii="Palatino Linotype" w:hAnsi="Palatino Linotype"/>
        </w:rPr>
        <w:t>application platform.</w:t>
      </w:r>
    </w:p>
  </w:footnote>
  <w:footnote w:id="15">
    <w:p w14:paraId="218FAA28" w14:textId="77777777" w:rsidR="004D339D" w:rsidRPr="00C25AF2" w:rsidRDefault="004D339D"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Detailed scope of CAS Phase I contract is provided in AL 4994-G/7422-E et al. pages 13 – 15 and Confidential Appendix A: CAS Phase I Contract</w:t>
      </w:r>
    </w:p>
  </w:footnote>
  <w:footnote w:id="16">
    <w:p w14:paraId="1F7F8099" w14:textId="77777777" w:rsidR="004D339D" w:rsidRPr="00C25AF2" w:rsidRDefault="004D339D"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D.23-05-006, page 17.</w:t>
      </w:r>
    </w:p>
  </w:footnote>
  <w:footnote w:id="17">
    <w:p w14:paraId="0AA645B0" w14:textId="57591494" w:rsidR="008E6AA9" w:rsidRPr="00C25AF2" w:rsidRDefault="008E6AA9" w:rsidP="006677B5">
      <w:pPr>
        <w:pStyle w:val="FootnoteText"/>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AC Ruling, at 4-5.</w:t>
      </w:r>
    </w:p>
  </w:footnote>
  <w:footnote w:id="18">
    <w:p w14:paraId="08CC02D9" w14:textId="77777777" w:rsidR="006167AF" w:rsidRPr="00C25AF2" w:rsidRDefault="006167AF" w:rsidP="006167AF">
      <w:pPr>
        <w:pStyle w:val="FootnoteText"/>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AL 4994-G/7422-E et al. uses both calendar years and contract years to describe Phase I costs, such as contract Year 1 (2025), Year 2 (2026), Year 3 (2027), etc. This resolution refers to Years 1 – 3 of the contract term instead of calendar years since the contract will begin mid-year in 2025. </w:t>
      </w:r>
    </w:p>
  </w:footnote>
  <w:footnote w:id="19">
    <w:p w14:paraId="79752CAB" w14:textId="26C002A2" w:rsidR="004D339D" w:rsidRPr="00C25AF2" w:rsidRDefault="004D339D" w:rsidP="006677B5">
      <w:pPr>
        <w:pStyle w:val="FootnoteText"/>
        <w:tabs>
          <w:tab w:val="num" w:pos="360"/>
        </w:tabs>
        <w:ind w:left="360" w:hanging="360"/>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D.23-05-006, </w:t>
      </w:r>
      <w:r w:rsidR="000D2ABC" w:rsidRPr="00C25AF2">
        <w:rPr>
          <w:rFonts w:ascii="Palatino Linotype" w:hAnsi="Palatino Linotype"/>
        </w:rPr>
        <w:t>pg. 17</w:t>
      </w:r>
      <w:r w:rsidR="00B952A8" w:rsidRPr="00C25AF2">
        <w:rPr>
          <w:rFonts w:ascii="Palatino Linotype" w:hAnsi="Palatino Linotype"/>
        </w:rPr>
        <w:t>-18</w:t>
      </w:r>
      <w:r w:rsidRPr="00C25AF2">
        <w:rPr>
          <w:rFonts w:ascii="Palatino Linotype" w:hAnsi="Palatino Linotype"/>
        </w:rPr>
        <w:t>.</w:t>
      </w:r>
    </w:p>
  </w:footnote>
  <w:footnote w:id="20">
    <w:p w14:paraId="6890EE49" w14:textId="698DDB17" w:rsidR="008E687E" w:rsidRPr="00C25AF2" w:rsidRDefault="008E687E" w:rsidP="006677B5">
      <w:pPr>
        <w:pStyle w:val="FootnoteText"/>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SDG&amp;E response to Energy Division Staff data request submitted on January 15, 2025, Question 1.</w:t>
      </w:r>
    </w:p>
  </w:footnote>
  <w:footnote w:id="21">
    <w:p w14:paraId="30AEC502" w14:textId="40B5F4C4" w:rsidR="00E141DB" w:rsidRPr="00C25AF2" w:rsidRDefault="00E141DB" w:rsidP="006677B5">
      <w:pPr>
        <w:pStyle w:val="FootnoteText"/>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w:t>
      </w:r>
      <w:r w:rsidR="00AD7207" w:rsidRPr="00C25AF2">
        <w:rPr>
          <w:rFonts w:ascii="Palatino Linotype" w:hAnsi="Palatino Linotype"/>
        </w:rPr>
        <w:t>SoCalGas r</w:t>
      </w:r>
      <w:r w:rsidR="005F4D78" w:rsidRPr="00C25AF2">
        <w:rPr>
          <w:rFonts w:ascii="Palatino Linotype" w:hAnsi="Palatino Linotype"/>
        </w:rPr>
        <w:t xml:space="preserve">esponse to Energy Division Staff data request submitted on January </w:t>
      </w:r>
      <w:r w:rsidR="00A0477A" w:rsidRPr="00C25AF2">
        <w:rPr>
          <w:rFonts w:ascii="Palatino Linotype" w:hAnsi="Palatino Linotype"/>
        </w:rPr>
        <w:t>15</w:t>
      </w:r>
      <w:r w:rsidR="005F4D78" w:rsidRPr="00C25AF2">
        <w:rPr>
          <w:rFonts w:ascii="Palatino Linotype" w:hAnsi="Palatino Linotype"/>
        </w:rPr>
        <w:t xml:space="preserve">, 2025, </w:t>
      </w:r>
      <w:r w:rsidR="00AD7207" w:rsidRPr="00C25AF2">
        <w:rPr>
          <w:rFonts w:ascii="Palatino Linotype" w:hAnsi="Palatino Linotype"/>
        </w:rPr>
        <w:t>Question 2.</w:t>
      </w:r>
    </w:p>
  </w:footnote>
  <w:footnote w:id="22">
    <w:p w14:paraId="499CEE20" w14:textId="77CECFA1" w:rsidR="0026024C" w:rsidRPr="00C25AF2" w:rsidRDefault="0026024C" w:rsidP="006677B5">
      <w:pPr>
        <w:pStyle w:val="FootnoteText"/>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SoCalGas response to Energy Division Staff data request submitted on February 11, 2025, Question 1.</w:t>
      </w:r>
      <w:r w:rsidR="00CB2177" w:rsidRPr="00C25AF2">
        <w:rPr>
          <w:rFonts w:ascii="Palatino Linotype" w:hAnsi="Palatino Linotype"/>
        </w:rPr>
        <w:t xml:space="preserve"> Attached in Appendix A</w:t>
      </w:r>
    </w:p>
  </w:footnote>
  <w:footnote w:id="23">
    <w:p w14:paraId="2DCBF4A8" w14:textId="77777777" w:rsidR="00BE31B9" w:rsidRPr="00C25AF2" w:rsidRDefault="00BE31B9" w:rsidP="00BE31B9">
      <w:pPr>
        <w:pStyle w:val="FootnoteText"/>
        <w:rPr>
          <w:rFonts w:ascii="Palatino Linotype" w:hAnsi="Palatino Linotype"/>
        </w:rPr>
      </w:pPr>
      <w:r w:rsidRPr="00C25AF2">
        <w:rPr>
          <w:rStyle w:val="FootnoteReference"/>
          <w:rFonts w:ascii="Palatino Linotype" w:hAnsi="Palatino Linotype"/>
        </w:rPr>
        <w:footnoteRef/>
      </w:r>
      <w:r w:rsidRPr="00C25AF2">
        <w:rPr>
          <w:rFonts w:ascii="Palatino Linotype" w:hAnsi="Palatino Linotype"/>
        </w:rPr>
        <w:t xml:space="preserve"> D.23-05-006, pg.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726D" w14:textId="678A2CA3" w:rsidR="00941324" w:rsidRPr="00C10BFB" w:rsidRDefault="009044A7">
    <w:pPr>
      <w:pStyle w:val="Header"/>
      <w:rPr>
        <w:rFonts w:ascii="Palatino Linotype" w:hAnsi="Palatino Linotype"/>
      </w:rPr>
    </w:pPr>
    <w:r w:rsidRPr="00C10BFB">
      <w:rPr>
        <w:rFonts w:ascii="Palatino Linotype" w:hAnsi="Palatino Linotype"/>
      </w:rPr>
      <w:t>ED/Resolution E-</w:t>
    </w:r>
    <w:r w:rsidR="004744AF" w:rsidRPr="00C10BFB">
      <w:rPr>
        <w:rFonts w:ascii="Palatino Linotype" w:hAnsi="Palatino Linotype"/>
      </w:rPr>
      <w:t>5394</w:t>
    </w:r>
    <w:r w:rsidR="004744AF" w:rsidRPr="00C10BFB">
      <w:rPr>
        <w:rFonts w:ascii="Palatino Linotype" w:hAnsi="Palatino Linotype"/>
      </w:rPr>
      <w:tab/>
      <w:t>DRAFT</w:t>
    </w:r>
    <w:r w:rsidR="004744AF" w:rsidRPr="00C10BFB">
      <w:rPr>
        <w:rFonts w:ascii="Palatino Linotype" w:hAnsi="Palatino Linotype"/>
      </w:rPr>
      <w:tab/>
      <w:t>June 12, 2025</w:t>
    </w:r>
  </w:p>
  <w:p w14:paraId="248645F4" w14:textId="03305706" w:rsidR="004744AF" w:rsidRDefault="004744AF">
    <w:pPr>
      <w:pStyle w:val="Header"/>
      <w:rPr>
        <w:rFonts w:ascii="Palatino Linotype" w:hAnsi="Palatino Linotype"/>
      </w:rPr>
    </w:pPr>
    <w:r w:rsidRPr="00C10BFB">
      <w:rPr>
        <w:rFonts w:ascii="Palatino Linotype" w:hAnsi="Palatino Linotype"/>
      </w:rPr>
      <w:t xml:space="preserve">(PG&amp;E AL 4994-G/7422-E, SCE AL 5403-E, SDG&amp;E AL 4543-E/3365-G, </w:t>
    </w:r>
    <w:r w:rsidR="00EF5029">
      <w:rPr>
        <w:rFonts w:ascii="Palatino Linotype" w:hAnsi="Palatino Linotype"/>
      </w:rPr>
      <w:br/>
    </w:r>
    <w:r w:rsidRPr="00C10BFB">
      <w:rPr>
        <w:rFonts w:ascii="Palatino Linotype" w:hAnsi="Palatino Linotype"/>
      </w:rPr>
      <w:t>SoCalGas AL 6398-G)</w:t>
    </w:r>
    <w:r w:rsidR="00C46C2E" w:rsidRPr="00C10BFB">
      <w:rPr>
        <w:rFonts w:ascii="Palatino Linotype" w:hAnsi="Palatino Linotype"/>
      </w:rPr>
      <w:t>/EH</w:t>
    </w:r>
    <w:r w:rsidR="00AB0C18" w:rsidRPr="00C10BFB">
      <w:rPr>
        <w:rFonts w:ascii="Palatino Linotype" w:hAnsi="Palatino Linotype"/>
      </w:rPr>
      <w:t>6</w:t>
    </w:r>
  </w:p>
  <w:p w14:paraId="2157CF8E" w14:textId="77777777" w:rsidR="00C10BFB" w:rsidRPr="00C10BFB" w:rsidRDefault="00C10BFB">
    <w:pPr>
      <w:pStyle w:val="Header"/>
      <w:rPr>
        <w:rFonts w:ascii="Palatino Linotype" w:hAnsi="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26D4" w14:textId="2AD8ACC2" w:rsidR="00982881" w:rsidRPr="00982881" w:rsidRDefault="00982881">
    <w:pPr>
      <w:pStyle w:val="Header"/>
      <w:rPr>
        <w:rFonts w:ascii="Palatino Linotype" w:hAnsi="Palatino Linotype"/>
      </w:rPr>
    </w:pPr>
    <w:r w:rsidRPr="00982881">
      <w:rPr>
        <w:rFonts w:ascii="Palatino Linotype" w:hAnsi="Palatino Linotype"/>
      </w:rPr>
      <w:tab/>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C428" w14:textId="77777777" w:rsidR="002B472F" w:rsidRPr="00C10BFB" w:rsidRDefault="002B472F">
    <w:pPr>
      <w:pStyle w:val="Header"/>
      <w:rPr>
        <w:rFonts w:ascii="Palatino Linotype" w:hAnsi="Palatino Linotype"/>
      </w:rPr>
    </w:pPr>
    <w:r w:rsidRPr="00C10BFB">
      <w:rPr>
        <w:rFonts w:ascii="Palatino Linotype" w:hAnsi="Palatino Linotype"/>
      </w:rPr>
      <w:t>ED/Resolution E-5394</w:t>
    </w:r>
    <w:r w:rsidRPr="00C10BFB">
      <w:rPr>
        <w:rFonts w:ascii="Palatino Linotype" w:hAnsi="Palatino Linotype"/>
      </w:rPr>
      <w:tab/>
      <w:t>DRAFT</w:t>
    </w:r>
    <w:r w:rsidRPr="00C10BFB">
      <w:rPr>
        <w:rFonts w:ascii="Palatino Linotype" w:hAnsi="Palatino Linotype"/>
      </w:rPr>
      <w:tab/>
      <w:t>June 12, 2025</w:t>
    </w:r>
  </w:p>
  <w:p w14:paraId="174D2553" w14:textId="77777777" w:rsidR="002B472F" w:rsidRDefault="002B472F">
    <w:pPr>
      <w:pStyle w:val="Header"/>
      <w:rPr>
        <w:rFonts w:ascii="Palatino Linotype" w:hAnsi="Palatino Linotype"/>
      </w:rPr>
    </w:pPr>
    <w:r w:rsidRPr="00C10BFB">
      <w:rPr>
        <w:rFonts w:ascii="Palatino Linotype" w:hAnsi="Palatino Linotype"/>
      </w:rPr>
      <w:t xml:space="preserve">(PG&amp;E AL 4994-G/7422-E, SCE AL 5403-E, SDG&amp;E AL 4543-E/3365-G, </w:t>
    </w:r>
    <w:r>
      <w:rPr>
        <w:rFonts w:ascii="Palatino Linotype" w:hAnsi="Palatino Linotype"/>
      </w:rPr>
      <w:br/>
    </w:r>
    <w:r w:rsidRPr="00C10BFB">
      <w:rPr>
        <w:rFonts w:ascii="Palatino Linotype" w:hAnsi="Palatino Linotype"/>
      </w:rPr>
      <w:t>SoCalGas AL 6398-G)/EH6</w:t>
    </w:r>
  </w:p>
  <w:p w14:paraId="059D9F1F" w14:textId="77777777" w:rsidR="002B472F" w:rsidRPr="00C10BFB" w:rsidRDefault="002B472F">
    <w:pPr>
      <w:pStyle w:val="Header"/>
      <w:rPr>
        <w:rFonts w:ascii="Palatino Linotype" w:hAnsi="Palatino Linotyp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D963" w14:textId="77777777" w:rsidR="00B71770" w:rsidRPr="00B71770" w:rsidRDefault="00B71770" w:rsidP="00B71770">
    <w:pPr>
      <w:pStyle w:val="Header"/>
      <w:rPr>
        <w:rFonts w:ascii="Palatino Linotype" w:hAnsi="Palatino Linotype"/>
      </w:rPr>
    </w:pPr>
    <w:r w:rsidRPr="00B71770">
      <w:rPr>
        <w:rFonts w:ascii="Palatino Linotype" w:hAnsi="Palatino Linotype"/>
      </w:rPr>
      <w:t>ED/Resolution E-5394</w:t>
    </w:r>
    <w:r w:rsidRPr="00B71770">
      <w:rPr>
        <w:rFonts w:ascii="Palatino Linotype" w:hAnsi="Palatino Linotype"/>
      </w:rPr>
      <w:tab/>
      <w:t>DRAFT</w:t>
    </w:r>
    <w:r w:rsidRPr="00B71770">
      <w:rPr>
        <w:rFonts w:ascii="Palatino Linotype" w:hAnsi="Palatino Linotype"/>
      </w:rPr>
      <w:tab/>
      <w:t>June 12, 2025</w:t>
    </w:r>
  </w:p>
  <w:p w14:paraId="19B971A0" w14:textId="77777777" w:rsidR="00B71770" w:rsidRPr="00B71770" w:rsidRDefault="00B71770" w:rsidP="00B71770">
    <w:pPr>
      <w:pStyle w:val="Header"/>
      <w:rPr>
        <w:rFonts w:ascii="Palatino Linotype" w:hAnsi="Palatino Linotype"/>
      </w:rPr>
    </w:pPr>
    <w:r w:rsidRPr="00B71770">
      <w:rPr>
        <w:rFonts w:ascii="Palatino Linotype" w:hAnsi="Palatino Linotype"/>
      </w:rPr>
      <w:t xml:space="preserve">(PG&amp;E AL 4994-G/7422-E, SCE AL 5403-E, SDG&amp;E AL 4543-E/3365-G, </w:t>
    </w:r>
    <w:r w:rsidRPr="00B71770">
      <w:rPr>
        <w:rFonts w:ascii="Palatino Linotype" w:hAnsi="Palatino Linotype"/>
      </w:rPr>
      <w:br/>
      <w:t>SoCalGas AL 6398-G)/EH6</w:t>
    </w:r>
  </w:p>
  <w:p w14:paraId="632748DC" w14:textId="70BD22D3" w:rsidR="00BA039D" w:rsidRPr="00B71770" w:rsidRDefault="00BA039D" w:rsidP="00B717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58B7" w14:textId="77777777" w:rsidR="00B71770" w:rsidRPr="00C10BFB" w:rsidRDefault="00B71770" w:rsidP="00B71770">
    <w:pPr>
      <w:pStyle w:val="Header"/>
      <w:rPr>
        <w:rFonts w:ascii="Palatino Linotype" w:hAnsi="Palatino Linotype"/>
      </w:rPr>
    </w:pPr>
    <w:r w:rsidRPr="00C10BFB">
      <w:rPr>
        <w:rFonts w:ascii="Palatino Linotype" w:hAnsi="Palatino Linotype"/>
      </w:rPr>
      <w:t>ED/Resolution E-5394</w:t>
    </w:r>
    <w:r w:rsidRPr="00C10BFB">
      <w:rPr>
        <w:rFonts w:ascii="Palatino Linotype" w:hAnsi="Palatino Linotype"/>
      </w:rPr>
      <w:tab/>
      <w:t>DRAFT</w:t>
    </w:r>
    <w:r w:rsidRPr="00C10BFB">
      <w:rPr>
        <w:rFonts w:ascii="Palatino Linotype" w:hAnsi="Palatino Linotype"/>
      </w:rPr>
      <w:tab/>
      <w:t>June 12, 2025</w:t>
    </w:r>
  </w:p>
  <w:p w14:paraId="5E9D13FC" w14:textId="77777777" w:rsidR="00B71770" w:rsidRDefault="00B71770" w:rsidP="00B71770">
    <w:pPr>
      <w:pStyle w:val="Header"/>
      <w:rPr>
        <w:rFonts w:ascii="Palatino Linotype" w:hAnsi="Palatino Linotype"/>
      </w:rPr>
    </w:pPr>
    <w:r w:rsidRPr="00C10BFB">
      <w:rPr>
        <w:rFonts w:ascii="Palatino Linotype" w:hAnsi="Palatino Linotype"/>
      </w:rPr>
      <w:t xml:space="preserve">(PG&amp;E AL 4994-G/7422-E, SCE AL 5403-E, SDG&amp;E AL 4543-E/3365-G, </w:t>
    </w:r>
    <w:r>
      <w:rPr>
        <w:rFonts w:ascii="Palatino Linotype" w:hAnsi="Palatino Linotype"/>
      </w:rPr>
      <w:br/>
    </w:r>
    <w:r w:rsidRPr="00C10BFB">
      <w:rPr>
        <w:rFonts w:ascii="Palatino Linotype" w:hAnsi="Palatino Linotype"/>
      </w:rPr>
      <w:t>SoCalGas AL 6398-G)/EH6</w:t>
    </w:r>
  </w:p>
  <w:p w14:paraId="70439280" w14:textId="77777777" w:rsidR="00A76F4A" w:rsidRPr="002A1AD8" w:rsidRDefault="00A76F4A" w:rsidP="007E2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9C0"/>
    <w:multiLevelType w:val="hybridMultilevel"/>
    <w:tmpl w:val="85847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E2D08D3"/>
    <w:multiLevelType w:val="hybridMultilevel"/>
    <w:tmpl w:val="9FA61168"/>
    <w:lvl w:ilvl="0" w:tplc="3A509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94FAC"/>
    <w:multiLevelType w:val="hybridMultilevel"/>
    <w:tmpl w:val="BC0A6602"/>
    <w:lvl w:ilvl="0" w:tplc="10D2C7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E70B6A"/>
    <w:multiLevelType w:val="hybridMultilevel"/>
    <w:tmpl w:val="401C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7E3"/>
    <w:multiLevelType w:val="hybridMultilevel"/>
    <w:tmpl w:val="A2783CFA"/>
    <w:lvl w:ilvl="0" w:tplc="28E440EC">
      <w:start w:val="1"/>
      <w:numFmt w:val="decimal"/>
      <w:lvlText w:val="%1."/>
      <w:lvlJc w:val="left"/>
      <w:pPr>
        <w:ind w:left="1080" w:hanging="360"/>
      </w:pPr>
    </w:lvl>
    <w:lvl w:ilvl="1" w:tplc="250828B8">
      <w:start w:val="1"/>
      <w:numFmt w:val="decimal"/>
      <w:lvlText w:val="%2."/>
      <w:lvlJc w:val="left"/>
      <w:pPr>
        <w:ind w:left="1080" w:hanging="360"/>
      </w:pPr>
    </w:lvl>
    <w:lvl w:ilvl="2" w:tplc="BBA07820">
      <w:start w:val="1"/>
      <w:numFmt w:val="lowerRoman"/>
      <w:lvlText w:val="%3."/>
      <w:lvlJc w:val="right"/>
      <w:pPr>
        <w:ind w:left="1440" w:hanging="360"/>
      </w:pPr>
    </w:lvl>
    <w:lvl w:ilvl="3" w:tplc="629684C4">
      <w:start w:val="1"/>
      <w:numFmt w:val="decimal"/>
      <w:lvlText w:val="%4."/>
      <w:lvlJc w:val="left"/>
      <w:pPr>
        <w:ind w:left="1080" w:hanging="360"/>
      </w:pPr>
    </w:lvl>
    <w:lvl w:ilvl="4" w:tplc="EAB480F0">
      <w:start w:val="1"/>
      <w:numFmt w:val="decimal"/>
      <w:lvlText w:val="%5."/>
      <w:lvlJc w:val="left"/>
      <w:pPr>
        <w:ind w:left="1080" w:hanging="360"/>
      </w:pPr>
    </w:lvl>
    <w:lvl w:ilvl="5" w:tplc="143E002A">
      <w:start w:val="1"/>
      <w:numFmt w:val="decimal"/>
      <w:lvlText w:val="%6."/>
      <w:lvlJc w:val="left"/>
      <w:pPr>
        <w:ind w:left="1080" w:hanging="360"/>
      </w:pPr>
    </w:lvl>
    <w:lvl w:ilvl="6" w:tplc="89948830">
      <w:start w:val="1"/>
      <w:numFmt w:val="decimal"/>
      <w:lvlText w:val="%7."/>
      <w:lvlJc w:val="left"/>
      <w:pPr>
        <w:ind w:left="1080" w:hanging="360"/>
      </w:pPr>
    </w:lvl>
    <w:lvl w:ilvl="7" w:tplc="406CD5E2">
      <w:start w:val="1"/>
      <w:numFmt w:val="decimal"/>
      <w:lvlText w:val="%8."/>
      <w:lvlJc w:val="left"/>
      <w:pPr>
        <w:ind w:left="1080" w:hanging="360"/>
      </w:pPr>
    </w:lvl>
    <w:lvl w:ilvl="8" w:tplc="DDDE275C">
      <w:start w:val="1"/>
      <w:numFmt w:val="decimal"/>
      <w:lvlText w:val="%9."/>
      <w:lvlJc w:val="left"/>
      <w:pPr>
        <w:ind w:left="1080" w:hanging="360"/>
      </w:pPr>
    </w:lvl>
  </w:abstractNum>
  <w:abstractNum w:abstractNumId="7" w15:restartNumberingAfterBreak="0">
    <w:nsid w:val="4BD7341B"/>
    <w:multiLevelType w:val="hybridMultilevel"/>
    <w:tmpl w:val="95C29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32902"/>
    <w:multiLevelType w:val="hybridMultilevel"/>
    <w:tmpl w:val="D1E2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0"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944842790">
    <w:abstractNumId w:val="9"/>
  </w:num>
  <w:num w:numId="2" w16cid:durableId="1991593136">
    <w:abstractNumId w:val="1"/>
  </w:num>
  <w:num w:numId="3" w16cid:durableId="1754620235">
    <w:abstractNumId w:val="4"/>
  </w:num>
  <w:num w:numId="4" w16cid:durableId="969365539">
    <w:abstractNumId w:val="11"/>
  </w:num>
  <w:num w:numId="5" w16cid:durableId="468133998">
    <w:abstractNumId w:val="10"/>
  </w:num>
  <w:num w:numId="6" w16cid:durableId="426273653">
    <w:abstractNumId w:val="12"/>
  </w:num>
  <w:num w:numId="7" w16cid:durableId="815609402">
    <w:abstractNumId w:val="6"/>
  </w:num>
  <w:num w:numId="8" w16cid:durableId="1343314312">
    <w:abstractNumId w:val="3"/>
  </w:num>
  <w:num w:numId="9" w16cid:durableId="1850365341">
    <w:abstractNumId w:val="5"/>
  </w:num>
  <w:num w:numId="10" w16cid:durableId="525095889">
    <w:abstractNumId w:val="8"/>
  </w:num>
  <w:num w:numId="11" w16cid:durableId="640890821">
    <w:abstractNumId w:val="7"/>
  </w:num>
  <w:num w:numId="12" w16cid:durableId="2073457596">
    <w:abstractNumId w:val="0"/>
  </w:num>
  <w:num w:numId="13" w16cid:durableId="434134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117B8"/>
    <w:rsid w:val="00014DC7"/>
    <w:rsid w:val="000167E9"/>
    <w:rsid w:val="0002251F"/>
    <w:rsid w:val="00023A33"/>
    <w:rsid w:val="00025F62"/>
    <w:rsid w:val="00030603"/>
    <w:rsid w:val="00037A8B"/>
    <w:rsid w:val="00044ED9"/>
    <w:rsid w:val="00054D11"/>
    <w:rsid w:val="00055C17"/>
    <w:rsid w:val="00060333"/>
    <w:rsid w:val="0006067A"/>
    <w:rsid w:val="00062BB8"/>
    <w:rsid w:val="000638EC"/>
    <w:rsid w:val="00064865"/>
    <w:rsid w:val="00067BB8"/>
    <w:rsid w:val="00071DC9"/>
    <w:rsid w:val="00072D5C"/>
    <w:rsid w:val="00073D88"/>
    <w:rsid w:val="0007413A"/>
    <w:rsid w:val="00076326"/>
    <w:rsid w:val="000767E8"/>
    <w:rsid w:val="0008466E"/>
    <w:rsid w:val="000846F0"/>
    <w:rsid w:val="00085282"/>
    <w:rsid w:val="0008655B"/>
    <w:rsid w:val="000915BB"/>
    <w:rsid w:val="000959FF"/>
    <w:rsid w:val="000A3769"/>
    <w:rsid w:val="000A428F"/>
    <w:rsid w:val="000B11C6"/>
    <w:rsid w:val="000B6C08"/>
    <w:rsid w:val="000C6148"/>
    <w:rsid w:val="000D1DEA"/>
    <w:rsid w:val="000D2ABC"/>
    <w:rsid w:val="000D70D2"/>
    <w:rsid w:val="000D7AA9"/>
    <w:rsid w:val="000E0950"/>
    <w:rsid w:val="000F2F57"/>
    <w:rsid w:val="000F4F66"/>
    <w:rsid w:val="000F531C"/>
    <w:rsid w:val="00112462"/>
    <w:rsid w:val="0012447E"/>
    <w:rsid w:val="00125C07"/>
    <w:rsid w:val="00127E48"/>
    <w:rsid w:val="001317EC"/>
    <w:rsid w:val="0013551A"/>
    <w:rsid w:val="001359C4"/>
    <w:rsid w:val="001366F4"/>
    <w:rsid w:val="0014509F"/>
    <w:rsid w:val="00145201"/>
    <w:rsid w:val="0014681F"/>
    <w:rsid w:val="001479A4"/>
    <w:rsid w:val="001506A4"/>
    <w:rsid w:val="00157CC1"/>
    <w:rsid w:val="00160A3B"/>
    <w:rsid w:val="00170F66"/>
    <w:rsid w:val="001750B4"/>
    <w:rsid w:val="00175A8E"/>
    <w:rsid w:val="00177052"/>
    <w:rsid w:val="00185F80"/>
    <w:rsid w:val="00195A07"/>
    <w:rsid w:val="001A05D3"/>
    <w:rsid w:val="001A0D53"/>
    <w:rsid w:val="001A0D56"/>
    <w:rsid w:val="001A1C3E"/>
    <w:rsid w:val="001A2874"/>
    <w:rsid w:val="001B1D2B"/>
    <w:rsid w:val="001B307C"/>
    <w:rsid w:val="001B3DEB"/>
    <w:rsid w:val="001C06DA"/>
    <w:rsid w:val="001C5DB7"/>
    <w:rsid w:val="001C5DD2"/>
    <w:rsid w:val="001D225F"/>
    <w:rsid w:val="001D228B"/>
    <w:rsid w:val="001D41A9"/>
    <w:rsid w:val="001D6142"/>
    <w:rsid w:val="001E1EF1"/>
    <w:rsid w:val="001E3B33"/>
    <w:rsid w:val="001E435D"/>
    <w:rsid w:val="001E4F29"/>
    <w:rsid w:val="001E72EA"/>
    <w:rsid w:val="001F0C7E"/>
    <w:rsid w:val="001F2CD6"/>
    <w:rsid w:val="001F2DCC"/>
    <w:rsid w:val="001F77C0"/>
    <w:rsid w:val="00200AEB"/>
    <w:rsid w:val="0020440B"/>
    <w:rsid w:val="00205C57"/>
    <w:rsid w:val="00207646"/>
    <w:rsid w:val="00210FA7"/>
    <w:rsid w:val="002115A1"/>
    <w:rsid w:val="00214756"/>
    <w:rsid w:val="002257A9"/>
    <w:rsid w:val="00230145"/>
    <w:rsid w:val="00233FC6"/>
    <w:rsid w:val="0023719C"/>
    <w:rsid w:val="0024275F"/>
    <w:rsid w:val="00242FC0"/>
    <w:rsid w:val="0024367C"/>
    <w:rsid w:val="00251E54"/>
    <w:rsid w:val="00253185"/>
    <w:rsid w:val="00253F21"/>
    <w:rsid w:val="00254AC7"/>
    <w:rsid w:val="0026024C"/>
    <w:rsid w:val="00261C4B"/>
    <w:rsid w:val="0026214E"/>
    <w:rsid w:val="002640DD"/>
    <w:rsid w:val="00274151"/>
    <w:rsid w:val="00277467"/>
    <w:rsid w:val="00277F02"/>
    <w:rsid w:val="002818A6"/>
    <w:rsid w:val="00283009"/>
    <w:rsid w:val="002846CD"/>
    <w:rsid w:val="00285331"/>
    <w:rsid w:val="00286F57"/>
    <w:rsid w:val="00293A50"/>
    <w:rsid w:val="00293DFF"/>
    <w:rsid w:val="00294379"/>
    <w:rsid w:val="00294834"/>
    <w:rsid w:val="002962F3"/>
    <w:rsid w:val="002A2598"/>
    <w:rsid w:val="002A2E4E"/>
    <w:rsid w:val="002A5378"/>
    <w:rsid w:val="002B155A"/>
    <w:rsid w:val="002B22D1"/>
    <w:rsid w:val="002B472F"/>
    <w:rsid w:val="002C11A2"/>
    <w:rsid w:val="002C16A7"/>
    <w:rsid w:val="002C4FC0"/>
    <w:rsid w:val="002C5C38"/>
    <w:rsid w:val="002D5BD3"/>
    <w:rsid w:val="002D6B8F"/>
    <w:rsid w:val="002E0C5E"/>
    <w:rsid w:val="002E13EF"/>
    <w:rsid w:val="002E3CBF"/>
    <w:rsid w:val="002E618C"/>
    <w:rsid w:val="002E6452"/>
    <w:rsid w:val="002F11F0"/>
    <w:rsid w:val="002F1BBA"/>
    <w:rsid w:val="002F2420"/>
    <w:rsid w:val="00302124"/>
    <w:rsid w:val="00302F07"/>
    <w:rsid w:val="00304627"/>
    <w:rsid w:val="0031422E"/>
    <w:rsid w:val="00315161"/>
    <w:rsid w:val="003158B8"/>
    <w:rsid w:val="00315F26"/>
    <w:rsid w:val="003163C2"/>
    <w:rsid w:val="00322D6F"/>
    <w:rsid w:val="0032576F"/>
    <w:rsid w:val="00327641"/>
    <w:rsid w:val="00331B2F"/>
    <w:rsid w:val="00336C20"/>
    <w:rsid w:val="00337DBD"/>
    <w:rsid w:val="00340A59"/>
    <w:rsid w:val="00340A62"/>
    <w:rsid w:val="00345698"/>
    <w:rsid w:val="00350333"/>
    <w:rsid w:val="0035135F"/>
    <w:rsid w:val="0035215B"/>
    <w:rsid w:val="00353906"/>
    <w:rsid w:val="003539AE"/>
    <w:rsid w:val="003541F8"/>
    <w:rsid w:val="00360B1C"/>
    <w:rsid w:val="00362241"/>
    <w:rsid w:val="0036403D"/>
    <w:rsid w:val="0036665D"/>
    <w:rsid w:val="0037184C"/>
    <w:rsid w:val="00373CC1"/>
    <w:rsid w:val="00381012"/>
    <w:rsid w:val="00382DD4"/>
    <w:rsid w:val="003852AB"/>
    <w:rsid w:val="00394951"/>
    <w:rsid w:val="003A1ACC"/>
    <w:rsid w:val="003A3837"/>
    <w:rsid w:val="003A5D5D"/>
    <w:rsid w:val="003B2837"/>
    <w:rsid w:val="003B2C13"/>
    <w:rsid w:val="003B3E43"/>
    <w:rsid w:val="003B5FB1"/>
    <w:rsid w:val="003B7D03"/>
    <w:rsid w:val="003C1161"/>
    <w:rsid w:val="003C1AEB"/>
    <w:rsid w:val="003C5624"/>
    <w:rsid w:val="003C616A"/>
    <w:rsid w:val="003D082A"/>
    <w:rsid w:val="003D0C8E"/>
    <w:rsid w:val="003D0D37"/>
    <w:rsid w:val="003D18B9"/>
    <w:rsid w:val="003D284C"/>
    <w:rsid w:val="003D6580"/>
    <w:rsid w:val="003E151E"/>
    <w:rsid w:val="003E6520"/>
    <w:rsid w:val="003E6A31"/>
    <w:rsid w:val="003E6C2F"/>
    <w:rsid w:val="003E7CB9"/>
    <w:rsid w:val="003E7DF6"/>
    <w:rsid w:val="003F5509"/>
    <w:rsid w:val="00407A6C"/>
    <w:rsid w:val="00411DB6"/>
    <w:rsid w:val="00415315"/>
    <w:rsid w:val="0041662E"/>
    <w:rsid w:val="004170F2"/>
    <w:rsid w:val="00421751"/>
    <w:rsid w:val="00432BFF"/>
    <w:rsid w:val="00436081"/>
    <w:rsid w:val="004363C6"/>
    <w:rsid w:val="00440EB6"/>
    <w:rsid w:val="00445574"/>
    <w:rsid w:val="0044728F"/>
    <w:rsid w:val="00447A51"/>
    <w:rsid w:val="00450DD4"/>
    <w:rsid w:val="00451270"/>
    <w:rsid w:val="00452563"/>
    <w:rsid w:val="00461C14"/>
    <w:rsid w:val="00463DE5"/>
    <w:rsid w:val="0046509C"/>
    <w:rsid w:val="00466C9E"/>
    <w:rsid w:val="00473945"/>
    <w:rsid w:val="004744AF"/>
    <w:rsid w:val="004761CF"/>
    <w:rsid w:val="004770C7"/>
    <w:rsid w:val="004818AA"/>
    <w:rsid w:val="00482914"/>
    <w:rsid w:val="00486E66"/>
    <w:rsid w:val="00490E76"/>
    <w:rsid w:val="00492573"/>
    <w:rsid w:val="00492E24"/>
    <w:rsid w:val="00495DB3"/>
    <w:rsid w:val="004A1FD9"/>
    <w:rsid w:val="004A26FA"/>
    <w:rsid w:val="004A2C05"/>
    <w:rsid w:val="004A2E3B"/>
    <w:rsid w:val="004A30D3"/>
    <w:rsid w:val="004A6C10"/>
    <w:rsid w:val="004B17E0"/>
    <w:rsid w:val="004B504C"/>
    <w:rsid w:val="004C5E75"/>
    <w:rsid w:val="004D0E69"/>
    <w:rsid w:val="004D2C83"/>
    <w:rsid w:val="004D339D"/>
    <w:rsid w:val="004E21A5"/>
    <w:rsid w:val="004E2CCD"/>
    <w:rsid w:val="004E2F32"/>
    <w:rsid w:val="004F0C11"/>
    <w:rsid w:val="004F1B84"/>
    <w:rsid w:val="0050093C"/>
    <w:rsid w:val="00510189"/>
    <w:rsid w:val="00510FF3"/>
    <w:rsid w:val="005119E1"/>
    <w:rsid w:val="0051768E"/>
    <w:rsid w:val="00521620"/>
    <w:rsid w:val="00522C02"/>
    <w:rsid w:val="0052355A"/>
    <w:rsid w:val="00524E00"/>
    <w:rsid w:val="00525092"/>
    <w:rsid w:val="005321EC"/>
    <w:rsid w:val="00532CE2"/>
    <w:rsid w:val="00533B39"/>
    <w:rsid w:val="0053575A"/>
    <w:rsid w:val="00537B91"/>
    <w:rsid w:val="00541F94"/>
    <w:rsid w:val="00543ACD"/>
    <w:rsid w:val="00545A84"/>
    <w:rsid w:val="00546E23"/>
    <w:rsid w:val="00561311"/>
    <w:rsid w:val="0056572C"/>
    <w:rsid w:val="00566325"/>
    <w:rsid w:val="00575B5C"/>
    <w:rsid w:val="005776E5"/>
    <w:rsid w:val="005811B7"/>
    <w:rsid w:val="00581498"/>
    <w:rsid w:val="00583A3F"/>
    <w:rsid w:val="005862A6"/>
    <w:rsid w:val="005901DA"/>
    <w:rsid w:val="0059676A"/>
    <w:rsid w:val="00596B83"/>
    <w:rsid w:val="005A62A6"/>
    <w:rsid w:val="005A6580"/>
    <w:rsid w:val="005A7C3C"/>
    <w:rsid w:val="005B18E0"/>
    <w:rsid w:val="005B194D"/>
    <w:rsid w:val="005B1E33"/>
    <w:rsid w:val="005B2B65"/>
    <w:rsid w:val="005B3231"/>
    <w:rsid w:val="005B44CA"/>
    <w:rsid w:val="005B463C"/>
    <w:rsid w:val="005C12E5"/>
    <w:rsid w:val="005C3231"/>
    <w:rsid w:val="005C3703"/>
    <w:rsid w:val="005C3714"/>
    <w:rsid w:val="005C3DCD"/>
    <w:rsid w:val="005C51B7"/>
    <w:rsid w:val="005C7AF5"/>
    <w:rsid w:val="005C7EF0"/>
    <w:rsid w:val="005D3EA1"/>
    <w:rsid w:val="005D484E"/>
    <w:rsid w:val="005E0142"/>
    <w:rsid w:val="005E1E91"/>
    <w:rsid w:val="005E33D0"/>
    <w:rsid w:val="005E5A5A"/>
    <w:rsid w:val="005F3A74"/>
    <w:rsid w:val="005F469D"/>
    <w:rsid w:val="005F4D78"/>
    <w:rsid w:val="006022FC"/>
    <w:rsid w:val="00604B7D"/>
    <w:rsid w:val="0060658B"/>
    <w:rsid w:val="00607988"/>
    <w:rsid w:val="006116B2"/>
    <w:rsid w:val="00614555"/>
    <w:rsid w:val="00615400"/>
    <w:rsid w:val="006167AF"/>
    <w:rsid w:val="00616D12"/>
    <w:rsid w:val="00624259"/>
    <w:rsid w:val="006247F1"/>
    <w:rsid w:val="006271BE"/>
    <w:rsid w:val="00631744"/>
    <w:rsid w:val="006330D8"/>
    <w:rsid w:val="00633317"/>
    <w:rsid w:val="0063389F"/>
    <w:rsid w:val="00637E31"/>
    <w:rsid w:val="0064197B"/>
    <w:rsid w:val="006440FA"/>
    <w:rsid w:val="00644603"/>
    <w:rsid w:val="00644E94"/>
    <w:rsid w:val="00663BFB"/>
    <w:rsid w:val="006677B5"/>
    <w:rsid w:val="00673F58"/>
    <w:rsid w:val="0067508E"/>
    <w:rsid w:val="00675A46"/>
    <w:rsid w:val="00677373"/>
    <w:rsid w:val="00680523"/>
    <w:rsid w:val="006813D7"/>
    <w:rsid w:val="006815C9"/>
    <w:rsid w:val="00682123"/>
    <w:rsid w:val="006827E5"/>
    <w:rsid w:val="00692320"/>
    <w:rsid w:val="00694612"/>
    <w:rsid w:val="00695F7F"/>
    <w:rsid w:val="00696076"/>
    <w:rsid w:val="00696BB4"/>
    <w:rsid w:val="006A1579"/>
    <w:rsid w:val="006A1AE1"/>
    <w:rsid w:val="006A25B4"/>
    <w:rsid w:val="006A2F08"/>
    <w:rsid w:val="006A3818"/>
    <w:rsid w:val="006A3B6B"/>
    <w:rsid w:val="006A54EB"/>
    <w:rsid w:val="006C35EF"/>
    <w:rsid w:val="006C36B9"/>
    <w:rsid w:val="006C4D8F"/>
    <w:rsid w:val="006D2458"/>
    <w:rsid w:val="006D2962"/>
    <w:rsid w:val="006D50A5"/>
    <w:rsid w:val="006D6D55"/>
    <w:rsid w:val="006D7CAF"/>
    <w:rsid w:val="006F1EFC"/>
    <w:rsid w:val="006F411C"/>
    <w:rsid w:val="006F5AFC"/>
    <w:rsid w:val="006F5C2A"/>
    <w:rsid w:val="006F682E"/>
    <w:rsid w:val="006F6957"/>
    <w:rsid w:val="006F719F"/>
    <w:rsid w:val="00702DDB"/>
    <w:rsid w:val="00702F92"/>
    <w:rsid w:val="00703694"/>
    <w:rsid w:val="00703732"/>
    <w:rsid w:val="00705E27"/>
    <w:rsid w:val="00711EA4"/>
    <w:rsid w:val="00726341"/>
    <w:rsid w:val="007309E7"/>
    <w:rsid w:val="00733AB2"/>
    <w:rsid w:val="00744303"/>
    <w:rsid w:val="00747533"/>
    <w:rsid w:val="00752DA5"/>
    <w:rsid w:val="00754C28"/>
    <w:rsid w:val="00754FAB"/>
    <w:rsid w:val="007601C4"/>
    <w:rsid w:val="00760947"/>
    <w:rsid w:val="00762ACE"/>
    <w:rsid w:val="00762C5D"/>
    <w:rsid w:val="007678AA"/>
    <w:rsid w:val="00771189"/>
    <w:rsid w:val="007738EE"/>
    <w:rsid w:val="00774C87"/>
    <w:rsid w:val="00775913"/>
    <w:rsid w:val="00777618"/>
    <w:rsid w:val="007813CB"/>
    <w:rsid w:val="00786613"/>
    <w:rsid w:val="007870A5"/>
    <w:rsid w:val="00791364"/>
    <w:rsid w:val="0079285B"/>
    <w:rsid w:val="00793383"/>
    <w:rsid w:val="00793F2E"/>
    <w:rsid w:val="007955A3"/>
    <w:rsid w:val="007A0783"/>
    <w:rsid w:val="007A407F"/>
    <w:rsid w:val="007A4380"/>
    <w:rsid w:val="007A5937"/>
    <w:rsid w:val="007A7003"/>
    <w:rsid w:val="007B4594"/>
    <w:rsid w:val="007B61E8"/>
    <w:rsid w:val="007B701F"/>
    <w:rsid w:val="007C0FF9"/>
    <w:rsid w:val="007C1CB5"/>
    <w:rsid w:val="007C590B"/>
    <w:rsid w:val="007D2EE9"/>
    <w:rsid w:val="007D6F7F"/>
    <w:rsid w:val="007D731E"/>
    <w:rsid w:val="007E0703"/>
    <w:rsid w:val="007E2D2F"/>
    <w:rsid w:val="007E4F35"/>
    <w:rsid w:val="007E5B30"/>
    <w:rsid w:val="007E76DF"/>
    <w:rsid w:val="007F13B6"/>
    <w:rsid w:val="007F5B06"/>
    <w:rsid w:val="007F60A2"/>
    <w:rsid w:val="00802705"/>
    <w:rsid w:val="00821FCB"/>
    <w:rsid w:val="008243D0"/>
    <w:rsid w:val="0082689B"/>
    <w:rsid w:val="00834C7B"/>
    <w:rsid w:val="008437FC"/>
    <w:rsid w:val="00851112"/>
    <w:rsid w:val="00851BE2"/>
    <w:rsid w:val="00855400"/>
    <w:rsid w:val="008554C1"/>
    <w:rsid w:val="008562CF"/>
    <w:rsid w:val="00871596"/>
    <w:rsid w:val="00874C40"/>
    <w:rsid w:val="008774CB"/>
    <w:rsid w:val="008800BC"/>
    <w:rsid w:val="0088265C"/>
    <w:rsid w:val="00882959"/>
    <w:rsid w:val="00884DA2"/>
    <w:rsid w:val="00885B4F"/>
    <w:rsid w:val="00886844"/>
    <w:rsid w:val="00887987"/>
    <w:rsid w:val="008A2E84"/>
    <w:rsid w:val="008A485F"/>
    <w:rsid w:val="008B1ED1"/>
    <w:rsid w:val="008B1FC8"/>
    <w:rsid w:val="008B5FA4"/>
    <w:rsid w:val="008B6102"/>
    <w:rsid w:val="008B7841"/>
    <w:rsid w:val="008B799A"/>
    <w:rsid w:val="008C3C77"/>
    <w:rsid w:val="008C75C8"/>
    <w:rsid w:val="008C7C39"/>
    <w:rsid w:val="008D6574"/>
    <w:rsid w:val="008E33D5"/>
    <w:rsid w:val="008E687E"/>
    <w:rsid w:val="008E6AA9"/>
    <w:rsid w:val="008E6E9B"/>
    <w:rsid w:val="008F5D59"/>
    <w:rsid w:val="008F6E35"/>
    <w:rsid w:val="008F72EB"/>
    <w:rsid w:val="008F75F0"/>
    <w:rsid w:val="00900EBF"/>
    <w:rsid w:val="0090287B"/>
    <w:rsid w:val="009044A7"/>
    <w:rsid w:val="009046A8"/>
    <w:rsid w:val="00906EB7"/>
    <w:rsid w:val="009118BD"/>
    <w:rsid w:val="009134BD"/>
    <w:rsid w:val="009160DF"/>
    <w:rsid w:val="0091611A"/>
    <w:rsid w:val="0092349D"/>
    <w:rsid w:val="00924A53"/>
    <w:rsid w:val="009259BD"/>
    <w:rsid w:val="00931CA0"/>
    <w:rsid w:val="009330CB"/>
    <w:rsid w:val="00933DF4"/>
    <w:rsid w:val="00937ABE"/>
    <w:rsid w:val="00941324"/>
    <w:rsid w:val="00943C59"/>
    <w:rsid w:val="0094485D"/>
    <w:rsid w:val="00947B16"/>
    <w:rsid w:val="009523F9"/>
    <w:rsid w:val="00952A87"/>
    <w:rsid w:val="009635B0"/>
    <w:rsid w:val="009637E5"/>
    <w:rsid w:val="009638F3"/>
    <w:rsid w:val="00970971"/>
    <w:rsid w:val="009716D9"/>
    <w:rsid w:val="00971D68"/>
    <w:rsid w:val="00973889"/>
    <w:rsid w:val="0097491C"/>
    <w:rsid w:val="00974A98"/>
    <w:rsid w:val="00981335"/>
    <w:rsid w:val="00981DFC"/>
    <w:rsid w:val="00982881"/>
    <w:rsid w:val="0098293B"/>
    <w:rsid w:val="0098791D"/>
    <w:rsid w:val="009900DF"/>
    <w:rsid w:val="00995C0F"/>
    <w:rsid w:val="009972D8"/>
    <w:rsid w:val="009A23A5"/>
    <w:rsid w:val="009A26A3"/>
    <w:rsid w:val="009A2A87"/>
    <w:rsid w:val="009A5BF4"/>
    <w:rsid w:val="009C4BA1"/>
    <w:rsid w:val="009C5737"/>
    <w:rsid w:val="009D73C0"/>
    <w:rsid w:val="009F1505"/>
    <w:rsid w:val="009F4897"/>
    <w:rsid w:val="00A01395"/>
    <w:rsid w:val="00A0477A"/>
    <w:rsid w:val="00A04A5C"/>
    <w:rsid w:val="00A06519"/>
    <w:rsid w:val="00A0767F"/>
    <w:rsid w:val="00A0778F"/>
    <w:rsid w:val="00A0A12A"/>
    <w:rsid w:val="00A139E6"/>
    <w:rsid w:val="00A16336"/>
    <w:rsid w:val="00A17301"/>
    <w:rsid w:val="00A179CD"/>
    <w:rsid w:val="00A205EE"/>
    <w:rsid w:val="00A21E60"/>
    <w:rsid w:val="00A23270"/>
    <w:rsid w:val="00A26195"/>
    <w:rsid w:val="00A261F6"/>
    <w:rsid w:val="00A31823"/>
    <w:rsid w:val="00A325B2"/>
    <w:rsid w:val="00A33588"/>
    <w:rsid w:val="00A3446A"/>
    <w:rsid w:val="00A429A5"/>
    <w:rsid w:val="00A44EF2"/>
    <w:rsid w:val="00A6363B"/>
    <w:rsid w:val="00A6481C"/>
    <w:rsid w:val="00A64ABA"/>
    <w:rsid w:val="00A653F9"/>
    <w:rsid w:val="00A66593"/>
    <w:rsid w:val="00A71EAC"/>
    <w:rsid w:val="00A76F4A"/>
    <w:rsid w:val="00A82160"/>
    <w:rsid w:val="00A86DCD"/>
    <w:rsid w:val="00A870B8"/>
    <w:rsid w:val="00A91E65"/>
    <w:rsid w:val="00A92342"/>
    <w:rsid w:val="00A92366"/>
    <w:rsid w:val="00A932BE"/>
    <w:rsid w:val="00A93D66"/>
    <w:rsid w:val="00A94F95"/>
    <w:rsid w:val="00A951A6"/>
    <w:rsid w:val="00A95D65"/>
    <w:rsid w:val="00AA0A72"/>
    <w:rsid w:val="00AA1F21"/>
    <w:rsid w:val="00AA25D9"/>
    <w:rsid w:val="00AA4454"/>
    <w:rsid w:val="00AA4C60"/>
    <w:rsid w:val="00AA4C76"/>
    <w:rsid w:val="00AA4D4C"/>
    <w:rsid w:val="00AA5781"/>
    <w:rsid w:val="00AA73FB"/>
    <w:rsid w:val="00AB0C18"/>
    <w:rsid w:val="00AB34DE"/>
    <w:rsid w:val="00AB3EFA"/>
    <w:rsid w:val="00AB3FB5"/>
    <w:rsid w:val="00AB69F4"/>
    <w:rsid w:val="00AC0362"/>
    <w:rsid w:val="00AC4B6C"/>
    <w:rsid w:val="00AD66C3"/>
    <w:rsid w:val="00AD7207"/>
    <w:rsid w:val="00AE19D6"/>
    <w:rsid w:val="00AE1E94"/>
    <w:rsid w:val="00AE7E3A"/>
    <w:rsid w:val="00AF2D66"/>
    <w:rsid w:val="00AF7437"/>
    <w:rsid w:val="00AF7DC5"/>
    <w:rsid w:val="00B12DC5"/>
    <w:rsid w:val="00B12EB6"/>
    <w:rsid w:val="00B13B63"/>
    <w:rsid w:val="00B14A21"/>
    <w:rsid w:val="00B16B55"/>
    <w:rsid w:val="00B24731"/>
    <w:rsid w:val="00B2724A"/>
    <w:rsid w:val="00B273F9"/>
    <w:rsid w:val="00B32298"/>
    <w:rsid w:val="00B331A4"/>
    <w:rsid w:val="00B410A2"/>
    <w:rsid w:val="00B43A1A"/>
    <w:rsid w:val="00B43DA2"/>
    <w:rsid w:val="00B45D36"/>
    <w:rsid w:val="00B46A39"/>
    <w:rsid w:val="00B52038"/>
    <w:rsid w:val="00B5362C"/>
    <w:rsid w:val="00B54CED"/>
    <w:rsid w:val="00B65035"/>
    <w:rsid w:val="00B66700"/>
    <w:rsid w:val="00B676A0"/>
    <w:rsid w:val="00B71403"/>
    <w:rsid w:val="00B7172B"/>
    <w:rsid w:val="00B71770"/>
    <w:rsid w:val="00B778BD"/>
    <w:rsid w:val="00B8118F"/>
    <w:rsid w:val="00B877A7"/>
    <w:rsid w:val="00B94636"/>
    <w:rsid w:val="00B94EE8"/>
    <w:rsid w:val="00B952A8"/>
    <w:rsid w:val="00B95CA8"/>
    <w:rsid w:val="00B97B36"/>
    <w:rsid w:val="00B97C2C"/>
    <w:rsid w:val="00BA039D"/>
    <w:rsid w:val="00BA466C"/>
    <w:rsid w:val="00BA789D"/>
    <w:rsid w:val="00BB00F3"/>
    <w:rsid w:val="00BB042A"/>
    <w:rsid w:val="00BB0DB5"/>
    <w:rsid w:val="00BB2695"/>
    <w:rsid w:val="00BC0794"/>
    <w:rsid w:val="00BC6C20"/>
    <w:rsid w:val="00BD3E23"/>
    <w:rsid w:val="00BD4350"/>
    <w:rsid w:val="00BD5BB0"/>
    <w:rsid w:val="00BD6829"/>
    <w:rsid w:val="00BD6C49"/>
    <w:rsid w:val="00BE0B4E"/>
    <w:rsid w:val="00BE2D03"/>
    <w:rsid w:val="00BE31B9"/>
    <w:rsid w:val="00BF69D2"/>
    <w:rsid w:val="00C029B1"/>
    <w:rsid w:val="00C03306"/>
    <w:rsid w:val="00C039E4"/>
    <w:rsid w:val="00C04DCA"/>
    <w:rsid w:val="00C10BFB"/>
    <w:rsid w:val="00C1762A"/>
    <w:rsid w:val="00C25AF2"/>
    <w:rsid w:val="00C267E3"/>
    <w:rsid w:val="00C26E93"/>
    <w:rsid w:val="00C34565"/>
    <w:rsid w:val="00C359C2"/>
    <w:rsid w:val="00C37AAD"/>
    <w:rsid w:val="00C42F15"/>
    <w:rsid w:val="00C46874"/>
    <w:rsid w:val="00C46C2E"/>
    <w:rsid w:val="00C47BB9"/>
    <w:rsid w:val="00C543E1"/>
    <w:rsid w:val="00C54EBF"/>
    <w:rsid w:val="00C65FE1"/>
    <w:rsid w:val="00C66043"/>
    <w:rsid w:val="00C66EEE"/>
    <w:rsid w:val="00C67A0A"/>
    <w:rsid w:val="00C7622B"/>
    <w:rsid w:val="00C76583"/>
    <w:rsid w:val="00C77ED9"/>
    <w:rsid w:val="00C84D58"/>
    <w:rsid w:val="00C91A2D"/>
    <w:rsid w:val="00C91EF0"/>
    <w:rsid w:val="00C93240"/>
    <w:rsid w:val="00C940AE"/>
    <w:rsid w:val="00CA0743"/>
    <w:rsid w:val="00CA1828"/>
    <w:rsid w:val="00CA296D"/>
    <w:rsid w:val="00CA42A7"/>
    <w:rsid w:val="00CA52D2"/>
    <w:rsid w:val="00CB2177"/>
    <w:rsid w:val="00CB6A54"/>
    <w:rsid w:val="00CC6C69"/>
    <w:rsid w:val="00CD3CBB"/>
    <w:rsid w:val="00CE1AEF"/>
    <w:rsid w:val="00CE2B34"/>
    <w:rsid w:val="00CF1E66"/>
    <w:rsid w:val="00CF4B04"/>
    <w:rsid w:val="00D01393"/>
    <w:rsid w:val="00D04F84"/>
    <w:rsid w:val="00D070B1"/>
    <w:rsid w:val="00D10357"/>
    <w:rsid w:val="00D10C38"/>
    <w:rsid w:val="00D1102D"/>
    <w:rsid w:val="00D1599E"/>
    <w:rsid w:val="00D35DEE"/>
    <w:rsid w:val="00D44C7F"/>
    <w:rsid w:val="00D45A03"/>
    <w:rsid w:val="00D52C8D"/>
    <w:rsid w:val="00D56FFD"/>
    <w:rsid w:val="00D704FE"/>
    <w:rsid w:val="00D72890"/>
    <w:rsid w:val="00D736BA"/>
    <w:rsid w:val="00D75889"/>
    <w:rsid w:val="00D77EDF"/>
    <w:rsid w:val="00D807C9"/>
    <w:rsid w:val="00D80E1B"/>
    <w:rsid w:val="00D81585"/>
    <w:rsid w:val="00D8173E"/>
    <w:rsid w:val="00D84539"/>
    <w:rsid w:val="00D92306"/>
    <w:rsid w:val="00D9317B"/>
    <w:rsid w:val="00D937C5"/>
    <w:rsid w:val="00D95160"/>
    <w:rsid w:val="00D96859"/>
    <w:rsid w:val="00D96CF2"/>
    <w:rsid w:val="00D96E10"/>
    <w:rsid w:val="00DA0862"/>
    <w:rsid w:val="00DA131A"/>
    <w:rsid w:val="00DA25D7"/>
    <w:rsid w:val="00DA2D9D"/>
    <w:rsid w:val="00DA3533"/>
    <w:rsid w:val="00DA4ED7"/>
    <w:rsid w:val="00DA7710"/>
    <w:rsid w:val="00DB19AA"/>
    <w:rsid w:val="00DB23AB"/>
    <w:rsid w:val="00DB33B4"/>
    <w:rsid w:val="00DB4F37"/>
    <w:rsid w:val="00DC53F2"/>
    <w:rsid w:val="00DC72E3"/>
    <w:rsid w:val="00DD330B"/>
    <w:rsid w:val="00DD3958"/>
    <w:rsid w:val="00DD5BB8"/>
    <w:rsid w:val="00DD69C2"/>
    <w:rsid w:val="00DE0517"/>
    <w:rsid w:val="00DE2FA7"/>
    <w:rsid w:val="00DE65C5"/>
    <w:rsid w:val="00DE6E22"/>
    <w:rsid w:val="00DF04F2"/>
    <w:rsid w:val="00DF165A"/>
    <w:rsid w:val="00DF292E"/>
    <w:rsid w:val="00DF62B0"/>
    <w:rsid w:val="00DF7EFB"/>
    <w:rsid w:val="00E05898"/>
    <w:rsid w:val="00E06064"/>
    <w:rsid w:val="00E06454"/>
    <w:rsid w:val="00E11B3A"/>
    <w:rsid w:val="00E141DB"/>
    <w:rsid w:val="00E20265"/>
    <w:rsid w:val="00E22588"/>
    <w:rsid w:val="00E2716E"/>
    <w:rsid w:val="00E27598"/>
    <w:rsid w:val="00E3336D"/>
    <w:rsid w:val="00E342D5"/>
    <w:rsid w:val="00E36D89"/>
    <w:rsid w:val="00E43AA7"/>
    <w:rsid w:val="00E4671A"/>
    <w:rsid w:val="00E478C4"/>
    <w:rsid w:val="00E53A37"/>
    <w:rsid w:val="00E53BF0"/>
    <w:rsid w:val="00E546E8"/>
    <w:rsid w:val="00E547E2"/>
    <w:rsid w:val="00E64022"/>
    <w:rsid w:val="00E66903"/>
    <w:rsid w:val="00E728C0"/>
    <w:rsid w:val="00E803A5"/>
    <w:rsid w:val="00E84761"/>
    <w:rsid w:val="00E84793"/>
    <w:rsid w:val="00E851DF"/>
    <w:rsid w:val="00E927B3"/>
    <w:rsid w:val="00E96143"/>
    <w:rsid w:val="00EA35B3"/>
    <w:rsid w:val="00EA4358"/>
    <w:rsid w:val="00EA699F"/>
    <w:rsid w:val="00EB479A"/>
    <w:rsid w:val="00EB64BB"/>
    <w:rsid w:val="00EC2272"/>
    <w:rsid w:val="00EC5CA6"/>
    <w:rsid w:val="00ED35C2"/>
    <w:rsid w:val="00ED6AC9"/>
    <w:rsid w:val="00ED7C18"/>
    <w:rsid w:val="00EE350A"/>
    <w:rsid w:val="00EE64CC"/>
    <w:rsid w:val="00EF0A3F"/>
    <w:rsid w:val="00EF2368"/>
    <w:rsid w:val="00EF5029"/>
    <w:rsid w:val="00F0185C"/>
    <w:rsid w:val="00F01861"/>
    <w:rsid w:val="00F04727"/>
    <w:rsid w:val="00F077CA"/>
    <w:rsid w:val="00F11908"/>
    <w:rsid w:val="00F1379F"/>
    <w:rsid w:val="00F14ABC"/>
    <w:rsid w:val="00F14AEA"/>
    <w:rsid w:val="00F241D4"/>
    <w:rsid w:val="00F261CA"/>
    <w:rsid w:val="00F33AC8"/>
    <w:rsid w:val="00F33F8A"/>
    <w:rsid w:val="00F34055"/>
    <w:rsid w:val="00F346EC"/>
    <w:rsid w:val="00F355E9"/>
    <w:rsid w:val="00F35ED4"/>
    <w:rsid w:val="00F3719A"/>
    <w:rsid w:val="00F411B7"/>
    <w:rsid w:val="00F42D4F"/>
    <w:rsid w:val="00F50A3B"/>
    <w:rsid w:val="00F52040"/>
    <w:rsid w:val="00F52326"/>
    <w:rsid w:val="00F60266"/>
    <w:rsid w:val="00F61777"/>
    <w:rsid w:val="00F67768"/>
    <w:rsid w:val="00F73FC2"/>
    <w:rsid w:val="00F81A81"/>
    <w:rsid w:val="00F8452F"/>
    <w:rsid w:val="00F935D5"/>
    <w:rsid w:val="00FA095D"/>
    <w:rsid w:val="00FA1307"/>
    <w:rsid w:val="00FA2371"/>
    <w:rsid w:val="00FA2C5F"/>
    <w:rsid w:val="00FA63EC"/>
    <w:rsid w:val="00FB354B"/>
    <w:rsid w:val="00FC0185"/>
    <w:rsid w:val="00FC20D3"/>
    <w:rsid w:val="00FC33D2"/>
    <w:rsid w:val="00FC4B89"/>
    <w:rsid w:val="00FC7DD3"/>
    <w:rsid w:val="00FD2EC8"/>
    <w:rsid w:val="00FD5EC2"/>
    <w:rsid w:val="00FD7050"/>
    <w:rsid w:val="00FE1EDA"/>
    <w:rsid w:val="00FE1F96"/>
    <w:rsid w:val="00FE41E0"/>
    <w:rsid w:val="00FE4E5C"/>
    <w:rsid w:val="00FE6B6C"/>
    <w:rsid w:val="00FE7B99"/>
    <w:rsid w:val="00FE7ED4"/>
    <w:rsid w:val="00FF51CD"/>
    <w:rsid w:val="00FF58B0"/>
    <w:rsid w:val="00FF624E"/>
    <w:rsid w:val="02395072"/>
    <w:rsid w:val="02DD7079"/>
    <w:rsid w:val="03F08E4B"/>
    <w:rsid w:val="0447F6B1"/>
    <w:rsid w:val="04F5FF7E"/>
    <w:rsid w:val="060839F2"/>
    <w:rsid w:val="0653F3E4"/>
    <w:rsid w:val="07029613"/>
    <w:rsid w:val="0830EAC0"/>
    <w:rsid w:val="0927EC48"/>
    <w:rsid w:val="09E26128"/>
    <w:rsid w:val="0B33083F"/>
    <w:rsid w:val="0B5CC1FB"/>
    <w:rsid w:val="0B6DCF08"/>
    <w:rsid w:val="0BB151B5"/>
    <w:rsid w:val="0C2D15B2"/>
    <w:rsid w:val="0C8BEBBD"/>
    <w:rsid w:val="0D2B5EA1"/>
    <w:rsid w:val="0D5C14CE"/>
    <w:rsid w:val="0DB01C11"/>
    <w:rsid w:val="11C9C35E"/>
    <w:rsid w:val="133173F1"/>
    <w:rsid w:val="1355F90C"/>
    <w:rsid w:val="15DBFD7D"/>
    <w:rsid w:val="16086A22"/>
    <w:rsid w:val="163BF1F1"/>
    <w:rsid w:val="164544FA"/>
    <w:rsid w:val="17954261"/>
    <w:rsid w:val="17C324C2"/>
    <w:rsid w:val="1A671130"/>
    <w:rsid w:val="1A8DD293"/>
    <w:rsid w:val="1B4DF3D1"/>
    <w:rsid w:val="1F368A4B"/>
    <w:rsid w:val="1FB2A36E"/>
    <w:rsid w:val="1FCBDE38"/>
    <w:rsid w:val="2178C86C"/>
    <w:rsid w:val="2211A6E1"/>
    <w:rsid w:val="22522F42"/>
    <w:rsid w:val="24859C9E"/>
    <w:rsid w:val="266CA306"/>
    <w:rsid w:val="29A34F94"/>
    <w:rsid w:val="2D1E4A36"/>
    <w:rsid w:val="2D34F5EC"/>
    <w:rsid w:val="2D51D980"/>
    <w:rsid w:val="2F6E2645"/>
    <w:rsid w:val="3042D864"/>
    <w:rsid w:val="31510AF5"/>
    <w:rsid w:val="34235E8B"/>
    <w:rsid w:val="3576CC78"/>
    <w:rsid w:val="359B93A7"/>
    <w:rsid w:val="364EE229"/>
    <w:rsid w:val="3846ED57"/>
    <w:rsid w:val="38B9ED09"/>
    <w:rsid w:val="3A9A6DF3"/>
    <w:rsid w:val="3AAE047D"/>
    <w:rsid w:val="3C3F908E"/>
    <w:rsid w:val="3D27C5C0"/>
    <w:rsid w:val="3D682684"/>
    <w:rsid w:val="3E0AE680"/>
    <w:rsid w:val="3E639A7D"/>
    <w:rsid w:val="400966E4"/>
    <w:rsid w:val="405133A4"/>
    <w:rsid w:val="437E542C"/>
    <w:rsid w:val="4516C153"/>
    <w:rsid w:val="4681E24E"/>
    <w:rsid w:val="4754B82A"/>
    <w:rsid w:val="47CAF76F"/>
    <w:rsid w:val="4A314F3E"/>
    <w:rsid w:val="4E0BC4E7"/>
    <w:rsid w:val="4E800227"/>
    <w:rsid w:val="4F187EB7"/>
    <w:rsid w:val="4FDFF6AB"/>
    <w:rsid w:val="50DA2BEB"/>
    <w:rsid w:val="519B1492"/>
    <w:rsid w:val="52EEE360"/>
    <w:rsid w:val="53043790"/>
    <w:rsid w:val="595E9B17"/>
    <w:rsid w:val="5AB53503"/>
    <w:rsid w:val="5DF6DDA2"/>
    <w:rsid w:val="5EC483A8"/>
    <w:rsid w:val="5FDFB3F3"/>
    <w:rsid w:val="60E71078"/>
    <w:rsid w:val="65F6FD8E"/>
    <w:rsid w:val="662649E9"/>
    <w:rsid w:val="6819A9BC"/>
    <w:rsid w:val="68843B41"/>
    <w:rsid w:val="698C05E6"/>
    <w:rsid w:val="699C30BB"/>
    <w:rsid w:val="6A2D8636"/>
    <w:rsid w:val="6C5D0520"/>
    <w:rsid w:val="6E684621"/>
    <w:rsid w:val="6E7B473F"/>
    <w:rsid w:val="6E951AA1"/>
    <w:rsid w:val="6FD52FFA"/>
    <w:rsid w:val="70D6B049"/>
    <w:rsid w:val="71895AB6"/>
    <w:rsid w:val="71C793F4"/>
    <w:rsid w:val="73274B26"/>
    <w:rsid w:val="73702E16"/>
    <w:rsid w:val="747786DD"/>
    <w:rsid w:val="74A85F29"/>
    <w:rsid w:val="75B56426"/>
    <w:rsid w:val="78365D9C"/>
    <w:rsid w:val="79612D04"/>
    <w:rsid w:val="7A8A1DA0"/>
    <w:rsid w:val="7B6034DC"/>
    <w:rsid w:val="7CC199BF"/>
    <w:rsid w:val="7E42709D"/>
    <w:rsid w:val="7EE431BF"/>
    <w:rsid w:val="7F88288E"/>
    <w:rsid w:val="7FE2EF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FEAC"/>
  <w15:chartTrackingRefBased/>
  <w15:docId w15:val="{D2D6831A-F410-4930-B538-3CA19750D35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770"/>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34"/>
    <w:qFormat/>
    <w:rsid w:val="00A76F4A"/>
    <w:pPr>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iPriority w:val="99"/>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CommentReference">
    <w:name w:val="annotation reference"/>
    <w:basedOn w:val="DefaultParagraphFont"/>
    <w:semiHidden/>
    <w:unhideWhenUsed/>
    <w:rsid w:val="00473945"/>
    <w:rPr>
      <w:sz w:val="16"/>
      <w:szCs w:val="16"/>
    </w:rPr>
  </w:style>
  <w:style w:type="paragraph" w:styleId="CommentText">
    <w:name w:val="annotation text"/>
    <w:basedOn w:val="Normal"/>
    <w:link w:val="CommentTextChar"/>
    <w:unhideWhenUsed/>
    <w:rsid w:val="00473945"/>
    <w:pPr>
      <w:spacing w:line="240" w:lineRule="auto"/>
    </w:pPr>
    <w:rPr>
      <w:sz w:val="20"/>
      <w:szCs w:val="20"/>
    </w:rPr>
  </w:style>
  <w:style w:type="character" w:customStyle="1" w:styleId="CommentTextChar">
    <w:name w:val="Comment Text Char"/>
    <w:basedOn w:val="DefaultParagraphFont"/>
    <w:link w:val="CommentText"/>
    <w:rsid w:val="00473945"/>
    <w:rPr>
      <w:sz w:val="20"/>
      <w:szCs w:val="20"/>
    </w:rPr>
  </w:style>
  <w:style w:type="paragraph" w:styleId="CommentSubject">
    <w:name w:val="annotation subject"/>
    <w:basedOn w:val="CommentText"/>
    <w:next w:val="CommentText"/>
    <w:link w:val="CommentSubjectChar"/>
    <w:uiPriority w:val="99"/>
    <w:semiHidden/>
    <w:unhideWhenUsed/>
    <w:rsid w:val="00473945"/>
    <w:rPr>
      <w:b/>
      <w:bCs/>
    </w:rPr>
  </w:style>
  <w:style w:type="character" w:customStyle="1" w:styleId="CommentSubjectChar">
    <w:name w:val="Comment Subject Char"/>
    <w:basedOn w:val="CommentTextChar"/>
    <w:link w:val="CommentSubject"/>
    <w:uiPriority w:val="99"/>
    <w:semiHidden/>
    <w:rsid w:val="00473945"/>
    <w:rPr>
      <w:b/>
      <w:bCs/>
      <w:sz w:val="20"/>
      <w:szCs w:val="20"/>
    </w:rPr>
  </w:style>
  <w:style w:type="character" w:styleId="UnresolvedMention">
    <w:name w:val="Unresolved Mention"/>
    <w:basedOn w:val="DefaultParagraphFont"/>
    <w:uiPriority w:val="99"/>
    <w:semiHidden/>
    <w:unhideWhenUsed/>
    <w:rsid w:val="009716D9"/>
    <w:rPr>
      <w:color w:val="605E5C"/>
      <w:shd w:val="clear" w:color="auto" w:fill="E1DFDD"/>
    </w:rPr>
  </w:style>
  <w:style w:type="paragraph" w:customStyle="1" w:styleId="Res-Caption">
    <w:name w:val="Res-Caption"/>
    <w:basedOn w:val="Normal"/>
    <w:rsid w:val="00BA789D"/>
    <w:pPr>
      <w:spacing w:after="0" w:line="240" w:lineRule="auto"/>
      <w:ind w:left="720" w:right="720"/>
    </w:pPr>
    <w:rPr>
      <w:rFonts w:ascii="Palatino" w:eastAsia="Times New Roman" w:hAnsi="Palatino" w:cs="Times New Roman"/>
      <w:kern w:val="0"/>
      <w:sz w:val="26"/>
      <w:szCs w:val="20"/>
      <w14:ligatures w14:val="none"/>
    </w:rPr>
  </w:style>
  <w:style w:type="paragraph" w:styleId="FootnoteText">
    <w:name w:val="footnote text"/>
    <w:basedOn w:val="Normal"/>
    <w:link w:val="FootnoteTextChar"/>
    <w:uiPriority w:val="99"/>
    <w:semiHidden/>
    <w:unhideWhenUsed/>
    <w:rsid w:val="00FA2C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C5F"/>
    <w:rPr>
      <w:sz w:val="20"/>
      <w:szCs w:val="20"/>
    </w:rPr>
  </w:style>
  <w:style w:type="character" w:styleId="FootnoteReference">
    <w:name w:val="footnote reference"/>
    <w:semiHidden/>
    <w:rsid w:val="00FA2C5F"/>
    <w:rPr>
      <w:vertAlign w:val="superscript"/>
    </w:rPr>
  </w:style>
  <w:style w:type="table" w:styleId="TableGrid">
    <w:name w:val="Table Grid"/>
    <w:basedOn w:val="TableNormal"/>
    <w:uiPriority w:val="39"/>
    <w:rsid w:val="0044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8F6E35"/>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paragraph" w:styleId="Revision">
    <w:name w:val="Revision"/>
    <w:hidden/>
    <w:uiPriority w:val="99"/>
    <w:semiHidden/>
    <w:rsid w:val="00C26E93"/>
    <w:pPr>
      <w:spacing w:after="0" w:line="240" w:lineRule="auto"/>
    </w:pPr>
  </w:style>
  <w:style w:type="character" w:styleId="Mention">
    <w:name w:val="Mention"/>
    <w:basedOn w:val="DefaultParagraphFont"/>
    <w:uiPriority w:val="99"/>
    <w:unhideWhenUsed/>
    <w:rsid w:val="00774C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3793">
      <w:bodyDiv w:val="1"/>
      <w:marLeft w:val="0"/>
      <w:marRight w:val="0"/>
      <w:marTop w:val="0"/>
      <w:marBottom w:val="0"/>
      <w:divBdr>
        <w:top w:val="none" w:sz="0" w:space="0" w:color="auto"/>
        <w:left w:val="none" w:sz="0" w:space="0" w:color="auto"/>
        <w:bottom w:val="none" w:sz="0" w:space="0" w:color="auto"/>
        <w:right w:val="none" w:sz="0" w:space="0" w:color="auto"/>
      </w:divBdr>
    </w:div>
    <w:div w:id="40327696">
      <w:bodyDiv w:val="1"/>
      <w:marLeft w:val="0"/>
      <w:marRight w:val="0"/>
      <w:marTop w:val="0"/>
      <w:marBottom w:val="0"/>
      <w:divBdr>
        <w:top w:val="none" w:sz="0" w:space="0" w:color="auto"/>
        <w:left w:val="none" w:sz="0" w:space="0" w:color="auto"/>
        <w:bottom w:val="none" w:sz="0" w:space="0" w:color="auto"/>
        <w:right w:val="none" w:sz="0" w:space="0" w:color="auto"/>
      </w:divBdr>
    </w:div>
    <w:div w:id="198054038">
      <w:bodyDiv w:val="1"/>
      <w:marLeft w:val="0"/>
      <w:marRight w:val="0"/>
      <w:marTop w:val="0"/>
      <w:marBottom w:val="0"/>
      <w:divBdr>
        <w:top w:val="none" w:sz="0" w:space="0" w:color="auto"/>
        <w:left w:val="none" w:sz="0" w:space="0" w:color="auto"/>
        <w:bottom w:val="none" w:sz="0" w:space="0" w:color="auto"/>
        <w:right w:val="none" w:sz="0" w:space="0" w:color="auto"/>
      </w:divBdr>
    </w:div>
    <w:div w:id="209264946">
      <w:bodyDiv w:val="1"/>
      <w:marLeft w:val="0"/>
      <w:marRight w:val="0"/>
      <w:marTop w:val="0"/>
      <w:marBottom w:val="0"/>
      <w:divBdr>
        <w:top w:val="none" w:sz="0" w:space="0" w:color="auto"/>
        <w:left w:val="none" w:sz="0" w:space="0" w:color="auto"/>
        <w:bottom w:val="none" w:sz="0" w:space="0" w:color="auto"/>
        <w:right w:val="none" w:sz="0" w:space="0" w:color="auto"/>
      </w:divBdr>
    </w:div>
    <w:div w:id="239293399">
      <w:bodyDiv w:val="1"/>
      <w:marLeft w:val="0"/>
      <w:marRight w:val="0"/>
      <w:marTop w:val="0"/>
      <w:marBottom w:val="0"/>
      <w:divBdr>
        <w:top w:val="none" w:sz="0" w:space="0" w:color="auto"/>
        <w:left w:val="none" w:sz="0" w:space="0" w:color="auto"/>
        <w:bottom w:val="none" w:sz="0" w:space="0" w:color="auto"/>
        <w:right w:val="none" w:sz="0" w:space="0" w:color="auto"/>
      </w:divBdr>
    </w:div>
    <w:div w:id="300502766">
      <w:bodyDiv w:val="1"/>
      <w:marLeft w:val="0"/>
      <w:marRight w:val="0"/>
      <w:marTop w:val="0"/>
      <w:marBottom w:val="0"/>
      <w:divBdr>
        <w:top w:val="none" w:sz="0" w:space="0" w:color="auto"/>
        <w:left w:val="none" w:sz="0" w:space="0" w:color="auto"/>
        <w:bottom w:val="none" w:sz="0" w:space="0" w:color="auto"/>
        <w:right w:val="none" w:sz="0" w:space="0" w:color="auto"/>
      </w:divBdr>
    </w:div>
    <w:div w:id="431584327">
      <w:bodyDiv w:val="1"/>
      <w:marLeft w:val="0"/>
      <w:marRight w:val="0"/>
      <w:marTop w:val="0"/>
      <w:marBottom w:val="0"/>
      <w:divBdr>
        <w:top w:val="none" w:sz="0" w:space="0" w:color="auto"/>
        <w:left w:val="none" w:sz="0" w:space="0" w:color="auto"/>
        <w:bottom w:val="none" w:sz="0" w:space="0" w:color="auto"/>
        <w:right w:val="none" w:sz="0" w:space="0" w:color="auto"/>
      </w:divBdr>
    </w:div>
    <w:div w:id="441918528">
      <w:bodyDiv w:val="1"/>
      <w:marLeft w:val="0"/>
      <w:marRight w:val="0"/>
      <w:marTop w:val="0"/>
      <w:marBottom w:val="0"/>
      <w:divBdr>
        <w:top w:val="none" w:sz="0" w:space="0" w:color="auto"/>
        <w:left w:val="none" w:sz="0" w:space="0" w:color="auto"/>
        <w:bottom w:val="none" w:sz="0" w:space="0" w:color="auto"/>
        <w:right w:val="none" w:sz="0" w:space="0" w:color="auto"/>
      </w:divBdr>
    </w:div>
    <w:div w:id="623116599">
      <w:bodyDiv w:val="1"/>
      <w:marLeft w:val="0"/>
      <w:marRight w:val="0"/>
      <w:marTop w:val="0"/>
      <w:marBottom w:val="0"/>
      <w:divBdr>
        <w:top w:val="none" w:sz="0" w:space="0" w:color="auto"/>
        <w:left w:val="none" w:sz="0" w:space="0" w:color="auto"/>
        <w:bottom w:val="none" w:sz="0" w:space="0" w:color="auto"/>
        <w:right w:val="none" w:sz="0" w:space="0" w:color="auto"/>
      </w:divBdr>
    </w:div>
    <w:div w:id="754129474">
      <w:bodyDiv w:val="1"/>
      <w:marLeft w:val="0"/>
      <w:marRight w:val="0"/>
      <w:marTop w:val="0"/>
      <w:marBottom w:val="0"/>
      <w:divBdr>
        <w:top w:val="none" w:sz="0" w:space="0" w:color="auto"/>
        <w:left w:val="none" w:sz="0" w:space="0" w:color="auto"/>
        <w:bottom w:val="none" w:sz="0" w:space="0" w:color="auto"/>
        <w:right w:val="none" w:sz="0" w:space="0" w:color="auto"/>
      </w:divBdr>
    </w:div>
    <w:div w:id="847065081">
      <w:bodyDiv w:val="1"/>
      <w:marLeft w:val="0"/>
      <w:marRight w:val="0"/>
      <w:marTop w:val="0"/>
      <w:marBottom w:val="0"/>
      <w:divBdr>
        <w:top w:val="none" w:sz="0" w:space="0" w:color="auto"/>
        <w:left w:val="none" w:sz="0" w:space="0" w:color="auto"/>
        <w:bottom w:val="none" w:sz="0" w:space="0" w:color="auto"/>
        <w:right w:val="none" w:sz="0" w:space="0" w:color="auto"/>
      </w:divBdr>
    </w:div>
    <w:div w:id="1062868654">
      <w:bodyDiv w:val="1"/>
      <w:marLeft w:val="0"/>
      <w:marRight w:val="0"/>
      <w:marTop w:val="0"/>
      <w:marBottom w:val="0"/>
      <w:divBdr>
        <w:top w:val="none" w:sz="0" w:space="0" w:color="auto"/>
        <w:left w:val="none" w:sz="0" w:space="0" w:color="auto"/>
        <w:bottom w:val="none" w:sz="0" w:space="0" w:color="auto"/>
        <w:right w:val="none" w:sz="0" w:space="0" w:color="auto"/>
      </w:divBdr>
    </w:div>
    <w:div w:id="1366054844">
      <w:bodyDiv w:val="1"/>
      <w:marLeft w:val="0"/>
      <w:marRight w:val="0"/>
      <w:marTop w:val="0"/>
      <w:marBottom w:val="0"/>
      <w:divBdr>
        <w:top w:val="none" w:sz="0" w:space="0" w:color="auto"/>
        <w:left w:val="none" w:sz="0" w:space="0" w:color="auto"/>
        <w:bottom w:val="none" w:sz="0" w:space="0" w:color="auto"/>
        <w:right w:val="none" w:sz="0" w:space="0" w:color="auto"/>
      </w:divBdr>
    </w:div>
    <w:div w:id="1386638152">
      <w:bodyDiv w:val="1"/>
      <w:marLeft w:val="0"/>
      <w:marRight w:val="0"/>
      <w:marTop w:val="0"/>
      <w:marBottom w:val="0"/>
      <w:divBdr>
        <w:top w:val="none" w:sz="0" w:space="0" w:color="auto"/>
        <w:left w:val="none" w:sz="0" w:space="0" w:color="auto"/>
        <w:bottom w:val="none" w:sz="0" w:space="0" w:color="auto"/>
        <w:right w:val="none" w:sz="0" w:space="0" w:color="auto"/>
      </w:divBdr>
    </w:div>
    <w:div w:id="1422407555">
      <w:bodyDiv w:val="1"/>
      <w:marLeft w:val="0"/>
      <w:marRight w:val="0"/>
      <w:marTop w:val="0"/>
      <w:marBottom w:val="0"/>
      <w:divBdr>
        <w:top w:val="none" w:sz="0" w:space="0" w:color="auto"/>
        <w:left w:val="none" w:sz="0" w:space="0" w:color="auto"/>
        <w:bottom w:val="none" w:sz="0" w:space="0" w:color="auto"/>
        <w:right w:val="none" w:sz="0" w:space="0" w:color="auto"/>
      </w:divBdr>
    </w:div>
    <w:div w:id="21015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C0E65A7827004E8DE86629998BE048" ma:contentTypeVersion="13" ma:contentTypeDescription="Create a new document." ma:contentTypeScope="" ma:versionID="80224b8e0961ed3af9def369d81338c2">
  <xsd:schema xmlns:xsd="http://www.w3.org/2001/XMLSchema" xmlns:xs="http://www.w3.org/2001/XMLSchema" xmlns:p="http://schemas.microsoft.com/office/2006/metadata/properties" xmlns:ns2="ee0597ac-5018-4f78-a56f-863ee296de5b" xmlns:ns3="6ff1d5b4-3da7-43c4-b46d-2a8b2039aab6" targetNamespace="http://schemas.microsoft.com/office/2006/metadata/properties" ma:root="true" ma:fieldsID="9a068d7f7004d48998721a515c3566a9" ns2:_="" ns3:_="">
    <xsd:import namespace="ee0597ac-5018-4f78-a56f-863ee296de5b"/>
    <xsd:import namespace="6ff1d5b4-3da7-43c4-b46d-2a8b2039aa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597ac-5018-4f78-a56f-863ee296d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1d5b4-3da7-43c4-b46d-2a8b2039aa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4c0ae2-23b1-43b4-973e-e994a1428e73}" ma:internalName="TaxCatchAll" ma:showField="CatchAllData" ma:web="6ff1d5b4-3da7-43c4-b46d-2a8b2039a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f1d5b4-3da7-43c4-b46d-2a8b2039aab6" xsi:nil="true"/>
    <lcf76f155ced4ddcb4097134ff3c332f xmlns="ee0597ac-5018-4f78-a56f-863ee296de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780E-3D08-4B0A-8821-488CAE882A12}">
  <ds:schemaRefs>
    <ds:schemaRef ds:uri="http://schemas.microsoft.com/sharepoint/v3/contenttype/forms"/>
  </ds:schemaRefs>
</ds:datastoreItem>
</file>

<file path=customXml/itemProps2.xml><?xml version="1.0" encoding="utf-8"?>
<ds:datastoreItem xmlns:ds="http://schemas.openxmlformats.org/officeDocument/2006/customXml" ds:itemID="{C24B5D5F-9C2C-4E02-AE06-AB9E0399D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597ac-5018-4f78-a56f-863ee296de5b"/>
    <ds:schemaRef ds:uri="6ff1d5b4-3da7-43c4-b46d-2a8b2039a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6ff1d5b4-3da7-43c4-b46d-2a8b2039aab6"/>
    <ds:schemaRef ds:uri="ee0597ac-5018-4f78-a56f-863ee296de5b"/>
  </ds:schemaRefs>
</ds:datastoreItem>
</file>

<file path=customXml/itemProps4.xml><?xml version="1.0" encoding="utf-8"?>
<ds:datastoreItem xmlns:ds="http://schemas.openxmlformats.org/officeDocument/2006/customXml" ds:itemID="{31A07A2A-4BBA-4B64-8FBE-B1C41E01A99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4508</ap:Words>
  <ap:Characters>25700</ap:Characters>
  <ap:Application>Microsoft Office Word</ap:Application>
  <ap:DocSecurity>0</ap:DocSecurity>
  <ap:Lines>214</ap:Lines>
  <ap:Paragraphs>60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30148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2025-05-08T07:50:43Z</dcterms:created>
  <dcterms:modified xsi:type="dcterms:W3CDTF">2025-05-08T07:50:43Z</dcterms:modified>
</cp:coreProperties>
</file>